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r>
        <w:rPr>
          <w:rFonts w:hint="eastAsia" w:ascii="宋体" w:hAnsi="宋体" w:eastAsia="宋体"/>
          <w:b/>
          <w:snapToGrid w:val="0"/>
          <w:color w:val="auto"/>
          <w:kern w:val="0"/>
          <w:sz w:val="48"/>
          <w:szCs w:val="48"/>
          <w14:shadow w14:blurRad="50800" w14:dist="38100" w14:dir="2700000" w14:sx="100000" w14:sy="100000" w14:kx="0" w14:ky="0" w14:algn="tl">
            <w14:srgbClr w14:val="000000">
              <w14:alpha w14:val="60000"/>
            </w14:srgbClr>
          </w14:shadow>
        </w:rPr>
        <w:t xml:space="preserve"> </w:t>
      </w:r>
    </w:p>
    <w:p>
      <w:pPr>
        <w:spacing w:line="740" w:lineRule="exact"/>
        <w:jc w:val="center"/>
        <w:rPr>
          <w:rFonts w:hint="eastAsia" w:ascii="宋体" w:hAnsi="宋体" w:eastAsia="宋体" w:cs="宋体"/>
          <w:b/>
          <w:color w:val="auto"/>
          <w:sz w:val="44"/>
          <w:szCs w:val="44"/>
          <w:lang w:val="zh-CN" w:eastAsia="zh-CN"/>
        </w:rPr>
      </w:pPr>
      <w:r>
        <w:rPr>
          <w:rFonts w:hint="eastAsia" w:ascii="宋体" w:hAnsi="宋体" w:cs="宋体"/>
          <w:b/>
          <w:color w:val="auto"/>
          <w:sz w:val="52"/>
          <w:szCs w:val="52"/>
          <w:lang w:val="zh-CN" w:eastAsia="zh-CN"/>
        </w:rPr>
        <w:t>2024年光山县农业生产社会化服务项目</w:t>
      </w:r>
    </w:p>
    <w:p>
      <w:pPr>
        <w:spacing w:line="740" w:lineRule="exact"/>
        <w:jc w:val="center"/>
        <w:rPr>
          <w:rFonts w:hint="eastAsia" w:ascii="宋体" w:hAnsi="宋体" w:eastAsia="宋体" w:cs="宋体"/>
          <w:b/>
          <w:bCs w:val="0"/>
          <w:color w:val="auto"/>
          <w:sz w:val="48"/>
          <w:szCs w:val="48"/>
          <w:lang w:val="zh-CN" w:eastAsia="zh-CN"/>
        </w:rPr>
      </w:pPr>
      <w:r>
        <w:rPr>
          <w:rFonts w:hint="eastAsia" w:ascii="宋体" w:hAnsi="宋体" w:eastAsia="宋体" w:cs="宋体"/>
          <w:b/>
          <w:bCs w:val="0"/>
          <w:color w:val="auto"/>
          <w:sz w:val="48"/>
          <w:szCs w:val="48"/>
          <w:lang w:val="zh-CN" w:eastAsia="zh-CN"/>
        </w:rPr>
        <w:t>招标文件</w:t>
      </w:r>
    </w:p>
    <w:p>
      <w:pPr>
        <w:pStyle w:val="10"/>
        <w:ind w:firstLine="1606" w:firstLineChars="500"/>
        <w:rPr>
          <w:rFonts w:hint="eastAsia" w:ascii="宋体" w:hAnsi="宋体" w:eastAsia="宋体" w:cs="宋体"/>
          <w:b/>
          <w:color w:val="auto"/>
          <w:sz w:val="32"/>
          <w:szCs w:val="32"/>
          <w:lang w:val="zh-CN"/>
        </w:rPr>
      </w:pPr>
    </w:p>
    <w:p>
      <w:pPr>
        <w:pStyle w:val="10"/>
        <w:ind w:firstLine="1606" w:firstLineChars="500"/>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zh-CN"/>
        </w:rPr>
        <w:t>项目编号：光财公开招标-</w:t>
      </w:r>
      <w:r>
        <w:rPr>
          <w:rFonts w:hint="eastAsia" w:ascii="宋体" w:hAnsi="宋体" w:cs="宋体"/>
          <w:b/>
          <w:color w:val="auto"/>
          <w:sz w:val="32"/>
          <w:szCs w:val="32"/>
          <w:highlight w:val="none"/>
          <w:lang w:val="zh-CN"/>
        </w:rPr>
        <w:t>2024-</w:t>
      </w:r>
      <w:r>
        <w:rPr>
          <w:rFonts w:hint="eastAsia" w:ascii="宋体" w:hAnsi="宋体" w:cs="宋体"/>
          <w:b/>
          <w:color w:val="auto"/>
          <w:sz w:val="32"/>
          <w:szCs w:val="32"/>
          <w:highlight w:val="none"/>
          <w:lang w:val="en-US" w:eastAsia="zh-CN"/>
        </w:rPr>
        <w:t>40</w:t>
      </w:r>
      <w:r>
        <w:rPr>
          <w:rFonts w:hint="eastAsia" w:ascii="宋体" w:hAnsi="宋体" w:cs="宋体"/>
          <w:b/>
          <w:color w:val="auto"/>
          <w:sz w:val="32"/>
          <w:szCs w:val="32"/>
          <w:highlight w:val="none"/>
          <w:lang w:val="zh-CN"/>
        </w:rPr>
        <w:t xml:space="preserve"> </w:t>
      </w:r>
    </w:p>
    <w:p>
      <w:pPr>
        <w:rPr>
          <w:rFonts w:hint="eastAsia"/>
          <w:color w:val="auto"/>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eastAsia="宋体" w:cs="宋体"/>
          <w:bCs/>
          <w:color w:val="auto"/>
          <w:sz w:val="24"/>
          <w:szCs w:val="24"/>
          <w:lang w:val="zh-CN"/>
        </w:rPr>
      </w:pPr>
      <w:r>
        <w:rPr>
          <w:color w:val="auto"/>
          <w:sz w:val="21"/>
          <w:szCs w:val="21"/>
        </w:rPr>
        <w:drawing>
          <wp:anchor distT="0" distB="0" distL="114300" distR="114300" simplePos="0" relativeHeight="251660288" behindDoc="0" locked="0" layoutInCell="1" allowOverlap="1">
            <wp:simplePos x="0" y="0"/>
            <wp:positionH relativeFrom="column">
              <wp:posOffset>1348105</wp:posOffset>
            </wp:positionH>
            <wp:positionV relativeFrom="paragraph">
              <wp:posOffset>816610</wp:posOffset>
            </wp:positionV>
            <wp:extent cx="2824480" cy="2735580"/>
            <wp:effectExtent l="0" t="0" r="1016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rcRect l="6480" t="6836" r="7561" b="17964"/>
                    <a:stretch>
                      <a:fillRect/>
                    </a:stretch>
                  </pic:blipFill>
                  <pic:spPr>
                    <a:xfrm>
                      <a:off x="0" y="0"/>
                      <a:ext cx="2824480" cy="2735580"/>
                    </a:xfrm>
                    <a:prstGeom prst="rect">
                      <a:avLst/>
                    </a:prstGeom>
                    <a:noFill/>
                    <a:ln>
                      <a:noFill/>
                    </a:ln>
                  </pic:spPr>
                </pic:pic>
              </a:graphicData>
            </a:graphic>
          </wp:anchor>
        </w:drawing>
      </w:r>
    </w:p>
    <w:p>
      <w:pPr>
        <w:rPr>
          <w:rFonts w:hint="eastAsia"/>
          <w:color w:val="auto"/>
          <w:lang w:val="zh-CN"/>
        </w:rPr>
      </w:pPr>
    </w:p>
    <w:p>
      <w:pPr>
        <w:pStyle w:val="32"/>
        <w:rPr>
          <w:rFonts w:hint="eastAsia"/>
          <w:color w:val="auto"/>
          <w:lang w:val="zh-CN"/>
        </w:rPr>
      </w:pPr>
    </w:p>
    <w:p>
      <w:pPr>
        <w:rPr>
          <w:rFonts w:hint="eastAsia"/>
          <w:color w:val="auto"/>
          <w:lang w:val="zh-CN"/>
        </w:rPr>
      </w:pPr>
    </w:p>
    <w:p>
      <w:pPr>
        <w:spacing w:line="720" w:lineRule="exact"/>
        <w:ind w:left="0" w:leftChars="0" w:firstLine="1863" w:firstLineChars="580"/>
        <w:rPr>
          <w:rFonts w:hint="eastAsia" w:ascii="宋体" w:hAnsi="宋体" w:eastAsia="宋体" w:cs="宋体"/>
          <w:b/>
          <w:color w:val="auto"/>
          <w:sz w:val="32"/>
          <w:szCs w:val="32"/>
          <w:highlight w:val="none"/>
          <w:lang w:eastAsia="zh-CN"/>
        </w:rPr>
      </w:pPr>
    </w:p>
    <w:p>
      <w:pPr>
        <w:spacing w:line="720" w:lineRule="exact"/>
        <w:ind w:left="0" w:leftChars="0" w:firstLine="1863" w:firstLineChars="580"/>
        <w:rPr>
          <w:rFonts w:hint="eastAsia" w:ascii="宋体" w:hAnsi="宋体" w:eastAsia="宋体" w:cs="宋体"/>
          <w:b/>
          <w:color w:val="auto"/>
          <w:sz w:val="32"/>
          <w:szCs w:val="32"/>
          <w:highlight w:val="none"/>
          <w:lang w:eastAsia="zh-CN"/>
        </w:rPr>
      </w:pPr>
    </w:p>
    <w:p>
      <w:pPr>
        <w:spacing w:line="720" w:lineRule="exact"/>
        <w:ind w:left="0" w:leftChars="0" w:firstLine="1863" w:firstLineChars="580"/>
        <w:rPr>
          <w:rFonts w:hint="eastAsia" w:ascii="宋体" w:hAnsi="宋体" w:eastAsia="宋体" w:cs="宋体"/>
          <w:b/>
          <w:color w:val="auto"/>
          <w:sz w:val="32"/>
          <w:szCs w:val="32"/>
          <w:highlight w:val="none"/>
          <w:lang w:eastAsia="zh-CN"/>
        </w:rPr>
      </w:pPr>
    </w:p>
    <w:p>
      <w:pPr>
        <w:spacing w:line="720" w:lineRule="exact"/>
        <w:ind w:left="0" w:leftChars="0" w:firstLine="1863" w:firstLineChars="580"/>
        <w:rPr>
          <w:rFonts w:hint="eastAsia" w:ascii="宋体" w:hAnsi="宋体" w:eastAsia="宋体" w:cs="宋体"/>
          <w:b/>
          <w:color w:val="auto"/>
          <w:sz w:val="32"/>
          <w:szCs w:val="32"/>
          <w:highlight w:val="none"/>
          <w:lang w:eastAsia="zh-CN"/>
        </w:rPr>
      </w:pPr>
    </w:p>
    <w:p>
      <w:pPr>
        <w:spacing w:line="720" w:lineRule="exact"/>
        <w:ind w:left="0" w:leftChars="0" w:firstLine="1863" w:firstLineChars="580"/>
        <w:rPr>
          <w:rFonts w:hint="eastAsia" w:ascii="宋体" w:hAnsi="宋体" w:eastAsia="宋体" w:cs="宋体"/>
          <w:b/>
          <w:color w:val="auto"/>
          <w:sz w:val="32"/>
          <w:szCs w:val="32"/>
          <w:highlight w:val="none"/>
          <w:lang w:eastAsia="zh-CN"/>
        </w:rPr>
      </w:pPr>
    </w:p>
    <w:p>
      <w:pPr>
        <w:spacing w:line="720" w:lineRule="exact"/>
        <w:ind w:left="0" w:leftChars="0" w:firstLine="1863" w:firstLineChars="580"/>
        <w:rPr>
          <w:rFonts w:hint="eastAsia" w:ascii="宋体" w:hAnsi="宋体" w:eastAsia="宋体" w:cs="宋体"/>
          <w:b/>
          <w:color w:val="auto"/>
          <w:sz w:val="32"/>
          <w:szCs w:val="32"/>
          <w:highlight w:val="none"/>
          <w:lang w:eastAsia="zh-CN"/>
        </w:rPr>
      </w:pPr>
    </w:p>
    <w:p>
      <w:pPr>
        <w:spacing w:line="720" w:lineRule="exact"/>
        <w:ind w:left="0" w:leftChars="0" w:firstLine="1863" w:firstLineChars="580"/>
        <w:rPr>
          <w:rFonts w:hint="eastAsia" w:ascii="宋体" w:hAnsi="宋体" w:eastAsia="宋体" w:cs="宋体"/>
          <w:b/>
          <w:color w:val="auto"/>
          <w:sz w:val="32"/>
          <w:szCs w:val="32"/>
          <w:highlight w:val="none"/>
          <w:lang w:eastAsia="zh-CN"/>
        </w:rPr>
      </w:pPr>
    </w:p>
    <w:p>
      <w:pPr>
        <w:spacing w:line="720" w:lineRule="exact"/>
        <w:ind w:left="0" w:leftChars="0" w:firstLine="1863" w:firstLineChars="580"/>
        <w:rPr>
          <w:rFonts w:hint="eastAsia" w:ascii="宋体" w:hAnsi="宋体" w:eastAsia="宋体" w:cs="宋体"/>
          <w:b/>
          <w:color w:val="auto"/>
          <w:sz w:val="32"/>
          <w:szCs w:val="32"/>
          <w:highlight w:val="none"/>
          <w:lang w:eastAsia="zh-CN"/>
        </w:rPr>
      </w:pPr>
    </w:p>
    <w:p>
      <w:pPr>
        <w:widowControl w:val="0"/>
        <w:spacing w:line="360" w:lineRule="auto"/>
        <w:ind w:firstLine="0" w:firstLineChars="0"/>
        <w:jc w:val="center"/>
        <w:rPr>
          <w:rFonts w:eastAsia="宋体" w:cs="Times New Roman"/>
          <w:color w:val="auto"/>
          <w:sz w:val="21"/>
          <w:szCs w:val="24"/>
        </w:rPr>
      </w:pPr>
      <w:r>
        <w:rPr>
          <w:rFonts w:hint="eastAsia" w:ascii="宋体" w:hAnsi="宋体" w:eastAsia="宋体" w:cs="宋体"/>
          <w:b/>
          <w:bCs/>
          <w:color w:val="auto"/>
          <w:spacing w:val="55"/>
          <w:kern w:val="0"/>
          <w:sz w:val="36"/>
          <w:szCs w:val="36"/>
          <w:fitText w:val="6120" w:id="889597061"/>
        </w:rPr>
        <w:t>采 购 人：</w:t>
      </w:r>
      <w:r>
        <w:rPr>
          <w:rFonts w:hint="eastAsia" w:ascii="宋体" w:hAnsi="宋体" w:eastAsia="宋体" w:cs="宋体"/>
          <w:b/>
          <w:bCs/>
          <w:color w:val="auto"/>
          <w:spacing w:val="55"/>
          <w:kern w:val="0"/>
          <w:sz w:val="36"/>
          <w:szCs w:val="36"/>
          <w:u w:val="none"/>
          <w:fitText w:val="6120" w:id="889597061"/>
          <w:lang w:eastAsia="zh-CN"/>
        </w:rPr>
        <w:t>光山县农业农村</w:t>
      </w:r>
      <w:r>
        <w:rPr>
          <w:rFonts w:hint="eastAsia" w:ascii="宋体" w:hAnsi="宋体" w:eastAsia="宋体" w:cs="宋体"/>
          <w:b/>
          <w:bCs/>
          <w:color w:val="auto"/>
          <w:spacing w:val="5"/>
          <w:kern w:val="0"/>
          <w:sz w:val="36"/>
          <w:szCs w:val="36"/>
          <w:u w:val="none"/>
          <w:fitText w:val="6120" w:id="889597061"/>
          <w:lang w:eastAsia="zh-CN"/>
        </w:rPr>
        <w:t>局</w:t>
      </w:r>
      <w:r>
        <w:rPr>
          <w:rFonts w:hint="eastAsia" w:ascii="宋体" w:hAnsi="宋体" w:eastAsia="宋体" w:cs="宋体"/>
          <w:b/>
          <w:bCs/>
          <w:color w:val="auto"/>
          <w:spacing w:val="0"/>
          <w:kern w:val="0"/>
          <w:sz w:val="36"/>
          <w:szCs w:val="36"/>
          <w:fitText w:val="6120" w:id="1505767963"/>
        </w:rPr>
        <w:t>代理机构：</w:t>
      </w:r>
      <w:r>
        <w:rPr>
          <w:rFonts w:hint="eastAsia" w:ascii="宋体" w:hAnsi="宋体" w:eastAsia="宋体" w:cs="宋体"/>
          <w:b/>
          <w:bCs/>
          <w:color w:val="auto"/>
          <w:spacing w:val="0"/>
          <w:kern w:val="0"/>
          <w:sz w:val="36"/>
          <w:szCs w:val="36"/>
          <w:u w:val="none"/>
          <w:fitText w:val="6120" w:id="1505767963"/>
          <w:lang w:eastAsia="zh-CN"/>
        </w:rPr>
        <w:t>中大国信工程管理有限公司</w:t>
      </w:r>
    </w:p>
    <w:p>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pacing w:val="18"/>
          <w:kern w:val="0"/>
          <w:sz w:val="36"/>
          <w:szCs w:val="36"/>
          <w:fitText w:val="6120" w:id="394796563"/>
        </w:rPr>
        <w:t xml:space="preserve">日    期：二 零 二 </w:t>
      </w:r>
      <w:r>
        <w:rPr>
          <w:rFonts w:hint="eastAsia" w:ascii="宋体" w:hAnsi="宋体" w:eastAsia="宋体" w:cs="宋体"/>
          <w:b/>
          <w:bCs/>
          <w:color w:val="auto"/>
          <w:spacing w:val="18"/>
          <w:kern w:val="0"/>
          <w:sz w:val="36"/>
          <w:szCs w:val="36"/>
          <w:fitText w:val="6120" w:id="394796563"/>
          <w:lang w:val="en-US" w:eastAsia="zh-CN"/>
        </w:rPr>
        <w:t xml:space="preserve">四 </w:t>
      </w:r>
      <w:r>
        <w:rPr>
          <w:rFonts w:hint="eastAsia" w:ascii="宋体" w:hAnsi="宋体" w:eastAsia="宋体" w:cs="宋体"/>
          <w:b/>
          <w:bCs/>
          <w:color w:val="auto"/>
          <w:spacing w:val="18"/>
          <w:kern w:val="0"/>
          <w:sz w:val="36"/>
          <w:szCs w:val="36"/>
          <w:fitText w:val="6120" w:id="394796563"/>
        </w:rPr>
        <w:t>年</w:t>
      </w:r>
      <w:r>
        <w:rPr>
          <w:rFonts w:hint="eastAsia" w:ascii="宋体" w:hAnsi="宋体" w:eastAsia="宋体" w:cs="宋体"/>
          <w:b/>
          <w:bCs/>
          <w:color w:val="auto"/>
          <w:spacing w:val="18"/>
          <w:kern w:val="0"/>
          <w:sz w:val="36"/>
          <w:szCs w:val="36"/>
          <w:fitText w:val="6120" w:id="394796563"/>
          <w:lang w:val="en-US" w:eastAsia="zh-CN"/>
        </w:rPr>
        <w:t xml:space="preserve"> </w:t>
      </w:r>
      <w:r>
        <w:rPr>
          <w:rFonts w:hint="eastAsia" w:ascii="宋体" w:hAnsi="宋体" w:cs="宋体"/>
          <w:b/>
          <w:bCs/>
          <w:color w:val="auto"/>
          <w:spacing w:val="18"/>
          <w:kern w:val="0"/>
          <w:sz w:val="36"/>
          <w:szCs w:val="36"/>
          <w:fitText w:val="6120" w:id="394796563"/>
          <w:lang w:val="en-US" w:eastAsia="zh-CN"/>
        </w:rPr>
        <w:t>四</w:t>
      </w:r>
      <w:r>
        <w:rPr>
          <w:rFonts w:hint="eastAsia" w:ascii="宋体" w:hAnsi="宋体" w:eastAsia="宋体" w:cs="宋体"/>
          <w:b/>
          <w:bCs/>
          <w:color w:val="auto"/>
          <w:spacing w:val="18"/>
          <w:kern w:val="0"/>
          <w:sz w:val="36"/>
          <w:szCs w:val="36"/>
          <w:fitText w:val="6120" w:id="394796563"/>
          <w:lang w:val="en-US" w:eastAsia="zh-CN"/>
        </w:rPr>
        <w:t xml:space="preserve"> </w:t>
      </w:r>
      <w:r>
        <w:rPr>
          <w:rFonts w:hint="eastAsia" w:ascii="宋体" w:hAnsi="宋体" w:eastAsia="宋体" w:cs="宋体"/>
          <w:b/>
          <w:bCs/>
          <w:color w:val="auto"/>
          <w:spacing w:val="18"/>
          <w:kern w:val="0"/>
          <w:sz w:val="36"/>
          <w:szCs w:val="36"/>
          <w:fitText w:val="6120" w:id="394796563"/>
        </w:rPr>
        <w:t>月</w:t>
      </w:r>
    </w:p>
    <w:p>
      <w:pPr>
        <w:tabs>
          <w:tab w:val="left" w:pos="8647"/>
          <w:tab w:val="left" w:pos="8931"/>
          <w:tab w:val="left" w:pos="9072"/>
        </w:tabs>
        <w:snapToGrid w:val="0"/>
        <w:spacing w:line="520" w:lineRule="exact"/>
        <w:jc w:val="both"/>
        <w:rPr>
          <w:rFonts w:hint="eastAsia" w:ascii="宋体" w:hAnsi="宋体"/>
          <w:b/>
          <w:color w:val="auto"/>
          <w:sz w:val="52"/>
        </w:rPr>
      </w:pPr>
      <w:bookmarkStart w:id="0" w:name="_Toc24042"/>
      <w:bookmarkStart w:id="1" w:name="_Toc2326"/>
      <w:bookmarkStart w:id="2" w:name="_Toc18354_WPSOffice_Level1"/>
      <w:bookmarkStart w:id="3" w:name="_Toc11008"/>
      <w:bookmarkStart w:id="4" w:name="_Toc20393"/>
      <w:bookmarkStart w:id="5" w:name="_Toc3646"/>
    </w:p>
    <w:p>
      <w:pPr>
        <w:tabs>
          <w:tab w:val="left" w:pos="8647"/>
          <w:tab w:val="left" w:pos="8931"/>
          <w:tab w:val="left" w:pos="9072"/>
        </w:tabs>
        <w:snapToGrid w:val="0"/>
        <w:spacing w:line="520" w:lineRule="exact"/>
        <w:jc w:val="center"/>
        <w:rPr>
          <w:rFonts w:hint="eastAsia" w:ascii="宋体" w:hAnsi="宋体"/>
          <w:b/>
          <w:color w:val="auto"/>
          <w:sz w:val="52"/>
        </w:rPr>
        <w:sectPr>
          <w:headerReference r:id="rId7" w:type="first"/>
          <w:footerReference r:id="rId10" w:type="first"/>
          <w:headerReference r:id="rId5" w:type="default"/>
          <w:footerReference r:id="rId8" w:type="default"/>
          <w:headerReference r:id="rId6" w:type="even"/>
          <w:footerReference r:id="rId9" w:type="even"/>
          <w:pgSz w:w="11907" w:h="16840"/>
          <w:pgMar w:top="1440" w:right="1080" w:bottom="1440" w:left="1080" w:header="851" w:footer="992" w:gutter="0"/>
          <w:cols w:space="720" w:num="1"/>
          <w:titlePg/>
        </w:sectPr>
      </w:pPr>
    </w:p>
    <w:p>
      <w:pPr>
        <w:tabs>
          <w:tab w:val="left" w:pos="8647"/>
          <w:tab w:val="left" w:pos="8931"/>
          <w:tab w:val="left" w:pos="9072"/>
        </w:tabs>
        <w:snapToGrid w:val="0"/>
        <w:spacing w:line="520" w:lineRule="exact"/>
        <w:jc w:val="center"/>
        <w:rPr>
          <w:rFonts w:hint="eastAsia" w:ascii="宋体" w:hAnsi="宋体"/>
          <w:b/>
          <w:color w:val="auto"/>
          <w:sz w:val="52"/>
        </w:rPr>
      </w:pPr>
    </w:p>
    <w:p>
      <w:pPr>
        <w:tabs>
          <w:tab w:val="left" w:pos="8647"/>
          <w:tab w:val="left" w:pos="8931"/>
          <w:tab w:val="left" w:pos="9072"/>
        </w:tabs>
        <w:snapToGrid w:val="0"/>
        <w:spacing w:line="520" w:lineRule="exact"/>
        <w:jc w:val="center"/>
        <w:rPr>
          <w:rFonts w:hint="eastAsia" w:ascii="宋体" w:hAnsi="宋体"/>
          <w:b/>
          <w:color w:val="auto"/>
          <w:sz w:val="52"/>
        </w:rPr>
      </w:pPr>
      <w:r>
        <w:rPr>
          <w:rFonts w:hint="eastAsia" w:ascii="宋体" w:hAnsi="宋体"/>
          <w:b/>
          <w:color w:val="auto"/>
          <w:sz w:val="52"/>
        </w:rPr>
        <w:t>目    录</w:t>
      </w:r>
    </w:p>
    <w:p>
      <w:pPr>
        <w:pStyle w:val="27"/>
        <w:tabs>
          <w:tab w:val="right" w:leader="dot" w:pos="9355"/>
        </w:tabs>
        <w:spacing w:line="800" w:lineRule="exact"/>
        <w:rPr>
          <w:rFonts w:ascii="Cambria" w:hAnsi="Cambria"/>
          <w:color w:val="auto"/>
          <w:szCs w:val="24"/>
        </w:rPr>
      </w:pPr>
    </w:p>
    <w:p>
      <w:pPr>
        <w:pStyle w:val="27"/>
        <w:keepNext w:val="0"/>
        <w:keepLines w:val="0"/>
        <w:pageBreakBefore w:val="0"/>
        <w:widowControl/>
        <w:tabs>
          <w:tab w:val="right" w:leader="dot" w:pos="9972"/>
        </w:tabs>
        <w:kinsoku/>
        <w:wordWrap/>
        <w:overflowPunct/>
        <w:topLinePunct w:val="0"/>
        <w:autoSpaceDE/>
        <w:autoSpaceDN/>
        <w:bidi w:val="0"/>
        <w:adjustRightInd/>
        <w:snapToGrid/>
        <w:spacing w:after="0" w:line="800" w:lineRule="exact"/>
        <w:ind w:left="0" w:right="0" w:firstLine="62"/>
        <w:textAlignment w:val="auto"/>
        <w:rPr>
          <w:color w:val="auto"/>
          <w:sz w:val="28"/>
          <w:szCs w:val="32"/>
        </w:rPr>
      </w:pPr>
      <w:r>
        <w:rPr>
          <w:rFonts w:ascii="Cambria" w:hAnsi="Cambria"/>
          <w:color w:val="auto"/>
          <w:sz w:val="44"/>
          <w:szCs w:val="52"/>
        </w:rPr>
        <w:fldChar w:fldCharType="begin"/>
      </w:r>
      <w:r>
        <w:rPr>
          <w:rStyle w:val="84"/>
          <w:rFonts w:ascii="Cambria" w:hAnsi="Cambria"/>
          <w:color w:val="auto"/>
          <w:sz w:val="52"/>
          <w:szCs w:val="52"/>
        </w:rPr>
        <w:instrText xml:space="preserve"> TOC \o "1-3" \h \z \u </w:instrText>
      </w:r>
      <w:r>
        <w:rPr>
          <w:rFonts w:ascii="Cambria" w:hAnsi="Cambria"/>
          <w:color w:val="auto"/>
          <w:sz w:val="44"/>
          <w:szCs w:val="52"/>
        </w:rPr>
        <w:fldChar w:fldCharType="separate"/>
      </w:r>
      <w:r>
        <w:rPr>
          <w:rFonts w:ascii="Cambria" w:hAnsi="Cambria"/>
          <w:color w:val="auto"/>
          <w:sz w:val="28"/>
          <w:szCs w:val="96"/>
        </w:rPr>
        <w:fldChar w:fldCharType="begin"/>
      </w:r>
      <w:r>
        <w:rPr>
          <w:rFonts w:ascii="Cambria" w:hAnsi="Cambria"/>
          <w:color w:val="auto"/>
          <w:sz w:val="28"/>
          <w:szCs w:val="96"/>
        </w:rPr>
        <w:instrText xml:space="preserve"> HYPERLINK \l _Toc15287 </w:instrText>
      </w:r>
      <w:r>
        <w:rPr>
          <w:rFonts w:ascii="Cambria" w:hAnsi="Cambria"/>
          <w:color w:val="auto"/>
          <w:sz w:val="28"/>
          <w:szCs w:val="96"/>
        </w:rPr>
        <w:fldChar w:fldCharType="separate"/>
      </w:r>
      <w:r>
        <w:rPr>
          <w:rFonts w:hint="eastAsia"/>
          <w:color w:val="auto"/>
          <w:sz w:val="28"/>
          <w:szCs w:val="32"/>
        </w:rPr>
        <w:t>第一章</w:t>
      </w:r>
      <w:r>
        <w:rPr>
          <w:rFonts w:hint="eastAsia"/>
          <w:color w:val="auto"/>
          <w:sz w:val="28"/>
          <w:szCs w:val="32"/>
          <w:lang w:val="en-US" w:eastAsia="zh-CN"/>
        </w:rPr>
        <w:t xml:space="preserve">  </w:t>
      </w:r>
      <w:r>
        <w:rPr>
          <w:rFonts w:hint="eastAsia"/>
          <w:color w:val="auto"/>
          <w:sz w:val="28"/>
          <w:szCs w:val="32"/>
        </w:rPr>
        <w:t>招标公告</w:t>
      </w:r>
      <w:r>
        <w:rPr>
          <w:color w:val="auto"/>
          <w:sz w:val="28"/>
          <w:szCs w:val="32"/>
        </w:rPr>
        <w:tab/>
      </w:r>
      <w:r>
        <w:rPr>
          <w:color w:val="auto"/>
          <w:sz w:val="28"/>
          <w:szCs w:val="32"/>
        </w:rPr>
        <w:fldChar w:fldCharType="begin"/>
      </w:r>
      <w:r>
        <w:rPr>
          <w:color w:val="auto"/>
          <w:sz w:val="28"/>
          <w:szCs w:val="32"/>
        </w:rPr>
        <w:instrText xml:space="preserve"> PAGEREF _Toc15287 \h </w:instrText>
      </w:r>
      <w:r>
        <w:rPr>
          <w:color w:val="auto"/>
          <w:sz w:val="28"/>
          <w:szCs w:val="32"/>
        </w:rPr>
        <w:fldChar w:fldCharType="separate"/>
      </w:r>
      <w:r>
        <w:rPr>
          <w:color w:val="auto"/>
          <w:sz w:val="28"/>
          <w:szCs w:val="32"/>
        </w:rPr>
        <w:t>2</w:t>
      </w:r>
      <w:r>
        <w:rPr>
          <w:color w:val="auto"/>
          <w:sz w:val="28"/>
          <w:szCs w:val="32"/>
        </w:rPr>
        <w:fldChar w:fldCharType="end"/>
      </w:r>
      <w:r>
        <w:rPr>
          <w:rFonts w:ascii="Cambria" w:hAnsi="Cambria"/>
          <w:color w:val="auto"/>
          <w:sz w:val="28"/>
          <w:szCs w:val="96"/>
        </w:rPr>
        <w:fldChar w:fldCharType="end"/>
      </w:r>
    </w:p>
    <w:p>
      <w:pPr>
        <w:pStyle w:val="27"/>
        <w:keepNext w:val="0"/>
        <w:keepLines w:val="0"/>
        <w:pageBreakBefore w:val="0"/>
        <w:widowControl/>
        <w:tabs>
          <w:tab w:val="right" w:leader="dot" w:pos="9972"/>
        </w:tabs>
        <w:kinsoku/>
        <w:wordWrap/>
        <w:overflowPunct/>
        <w:topLinePunct w:val="0"/>
        <w:autoSpaceDE/>
        <w:autoSpaceDN/>
        <w:bidi w:val="0"/>
        <w:adjustRightInd/>
        <w:snapToGrid/>
        <w:spacing w:after="0" w:line="800" w:lineRule="exact"/>
        <w:ind w:left="0" w:right="0" w:firstLine="62"/>
        <w:textAlignment w:val="auto"/>
        <w:rPr>
          <w:color w:val="auto"/>
          <w:sz w:val="28"/>
          <w:szCs w:val="32"/>
        </w:rPr>
      </w:pPr>
      <w:r>
        <w:rPr>
          <w:rFonts w:ascii="Cambria" w:hAnsi="Cambria"/>
          <w:color w:val="auto"/>
          <w:sz w:val="28"/>
          <w:szCs w:val="96"/>
        </w:rPr>
        <w:fldChar w:fldCharType="begin"/>
      </w:r>
      <w:r>
        <w:rPr>
          <w:rFonts w:ascii="Cambria" w:hAnsi="Cambria"/>
          <w:color w:val="auto"/>
          <w:sz w:val="28"/>
          <w:szCs w:val="96"/>
        </w:rPr>
        <w:instrText xml:space="preserve"> HYPERLINK \l _Toc17102 </w:instrText>
      </w:r>
      <w:r>
        <w:rPr>
          <w:rFonts w:ascii="Cambria" w:hAnsi="Cambria"/>
          <w:color w:val="auto"/>
          <w:sz w:val="28"/>
          <w:szCs w:val="96"/>
        </w:rPr>
        <w:fldChar w:fldCharType="separate"/>
      </w:r>
      <w:r>
        <w:rPr>
          <w:rFonts w:hint="eastAsia"/>
          <w:color w:val="auto"/>
          <w:sz w:val="28"/>
          <w:szCs w:val="32"/>
        </w:rPr>
        <w:t>第二章</w:t>
      </w:r>
      <w:r>
        <w:rPr>
          <w:rFonts w:hint="eastAsia"/>
          <w:color w:val="auto"/>
          <w:sz w:val="28"/>
          <w:szCs w:val="32"/>
          <w:lang w:val="en-US" w:eastAsia="zh-CN"/>
        </w:rPr>
        <w:t xml:space="preserve">  </w:t>
      </w:r>
      <w:r>
        <w:rPr>
          <w:rFonts w:hint="eastAsia"/>
          <w:color w:val="auto"/>
          <w:sz w:val="28"/>
          <w:szCs w:val="32"/>
        </w:rPr>
        <w:t>投标人须知</w:t>
      </w:r>
      <w:r>
        <w:rPr>
          <w:color w:val="auto"/>
          <w:sz w:val="28"/>
          <w:szCs w:val="32"/>
        </w:rPr>
        <w:tab/>
      </w:r>
      <w:r>
        <w:rPr>
          <w:color w:val="auto"/>
          <w:sz w:val="28"/>
          <w:szCs w:val="32"/>
        </w:rPr>
        <w:fldChar w:fldCharType="begin"/>
      </w:r>
      <w:r>
        <w:rPr>
          <w:color w:val="auto"/>
          <w:sz w:val="28"/>
          <w:szCs w:val="32"/>
        </w:rPr>
        <w:instrText xml:space="preserve"> PAGEREF _Toc17102 \h </w:instrText>
      </w:r>
      <w:r>
        <w:rPr>
          <w:color w:val="auto"/>
          <w:sz w:val="28"/>
          <w:szCs w:val="32"/>
        </w:rPr>
        <w:fldChar w:fldCharType="separate"/>
      </w:r>
      <w:r>
        <w:rPr>
          <w:color w:val="auto"/>
          <w:sz w:val="28"/>
          <w:szCs w:val="32"/>
        </w:rPr>
        <w:t>7</w:t>
      </w:r>
      <w:r>
        <w:rPr>
          <w:color w:val="auto"/>
          <w:sz w:val="28"/>
          <w:szCs w:val="32"/>
        </w:rPr>
        <w:fldChar w:fldCharType="end"/>
      </w:r>
      <w:r>
        <w:rPr>
          <w:rFonts w:ascii="Cambria" w:hAnsi="Cambria"/>
          <w:color w:val="auto"/>
          <w:sz w:val="28"/>
          <w:szCs w:val="96"/>
        </w:rPr>
        <w:fldChar w:fldCharType="end"/>
      </w:r>
    </w:p>
    <w:p>
      <w:pPr>
        <w:pStyle w:val="27"/>
        <w:keepNext w:val="0"/>
        <w:keepLines w:val="0"/>
        <w:pageBreakBefore w:val="0"/>
        <w:widowControl/>
        <w:tabs>
          <w:tab w:val="right" w:leader="dot" w:pos="9972"/>
        </w:tabs>
        <w:kinsoku/>
        <w:wordWrap/>
        <w:overflowPunct/>
        <w:topLinePunct w:val="0"/>
        <w:autoSpaceDE/>
        <w:autoSpaceDN/>
        <w:bidi w:val="0"/>
        <w:adjustRightInd/>
        <w:snapToGrid/>
        <w:spacing w:after="0" w:line="800" w:lineRule="exact"/>
        <w:ind w:left="0" w:right="0" w:firstLine="62"/>
        <w:textAlignment w:val="auto"/>
        <w:rPr>
          <w:color w:val="auto"/>
          <w:sz w:val="28"/>
          <w:szCs w:val="32"/>
        </w:rPr>
      </w:pPr>
      <w:r>
        <w:rPr>
          <w:rFonts w:ascii="Cambria" w:hAnsi="Cambria"/>
          <w:color w:val="auto"/>
          <w:sz w:val="28"/>
          <w:szCs w:val="96"/>
        </w:rPr>
        <w:fldChar w:fldCharType="begin"/>
      </w:r>
      <w:r>
        <w:rPr>
          <w:rFonts w:ascii="Cambria" w:hAnsi="Cambria"/>
          <w:color w:val="auto"/>
          <w:sz w:val="28"/>
          <w:szCs w:val="96"/>
        </w:rPr>
        <w:instrText xml:space="preserve"> HYPERLINK \l _Toc31680 </w:instrText>
      </w:r>
      <w:r>
        <w:rPr>
          <w:rFonts w:ascii="Cambria" w:hAnsi="Cambria"/>
          <w:color w:val="auto"/>
          <w:sz w:val="28"/>
          <w:szCs w:val="96"/>
        </w:rPr>
        <w:fldChar w:fldCharType="separate"/>
      </w:r>
      <w:r>
        <w:rPr>
          <w:rFonts w:hint="eastAsia"/>
          <w:color w:val="auto"/>
          <w:sz w:val="28"/>
          <w:szCs w:val="32"/>
        </w:rPr>
        <w:t>第三章</w:t>
      </w:r>
      <w:r>
        <w:rPr>
          <w:rFonts w:hint="eastAsia"/>
          <w:color w:val="auto"/>
          <w:sz w:val="28"/>
          <w:szCs w:val="32"/>
          <w:lang w:val="en-US" w:eastAsia="zh-CN"/>
        </w:rPr>
        <w:t xml:space="preserve">  </w:t>
      </w:r>
      <w:r>
        <w:rPr>
          <w:rFonts w:hint="eastAsia"/>
          <w:color w:val="auto"/>
          <w:sz w:val="28"/>
          <w:szCs w:val="32"/>
        </w:rPr>
        <w:t>评标办法（综合评分法）</w:t>
      </w:r>
      <w:r>
        <w:rPr>
          <w:color w:val="auto"/>
          <w:sz w:val="28"/>
          <w:szCs w:val="32"/>
        </w:rPr>
        <w:tab/>
      </w:r>
      <w:r>
        <w:rPr>
          <w:color w:val="auto"/>
          <w:sz w:val="28"/>
          <w:szCs w:val="32"/>
        </w:rPr>
        <w:fldChar w:fldCharType="begin"/>
      </w:r>
      <w:r>
        <w:rPr>
          <w:color w:val="auto"/>
          <w:sz w:val="28"/>
          <w:szCs w:val="32"/>
        </w:rPr>
        <w:instrText xml:space="preserve"> PAGEREF _Toc31680 \h </w:instrText>
      </w:r>
      <w:r>
        <w:rPr>
          <w:color w:val="auto"/>
          <w:sz w:val="28"/>
          <w:szCs w:val="32"/>
        </w:rPr>
        <w:fldChar w:fldCharType="separate"/>
      </w:r>
      <w:r>
        <w:rPr>
          <w:color w:val="auto"/>
          <w:sz w:val="28"/>
          <w:szCs w:val="32"/>
        </w:rPr>
        <w:t>19</w:t>
      </w:r>
      <w:r>
        <w:rPr>
          <w:color w:val="auto"/>
          <w:sz w:val="28"/>
          <w:szCs w:val="32"/>
        </w:rPr>
        <w:fldChar w:fldCharType="end"/>
      </w:r>
      <w:r>
        <w:rPr>
          <w:rFonts w:ascii="Cambria" w:hAnsi="Cambria"/>
          <w:color w:val="auto"/>
          <w:sz w:val="28"/>
          <w:szCs w:val="96"/>
        </w:rPr>
        <w:fldChar w:fldCharType="end"/>
      </w:r>
    </w:p>
    <w:p>
      <w:pPr>
        <w:pStyle w:val="27"/>
        <w:keepNext w:val="0"/>
        <w:keepLines w:val="0"/>
        <w:pageBreakBefore w:val="0"/>
        <w:widowControl/>
        <w:tabs>
          <w:tab w:val="right" w:leader="dot" w:pos="9972"/>
        </w:tabs>
        <w:kinsoku/>
        <w:wordWrap/>
        <w:overflowPunct/>
        <w:topLinePunct w:val="0"/>
        <w:autoSpaceDE/>
        <w:autoSpaceDN/>
        <w:bidi w:val="0"/>
        <w:adjustRightInd/>
        <w:snapToGrid/>
        <w:spacing w:after="0" w:line="800" w:lineRule="exact"/>
        <w:ind w:left="0" w:right="0" w:firstLine="62"/>
        <w:textAlignment w:val="auto"/>
        <w:rPr>
          <w:color w:val="auto"/>
          <w:sz w:val="28"/>
          <w:szCs w:val="32"/>
        </w:rPr>
      </w:pPr>
      <w:r>
        <w:rPr>
          <w:rFonts w:ascii="Cambria" w:hAnsi="Cambria"/>
          <w:color w:val="auto"/>
          <w:sz w:val="28"/>
          <w:szCs w:val="96"/>
        </w:rPr>
        <w:fldChar w:fldCharType="begin"/>
      </w:r>
      <w:r>
        <w:rPr>
          <w:rFonts w:ascii="Cambria" w:hAnsi="Cambria"/>
          <w:color w:val="auto"/>
          <w:sz w:val="28"/>
          <w:szCs w:val="96"/>
        </w:rPr>
        <w:instrText xml:space="preserve"> HYPERLINK \l _Toc18938 </w:instrText>
      </w:r>
      <w:r>
        <w:rPr>
          <w:rFonts w:ascii="Cambria" w:hAnsi="Cambria"/>
          <w:color w:val="auto"/>
          <w:sz w:val="28"/>
          <w:szCs w:val="96"/>
        </w:rPr>
        <w:fldChar w:fldCharType="separate"/>
      </w:r>
      <w:r>
        <w:rPr>
          <w:rFonts w:hint="eastAsia"/>
          <w:color w:val="auto"/>
          <w:sz w:val="28"/>
          <w:szCs w:val="32"/>
          <w:lang w:val="en-US" w:eastAsia="zh-CN"/>
        </w:rPr>
        <w:t>第四章  采购内容及要求</w:t>
      </w:r>
      <w:r>
        <w:rPr>
          <w:color w:val="auto"/>
          <w:sz w:val="28"/>
          <w:szCs w:val="32"/>
        </w:rPr>
        <w:tab/>
      </w:r>
      <w:r>
        <w:rPr>
          <w:color w:val="auto"/>
          <w:sz w:val="28"/>
          <w:szCs w:val="32"/>
        </w:rPr>
        <w:fldChar w:fldCharType="begin"/>
      </w:r>
      <w:r>
        <w:rPr>
          <w:color w:val="auto"/>
          <w:sz w:val="28"/>
          <w:szCs w:val="32"/>
        </w:rPr>
        <w:instrText xml:space="preserve"> PAGEREF _Toc18938 \h </w:instrText>
      </w:r>
      <w:r>
        <w:rPr>
          <w:color w:val="auto"/>
          <w:sz w:val="28"/>
          <w:szCs w:val="32"/>
        </w:rPr>
        <w:fldChar w:fldCharType="separate"/>
      </w:r>
      <w:r>
        <w:rPr>
          <w:color w:val="auto"/>
          <w:sz w:val="28"/>
          <w:szCs w:val="32"/>
        </w:rPr>
        <w:t>24</w:t>
      </w:r>
      <w:r>
        <w:rPr>
          <w:color w:val="auto"/>
          <w:sz w:val="28"/>
          <w:szCs w:val="32"/>
        </w:rPr>
        <w:fldChar w:fldCharType="end"/>
      </w:r>
      <w:r>
        <w:rPr>
          <w:rFonts w:ascii="Cambria" w:hAnsi="Cambria"/>
          <w:color w:val="auto"/>
          <w:sz w:val="28"/>
          <w:szCs w:val="96"/>
        </w:rPr>
        <w:fldChar w:fldCharType="end"/>
      </w:r>
    </w:p>
    <w:p>
      <w:pPr>
        <w:pStyle w:val="27"/>
        <w:keepNext w:val="0"/>
        <w:keepLines w:val="0"/>
        <w:pageBreakBefore w:val="0"/>
        <w:widowControl/>
        <w:tabs>
          <w:tab w:val="right" w:leader="dot" w:pos="9972"/>
        </w:tabs>
        <w:kinsoku/>
        <w:wordWrap/>
        <w:overflowPunct/>
        <w:topLinePunct w:val="0"/>
        <w:autoSpaceDE/>
        <w:autoSpaceDN/>
        <w:bidi w:val="0"/>
        <w:adjustRightInd/>
        <w:snapToGrid/>
        <w:spacing w:after="0" w:line="800" w:lineRule="exact"/>
        <w:ind w:left="0" w:right="0" w:firstLine="62"/>
        <w:textAlignment w:val="auto"/>
        <w:rPr>
          <w:color w:val="auto"/>
          <w:sz w:val="28"/>
          <w:szCs w:val="32"/>
        </w:rPr>
      </w:pPr>
      <w:r>
        <w:rPr>
          <w:rFonts w:ascii="Cambria" w:hAnsi="Cambria"/>
          <w:color w:val="auto"/>
          <w:sz w:val="28"/>
          <w:szCs w:val="96"/>
        </w:rPr>
        <w:fldChar w:fldCharType="begin"/>
      </w:r>
      <w:r>
        <w:rPr>
          <w:rFonts w:ascii="Cambria" w:hAnsi="Cambria"/>
          <w:color w:val="auto"/>
          <w:sz w:val="28"/>
          <w:szCs w:val="96"/>
        </w:rPr>
        <w:instrText xml:space="preserve"> HYPERLINK \l _Toc30955 </w:instrText>
      </w:r>
      <w:r>
        <w:rPr>
          <w:rFonts w:ascii="Cambria" w:hAnsi="Cambria"/>
          <w:color w:val="auto"/>
          <w:sz w:val="28"/>
          <w:szCs w:val="96"/>
        </w:rPr>
        <w:fldChar w:fldCharType="separate"/>
      </w:r>
      <w:r>
        <w:rPr>
          <w:rFonts w:hint="eastAsia"/>
          <w:color w:val="auto"/>
          <w:sz w:val="28"/>
          <w:szCs w:val="32"/>
          <w:lang w:val="en-US" w:eastAsia="zh-CN"/>
        </w:rPr>
        <w:t>第五章  合同主要条款及格式</w:t>
      </w:r>
      <w:r>
        <w:rPr>
          <w:color w:val="auto"/>
          <w:sz w:val="28"/>
          <w:szCs w:val="32"/>
        </w:rPr>
        <w:tab/>
      </w:r>
      <w:r>
        <w:rPr>
          <w:color w:val="auto"/>
          <w:sz w:val="28"/>
          <w:szCs w:val="32"/>
        </w:rPr>
        <w:fldChar w:fldCharType="begin"/>
      </w:r>
      <w:r>
        <w:rPr>
          <w:color w:val="auto"/>
          <w:sz w:val="28"/>
          <w:szCs w:val="32"/>
        </w:rPr>
        <w:instrText xml:space="preserve"> PAGEREF _Toc30955 \h </w:instrText>
      </w:r>
      <w:r>
        <w:rPr>
          <w:color w:val="auto"/>
          <w:sz w:val="28"/>
          <w:szCs w:val="32"/>
        </w:rPr>
        <w:fldChar w:fldCharType="separate"/>
      </w:r>
      <w:r>
        <w:rPr>
          <w:color w:val="auto"/>
          <w:sz w:val="28"/>
          <w:szCs w:val="32"/>
        </w:rPr>
        <w:t>24</w:t>
      </w:r>
      <w:r>
        <w:rPr>
          <w:color w:val="auto"/>
          <w:sz w:val="28"/>
          <w:szCs w:val="32"/>
        </w:rPr>
        <w:fldChar w:fldCharType="end"/>
      </w:r>
      <w:r>
        <w:rPr>
          <w:rFonts w:ascii="Cambria" w:hAnsi="Cambria"/>
          <w:color w:val="auto"/>
          <w:sz w:val="28"/>
          <w:szCs w:val="96"/>
        </w:rPr>
        <w:fldChar w:fldCharType="end"/>
      </w:r>
    </w:p>
    <w:p>
      <w:pPr>
        <w:pStyle w:val="27"/>
        <w:keepNext w:val="0"/>
        <w:keepLines w:val="0"/>
        <w:pageBreakBefore w:val="0"/>
        <w:widowControl/>
        <w:tabs>
          <w:tab w:val="right" w:leader="dot" w:pos="9972"/>
        </w:tabs>
        <w:kinsoku/>
        <w:wordWrap/>
        <w:overflowPunct/>
        <w:topLinePunct w:val="0"/>
        <w:autoSpaceDE/>
        <w:autoSpaceDN/>
        <w:bidi w:val="0"/>
        <w:adjustRightInd/>
        <w:snapToGrid/>
        <w:spacing w:after="0" w:line="800" w:lineRule="exact"/>
        <w:ind w:left="0" w:right="0" w:firstLine="62"/>
        <w:textAlignment w:val="auto"/>
        <w:rPr>
          <w:color w:val="auto"/>
          <w:sz w:val="28"/>
          <w:szCs w:val="32"/>
        </w:rPr>
      </w:pPr>
      <w:r>
        <w:rPr>
          <w:rFonts w:ascii="Cambria" w:hAnsi="Cambria"/>
          <w:color w:val="auto"/>
          <w:sz w:val="28"/>
          <w:szCs w:val="96"/>
        </w:rPr>
        <w:fldChar w:fldCharType="begin"/>
      </w:r>
      <w:r>
        <w:rPr>
          <w:rFonts w:ascii="Cambria" w:hAnsi="Cambria"/>
          <w:color w:val="auto"/>
          <w:sz w:val="28"/>
          <w:szCs w:val="96"/>
        </w:rPr>
        <w:instrText xml:space="preserve"> HYPERLINK \l _Toc10637 </w:instrText>
      </w:r>
      <w:r>
        <w:rPr>
          <w:rFonts w:ascii="Cambria" w:hAnsi="Cambria"/>
          <w:color w:val="auto"/>
          <w:sz w:val="28"/>
          <w:szCs w:val="96"/>
        </w:rPr>
        <w:fldChar w:fldCharType="separate"/>
      </w:r>
      <w:r>
        <w:rPr>
          <w:rFonts w:hint="eastAsia"/>
          <w:color w:val="auto"/>
          <w:sz w:val="28"/>
          <w:szCs w:val="32"/>
        </w:rPr>
        <w:t>第</w:t>
      </w:r>
      <w:r>
        <w:rPr>
          <w:rFonts w:hint="eastAsia"/>
          <w:color w:val="auto"/>
          <w:sz w:val="28"/>
          <w:szCs w:val="32"/>
          <w:lang w:val="en-US" w:eastAsia="zh-CN"/>
        </w:rPr>
        <w:t>六</w:t>
      </w:r>
      <w:r>
        <w:rPr>
          <w:rFonts w:hint="eastAsia"/>
          <w:color w:val="auto"/>
          <w:sz w:val="28"/>
          <w:szCs w:val="32"/>
        </w:rPr>
        <w:t>章</w:t>
      </w:r>
      <w:r>
        <w:rPr>
          <w:rFonts w:hint="eastAsia"/>
          <w:color w:val="auto"/>
          <w:sz w:val="28"/>
          <w:szCs w:val="32"/>
          <w:lang w:val="en-US" w:eastAsia="zh-CN"/>
        </w:rPr>
        <w:t xml:space="preserve">  </w:t>
      </w:r>
      <w:r>
        <w:rPr>
          <w:rFonts w:hint="eastAsia"/>
          <w:color w:val="auto"/>
          <w:sz w:val="28"/>
          <w:szCs w:val="32"/>
        </w:rPr>
        <w:t>投标文件格式</w:t>
      </w:r>
      <w:r>
        <w:rPr>
          <w:color w:val="auto"/>
          <w:sz w:val="28"/>
          <w:szCs w:val="32"/>
        </w:rPr>
        <w:tab/>
      </w:r>
      <w:r>
        <w:rPr>
          <w:color w:val="auto"/>
          <w:sz w:val="28"/>
          <w:szCs w:val="32"/>
        </w:rPr>
        <w:fldChar w:fldCharType="begin"/>
      </w:r>
      <w:r>
        <w:rPr>
          <w:color w:val="auto"/>
          <w:sz w:val="28"/>
          <w:szCs w:val="32"/>
        </w:rPr>
        <w:instrText xml:space="preserve"> PAGEREF _Toc10637 \h </w:instrText>
      </w:r>
      <w:r>
        <w:rPr>
          <w:color w:val="auto"/>
          <w:sz w:val="28"/>
          <w:szCs w:val="32"/>
        </w:rPr>
        <w:fldChar w:fldCharType="separate"/>
      </w:r>
      <w:r>
        <w:rPr>
          <w:color w:val="auto"/>
          <w:sz w:val="28"/>
          <w:szCs w:val="32"/>
        </w:rPr>
        <w:t>30</w:t>
      </w:r>
      <w:r>
        <w:rPr>
          <w:color w:val="auto"/>
          <w:sz w:val="28"/>
          <w:szCs w:val="32"/>
        </w:rPr>
        <w:fldChar w:fldCharType="end"/>
      </w:r>
      <w:r>
        <w:rPr>
          <w:rFonts w:ascii="Cambria" w:hAnsi="Cambria"/>
          <w:color w:val="auto"/>
          <w:sz w:val="28"/>
          <w:szCs w:val="96"/>
        </w:rPr>
        <w:fldChar w:fldCharType="end"/>
      </w:r>
    </w:p>
    <w:p>
      <w:pPr>
        <w:pStyle w:val="27"/>
        <w:keepNext w:val="0"/>
        <w:keepLines w:val="0"/>
        <w:pageBreakBefore w:val="0"/>
        <w:widowControl/>
        <w:tabs>
          <w:tab w:val="right" w:leader="dot" w:pos="9972"/>
        </w:tabs>
        <w:kinsoku/>
        <w:wordWrap/>
        <w:overflowPunct/>
        <w:topLinePunct w:val="0"/>
        <w:autoSpaceDE/>
        <w:autoSpaceDN/>
        <w:bidi w:val="0"/>
        <w:adjustRightInd/>
        <w:snapToGrid/>
        <w:spacing w:after="0" w:line="800" w:lineRule="exact"/>
        <w:ind w:left="0" w:right="0" w:firstLine="62"/>
        <w:textAlignment w:val="auto"/>
        <w:rPr>
          <w:color w:val="auto"/>
        </w:rPr>
      </w:pPr>
      <w:r>
        <w:rPr>
          <w:rFonts w:ascii="Cambria" w:hAnsi="Cambria"/>
          <w:color w:val="auto"/>
          <w:sz w:val="28"/>
          <w:szCs w:val="96"/>
        </w:rPr>
        <w:fldChar w:fldCharType="begin"/>
      </w:r>
      <w:r>
        <w:rPr>
          <w:rFonts w:ascii="Cambria" w:hAnsi="Cambria"/>
          <w:color w:val="auto"/>
          <w:sz w:val="28"/>
          <w:szCs w:val="96"/>
        </w:rPr>
        <w:instrText xml:space="preserve"> HYPERLINK \l _Toc31138 </w:instrText>
      </w:r>
      <w:r>
        <w:rPr>
          <w:rFonts w:ascii="Cambria" w:hAnsi="Cambria"/>
          <w:color w:val="auto"/>
          <w:sz w:val="28"/>
          <w:szCs w:val="96"/>
        </w:rPr>
        <w:fldChar w:fldCharType="separate"/>
      </w:r>
      <w:r>
        <w:rPr>
          <w:rFonts w:hint="eastAsia"/>
          <w:color w:val="auto"/>
          <w:sz w:val="28"/>
          <w:szCs w:val="32"/>
          <w:lang w:val="en-US" w:eastAsia="zh-CN"/>
        </w:rPr>
        <w:t xml:space="preserve">第七章  </w:t>
      </w:r>
      <w:r>
        <w:rPr>
          <w:rFonts w:hint="eastAsia"/>
          <w:color w:val="auto"/>
          <w:sz w:val="28"/>
          <w:szCs w:val="32"/>
          <w:lang w:eastAsia="zh-CN"/>
        </w:rPr>
        <w:t>河南省政府采购合同融资政策告知函</w:t>
      </w:r>
      <w:r>
        <w:rPr>
          <w:color w:val="auto"/>
          <w:sz w:val="28"/>
          <w:szCs w:val="32"/>
        </w:rPr>
        <w:tab/>
      </w:r>
      <w:r>
        <w:rPr>
          <w:color w:val="auto"/>
          <w:sz w:val="28"/>
          <w:szCs w:val="32"/>
        </w:rPr>
        <w:fldChar w:fldCharType="begin"/>
      </w:r>
      <w:r>
        <w:rPr>
          <w:color w:val="auto"/>
          <w:sz w:val="28"/>
          <w:szCs w:val="32"/>
        </w:rPr>
        <w:instrText xml:space="preserve"> PAGEREF _Toc31138 \h </w:instrText>
      </w:r>
      <w:r>
        <w:rPr>
          <w:color w:val="auto"/>
          <w:sz w:val="28"/>
          <w:szCs w:val="32"/>
        </w:rPr>
        <w:fldChar w:fldCharType="separate"/>
      </w:r>
      <w:r>
        <w:rPr>
          <w:color w:val="auto"/>
          <w:sz w:val="28"/>
          <w:szCs w:val="32"/>
        </w:rPr>
        <w:t>54</w:t>
      </w:r>
      <w:r>
        <w:rPr>
          <w:color w:val="auto"/>
          <w:sz w:val="28"/>
          <w:szCs w:val="32"/>
        </w:rPr>
        <w:fldChar w:fldCharType="end"/>
      </w:r>
      <w:r>
        <w:rPr>
          <w:rFonts w:ascii="Cambria" w:hAnsi="Cambria"/>
          <w:color w:val="auto"/>
          <w:sz w:val="28"/>
          <w:szCs w:val="96"/>
        </w:rPr>
        <w:fldChar w:fldCharType="end"/>
      </w:r>
    </w:p>
    <w:p>
      <w:pPr>
        <w:keepNext w:val="0"/>
        <w:keepLines w:val="0"/>
        <w:pageBreakBefore w:val="0"/>
        <w:widowControl/>
        <w:tabs>
          <w:tab w:val="right" w:leader="dot" w:pos="8505"/>
          <w:tab w:val="left" w:pos="8647"/>
          <w:tab w:val="left" w:pos="8931"/>
          <w:tab w:val="left" w:pos="9072"/>
        </w:tabs>
        <w:kinsoku/>
        <w:wordWrap/>
        <w:overflowPunct/>
        <w:topLinePunct w:val="0"/>
        <w:autoSpaceDE/>
        <w:autoSpaceDN/>
        <w:bidi w:val="0"/>
        <w:adjustRightInd/>
        <w:snapToGrid/>
        <w:spacing w:line="920" w:lineRule="exact"/>
        <w:ind w:left="0" w:leftChars="0" w:right="0" w:rightChars="0"/>
        <w:textAlignment w:val="auto"/>
        <w:rPr>
          <w:rStyle w:val="84"/>
          <w:rFonts w:hint="eastAsia" w:ascii="Cambria" w:hAnsi="Cambria"/>
          <w:color w:val="auto"/>
          <w:sz w:val="40"/>
          <w:szCs w:val="40"/>
        </w:rPr>
      </w:pPr>
      <w:r>
        <w:rPr>
          <w:rFonts w:ascii="Cambria" w:hAnsi="Cambria"/>
          <w:color w:val="auto"/>
          <w:szCs w:val="52"/>
        </w:rPr>
        <w:fldChar w:fldCharType="end"/>
      </w:r>
    </w:p>
    <w:p>
      <w:pPr>
        <w:pStyle w:val="28"/>
        <w:tabs>
          <w:tab w:val="right" w:leader="dot" w:pos="9360"/>
        </w:tabs>
        <w:jc w:val="center"/>
        <w:rPr>
          <w:color w:val="auto"/>
        </w:rPr>
      </w:pPr>
      <w:r>
        <w:rPr>
          <w:rFonts w:ascii="宋体" w:hAnsi="宋体" w:cs="宋体"/>
          <w:color w:val="auto"/>
        </w:rPr>
        <w:fldChar w:fldCharType="begin"/>
      </w:r>
      <w:r>
        <w:rPr>
          <w:rFonts w:hint="eastAsia" w:ascii="宋体" w:hAnsi="宋体" w:cs="宋体"/>
          <w:color w:val="auto"/>
        </w:rPr>
        <w:instrText xml:space="preserve">TOC \o "1-3" \h \z \u</w:instrText>
      </w:r>
      <w:r>
        <w:rPr>
          <w:rFonts w:ascii="宋体" w:hAnsi="宋体" w:cs="宋体"/>
          <w:color w:val="auto"/>
        </w:rPr>
        <w:fldChar w:fldCharType="separate"/>
      </w:r>
    </w:p>
    <w:p>
      <w:pPr>
        <w:spacing w:line="240" w:lineRule="auto"/>
        <w:rPr>
          <w:rFonts w:ascii="宋体" w:hAnsi="宋体" w:cs="宋体"/>
          <w:color w:val="auto"/>
        </w:rPr>
      </w:pPr>
      <w:r>
        <w:rPr>
          <w:rFonts w:ascii="宋体" w:hAnsi="宋体" w:cs="宋体"/>
          <w:color w:val="auto"/>
        </w:rPr>
        <w:fldChar w:fldCharType="end"/>
      </w:r>
    </w:p>
    <w:p>
      <w:pPr>
        <w:pStyle w:val="2"/>
        <w:keepNext/>
        <w:keepLines/>
        <w:pageBreakBefore w:val="0"/>
        <w:widowControl/>
        <w:kinsoku/>
        <w:wordWrap/>
        <w:overflowPunct/>
        <w:topLinePunct w:val="0"/>
        <w:autoSpaceDE/>
        <w:autoSpaceDN/>
        <w:bidi w:val="0"/>
        <w:adjustRightInd/>
        <w:snapToGrid/>
        <w:spacing w:line="240" w:lineRule="auto"/>
        <w:textAlignment w:val="auto"/>
        <w:rPr>
          <w:rFonts w:hint="eastAsia"/>
          <w:color w:val="auto"/>
        </w:rPr>
        <w:sectPr>
          <w:footerReference r:id="rId12" w:type="first"/>
          <w:footerReference r:id="rId11" w:type="default"/>
          <w:pgSz w:w="11907" w:h="16840"/>
          <w:pgMar w:top="1440" w:right="1080" w:bottom="1440" w:left="1080" w:header="851" w:footer="992" w:gutter="0"/>
          <w:pgNumType w:fmt="decimal" w:start="1"/>
          <w:cols w:space="720" w:num="1"/>
        </w:sectPr>
      </w:pPr>
      <w:bookmarkStart w:id="6" w:name="_Toc15287"/>
      <w:bookmarkStart w:id="7" w:name="_Toc13424"/>
    </w:p>
    <w:p>
      <w:pPr>
        <w:pStyle w:val="2"/>
        <w:keepNext/>
        <w:keepLines/>
        <w:pageBreakBefore w:val="0"/>
        <w:widowControl/>
        <w:kinsoku/>
        <w:wordWrap/>
        <w:overflowPunct/>
        <w:topLinePunct w:val="0"/>
        <w:autoSpaceDE/>
        <w:autoSpaceDN/>
        <w:bidi w:val="0"/>
        <w:adjustRightInd/>
        <w:snapToGrid/>
        <w:spacing w:line="240" w:lineRule="auto"/>
        <w:textAlignment w:val="auto"/>
        <w:rPr>
          <w:color w:val="auto"/>
        </w:rPr>
      </w:pPr>
      <w:r>
        <w:rPr>
          <w:rFonts w:hint="eastAsia"/>
          <w:color w:val="auto"/>
        </w:rPr>
        <w:t>第一章</w:t>
      </w:r>
      <w:r>
        <w:rPr>
          <w:rFonts w:hint="eastAsia"/>
          <w:color w:val="auto"/>
          <w:lang w:val="en-US" w:eastAsia="zh-CN"/>
        </w:rPr>
        <w:t xml:space="preserve">  </w:t>
      </w:r>
      <w:r>
        <w:rPr>
          <w:rFonts w:hint="eastAsia"/>
          <w:color w:val="auto"/>
        </w:rPr>
        <w:t>招标公告</w:t>
      </w:r>
      <w:bookmarkEnd w:id="0"/>
      <w:bookmarkEnd w:id="1"/>
      <w:bookmarkEnd w:id="2"/>
      <w:bookmarkEnd w:id="3"/>
      <w:bookmarkEnd w:id="4"/>
      <w:bookmarkEnd w:id="5"/>
      <w:bookmarkEnd w:id="6"/>
      <w:bookmarkEnd w:id="7"/>
    </w:p>
    <w:p>
      <w:pPr>
        <w:keepNext w:val="0"/>
        <w:keepLines w:val="0"/>
        <w:pageBreakBefore w:val="0"/>
        <w:widowControl/>
        <w:kinsoku/>
        <w:overflowPunct/>
        <w:topLinePunct w:val="0"/>
        <w:autoSpaceDE/>
        <w:autoSpaceDN/>
        <w:bidi w:val="0"/>
        <w:adjustRightInd/>
        <w:snapToGrid/>
        <w:spacing w:line="440" w:lineRule="exact"/>
        <w:ind w:right="0" w:rightChars="0"/>
        <w:jc w:val="center"/>
        <w:textAlignment w:val="auto"/>
        <w:rPr>
          <w:rFonts w:ascii="宋体" w:hAnsi="宋体"/>
          <w:b/>
          <w:color w:val="auto"/>
          <w:sz w:val="28"/>
          <w:szCs w:val="28"/>
        </w:rPr>
      </w:pPr>
      <w:r>
        <w:rPr>
          <w:rFonts w:hint="eastAsia" w:ascii="宋体" w:hAnsi="宋体" w:cs="宋体"/>
          <w:b/>
          <w:bCs/>
          <w:color w:val="auto"/>
          <w:kern w:val="0"/>
          <w:sz w:val="36"/>
          <w:szCs w:val="36"/>
          <w:shd w:val="clear" w:color="auto" w:fill="FFFFFF"/>
          <w:lang w:val="zh-CN" w:eastAsia="zh-CN"/>
        </w:rPr>
        <w:t>2024年光山县农业生产社会化服务项目</w:t>
      </w:r>
      <w:r>
        <w:rPr>
          <w:rFonts w:hint="eastAsia" w:ascii="宋体" w:hAnsi="宋体" w:cs="宋体"/>
          <w:b/>
          <w:bCs/>
          <w:color w:val="auto"/>
          <w:kern w:val="0"/>
          <w:sz w:val="36"/>
          <w:szCs w:val="36"/>
          <w:shd w:val="clear" w:color="auto" w:fill="FFFFFF"/>
        </w:rPr>
        <w:t>招标公告</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b/>
          <w:bCs/>
          <w:color w:val="auto"/>
          <w:szCs w:val="24"/>
        </w:rPr>
      </w:pPr>
      <w:bookmarkStart w:id="8" w:name="OLE_LINK2"/>
      <w:bookmarkStart w:id="9" w:name="OLE_LINK3"/>
      <w:r>
        <w:rPr>
          <w:rFonts w:hint="eastAsia" w:ascii="宋体" w:hAnsi="宋体"/>
          <w:b/>
          <w:bCs/>
          <w:color w:val="auto"/>
          <w:szCs w:val="24"/>
        </w:rPr>
        <w:t>项目概况</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olor w:val="auto"/>
          <w:szCs w:val="24"/>
          <w:lang w:val="en-US"/>
        </w:rPr>
      </w:pPr>
      <w:r>
        <w:rPr>
          <w:rFonts w:hint="eastAsia" w:ascii="宋体" w:hAnsi="宋体"/>
          <w:color w:val="auto"/>
          <w:szCs w:val="24"/>
          <w:lang w:val="zh-CN" w:eastAsia="zh-CN"/>
        </w:rPr>
        <w:t>2024年光山县农业生产社会化服务项目</w:t>
      </w:r>
      <w:r>
        <w:rPr>
          <w:rFonts w:hint="eastAsia" w:ascii="宋体" w:hAnsi="宋体"/>
          <w:color w:val="auto"/>
          <w:szCs w:val="24"/>
        </w:rPr>
        <w:t>的潜在</w:t>
      </w:r>
      <w:r>
        <w:rPr>
          <w:rFonts w:hint="eastAsia" w:ascii="宋体" w:hAnsi="宋体"/>
          <w:color w:val="auto"/>
          <w:szCs w:val="24"/>
          <w:lang w:eastAsia="zh-CN"/>
        </w:rPr>
        <w:t>投标人</w:t>
      </w:r>
      <w:r>
        <w:rPr>
          <w:rFonts w:hint="eastAsia" w:ascii="宋体" w:hAnsi="宋体"/>
          <w:color w:val="auto"/>
          <w:szCs w:val="24"/>
        </w:rPr>
        <w:t>应登</w:t>
      </w:r>
      <w:r>
        <w:rPr>
          <w:rFonts w:hint="eastAsia" w:ascii="宋体" w:hAnsi="宋体"/>
          <w:color w:val="auto"/>
          <w:szCs w:val="24"/>
          <w:lang w:val="en-US" w:eastAsia="zh-CN"/>
        </w:rPr>
        <w:t>录</w:t>
      </w:r>
      <w:r>
        <w:rPr>
          <w:rFonts w:hint="eastAsia" w:ascii="宋体" w:hAnsi="宋体"/>
          <w:color w:val="auto"/>
          <w:szCs w:val="24"/>
        </w:rPr>
        <w:t>“全国公共资源交易平台（河南省·信阳市）（https://ggzyjy.xinyang.gov.cn）”网站获取</w:t>
      </w:r>
      <w:r>
        <w:rPr>
          <w:rFonts w:hint="eastAsia" w:ascii="宋体" w:hAnsi="宋体"/>
          <w:color w:val="auto"/>
          <w:szCs w:val="24"/>
          <w:lang w:val="en-US" w:eastAsia="zh-CN"/>
        </w:rPr>
        <w:t>招标</w:t>
      </w:r>
      <w:r>
        <w:rPr>
          <w:rFonts w:hint="eastAsia" w:ascii="宋体" w:hAnsi="宋体"/>
          <w:color w:val="auto"/>
          <w:szCs w:val="24"/>
        </w:rPr>
        <w:t>文件，</w:t>
      </w:r>
      <w:r>
        <w:rPr>
          <w:rFonts w:hint="eastAsia" w:ascii="宋体" w:hAnsi="宋体"/>
          <w:color w:val="auto"/>
          <w:szCs w:val="24"/>
          <w:highlight w:val="none"/>
        </w:rPr>
        <w:t>并于</w:t>
      </w:r>
      <w:r>
        <w:rPr>
          <w:rFonts w:hint="eastAsia" w:ascii="宋体" w:hAnsi="宋体"/>
          <w:color w:val="auto"/>
          <w:szCs w:val="24"/>
          <w:highlight w:val="none"/>
          <w:lang w:eastAsia="zh-CN"/>
        </w:rPr>
        <w:t>2024年</w:t>
      </w:r>
      <w:r>
        <w:rPr>
          <w:rFonts w:hint="eastAsia" w:ascii="宋体" w:hAnsi="宋体"/>
          <w:color w:val="auto"/>
          <w:szCs w:val="24"/>
          <w:highlight w:val="none"/>
          <w:lang w:val="en-US" w:eastAsia="zh-CN"/>
        </w:rPr>
        <w:t>05</w:t>
      </w:r>
      <w:r>
        <w:rPr>
          <w:rFonts w:hint="eastAsia" w:ascii="宋体" w:hAnsi="宋体"/>
          <w:color w:val="auto"/>
          <w:szCs w:val="24"/>
          <w:highlight w:val="none"/>
          <w:lang w:eastAsia="zh-CN"/>
        </w:rPr>
        <w:t>月</w:t>
      </w:r>
      <w:r>
        <w:rPr>
          <w:rFonts w:hint="eastAsia" w:ascii="宋体" w:hAnsi="宋体"/>
          <w:color w:val="auto"/>
          <w:szCs w:val="24"/>
          <w:highlight w:val="none"/>
          <w:lang w:val="en-US" w:eastAsia="zh-CN"/>
        </w:rPr>
        <w:t>14</w:t>
      </w:r>
      <w:r>
        <w:rPr>
          <w:rFonts w:hint="eastAsia" w:ascii="宋体" w:hAnsi="宋体"/>
          <w:color w:val="auto"/>
          <w:szCs w:val="24"/>
          <w:highlight w:val="none"/>
          <w:lang w:eastAsia="zh-CN"/>
        </w:rPr>
        <w:t>日</w:t>
      </w:r>
      <w:r>
        <w:rPr>
          <w:rFonts w:hint="eastAsia" w:ascii="宋体" w:hAnsi="宋体"/>
          <w:color w:val="auto"/>
          <w:szCs w:val="24"/>
          <w:highlight w:val="none"/>
          <w:lang w:val="en-US" w:eastAsia="zh-CN"/>
        </w:rPr>
        <w:t>09</w:t>
      </w:r>
      <w:r>
        <w:rPr>
          <w:rFonts w:hint="eastAsia" w:ascii="宋体" w:hAnsi="宋体"/>
          <w:color w:val="auto"/>
          <w:szCs w:val="24"/>
          <w:highlight w:val="none"/>
        </w:rPr>
        <w:t>时</w:t>
      </w:r>
      <w:r>
        <w:rPr>
          <w:rFonts w:hint="eastAsia" w:ascii="宋体" w:hAnsi="宋体"/>
          <w:color w:val="auto"/>
          <w:szCs w:val="24"/>
          <w:highlight w:val="none"/>
          <w:lang w:val="en-US" w:eastAsia="zh-CN"/>
        </w:rPr>
        <w:t>30</w:t>
      </w:r>
      <w:r>
        <w:rPr>
          <w:rFonts w:hint="eastAsia" w:ascii="宋体" w:hAnsi="宋体"/>
          <w:color w:val="auto"/>
          <w:szCs w:val="24"/>
          <w:highlight w:val="none"/>
        </w:rPr>
        <w:t>分</w:t>
      </w:r>
      <w:r>
        <w:rPr>
          <w:rFonts w:hint="eastAsia" w:ascii="宋体" w:hAnsi="宋体"/>
          <w:color w:val="auto"/>
          <w:szCs w:val="24"/>
        </w:rPr>
        <w:t>（北京时间）前</w:t>
      </w:r>
      <w:r>
        <w:rPr>
          <w:rFonts w:hint="eastAsia" w:ascii="宋体" w:hAnsi="宋体"/>
          <w:color w:val="auto"/>
          <w:szCs w:val="24"/>
          <w:lang w:eastAsia="zh-CN"/>
        </w:rPr>
        <w:t>提</w:t>
      </w:r>
      <w:r>
        <w:rPr>
          <w:rFonts w:hint="eastAsia" w:ascii="宋体" w:hAnsi="宋体"/>
          <w:color w:val="auto"/>
          <w:szCs w:val="24"/>
        </w:rPr>
        <w:t>交</w:t>
      </w:r>
      <w:r>
        <w:rPr>
          <w:rFonts w:hint="eastAsia" w:ascii="宋体" w:hAnsi="宋体"/>
          <w:color w:val="auto"/>
          <w:szCs w:val="24"/>
          <w:lang w:val="en-US" w:eastAsia="zh-CN"/>
        </w:rPr>
        <w:t>投标</w:t>
      </w:r>
      <w:r>
        <w:rPr>
          <w:rFonts w:hint="eastAsia" w:ascii="宋体" w:hAnsi="宋体"/>
          <w:color w:val="auto"/>
          <w:szCs w:val="24"/>
        </w:rPr>
        <w:t>文件。</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bCs/>
          <w:color w:val="auto"/>
          <w:szCs w:val="24"/>
          <w:lang w:val="en-US" w:eastAsia="zh-CN"/>
        </w:rPr>
      </w:pPr>
      <w:r>
        <w:rPr>
          <w:rFonts w:hint="eastAsia" w:ascii="宋体" w:hAnsi="宋体"/>
          <w:b/>
          <w:bCs/>
          <w:color w:val="auto"/>
          <w:szCs w:val="24"/>
        </w:rPr>
        <w:t>一、项目基本情况</w:t>
      </w:r>
      <w:r>
        <w:rPr>
          <w:rFonts w:hint="eastAsia" w:ascii="宋体" w:hAnsi="宋体"/>
          <w:b/>
          <w:bCs/>
          <w:color w:val="auto"/>
          <w:szCs w:val="24"/>
          <w:lang w:eastAsia="zh-CN"/>
        </w:rPr>
        <w:t>：</w:t>
      </w:r>
    </w:p>
    <w:p>
      <w:pPr>
        <w:keepNext w:val="0"/>
        <w:keepLines w:val="0"/>
        <w:pageBreakBefore w:val="0"/>
        <w:widowControl/>
        <w:tabs>
          <w:tab w:val="left" w:pos="4860"/>
        </w:tabs>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Cs/>
          <w:color w:val="auto"/>
          <w:kern w:val="0"/>
          <w:szCs w:val="24"/>
          <w:highlight w:val="yellow"/>
          <w:shd w:val="clear" w:color="auto" w:fill="FFFFFF"/>
          <w:lang w:val="en-US" w:eastAsia="zh-CN"/>
        </w:rPr>
      </w:pPr>
      <w:bookmarkStart w:id="10" w:name="OLE_LINK1"/>
      <w:r>
        <w:rPr>
          <w:rFonts w:hint="eastAsia" w:ascii="宋体" w:hAnsi="宋体" w:cs="宋体"/>
          <w:bCs/>
          <w:color w:val="auto"/>
          <w:kern w:val="0"/>
          <w:szCs w:val="24"/>
          <w:shd w:val="clear" w:color="auto" w:fill="FFFFFF"/>
        </w:rPr>
        <w:t>1、项目编号：</w:t>
      </w:r>
      <w:r>
        <w:rPr>
          <w:rFonts w:hint="eastAsia" w:ascii="宋体" w:hAnsi="宋体" w:cs="宋体"/>
          <w:bCs/>
          <w:color w:val="auto"/>
          <w:kern w:val="0"/>
          <w:szCs w:val="24"/>
          <w:highlight w:val="none"/>
          <w:shd w:val="clear" w:color="auto" w:fill="FFFFFF"/>
          <w:lang w:val="en-US" w:eastAsia="zh-CN"/>
        </w:rPr>
        <w:t>光</w:t>
      </w:r>
      <w:r>
        <w:rPr>
          <w:rFonts w:hint="eastAsia" w:ascii="宋体" w:hAnsi="宋体" w:cs="宋体"/>
          <w:bCs/>
          <w:color w:val="auto"/>
          <w:kern w:val="0"/>
          <w:szCs w:val="24"/>
          <w:highlight w:val="none"/>
          <w:shd w:val="clear" w:color="auto" w:fill="FFFFFF"/>
        </w:rPr>
        <w:t>财公开招标-</w:t>
      </w:r>
      <w:r>
        <w:rPr>
          <w:rFonts w:hint="eastAsia" w:ascii="宋体" w:hAnsi="宋体" w:cs="宋体"/>
          <w:bCs/>
          <w:color w:val="auto"/>
          <w:kern w:val="0"/>
          <w:szCs w:val="24"/>
          <w:highlight w:val="none"/>
          <w:shd w:val="clear" w:color="auto" w:fill="FFFFFF"/>
          <w:lang w:eastAsia="zh-CN"/>
        </w:rPr>
        <w:t>2024-</w:t>
      </w:r>
      <w:r>
        <w:rPr>
          <w:rFonts w:hint="eastAsia" w:ascii="宋体" w:hAnsi="宋体" w:cs="宋体"/>
          <w:bCs/>
          <w:color w:val="auto"/>
          <w:kern w:val="0"/>
          <w:szCs w:val="24"/>
          <w:highlight w:val="none"/>
          <w:shd w:val="clear" w:color="auto" w:fill="FFFFFF"/>
          <w:lang w:val="en-US" w:eastAsia="zh-CN"/>
        </w:rPr>
        <w:t>40</w:t>
      </w:r>
      <w:r>
        <w:rPr>
          <w:rFonts w:hint="eastAsia" w:ascii="宋体" w:hAnsi="宋体" w:cs="宋体"/>
          <w:bCs/>
          <w:color w:val="auto"/>
          <w:kern w:val="0"/>
          <w:szCs w:val="24"/>
          <w:highlight w:val="none"/>
          <w:shd w:val="clear" w:color="auto" w:fill="FFFFFF"/>
          <w:lang w:eastAsia="zh-CN"/>
        </w:rPr>
        <w:t xml:space="preserve"> </w:t>
      </w:r>
    </w:p>
    <w:p>
      <w:pPr>
        <w:keepNext w:val="0"/>
        <w:keepLines w:val="0"/>
        <w:pageBreakBefore w:val="0"/>
        <w:widowControl/>
        <w:tabs>
          <w:tab w:val="left" w:pos="4860"/>
        </w:tabs>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Cs/>
          <w:color w:val="auto"/>
          <w:kern w:val="0"/>
          <w:szCs w:val="24"/>
          <w:shd w:val="clear" w:color="auto" w:fill="FFFFFF"/>
          <w:lang w:eastAsia="zh-CN"/>
        </w:rPr>
      </w:pPr>
      <w:r>
        <w:rPr>
          <w:rFonts w:hint="eastAsia" w:ascii="宋体" w:hAnsi="宋体" w:cs="宋体"/>
          <w:bCs/>
          <w:color w:val="auto"/>
          <w:kern w:val="0"/>
          <w:szCs w:val="24"/>
          <w:shd w:val="clear" w:color="auto" w:fill="FFFFFF"/>
        </w:rPr>
        <w:t>2、项目名称：</w:t>
      </w:r>
      <w:r>
        <w:rPr>
          <w:rFonts w:hint="eastAsia" w:ascii="宋体" w:hAnsi="宋体" w:cs="宋体"/>
          <w:bCs/>
          <w:color w:val="auto"/>
          <w:kern w:val="0"/>
          <w:szCs w:val="24"/>
          <w:shd w:val="clear" w:color="auto" w:fill="FFFFFF"/>
          <w:lang w:eastAsia="zh-CN"/>
        </w:rPr>
        <w:t>2024年光山县农业生产社会化服务项目</w:t>
      </w:r>
    </w:p>
    <w:p>
      <w:pPr>
        <w:keepNext w:val="0"/>
        <w:keepLines w:val="0"/>
        <w:pageBreakBefore w:val="0"/>
        <w:widowControl/>
        <w:tabs>
          <w:tab w:val="left" w:pos="4860"/>
        </w:tabs>
        <w:kinsoku/>
        <w:overflowPunct/>
        <w:topLinePunct w:val="0"/>
        <w:autoSpaceDE/>
        <w:autoSpaceDN/>
        <w:bidi w:val="0"/>
        <w:adjustRightInd/>
        <w:snapToGrid/>
        <w:spacing w:line="440" w:lineRule="exact"/>
        <w:ind w:left="0" w:leftChars="0" w:right="0" w:rightChars="0" w:firstLine="480" w:firstLineChars="200"/>
        <w:textAlignment w:val="auto"/>
        <w:rPr>
          <w:rFonts w:hint="default"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3、采购方式：公开招标</w:t>
      </w:r>
    </w:p>
    <w:p>
      <w:pPr>
        <w:keepNext w:val="0"/>
        <w:keepLines w:val="0"/>
        <w:pageBreakBefore w:val="0"/>
        <w:widowControl/>
        <w:tabs>
          <w:tab w:val="left" w:pos="4860"/>
        </w:tabs>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4</w:t>
      </w:r>
      <w:r>
        <w:rPr>
          <w:rFonts w:hint="eastAsia" w:ascii="宋体" w:hAnsi="宋体" w:cs="宋体"/>
          <w:bCs/>
          <w:color w:val="auto"/>
          <w:kern w:val="0"/>
          <w:szCs w:val="24"/>
          <w:shd w:val="clear" w:color="auto" w:fill="FFFFFF"/>
        </w:rPr>
        <w:t>、预算金额：</w:t>
      </w:r>
      <w:r>
        <w:rPr>
          <w:rFonts w:hint="eastAsia" w:ascii="宋体" w:hAnsi="宋体" w:cs="宋体"/>
          <w:bCs/>
          <w:color w:val="auto"/>
          <w:kern w:val="0"/>
          <w:szCs w:val="24"/>
          <w:shd w:val="clear" w:color="auto" w:fill="FFFFFF"/>
          <w:lang w:eastAsia="zh-CN"/>
        </w:rPr>
        <w:t>918</w:t>
      </w:r>
      <w:r>
        <w:rPr>
          <w:rFonts w:hint="eastAsia" w:ascii="宋体" w:hAnsi="宋体" w:cs="宋体"/>
          <w:bCs/>
          <w:color w:val="auto"/>
          <w:kern w:val="0"/>
          <w:szCs w:val="24"/>
          <w:shd w:val="clear" w:color="auto" w:fill="FFFFFF"/>
          <w:lang w:val="en-US" w:eastAsia="zh-CN"/>
        </w:rPr>
        <w:t>万元</w:t>
      </w:r>
    </w:p>
    <w:p>
      <w:pPr>
        <w:keepNext w:val="0"/>
        <w:keepLines w:val="0"/>
        <w:pageBreakBefore w:val="0"/>
        <w:widowControl/>
        <w:tabs>
          <w:tab w:val="left" w:pos="4860"/>
        </w:tabs>
        <w:kinsoku/>
        <w:overflowPunct/>
        <w:topLinePunct w:val="0"/>
        <w:autoSpaceDE/>
        <w:autoSpaceDN/>
        <w:bidi w:val="0"/>
        <w:adjustRightInd/>
        <w:snapToGrid/>
        <w:spacing w:line="440" w:lineRule="exact"/>
        <w:ind w:left="0" w:leftChars="0" w:right="0" w:rightChars="0" w:firstLine="360" w:firstLineChars="150"/>
        <w:textAlignment w:val="auto"/>
        <w:rPr>
          <w:rFonts w:hint="default" w:ascii="宋体" w:hAnsi="宋体"/>
          <w:bCs/>
          <w:color w:val="auto"/>
          <w:szCs w:val="24"/>
          <w:lang w:val="en-US" w:eastAsia="zh-CN"/>
        </w:rPr>
      </w:pPr>
      <w:r>
        <w:rPr>
          <w:rFonts w:hint="eastAsia" w:ascii="宋体" w:hAnsi="宋体"/>
          <w:bCs/>
          <w:color w:val="auto"/>
          <w:szCs w:val="24"/>
        </w:rPr>
        <w:t>最高限价：</w:t>
      </w:r>
      <w:r>
        <w:rPr>
          <w:rFonts w:hint="eastAsia" w:ascii="宋体" w:hAnsi="宋体"/>
          <w:bCs/>
          <w:color w:val="auto"/>
          <w:szCs w:val="24"/>
          <w:lang w:eastAsia="zh-CN"/>
        </w:rPr>
        <w:t>918</w:t>
      </w:r>
      <w:r>
        <w:rPr>
          <w:rFonts w:hint="eastAsia" w:ascii="宋体" w:hAnsi="宋体"/>
          <w:bCs/>
          <w:color w:val="auto"/>
          <w:szCs w:val="24"/>
          <w:lang w:val="en-US" w:eastAsia="zh-CN"/>
        </w:rPr>
        <w:t>万元</w:t>
      </w:r>
    </w:p>
    <w:tbl>
      <w:tblPr>
        <w:tblStyle w:val="34"/>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942"/>
        <w:gridCol w:w="2400"/>
        <w:gridCol w:w="1656"/>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b/>
                <w:bCs/>
                <w:color w:val="auto"/>
                <w:vertAlign w:val="baseline"/>
                <w:lang w:val="en-US" w:eastAsia="zh-CN"/>
              </w:rPr>
            </w:pPr>
            <w:r>
              <w:rPr>
                <w:rFonts w:ascii="宋体" w:hAnsi="宋体" w:eastAsia="宋体" w:cs="宋体"/>
                <w:b/>
                <w:bCs/>
                <w:i w:val="0"/>
                <w:iCs w:val="0"/>
                <w:caps w:val="0"/>
                <w:color w:val="auto"/>
                <w:spacing w:val="0"/>
                <w:kern w:val="0"/>
                <w:sz w:val="21"/>
                <w:szCs w:val="21"/>
                <w:lang w:val="en-US" w:eastAsia="zh-CN" w:bidi="ar"/>
              </w:rPr>
              <w:t>序号</w:t>
            </w:r>
          </w:p>
        </w:tc>
        <w:tc>
          <w:tcPr>
            <w:tcW w:w="29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b/>
                <w:bCs/>
                <w:color w:val="auto"/>
                <w:vertAlign w:val="baseline"/>
                <w:lang w:val="en-US" w:eastAsia="zh-CN"/>
              </w:rPr>
            </w:pPr>
            <w:r>
              <w:rPr>
                <w:rFonts w:ascii="宋体" w:hAnsi="宋体" w:eastAsia="宋体" w:cs="宋体"/>
                <w:b/>
                <w:bCs/>
                <w:i w:val="0"/>
                <w:iCs w:val="0"/>
                <w:caps w:val="0"/>
                <w:color w:val="auto"/>
                <w:spacing w:val="0"/>
                <w:kern w:val="0"/>
                <w:sz w:val="21"/>
                <w:szCs w:val="21"/>
                <w:lang w:val="en-US" w:eastAsia="zh-CN" w:bidi="ar"/>
              </w:rPr>
              <w:t>包号</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b/>
                <w:bCs/>
                <w:color w:val="auto"/>
                <w:vertAlign w:val="baseline"/>
                <w:lang w:val="en-US" w:eastAsia="zh-CN"/>
              </w:rPr>
            </w:pPr>
            <w:r>
              <w:rPr>
                <w:rFonts w:ascii="宋体" w:hAnsi="宋体" w:eastAsia="宋体" w:cs="宋体"/>
                <w:b/>
                <w:bCs/>
                <w:i w:val="0"/>
                <w:iCs w:val="0"/>
                <w:caps w:val="0"/>
                <w:color w:val="auto"/>
                <w:spacing w:val="0"/>
                <w:kern w:val="0"/>
                <w:sz w:val="21"/>
                <w:szCs w:val="21"/>
                <w:lang w:val="en-US" w:eastAsia="zh-CN" w:bidi="ar"/>
              </w:rPr>
              <w:t>包名称</w:t>
            </w:r>
          </w:p>
        </w:tc>
        <w:tc>
          <w:tcPr>
            <w:tcW w:w="16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b/>
                <w:bCs/>
                <w:color w:val="auto"/>
                <w:vertAlign w:val="baseline"/>
                <w:lang w:val="en-US" w:eastAsia="zh-CN"/>
              </w:rPr>
            </w:pPr>
            <w:r>
              <w:rPr>
                <w:rFonts w:ascii="宋体" w:hAnsi="宋体" w:eastAsia="宋体" w:cs="宋体"/>
                <w:b/>
                <w:bCs/>
                <w:i w:val="0"/>
                <w:iCs w:val="0"/>
                <w:caps w:val="0"/>
                <w:color w:val="auto"/>
                <w:spacing w:val="0"/>
                <w:kern w:val="0"/>
                <w:sz w:val="21"/>
                <w:szCs w:val="21"/>
                <w:lang w:val="en-US" w:eastAsia="zh-CN" w:bidi="ar"/>
              </w:rPr>
              <w:t>包预算（元）</w:t>
            </w:r>
          </w:p>
        </w:tc>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120" w:leftChars="0" w:right="0" w:rightChars="0" w:hanging="120" w:hangingChars="57"/>
              <w:jc w:val="center"/>
              <w:textAlignment w:val="auto"/>
              <w:rPr>
                <w:rFonts w:hint="default"/>
                <w:b/>
                <w:bCs/>
                <w:color w:val="auto"/>
                <w:vertAlign w:val="baseline"/>
                <w:lang w:val="en-US" w:eastAsia="zh-CN"/>
              </w:rPr>
            </w:pPr>
            <w:r>
              <w:rPr>
                <w:rFonts w:ascii="宋体" w:hAnsi="宋体" w:eastAsia="宋体" w:cs="宋体"/>
                <w:b/>
                <w:bCs/>
                <w:i w:val="0"/>
                <w:iCs w:val="0"/>
                <w:caps w:val="0"/>
                <w:color w:val="auto"/>
                <w:spacing w:val="0"/>
                <w:kern w:val="0"/>
                <w:sz w:val="21"/>
                <w:szCs w:val="21"/>
                <w:lang w:val="en-US" w:eastAsia="zh-CN" w:bidi="ar"/>
              </w:rPr>
              <w:t>包最高限</w:t>
            </w:r>
            <w:r>
              <w:rPr>
                <w:rFonts w:hint="eastAsia" w:ascii="宋体" w:hAnsi="宋体" w:cs="宋体"/>
                <w:b/>
                <w:bCs/>
                <w:i w:val="0"/>
                <w:iCs w:val="0"/>
                <w:caps w:val="0"/>
                <w:color w:val="auto"/>
                <w:spacing w:val="0"/>
                <w:kern w:val="0"/>
                <w:sz w:val="21"/>
                <w:szCs w:val="21"/>
                <w:lang w:val="en-US" w:eastAsia="zh-CN" w:bidi="ar"/>
              </w:rPr>
              <w:t>价</w:t>
            </w:r>
            <w:r>
              <w:rPr>
                <w:rFonts w:ascii="宋体" w:hAnsi="宋体" w:eastAsia="宋体" w:cs="宋体"/>
                <w:b/>
                <w:bCs/>
                <w:i w:val="0"/>
                <w:iCs w:val="0"/>
                <w:caps w:val="0"/>
                <w:color w:val="auto"/>
                <w:spacing w:val="0"/>
                <w:kern w:val="0"/>
                <w:sz w:val="21"/>
                <w:szCs w:val="21"/>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08" w:type="dxa"/>
            <w:noWrap w:val="0"/>
            <w:vAlign w:val="center"/>
          </w:tcPr>
          <w:p>
            <w:pPr>
              <w:pStyle w:val="48"/>
              <w:keepNext w:val="0"/>
              <w:keepLines w:val="0"/>
              <w:pageBreakBefore w:val="0"/>
              <w:kinsoku/>
              <w:overflowPunct/>
              <w:bidi w:val="0"/>
              <w:spacing w:line="440" w:lineRule="exact"/>
              <w:ind w:left="0" w:leftChars="0"/>
              <w:jc w:val="center"/>
              <w:textAlignment w:val="auto"/>
              <w:rPr>
                <w:rFonts w:hint="default" w:ascii="宋体" w:hAnsi="宋体" w:eastAsia="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1</w:t>
            </w:r>
          </w:p>
        </w:tc>
        <w:tc>
          <w:tcPr>
            <w:tcW w:w="2942" w:type="dxa"/>
            <w:noWrap w:val="0"/>
            <w:vAlign w:val="center"/>
          </w:tcPr>
          <w:p>
            <w:pPr>
              <w:keepNext w:val="0"/>
              <w:keepLines w:val="0"/>
              <w:pageBreakBefore w:val="0"/>
              <w:kinsoku/>
              <w:overflowPunct/>
              <w:bidi w:val="0"/>
              <w:spacing w:line="440" w:lineRule="exact"/>
              <w:ind w:left="0" w:leftChars="0"/>
              <w:jc w:val="both"/>
              <w:textAlignment w:val="auto"/>
              <w:rPr>
                <w:rFonts w:hint="default" w:ascii="宋体" w:hAnsi="宋体" w:eastAsia="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highlight w:val="none"/>
                <w:shd w:val="clear" w:color="auto" w:fill="FFFFFF"/>
                <w:lang w:val="en-US" w:eastAsia="zh-CN" w:bidi="ar-SA"/>
              </w:rPr>
              <w:t>光</w:t>
            </w:r>
            <w:r>
              <w:rPr>
                <w:rFonts w:hint="eastAsia" w:ascii="宋体" w:hAnsi="宋体" w:eastAsia="宋体" w:cs="宋体"/>
                <w:bCs/>
                <w:color w:val="auto"/>
                <w:kern w:val="0"/>
                <w:sz w:val="24"/>
                <w:szCs w:val="24"/>
                <w:highlight w:val="none"/>
                <w:shd w:val="clear" w:color="auto" w:fill="FFFFFF"/>
                <w:lang w:val="en-US" w:eastAsia="zh-CN" w:bidi="ar-SA"/>
              </w:rPr>
              <w:t>财公开招标-</w:t>
            </w:r>
            <w:r>
              <w:rPr>
                <w:rFonts w:hint="eastAsia" w:ascii="宋体" w:hAnsi="宋体" w:cs="宋体"/>
                <w:bCs/>
                <w:color w:val="auto"/>
                <w:kern w:val="0"/>
                <w:sz w:val="24"/>
                <w:szCs w:val="24"/>
                <w:highlight w:val="none"/>
                <w:shd w:val="clear" w:color="auto" w:fill="FFFFFF"/>
                <w:lang w:val="en-US" w:eastAsia="zh-CN" w:bidi="ar-SA"/>
              </w:rPr>
              <w:t xml:space="preserve">2024-40-1 </w:t>
            </w:r>
          </w:p>
        </w:tc>
        <w:tc>
          <w:tcPr>
            <w:tcW w:w="2400" w:type="dxa"/>
            <w:noWrap w:val="0"/>
            <w:vAlign w:val="center"/>
          </w:tcPr>
          <w:p>
            <w:pPr>
              <w:pStyle w:val="48"/>
              <w:keepNext w:val="0"/>
              <w:keepLines w:val="0"/>
              <w:pageBreakBefore w:val="0"/>
              <w:kinsoku/>
              <w:overflowPunct/>
              <w:bidi w:val="0"/>
              <w:spacing w:line="440" w:lineRule="exact"/>
              <w:ind w:left="0" w:leftChars="0"/>
              <w:jc w:val="both"/>
              <w:textAlignment w:val="auto"/>
              <w:rPr>
                <w:rFonts w:hint="default" w:ascii="宋体" w:hAnsi="宋体" w:eastAsia="宋体" w:cs="宋体"/>
                <w:bCs/>
                <w:color w:val="auto"/>
                <w:kern w:val="0"/>
                <w:sz w:val="24"/>
                <w:szCs w:val="24"/>
                <w:shd w:val="clear" w:color="auto" w:fill="FFFFFF"/>
                <w:lang w:val="en-US" w:eastAsia="zh-CN" w:bidi="ar-SA"/>
              </w:rPr>
            </w:pPr>
            <w:r>
              <w:rPr>
                <w:rFonts w:hint="eastAsia"/>
                <w:color w:val="auto"/>
                <w:lang w:val="en-US" w:eastAsia="zh-CN"/>
              </w:rPr>
              <w:t xml:space="preserve">2024年光山县农业生产社会化服务项目1包 </w:t>
            </w:r>
          </w:p>
        </w:tc>
        <w:tc>
          <w:tcPr>
            <w:tcW w:w="1656" w:type="dxa"/>
            <w:noWrap w:val="0"/>
            <w:vAlign w:val="center"/>
          </w:tcPr>
          <w:p>
            <w:pPr>
              <w:pStyle w:val="48"/>
              <w:keepNext w:val="0"/>
              <w:keepLines w:val="0"/>
              <w:pageBreakBefore w:val="0"/>
              <w:kinsoku/>
              <w:overflowPunct/>
              <w:bidi w:val="0"/>
              <w:spacing w:line="440" w:lineRule="exact"/>
              <w:ind w:left="98" w:leftChars="0" w:hanging="98" w:hangingChars="41"/>
              <w:jc w:val="center"/>
              <w:textAlignment w:val="auto"/>
              <w:rPr>
                <w:rFonts w:hint="default" w:ascii="宋体" w:hAnsi="宋体" w:cs="宋体"/>
                <w:bCs/>
                <w:color w:val="auto"/>
                <w:kern w:val="0"/>
                <w:sz w:val="24"/>
                <w:szCs w:val="24"/>
                <w:shd w:val="clear" w:color="auto" w:fill="FFFFFF"/>
                <w:lang w:val="en-US" w:eastAsia="zh-CN" w:bidi="ar-SA"/>
              </w:rPr>
            </w:pPr>
            <w:r>
              <w:rPr>
                <w:rFonts w:hint="default" w:ascii="宋体" w:hAnsi="宋体" w:cs="宋体"/>
                <w:bCs/>
                <w:color w:val="auto"/>
                <w:kern w:val="0"/>
                <w:sz w:val="24"/>
                <w:szCs w:val="24"/>
                <w:shd w:val="clear" w:color="auto" w:fill="FFFFFF"/>
                <w:lang w:val="en-US" w:eastAsia="zh-CN" w:bidi="ar-SA"/>
              </w:rPr>
              <w:t>1400000</w:t>
            </w:r>
          </w:p>
        </w:tc>
        <w:tc>
          <w:tcPr>
            <w:tcW w:w="1906"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08" w:type="dxa"/>
            <w:noWrap w:val="0"/>
            <w:vAlign w:val="center"/>
          </w:tcPr>
          <w:p>
            <w:pPr>
              <w:pStyle w:val="48"/>
              <w:keepNext w:val="0"/>
              <w:keepLines w:val="0"/>
              <w:pageBreakBefore w:val="0"/>
              <w:kinsoku/>
              <w:overflowPunct/>
              <w:bidi w:val="0"/>
              <w:spacing w:line="440" w:lineRule="exact"/>
              <w:ind w:left="0" w:leftChars="0"/>
              <w:jc w:val="center"/>
              <w:textAlignment w:val="auto"/>
              <w:rPr>
                <w:rFonts w:hint="default"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2</w:t>
            </w:r>
          </w:p>
        </w:tc>
        <w:tc>
          <w:tcPr>
            <w:tcW w:w="2942" w:type="dxa"/>
            <w:noWrap w:val="0"/>
            <w:vAlign w:val="center"/>
          </w:tcPr>
          <w:p>
            <w:pPr>
              <w:keepNext w:val="0"/>
              <w:keepLines w:val="0"/>
              <w:pageBreakBefore w:val="0"/>
              <w:kinsoku/>
              <w:overflowPunct/>
              <w:bidi w:val="0"/>
              <w:spacing w:line="440" w:lineRule="exact"/>
              <w:ind w:left="0" w:leftChars="0"/>
              <w:jc w:val="both"/>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光财公开招标-2024-</w:t>
            </w:r>
            <w:r>
              <w:rPr>
                <w:rFonts w:hint="eastAsia" w:ascii="宋体" w:hAnsi="宋体" w:cs="宋体"/>
                <w:bCs/>
                <w:color w:val="auto"/>
                <w:kern w:val="0"/>
                <w:sz w:val="24"/>
                <w:szCs w:val="24"/>
                <w:highlight w:val="none"/>
                <w:shd w:val="clear" w:color="auto" w:fill="FFFFFF"/>
                <w:lang w:val="en-US" w:eastAsia="zh-CN" w:bidi="ar-SA"/>
              </w:rPr>
              <w:t>40</w:t>
            </w:r>
            <w:r>
              <w:rPr>
                <w:rFonts w:hint="eastAsia" w:ascii="宋体" w:hAnsi="宋体" w:eastAsia="宋体" w:cs="宋体"/>
                <w:bCs/>
                <w:color w:val="auto"/>
                <w:kern w:val="0"/>
                <w:sz w:val="24"/>
                <w:szCs w:val="24"/>
                <w:highlight w:val="none"/>
                <w:shd w:val="clear" w:color="auto" w:fill="FFFFFF"/>
                <w:lang w:val="en-US" w:eastAsia="zh-CN" w:bidi="ar-SA"/>
              </w:rPr>
              <w:t>-</w:t>
            </w:r>
            <w:r>
              <w:rPr>
                <w:rFonts w:hint="eastAsia" w:ascii="宋体" w:hAnsi="宋体" w:cs="宋体"/>
                <w:bCs/>
                <w:color w:val="auto"/>
                <w:kern w:val="0"/>
                <w:sz w:val="24"/>
                <w:szCs w:val="24"/>
                <w:highlight w:val="none"/>
                <w:shd w:val="clear" w:color="auto" w:fill="FFFFFF"/>
                <w:lang w:val="en-US" w:eastAsia="zh-CN" w:bidi="ar-SA"/>
              </w:rPr>
              <w:t>2</w:t>
            </w:r>
            <w:r>
              <w:rPr>
                <w:rFonts w:hint="eastAsia" w:ascii="宋体" w:hAnsi="宋体" w:eastAsia="宋体" w:cs="宋体"/>
                <w:bCs/>
                <w:color w:val="auto"/>
                <w:kern w:val="0"/>
                <w:sz w:val="24"/>
                <w:szCs w:val="24"/>
                <w:highlight w:val="none"/>
                <w:shd w:val="clear" w:color="auto" w:fill="FFFFFF"/>
                <w:lang w:val="en-US" w:eastAsia="zh-CN" w:bidi="ar-SA"/>
              </w:rPr>
              <w:t xml:space="preserve"> </w:t>
            </w:r>
          </w:p>
        </w:tc>
        <w:tc>
          <w:tcPr>
            <w:tcW w:w="2400"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eastAsia="宋体" w:cs="宋体"/>
                <w:bCs/>
                <w:color w:val="auto"/>
                <w:kern w:val="0"/>
                <w:sz w:val="24"/>
                <w:szCs w:val="24"/>
                <w:shd w:val="clear" w:color="auto" w:fill="FFFFFF"/>
                <w:lang w:val="en-US" w:eastAsia="zh-CN" w:bidi="ar-SA"/>
              </w:rPr>
            </w:pPr>
            <w:r>
              <w:rPr>
                <w:rFonts w:hint="eastAsia"/>
                <w:color w:val="auto"/>
              </w:rPr>
              <w:t>2024年光山县农业生产社会化服务项目</w:t>
            </w:r>
            <w:r>
              <w:rPr>
                <w:rFonts w:hint="eastAsia"/>
                <w:color w:val="auto"/>
                <w:lang w:val="en-US" w:eastAsia="zh-CN"/>
              </w:rPr>
              <w:t>2包</w:t>
            </w:r>
          </w:p>
        </w:tc>
        <w:tc>
          <w:tcPr>
            <w:tcW w:w="1656" w:type="dxa"/>
            <w:noWrap w:val="0"/>
            <w:vAlign w:val="center"/>
          </w:tcPr>
          <w:p>
            <w:pPr>
              <w:pStyle w:val="48"/>
              <w:keepNext w:val="0"/>
              <w:keepLines w:val="0"/>
              <w:pageBreakBefore w:val="0"/>
              <w:kinsoku/>
              <w:overflowPunct/>
              <w:bidi w:val="0"/>
              <w:spacing w:line="440" w:lineRule="exact"/>
              <w:ind w:left="98" w:leftChars="0" w:hanging="98" w:hangingChars="41"/>
              <w:jc w:val="center"/>
              <w:textAlignment w:val="auto"/>
              <w:rPr>
                <w:rFonts w:hint="default" w:ascii="宋体" w:hAnsi="宋体" w:cs="宋体"/>
                <w:bCs/>
                <w:color w:val="auto"/>
                <w:kern w:val="0"/>
                <w:sz w:val="24"/>
                <w:szCs w:val="24"/>
                <w:shd w:val="clear" w:color="auto" w:fill="FFFFFF"/>
                <w:lang w:val="en-US" w:eastAsia="zh-CN" w:bidi="ar-SA"/>
              </w:rPr>
            </w:pPr>
            <w:r>
              <w:rPr>
                <w:rFonts w:hint="default" w:ascii="宋体" w:hAnsi="宋体" w:cs="宋体"/>
                <w:bCs/>
                <w:color w:val="auto"/>
                <w:kern w:val="0"/>
                <w:sz w:val="24"/>
                <w:szCs w:val="24"/>
                <w:shd w:val="clear" w:color="auto" w:fill="FFFFFF"/>
                <w:lang w:val="en-US" w:eastAsia="zh-CN" w:bidi="ar-SA"/>
              </w:rPr>
              <w:t>2700000</w:t>
            </w:r>
          </w:p>
        </w:tc>
        <w:tc>
          <w:tcPr>
            <w:tcW w:w="1906"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8" w:type="dxa"/>
            <w:noWrap w:val="0"/>
            <w:vAlign w:val="center"/>
          </w:tcPr>
          <w:p>
            <w:pPr>
              <w:pStyle w:val="48"/>
              <w:keepNext w:val="0"/>
              <w:keepLines w:val="0"/>
              <w:pageBreakBefore w:val="0"/>
              <w:kinsoku/>
              <w:overflowPunct/>
              <w:bidi w:val="0"/>
              <w:spacing w:line="440" w:lineRule="exact"/>
              <w:ind w:left="0" w:leftChars="0"/>
              <w:jc w:val="center"/>
              <w:textAlignment w:val="auto"/>
              <w:rPr>
                <w:rFonts w:hint="default"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3</w:t>
            </w:r>
          </w:p>
        </w:tc>
        <w:tc>
          <w:tcPr>
            <w:tcW w:w="2942" w:type="dxa"/>
            <w:noWrap w:val="0"/>
            <w:vAlign w:val="center"/>
          </w:tcPr>
          <w:p>
            <w:pPr>
              <w:keepNext w:val="0"/>
              <w:keepLines w:val="0"/>
              <w:pageBreakBefore w:val="0"/>
              <w:kinsoku/>
              <w:overflowPunct/>
              <w:bidi w:val="0"/>
              <w:spacing w:line="440" w:lineRule="exact"/>
              <w:ind w:left="0" w:leftChars="0"/>
              <w:jc w:val="both"/>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光财公开招标-2024-</w:t>
            </w:r>
            <w:r>
              <w:rPr>
                <w:rFonts w:hint="eastAsia" w:ascii="宋体" w:hAnsi="宋体" w:cs="宋体"/>
                <w:bCs/>
                <w:color w:val="auto"/>
                <w:kern w:val="0"/>
                <w:sz w:val="24"/>
                <w:szCs w:val="24"/>
                <w:highlight w:val="none"/>
                <w:shd w:val="clear" w:color="auto" w:fill="FFFFFF"/>
                <w:lang w:val="en-US" w:eastAsia="zh-CN" w:bidi="ar-SA"/>
              </w:rPr>
              <w:t>40</w:t>
            </w:r>
            <w:r>
              <w:rPr>
                <w:rFonts w:hint="eastAsia" w:ascii="宋体" w:hAnsi="宋体" w:eastAsia="宋体" w:cs="宋体"/>
                <w:bCs/>
                <w:color w:val="auto"/>
                <w:kern w:val="0"/>
                <w:sz w:val="24"/>
                <w:szCs w:val="24"/>
                <w:highlight w:val="none"/>
                <w:shd w:val="clear" w:color="auto" w:fill="FFFFFF"/>
                <w:lang w:val="en-US" w:eastAsia="zh-CN" w:bidi="ar-SA"/>
              </w:rPr>
              <w:t>-</w:t>
            </w:r>
            <w:r>
              <w:rPr>
                <w:rFonts w:hint="eastAsia" w:ascii="宋体" w:hAnsi="宋体" w:cs="宋体"/>
                <w:bCs/>
                <w:color w:val="auto"/>
                <w:kern w:val="0"/>
                <w:sz w:val="24"/>
                <w:szCs w:val="24"/>
                <w:highlight w:val="none"/>
                <w:shd w:val="clear" w:color="auto" w:fill="FFFFFF"/>
                <w:lang w:val="en-US" w:eastAsia="zh-CN" w:bidi="ar-SA"/>
              </w:rPr>
              <w:t>3</w:t>
            </w:r>
            <w:r>
              <w:rPr>
                <w:rFonts w:hint="eastAsia" w:ascii="宋体" w:hAnsi="宋体" w:eastAsia="宋体" w:cs="宋体"/>
                <w:bCs/>
                <w:color w:val="auto"/>
                <w:kern w:val="0"/>
                <w:sz w:val="24"/>
                <w:szCs w:val="24"/>
                <w:highlight w:val="none"/>
                <w:shd w:val="clear" w:color="auto" w:fill="FFFFFF"/>
                <w:lang w:val="en-US" w:eastAsia="zh-CN" w:bidi="ar-SA"/>
              </w:rPr>
              <w:t xml:space="preserve"> </w:t>
            </w:r>
          </w:p>
        </w:tc>
        <w:tc>
          <w:tcPr>
            <w:tcW w:w="2400"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eastAsia="宋体" w:cs="宋体"/>
                <w:bCs/>
                <w:color w:val="auto"/>
                <w:kern w:val="0"/>
                <w:sz w:val="24"/>
                <w:szCs w:val="24"/>
                <w:shd w:val="clear" w:color="auto" w:fill="FFFFFF"/>
                <w:lang w:val="en-US" w:eastAsia="zh-CN" w:bidi="ar-SA"/>
              </w:rPr>
            </w:pPr>
            <w:r>
              <w:rPr>
                <w:rFonts w:hint="eastAsia"/>
                <w:color w:val="auto"/>
              </w:rPr>
              <w:t>2024年光山县农业生产社会化服务项目</w:t>
            </w:r>
            <w:r>
              <w:rPr>
                <w:rFonts w:hint="eastAsia"/>
                <w:color w:val="auto"/>
                <w:lang w:val="en-US" w:eastAsia="zh-CN"/>
              </w:rPr>
              <w:t>3包</w:t>
            </w:r>
          </w:p>
        </w:tc>
        <w:tc>
          <w:tcPr>
            <w:tcW w:w="1656" w:type="dxa"/>
            <w:noWrap w:val="0"/>
            <w:vAlign w:val="center"/>
          </w:tcPr>
          <w:p>
            <w:pPr>
              <w:pStyle w:val="48"/>
              <w:keepNext w:val="0"/>
              <w:keepLines w:val="0"/>
              <w:pageBreakBefore w:val="0"/>
              <w:kinsoku/>
              <w:overflowPunct/>
              <w:bidi w:val="0"/>
              <w:spacing w:line="440" w:lineRule="exact"/>
              <w:ind w:left="98" w:leftChars="0" w:hanging="98" w:hangingChars="41"/>
              <w:jc w:val="center"/>
              <w:textAlignment w:val="auto"/>
              <w:rPr>
                <w:rFonts w:hint="default" w:ascii="宋体" w:hAnsi="宋体" w:cs="宋体"/>
                <w:bCs/>
                <w:color w:val="auto"/>
                <w:kern w:val="0"/>
                <w:sz w:val="24"/>
                <w:szCs w:val="24"/>
                <w:shd w:val="clear" w:color="auto" w:fill="FFFFFF"/>
                <w:lang w:val="en-US" w:eastAsia="zh-CN" w:bidi="ar-SA"/>
              </w:rPr>
            </w:pPr>
            <w:r>
              <w:rPr>
                <w:rFonts w:hint="default" w:ascii="宋体" w:hAnsi="宋体" w:cs="宋体"/>
                <w:bCs/>
                <w:color w:val="auto"/>
                <w:kern w:val="0"/>
                <w:sz w:val="24"/>
                <w:szCs w:val="24"/>
                <w:shd w:val="clear" w:color="auto" w:fill="FFFFFF"/>
                <w:lang w:val="en-US" w:eastAsia="zh-CN" w:bidi="ar-SA"/>
              </w:rPr>
              <w:t>1400000</w:t>
            </w:r>
          </w:p>
        </w:tc>
        <w:tc>
          <w:tcPr>
            <w:tcW w:w="1906"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8" w:type="dxa"/>
            <w:noWrap w:val="0"/>
            <w:vAlign w:val="center"/>
          </w:tcPr>
          <w:p>
            <w:pPr>
              <w:pStyle w:val="48"/>
              <w:keepNext w:val="0"/>
              <w:keepLines w:val="0"/>
              <w:pageBreakBefore w:val="0"/>
              <w:kinsoku/>
              <w:overflowPunct/>
              <w:bidi w:val="0"/>
              <w:spacing w:line="440" w:lineRule="exact"/>
              <w:ind w:left="0" w:leftChars="0"/>
              <w:jc w:val="center"/>
              <w:textAlignment w:val="auto"/>
              <w:rPr>
                <w:rFonts w:hint="default"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4</w:t>
            </w:r>
          </w:p>
        </w:tc>
        <w:tc>
          <w:tcPr>
            <w:tcW w:w="2942" w:type="dxa"/>
            <w:noWrap w:val="0"/>
            <w:vAlign w:val="center"/>
          </w:tcPr>
          <w:p>
            <w:pPr>
              <w:keepNext w:val="0"/>
              <w:keepLines w:val="0"/>
              <w:pageBreakBefore w:val="0"/>
              <w:kinsoku/>
              <w:overflowPunct/>
              <w:bidi w:val="0"/>
              <w:spacing w:line="440" w:lineRule="exact"/>
              <w:ind w:left="0" w:leftChars="0"/>
              <w:jc w:val="both"/>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光财公开招标-2024-</w:t>
            </w:r>
            <w:r>
              <w:rPr>
                <w:rFonts w:hint="eastAsia" w:ascii="宋体" w:hAnsi="宋体" w:cs="宋体"/>
                <w:bCs/>
                <w:color w:val="auto"/>
                <w:kern w:val="0"/>
                <w:sz w:val="24"/>
                <w:szCs w:val="24"/>
                <w:highlight w:val="none"/>
                <w:shd w:val="clear" w:color="auto" w:fill="FFFFFF"/>
                <w:lang w:val="en-US" w:eastAsia="zh-CN" w:bidi="ar-SA"/>
              </w:rPr>
              <w:t>40</w:t>
            </w:r>
            <w:r>
              <w:rPr>
                <w:rFonts w:hint="eastAsia" w:ascii="宋体" w:hAnsi="宋体" w:eastAsia="宋体" w:cs="宋体"/>
                <w:bCs/>
                <w:color w:val="auto"/>
                <w:kern w:val="0"/>
                <w:sz w:val="24"/>
                <w:szCs w:val="24"/>
                <w:highlight w:val="none"/>
                <w:shd w:val="clear" w:color="auto" w:fill="FFFFFF"/>
                <w:lang w:val="en-US" w:eastAsia="zh-CN" w:bidi="ar-SA"/>
              </w:rPr>
              <w:t>-</w:t>
            </w:r>
            <w:r>
              <w:rPr>
                <w:rFonts w:hint="eastAsia" w:ascii="宋体" w:hAnsi="宋体" w:cs="宋体"/>
                <w:bCs/>
                <w:color w:val="auto"/>
                <w:kern w:val="0"/>
                <w:sz w:val="24"/>
                <w:szCs w:val="24"/>
                <w:highlight w:val="none"/>
                <w:shd w:val="clear" w:color="auto" w:fill="FFFFFF"/>
                <w:lang w:val="en-US" w:eastAsia="zh-CN" w:bidi="ar-SA"/>
              </w:rPr>
              <w:t>4</w:t>
            </w:r>
            <w:r>
              <w:rPr>
                <w:rFonts w:hint="eastAsia" w:ascii="宋体" w:hAnsi="宋体" w:eastAsia="宋体" w:cs="宋体"/>
                <w:bCs/>
                <w:color w:val="auto"/>
                <w:kern w:val="0"/>
                <w:sz w:val="24"/>
                <w:szCs w:val="24"/>
                <w:highlight w:val="none"/>
                <w:shd w:val="clear" w:color="auto" w:fill="FFFFFF"/>
                <w:lang w:val="en-US" w:eastAsia="zh-CN" w:bidi="ar-SA"/>
              </w:rPr>
              <w:t xml:space="preserve"> </w:t>
            </w:r>
          </w:p>
        </w:tc>
        <w:tc>
          <w:tcPr>
            <w:tcW w:w="2400"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eastAsia="宋体" w:cs="宋体"/>
                <w:bCs/>
                <w:color w:val="auto"/>
                <w:kern w:val="0"/>
                <w:sz w:val="24"/>
                <w:szCs w:val="24"/>
                <w:shd w:val="clear" w:color="auto" w:fill="FFFFFF"/>
                <w:lang w:val="en-US" w:eastAsia="zh-CN" w:bidi="ar-SA"/>
              </w:rPr>
            </w:pPr>
            <w:r>
              <w:rPr>
                <w:rFonts w:hint="eastAsia"/>
                <w:color w:val="auto"/>
              </w:rPr>
              <w:t>2024年光山县农业生产社会化服务项目</w:t>
            </w:r>
            <w:r>
              <w:rPr>
                <w:rFonts w:hint="eastAsia"/>
                <w:color w:val="auto"/>
                <w:lang w:val="en-US" w:eastAsia="zh-CN"/>
              </w:rPr>
              <w:t>4包</w:t>
            </w:r>
          </w:p>
        </w:tc>
        <w:tc>
          <w:tcPr>
            <w:tcW w:w="1656" w:type="dxa"/>
            <w:noWrap w:val="0"/>
            <w:vAlign w:val="center"/>
          </w:tcPr>
          <w:p>
            <w:pPr>
              <w:pStyle w:val="48"/>
              <w:keepNext w:val="0"/>
              <w:keepLines w:val="0"/>
              <w:pageBreakBefore w:val="0"/>
              <w:kinsoku/>
              <w:overflowPunct/>
              <w:bidi w:val="0"/>
              <w:spacing w:line="440" w:lineRule="exact"/>
              <w:ind w:left="98" w:leftChars="0" w:hanging="98" w:hangingChars="41"/>
              <w:jc w:val="center"/>
              <w:textAlignment w:val="auto"/>
              <w:rPr>
                <w:rFonts w:hint="default" w:ascii="宋体" w:hAnsi="宋体" w:cs="宋体"/>
                <w:bCs/>
                <w:color w:val="auto"/>
                <w:kern w:val="0"/>
                <w:sz w:val="24"/>
                <w:szCs w:val="24"/>
                <w:shd w:val="clear" w:color="auto" w:fill="FFFFFF"/>
                <w:lang w:val="en-US" w:eastAsia="zh-CN" w:bidi="ar-SA"/>
              </w:rPr>
            </w:pPr>
            <w:r>
              <w:rPr>
                <w:rFonts w:hint="default" w:ascii="宋体" w:hAnsi="宋体" w:cs="宋体"/>
                <w:bCs/>
                <w:color w:val="auto"/>
                <w:kern w:val="0"/>
                <w:sz w:val="24"/>
                <w:szCs w:val="24"/>
                <w:shd w:val="clear" w:color="auto" w:fill="FFFFFF"/>
                <w:lang w:val="en-US" w:eastAsia="zh-CN" w:bidi="ar-SA"/>
              </w:rPr>
              <w:t>1400000</w:t>
            </w:r>
          </w:p>
        </w:tc>
        <w:tc>
          <w:tcPr>
            <w:tcW w:w="1906"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8" w:type="dxa"/>
            <w:noWrap w:val="0"/>
            <w:vAlign w:val="center"/>
          </w:tcPr>
          <w:p>
            <w:pPr>
              <w:pStyle w:val="48"/>
              <w:keepNext w:val="0"/>
              <w:keepLines w:val="0"/>
              <w:pageBreakBefore w:val="0"/>
              <w:kinsoku/>
              <w:overflowPunct/>
              <w:bidi w:val="0"/>
              <w:spacing w:line="440" w:lineRule="exact"/>
              <w:ind w:left="0" w:leftChars="0"/>
              <w:jc w:val="center"/>
              <w:textAlignment w:val="auto"/>
              <w:rPr>
                <w:rFonts w:hint="default"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5</w:t>
            </w:r>
          </w:p>
        </w:tc>
        <w:tc>
          <w:tcPr>
            <w:tcW w:w="2942" w:type="dxa"/>
            <w:noWrap w:val="0"/>
            <w:vAlign w:val="center"/>
          </w:tcPr>
          <w:p>
            <w:pPr>
              <w:keepNext w:val="0"/>
              <w:keepLines w:val="0"/>
              <w:pageBreakBefore w:val="0"/>
              <w:kinsoku/>
              <w:overflowPunct/>
              <w:bidi w:val="0"/>
              <w:spacing w:line="440" w:lineRule="exact"/>
              <w:ind w:left="0" w:leftChars="0"/>
              <w:jc w:val="both"/>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光财公开招标-2024-</w:t>
            </w:r>
            <w:r>
              <w:rPr>
                <w:rFonts w:hint="eastAsia" w:ascii="宋体" w:hAnsi="宋体" w:cs="宋体"/>
                <w:bCs/>
                <w:color w:val="auto"/>
                <w:kern w:val="0"/>
                <w:sz w:val="24"/>
                <w:szCs w:val="24"/>
                <w:highlight w:val="none"/>
                <w:shd w:val="clear" w:color="auto" w:fill="FFFFFF"/>
                <w:lang w:val="en-US" w:eastAsia="zh-CN" w:bidi="ar-SA"/>
              </w:rPr>
              <w:t>40</w:t>
            </w:r>
            <w:r>
              <w:rPr>
                <w:rFonts w:hint="eastAsia" w:ascii="宋体" w:hAnsi="宋体" w:eastAsia="宋体" w:cs="宋体"/>
                <w:bCs/>
                <w:color w:val="auto"/>
                <w:kern w:val="0"/>
                <w:sz w:val="24"/>
                <w:szCs w:val="24"/>
                <w:highlight w:val="none"/>
                <w:shd w:val="clear" w:color="auto" w:fill="FFFFFF"/>
                <w:lang w:val="en-US" w:eastAsia="zh-CN" w:bidi="ar-SA"/>
              </w:rPr>
              <w:t>-</w:t>
            </w:r>
            <w:r>
              <w:rPr>
                <w:rFonts w:hint="eastAsia" w:ascii="宋体" w:hAnsi="宋体" w:cs="宋体"/>
                <w:bCs/>
                <w:color w:val="auto"/>
                <w:kern w:val="0"/>
                <w:sz w:val="24"/>
                <w:szCs w:val="24"/>
                <w:highlight w:val="none"/>
                <w:shd w:val="clear" w:color="auto" w:fill="FFFFFF"/>
                <w:lang w:val="en-US" w:eastAsia="zh-CN" w:bidi="ar-SA"/>
              </w:rPr>
              <w:t>5</w:t>
            </w:r>
            <w:r>
              <w:rPr>
                <w:rFonts w:hint="eastAsia" w:ascii="宋体" w:hAnsi="宋体" w:eastAsia="宋体" w:cs="宋体"/>
                <w:bCs/>
                <w:color w:val="auto"/>
                <w:kern w:val="0"/>
                <w:sz w:val="24"/>
                <w:szCs w:val="24"/>
                <w:highlight w:val="none"/>
                <w:shd w:val="clear" w:color="auto" w:fill="FFFFFF"/>
                <w:lang w:val="en-US" w:eastAsia="zh-CN" w:bidi="ar-SA"/>
              </w:rPr>
              <w:t xml:space="preserve"> </w:t>
            </w:r>
          </w:p>
        </w:tc>
        <w:tc>
          <w:tcPr>
            <w:tcW w:w="2400"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eastAsia="宋体" w:cs="宋体"/>
                <w:bCs/>
                <w:color w:val="auto"/>
                <w:kern w:val="0"/>
                <w:sz w:val="24"/>
                <w:szCs w:val="24"/>
                <w:shd w:val="clear" w:color="auto" w:fill="FFFFFF"/>
                <w:lang w:val="en-US" w:eastAsia="zh-CN" w:bidi="ar-SA"/>
              </w:rPr>
            </w:pPr>
            <w:r>
              <w:rPr>
                <w:rFonts w:hint="eastAsia"/>
                <w:color w:val="auto"/>
              </w:rPr>
              <w:t>2024年光山县农业生产社会化服务项目</w:t>
            </w:r>
            <w:r>
              <w:rPr>
                <w:rFonts w:hint="eastAsia"/>
                <w:color w:val="auto"/>
                <w:lang w:val="en-US" w:eastAsia="zh-CN"/>
              </w:rPr>
              <w:t>5包</w:t>
            </w:r>
          </w:p>
        </w:tc>
        <w:tc>
          <w:tcPr>
            <w:tcW w:w="1656" w:type="dxa"/>
            <w:noWrap w:val="0"/>
            <w:vAlign w:val="center"/>
          </w:tcPr>
          <w:p>
            <w:pPr>
              <w:pStyle w:val="48"/>
              <w:keepNext w:val="0"/>
              <w:keepLines w:val="0"/>
              <w:pageBreakBefore w:val="0"/>
              <w:kinsoku/>
              <w:overflowPunct/>
              <w:bidi w:val="0"/>
              <w:spacing w:line="440" w:lineRule="exact"/>
              <w:ind w:left="98" w:leftChars="0" w:hanging="98" w:hangingChars="41"/>
              <w:jc w:val="center"/>
              <w:textAlignment w:val="auto"/>
              <w:rPr>
                <w:rFonts w:hint="default" w:ascii="宋体" w:hAnsi="宋体" w:cs="宋体"/>
                <w:bCs/>
                <w:color w:val="auto"/>
                <w:kern w:val="0"/>
                <w:sz w:val="24"/>
                <w:szCs w:val="24"/>
                <w:shd w:val="clear" w:color="auto" w:fill="FFFFFF"/>
                <w:lang w:val="en-US" w:eastAsia="zh-CN" w:bidi="ar-SA"/>
              </w:rPr>
            </w:pPr>
            <w:r>
              <w:rPr>
                <w:rFonts w:hint="default" w:ascii="宋体" w:hAnsi="宋体" w:cs="宋体"/>
                <w:bCs/>
                <w:color w:val="auto"/>
                <w:kern w:val="0"/>
                <w:sz w:val="24"/>
                <w:szCs w:val="24"/>
                <w:shd w:val="clear" w:color="auto" w:fill="FFFFFF"/>
                <w:lang w:val="en-US" w:eastAsia="zh-CN" w:bidi="ar-SA"/>
              </w:rPr>
              <w:t>228</w:t>
            </w:r>
            <w:r>
              <w:rPr>
                <w:rFonts w:hint="eastAsia" w:ascii="宋体" w:hAnsi="宋体" w:cs="宋体"/>
                <w:bCs/>
                <w:color w:val="auto"/>
                <w:kern w:val="0"/>
                <w:sz w:val="24"/>
                <w:szCs w:val="24"/>
                <w:shd w:val="clear" w:color="auto" w:fill="FFFFFF"/>
                <w:lang w:val="en-US" w:eastAsia="zh-CN" w:bidi="ar-SA"/>
              </w:rPr>
              <w:t>00</w:t>
            </w:r>
            <w:r>
              <w:rPr>
                <w:rFonts w:hint="default" w:ascii="宋体" w:hAnsi="宋体" w:cs="宋体"/>
                <w:bCs/>
                <w:color w:val="auto"/>
                <w:kern w:val="0"/>
                <w:sz w:val="24"/>
                <w:szCs w:val="24"/>
                <w:shd w:val="clear" w:color="auto" w:fill="FFFFFF"/>
                <w:lang w:val="en-US" w:eastAsia="zh-CN" w:bidi="ar-SA"/>
              </w:rPr>
              <w:t>00</w:t>
            </w:r>
          </w:p>
        </w:tc>
        <w:tc>
          <w:tcPr>
            <w:tcW w:w="1906"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2280000</w:t>
            </w:r>
          </w:p>
        </w:tc>
      </w:tr>
    </w:tbl>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ascii="宋体" w:hAnsi="宋体" w:cs="宋体"/>
          <w:bCs/>
          <w:color w:val="auto"/>
          <w:kern w:val="0"/>
          <w:szCs w:val="24"/>
          <w:shd w:val="clear" w:color="auto" w:fill="FFFFFF"/>
        </w:rPr>
      </w:pPr>
      <w:r>
        <w:rPr>
          <w:rFonts w:hint="eastAsia" w:ascii="宋体" w:hAnsi="宋体" w:cs="宋体"/>
          <w:bCs/>
          <w:color w:val="auto"/>
          <w:kern w:val="0"/>
          <w:szCs w:val="24"/>
          <w:shd w:val="clear" w:color="auto" w:fill="FFFFFF"/>
          <w:lang w:val="en-US" w:eastAsia="zh-CN"/>
        </w:rPr>
        <w:t>5</w:t>
      </w:r>
      <w:r>
        <w:rPr>
          <w:rFonts w:hint="eastAsia" w:ascii="宋体" w:hAnsi="宋体" w:cs="宋体"/>
          <w:bCs/>
          <w:color w:val="auto"/>
          <w:kern w:val="0"/>
          <w:szCs w:val="24"/>
          <w:shd w:val="clear" w:color="auto" w:fill="FFFFFF"/>
        </w:rPr>
        <w:t>、采购需求（包括但不限于标的的名称、数量、简要技术需求或服务要求等）</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5.1采购内容：2024年光山县农业社会化服务项目，全县项目实施总面积(加权平均)约 10.05万亩。光山县域内:水稻旋耕、深耕、机插、工厂化育秧及收割服务，小麦和油菜旋耕、深耕、机播、及收割服务服务，具体要求及标准详见招标文件第五章“采购需求”。</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一标段:斛山乡、白雀镇、砖桥镇、泼河镇、槐店乡，作业环节为水稻旋耕、深耕、机插、工厂化育秧及收割服务，面积((加权平均)共约1.51万亩。</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二标段:仙居、马畈、寨河、孙铺、十里，作业环节为水稻旋耕、深耕、机插、工厂化育秧及收割服务，面积(加权平均)共约3.01万亩。</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三标段:晏河乡、文殊乡、南向店乡、北向店乡、罗陈乡、弦山办事处，作业环节为水稻旋耕、深耕、机插、工厂化育秧及收割服务，面积(加权平均)共约1.51万亩。</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四标段:斛山乡、白雀镇、砖桥镇、晏河乡、文殊乡、南向店乡、北向店乡、罗陈乡、弦山办事处，作业环节为小麦和油菜旋耕、深耕、机播及收割服务，面积(加权平均)共约1.51万亩。</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五标段:凉亭乡、泼河镇、槐店乡、十里镇、寨河镇、孙铺镇、仙居乡、马畈镇。作业环节为小麦和油菜旋耕、深耕、机播及收割服务，面积(加权平均)共约2.51万亩。</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cs="宋体"/>
          <w:b/>
          <w:bCs w:val="0"/>
          <w:color w:val="auto"/>
          <w:kern w:val="0"/>
          <w:szCs w:val="24"/>
          <w:shd w:val="clear" w:color="auto" w:fill="FFFFFF"/>
          <w:lang w:val="en-US" w:eastAsia="zh-CN"/>
        </w:rPr>
      </w:pPr>
      <w:r>
        <w:rPr>
          <w:rFonts w:hint="eastAsia" w:ascii="宋体" w:hAnsi="宋体" w:cs="宋体"/>
          <w:b/>
          <w:bCs w:val="0"/>
          <w:color w:val="auto"/>
          <w:kern w:val="0"/>
          <w:szCs w:val="24"/>
          <w:shd w:val="clear" w:color="auto" w:fill="FFFFFF"/>
          <w:lang w:val="en-US" w:eastAsia="zh-CN"/>
        </w:rPr>
        <w:t>(各包根据农业生产季节调整不同环节作业面积，按实际提供服务面积结算)</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default"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5.2 服务期限：</w:t>
      </w:r>
      <w:r>
        <w:rPr>
          <w:rFonts w:hint="eastAsia" w:ascii="宋体" w:hAnsi="宋体" w:cs="宋体"/>
          <w:bCs/>
          <w:color w:val="auto"/>
          <w:kern w:val="0"/>
          <w:szCs w:val="24"/>
          <w:highlight w:val="none"/>
          <w:shd w:val="clear" w:color="auto" w:fill="FFFFFF"/>
          <w:lang w:val="en-US" w:eastAsia="zh-CN"/>
        </w:rPr>
        <w:t>接采购人通知的30日历天</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b w:val="0"/>
          <w:bCs w:val="0"/>
          <w:color w:val="auto"/>
          <w:sz w:val="24"/>
          <w:highlight w:val="none"/>
          <w:lang w:val="en-US" w:eastAsia="zh-CN"/>
        </w:rPr>
      </w:pPr>
      <w:r>
        <w:rPr>
          <w:rFonts w:hint="eastAsia" w:ascii="宋体" w:hAnsi="宋体" w:cs="宋体"/>
          <w:bCs/>
          <w:color w:val="auto"/>
          <w:kern w:val="0"/>
          <w:szCs w:val="24"/>
          <w:shd w:val="clear" w:color="auto" w:fill="FFFFFF"/>
          <w:lang w:val="en-US" w:eastAsia="zh-CN"/>
        </w:rPr>
        <w:t xml:space="preserve">5.3 </w:t>
      </w:r>
      <w:r>
        <w:rPr>
          <w:rFonts w:hint="eastAsia" w:ascii="宋体" w:hAnsi="宋体"/>
          <w:b w:val="0"/>
          <w:bCs w:val="0"/>
          <w:color w:val="auto"/>
          <w:sz w:val="24"/>
          <w:highlight w:val="none"/>
          <w:lang w:val="en-US" w:eastAsia="zh-CN"/>
        </w:rPr>
        <w:t>质量要求：质量合格，符合现行国家技术规范、标准及采购人的要求。</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5.4包段划分：本项目共划分为5个包段；</w:t>
      </w:r>
    </w:p>
    <w:p>
      <w:pPr>
        <w:keepNext w:val="0"/>
        <w:keepLines w:val="0"/>
        <w:pageBreakBefore w:val="0"/>
        <w:widowControl/>
        <w:numPr>
          <w:ilvl w:val="0"/>
          <w:numId w:val="2"/>
        </w:numPr>
        <w:kinsoku/>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bCs/>
          <w:color w:val="auto"/>
          <w:kern w:val="0"/>
          <w:szCs w:val="24"/>
          <w:highlight w:val="none"/>
          <w:shd w:val="clear" w:color="auto" w:fill="FFFFFF"/>
          <w:lang w:val="en-US" w:eastAsia="zh-CN"/>
        </w:rPr>
      </w:pPr>
      <w:r>
        <w:rPr>
          <w:rFonts w:hint="eastAsia" w:ascii="宋体" w:hAnsi="宋体" w:cs="宋体"/>
          <w:bCs/>
          <w:color w:val="auto"/>
          <w:kern w:val="0"/>
          <w:szCs w:val="24"/>
          <w:shd w:val="clear" w:color="auto" w:fill="FFFFFF"/>
          <w:lang w:val="en-US" w:eastAsia="zh-CN"/>
        </w:rPr>
        <w:t>合同履行</w:t>
      </w:r>
      <w:r>
        <w:rPr>
          <w:rFonts w:hint="eastAsia" w:ascii="宋体" w:hAnsi="宋体" w:eastAsia="宋体" w:cs="宋体"/>
          <w:bCs/>
          <w:color w:val="auto"/>
          <w:kern w:val="0"/>
          <w:szCs w:val="24"/>
          <w:shd w:val="clear" w:color="auto" w:fill="FFFFFF"/>
          <w:lang w:val="en-US" w:eastAsia="zh-CN"/>
        </w:rPr>
        <w:t>期限：</w:t>
      </w:r>
      <w:r>
        <w:rPr>
          <w:rFonts w:hint="eastAsia" w:ascii="宋体" w:hAnsi="宋体" w:cs="宋体"/>
          <w:bCs/>
          <w:color w:val="auto"/>
          <w:kern w:val="0"/>
          <w:szCs w:val="24"/>
          <w:highlight w:val="none"/>
          <w:shd w:val="clear" w:color="auto" w:fill="FFFFFF"/>
          <w:lang w:val="en-US" w:eastAsia="zh-CN"/>
        </w:rPr>
        <w:t>同服务期限</w:t>
      </w:r>
    </w:p>
    <w:p>
      <w:pPr>
        <w:keepNext w:val="0"/>
        <w:keepLines w:val="0"/>
        <w:pageBreakBefore w:val="0"/>
        <w:widowControl/>
        <w:numPr>
          <w:ilvl w:val="0"/>
          <w:numId w:val="0"/>
        </w:numPr>
        <w:kinsoku/>
        <w:overflowPunct/>
        <w:topLinePunct w:val="0"/>
        <w:autoSpaceDE/>
        <w:autoSpaceDN/>
        <w:bidi w:val="0"/>
        <w:adjustRightInd/>
        <w:snapToGrid/>
        <w:spacing w:line="440" w:lineRule="exact"/>
        <w:ind w:leftChars="200" w:right="0" w:rightChars="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7、本项目是否接受联合体投标：否</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default"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 xml:space="preserve">8、是否接受进口产品：否 </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0" w:firstLineChars="200"/>
        <w:textAlignment w:val="auto"/>
        <w:rPr>
          <w:rFonts w:hint="default"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9、是否专门面向中小企业：否</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2" w:firstLineChars="200"/>
        <w:textAlignment w:val="auto"/>
        <w:rPr>
          <w:rFonts w:ascii="宋体" w:hAnsi="宋体" w:cs="宋体"/>
          <w:b/>
          <w:color w:val="auto"/>
          <w:kern w:val="0"/>
          <w:szCs w:val="24"/>
          <w:shd w:val="clear" w:color="auto" w:fill="FFFFFF"/>
        </w:rPr>
      </w:pPr>
      <w:r>
        <w:rPr>
          <w:rFonts w:hint="eastAsia" w:ascii="宋体" w:hAnsi="宋体" w:cs="宋体"/>
          <w:b/>
          <w:color w:val="auto"/>
          <w:kern w:val="0"/>
          <w:szCs w:val="24"/>
          <w:shd w:val="clear" w:color="auto" w:fill="FFFFFF"/>
        </w:rPr>
        <w:t>二、申请人的资格要求：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1.1具有独立承担民事责任的能力（提供法人或者其他组织的营业执照等证明文件，自然人的身份证明）；</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1.2具有良好的商业信誉和健全的财务会计制度（供应商须提供2022年度或2023年度经审计的财务审计报告或基本户开户行出具的资信证明）；</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1.3具有履行合同所必需的设备和专业技术能力（提供书面声明，格式自拟）；</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1.4参加政府采购活动前三年内，在经营活动中没有重大违法记录（提供书面声明，格式自拟）；</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1.5法律、行政法规规定的其他条件（提供书面声明，格式自拟）。</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2、落实政府采购政策满足的资格要求：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执行促进中小型企业发展政策（残疾人福利性企业、监狱企业视同小微企业）、优先采购节能环保产品等政府采购政策。</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3、本项目的特定资格要求：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3.1承接项目实施的社会服务主体应有一定的社会化服务经验，原则上从事社会化服务达两年以上，被认定为市级以上(含市级)农业社会化服务示范组织、农民合作社示范社、农业产业化龙头企业、家庭农场等。其它愿意承担社会化服务的组织，需提供国家认可的相应资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3.2拥有与农业社会化服务内容、服务能力相匹配的专业技术人员、场地、专业农业机械和设备等，拖拉机、旋耕机、收割机及其它农业机械设备等5台套以上（需提供农机租赁合同及发票）。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3.3对列入严重失信主体名单、重大税收违法失信主体、政府采购严重违法失信行为记录名单的投标人，经查询有失信记录的将被取消投标资格。查询渠道：“信用中国”网站（www.creditchina.gov.cn）和中国政府采购网（www.ccgp.gov.cn）。【采购人、采购代理机构将信用信息查询记录及相关证据与其他采购文件一并保存。查询截止时间：本项目投标截止时间】。</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3.4供应商与采购人或采购人就本次采购的服务委托的采购代理机构及其附属机构没有行政或经济关联；</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3.5单位负责人为同一人或者存在直接控股、管理关系的不同单位，不得同时参加同一合同项目下的政府采购活动；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3.6本项目采用资格后审方法。</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注：一个供应商只允许中1个包，如有供应商同时为多个包的第一中标候选人，则确定此供应商为其中前一个包的中标人，此供应商中标的其他包则确定第二中标候选人为中标人。如果一个包段第一中标候选人已中前面包，那么确定第二中标候选人为本包中标人，如果第二中标候选人也中标了前面包，那么确定第三中标候选人为本包中标人。以此类推顺延，直至最终确定本包中标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2" w:firstLineChars="200"/>
        <w:textAlignment w:val="auto"/>
        <w:rPr>
          <w:rFonts w:ascii="宋体" w:hAnsi="宋体" w:cs="宋体"/>
          <w:b/>
          <w:bCs/>
          <w:color w:val="auto"/>
          <w:szCs w:val="24"/>
        </w:rPr>
      </w:pPr>
      <w:r>
        <w:rPr>
          <w:rFonts w:hint="eastAsia" w:ascii="宋体" w:hAnsi="宋体" w:cs="宋体"/>
          <w:b/>
          <w:bCs/>
          <w:color w:val="auto"/>
          <w:szCs w:val="24"/>
          <w:lang w:val="en-US" w:eastAsia="zh-CN"/>
        </w:rPr>
        <w:t>三</w:t>
      </w:r>
      <w:r>
        <w:rPr>
          <w:rFonts w:hint="eastAsia" w:ascii="宋体" w:hAnsi="宋体" w:cs="宋体"/>
          <w:b/>
          <w:bCs/>
          <w:color w:val="auto"/>
          <w:szCs w:val="24"/>
        </w:rPr>
        <w:t>、获取招标文件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eastAsia="zh-CN"/>
        </w:rPr>
        <w:t>、</w:t>
      </w:r>
      <w:r>
        <w:rPr>
          <w:rFonts w:hint="eastAsia" w:ascii="宋体" w:hAnsi="宋体" w:cs="宋体"/>
          <w:color w:val="auto"/>
          <w:szCs w:val="24"/>
        </w:rPr>
        <w:t>时间：</w:t>
      </w:r>
      <w:r>
        <w:rPr>
          <w:rFonts w:hint="eastAsia" w:ascii="宋体" w:hAnsi="宋体" w:cs="宋体"/>
          <w:color w:val="auto"/>
          <w:szCs w:val="24"/>
          <w:highlight w:val="none"/>
          <w:lang w:eastAsia="zh-CN"/>
        </w:rPr>
        <w:t>2024年04月</w:t>
      </w:r>
      <w:r>
        <w:rPr>
          <w:rFonts w:hint="eastAsia" w:ascii="宋体" w:hAnsi="宋体" w:cs="宋体"/>
          <w:color w:val="auto"/>
          <w:szCs w:val="24"/>
          <w:highlight w:val="none"/>
          <w:lang w:val="en-US" w:eastAsia="zh-CN"/>
        </w:rPr>
        <w:t>24</w:t>
      </w:r>
      <w:r>
        <w:rPr>
          <w:rFonts w:hint="eastAsia" w:ascii="宋体" w:hAnsi="宋体" w:cs="宋体"/>
          <w:color w:val="auto"/>
          <w:szCs w:val="24"/>
          <w:highlight w:val="none"/>
          <w:lang w:eastAsia="zh-CN"/>
        </w:rPr>
        <w:t>日至2024年04月</w:t>
      </w:r>
      <w:r>
        <w:rPr>
          <w:rFonts w:hint="eastAsia" w:ascii="宋体" w:hAnsi="宋体" w:cs="宋体"/>
          <w:color w:val="auto"/>
          <w:szCs w:val="24"/>
          <w:highlight w:val="none"/>
          <w:lang w:val="en-US" w:eastAsia="zh-CN"/>
        </w:rPr>
        <w:t>30</w:t>
      </w:r>
      <w:bookmarkStart w:id="272" w:name="_GoBack"/>
      <w:bookmarkEnd w:id="272"/>
      <w:r>
        <w:rPr>
          <w:rFonts w:hint="eastAsia" w:ascii="宋体" w:hAnsi="宋体" w:cs="宋体"/>
          <w:color w:val="auto"/>
          <w:szCs w:val="24"/>
          <w:highlight w:val="none"/>
          <w:lang w:eastAsia="zh-CN"/>
        </w:rPr>
        <w:t>日</w:t>
      </w:r>
      <w:r>
        <w:rPr>
          <w:rFonts w:hint="eastAsia" w:ascii="宋体" w:hAnsi="宋体" w:cs="宋体"/>
          <w:color w:val="auto"/>
          <w:szCs w:val="24"/>
        </w:rPr>
        <w:t>，每天上午00:00至12:00，下午12:00至23:59（北京时间，法定节假日除外。）</w:t>
      </w:r>
    </w:p>
    <w:p>
      <w:pPr>
        <w:keepNext w:val="0"/>
        <w:keepLines w:val="0"/>
        <w:pageBreakBefore w:val="0"/>
        <w:widowControl/>
        <w:kinsoku/>
        <w:wordWrap w:val="0"/>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olor w:val="auto"/>
          <w:szCs w:val="24"/>
        </w:rPr>
      </w:pPr>
      <w:r>
        <w:rPr>
          <w:rFonts w:hint="eastAsia" w:ascii="宋体" w:hAnsi="宋体" w:cs="宋体"/>
          <w:color w:val="auto"/>
          <w:szCs w:val="24"/>
        </w:rPr>
        <w:t>2</w:t>
      </w:r>
      <w:r>
        <w:rPr>
          <w:rFonts w:hint="eastAsia" w:ascii="宋体" w:hAnsi="宋体" w:cs="宋体"/>
          <w:color w:val="auto"/>
          <w:szCs w:val="24"/>
          <w:lang w:eastAsia="zh-CN"/>
        </w:rPr>
        <w:t>、</w:t>
      </w:r>
      <w:r>
        <w:rPr>
          <w:rFonts w:hint="eastAsia" w:ascii="宋体" w:hAnsi="宋体"/>
          <w:color w:val="auto"/>
          <w:szCs w:val="24"/>
        </w:rPr>
        <w:t>地点：“全国公共资源交易平台（河南省·信阳市））（https://ggzyjy.xinyang.gov.cn）”网站</w:t>
      </w:r>
    </w:p>
    <w:p>
      <w:pPr>
        <w:keepNext w:val="0"/>
        <w:keepLines w:val="0"/>
        <w:pageBreakBefore w:val="0"/>
        <w:widowControl/>
        <w:kinsoku/>
        <w:wordWrap w:val="0"/>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eastAsia="zh-CN"/>
        </w:rPr>
        <w:t>、</w:t>
      </w:r>
      <w:r>
        <w:rPr>
          <w:rFonts w:hint="eastAsia" w:ascii="宋体" w:hAnsi="宋体" w:cs="宋体"/>
          <w:color w:val="auto"/>
          <w:szCs w:val="24"/>
        </w:rPr>
        <w:t>方式：投标人凭CA数字证书登</w:t>
      </w:r>
      <w:r>
        <w:rPr>
          <w:rFonts w:hint="eastAsia" w:ascii="宋体" w:hAnsi="宋体" w:cs="宋体"/>
          <w:color w:val="auto"/>
          <w:szCs w:val="24"/>
          <w:lang w:val="en-US" w:eastAsia="zh-CN"/>
        </w:rPr>
        <w:t>录</w:t>
      </w:r>
      <w:r>
        <w:rPr>
          <w:rFonts w:hint="eastAsia" w:ascii="宋体" w:hAnsi="宋体" w:cs="宋体"/>
          <w:color w:val="auto"/>
          <w:szCs w:val="24"/>
        </w:rPr>
        <w:t>会员系统后，即可按网上提示下载招标文件(*.XYZF格式)及资料（操作程序详见信阳市公共资源交易中心网站下载中心栏目里投标人操作手册）；招标文件(*.XYZF格式)下载后需使用“信阳市公共资源交易网（</w:t>
      </w:r>
      <w:r>
        <w:rPr>
          <w:rFonts w:hint="eastAsia" w:ascii="宋体" w:hAnsi="宋体"/>
          <w:color w:val="auto"/>
          <w:szCs w:val="24"/>
        </w:rPr>
        <w:t>https://ggzyjy.xinyang.gov.cn</w:t>
      </w:r>
      <w:r>
        <w:rPr>
          <w:rFonts w:hint="eastAsia" w:ascii="宋体" w:hAnsi="宋体" w:cs="宋体"/>
          <w:color w:val="auto"/>
          <w:szCs w:val="24"/>
        </w:rPr>
        <w:t>）”网站下载中心栏目内下载或招标文件领取页面下载的“信阳市投标文件制作工具软件”打开</w:t>
      </w:r>
      <w:r>
        <w:rPr>
          <w:rFonts w:hint="eastAsia" w:ascii="宋体" w:hAnsi="宋体" w:cs="宋体"/>
          <w:color w:val="auto"/>
          <w:szCs w:val="24"/>
          <w:lang w:eastAsia="zh-CN"/>
        </w:rPr>
        <w:t>。</w:t>
      </w:r>
    </w:p>
    <w:p>
      <w:pPr>
        <w:keepNext w:val="0"/>
        <w:keepLines w:val="0"/>
        <w:pageBreakBefore w:val="0"/>
        <w:widowControl/>
        <w:tabs>
          <w:tab w:val="left" w:pos="6054"/>
        </w:tabs>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bCs/>
          <w:color w:val="auto"/>
          <w:szCs w:val="24"/>
          <w:lang w:eastAsia="zh-CN"/>
        </w:rPr>
      </w:pPr>
      <w:r>
        <w:rPr>
          <w:rFonts w:hint="eastAsia" w:ascii="宋体" w:hAnsi="宋体" w:cs="宋体"/>
          <w:b/>
          <w:bCs/>
          <w:color w:val="auto"/>
          <w:szCs w:val="24"/>
          <w:lang w:val="en-US" w:eastAsia="zh-CN"/>
        </w:rPr>
        <w:t>四</w:t>
      </w:r>
      <w:r>
        <w:rPr>
          <w:rFonts w:hint="eastAsia" w:ascii="宋体" w:hAnsi="宋体" w:cs="宋体"/>
          <w:b/>
          <w:bCs/>
          <w:color w:val="auto"/>
          <w:szCs w:val="24"/>
        </w:rPr>
        <w:t>、投标截止时间及地点</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eastAsia="zh-CN"/>
        </w:rPr>
        <w:t>、</w:t>
      </w:r>
      <w:r>
        <w:rPr>
          <w:rFonts w:hint="eastAsia" w:ascii="宋体" w:hAnsi="宋体" w:cs="宋体"/>
          <w:color w:val="auto"/>
          <w:szCs w:val="24"/>
        </w:rPr>
        <w:t>时间：</w:t>
      </w:r>
      <w:r>
        <w:rPr>
          <w:rFonts w:hint="eastAsia" w:ascii="宋体" w:hAnsi="宋体" w:cs="宋体"/>
          <w:color w:val="auto"/>
          <w:szCs w:val="24"/>
          <w:highlight w:val="none"/>
          <w:lang w:eastAsia="zh-CN"/>
        </w:rPr>
        <w:t>2024年</w:t>
      </w:r>
      <w:r>
        <w:rPr>
          <w:rFonts w:hint="eastAsia" w:ascii="宋体" w:hAnsi="宋体" w:cs="宋体"/>
          <w:color w:val="auto"/>
          <w:szCs w:val="24"/>
          <w:highlight w:val="none"/>
          <w:lang w:val="en-US" w:eastAsia="zh-CN"/>
        </w:rPr>
        <w:t>05</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14</w:t>
      </w:r>
      <w:r>
        <w:rPr>
          <w:rFonts w:hint="eastAsia" w:ascii="宋体" w:hAnsi="宋体" w:cs="宋体"/>
          <w:color w:val="auto"/>
          <w:szCs w:val="24"/>
          <w:highlight w:val="none"/>
          <w:lang w:eastAsia="zh-CN"/>
        </w:rPr>
        <w:t>日</w:t>
      </w:r>
      <w:r>
        <w:rPr>
          <w:rFonts w:hint="eastAsia" w:ascii="宋体" w:hAnsi="宋体" w:cs="宋体"/>
          <w:color w:val="auto"/>
          <w:szCs w:val="24"/>
          <w:highlight w:val="none"/>
          <w:lang w:val="en-US" w:eastAsia="zh-CN"/>
        </w:rPr>
        <w:t>09</w:t>
      </w:r>
      <w:r>
        <w:rPr>
          <w:rFonts w:hint="eastAsia" w:ascii="宋体" w:hAnsi="宋体" w:cs="宋体"/>
          <w:color w:val="auto"/>
          <w:szCs w:val="24"/>
          <w:highlight w:val="none"/>
        </w:rPr>
        <w:t>时</w:t>
      </w:r>
      <w:r>
        <w:rPr>
          <w:rFonts w:hint="eastAsia" w:ascii="宋体" w:hAnsi="宋体" w:cs="宋体"/>
          <w:color w:val="auto"/>
          <w:szCs w:val="24"/>
          <w:highlight w:val="none"/>
          <w:lang w:val="en-US" w:eastAsia="zh-CN"/>
        </w:rPr>
        <w:t>30</w:t>
      </w:r>
      <w:r>
        <w:rPr>
          <w:rFonts w:hint="eastAsia" w:ascii="宋体" w:hAnsi="宋体" w:cs="宋体"/>
          <w:color w:val="auto"/>
          <w:szCs w:val="24"/>
          <w:highlight w:val="none"/>
        </w:rPr>
        <w:t>分</w:t>
      </w:r>
      <w:r>
        <w:rPr>
          <w:rFonts w:hint="eastAsia" w:ascii="宋体" w:hAnsi="宋体" w:cs="宋体"/>
          <w:color w:val="auto"/>
          <w:szCs w:val="24"/>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cs="宋体"/>
          <w:color w:val="auto"/>
          <w:szCs w:val="24"/>
          <w:lang w:val="en-US" w:eastAsia="zh-CN"/>
        </w:rPr>
      </w:pPr>
      <w:r>
        <w:rPr>
          <w:rFonts w:hint="eastAsia" w:ascii="宋体" w:hAnsi="宋体" w:cs="宋体"/>
          <w:color w:val="auto"/>
          <w:szCs w:val="24"/>
        </w:rPr>
        <w:t>2</w:t>
      </w:r>
      <w:r>
        <w:rPr>
          <w:rFonts w:hint="eastAsia" w:ascii="宋体" w:hAnsi="宋体" w:cs="宋体"/>
          <w:color w:val="auto"/>
          <w:szCs w:val="24"/>
          <w:lang w:eastAsia="zh-CN"/>
        </w:rPr>
        <w:t>、</w:t>
      </w:r>
      <w:r>
        <w:rPr>
          <w:rFonts w:hint="eastAsia" w:ascii="宋体" w:hAnsi="宋体" w:cs="宋体"/>
          <w:color w:val="auto"/>
          <w:szCs w:val="24"/>
        </w:rPr>
        <w:t>地点：</w:t>
      </w:r>
      <w:r>
        <w:rPr>
          <w:rFonts w:hint="eastAsia" w:ascii="宋体" w:hAnsi="宋体" w:cs="宋体"/>
          <w:color w:val="auto"/>
          <w:szCs w:val="24"/>
          <w:lang w:val="en-US" w:eastAsia="zh-CN"/>
        </w:rPr>
        <w:t>《信阳市公共资源交易网（</w:t>
      </w:r>
      <w:r>
        <w:rPr>
          <w:rFonts w:hint="eastAsia" w:ascii="宋体" w:hAnsi="宋体" w:cs="宋体"/>
          <w:color w:val="auto"/>
          <w:szCs w:val="24"/>
          <w:lang w:eastAsia="zh-CN"/>
        </w:rPr>
        <w:t>https://ggzyjy.xinyang.gov.cn</w:t>
      </w:r>
      <w:r>
        <w:rPr>
          <w:rFonts w:hint="eastAsia" w:ascii="宋体" w:hAnsi="宋体" w:cs="宋体"/>
          <w:color w:val="auto"/>
          <w:szCs w:val="24"/>
          <w:lang w:val="en-US" w:eastAsia="zh-CN"/>
        </w:rPr>
        <w:t>）》电子招投标平台会员系统指定位置。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2" w:firstLineChars="200"/>
        <w:textAlignment w:val="auto"/>
        <w:rPr>
          <w:rFonts w:ascii="宋体" w:hAnsi="宋体" w:cs="宋体"/>
          <w:b/>
          <w:bCs/>
          <w:color w:val="auto"/>
          <w:szCs w:val="24"/>
        </w:rPr>
      </w:pPr>
      <w:r>
        <w:rPr>
          <w:rFonts w:hint="eastAsia" w:ascii="宋体" w:hAnsi="宋体" w:cs="宋体"/>
          <w:b/>
          <w:bCs/>
          <w:color w:val="auto"/>
          <w:szCs w:val="24"/>
          <w:lang w:val="en-US" w:eastAsia="zh-CN"/>
        </w:rPr>
        <w:t>五</w:t>
      </w:r>
      <w:r>
        <w:rPr>
          <w:rFonts w:hint="eastAsia" w:ascii="宋体" w:hAnsi="宋体" w:cs="宋体"/>
          <w:b/>
          <w:bCs/>
          <w:color w:val="auto"/>
          <w:szCs w:val="24"/>
        </w:rPr>
        <w:t>、开标时间及地点</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eastAsia="zh-CN"/>
        </w:rPr>
        <w:t>、</w:t>
      </w:r>
      <w:r>
        <w:rPr>
          <w:rFonts w:hint="eastAsia" w:ascii="宋体" w:hAnsi="宋体" w:cs="宋体"/>
          <w:color w:val="auto"/>
          <w:szCs w:val="24"/>
        </w:rPr>
        <w:t>时间：</w:t>
      </w:r>
      <w:r>
        <w:rPr>
          <w:rFonts w:hint="eastAsia" w:ascii="宋体" w:hAnsi="宋体" w:cs="宋体"/>
          <w:color w:val="auto"/>
          <w:szCs w:val="24"/>
          <w:highlight w:val="none"/>
          <w:lang w:eastAsia="zh-CN"/>
        </w:rPr>
        <w:t>2024年</w:t>
      </w:r>
      <w:r>
        <w:rPr>
          <w:rFonts w:hint="eastAsia" w:ascii="宋体" w:hAnsi="宋体" w:cs="宋体"/>
          <w:color w:val="auto"/>
          <w:szCs w:val="24"/>
          <w:highlight w:val="none"/>
          <w:lang w:val="en-US" w:eastAsia="zh-CN"/>
        </w:rPr>
        <w:t>05</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14</w:t>
      </w:r>
      <w:r>
        <w:rPr>
          <w:rFonts w:hint="eastAsia" w:ascii="宋体" w:hAnsi="宋体" w:cs="宋体"/>
          <w:color w:val="auto"/>
          <w:szCs w:val="24"/>
          <w:highlight w:val="none"/>
          <w:lang w:eastAsia="zh-CN"/>
        </w:rPr>
        <w:t>日</w:t>
      </w:r>
      <w:r>
        <w:rPr>
          <w:rFonts w:hint="eastAsia" w:ascii="宋体" w:hAnsi="宋体" w:cs="宋体"/>
          <w:color w:val="auto"/>
          <w:szCs w:val="24"/>
          <w:highlight w:val="none"/>
          <w:lang w:val="en-US" w:eastAsia="zh-CN"/>
        </w:rPr>
        <w:t>09</w:t>
      </w:r>
      <w:r>
        <w:rPr>
          <w:rFonts w:hint="eastAsia" w:ascii="宋体" w:hAnsi="宋体" w:cs="宋体"/>
          <w:color w:val="auto"/>
          <w:szCs w:val="24"/>
          <w:highlight w:val="none"/>
        </w:rPr>
        <w:t>时</w:t>
      </w:r>
      <w:r>
        <w:rPr>
          <w:rFonts w:hint="eastAsia" w:ascii="宋体" w:hAnsi="宋体" w:cs="宋体"/>
          <w:color w:val="auto"/>
          <w:szCs w:val="24"/>
          <w:highlight w:val="none"/>
          <w:lang w:val="en-US" w:eastAsia="zh-CN"/>
        </w:rPr>
        <w:t>30</w:t>
      </w:r>
      <w:r>
        <w:rPr>
          <w:rFonts w:hint="eastAsia" w:ascii="宋体" w:hAnsi="宋体" w:cs="宋体"/>
          <w:color w:val="auto"/>
          <w:szCs w:val="24"/>
          <w:highlight w:val="none"/>
        </w:rPr>
        <w:t>分</w:t>
      </w:r>
      <w:r>
        <w:rPr>
          <w:rFonts w:hint="eastAsia" w:ascii="宋体" w:hAnsi="宋体" w:cs="宋体"/>
          <w:color w:val="auto"/>
          <w:szCs w:val="24"/>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cs="宋体"/>
          <w:color w:val="auto"/>
          <w:szCs w:val="24"/>
        </w:rPr>
      </w:pPr>
      <w:r>
        <w:rPr>
          <w:rFonts w:hint="eastAsia" w:ascii="宋体" w:hAnsi="宋体" w:cs="宋体"/>
          <w:color w:val="auto"/>
          <w:szCs w:val="24"/>
        </w:rPr>
        <w:t>2</w:t>
      </w:r>
      <w:r>
        <w:rPr>
          <w:rFonts w:hint="eastAsia" w:ascii="宋体" w:hAnsi="宋体" w:cs="宋体"/>
          <w:color w:val="auto"/>
          <w:szCs w:val="24"/>
          <w:lang w:eastAsia="zh-CN"/>
        </w:rPr>
        <w:t>、</w:t>
      </w:r>
      <w:r>
        <w:rPr>
          <w:rFonts w:hint="eastAsia" w:ascii="宋体" w:hAnsi="宋体" w:cs="宋体"/>
          <w:color w:val="auto"/>
          <w:szCs w:val="24"/>
        </w:rPr>
        <w:t>地点：光山县公共资源交易中心四楼</w:t>
      </w:r>
      <w:r>
        <w:rPr>
          <w:rFonts w:hint="eastAsia" w:ascii="宋体" w:hAnsi="宋体" w:cs="宋体"/>
          <w:color w:val="auto"/>
          <w:szCs w:val="24"/>
          <w:highlight w:val="none"/>
        </w:rPr>
        <w:t>第</w:t>
      </w:r>
      <w:r>
        <w:rPr>
          <w:rFonts w:hint="eastAsia" w:ascii="宋体" w:hAnsi="宋体" w:cs="宋体"/>
          <w:color w:val="auto"/>
          <w:szCs w:val="24"/>
          <w:highlight w:val="none"/>
          <w:lang w:eastAsia="zh-CN"/>
        </w:rPr>
        <w:t>二</w:t>
      </w:r>
      <w:r>
        <w:rPr>
          <w:rFonts w:hint="eastAsia" w:ascii="宋体" w:hAnsi="宋体" w:cs="宋体"/>
          <w:color w:val="auto"/>
          <w:szCs w:val="24"/>
          <w:highlight w:val="none"/>
        </w:rPr>
        <w:t>开标室</w:t>
      </w:r>
      <w:r>
        <w:rPr>
          <w:rFonts w:hint="eastAsia" w:ascii="宋体" w:hAnsi="宋体" w:cs="宋体"/>
          <w:color w:val="auto"/>
          <w:szCs w:val="24"/>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2" w:firstLineChars="200"/>
        <w:textAlignment w:val="auto"/>
        <w:rPr>
          <w:rFonts w:ascii="宋体" w:hAnsi="宋体" w:cs="宋体"/>
          <w:b/>
          <w:bCs/>
          <w:color w:val="auto"/>
          <w:szCs w:val="24"/>
        </w:rPr>
      </w:pPr>
      <w:r>
        <w:rPr>
          <w:rFonts w:hint="eastAsia" w:ascii="宋体" w:hAnsi="宋体" w:cs="宋体"/>
          <w:b/>
          <w:bCs/>
          <w:color w:val="auto"/>
          <w:szCs w:val="24"/>
          <w:lang w:val="en-US" w:eastAsia="zh-CN"/>
        </w:rPr>
        <w:t>六</w:t>
      </w:r>
      <w:r>
        <w:rPr>
          <w:rFonts w:hint="eastAsia" w:ascii="宋体" w:hAnsi="宋体" w:cs="宋体"/>
          <w:b/>
          <w:bCs/>
          <w:color w:val="auto"/>
          <w:szCs w:val="24"/>
        </w:rPr>
        <w:t>、</w:t>
      </w:r>
      <w:r>
        <w:rPr>
          <w:rFonts w:hint="eastAsia" w:ascii="宋体" w:hAnsi="宋体"/>
          <w:b/>
          <w:bCs/>
          <w:color w:val="auto"/>
          <w:sz w:val="24"/>
        </w:rPr>
        <w:t>发布公告的媒介及招标公告期限</w:t>
      </w:r>
    </w:p>
    <w:p>
      <w:pPr>
        <w:keepNext w:val="0"/>
        <w:keepLines w:val="0"/>
        <w:pageBreakBefore w:val="0"/>
        <w:widowControl w:val="0"/>
        <w:tabs>
          <w:tab w:val="right" w:pos="9639"/>
        </w:tabs>
        <w:kinsoku/>
        <w:wordWrap/>
        <w:overflowPunct/>
        <w:topLinePunct w:val="0"/>
        <w:autoSpaceDE/>
        <w:autoSpaceDN/>
        <w:bidi w:val="0"/>
        <w:adjustRightInd/>
        <w:snapToGrid/>
        <w:spacing w:line="440" w:lineRule="exact"/>
        <w:ind w:left="0" w:leftChars="0" w:firstLine="424" w:firstLineChars="177"/>
        <w:jc w:val="left"/>
        <w:textAlignment w:val="auto"/>
        <w:rPr>
          <w:rFonts w:hint="eastAsia" w:ascii="宋体" w:hAnsi="宋体" w:eastAsia="宋体"/>
          <w:b w:val="0"/>
          <w:bCs w:val="0"/>
          <w:color w:val="auto"/>
          <w:sz w:val="24"/>
          <w:lang w:eastAsia="zh-CN"/>
        </w:rPr>
      </w:pPr>
      <w:r>
        <w:rPr>
          <w:rFonts w:hint="eastAsia" w:ascii="宋体" w:hAnsi="宋体"/>
          <w:b w:val="0"/>
          <w:bCs w:val="0"/>
          <w:color w:val="auto"/>
          <w:sz w:val="24"/>
        </w:rPr>
        <w:t>本次招标公告在</w:t>
      </w:r>
      <w:r>
        <w:rPr>
          <w:rFonts w:ascii="SourceHanSansCN-Regular" w:hAnsi="SourceHanSansCN-Regular" w:eastAsia="SourceHanSansCN-Regular" w:cs="SourceHanSansCN-Regular"/>
          <w:color w:val="auto"/>
          <w:sz w:val="24"/>
          <w:szCs w:val="24"/>
        </w:rPr>
        <w:t>《河南省政府采购网》、《全国公共资源交易平台（河南省·</w:t>
      </w:r>
      <w:r>
        <w:rPr>
          <w:rFonts w:hint="eastAsia" w:ascii="SourceHanSansCN-Regular" w:hAnsi="SourceHanSansCN-Regular" w:eastAsia="宋体" w:cs="SourceHanSansCN-Regular"/>
          <w:color w:val="auto"/>
          <w:sz w:val="24"/>
          <w:szCs w:val="24"/>
          <w:lang w:val="en-US" w:eastAsia="zh-CN"/>
        </w:rPr>
        <w:t>光山县</w:t>
      </w:r>
      <w:r>
        <w:rPr>
          <w:rFonts w:ascii="SourceHanSansCN-Regular" w:hAnsi="SourceHanSansCN-Regular" w:eastAsia="SourceHanSansCN-Regular" w:cs="SourceHanSansCN-Regular"/>
          <w:color w:val="auto"/>
          <w:sz w:val="24"/>
          <w:szCs w:val="24"/>
        </w:rPr>
        <w:t>）》</w:t>
      </w:r>
      <w:r>
        <w:rPr>
          <w:rFonts w:hint="eastAsia" w:ascii="宋体" w:hAnsi="宋体"/>
          <w:b w:val="0"/>
          <w:bCs w:val="0"/>
          <w:color w:val="auto"/>
          <w:sz w:val="24"/>
        </w:rPr>
        <w:t>网上发布</w:t>
      </w:r>
      <w:r>
        <w:rPr>
          <w:rFonts w:hint="eastAsia" w:ascii="宋体" w:hAnsi="宋体"/>
          <w:b w:val="0"/>
          <w:bCs w:val="0"/>
          <w:color w:val="auto"/>
          <w:sz w:val="24"/>
          <w:lang w:eastAsia="zh-CN"/>
        </w:rPr>
        <w:t>，</w:t>
      </w:r>
      <w:r>
        <w:rPr>
          <w:rFonts w:hint="eastAsia" w:ascii="宋体" w:hAnsi="宋体"/>
          <w:b w:val="0"/>
          <w:bCs w:val="0"/>
          <w:color w:val="auto"/>
          <w:sz w:val="24"/>
        </w:rPr>
        <w:t>招标公告期限为五个工作日</w:t>
      </w:r>
      <w:r>
        <w:rPr>
          <w:rFonts w:hint="eastAsia" w:ascii="宋体" w:hAnsi="宋体"/>
          <w:b w:val="0"/>
          <w:bCs w:val="0"/>
          <w:color w:val="auto"/>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bCs/>
          <w:color w:val="auto"/>
          <w:szCs w:val="24"/>
        </w:rPr>
      </w:pPr>
      <w:r>
        <w:rPr>
          <w:rFonts w:hint="eastAsia" w:ascii="宋体" w:hAnsi="宋体" w:cs="宋体"/>
          <w:b/>
          <w:bCs/>
          <w:color w:val="auto"/>
          <w:szCs w:val="24"/>
          <w:lang w:val="en-US" w:eastAsia="zh-CN"/>
        </w:rPr>
        <w:t>七、</w:t>
      </w:r>
      <w:r>
        <w:rPr>
          <w:rFonts w:hint="eastAsia" w:ascii="宋体" w:hAnsi="宋体" w:eastAsia="宋体" w:cs="宋体"/>
          <w:b/>
          <w:bCs/>
          <w:color w:val="auto"/>
          <w:szCs w:val="24"/>
        </w:rPr>
        <w:t>其他补充事宜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default" w:ascii="宋体" w:hAnsi="宋体" w:eastAsia="宋体" w:cs="宋"/>
          <w:color w:val="auto"/>
          <w:kern w:val="2"/>
          <w:sz w:val="24"/>
          <w:szCs w:val="24"/>
          <w:highlight w:val="none"/>
          <w:lang w:val="en-US" w:eastAsia="zh-CN" w:bidi="ar"/>
        </w:rPr>
      </w:pPr>
      <w:r>
        <w:rPr>
          <w:rFonts w:hint="eastAsia" w:ascii="宋体" w:hAnsi="宋体" w:eastAsia="宋体" w:cs="宋"/>
          <w:color w:val="auto"/>
          <w:kern w:val="2"/>
          <w:sz w:val="24"/>
          <w:szCs w:val="24"/>
          <w:highlight w:val="none"/>
          <w:lang w:val="en-US" w:eastAsia="zh-CN" w:bidi="ar"/>
        </w:rPr>
        <w:t>1、投标人根据信阳市公共资源交易网通知公告栏目中《关于信阳市公共资源交易平台数字证书（CA）互认系统正式上线运行的通知》要求，自行选择CA数字证书服务商，线上、线下办理CA数字证书。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
          <w:color w:val="auto"/>
          <w:kern w:val="2"/>
          <w:sz w:val="24"/>
          <w:szCs w:val="24"/>
          <w:highlight w:val="none"/>
          <w:lang w:val="en-US" w:eastAsia="zh-CN" w:bidi="ar"/>
        </w:rPr>
      </w:pPr>
      <w:r>
        <w:rPr>
          <w:rFonts w:hint="eastAsia" w:ascii="宋体" w:hAnsi="宋体" w:eastAsia="宋体" w:cs="宋"/>
          <w:color w:val="auto"/>
          <w:kern w:val="2"/>
          <w:sz w:val="24"/>
          <w:szCs w:val="24"/>
          <w:highlight w:val="none"/>
          <w:lang w:val="en-US" w:eastAsia="zh-CN" w:bidi="ar"/>
        </w:rPr>
        <w:t>2、本项目采用“不见面开标”交易方式，不见面开标大厅网址为https://ggzyjy.xinyang.gov.cn/BidOpening，投标人无需寄送和递交非加密的电子投标文件，无需到现场参加开标会议，无需到达现场</w:t>
      </w:r>
      <w:r>
        <w:rPr>
          <w:rFonts w:hint="eastAsia" w:ascii="宋体" w:hAnsi="宋体" w:cs="宋"/>
          <w:color w:val="auto"/>
          <w:kern w:val="2"/>
          <w:sz w:val="24"/>
          <w:szCs w:val="24"/>
          <w:highlight w:val="none"/>
          <w:lang w:val="en-US" w:eastAsia="zh-CN" w:bidi="ar"/>
        </w:rPr>
        <w:t>递</w:t>
      </w:r>
      <w:r>
        <w:rPr>
          <w:rFonts w:hint="eastAsia" w:ascii="宋体" w:hAnsi="宋体" w:eastAsia="宋体" w:cs="宋"/>
          <w:color w:val="auto"/>
          <w:kern w:val="2"/>
          <w:sz w:val="24"/>
          <w:szCs w:val="24"/>
          <w:highlight w:val="none"/>
          <w:lang w:val="en-US" w:eastAsia="zh-CN" w:bidi="ar"/>
        </w:rPr>
        <w:t>交原件资料。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
          <w:color w:val="auto"/>
          <w:kern w:val="2"/>
          <w:sz w:val="24"/>
          <w:szCs w:val="24"/>
          <w:highlight w:val="none"/>
          <w:lang w:val="en-US" w:eastAsia="zh-CN" w:bidi="ar"/>
        </w:rPr>
      </w:pPr>
      <w:r>
        <w:rPr>
          <w:rFonts w:hint="eastAsia" w:ascii="宋体" w:hAnsi="宋体" w:eastAsia="宋体" w:cs="宋"/>
          <w:color w:val="auto"/>
          <w:kern w:val="2"/>
          <w:sz w:val="24"/>
          <w:szCs w:val="24"/>
          <w:highlight w:val="none"/>
          <w:lang w:val="en-US" w:eastAsia="zh-CN" w:bidi="ar"/>
        </w:rPr>
        <w:t>3、投标人应当在投标截止时间前，使用投标人CA数字证书登录不见面开标大厅，在线签到并准时参加开标活动，并在规定时间内完成投标文件解密、答疑澄清等。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
          <w:color w:val="auto"/>
          <w:kern w:val="2"/>
          <w:sz w:val="24"/>
          <w:szCs w:val="24"/>
          <w:highlight w:val="none"/>
          <w:lang w:val="en-US" w:eastAsia="zh-CN" w:bidi="ar"/>
        </w:rPr>
      </w:pPr>
      <w:r>
        <w:rPr>
          <w:rFonts w:hint="eastAsia" w:ascii="宋体" w:hAnsi="宋体" w:eastAsia="宋体" w:cs="宋"/>
          <w:color w:val="auto"/>
          <w:kern w:val="2"/>
          <w:sz w:val="24"/>
          <w:szCs w:val="24"/>
          <w:highlight w:val="none"/>
          <w:lang w:val="en-US" w:eastAsia="zh-CN" w:bidi="ar"/>
        </w:rPr>
        <w:t>4、逾期解密或者没有准时在线参加开标活动导致的一切后果投标人自行承担。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rPr>
          <w:rFonts w:hint="eastAsia" w:ascii="宋体" w:hAnsi="宋体" w:eastAsia="宋体" w:cs="宋"/>
          <w:color w:val="auto"/>
          <w:kern w:val="2"/>
          <w:sz w:val="24"/>
          <w:szCs w:val="24"/>
          <w:highlight w:val="none"/>
          <w:lang w:val="en-US" w:eastAsia="zh-CN" w:bidi="ar"/>
        </w:rPr>
      </w:pPr>
      <w:r>
        <w:rPr>
          <w:rFonts w:hint="eastAsia" w:ascii="宋体" w:hAnsi="宋体" w:eastAsia="宋体" w:cs="宋"/>
          <w:color w:val="auto"/>
          <w:kern w:val="2"/>
          <w:sz w:val="24"/>
          <w:szCs w:val="24"/>
          <w:highlight w:val="none"/>
          <w:lang w:val="en-US" w:eastAsia="zh-CN" w:bidi="ar"/>
        </w:rPr>
        <w:t>5、不见面开标服务的具体事宜，请查阅信阳市公共资源交易中心网站首页—下载中心—信阳市不见面开标大厅系统操作手册。</w:t>
      </w:r>
    </w:p>
    <w:p>
      <w:pPr>
        <w:pStyle w:val="19"/>
        <w:keepNext w:val="0"/>
        <w:keepLines w:val="0"/>
        <w:pageBreakBefore w:val="0"/>
        <w:tabs>
          <w:tab w:val="left" w:pos="180"/>
          <w:tab w:val="clear" w:pos="945"/>
          <w:tab w:val="clear" w:pos="1155"/>
        </w:tabs>
        <w:kinsoku/>
        <w:wordWrap/>
        <w:overflowPunct/>
        <w:topLinePunct w:val="0"/>
        <w:autoSpaceDE/>
        <w:autoSpaceDN/>
        <w:bidi w:val="0"/>
        <w:adjustRightInd/>
        <w:snapToGrid/>
        <w:spacing w:after="0" w:line="440" w:lineRule="exact"/>
        <w:ind w:left="0" w:leftChars="0" w:right="0" w:rightChars="0" w:firstLine="48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6、本项目实行远程异地评标。</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color w:val="auto"/>
        </w:rPr>
      </w:pPr>
      <w:r>
        <w:rPr>
          <w:rFonts w:hint="eastAsia" w:ascii="宋体" w:hAnsi="宋体" w:eastAsia="宋体"/>
          <w:b/>
          <w:bCs/>
          <w:color w:val="auto"/>
          <w:sz w:val="24"/>
          <w:szCs w:val="24"/>
        </w:rPr>
        <w:t>特别提示：投标人在线签到时，应如实准确的填写授权委托人的联系电话，开标当天请务必保证电话保持畅通。</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482" w:firstLineChars="200"/>
        <w:textAlignment w:val="auto"/>
        <w:rPr>
          <w:rFonts w:ascii="宋体" w:hAnsi="宋体" w:cs="宋体"/>
          <w:b/>
          <w:bCs/>
          <w:color w:val="auto"/>
          <w:szCs w:val="24"/>
        </w:rPr>
      </w:pPr>
      <w:r>
        <w:rPr>
          <w:rFonts w:hint="eastAsia" w:ascii="宋体" w:hAnsi="宋体" w:cs="宋体"/>
          <w:b/>
          <w:bCs/>
          <w:color w:val="auto"/>
          <w:szCs w:val="24"/>
        </w:rPr>
        <w:t>八、</w:t>
      </w:r>
      <w:r>
        <w:rPr>
          <w:rFonts w:hint="eastAsia" w:ascii="宋体" w:hAnsi="宋体" w:eastAsia="宋体"/>
          <w:b/>
          <w:color w:val="auto"/>
          <w:sz w:val="24"/>
          <w:szCs w:val="24"/>
        </w:rPr>
        <w:t>凡对本次采购提出询问，请按以下方式联系</w:t>
      </w:r>
    </w:p>
    <w:bookmarkEnd w:id="8"/>
    <w:bookmarkEnd w:id="9"/>
    <w:bookmarkEnd w:id="10"/>
    <w:p>
      <w:pPr>
        <w:keepNext w:val="0"/>
        <w:keepLines w:val="0"/>
        <w:pageBreakBefore w:val="0"/>
        <w:widowControl w:val="0"/>
        <w:suppressLineNumbers w:val="0"/>
        <w:kinsoku/>
        <w:wordWrap/>
        <w:overflowPunct/>
        <w:autoSpaceDE w:val="0"/>
        <w:autoSpaceDN w:val="0"/>
        <w:bidi w:val="0"/>
        <w:adjustRightInd w:val="0"/>
        <w:snapToGrid/>
        <w:spacing w:beforeAutospacing="0" w:afterAutospacing="0" w:line="440" w:lineRule="exact"/>
        <w:ind w:left="0" w:leftChars="0" w:right="0" w:rightChars="0" w:firstLine="496" w:firstLineChars="206"/>
        <w:jc w:val="left"/>
        <w:textAlignment w:val="auto"/>
        <w:rPr>
          <w:b/>
          <w:bCs w:val="0"/>
          <w:color w:val="auto"/>
          <w:szCs w:val="24"/>
          <w:highlight w:val="none"/>
          <w:lang w:val="en-US"/>
        </w:rPr>
      </w:pPr>
      <w:r>
        <w:rPr>
          <w:rFonts w:hint="eastAsia" w:ascii="宋体" w:hAnsi="宋体" w:eastAsia="宋体" w:cs="宋体"/>
          <w:b/>
          <w:bCs w:val="0"/>
          <w:color w:val="auto"/>
          <w:kern w:val="0"/>
          <w:sz w:val="24"/>
          <w:szCs w:val="24"/>
          <w:highlight w:val="none"/>
          <w:lang w:val="en-US" w:eastAsia="zh-CN" w:bidi="ar"/>
        </w:rPr>
        <w:t>1、采购人信息：</w:t>
      </w:r>
    </w:p>
    <w:p>
      <w:pPr>
        <w:keepNext w:val="0"/>
        <w:keepLines w:val="0"/>
        <w:pageBreakBefore w:val="0"/>
        <w:widowControl w:val="0"/>
        <w:kinsoku/>
        <w:wordWrap/>
        <w:overflowPunct/>
        <w:autoSpaceDE/>
        <w:autoSpaceDN/>
        <w:bidi w:val="0"/>
        <w:snapToGrid/>
        <w:spacing w:line="440" w:lineRule="exact"/>
        <w:ind w:left="0" w:leftChars="0" w:firstLine="480" w:firstLineChars="200"/>
        <w:textAlignment w:val="auto"/>
        <w:rPr>
          <w:rFonts w:hint="eastAsia" w:ascii="宋体" w:hAnsi="宋体" w:eastAsia="宋体" w:cs="Times New Roman"/>
          <w:color w:val="auto"/>
          <w:kern w:val="2"/>
          <w:sz w:val="24"/>
          <w:szCs w:val="20"/>
          <w:lang w:val="en-US" w:eastAsia="zh-CN" w:bidi="ar"/>
        </w:rPr>
      </w:pPr>
      <w:r>
        <w:rPr>
          <w:rFonts w:hint="eastAsia" w:ascii="宋体" w:hAnsi="宋体" w:eastAsia="宋体" w:cs="Times New Roman"/>
          <w:color w:val="auto"/>
          <w:kern w:val="2"/>
          <w:sz w:val="24"/>
          <w:szCs w:val="20"/>
          <w:lang w:val="en-US" w:eastAsia="zh-CN" w:bidi="ar"/>
        </w:rPr>
        <w:t>名称：</w:t>
      </w:r>
      <w:r>
        <w:rPr>
          <w:rFonts w:hint="eastAsia" w:ascii="宋体" w:hAnsi="宋体" w:cs="Times New Roman"/>
          <w:color w:val="auto"/>
          <w:kern w:val="2"/>
          <w:sz w:val="24"/>
          <w:szCs w:val="20"/>
          <w:lang w:val="en-US" w:eastAsia="zh-CN" w:bidi="ar"/>
        </w:rPr>
        <w:t>光山县农业农村局</w:t>
      </w:r>
    </w:p>
    <w:p>
      <w:pPr>
        <w:keepNext w:val="0"/>
        <w:keepLines w:val="0"/>
        <w:pageBreakBefore w:val="0"/>
        <w:widowControl w:val="0"/>
        <w:kinsoku/>
        <w:wordWrap/>
        <w:overflowPunct/>
        <w:autoSpaceDE/>
        <w:autoSpaceDN/>
        <w:bidi w:val="0"/>
        <w:snapToGrid/>
        <w:spacing w:line="440" w:lineRule="exact"/>
        <w:ind w:left="0" w:leftChars="0" w:firstLine="480" w:firstLineChars="200"/>
        <w:textAlignment w:val="auto"/>
        <w:rPr>
          <w:rFonts w:hint="eastAsia" w:ascii="宋体" w:hAnsi="宋体" w:eastAsia="宋体" w:cs="Times New Roman"/>
          <w:color w:val="auto"/>
          <w:kern w:val="2"/>
          <w:sz w:val="24"/>
          <w:szCs w:val="20"/>
          <w:highlight w:val="none"/>
          <w:lang w:val="en-US" w:eastAsia="zh-CN" w:bidi="ar"/>
        </w:rPr>
      </w:pPr>
      <w:r>
        <w:rPr>
          <w:rFonts w:hint="eastAsia" w:ascii="宋体" w:hAnsi="宋体" w:eastAsia="宋体" w:cs="Times New Roman"/>
          <w:color w:val="auto"/>
          <w:kern w:val="2"/>
          <w:sz w:val="24"/>
          <w:szCs w:val="20"/>
          <w:highlight w:val="none"/>
          <w:lang w:val="en-US" w:eastAsia="zh-CN" w:bidi="ar"/>
        </w:rPr>
        <w:t>地址：</w:t>
      </w:r>
      <w:r>
        <w:rPr>
          <w:rFonts w:hint="eastAsia" w:ascii="宋体" w:hAnsi="宋体" w:cs="Times New Roman"/>
          <w:color w:val="auto"/>
          <w:kern w:val="2"/>
          <w:sz w:val="24"/>
          <w:szCs w:val="20"/>
          <w:highlight w:val="none"/>
          <w:lang w:val="en-US" w:eastAsia="zh-CN" w:bidi="ar"/>
        </w:rPr>
        <w:t>光山县九龙路七星湖宾馆东侧</w:t>
      </w:r>
    </w:p>
    <w:p>
      <w:pPr>
        <w:keepNext w:val="0"/>
        <w:keepLines w:val="0"/>
        <w:pageBreakBefore w:val="0"/>
        <w:widowControl w:val="0"/>
        <w:kinsoku/>
        <w:wordWrap/>
        <w:overflowPunct/>
        <w:autoSpaceDE/>
        <w:autoSpaceDN/>
        <w:bidi w:val="0"/>
        <w:snapToGrid/>
        <w:spacing w:line="440" w:lineRule="exact"/>
        <w:ind w:left="0" w:leftChars="0" w:firstLine="480" w:firstLineChars="200"/>
        <w:textAlignment w:val="auto"/>
        <w:rPr>
          <w:rFonts w:hint="eastAsia" w:ascii="宋体" w:hAnsi="宋体" w:eastAsia="宋体" w:cs="Times New Roman"/>
          <w:color w:val="auto"/>
          <w:kern w:val="2"/>
          <w:sz w:val="24"/>
          <w:szCs w:val="20"/>
          <w:lang w:val="en-US" w:eastAsia="zh-CN" w:bidi="ar"/>
        </w:rPr>
      </w:pPr>
      <w:r>
        <w:rPr>
          <w:rFonts w:hint="eastAsia" w:ascii="宋体" w:hAnsi="宋体" w:eastAsia="宋体" w:cs="Times New Roman"/>
          <w:color w:val="auto"/>
          <w:kern w:val="2"/>
          <w:sz w:val="24"/>
          <w:szCs w:val="20"/>
          <w:lang w:val="en-US" w:eastAsia="zh-CN" w:bidi="ar"/>
        </w:rPr>
        <w:t>联系人：</w:t>
      </w:r>
      <w:r>
        <w:rPr>
          <w:rFonts w:hint="eastAsia" w:ascii="宋体" w:hAnsi="宋体" w:cs="Times New Roman"/>
          <w:color w:val="auto"/>
          <w:kern w:val="2"/>
          <w:sz w:val="24"/>
          <w:szCs w:val="20"/>
          <w:lang w:val="en-US" w:eastAsia="zh-CN" w:bidi="ar"/>
        </w:rPr>
        <w:t>涂女士</w:t>
      </w:r>
      <w:r>
        <w:rPr>
          <w:rFonts w:hint="eastAsia" w:ascii="宋体" w:hAnsi="宋体" w:eastAsia="宋体" w:cs="Times New Roman"/>
          <w:color w:val="auto"/>
          <w:kern w:val="2"/>
          <w:sz w:val="24"/>
          <w:szCs w:val="20"/>
          <w:lang w:val="en-US" w:eastAsia="zh-CN" w:bidi="ar"/>
        </w:rPr>
        <w:t xml:space="preserve"> </w:t>
      </w:r>
    </w:p>
    <w:p>
      <w:pPr>
        <w:keepNext w:val="0"/>
        <w:keepLines w:val="0"/>
        <w:pageBreakBefore w:val="0"/>
        <w:widowControl w:val="0"/>
        <w:kinsoku/>
        <w:wordWrap/>
        <w:overflowPunct/>
        <w:autoSpaceDE/>
        <w:autoSpaceDN/>
        <w:bidi w:val="0"/>
        <w:snapToGrid/>
        <w:spacing w:line="440" w:lineRule="exact"/>
        <w:ind w:left="0" w:leftChars="0" w:firstLine="480" w:firstLineChars="200"/>
        <w:textAlignment w:val="auto"/>
        <w:rPr>
          <w:rFonts w:hint="eastAsia" w:ascii="宋体" w:hAnsi="宋体" w:eastAsia="宋体" w:cs="Times New Roman"/>
          <w:color w:val="auto"/>
          <w:kern w:val="2"/>
          <w:sz w:val="24"/>
          <w:szCs w:val="20"/>
          <w:highlight w:val="none"/>
          <w:lang w:val="en-US" w:eastAsia="zh-CN" w:bidi="ar"/>
        </w:rPr>
      </w:pPr>
      <w:r>
        <w:rPr>
          <w:rFonts w:hint="eastAsia" w:ascii="宋体" w:hAnsi="宋体" w:eastAsia="宋体" w:cs="Times New Roman"/>
          <w:color w:val="auto"/>
          <w:kern w:val="2"/>
          <w:sz w:val="24"/>
          <w:szCs w:val="20"/>
          <w:highlight w:val="none"/>
          <w:lang w:val="en-US" w:eastAsia="zh-CN" w:bidi="ar"/>
        </w:rPr>
        <w:t>联系方式：</w:t>
      </w:r>
      <w:r>
        <w:rPr>
          <w:rFonts w:hint="eastAsia" w:ascii="宋体" w:hAnsi="宋体" w:cs="Times New Roman"/>
          <w:color w:val="auto"/>
          <w:kern w:val="2"/>
          <w:sz w:val="24"/>
          <w:szCs w:val="20"/>
          <w:highlight w:val="none"/>
          <w:lang w:val="en-US" w:eastAsia="zh-CN" w:bidi="ar"/>
        </w:rPr>
        <w:t>13523999768</w:t>
      </w:r>
    </w:p>
    <w:p>
      <w:pPr>
        <w:keepNext w:val="0"/>
        <w:keepLines w:val="0"/>
        <w:pageBreakBefore w:val="0"/>
        <w:widowControl w:val="0"/>
        <w:suppressLineNumbers w:val="0"/>
        <w:kinsoku/>
        <w:wordWrap w:val="0"/>
        <w:overflowPunct/>
        <w:topLinePunct/>
        <w:autoSpaceDE w:val="0"/>
        <w:autoSpaceDN/>
        <w:bidi w:val="0"/>
        <w:snapToGrid w:val="0"/>
        <w:spacing w:beforeAutospacing="0" w:afterAutospacing="0" w:line="440" w:lineRule="exact"/>
        <w:ind w:left="0" w:leftChars="0" w:right="0" w:firstLine="496" w:firstLineChars="206"/>
        <w:jc w:val="left"/>
        <w:textAlignment w:val="auto"/>
        <w:rPr>
          <w:b/>
          <w:bCs w:val="0"/>
          <w:color w:val="auto"/>
          <w:szCs w:val="24"/>
          <w:highlight w:val="none"/>
          <w:lang w:val="en-US"/>
        </w:rPr>
      </w:pPr>
      <w:r>
        <w:rPr>
          <w:rFonts w:hint="eastAsia" w:ascii="宋体" w:hAnsi="宋体" w:eastAsia="宋体" w:cs="宋体"/>
          <w:b/>
          <w:bCs w:val="0"/>
          <w:color w:val="auto"/>
          <w:kern w:val="0"/>
          <w:sz w:val="24"/>
          <w:szCs w:val="24"/>
          <w:highlight w:val="none"/>
          <w:lang w:val="en-US" w:eastAsia="zh-CN" w:bidi="ar"/>
        </w:rPr>
        <w:t>2、采购代理机构信息：</w:t>
      </w:r>
    </w:p>
    <w:p>
      <w:pPr>
        <w:keepNext w:val="0"/>
        <w:keepLines w:val="0"/>
        <w:pageBreakBefore w:val="0"/>
        <w:widowControl w:val="0"/>
        <w:kinsoku/>
        <w:wordWrap/>
        <w:overflowPunct/>
        <w:autoSpaceDE/>
        <w:autoSpaceDN/>
        <w:bidi w:val="0"/>
        <w:snapToGrid/>
        <w:spacing w:line="440" w:lineRule="exact"/>
        <w:ind w:left="0" w:leftChars="0" w:firstLine="480" w:firstLineChars="200"/>
        <w:textAlignment w:val="auto"/>
        <w:rPr>
          <w:rFonts w:hint="eastAsia" w:ascii="宋体" w:hAnsi="宋体" w:eastAsia="宋体"/>
          <w:color w:val="auto"/>
          <w:sz w:val="24"/>
          <w:lang w:eastAsia="zh-CN"/>
        </w:rPr>
      </w:pPr>
      <w:r>
        <w:rPr>
          <w:rFonts w:hint="eastAsia" w:ascii="宋体" w:hAnsi="宋体" w:eastAsia="宋体" w:cs="Times New Roman"/>
          <w:color w:val="auto"/>
          <w:kern w:val="2"/>
          <w:sz w:val="24"/>
          <w:szCs w:val="20"/>
          <w:lang w:val="en-US" w:eastAsia="zh-CN" w:bidi="ar"/>
        </w:rPr>
        <w:t>名称：</w:t>
      </w:r>
      <w:r>
        <w:rPr>
          <w:rFonts w:hint="eastAsia" w:ascii="宋体" w:hAnsi="宋体"/>
          <w:color w:val="auto"/>
          <w:sz w:val="24"/>
          <w:lang w:eastAsia="zh-CN"/>
        </w:rPr>
        <w:t>中大国信工程管理有限公司</w:t>
      </w:r>
    </w:p>
    <w:p>
      <w:pPr>
        <w:keepNext w:val="0"/>
        <w:keepLines w:val="0"/>
        <w:pageBreakBefore w:val="0"/>
        <w:widowControl w:val="0"/>
        <w:kinsoku/>
        <w:wordWrap/>
        <w:overflowPunct/>
        <w:autoSpaceDE/>
        <w:autoSpaceDN/>
        <w:bidi w:val="0"/>
        <w:snapToGrid/>
        <w:spacing w:line="440" w:lineRule="exact"/>
        <w:ind w:left="0" w:leftChars="0" w:firstLine="480" w:firstLineChars="200"/>
        <w:textAlignment w:val="auto"/>
        <w:rPr>
          <w:rFonts w:hint="eastAsia" w:ascii="宋体" w:hAnsi="宋体" w:eastAsia="宋体" w:cs="Times New Roman"/>
          <w:color w:val="auto"/>
          <w:kern w:val="2"/>
          <w:sz w:val="24"/>
          <w:szCs w:val="20"/>
          <w:lang w:val="en-US" w:eastAsia="zh-CN" w:bidi="ar"/>
        </w:rPr>
      </w:pPr>
      <w:r>
        <w:rPr>
          <w:rFonts w:hint="eastAsia" w:ascii="宋体" w:hAnsi="宋体" w:eastAsia="宋体" w:cs="Times New Roman"/>
          <w:color w:val="auto"/>
          <w:kern w:val="2"/>
          <w:sz w:val="24"/>
          <w:szCs w:val="20"/>
          <w:lang w:val="en-US" w:eastAsia="zh-CN" w:bidi="ar"/>
        </w:rPr>
        <w:t>地址：</w:t>
      </w:r>
      <w:r>
        <w:rPr>
          <w:rFonts w:hint="eastAsia" w:ascii="宋体" w:hAnsi="宋体"/>
          <w:color w:val="auto"/>
          <w:sz w:val="24"/>
          <w:lang w:eastAsia="zh-CN"/>
        </w:rPr>
        <w:t>光山县盛世九龙小区南面门面房</w:t>
      </w:r>
    </w:p>
    <w:p>
      <w:pPr>
        <w:keepNext w:val="0"/>
        <w:keepLines w:val="0"/>
        <w:pageBreakBefore w:val="0"/>
        <w:widowControl w:val="0"/>
        <w:kinsoku/>
        <w:wordWrap/>
        <w:overflowPunct/>
        <w:autoSpaceDE/>
        <w:autoSpaceDN/>
        <w:bidi w:val="0"/>
        <w:snapToGrid/>
        <w:spacing w:line="440" w:lineRule="exact"/>
        <w:ind w:left="0" w:leftChars="0" w:firstLine="480" w:firstLineChars="200"/>
        <w:textAlignment w:val="auto"/>
        <w:rPr>
          <w:rFonts w:hint="eastAsia" w:ascii="宋体" w:hAnsi="宋体" w:eastAsia="宋体" w:cs="Times New Roman"/>
          <w:color w:val="auto"/>
          <w:kern w:val="2"/>
          <w:sz w:val="24"/>
          <w:szCs w:val="20"/>
          <w:lang w:val="en-US" w:eastAsia="zh-CN" w:bidi="ar"/>
        </w:rPr>
      </w:pPr>
      <w:r>
        <w:rPr>
          <w:rFonts w:hint="eastAsia" w:ascii="宋体" w:hAnsi="宋体" w:eastAsia="宋体" w:cs="Times New Roman"/>
          <w:color w:val="auto"/>
          <w:kern w:val="2"/>
          <w:sz w:val="24"/>
          <w:szCs w:val="20"/>
          <w:lang w:val="en-US" w:eastAsia="zh-CN" w:bidi="ar"/>
        </w:rPr>
        <w:t>联系人：</w:t>
      </w:r>
      <w:r>
        <w:rPr>
          <w:rFonts w:hint="eastAsia" w:ascii="宋体" w:hAnsi="宋体" w:cs="Times New Roman"/>
          <w:color w:val="auto"/>
          <w:kern w:val="2"/>
          <w:sz w:val="24"/>
          <w:szCs w:val="20"/>
          <w:lang w:val="en-US" w:eastAsia="zh-CN" w:bidi="ar"/>
        </w:rPr>
        <w:t>胡女士</w:t>
      </w:r>
    </w:p>
    <w:p>
      <w:pPr>
        <w:keepNext w:val="0"/>
        <w:keepLines w:val="0"/>
        <w:pageBreakBefore w:val="0"/>
        <w:widowControl w:val="0"/>
        <w:suppressLineNumbers w:val="0"/>
        <w:tabs>
          <w:tab w:val="left" w:pos="4200"/>
        </w:tabs>
        <w:kinsoku/>
        <w:wordWrap w:val="0"/>
        <w:overflowPunct/>
        <w:topLinePunct/>
        <w:autoSpaceDE w:val="0"/>
        <w:autoSpaceDN/>
        <w:bidi w:val="0"/>
        <w:snapToGrid w:val="0"/>
        <w:spacing w:beforeAutospacing="0" w:afterAutospacing="0" w:line="440" w:lineRule="exact"/>
        <w:ind w:left="0" w:leftChars="0" w:right="0" w:firstLine="494" w:firstLineChars="206"/>
        <w:jc w:val="left"/>
        <w:textAlignment w:val="auto"/>
        <w:rPr>
          <w:rFonts w:hint="default" w:ascii="宋体" w:hAnsi="宋体" w:eastAsia="宋体" w:cs="Times New Roman"/>
          <w:color w:val="auto"/>
          <w:kern w:val="2"/>
          <w:sz w:val="24"/>
          <w:szCs w:val="20"/>
          <w:lang w:val="en-US" w:eastAsia="zh-CN" w:bidi="ar"/>
        </w:rPr>
      </w:pPr>
      <w:r>
        <w:rPr>
          <w:rFonts w:hint="eastAsia" w:ascii="宋体" w:hAnsi="宋体" w:eastAsia="宋体" w:cs="Times New Roman"/>
          <w:color w:val="auto"/>
          <w:kern w:val="2"/>
          <w:sz w:val="24"/>
          <w:szCs w:val="20"/>
          <w:lang w:val="en-US" w:eastAsia="zh-CN" w:bidi="ar"/>
        </w:rPr>
        <w:t>联系方式：</w:t>
      </w:r>
      <w:r>
        <w:rPr>
          <w:rFonts w:hint="eastAsia" w:ascii="宋体" w:hAnsi="宋体" w:cs="Times New Roman"/>
          <w:color w:val="auto"/>
          <w:kern w:val="2"/>
          <w:sz w:val="24"/>
          <w:szCs w:val="20"/>
          <w:lang w:val="en-US" w:eastAsia="zh-CN" w:bidi="ar"/>
        </w:rPr>
        <w:t>0376-8788883</w:t>
      </w:r>
    </w:p>
    <w:p>
      <w:pPr>
        <w:keepNext w:val="0"/>
        <w:keepLines w:val="0"/>
        <w:pageBreakBefore w:val="0"/>
        <w:widowControl w:val="0"/>
        <w:suppressLineNumbers w:val="0"/>
        <w:tabs>
          <w:tab w:val="left" w:pos="4200"/>
        </w:tabs>
        <w:kinsoku/>
        <w:wordWrap w:val="0"/>
        <w:overflowPunct/>
        <w:topLinePunct/>
        <w:autoSpaceDE w:val="0"/>
        <w:autoSpaceDN/>
        <w:bidi w:val="0"/>
        <w:snapToGrid w:val="0"/>
        <w:spacing w:beforeAutospacing="0" w:afterAutospacing="0" w:line="440" w:lineRule="exact"/>
        <w:ind w:left="0" w:leftChars="0" w:right="0" w:firstLine="496" w:firstLineChars="206"/>
        <w:jc w:val="left"/>
        <w:textAlignment w:val="auto"/>
        <w:rPr>
          <w:b/>
          <w:bCs w:val="0"/>
          <w:color w:val="auto"/>
          <w:szCs w:val="24"/>
          <w:highlight w:val="none"/>
          <w:lang w:val="en-US"/>
        </w:rPr>
      </w:pPr>
      <w:r>
        <w:rPr>
          <w:rFonts w:hint="eastAsia" w:ascii="宋体" w:hAnsi="宋体" w:eastAsia="宋体" w:cs="宋体"/>
          <w:b/>
          <w:bCs w:val="0"/>
          <w:color w:val="auto"/>
          <w:kern w:val="0"/>
          <w:sz w:val="24"/>
          <w:szCs w:val="24"/>
          <w:highlight w:val="none"/>
          <w:lang w:val="en-US" w:eastAsia="zh-CN" w:bidi="ar"/>
        </w:rPr>
        <w:t>3、项目联系方式：</w:t>
      </w:r>
    </w:p>
    <w:p>
      <w:pPr>
        <w:keepNext w:val="0"/>
        <w:keepLines w:val="0"/>
        <w:pageBreakBefore w:val="0"/>
        <w:widowControl w:val="0"/>
        <w:kinsoku/>
        <w:wordWrap/>
        <w:overflowPunct/>
        <w:autoSpaceDE/>
        <w:autoSpaceDN/>
        <w:bidi w:val="0"/>
        <w:snapToGrid/>
        <w:spacing w:line="440" w:lineRule="exact"/>
        <w:ind w:left="0" w:leftChars="0" w:firstLine="480" w:firstLineChars="200"/>
        <w:textAlignment w:val="auto"/>
        <w:rPr>
          <w:rFonts w:hint="eastAsia" w:ascii="宋体" w:hAnsi="宋体" w:eastAsia="宋体" w:cs="Times New Roman"/>
          <w:color w:val="auto"/>
          <w:kern w:val="2"/>
          <w:sz w:val="24"/>
          <w:szCs w:val="20"/>
          <w:lang w:val="en-US" w:eastAsia="zh-CN" w:bidi="ar"/>
        </w:rPr>
      </w:pPr>
      <w:r>
        <w:rPr>
          <w:rFonts w:hint="eastAsia" w:ascii="宋体" w:hAnsi="宋体" w:eastAsia="宋体" w:cs="Times New Roman"/>
          <w:color w:val="auto"/>
          <w:kern w:val="2"/>
          <w:sz w:val="24"/>
          <w:szCs w:val="20"/>
          <w:lang w:val="en-US" w:eastAsia="zh-CN" w:bidi="ar"/>
        </w:rPr>
        <w:t>项目联系人：</w:t>
      </w:r>
      <w:r>
        <w:rPr>
          <w:rFonts w:hint="eastAsia" w:ascii="宋体" w:hAnsi="宋体" w:cs="Times New Roman"/>
          <w:color w:val="auto"/>
          <w:kern w:val="2"/>
          <w:sz w:val="24"/>
          <w:szCs w:val="20"/>
          <w:lang w:val="en-US" w:eastAsia="zh-CN" w:bidi="ar"/>
        </w:rPr>
        <w:t>胡女士</w:t>
      </w:r>
    </w:p>
    <w:p>
      <w:pPr>
        <w:keepNext w:val="0"/>
        <w:keepLines w:val="0"/>
        <w:pageBreakBefore w:val="0"/>
        <w:widowControl w:val="0"/>
        <w:kinsoku/>
        <w:wordWrap/>
        <w:overflowPunct/>
        <w:autoSpaceDE/>
        <w:autoSpaceDN/>
        <w:bidi w:val="0"/>
        <w:snapToGrid/>
        <w:spacing w:line="440" w:lineRule="exact"/>
        <w:ind w:left="0" w:leftChars="0" w:firstLine="480" w:firstLineChars="200"/>
        <w:textAlignment w:val="auto"/>
        <w:rPr>
          <w:rFonts w:hint="default" w:ascii="宋体" w:hAnsi="宋体" w:eastAsia="宋体" w:cs="Times New Roman"/>
          <w:color w:val="auto"/>
          <w:kern w:val="2"/>
          <w:sz w:val="24"/>
          <w:szCs w:val="20"/>
          <w:lang w:val="en-US" w:eastAsia="zh-CN" w:bidi="ar"/>
        </w:rPr>
      </w:pPr>
      <w:r>
        <w:rPr>
          <w:rFonts w:hint="eastAsia" w:ascii="宋体" w:hAnsi="宋体" w:eastAsia="宋体" w:cs="Times New Roman"/>
          <w:color w:val="auto"/>
          <w:kern w:val="2"/>
          <w:sz w:val="24"/>
          <w:szCs w:val="20"/>
          <w:lang w:val="en-US" w:eastAsia="zh-CN" w:bidi="ar"/>
        </w:rPr>
        <w:t>电话：</w:t>
      </w:r>
      <w:r>
        <w:rPr>
          <w:rFonts w:hint="eastAsia" w:ascii="宋体" w:hAnsi="宋体" w:cs="Times New Roman"/>
          <w:color w:val="auto"/>
          <w:kern w:val="2"/>
          <w:sz w:val="24"/>
          <w:szCs w:val="20"/>
          <w:lang w:val="en-US" w:eastAsia="zh-CN" w:bidi="ar"/>
        </w:rPr>
        <w:t>0376-8788883</w:t>
      </w:r>
    </w:p>
    <w:p>
      <w:pPr>
        <w:ind w:right="960"/>
        <w:rPr>
          <w:rFonts w:ascii="宋体" w:hAnsi="宋体" w:cs="宋体"/>
          <w:color w:val="auto"/>
        </w:rPr>
      </w:pPr>
      <w:r>
        <w:rPr>
          <w:rFonts w:hint="eastAsia" w:ascii="宋体" w:hAnsi="宋体" w:cs="宋体"/>
          <w:color w:val="auto"/>
          <w:szCs w:val="24"/>
        </w:rPr>
        <w:br w:type="page"/>
      </w:r>
    </w:p>
    <w:p>
      <w:pPr>
        <w:pStyle w:val="2"/>
        <w:keepNext/>
        <w:keepLines/>
        <w:pageBreakBefore w:val="0"/>
        <w:widowControl/>
        <w:kinsoku/>
        <w:wordWrap/>
        <w:overflowPunct/>
        <w:topLinePunct w:val="0"/>
        <w:autoSpaceDE/>
        <w:autoSpaceDN/>
        <w:bidi w:val="0"/>
        <w:adjustRightInd/>
        <w:snapToGrid/>
        <w:spacing w:line="240" w:lineRule="auto"/>
        <w:textAlignment w:val="auto"/>
        <w:rPr>
          <w:color w:val="auto"/>
        </w:rPr>
      </w:pPr>
      <w:bookmarkStart w:id="11" w:name="_Toc15117"/>
      <w:bookmarkStart w:id="12" w:name="_Toc26203_WPSOffice_Level1"/>
      <w:bookmarkStart w:id="13" w:name="_Toc17102"/>
      <w:r>
        <w:rPr>
          <w:rFonts w:hint="eastAsia"/>
          <w:color w:val="auto"/>
        </w:rPr>
        <w:t>第二章</w:t>
      </w:r>
      <w:r>
        <w:rPr>
          <w:rFonts w:hint="eastAsia"/>
          <w:color w:val="auto"/>
          <w:lang w:val="en-US" w:eastAsia="zh-CN"/>
        </w:rPr>
        <w:t xml:space="preserve">  </w:t>
      </w:r>
      <w:r>
        <w:rPr>
          <w:rFonts w:hint="eastAsia"/>
          <w:color w:val="auto"/>
        </w:rPr>
        <w:t>投标人须知</w:t>
      </w:r>
      <w:bookmarkEnd w:id="11"/>
      <w:bookmarkEnd w:id="12"/>
      <w:bookmarkEnd w:id="13"/>
    </w:p>
    <w:p>
      <w:pPr>
        <w:pStyle w:val="3"/>
        <w:keepNext/>
        <w:keepLines/>
        <w:pageBreakBefore w:val="0"/>
        <w:widowControl/>
        <w:kinsoku/>
        <w:wordWrap/>
        <w:overflowPunct/>
        <w:topLinePunct w:val="0"/>
        <w:autoSpaceDE/>
        <w:autoSpaceDN/>
        <w:bidi w:val="0"/>
        <w:adjustRightInd/>
        <w:snapToGrid/>
        <w:spacing w:after="0" w:line="400" w:lineRule="exact"/>
        <w:ind w:left="0" w:right="0" w:firstLine="0"/>
        <w:textAlignment w:val="auto"/>
        <w:rPr>
          <w:color w:val="auto"/>
        </w:rPr>
      </w:pPr>
      <w:bookmarkStart w:id="14" w:name="_Toc21106"/>
      <w:bookmarkStart w:id="15" w:name="_Toc22255"/>
      <w:bookmarkStart w:id="16" w:name="_Toc21481"/>
      <w:bookmarkStart w:id="17" w:name="_Toc16685"/>
      <w:bookmarkStart w:id="18" w:name="_Toc14266"/>
      <w:r>
        <w:rPr>
          <w:rFonts w:hint="eastAsia"/>
          <w:color w:val="auto"/>
        </w:rPr>
        <w:t>投标人须知前附表</w:t>
      </w:r>
      <w:bookmarkEnd w:id="14"/>
      <w:bookmarkEnd w:id="15"/>
      <w:bookmarkEnd w:id="16"/>
      <w:bookmarkEnd w:id="17"/>
      <w:bookmarkEnd w:id="18"/>
    </w:p>
    <w:tbl>
      <w:tblPr>
        <w:tblStyle w:val="33"/>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313"/>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ascii="宋体" w:hAnsi="宋体" w:cs="宋体"/>
                <w:b/>
                <w:bCs/>
                <w:color w:val="auto"/>
                <w:sz w:val="24"/>
                <w:szCs w:val="24"/>
              </w:rPr>
            </w:pPr>
            <w:r>
              <w:rPr>
                <w:rFonts w:hint="eastAsia" w:ascii="宋体" w:hAnsi="宋体" w:cs="宋体"/>
                <w:b/>
                <w:bCs/>
                <w:color w:val="auto"/>
                <w:sz w:val="24"/>
                <w:szCs w:val="24"/>
              </w:rPr>
              <w:t>条款号</w:t>
            </w:r>
          </w:p>
        </w:tc>
        <w:tc>
          <w:tcPr>
            <w:tcW w:w="231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ascii="宋体" w:hAnsi="宋体" w:cs="宋体"/>
                <w:b/>
                <w:bCs/>
                <w:color w:val="auto"/>
                <w:sz w:val="24"/>
                <w:szCs w:val="24"/>
              </w:rPr>
            </w:pPr>
            <w:r>
              <w:rPr>
                <w:rFonts w:hint="eastAsia" w:ascii="宋体" w:hAnsi="宋体" w:cs="宋体"/>
                <w:b/>
                <w:bCs/>
                <w:color w:val="auto"/>
                <w:sz w:val="24"/>
                <w:szCs w:val="24"/>
              </w:rPr>
              <w:t>条款名称</w:t>
            </w:r>
          </w:p>
        </w:tc>
        <w:tc>
          <w:tcPr>
            <w:tcW w:w="6949"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ascii="宋体" w:hAnsi="宋体" w:cs="宋体"/>
                <w:b/>
                <w:bCs/>
                <w:color w:val="auto"/>
                <w:sz w:val="24"/>
                <w:szCs w:val="24"/>
              </w:rPr>
            </w:pPr>
            <w:r>
              <w:rPr>
                <w:rFonts w:hint="eastAsia" w:ascii="宋体" w:hAnsi="宋体" w:cs="宋体"/>
                <w:b/>
                <w:bCs/>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采购人</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eastAsia" w:ascii="宋体" w:hAnsi="宋体" w:eastAsia="宋体" w:cs="宋体"/>
                <w:color w:val="auto"/>
                <w:sz w:val="24"/>
                <w:szCs w:val="24"/>
              </w:rPr>
            </w:pPr>
            <w:r>
              <w:rPr>
                <w:rFonts w:hint="eastAsia" w:ascii="宋体" w:hAnsi="宋体" w:cs="宋体"/>
                <w:color w:val="auto"/>
                <w:sz w:val="24"/>
                <w:szCs w:val="24"/>
              </w:rPr>
              <w:t>采购人：</w:t>
            </w:r>
            <w:r>
              <w:rPr>
                <w:rFonts w:hint="eastAsia" w:ascii="宋体" w:hAnsi="宋体" w:cs="宋体"/>
                <w:color w:val="auto"/>
                <w:sz w:val="24"/>
                <w:szCs w:val="24"/>
                <w:lang w:val="en-US" w:eastAsia="zh-CN"/>
              </w:rPr>
              <w:t>光山县农业农村局</w:t>
            </w:r>
          </w:p>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cs="宋体"/>
                <w:color w:val="auto"/>
                <w:sz w:val="24"/>
                <w:szCs w:val="24"/>
                <w:lang w:eastAsia="zh-CN"/>
              </w:rPr>
              <w:t>光山县九龙路七星湖宾馆东侧</w:t>
            </w:r>
          </w:p>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联系人：</w:t>
            </w:r>
            <w:r>
              <w:rPr>
                <w:rFonts w:hint="eastAsia" w:ascii="宋体" w:hAnsi="宋体" w:cs="宋体"/>
                <w:color w:val="auto"/>
                <w:kern w:val="0"/>
                <w:sz w:val="24"/>
                <w:szCs w:val="24"/>
                <w:lang w:val="en-US" w:eastAsia="zh-CN"/>
              </w:rPr>
              <w:t>涂女士</w:t>
            </w:r>
            <w:r>
              <w:rPr>
                <w:rFonts w:hint="default" w:ascii="宋体" w:hAnsi="宋体" w:eastAsia="宋体" w:cs="宋体"/>
                <w:color w:val="auto"/>
                <w:kern w:val="0"/>
                <w:sz w:val="24"/>
                <w:szCs w:val="24"/>
                <w:lang w:val="en-US" w:eastAsia="zh-CN"/>
              </w:rPr>
              <w:t xml:space="preserve"> </w:t>
            </w:r>
          </w:p>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联系方式：13523999768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采购代理机构</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采购代理机构：</w:t>
            </w:r>
            <w:r>
              <w:rPr>
                <w:rFonts w:hint="eastAsia" w:ascii="宋体" w:hAnsi="宋体" w:cs="宋体"/>
                <w:color w:val="auto"/>
                <w:sz w:val="24"/>
                <w:szCs w:val="24"/>
                <w:lang w:val="en-US" w:eastAsia="zh-CN"/>
              </w:rPr>
              <w:t>中大国信工程管理有限公司</w:t>
            </w:r>
          </w:p>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地址：</w:t>
            </w:r>
            <w:r>
              <w:rPr>
                <w:rFonts w:hint="eastAsia" w:ascii="宋体" w:hAnsi="宋体" w:cs="宋体"/>
                <w:color w:val="auto"/>
                <w:sz w:val="24"/>
                <w:szCs w:val="24"/>
                <w:lang w:eastAsia="zh-CN"/>
              </w:rPr>
              <w:t>光山县盛世九龙小区南面门面房</w:t>
            </w:r>
          </w:p>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胡女士</w:t>
            </w:r>
          </w:p>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default" w:ascii="宋体" w:hAnsi="宋体" w:cs="宋体"/>
                <w:color w:val="auto"/>
                <w:sz w:val="24"/>
                <w:szCs w:val="24"/>
                <w:lang w:val="en-US"/>
              </w:rPr>
            </w:pPr>
            <w:r>
              <w:rPr>
                <w:rFonts w:hint="eastAsia" w:ascii="宋体" w:hAnsi="宋体" w:cs="宋体"/>
                <w:color w:val="auto"/>
                <w:sz w:val="24"/>
                <w:szCs w:val="24"/>
              </w:rPr>
              <w:t>联系方式：</w:t>
            </w:r>
            <w:r>
              <w:rPr>
                <w:rFonts w:hint="eastAsia" w:ascii="宋体" w:hAnsi="宋体" w:cs="宋体"/>
                <w:color w:val="auto"/>
                <w:sz w:val="24"/>
                <w:szCs w:val="24"/>
                <w:lang w:val="en-US" w:eastAsia="zh-CN"/>
              </w:rPr>
              <w:t>0376-8788883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项目名称</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eastAsia="zh-CN"/>
              </w:rPr>
              <w:t>2024年光山县农业生产社会化服务项目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采购方式</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eastAsia" w:ascii="宋体" w:hAnsi="宋体" w:cs="宋体"/>
                <w:color w:val="auto"/>
                <w:sz w:val="24"/>
                <w:szCs w:val="24"/>
              </w:rPr>
            </w:pPr>
            <w:r>
              <w:rPr>
                <w:rFonts w:hint="eastAsia" w:ascii="宋体" w:hAnsi="宋体" w:cs="宋体"/>
                <w:color w:val="auto"/>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出资比例</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资金来源</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中央财政专项资金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kern w:val="0"/>
                <w:sz w:val="24"/>
                <w:szCs w:val="24"/>
              </w:rPr>
              <w:t>采购内容</w:t>
            </w:r>
          </w:p>
        </w:tc>
        <w:tc>
          <w:tcPr>
            <w:tcW w:w="694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lang w:val="en-US" w:eastAsia="zh-CN"/>
              </w:rPr>
              <w:t>详见采购内容及要求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lang w:val="en-US" w:eastAsia="zh-CN"/>
              </w:rPr>
              <w:t>服务期限</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eastAsia" w:ascii="宋体" w:hAnsi="宋体" w:eastAsia="宋体" w:cs="宋体"/>
                <w:bCs/>
                <w:iCs/>
                <w:color w:val="auto"/>
                <w:sz w:val="24"/>
                <w:szCs w:val="24"/>
                <w:lang w:eastAsia="zh-CN"/>
              </w:rPr>
            </w:pPr>
            <w:r>
              <w:rPr>
                <w:rFonts w:hint="eastAsia" w:ascii="宋体" w:hAnsi="宋体" w:cs="宋体"/>
                <w:bCs/>
                <w:iCs/>
                <w:color w:val="auto"/>
                <w:sz w:val="24"/>
                <w:szCs w:val="24"/>
                <w:lang w:val="en-US" w:eastAsia="zh-CN"/>
              </w:rPr>
              <w:t>接采购人通知的30日历天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lang w:val="en-US" w:eastAsia="zh-CN"/>
              </w:rPr>
              <w:t>项目</w:t>
            </w:r>
            <w:r>
              <w:rPr>
                <w:rFonts w:hint="eastAsia" w:ascii="宋体" w:hAnsi="宋体" w:cs="宋体"/>
                <w:color w:val="auto"/>
                <w:sz w:val="24"/>
                <w:szCs w:val="24"/>
              </w:rPr>
              <w:t>地点</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eastAsia" w:ascii="宋体" w:hAnsi="宋体" w:eastAsia="宋体" w:cs="宋体"/>
                <w:bCs/>
                <w:iCs/>
                <w:color w:val="auto"/>
                <w:sz w:val="24"/>
                <w:szCs w:val="24"/>
                <w:lang w:eastAsia="zh-CN"/>
              </w:rPr>
            </w:pPr>
            <w:r>
              <w:rPr>
                <w:rFonts w:hint="eastAsia" w:ascii="宋体" w:hAnsi="宋体" w:cs="宋体"/>
                <w:color w:val="auto"/>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2313" w:type="dxa"/>
            <w:vAlign w:val="center"/>
          </w:tcPr>
          <w:p>
            <w:pPr>
              <w:pStyle w:val="68"/>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color w:val="auto"/>
                <w:sz w:val="24"/>
                <w:szCs w:val="24"/>
              </w:rPr>
            </w:pPr>
            <w:r>
              <w:rPr>
                <w:rFonts w:hint="eastAsia"/>
                <w:color w:val="auto"/>
                <w:kern w:val="2"/>
                <w:sz w:val="24"/>
                <w:szCs w:val="24"/>
                <w:lang w:val="zh-CN"/>
              </w:rPr>
              <w:t>质量</w:t>
            </w:r>
            <w:r>
              <w:rPr>
                <w:rFonts w:hint="eastAsia"/>
                <w:color w:val="auto"/>
                <w:kern w:val="2"/>
                <w:sz w:val="24"/>
                <w:szCs w:val="24"/>
              </w:rPr>
              <w:t>要求</w:t>
            </w:r>
          </w:p>
        </w:tc>
        <w:tc>
          <w:tcPr>
            <w:tcW w:w="694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质量合格，符合现行国家技术规范、标准及采购人的要求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lang w:val="zh-CN"/>
              </w:rPr>
            </w:pPr>
            <w:r>
              <w:rPr>
                <w:rFonts w:hint="eastAsia" w:ascii="宋体" w:hAnsi="宋体" w:cs="宋体"/>
                <w:color w:val="auto"/>
                <w:sz w:val="24"/>
                <w:szCs w:val="24"/>
                <w:lang w:val="zh-CN"/>
              </w:rPr>
              <w:t>付款方式</w:t>
            </w:r>
          </w:p>
        </w:tc>
        <w:tc>
          <w:tcPr>
            <w:tcW w:w="694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default" w:ascii="宋体" w:hAnsi="宋体" w:eastAsia="宋体" w:cs="宋体"/>
                <w:color w:val="auto"/>
                <w:sz w:val="24"/>
                <w:szCs w:val="24"/>
                <w:lang w:val="en-US" w:eastAsia="zh-CN"/>
              </w:rPr>
            </w:pPr>
            <w:r>
              <w:rPr>
                <w:rFonts w:hint="eastAsia" w:ascii="宋体" w:hAnsi="宋体" w:eastAsia="宋体" w:cs="Times New Roman"/>
                <w:color w:val="auto"/>
                <w:spacing w:val="1"/>
                <w:kern w:val="0"/>
                <w:sz w:val="22"/>
                <w:szCs w:val="22"/>
                <w:highlight w:val="none"/>
              </w:rPr>
              <w:t>按照采购人要求执行，最终以合同签订的付款方式为准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投标人</w:t>
            </w:r>
            <w:r>
              <w:rPr>
                <w:rFonts w:hint="eastAsia" w:ascii="宋体" w:hAnsi="宋体" w:eastAsia="宋体" w:cs="宋体"/>
                <w:color w:val="auto"/>
                <w:kern w:val="0"/>
                <w:sz w:val="24"/>
                <w:szCs w:val="24"/>
              </w:rPr>
              <w:t>资格</w:t>
            </w:r>
            <w:r>
              <w:rPr>
                <w:rFonts w:hint="eastAsia" w:ascii="宋体" w:hAnsi="宋体" w:cs="宋体"/>
                <w:color w:val="auto"/>
                <w:kern w:val="0"/>
                <w:sz w:val="24"/>
                <w:szCs w:val="24"/>
              </w:rPr>
              <w:t>条件</w:t>
            </w:r>
          </w:p>
        </w:tc>
        <w:tc>
          <w:tcPr>
            <w:tcW w:w="6949" w:type="dxa"/>
            <w:vAlign w:val="center"/>
          </w:tcPr>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b/>
                <w:bCs/>
                <w:color w:val="auto"/>
                <w:kern w:val="0"/>
                <w:sz w:val="24"/>
                <w:szCs w:val="20"/>
                <w:lang w:eastAsia="zh-CN"/>
              </w:rPr>
            </w:pPr>
            <w:r>
              <w:rPr>
                <w:rFonts w:hint="eastAsia" w:ascii="宋体" w:hAnsi="宋体" w:eastAsia="宋体" w:cs="宋体"/>
                <w:b/>
                <w:bCs/>
                <w:color w:val="auto"/>
                <w:kern w:val="0"/>
                <w:sz w:val="24"/>
                <w:szCs w:val="20"/>
                <w:lang w:eastAsia="zh-CN"/>
              </w:rPr>
              <w:t>供应商资格要求：</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lang w:eastAsia="zh-CN"/>
              </w:rPr>
              <w:t>1、满足《中华人民共和国政府采购法》第二十二条规定。</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1.1</w:t>
            </w:r>
            <w:r>
              <w:rPr>
                <w:rFonts w:hint="eastAsia" w:ascii="宋体" w:hAnsi="宋体" w:eastAsia="宋体" w:cs="宋体"/>
                <w:color w:val="auto"/>
                <w:kern w:val="0"/>
                <w:sz w:val="24"/>
                <w:szCs w:val="20"/>
                <w:lang w:eastAsia="zh-CN"/>
              </w:rPr>
              <w:t>具有独立承担民事责任的能力（提供法人或者其他组织的营业执照等证明文件，自然人的身份证明）；</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1.2</w:t>
            </w:r>
            <w:r>
              <w:rPr>
                <w:rFonts w:hint="eastAsia" w:ascii="宋体" w:hAnsi="宋体" w:eastAsia="宋体" w:cs="宋体"/>
                <w:color w:val="auto"/>
                <w:kern w:val="0"/>
                <w:sz w:val="24"/>
                <w:szCs w:val="20"/>
                <w:lang w:eastAsia="zh-CN"/>
              </w:rPr>
              <w:t>具有良好的商业信誉和健全的财务会计制度（供应商须提供202</w:t>
            </w:r>
            <w:r>
              <w:rPr>
                <w:rFonts w:hint="eastAsia" w:cs="宋体"/>
                <w:color w:val="auto"/>
                <w:kern w:val="0"/>
                <w:sz w:val="24"/>
                <w:szCs w:val="20"/>
                <w:lang w:val="en-US" w:eastAsia="zh-CN"/>
              </w:rPr>
              <w:t>2</w:t>
            </w:r>
            <w:r>
              <w:rPr>
                <w:rFonts w:hint="eastAsia" w:ascii="宋体" w:hAnsi="宋体" w:eastAsia="宋体" w:cs="宋体"/>
                <w:color w:val="auto"/>
                <w:kern w:val="0"/>
                <w:sz w:val="24"/>
                <w:szCs w:val="20"/>
                <w:lang w:eastAsia="zh-CN"/>
              </w:rPr>
              <w:t>年度或202</w:t>
            </w:r>
            <w:r>
              <w:rPr>
                <w:rFonts w:hint="eastAsia" w:cs="宋体"/>
                <w:color w:val="auto"/>
                <w:kern w:val="0"/>
                <w:sz w:val="24"/>
                <w:szCs w:val="20"/>
                <w:lang w:val="en-US" w:eastAsia="zh-CN"/>
              </w:rPr>
              <w:t>3</w:t>
            </w:r>
            <w:r>
              <w:rPr>
                <w:rFonts w:hint="eastAsia" w:ascii="宋体" w:hAnsi="宋体" w:eastAsia="宋体" w:cs="宋体"/>
                <w:color w:val="auto"/>
                <w:kern w:val="0"/>
                <w:sz w:val="24"/>
                <w:szCs w:val="20"/>
                <w:lang w:eastAsia="zh-CN"/>
              </w:rPr>
              <w:t>年度经审计的财务审计报告或基本户开户行出具的资信证明）；</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1.3</w:t>
            </w:r>
            <w:r>
              <w:rPr>
                <w:rFonts w:hint="eastAsia" w:ascii="宋体" w:hAnsi="宋体" w:eastAsia="宋体" w:cs="宋体"/>
                <w:color w:val="auto"/>
                <w:kern w:val="0"/>
                <w:sz w:val="24"/>
                <w:szCs w:val="20"/>
                <w:lang w:eastAsia="zh-CN"/>
              </w:rPr>
              <w:t>具有履行合同所必需的设备和专业技术能力（提供书面声明，格式自拟）；</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1.4</w:t>
            </w:r>
            <w:r>
              <w:rPr>
                <w:rFonts w:hint="eastAsia" w:ascii="宋体" w:hAnsi="宋体" w:eastAsia="宋体" w:cs="宋体"/>
                <w:color w:val="auto"/>
                <w:kern w:val="0"/>
                <w:sz w:val="24"/>
                <w:szCs w:val="20"/>
                <w:lang w:eastAsia="zh-CN"/>
              </w:rPr>
              <w:t>参加政府采购活动前三年内，在经营活动中没有重大违法记录（提供书面声明，格式自拟）；</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1.5</w:t>
            </w:r>
            <w:r>
              <w:rPr>
                <w:rFonts w:hint="eastAsia" w:ascii="宋体" w:hAnsi="宋体" w:eastAsia="宋体" w:cs="宋体"/>
                <w:color w:val="auto"/>
                <w:kern w:val="0"/>
                <w:sz w:val="24"/>
                <w:szCs w:val="20"/>
                <w:lang w:eastAsia="zh-CN"/>
              </w:rPr>
              <w:t>法律、行政法规规定的其他条件（提供书面声明，格式自拟）。</w:t>
            </w:r>
          </w:p>
          <w:p>
            <w:pPr>
              <w:pStyle w:val="31"/>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b/>
                <w:bCs/>
                <w:color w:val="auto"/>
                <w:kern w:val="0"/>
                <w:sz w:val="24"/>
                <w:szCs w:val="20"/>
                <w:lang w:eastAsia="zh-CN"/>
              </w:rPr>
            </w:pPr>
            <w:r>
              <w:rPr>
                <w:rFonts w:hint="eastAsia" w:ascii="宋体" w:hAnsi="宋体" w:eastAsia="宋体" w:cs="宋体"/>
                <w:color w:val="auto"/>
                <w:kern w:val="0"/>
                <w:sz w:val="24"/>
                <w:szCs w:val="20"/>
                <w:lang w:eastAsia="zh-CN"/>
              </w:rPr>
              <w:t>落实政府采购政策满足的资格要求：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执行促进中小型企业发展政策（残疾人福利性企业、监狱企业视同小微企业）、优先采购节能环保产品等政府采购政策。</w:t>
            </w:r>
            <w:r>
              <w:rPr>
                <w:rFonts w:hint="eastAsia" w:ascii="宋体" w:hAnsi="宋体" w:eastAsia="宋体" w:cs="宋体"/>
                <w:b/>
                <w:bCs/>
                <w:color w:val="auto"/>
                <w:kern w:val="0"/>
                <w:sz w:val="24"/>
                <w:szCs w:val="20"/>
                <w:lang w:eastAsia="zh-CN"/>
              </w:rPr>
              <w:t>本项目的特定资格要求：</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3.1</w:t>
            </w:r>
            <w:r>
              <w:rPr>
                <w:rFonts w:hint="eastAsia" w:ascii="宋体" w:hAnsi="宋体" w:eastAsia="宋体" w:cs="宋体"/>
                <w:color w:val="auto"/>
                <w:kern w:val="0"/>
                <w:sz w:val="24"/>
                <w:szCs w:val="20"/>
                <w:lang w:eastAsia="zh-CN"/>
              </w:rPr>
              <w:t>承接项目实施的社会服务主体应有一定的社会化服务经验，原则上从事社会化服务达两年以上，被认定为市级以上(含市级)农业社会化服务示范组织、农民合作社示范社、农业产业化龙头企业、家庭农场等。其它愿意承担社会化服务的组织，需提供国家认可的相应资质。</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3.2</w:t>
            </w:r>
            <w:r>
              <w:rPr>
                <w:rFonts w:hint="eastAsia" w:ascii="宋体" w:hAnsi="宋体" w:eastAsia="宋体" w:cs="宋体"/>
                <w:color w:val="auto"/>
                <w:kern w:val="0"/>
                <w:sz w:val="24"/>
                <w:szCs w:val="20"/>
                <w:lang w:eastAsia="zh-CN"/>
              </w:rPr>
              <w:t>拥有与农业社会化服务内容、服务能力相匹配的专业技术人员、场地、专业农业机械和设备等，拖拉机、旋耕机、收割机及其它农业机械设备等5台套以上</w:t>
            </w:r>
            <w:r>
              <w:rPr>
                <w:rFonts w:hint="eastAsia" w:cs="宋体"/>
                <w:color w:val="auto"/>
                <w:kern w:val="0"/>
                <w:sz w:val="24"/>
                <w:szCs w:val="20"/>
                <w:lang w:eastAsia="zh-CN"/>
              </w:rPr>
              <w:t>（需提供农机租赁合同及发票）</w:t>
            </w:r>
            <w:r>
              <w:rPr>
                <w:rFonts w:hint="eastAsia" w:ascii="宋体" w:hAnsi="宋体" w:eastAsia="宋体" w:cs="宋体"/>
                <w:color w:val="auto"/>
                <w:kern w:val="0"/>
                <w:sz w:val="24"/>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3</w:t>
            </w:r>
            <w:r>
              <w:rPr>
                <w:rFonts w:hint="eastAsia" w:ascii="宋体" w:hAnsi="宋体" w:eastAsia="宋体" w:cs="宋体"/>
                <w:color w:val="auto"/>
                <w:kern w:val="0"/>
                <w:sz w:val="24"/>
                <w:szCs w:val="20"/>
                <w:lang w:eastAsia="zh-CN"/>
              </w:rPr>
              <w:t>.</w:t>
            </w:r>
            <w:r>
              <w:rPr>
                <w:rFonts w:hint="eastAsia" w:cs="宋体"/>
                <w:color w:val="auto"/>
                <w:kern w:val="0"/>
                <w:sz w:val="24"/>
                <w:szCs w:val="20"/>
                <w:lang w:val="en-US" w:eastAsia="zh-CN"/>
              </w:rPr>
              <w:t>3</w:t>
            </w:r>
            <w:r>
              <w:rPr>
                <w:rFonts w:hint="eastAsia" w:ascii="宋体" w:hAnsi="宋体" w:eastAsia="宋体" w:cs="宋体"/>
                <w:color w:val="auto"/>
                <w:kern w:val="0"/>
                <w:sz w:val="24"/>
                <w:szCs w:val="20"/>
                <w:lang w:eastAsia="zh-CN"/>
              </w:rPr>
              <w:t>对列入严重失信主体名单、重大税收违法失信主体、政府采购严重违法失信行为记录名单的投标人，经查询有失信记录的将被取消投标资格。查询渠道：“信用中国”网站（www.creditchina.gov.cn）和中国政府采购网（www.ccgp.gov.cn）。【采购人、采购代理机构将信用信息查询记录及相关证据与其他采购文件一并保存。查询截止时间：本项目投标截止时间】。</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3</w:t>
            </w:r>
            <w:r>
              <w:rPr>
                <w:rFonts w:hint="eastAsia" w:ascii="宋体" w:hAnsi="宋体" w:eastAsia="宋体" w:cs="宋体"/>
                <w:color w:val="auto"/>
                <w:kern w:val="0"/>
                <w:sz w:val="24"/>
                <w:szCs w:val="20"/>
                <w:lang w:eastAsia="zh-CN"/>
              </w:rPr>
              <w:t>.</w:t>
            </w:r>
            <w:r>
              <w:rPr>
                <w:rFonts w:hint="eastAsia" w:cs="宋体"/>
                <w:color w:val="auto"/>
                <w:kern w:val="0"/>
                <w:sz w:val="24"/>
                <w:szCs w:val="20"/>
                <w:lang w:val="en-US" w:eastAsia="zh-CN"/>
              </w:rPr>
              <w:t>4</w:t>
            </w:r>
            <w:r>
              <w:rPr>
                <w:rFonts w:hint="eastAsia" w:ascii="宋体" w:hAnsi="宋体" w:eastAsia="宋体" w:cs="宋体"/>
                <w:color w:val="auto"/>
                <w:kern w:val="0"/>
                <w:sz w:val="24"/>
                <w:szCs w:val="20"/>
                <w:lang w:eastAsia="zh-CN"/>
              </w:rPr>
              <w:t>供应商与采购人或采购人就本次采购的服务委托的采购代理机构及其附属机构没有行政或经济关联；</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3</w:t>
            </w:r>
            <w:r>
              <w:rPr>
                <w:rFonts w:hint="eastAsia" w:ascii="宋体" w:hAnsi="宋体" w:eastAsia="宋体" w:cs="宋体"/>
                <w:color w:val="auto"/>
                <w:kern w:val="0"/>
                <w:sz w:val="24"/>
                <w:szCs w:val="20"/>
                <w:lang w:eastAsia="zh-CN"/>
              </w:rPr>
              <w:t>.</w:t>
            </w:r>
            <w:r>
              <w:rPr>
                <w:rFonts w:hint="eastAsia" w:cs="宋体"/>
                <w:color w:val="auto"/>
                <w:kern w:val="0"/>
                <w:sz w:val="24"/>
                <w:szCs w:val="20"/>
                <w:lang w:val="en-US" w:eastAsia="zh-CN"/>
              </w:rPr>
              <w:t>5</w:t>
            </w:r>
            <w:r>
              <w:rPr>
                <w:rFonts w:hint="eastAsia" w:ascii="宋体" w:hAnsi="宋体" w:eastAsia="宋体" w:cs="宋体"/>
                <w:color w:val="auto"/>
                <w:kern w:val="0"/>
                <w:sz w:val="24"/>
                <w:szCs w:val="20"/>
                <w:lang w:eastAsia="zh-CN"/>
              </w:rPr>
              <w:t>单位负责人为同一人或者存在直接控股、管理关系的不同单位，不得同时参加同一合同项目下的政府采购活动；</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cs="宋体"/>
                <w:color w:val="auto"/>
                <w:kern w:val="0"/>
                <w:sz w:val="24"/>
                <w:szCs w:val="20"/>
                <w:lang w:val="en-US" w:eastAsia="zh-CN"/>
              </w:rPr>
              <w:t>3</w:t>
            </w:r>
            <w:r>
              <w:rPr>
                <w:rFonts w:hint="eastAsia" w:ascii="宋体" w:hAnsi="宋体" w:eastAsia="宋体" w:cs="宋体"/>
                <w:color w:val="auto"/>
                <w:kern w:val="0"/>
                <w:sz w:val="24"/>
                <w:szCs w:val="20"/>
                <w:lang w:eastAsia="zh-CN"/>
              </w:rPr>
              <w:t>.</w:t>
            </w:r>
            <w:r>
              <w:rPr>
                <w:rFonts w:hint="eastAsia" w:cs="宋体"/>
                <w:color w:val="auto"/>
                <w:kern w:val="0"/>
                <w:sz w:val="24"/>
                <w:szCs w:val="20"/>
                <w:lang w:val="en-US" w:eastAsia="zh-CN"/>
              </w:rPr>
              <w:t>6</w:t>
            </w:r>
            <w:r>
              <w:rPr>
                <w:rFonts w:hint="eastAsia" w:ascii="宋体" w:hAnsi="宋体" w:eastAsia="宋体" w:cs="宋体"/>
                <w:color w:val="auto"/>
                <w:kern w:val="0"/>
                <w:sz w:val="24"/>
                <w:szCs w:val="20"/>
                <w:lang w:eastAsia="zh-CN"/>
              </w:rPr>
              <w:t>本项目采用资格后审方法。</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lang w:eastAsia="zh-CN"/>
              </w:rPr>
              <w:t>注：一个供应商只允许中1个包，如有供应商同时为多个包的第一中标候选人，则确定此供应商为其中前一个包的中标人，此供应商中标的其他包则确定第二中标候选人为中标人。如果一个包段第一中标候选人已中前面包，那么确定第二中标候选人为本包中标人，如果第二中标候选人也中标了前面包，那么确定第三中标候选人为本包中标人。以此类推顺延，直至最终确定本包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231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是否接受联合体投标</w:t>
            </w:r>
          </w:p>
        </w:tc>
        <w:tc>
          <w:tcPr>
            <w:tcW w:w="6949"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231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cs="宋体"/>
                <w:color w:val="auto"/>
                <w:sz w:val="24"/>
                <w:szCs w:val="24"/>
              </w:rPr>
            </w:pPr>
            <w:r>
              <w:rPr>
                <w:rFonts w:hint="eastAsia" w:ascii="宋体" w:hAnsi="宋体" w:cs="宋体"/>
                <w:color w:val="auto"/>
                <w:spacing w:val="-6"/>
                <w:kern w:val="0"/>
                <w:sz w:val="22"/>
                <w:szCs w:val="22"/>
              </w:rPr>
              <w:t>投标人提出问题的截止时间</w:t>
            </w:r>
          </w:p>
        </w:tc>
        <w:tc>
          <w:tcPr>
            <w:tcW w:w="6949"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宋体" w:hAnsi="宋体" w:cs="宋体"/>
                <w:color w:val="auto"/>
                <w:sz w:val="24"/>
                <w:szCs w:val="24"/>
                <w:highlight w:val="yellow"/>
              </w:rPr>
            </w:pPr>
            <w:r>
              <w:rPr>
                <w:rFonts w:hint="eastAsia" w:ascii="宋体" w:hAnsi="宋体" w:cs="宋体"/>
                <w:color w:val="auto"/>
                <w:sz w:val="22"/>
                <w:szCs w:val="22"/>
                <w:lang w:eastAsia="zh-CN"/>
              </w:rPr>
              <w:t>提</w:t>
            </w:r>
            <w:r>
              <w:rPr>
                <w:rFonts w:hint="eastAsia" w:ascii="宋体" w:hAnsi="宋体" w:cs="宋体"/>
                <w:color w:val="auto"/>
                <w:sz w:val="22"/>
                <w:szCs w:val="22"/>
              </w:rPr>
              <w:t>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231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81" w:leftChars="0" w:right="-62" w:rightChars="-26" w:hanging="81" w:hangingChars="37"/>
              <w:jc w:val="center"/>
              <w:textAlignment w:val="auto"/>
              <w:rPr>
                <w:rFonts w:hint="eastAsia" w:ascii="宋体" w:hAnsi="宋体" w:cs="宋体"/>
                <w:color w:val="auto"/>
                <w:sz w:val="24"/>
                <w:szCs w:val="24"/>
              </w:rPr>
            </w:pPr>
            <w:r>
              <w:rPr>
                <w:rFonts w:hint="eastAsia" w:ascii="宋体" w:hAnsi="宋体" w:cs="宋体"/>
                <w:color w:val="auto"/>
                <w:kern w:val="0"/>
                <w:sz w:val="22"/>
                <w:szCs w:val="22"/>
                <w:lang w:eastAsia="zh-CN"/>
              </w:rPr>
              <w:t>采购人</w:t>
            </w:r>
            <w:r>
              <w:rPr>
                <w:rFonts w:hint="eastAsia" w:ascii="宋体" w:hAnsi="宋体" w:cs="宋体"/>
                <w:color w:val="auto"/>
                <w:kern w:val="0"/>
                <w:sz w:val="22"/>
                <w:szCs w:val="22"/>
              </w:rPr>
              <w:t>书面澄清的时间</w:t>
            </w:r>
          </w:p>
        </w:tc>
        <w:tc>
          <w:tcPr>
            <w:tcW w:w="6949"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宋体" w:hAnsi="宋体" w:cs="宋体"/>
                <w:color w:val="auto"/>
                <w:sz w:val="24"/>
                <w:szCs w:val="24"/>
                <w:highlight w:val="yellow"/>
              </w:rPr>
            </w:pPr>
            <w:r>
              <w:rPr>
                <w:rFonts w:hint="eastAsia" w:ascii="宋体" w:hAnsi="宋体" w:cs="宋体"/>
                <w:color w:val="auto"/>
                <w:sz w:val="22"/>
                <w:szCs w:val="22"/>
                <w:lang w:eastAsia="zh-CN"/>
              </w:rPr>
              <w:t>提</w:t>
            </w:r>
            <w:r>
              <w:rPr>
                <w:rFonts w:hint="eastAsia" w:ascii="宋体" w:hAnsi="宋体" w:cs="宋体"/>
                <w:color w:val="auto"/>
                <w:sz w:val="22"/>
                <w:szCs w:val="22"/>
              </w:rPr>
              <w:t>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231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投标截止时间</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9时30分</w:t>
            </w:r>
            <w:r>
              <w:rPr>
                <w:rFonts w:hint="eastAsia" w:ascii="宋体" w:hAnsi="宋体" w:cs="宋体"/>
                <w:color w:val="auto"/>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投标有效期</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投标文件</w:t>
            </w:r>
            <w:r>
              <w:rPr>
                <w:rFonts w:hint="eastAsia" w:ascii="宋体" w:hAnsi="宋体" w:cs="宋体"/>
                <w:color w:val="auto"/>
                <w:sz w:val="24"/>
                <w:szCs w:val="24"/>
                <w:lang w:eastAsia="zh-CN"/>
              </w:rPr>
              <w:t>提</w:t>
            </w:r>
            <w:r>
              <w:rPr>
                <w:rFonts w:hint="eastAsia" w:ascii="宋体" w:hAnsi="宋体" w:cs="宋体"/>
                <w:color w:val="auto"/>
                <w:sz w:val="24"/>
                <w:szCs w:val="24"/>
              </w:rPr>
              <w:t>交截止之日起60日历天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18</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b/>
                <w:bCs/>
                <w:color w:val="auto"/>
                <w:sz w:val="24"/>
                <w:szCs w:val="24"/>
              </w:rPr>
            </w:pPr>
            <w:r>
              <w:rPr>
                <w:rFonts w:hint="eastAsia" w:ascii="宋体" w:hAnsi="宋体" w:cs="宋体"/>
                <w:color w:val="auto"/>
                <w:sz w:val="24"/>
                <w:szCs w:val="24"/>
              </w:rPr>
              <w:t>投标保证金</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bCs/>
                <w:color w:val="auto"/>
                <w:spacing w:val="1"/>
                <w:kern w:val="0"/>
                <w:sz w:val="24"/>
                <w:szCs w:val="24"/>
              </w:rPr>
            </w:pPr>
            <w:r>
              <w:rPr>
                <w:rFonts w:hint="eastAsia" w:ascii="宋体" w:hAnsi="宋体" w:cs="宋体"/>
                <w:bCs/>
                <w:color w:val="auto"/>
                <w:spacing w:val="1"/>
                <w:kern w:val="0"/>
                <w:sz w:val="24"/>
                <w:szCs w:val="24"/>
              </w:rPr>
              <w:t>本项目不需要提供投标保证金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231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签字和盖章要求</w:t>
            </w:r>
          </w:p>
        </w:tc>
        <w:tc>
          <w:tcPr>
            <w:tcW w:w="6949" w:type="dxa"/>
            <w:vAlign w:val="center"/>
          </w:tcPr>
          <w:p>
            <w:pPr>
              <w:keepNext w:val="0"/>
              <w:keepLines w:val="0"/>
              <w:pageBreakBefore w:val="0"/>
              <w:widowControl/>
              <w:kinsoku/>
              <w:wordWrap/>
              <w:overflowPunct/>
              <w:topLinePunct w:val="0"/>
              <w:autoSpaceDE w:val="0"/>
              <w:autoSpaceDN w:val="0"/>
              <w:bidi w:val="0"/>
              <w:adjustRightInd/>
              <w:snapToGrid/>
              <w:spacing w:line="34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1、所有要求投标人加盖单位公章的地方都须加盖投标人的CA印章。</w:t>
            </w:r>
          </w:p>
          <w:p>
            <w:pPr>
              <w:keepNext w:val="0"/>
              <w:keepLines w:val="0"/>
              <w:pageBreakBefore w:val="0"/>
              <w:widowControl/>
              <w:kinsoku/>
              <w:wordWrap/>
              <w:overflowPunct/>
              <w:topLinePunct w:val="0"/>
              <w:autoSpaceDE w:val="0"/>
              <w:autoSpaceDN w:val="0"/>
              <w:bidi w:val="0"/>
              <w:adjustRightInd/>
              <w:snapToGrid/>
              <w:spacing w:line="34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所有要求法定代表人或其委托代理人签字</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或</w:t>
            </w:r>
            <w:r>
              <w:rPr>
                <w:rFonts w:hint="eastAsia" w:ascii="宋体" w:hAnsi="宋体" w:cs="宋体"/>
                <w:color w:val="auto"/>
                <w:sz w:val="24"/>
                <w:szCs w:val="24"/>
              </w:rPr>
              <w:t>盖章</w:t>
            </w:r>
            <w:r>
              <w:rPr>
                <w:rFonts w:hint="eastAsia" w:ascii="宋体" w:hAnsi="宋体" w:cs="宋体"/>
                <w:color w:val="auto"/>
                <w:sz w:val="24"/>
                <w:szCs w:val="24"/>
                <w:lang w:eastAsia="zh-CN"/>
              </w:rPr>
              <w:t>）</w:t>
            </w:r>
            <w:r>
              <w:rPr>
                <w:rFonts w:hint="eastAsia" w:ascii="宋体" w:hAnsi="宋体" w:cs="宋体"/>
                <w:color w:val="auto"/>
                <w:sz w:val="24"/>
                <w:szCs w:val="24"/>
              </w:rPr>
              <w:t>的地方都须加盖法定代表人或其委托代理人的签字</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或</w:t>
            </w:r>
            <w:r>
              <w:rPr>
                <w:rFonts w:hint="eastAsia" w:ascii="宋体" w:hAnsi="宋体" w:cs="宋体"/>
                <w:color w:val="auto"/>
                <w:sz w:val="24"/>
                <w:szCs w:val="24"/>
              </w:rPr>
              <w:t>盖章</w:t>
            </w:r>
            <w:r>
              <w:rPr>
                <w:rFonts w:hint="eastAsia" w:ascii="宋体" w:hAnsi="宋体" w:cs="宋体"/>
                <w:color w:val="auto"/>
                <w:sz w:val="24"/>
                <w:szCs w:val="24"/>
                <w:lang w:eastAsia="zh-CN"/>
              </w:rPr>
              <w:t>）</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0" w:hRule="atLeast"/>
          <w:jc w:val="center"/>
        </w:trPr>
        <w:tc>
          <w:tcPr>
            <w:tcW w:w="96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投标文件的</w:t>
            </w:r>
            <w:r>
              <w:rPr>
                <w:rFonts w:hint="eastAsia" w:ascii="宋体" w:hAnsi="宋体" w:cs="宋体"/>
                <w:color w:val="auto"/>
                <w:sz w:val="24"/>
                <w:szCs w:val="24"/>
                <w:lang w:eastAsia="zh-CN"/>
              </w:rPr>
              <w:t>提</w:t>
            </w:r>
            <w:r>
              <w:rPr>
                <w:rFonts w:hint="eastAsia" w:ascii="宋体" w:hAnsi="宋体" w:cs="宋体"/>
                <w:color w:val="auto"/>
                <w:sz w:val="24"/>
                <w:szCs w:val="24"/>
              </w:rPr>
              <w:t>交</w:t>
            </w:r>
          </w:p>
        </w:tc>
        <w:tc>
          <w:tcPr>
            <w:tcW w:w="6949" w:type="dxa"/>
            <w:vAlign w:val="center"/>
          </w:tcPr>
          <w:p>
            <w:pPr>
              <w:pStyle w:val="74"/>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1、电子</w:t>
            </w:r>
            <w:r>
              <w:rPr>
                <w:rFonts w:hint="eastAsia" w:ascii="宋体" w:hAnsi="宋体" w:cs="宋体"/>
                <w:color w:val="auto"/>
                <w:sz w:val="24"/>
                <w:szCs w:val="24"/>
                <w:lang w:eastAsia="zh-CN"/>
              </w:rPr>
              <w:t>投标文件</w:t>
            </w:r>
            <w:r>
              <w:rPr>
                <w:rFonts w:hint="eastAsia" w:ascii="宋体" w:hAnsi="宋体" w:cs="宋体"/>
                <w:color w:val="auto"/>
                <w:sz w:val="24"/>
                <w:szCs w:val="24"/>
              </w:rPr>
              <w:t>的</w:t>
            </w:r>
            <w:r>
              <w:rPr>
                <w:rFonts w:hint="eastAsia" w:ascii="宋体" w:hAnsi="宋体" w:cs="宋体"/>
                <w:color w:val="auto"/>
                <w:sz w:val="24"/>
                <w:szCs w:val="24"/>
                <w:lang w:eastAsia="zh-CN"/>
              </w:rPr>
              <w:t>提</w:t>
            </w:r>
            <w:r>
              <w:rPr>
                <w:rFonts w:hint="eastAsia" w:ascii="宋体" w:hAnsi="宋体" w:cs="宋体"/>
                <w:color w:val="auto"/>
                <w:sz w:val="24"/>
                <w:szCs w:val="24"/>
              </w:rPr>
              <w:t>交</w:t>
            </w:r>
          </w:p>
          <w:p>
            <w:pPr>
              <w:pStyle w:val="74"/>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各投标人应在投标截止时间前上传加密的电子</w:t>
            </w:r>
            <w:r>
              <w:rPr>
                <w:rFonts w:hint="eastAsia" w:ascii="宋体" w:hAnsi="宋体" w:cs="宋体"/>
                <w:color w:val="auto"/>
                <w:sz w:val="24"/>
                <w:szCs w:val="24"/>
                <w:lang w:eastAsia="zh-CN"/>
              </w:rPr>
              <w:t>投标文件</w:t>
            </w:r>
            <w:r>
              <w:rPr>
                <w:rFonts w:hint="eastAsia" w:ascii="宋体" w:hAnsi="宋体" w:cs="宋体"/>
                <w:color w:val="auto"/>
                <w:sz w:val="24"/>
                <w:szCs w:val="24"/>
              </w:rPr>
              <w:t>（*.XYTF）到会员系统的指定位置。上传时必须得到交易系统“上传成功”的确认回复后方为上传成功。请投标人在上传前务必认真检查上传</w:t>
            </w:r>
            <w:r>
              <w:rPr>
                <w:rFonts w:hint="eastAsia" w:ascii="宋体" w:hAnsi="宋体" w:cs="宋体"/>
                <w:color w:val="auto"/>
                <w:sz w:val="24"/>
                <w:szCs w:val="24"/>
                <w:lang w:eastAsia="zh-CN"/>
              </w:rPr>
              <w:t>投标文件</w:t>
            </w:r>
            <w:r>
              <w:rPr>
                <w:rFonts w:hint="eastAsia" w:ascii="宋体" w:hAnsi="宋体" w:cs="宋体"/>
                <w:color w:val="auto"/>
                <w:sz w:val="24"/>
                <w:szCs w:val="24"/>
              </w:rPr>
              <w:t>是否完整、正确。</w:t>
            </w:r>
          </w:p>
          <w:p>
            <w:pPr>
              <w:pStyle w:val="74"/>
              <w:keepNext w:val="0"/>
              <w:keepLines w:val="0"/>
              <w:pageBreakBefore w:val="0"/>
              <w:widowControl/>
              <w:numPr>
                <w:ilvl w:val="0"/>
                <w:numId w:val="4"/>
              </w:numPr>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 xml:space="preserve">本项目采用“不见面开标”交易方式，不见面开标大厅网址为 </w:t>
            </w:r>
            <w:r>
              <w:rPr>
                <w:rFonts w:hint="eastAsia" w:ascii="宋体" w:hAnsi="宋体" w:cs="宋体"/>
                <w:color w:val="auto"/>
                <w:sz w:val="24"/>
                <w:szCs w:val="24"/>
                <w:u w:val="none"/>
              </w:rPr>
              <w:t>https://ggzyjy.xinyang.gov.cn/BidOpening，投标人无需寄送和递交非加密的电子</w:t>
            </w:r>
            <w:r>
              <w:rPr>
                <w:rFonts w:hint="eastAsia" w:ascii="宋体" w:hAnsi="宋体" w:cs="宋体"/>
                <w:color w:val="auto"/>
                <w:sz w:val="24"/>
                <w:szCs w:val="24"/>
                <w:u w:val="none"/>
                <w:lang w:eastAsia="zh-CN"/>
              </w:rPr>
              <w:t>投标文件</w:t>
            </w:r>
            <w:r>
              <w:rPr>
                <w:rFonts w:hint="eastAsia" w:ascii="宋体" w:hAnsi="宋体" w:cs="宋体"/>
                <w:color w:val="auto"/>
                <w:sz w:val="24"/>
                <w:szCs w:val="24"/>
                <w:u w:val="none"/>
              </w:rPr>
              <w:t>，无需到现场参加开标会议，无需到达现场</w:t>
            </w:r>
            <w:r>
              <w:rPr>
                <w:rFonts w:hint="eastAsia" w:ascii="宋体" w:hAnsi="宋体" w:cs="宋体"/>
                <w:color w:val="auto"/>
                <w:sz w:val="24"/>
                <w:szCs w:val="24"/>
                <w:u w:val="none"/>
                <w:lang w:eastAsia="zh-CN"/>
              </w:rPr>
              <w:t>递</w:t>
            </w:r>
            <w:r>
              <w:rPr>
                <w:rFonts w:hint="eastAsia" w:ascii="宋体" w:hAnsi="宋体" w:cs="宋体"/>
                <w:color w:val="auto"/>
                <w:sz w:val="24"/>
                <w:szCs w:val="24"/>
                <w:u w:val="none"/>
              </w:rPr>
              <w:t>交原件资料。</w:t>
            </w:r>
          </w:p>
          <w:p>
            <w:pPr>
              <w:pStyle w:val="74"/>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投标人</w:t>
            </w:r>
            <w:r>
              <w:rPr>
                <w:rFonts w:hint="eastAsia" w:ascii="宋体" w:hAnsi="宋体" w:cs="宋体"/>
                <w:color w:val="auto"/>
                <w:sz w:val="24"/>
                <w:szCs w:val="24"/>
              </w:rPr>
              <w:t>应当在投标截止时间前，使用</w:t>
            </w:r>
            <w:r>
              <w:rPr>
                <w:rFonts w:hint="eastAsia" w:ascii="宋体" w:hAnsi="宋体" w:cs="宋体"/>
                <w:color w:val="auto"/>
                <w:sz w:val="24"/>
                <w:szCs w:val="24"/>
                <w:lang w:eastAsia="zh-CN"/>
              </w:rPr>
              <w:t>投标人</w:t>
            </w:r>
            <w:r>
              <w:rPr>
                <w:rFonts w:hint="eastAsia" w:ascii="宋体" w:hAnsi="宋体" w:cs="宋体"/>
                <w:color w:val="auto"/>
                <w:sz w:val="24"/>
                <w:szCs w:val="24"/>
              </w:rPr>
              <w:t>CA数字证书登录不见面开标大厅，在线签到并准时参加开标活动，并在规定时间内完成</w:t>
            </w:r>
            <w:r>
              <w:rPr>
                <w:rFonts w:hint="eastAsia" w:ascii="宋体" w:hAnsi="宋体" w:cs="宋体"/>
                <w:color w:val="auto"/>
                <w:sz w:val="24"/>
                <w:szCs w:val="24"/>
                <w:lang w:eastAsia="zh-CN"/>
              </w:rPr>
              <w:t>投标文件</w:t>
            </w:r>
            <w:r>
              <w:rPr>
                <w:rFonts w:hint="eastAsia" w:ascii="宋体" w:hAnsi="宋体" w:cs="宋体"/>
                <w:color w:val="auto"/>
                <w:sz w:val="24"/>
                <w:szCs w:val="24"/>
              </w:rPr>
              <w:t>解密、答疑澄清等。</w:t>
            </w:r>
          </w:p>
          <w:p>
            <w:pPr>
              <w:pStyle w:val="74"/>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逾期解密或者没有准时在线参加开标活动导致的一切后果</w:t>
            </w:r>
            <w:r>
              <w:rPr>
                <w:rFonts w:hint="eastAsia" w:ascii="宋体" w:hAnsi="宋体" w:cs="宋体"/>
                <w:color w:val="auto"/>
                <w:sz w:val="24"/>
                <w:szCs w:val="24"/>
                <w:lang w:eastAsia="zh-CN"/>
              </w:rPr>
              <w:t>投标人</w:t>
            </w:r>
            <w:r>
              <w:rPr>
                <w:rFonts w:hint="eastAsia" w:ascii="宋体" w:hAnsi="宋体" w:cs="宋体"/>
                <w:color w:val="auto"/>
                <w:sz w:val="24"/>
                <w:szCs w:val="24"/>
              </w:rPr>
              <w:t>自行承担。</w:t>
            </w:r>
          </w:p>
          <w:p>
            <w:pPr>
              <w:pStyle w:val="74"/>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不见面开标服务的具体事宜，请查阅信阳市公共资源交易中心网站首页—下载中心—信阳市不见面开标大厅系统操作手册。</w:t>
            </w:r>
          </w:p>
          <w:p>
            <w:pPr>
              <w:pStyle w:val="74"/>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rPr>
                <w:rFonts w:ascii="宋体" w:hAnsi="宋体" w:cs="宋体"/>
                <w:color w:val="auto"/>
                <w:sz w:val="24"/>
                <w:szCs w:val="24"/>
              </w:rPr>
            </w:pPr>
            <w:r>
              <w:rPr>
                <w:rFonts w:hint="eastAsia" w:ascii="宋体" w:hAnsi="宋体" w:cs="宋体"/>
                <w:color w:val="auto"/>
                <w:sz w:val="24"/>
                <w:szCs w:val="24"/>
              </w:rPr>
              <w:t>特别提示：</w:t>
            </w:r>
            <w:r>
              <w:rPr>
                <w:rFonts w:hint="eastAsia" w:ascii="宋体" w:hAnsi="宋体" w:cs="宋体"/>
                <w:color w:val="auto"/>
                <w:sz w:val="24"/>
                <w:szCs w:val="24"/>
                <w:lang w:eastAsia="zh-CN"/>
              </w:rPr>
              <w:t>投标人</w:t>
            </w:r>
            <w:r>
              <w:rPr>
                <w:rFonts w:hint="eastAsia" w:ascii="宋体" w:hAnsi="宋体" w:cs="宋体"/>
                <w:color w:val="auto"/>
                <w:sz w:val="24"/>
                <w:szCs w:val="24"/>
              </w:rPr>
              <w:t>在线签到时，应如实准确的填写授权委托人的联系电话，开标当天请务必保证电话保持畅通。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p>
        </w:tc>
        <w:tc>
          <w:tcPr>
            <w:tcW w:w="231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投标文件份数</w:t>
            </w:r>
          </w:p>
        </w:tc>
        <w:tc>
          <w:tcPr>
            <w:tcW w:w="6949"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加密的电子</w:t>
            </w:r>
            <w:r>
              <w:rPr>
                <w:rFonts w:hint="eastAsia" w:ascii="宋体" w:hAnsi="宋体" w:cs="宋体"/>
                <w:color w:val="auto"/>
                <w:sz w:val="24"/>
                <w:szCs w:val="24"/>
                <w:lang w:eastAsia="zh-CN"/>
              </w:rPr>
              <w:t>投标文件</w:t>
            </w:r>
            <w:r>
              <w:rPr>
                <w:rFonts w:hint="eastAsia" w:ascii="宋体" w:hAnsi="宋体" w:cs="宋体"/>
                <w:color w:val="auto"/>
                <w:sz w:val="24"/>
                <w:szCs w:val="24"/>
              </w:rPr>
              <w:t>壹份（*.XYTF格式，在会员系统指定位置上传）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开标时间和地点</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eastAsia" w:ascii="宋体" w:hAnsi="宋体" w:cs="宋体"/>
                <w:color w:val="auto"/>
                <w:sz w:val="24"/>
                <w:szCs w:val="24"/>
              </w:rPr>
            </w:pPr>
            <w:r>
              <w:rPr>
                <w:rFonts w:hint="eastAsia" w:ascii="宋体" w:hAnsi="宋体" w:cs="宋体"/>
                <w:color w:val="auto"/>
                <w:sz w:val="24"/>
                <w:szCs w:val="24"/>
              </w:rPr>
              <w:t>开标时间：同</w:t>
            </w:r>
            <w:r>
              <w:rPr>
                <w:rFonts w:hint="eastAsia" w:ascii="宋体" w:hAnsi="宋体" w:cs="宋体"/>
                <w:color w:val="auto"/>
                <w:sz w:val="24"/>
                <w:szCs w:val="24"/>
                <w:lang w:eastAsia="zh-CN"/>
              </w:rPr>
              <w:t>投标文件提</w:t>
            </w:r>
            <w:r>
              <w:rPr>
                <w:rFonts w:hint="eastAsia" w:ascii="宋体" w:hAnsi="宋体" w:cs="宋体"/>
                <w:color w:val="auto"/>
                <w:sz w:val="24"/>
                <w:szCs w:val="24"/>
              </w:rPr>
              <w:t>交截止时间</w:t>
            </w:r>
          </w:p>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开标地点：光山县公共资源交易中心四楼</w:t>
            </w:r>
            <w:r>
              <w:rPr>
                <w:rFonts w:hint="eastAsia" w:ascii="宋体" w:hAnsi="宋体" w:cs="宋体"/>
                <w:color w:val="auto"/>
                <w:sz w:val="24"/>
                <w:szCs w:val="24"/>
                <w:highlight w:val="none"/>
                <w:lang w:eastAsia="zh-CN"/>
              </w:rPr>
              <w:t>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6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评标委员会的组建</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u w:val="single"/>
              </w:rPr>
            </w:pPr>
            <w:r>
              <w:rPr>
                <w:rFonts w:hint="eastAsia" w:ascii="宋体" w:hAnsi="宋体" w:cs="宋体"/>
                <w:color w:val="auto"/>
                <w:sz w:val="24"/>
                <w:szCs w:val="24"/>
              </w:rPr>
              <w:t>评标委员会构成：由经济、技术专家共</w:t>
            </w:r>
            <w:r>
              <w:rPr>
                <w:rFonts w:hint="eastAsia" w:ascii="宋体" w:hAnsi="宋体" w:cs="宋体"/>
                <w:color w:val="auto"/>
                <w:sz w:val="24"/>
                <w:szCs w:val="24"/>
                <w:lang w:val="en-US" w:eastAsia="zh-CN"/>
              </w:rPr>
              <w:t>5</w:t>
            </w:r>
            <w:r>
              <w:rPr>
                <w:rFonts w:hint="eastAsia" w:ascii="宋体" w:hAnsi="宋体" w:cs="宋体"/>
                <w:color w:val="auto"/>
                <w:sz w:val="24"/>
                <w:szCs w:val="24"/>
              </w:rPr>
              <w:t>人组成。经济、技术等方面的专家从相关专家库中，通过随机方式抽取评审专家。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6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24</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评标办法</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b/>
                <w:bCs/>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评标委员会推荐中标候选人的人数</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6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26</w:t>
            </w:r>
          </w:p>
        </w:tc>
        <w:tc>
          <w:tcPr>
            <w:tcW w:w="231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cs="宋体"/>
                <w:color w:val="auto"/>
                <w:sz w:val="24"/>
                <w:szCs w:val="24"/>
              </w:rPr>
            </w:pPr>
            <w:r>
              <w:rPr>
                <w:rFonts w:hint="eastAsia" w:ascii="宋体" w:hAnsi="宋体" w:cs="宋体"/>
                <w:color w:val="auto"/>
                <w:kern w:val="0"/>
                <w:sz w:val="22"/>
                <w:szCs w:val="22"/>
                <w:lang w:val="en-US" w:eastAsia="zh-CN"/>
              </w:rPr>
              <w:t>标书雷同性分析</w:t>
            </w:r>
          </w:p>
        </w:tc>
        <w:tc>
          <w:tcPr>
            <w:tcW w:w="6949"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宋体" w:hAnsi="宋体" w:cs="宋体"/>
                <w:color w:val="auto"/>
                <w:sz w:val="24"/>
                <w:szCs w:val="24"/>
              </w:rPr>
            </w:pPr>
            <w:r>
              <w:rPr>
                <w:rFonts w:hint="eastAsia" w:ascii="宋体" w:hAnsi="宋体" w:cs="宋体"/>
                <w:color w:val="auto"/>
                <w:kern w:val="0"/>
                <w:sz w:val="22"/>
                <w:szCs w:val="22"/>
                <w:lang w:val="en-US" w:eastAsia="zh-CN"/>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6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27</w:t>
            </w:r>
          </w:p>
        </w:tc>
        <w:tc>
          <w:tcPr>
            <w:tcW w:w="231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cs="宋体"/>
                <w:color w:val="auto"/>
                <w:sz w:val="24"/>
                <w:szCs w:val="24"/>
              </w:rPr>
            </w:pPr>
            <w:r>
              <w:rPr>
                <w:rFonts w:hint="eastAsia" w:ascii="宋体" w:hAnsi="宋体" w:cs="宋体"/>
                <w:color w:val="auto"/>
                <w:kern w:val="0"/>
                <w:sz w:val="22"/>
                <w:szCs w:val="22"/>
              </w:rPr>
              <w:t>质疑</w:t>
            </w:r>
          </w:p>
        </w:tc>
        <w:tc>
          <w:tcPr>
            <w:tcW w:w="6949" w:type="dxa"/>
            <w:vAlign w:val="center"/>
          </w:tcPr>
          <w:p>
            <w:pPr>
              <w:keepNext w:val="0"/>
              <w:keepLines w:val="0"/>
              <w:pageBreakBefore w:val="0"/>
              <w:widowControl/>
              <w:kinsoku/>
              <w:wordWrap/>
              <w:overflowPunct/>
              <w:topLinePunct w:val="0"/>
              <w:autoSpaceDE w:val="0"/>
              <w:autoSpaceDN w:val="0"/>
              <w:bidi w:val="0"/>
              <w:adjustRightInd/>
              <w:snapToGrid/>
              <w:spacing w:line="340" w:lineRule="exact"/>
              <w:ind w:left="0" w:leftChars="0" w:right="0" w:rightChars="0"/>
              <w:jc w:val="left"/>
              <w:textAlignment w:val="auto"/>
              <w:rPr>
                <w:rFonts w:hint="eastAsia" w:ascii="宋体" w:hAnsi="宋体" w:cs="宋体"/>
                <w:color w:val="auto"/>
                <w:sz w:val="24"/>
                <w:szCs w:val="24"/>
              </w:rPr>
            </w:pPr>
            <w:r>
              <w:rPr>
                <w:rFonts w:hint="eastAsia" w:ascii="宋体" w:hAnsi="宋体" w:eastAsia="宋体" w:cs="宋体"/>
                <w:color w:val="auto"/>
                <w:kern w:val="0"/>
                <w:sz w:val="22"/>
                <w:szCs w:val="22"/>
                <w:lang w:val="en-US" w:eastAsia="zh-CN"/>
              </w:rPr>
              <w:t>各</w:t>
            </w:r>
            <w:r>
              <w:rPr>
                <w:rFonts w:hint="eastAsia" w:ascii="宋体" w:hAnsi="宋体" w:cs="宋体"/>
                <w:color w:val="auto"/>
                <w:kern w:val="0"/>
                <w:sz w:val="22"/>
                <w:szCs w:val="22"/>
                <w:lang w:val="en-US" w:eastAsia="zh-CN"/>
              </w:rPr>
              <w:t>投标人</w:t>
            </w:r>
            <w:r>
              <w:rPr>
                <w:rFonts w:hint="eastAsia" w:ascii="宋体" w:hAnsi="宋体" w:eastAsia="宋体" w:cs="宋体"/>
                <w:color w:val="auto"/>
                <w:kern w:val="0"/>
                <w:sz w:val="22"/>
                <w:szCs w:val="22"/>
                <w:lang w:val="en-US" w:eastAsia="zh-CN"/>
              </w:rPr>
              <w:t>有异议的，可以在公告发布之日起七个工作日内，以书面形式同时向采购人与招标代理机构提交质疑函和必要的证明材料。质疑函应当包括下列内容：（</w:t>
            </w:r>
            <w:r>
              <w:rPr>
                <w:rFonts w:hint="eastAsia" w:ascii="宋体" w:hAnsi="宋体" w:cs="宋体"/>
                <w:color w:val="auto"/>
                <w:kern w:val="0"/>
                <w:sz w:val="22"/>
                <w:szCs w:val="22"/>
                <w:lang w:val="en-US" w:eastAsia="zh-CN"/>
              </w:rPr>
              <w:t>1</w:t>
            </w:r>
            <w:r>
              <w:rPr>
                <w:rFonts w:hint="eastAsia" w:ascii="宋体" w:hAnsi="宋体" w:eastAsia="宋体" w:cs="宋体"/>
                <w:color w:val="auto"/>
                <w:kern w:val="0"/>
                <w:sz w:val="22"/>
                <w:szCs w:val="22"/>
                <w:lang w:val="en-US" w:eastAsia="zh-CN"/>
              </w:rPr>
              <w:t>）供应商的姓名或者名称、地址、邮编、联系人及联系电话；（</w:t>
            </w:r>
            <w:r>
              <w:rPr>
                <w:rFonts w:hint="eastAsia" w:ascii="宋体" w:hAnsi="宋体" w:cs="宋体"/>
                <w:color w:val="auto"/>
                <w:kern w:val="0"/>
                <w:sz w:val="22"/>
                <w:szCs w:val="22"/>
                <w:lang w:val="en-US" w:eastAsia="zh-CN"/>
              </w:rPr>
              <w:t>2</w:t>
            </w:r>
            <w:r>
              <w:rPr>
                <w:rFonts w:hint="eastAsia" w:ascii="宋体" w:hAnsi="宋体" w:eastAsia="宋体" w:cs="宋体"/>
                <w:color w:val="auto"/>
                <w:kern w:val="0"/>
                <w:sz w:val="22"/>
                <w:szCs w:val="22"/>
                <w:lang w:val="en-US" w:eastAsia="zh-CN"/>
              </w:rPr>
              <w:t>）质疑项目的名称、编号；（</w:t>
            </w:r>
            <w:r>
              <w:rPr>
                <w:rFonts w:hint="eastAsia" w:ascii="宋体" w:hAnsi="宋体" w:cs="宋体"/>
                <w:color w:val="auto"/>
                <w:kern w:val="0"/>
                <w:sz w:val="22"/>
                <w:szCs w:val="22"/>
                <w:lang w:val="en-US" w:eastAsia="zh-CN"/>
              </w:rPr>
              <w:t>3</w:t>
            </w:r>
            <w:r>
              <w:rPr>
                <w:rFonts w:hint="eastAsia" w:ascii="宋体" w:hAnsi="宋体" w:eastAsia="宋体" w:cs="宋体"/>
                <w:color w:val="auto"/>
                <w:kern w:val="0"/>
                <w:sz w:val="22"/>
                <w:szCs w:val="22"/>
                <w:lang w:val="en-US" w:eastAsia="zh-CN"/>
              </w:rPr>
              <w:t>）具体、明确的质疑事项和与质疑事项相关的请求；（</w:t>
            </w:r>
            <w:r>
              <w:rPr>
                <w:rFonts w:hint="eastAsia" w:ascii="宋体" w:hAnsi="宋体" w:cs="宋体"/>
                <w:color w:val="auto"/>
                <w:kern w:val="0"/>
                <w:sz w:val="22"/>
                <w:szCs w:val="22"/>
                <w:lang w:val="en-US" w:eastAsia="zh-CN"/>
              </w:rPr>
              <w:t>4</w:t>
            </w:r>
            <w:r>
              <w:rPr>
                <w:rFonts w:hint="eastAsia" w:ascii="宋体" w:hAnsi="宋体" w:eastAsia="宋体" w:cs="宋体"/>
                <w:color w:val="auto"/>
                <w:kern w:val="0"/>
                <w:sz w:val="22"/>
                <w:szCs w:val="22"/>
                <w:lang w:val="en-US" w:eastAsia="zh-CN"/>
              </w:rPr>
              <w:t>）事实依据；（</w:t>
            </w:r>
            <w:r>
              <w:rPr>
                <w:rFonts w:hint="eastAsia" w:ascii="宋体" w:hAnsi="宋体" w:cs="宋体"/>
                <w:color w:val="auto"/>
                <w:kern w:val="0"/>
                <w:sz w:val="22"/>
                <w:szCs w:val="22"/>
                <w:lang w:val="en-US" w:eastAsia="zh-CN"/>
              </w:rPr>
              <w:t>5</w:t>
            </w:r>
            <w:r>
              <w:rPr>
                <w:rFonts w:hint="eastAsia" w:ascii="宋体" w:hAnsi="宋体" w:eastAsia="宋体" w:cs="宋体"/>
                <w:color w:val="auto"/>
                <w:kern w:val="0"/>
                <w:sz w:val="22"/>
                <w:szCs w:val="22"/>
                <w:lang w:val="en-US" w:eastAsia="zh-CN"/>
              </w:rPr>
              <w:t>）必要的法律依据；（</w:t>
            </w:r>
            <w:r>
              <w:rPr>
                <w:rFonts w:hint="eastAsia" w:ascii="宋体" w:hAnsi="宋体" w:cs="宋体"/>
                <w:color w:val="auto"/>
                <w:kern w:val="0"/>
                <w:sz w:val="22"/>
                <w:szCs w:val="22"/>
                <w:lang w:val="en-US" w:eastAsia="zh-CN"/>
              </w:rPr>
              <w:t>6</w:t>
            </w:r>
            <w:r>
              <w:rPr>
                <w:rFonts w:hint="eastAsia" w:ascii="宋体" w:hAnsi="宋体" w:eastAsia="宋体" w:cs="宋体"/>
                <w:color w:val="auto"/>
                <w:kern w:val="0"/>
                <w:sz w:val="22"/>
                <w:szCs w:val="22"/>
                <w:lang w:val="en-US" w:eastAsia="zh-CN"/>
              </w:rPr>
              <w:t>）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受确认日期作为受理时间；逾期未提交或未按照要求提交的质疑函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w:t>
            </w:r>
          </w:p>
        </w:tc>
        <w:tc>
          <w:tcPr>
            <w:tcW w:w="9262" w:type="dxa"/>
            <w:gridSpan w:val="2"/>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ascii="宋体" w:hAnsi="宋体" w:cs="宋体"/>
                <w:b/>
                <w:color w:val="auto"/>
                <w:sz w:val="24"/>
                <w:szCs w:val="24"/>
              </w:rPr>
            </w:pPr>
            <w:r>
              <w:rPr>
                <w:rFonts w:hint="eastAsia" w:ascii="宋体" w:hAnsi="宋体" w:cs="宋体"/>
                <w:b/>
                <w:color w:val="auto"/>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lang w:val="en-US" w:eastAsia="zh-CN"/>
              </w:rPr>
              <w:t>28</w:t>
            </w:r>
            <w:r>
              <w:rPr>
                <w:rFonts w:hint="eastAsia" w:ascii="宋体" w:hAnsi="宋体" w:cs="宋体"/>
                <w:color w:val="auto"/>
                <w:sz w:val="24"/>
                <w:szCs w:val="24"/>
              </w:rPr>
              <w:t>.1</w:t>
            </w:r>
          </w:p>
        </w:tc>
        <w:tc>
          <w:tcPr>
            <w:tcW w:w="231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最高限价</w:t>
            </w:r>
          </w:p>
        </w:tc>
        <w:tc>
          <w:tcPr>
            <w:tcW w:w="6949"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采购预算及最高投标限价：</w:t>
            </w:r>
          </w:p>
          <w:p>
            <w:pPr>
              <w:keepNext w:val="0"/>
              <w:keepLines w:val="0"/>
              <w:pageBreakBefore w:val="0"/>
              <w:widowControl/>
              <w:kinsoku/>
              <w:wordWrap/>
              <w:overflowPunct/>
              <w:topLinePunct w:val="0"/>
              <w:autoSpaceDE w:val="0"/>
              <w:autoSpaceDN w:val="0"/>
              <w:bidi w:val="0"/>
              <w:adjustRightInd/>
              <w:snapToGrid/>
              <w:spacing w:line="360" w:lineRule="exact"/>
              <w:ind w:left="720" w:leftChars="0" w:right="0" w:rightChars="0" w:hanging="720" w:hangingChars="3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（总价）：918万元；</w:t>
            </w:r>
          </w:p>
          <w:p>
            <w:pPr>
              <w:keepNext w:val="0"/>
              <w:keepLines w:val="0"/>
              <w:pageBreakBefore w:val="0"/>
              <w:widowControl/>
              <w:kinsoku/>
              <w:wordWrap/>
              <w:overflowPunct/>
              <w:topLinePunct w:val="0"/>
              <w:autoSpaceDE w:val="0"/>
              <w:autoSpaceDN w:val="0"/>
              <w:bidi w:val="0"/>
              <w:adjustRightInd/>
              <w:snapToGrid/>
              <w:spacing w:line="360" w:lineRule="exact"/>
              <w:ind w:left="720" w:leftChars="0" w:right="0" w:rightChars="0" w:hanging="720" w:hangingChars="3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一包段：1400000元，</w:t>
            </w:r>
          </w:p>
          <w:p>
            <w:pPr>
              <w:keepNext w:val="0"/>
              <w:keepLines w:val="0"/>
              <w:pageBreakBefore w:val="0"/>
              <w:widowControl/>
              <w:kinsoku/>
              <w:wordWrap/>
              <w:overflowPunct/>
              <w:topLinePunct w:val="0"/>
              <w:autoSpaceDE w:val="0"/>
              <w:autoSpaceDN w:val="0"/>
              <w:bidi w:val="0"/>
              <w:adjustRightInd/>
              <w:snapToGrid/>
              <w:spacing w:line="360" w:lineRule="exact"/>
              <w:ind w:left="720" w:leftChars="0" w:right="0" w:rightChars="0" w:hanging="720" w:hangingChars="3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二包段：2700000元， </w:t>
            </w:r>
          </w:p>
          <w:p>
            <w:pPr>
              <w:keepNext w:val="0"/>
              <w:keepLines w:val="0"/>
              <w:pageBreakBefore w:val="0"/>
              <w:widowControl/>
              <w:kinsoku/>
              <w:wordWrap/>
              <w:overflowPunct/>
              <w:topLinePunct w:val="0"/>
              <w:autoSpaceDE w:val="0"/>
              <w:autoSpaceDN w:val="0"/>
              <w:bidi w:val="0"/>
              <w:adjustRightInd/>
              <w:snapToGrid/>
              <w:spacing w:line="360" w:lineRule="exact"/>
              <w:ind w:left="720" w:leftChars="0" w:right="0" w:rightChars="0" w:hanging="720" w:hangingChars="3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三包段：1400000元， </w:t>
            </w:r>
          </w:p>
          <w:p>
            <w:pPr>
              <w:keepNext w:val="0"/>
              <w:keepLines w:val="0"/>
              <w:pageBreakBefore w:val="0"/>
              <w:widowControl/>
              <w:kinsoku/>
              <w:wordWrap/>
              <w:overflowPunct/>
              <w:topLinePunct w:val="0"/>
              <w:autoSpaceDE w:val="0"/>
              <w:autoSpaceDN w:val="0"/>
              <w:bidi w:val="0"/>
              <w:adjustRightInd/>
              <w:snapToGrid/>
              <w:spacing w:line="360" w:lineRule="exact"/>
              <w:ind w:left="720" w:leftChars="0" w:right="0" w:rightChars="0" w:hanging="720" w:hangingChars="3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四包段：1400000元， </w:t>
            </w:r>
          </w:p>
          <w:p>
            <w:pPr>
              <w:keepNext w:val="0"/>
              <w:keepLines w:val="0"/>
              <w:pageBreakBefore w:val="0"/>
              <w:widowControl/>
              <w:kinsoku/>
              <w:wordWrap/>
              <w:overflowPunct/>
              <w:topLinePunct w:val="0"/>
              <w:autoSpaceDE w:val="0"/>
              <w:autoSpaceDN w:val="0"/>
              <w:bidi w:val="0"/>
              <w:adjustRightInd/>
              <w:snapToGrid/>
              <w:spacing w:line="360" w:lineRule="exact"/>
              <w:ind w:left="720" w:leftChars="0" w:right="0" w:rightChars="0" w:hanging="720" w:hangingChars="3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五包段：2280000元， </w:t>
            </w:r>
          </w:p>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补助（单价）： 旋耕、 深耕补助标准每亩不高于35元；机插补助标准每亩不高于40元， 机插秧与工厂化育秧及大棚育秧一体化服务的，两项合计补助标 准每亩不高于45元；机播补助标准每亩不高于13元；机收补助 标准每亩不高于12元，与秸杆还田一体化服务的，两项合计补助标准每亩不高于17元。单季作物每亩补助标准不高于97元。</w:t>
            </w:r>
          </w:p>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（1）投标报价不得高于最高投标限价，否则投标将被否决， 投标报价中各相应单价均需列明。</w:t>
            </w:r>
          </w:p>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宋体" w:hAnsi="宋体" w:cs="宋体"/>
                <w:b/>
                <w:bCs/>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cs="宋体"/>
                <w:b/>
                <w:bCs/>
                <w:color w:val="auto"/>
                <w:sz w:val="24"/>
                <w:szCs w:val="24"/>
                <w:lang w:val="en-US" w:eastAsia="zh-CN"/>
              </w:rPr>
              <w:t>补助资金支付面积最终以实际合格作业面积计算。</w:t>
            </w:r>
          </w:p>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eastAsia="宋体"/>
                <w:color w:val="auto"/>
                <w:sz w:val="28"/>
                <w:szCs w:val="24"/>
                <w:lang w:eastAsia="zh-CN"/>
              </w:rPr>
            </w:pPr>
            <w:r>
              <w:rPr>
                <w:rFonts w:hint="eastAsia" w:ascii="宋体" w:hAnsi="宋体" w:cs="宋体"/>
                <w:color w:val="auto"/>
                <w:sz w:val="24"/>
                <w:szCs w:val="24"/>
                <w:lang w:val="en-US" w:eastAsia="zh-CN"/>
              </w:rPr>
              <w:t>（3）供应商应按标段（包）进行投标，各标段（包）的投标报价均应为达到采购需求下的服务总包价， 包括人工费、材料费、交通食宿费、技术服务费、场地会务费、咨询论证等劳务费、相关税费等与招标项目（标段&lt;包&gt;）相 关的、必须的款项及费用（包括未列明而完成交验所必须 的所有费用、材料、工具、设施）。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28</w:t>
            </w:r>
            <w:r>
              <w:rPr>
                <w:rFonts w:hint="eastAsia" w:ascii="宋体" w:hAnsi="宋体" w:cs="宋体"/>
                <w:color w:val="auto"/>
                <w:sz w:val="24"/>
                <w:szCs w:val="24"/>
              </w:rPr>
              <w:t>.</w:t>
            </w:r>
            <w:r>
              <w:rPr>
                <w:rFonts w:hint="eastAsia" w:ascii="宋体" w:hAnsi="宋体" w:cs="宋体"/>
                <w:color w:val="auto"/>
                <w:sz w:val="24"/>
                <w:szCs w:val="24"/>
                <w:lang w:val="en-US" w:eastAsia="zh-CN"/>
              </w:rPr>
              <w:t>2</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中标公示</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在中标通知书发出前，采购人将中标人的情况在招标项目招标公告发布的同一媒介予以公示，公示期不少于个1工作日。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28</w:t>
            </w:r>
            <w:r>
              <w:rPr>
                <w:rFonts w:hint="eastAsia" w:ascii="宋体" w:hAnsi="宋体" w:cs="宋体"/>
                <w:color w:val="auto"/>
                <w:sz w:val="24"/>
                <w:szCs w:val="24"/>
              </w:rPr>
              <w:t>.</w:t>
            </w:r>
            <w:r>
              <w:rPr>
                <w:rFonts w:hint="eastAsia" w:ascii="宋体" w:hAnsi="宋体" w:cs="宋体"/>
                <w:color w:val="auto"/>
                <w:sz w:val="24"/>
                <w:szCs w:val="24"/>
                <w:lang w:val="en-US" w:eastAsia="zh-CN"/>
              </w:rPr>
              <w:t>3</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知识产权</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构成本招标文件各个组成部分的文件，未经采购人书面同意，投标人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28</w:t>
            </w:r>
            <w:r>
              <w:rPr>
                <w:rFonts w:hint="eastAsia" w:ascii="宋体" w:hAnsi="宋体" w:cs="宋体"/>
                <w:color w:val="auto"/>
                <w:sz w:val="24"/>
                <w:szCs w:val="24"/>
              </w:rPr>
              <w:t>.</w:t>
            </w:r>
            <w:r>
              <w:rPr>
                <w:rFonts w:hint="eastAsia" w:ascii="宋体" w:hAnsi="宋体" w:cs="宋体"/>
                <w:color w:val="auto"/>
                <w:sz w:val="24"/>
                <w:szCs w:val="24"/>
                <w:lang w:val="en-US" w:eastAsia="zh-CN"/>
              </w:rPr>
              <w:t>4</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同义词语</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构成招标文件组成部分的“通用合同条款”、“专用合同条款”、“技术标准和要求”等章节中出现的措辞“发包人”和“承包人”，在招标投标阶段应当分别按“采购人”和“投标人”进行理解。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28</w:t>
            </w:r>
            <w:r>
              <w:rPr>
                <w:rFonts w:hint="eastAsia" w:ascii="宋体" w:hAnsi="宋体" w:cs="宋体"/>
                <w:color w:val="auto"/>
                <w:sz w:val="24"/>
                <w:szCs w:val="24"/>
              </w:rPr>
              <w:t>.</w:t>
            </w:r>
            <w:r>
              <w:rPr>
                <w:rFonts w:hint="eastAsia" w:ascii="宋体" w:hAnsi="宋体" w:cs="宋体"/>
                <w:color w:val="auto"/>
                <w:sz w:val="24"/>
                <w:szCs w:val="24"/>
                <w:lang w:val="en-US" w:eastAsia="zh-CN"/>
              </w:rPr>
              <w:t>5</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监督</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本项目招标投标活动及其相关当事人应当接受相关行政监督部门依法实施监督。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28</w:t>
            </w:r>
            <w:r>
              <w:rPr>
                <w:rFonts w:hint="eastAsia" w:ascii="宋体" w:hAnsi="宋体" w:cs="宋体"/>
                <w:color w:val="auto"/>
                <w:sz w:val="24"/>
                <w:szCs w:val="24"/>
              </w:rPr>
              <w:t>.</w:t>
            </w:r>
            <w:r>
              <w:rPr>
                <w:rFonts w:hint="eastAsia" w:ascii="宋体" w:hAnsi="宋体" w:cs="宋体"/>
                <w:color w:val="auto"/>
                <w:sz w:val="24"/>
                <w:szCs w:val="24"/>
                <w:lang w:val="en-US" w:eastAsia="zh-CN"/>
              </w:rPr>
              <w:t>6</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解释权</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63" w:type="dxa"/>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28</w:t>
            </w:r>
            <w:r>
              <w:rPr>
                <w:rFonts w:hint="eastAsia" w:ascii="宋体" w:hAnsi="宋体" w:cs="宋体"/>
                <w:color w:val="auto"/>
                <w:sz w:val="24"/>
                <w:szCs w:val="24"/>
              </w:rPr>
              <w:t>.</w:t>
            </w:r>
            <w:r>
              <w:rPr>
                <w:rFonts w:hint="eastAsia" w:ascii="宋体" w:hAnsi="宋体" w:cs="宋体"/>
                <w:color w:val="auto"/>
                <w:sz w:val="24"/>
                <w:szCs w:val="24"/>
                <w:lang w:val="en-US" w:eastAsia="zh-CN"/>
              </w:rPr>
              <w:t>7</w:t>
            </w:r>
          </w:p>
        </w:tc>
        <w:tc>
          <w:tcPr>
            <w:tcW w:w="2313"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rPr>
              <w:t>招标代理服务费</w:t>
            </w:r>
          </w:p>
        </w:tc>
        <w:tc>
          <w:tcPr>
            <w:tcW w:w="6949" w:type="dxa"/>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招标代理服务费：代理服务费收费标准及金额参照《河南省招标代理服务收费指导意见》豫招协【2023】002号文件规定收取，由中标人支付</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25" w:type="dxa"/>
            <w:gridSpan w:val="3"/>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textAlignment w:val="auto"/>
              <w:rPr>
                <w:rFonts w:ascii="宋体" w:hAnsi="宋体" w:cs="宋体"/>
                <w:color w:val="auto"/>
                <w:sz w:val="24"/>
                <w:szCs w:val="24"/>
              </w:rPr>
            </w:pPr>
            <w:r>
              <w:rPr>
                <w:rFonts w:hint="eastAsia" w:ascii="宋体" w:hAnsi="宋体" w:cs="宋体"/>
                <w:color w:val="auto"/>
                <w:sz w:val="24"/>
                <w:szCs w:val="24"/>
              </w:rPr>
              <w:t>本招标文件未尽事宜，按《中华人民共和国政府采购法》等法律法规的有关规定执行。</w:t>
            </w:r>
          </w:p>
        </w:tc>
      </w:tr>
    </w:tbl>
    <w:p>
      <w:pPr>
        <w:rPr>
          <w:color w:val="auto"/>
        </w:rPr>
      </w:pPr>
      <w:r>
        <w:rPr>
          <w:rFonts w:hint="eastAsia"/>
          <w:color w:val="auto"/>
        </w:rPr>
        <w:br w:type="page"/>
      </w:r>
    </w:p>
    <w:p>
      <w:pPr>
        <w:pStyle w:val="3"/>
        <w:spacing w:after="0" w:line="262" w:lineRule="auto"/>
        <w:ind w:left="-6" w:right="0" w:hanging="11"/>
        <w:rPr>
          <w:rFonts w:ascii="宋体" w:hAnsi="宋体" w:cs="宋体"/>
          <w:color w:val="auto"/>
        </w:rPr>
      </w:pPr>
      <w:bookmarkStart w:id="19" w:name="_Toc4059"/>
      <w:bookmarkStart w:id="20" w:name="_Toc28192"/>
      <w:bookmarkStart w:id="21" w:name="_Toc6952"/>
      <w:bookmarkStart w:id="22" w:name="_Toc28308"/>
      <w:bookmarkStart w:id="23" w:name="_Toc27666"/>
      <w:r>
        <w:rPr>
          <w:rFonts w:hint="eastAsia" w:ascii="宋体" w:hAnsi="宋体" w:cs="宋体"/>
          <w:color w:val="auto"/>
        </w:rPr>
        <w:t>1. 总则</w:t>
      </w:r>
      <w:bookmarkEnd w:id="19"/>
      <w:bookmarkEnd w:id="20"/>
      <w:bookmarkEnd w:id="21"/>
      <w:bookmarkEnd w:id="22"/>
      <w:bookmarkEnd w:id="23"/>
    </w:p>
    <w:p>
      <w:pPr>
        <w:keepNext w:val="0"/>
        <w:keepLines w:val="0"/>
        <w:pageBreakBefore w:val="0"/>
        <w:widowControl/>
        <w:kinsoku/>
        <w:wordWrap/>
        <w:overflowPunct/>
        <w:topLinePunct w:val="0"/>
        <w:autoSpaceDE w:val="0"/>
        <w:autoSpaceDN w:val="0"/>
        <w:bidi w:val="0"/>
        <w:adjustRightInd w:val="0"/>
        <w:snapToGrid/>
        <w:spacing w:line="440" w:lineRule="exact"/>
        <w:ind w:right="0" w:rightChars="0" w:firstLine="442" w:firstLineChars="200"/>
        <w:textAlignment w:val="auto"/>
        <w:rPr>
          <w:rFonts w:hint="eastAsia" w:ascii="宋体" w:hAnsi="宋体" w:eastAsia="宋体" w:cs="宋体"/>
          <w:b/>
          <w:color w:val="auto"/>
          <w:kern w:val="0"/>
          <w:sz w:val="22"/>
          <w:szCs w:val="22"/>
        </w:rPr>
      </w:pPr>
      <w:bookmarkStart w:id="24" w:name="_Toc370307744"/>
      <w:bookmarkStart w:id="25" w:name="_Toc370307922"/>
      <w:bookmarkStart w:id="26" w:name="_Toc370307633"/>
      <w:bookmarkStart w:id="27" w:name="_Toc364092357"/>
      <w:bookmarkStart w:id="28" w:name="_Toc12024"/>
      <w:bookmarkStart w:id="29" w:name="_Toc370307420"/>
      <w:bookmarkStart w:id="30" w:name="_Toc3682"/>
      <w:r>
        <w:rPr>
          <w:rFonts w:hint="eastAsia" w:ascii="宋体" w:hAnsi="宋体" w:eastAsia="宋体" w:cs="宋体"/>
          <w:b/>
          <w:color w:val="auto"/>
          <w:kern w:val="0"/>
          <w:sz w:val="22"/>
          <w:szCs w:val="22"/>
        </w:rPr>
        <w:t xml:space="preserve">1.1 </w:t>
      </w:r>
      <w:r>
        <w:rPr>
          <w:rFonts w:hint="eastAsia" w:ascii="宋体" w:hAnsi="宋体" w:eastAsia="宋体" w:cs="宋体"/>
          <w:b/>
          <w:color w:val="auto"/>
          <w:kern w:val="0"/>
          <w:sz w:val="22"/>
          <w:szCs w:val="22"/>
          <w:lang w:eastAsia="zh-CN"/>
        </w:rPr>
        <w:t>项目</w:t>
      </w:r>
      <w:r>
        <w:rPr>
          <w:rFonts w:hint="eastAsia" w:ascii="宋体" w:hAnsi="宋体" w:eastAsia="宋体" w:cs="宋体"/>
          <w:b/>
          <w:color w:val="auto"/>
          <w:kern w:val="0"/>
          <w:sz w:val="22"/>
          <w:szCs w:val="22"/>
        </w:rPr>
        <w:t>概况</w:t>
      </w:r>
    </w:p>
    <w:p>
      <w:pPr>
        <w:keepNext w:val="0"/>
        <w:keepLines w:val="0"/>
        <w:pageBreakBefore w:val="0"/>
        <w:widowControl/>
        <w:kinsoku/>
        <w:wordWrap/>
        <w:overflowPunct/>
        <w:topLinePunct w:val="0"/>
        <w:autoSpaceDE w:val="0"/>
        <w:autoSpaceDN w:val="0"/>
        <w:bidi w:val="0"/>
        <w:adjustRightInd w:val="0"/>
        <w:snapToGrid/>
        <w:spacing w:line="440" w:lineRule="exact"/>
        <w:ind w:right="0" w:rightChars="0"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1.1.1根据《中华人民共和国政府采购法》、《中华人民共和国政府采购法实施条例》等有关法律、法规和规章的规定，本招标项目已具备招标条件，现对本项目进行公开招标。</w:t>
      </w:r>
    </w:p>
    <w:p>
      <w:pPr>
        <w:keepNext w:val="0"/>
        <w:keepLines w:val="0"/>
        <w:pageBreakBefore w:val="0"/>
        <w:widowControl/>
        <w:kinsoku/>
        <w:wordWrap/>
        <w:overflowPunct/>
        <w:topLinePunct w:val="0"/>
        <w:autoSpaceDE w:val="0"/>
        <w:autoSpaceDN w:val="0"/>
        <w:bidi w:val="0"/>
        <w:adjustRightInd w:val="0"/>
        <w:snapToGrid/>
        <w:spacing w:line="440" w:lineRule="exact"/>
        <w:ind w:right="0" w:rightChars="0"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1.1.2采购人：见投标人须知前附表。</w:t>
      </w:r>
    </w:p>
    <w:p>
      <w:pPr>
        <w:keepNext w:val="0"/>
        <w:keepLines w:val="0"/>
        <w:pageBreakBefore w:val="0"/>
        <w:widowControl/>
        <w:kinsoku/>
        <w:wordWrap/>
        <w:overflowPunct/>
        <w:topLinePunct w:val="0"/>
        <w:autoSpaceDE w:val="0"/>
        <w:autoSpaceDN w:val="0"/>
        <w:bidi w:val="0"/>
        <w:adjustRightInd w:val="0"/>
        <w:snapToGrid/>
        <w:spacing w:line="440" w:lineRule="exact"/>
        <w:ind w:right="0" w:rightChars="0"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1.1.3采购代理机构：见投标人须知前附表。</w:t>
      </w:r>
    </w:p>
    <w:p>
      <w:pPr>
        <w:keepNext w:val="0"/>
        <w:keepLines w:val="0"/>
        <w:pageBreakBefore w:val="0"/>
        <w:widowControl/>
        <w:kinsoku/>
        <w:wordWrap/>
        <w:overflowPunct/>
        <w:topLinePunct w:val="0"/>
        <w:autoSpaceDE w:val="0"/>
        <w:autoSpaceDN w:val="0"/>
        <w:bidi w:val="0"/>
        <w:adjustRightInd w:val="0"/>
        <w:snapToGrid/>
        <w:spacing w:line="440" w:lineRule="exact"/>
        <w:ind w:right="0" w:rightChars="0"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1.1.4项目名称：见投标人须知前附表。</w:t>
      </w:r>
    </w:p>
    <w:p>
      <w:pPr>
        <w:keepNext w:val="0"/>
        <w:keepLines w:val="0"/>
        <w:pageBreakBefore w:val="0"/>
        <w:widowControl/>
        <w:kinsoku/>
        <w:wordWrap/>
        <w:overflowPunct/>
        <w:topLinePunct w:val="0"/>
        <w:autoSpaceDE w:val="0"/>
        <w:autoSpaceDN w:val="0"/>
        <w:bidi w:val="0"/>
        <w:adjustRightInd w:val="0"/>
        <w:snapToGrid/>
        <w:spacing w:line="400" w:lineRule="exact"/>
        <w:ind w:right="0" w:rightChars="0"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1.2 资金来源</w:t>
      </w:r>
    </w:p>
    <w:p>
      <w:pPr>
        <w:keepNext w:val="0"/>
        <w:keepLines w:val="0"/>
        <w:pageBreakBefore w:val="0"/>
        <w:widowControl/>
        <w:kinsoku/>
        <w:wordWrap/>
        <w:overflowPunct/>
        <w:topLinePunct w:val="0"/>
        <w:autoSpaceDE w:val="0"/>
        <w:autoSpaceDN w:val="0"/>
        <w:bidi w:val="0"/>
        <w:adjustRightInd w:val="0"/>
        <w:snapToGrid/>
        <w:spacing w:line="400" w:lineRule="exact"/>
        <w:ind w:right="0" w:rightChars="0"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1.2.1出资比例：见投标人须知前附表。</w:t>
      </w:r>
    </w:p>
    <w:p>
      <w:pPr>
        <w:keepNext w:val="0"/>
        <w:keepLines w:val="0"/>
        <w:pageBreakBefore w:val="0"/>
        <w:widowControl/>
        <w:kinsoku/>
        <w:wordWrap/>
        <w:overflowPunct/>
        <w:topLinePunct w:val="0"/>
        <w:autoSpaceDE w:val="0"/>
        <w:autoSpaceDN w:val="0"/>
        <w:bidi w:val="0"/>
        <w:adjustRightInd w:val="0"/>
        <w:snapToGrid/>
        <w:spacing w:line="400" w:lineRule="exact"/>
        <w:ind w:right="0" w:rightChars="0"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1.2.2资金来源：见投标人须知前附表。</w:t>
      </w:r>
    </w:p>
    <w:p>
      <w:pPr>
        <w:keepNext w:val="0"/>
        <w:keepLines w:val="0"/>
        <w:pageBreakBefore w:val="0"/>
        <w:widowControl/>
        <w:kinsoku/>
        <w:wordWrap/>
        <w:overflowPunct/>
        <w:topLinePunct w:val="0"/>
        <w:autoSpaceDE w:val="0"/>
        <w:autoSpaceDN w:val="0"/>
        <w:bidi w:val="0"/>
        <w:adjustRightInd w:val="0"/>
        <w:snapToGrid/>
        <w:spacing w:line="400" w:lineRule="exact"/>
        <w:ind w:right="0" w:rightChars="0"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1.3 采购内容、</w:t>
      </w:r>
      <w:r>
        <w:rPr>
          <w:rFonts w:hint="eastAsia" w:ascii="宋体" w:hAnsi="宋体" w:cs="宋体"/>
          <w:b/>
          <w:color w:val="auto"/>
          <w:kern w:val="0"/>
          <w:sz w:val="22"/>
          <w:szCs w:val="22"/>
          <w:lang w:val="en-US" w:eastAsia="zh-CN"/>
        </w:rPr>
        <w:t>合同履行</w:t>
      </w:r>
      <w:r>
        <w:rPr>
          <w:rFonts w:hint="eastAsia" w:ascii="宋体" w:hAnsi="宋体" w:eastAsia="宋体" w:cs="宋体"/>
          <w:b/>
          <w:color w:val="auto"/>
          <w:kern w:val="0"/>
          <w:sz w:val="22"/>
          <w:szCs w:val="22"/>
        </w:rPr>
        <w:t>期限和质量要求</w:t>
      </w:r>
    </w:p>
    <w:p>
      <w:pPr>
        <w:keepNext w:val="0"/>
        <w:keepLines w:val="0"/>
        <w:pageBreakBefore w:val="0"/>
        <w:widowControl/>
        <w:kinsoku/>
        <w:wordWrap/>
        <w:overflowPunct/>
        <w:topLinePunct w:val="0"/>
        <w:autoSpaceDE w:val="0"/>
        <w:autoSpaceDN w:val="0"/>
        <w:bidi w:val="0"/>
        <w:adjustRightInd w:val="0"/>
        <w:snapToGrid/>
        <w:spacing w:line="400" w:lineRule="exact"/>
        <w:ind w:right="0" w:rightChars="0"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1.3.1采购内容：见投标人须知前附表。</w:t>
      </w:r>
    </w:p>
    <w:p>
      <w:pPr>
        <w:keepNext w:val="0"/>
        <w:keepLines w:val="0"/>
        <w:pageBreakBefore w:val="0"/>
        <w:widowControl/>
        <w:kinsoku/>
        <w:wordWrap/>
        <w:overflowPunct/>
        <w:topLinePunct w:val="0"/>
        <w:autoSpaceDE w:val="0"/>
        <w:autoSpaceDN w:val="0"/>
        <w:bidi w:val="0"/>
        <w:adjustRightInd w:val="0"/>
        <w:snapToGrid/>
        <w:spacing w:line="400" w:lineRule="exact"/>
        <w:ind w:right="0" w:rightChars="0"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1.3.2</w:t>
      </w:r>
      <w:r>
        <w:rPr>
          <w:rFonts w:hint="eastAsia" w:ascii="宋体" w:hAnsi="宋体" w:cs="宋体"/>
          <w:color w:val="auto"/>
          <w:sz w:val="22"/>
          <w:szCs w:val="22"/>
          <w:lang w:val="en-US" w:eastAsia="zh-CN"/>
        </w:rPr>
        <w:t>合同履行</w:t>
      </w:r>
      <w:r>
        <w:rPr>
          <w:rFonts w:hint="eastAsia" w:ascii="宋体" w:hAnsi="宋体" w:eastAsia="宋体" w:cs="宋体"/>
          <w:color w:val="auto"/>
          <w:sz w:val="22"/>
          <w:szCs w:val="22"/>
        </w:rPr>
        <w:t>期限</w:t>
      </w:r>
      <w:r>
        <w:rPr>
          <w:rFonts w:hint="eastAsia" w:ascii="宋体" w:hAnsi="宋体" w:eastAsia="宋体" w:cs="宋体"/>
          <w:color w:val="auto"/>
          <w:kern w:val="0"/>
          <w:sz w:val="22"/>
          <w:szCs w:val="22"/>
        </w:rPr>
        <w:t>：见投标人须知前附表。</w:t>
      </w:r>
    </w:p>
    <w:p>
      <w:pPr>
        <w:keepNext w:val="0"/>
        <w:keepLines w:val="0"/>
        <w:pageBreakBefore w:val="0"/>
        <w:widowControl/>
        <w:kinsoku/>
        <w:wordWrap/>
        <w:overflowPunct/>
        <w:topLinePunct w:val="0"/>
        <w:autoSpaceDE w:val="0"/>
        <w:autoSpaceDN w:val="0"/>
        <w:bidi w:val="0"/>
        <w:adjustRightInd w:val="0"/>
        <w:snapToGrid/>
        <w:spacing w:line="400" w:lineRule="exact"/>
        <w:ind w:right="0" w:rightChars="0"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1.3.</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质量要求：见投标人须知前附表。</w:t>
      </w:r>
    </w:p>
    <w:p>
      <w:pPr>
        <w:keepNext w:val="0"/>
        <w:keepLines w:val="0"/>
        <w:pageBreakBefore w:val="0"/>
        <w:widowControl/>
        <w:numPr>
          <w:ilvl w:val="0"/>
          <w:numId w:val="0"/>
        </w:numPr>
        <w:kinsoku/>
        <w:wordWrap/>
        <w:overflowPunct/>
        <w:topLinePunct w:val="0"/>
        <w:bidi w:val="0"/>
        <w:snapToGrid/>
        <w:spacing w:line="400" w:lineRule="exact"/>
        <w:ind w:leftChars="0" w:right="0" w:rightChars="0" w:firstLine="442" w:firstLineChars="200"/>
        <w:jc w:val="lef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lang w:val="en-US" w:eastAsia="zh-CN"/>
        </w:rPr>
        <w:t xml:space="preserve">1.4 </w:t>
      </w:r>
      <w:r>
        <w:rPr>
          <w:rFonts w:hint="eastAsia" w:ascii="宋体" w:hAnsi="宋体" w:eastAsia="宋体" w:cs="宋体"/>
          <w:b/>
          <w:color w:val="auto"/>
          <w:sz w:val="22"/>
          <w:szCs w:val="22"/>
        </w:rPr>
        <w:t xml:space="preserve">投标人资格要求 </w:t>
      </w:r>
    </w:p>
    <w:p>
      <w:pPr>
        <w:keepNext w:val="0"/>
        <w:keepLines w:val="0"/>
        <w:pageBreakBefore w:val="0"/>
        <w:widowControl/>
        <w:numPr>
          <w:ilvl w:val="0"/>
          <w:numId w:val="0"/>
        </w:numPr>
        <w:tabs>
          <w:tab w:val="left" w:pos="350"/>
        </w:tabs>
        <w:kinsoku/>
        <w:wordWrap/>
        <w:overflowPunct/>
        <w:topLinePunct w:val="0"/>
        <w:bidi w:val="0"/>
        <w:snapToGrid/>
        <w:spacing w:line="400" w:lineRule="exact"/>
        <w:ind w:right="0" w:rightChars="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1.4.1</w:t>
      </w:r>
      <w:r>
        <w:rPr>
          <w:rFonts w:hint="eastAsia" w:ascii="宋体" w:hAnsi="宋体" w:eastAsia="宋体" w:cs="宋体"/>
          <w:color w:val="auto"/>
          <w:sz w:val="22"/>
          <w:szCs w:val="22"/>
        </w:rPr>
        <w:t>投标人资格要求：见投标人须知前附表。</w:t>
      </w:r>
    </w:p>
    <w:p>
      <w:pPr>
        <w:keepNext w:val="0"/>
        <w:keepLines w:val="0"/>
        <w:pageBreakBefore w:val="0"/>
        <w:widowControl/>
        <w:kinsoku/>
        <w:wordWrap/>
        <w:overflowPunct/>
        <w:topLinePunct w:val="0"/>
        <w:bidi w:val="0"/>
        <w:snapToGrid/>
        <w:spacing w:line="380" w:lineRule="exact"/>
        <w:ind w:right="0" w:righ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1.4.2合格的投标人不应有违法行为，在近三年内无不良经营行为。投标人如果在本次招标投标活动中，被有关管理部门认定有违法行为，招标人有权拒绝其投标、取消其中标资格。</w:t>
      </w:r>
    </w:p>
    <w:p>
      <w:pPr>
        <w:keepNext w:val="0"/>
        <w:keepLines w:val="0"/>
        <w:pageBreakBefore w:val="0"/>
        <w:widowControl/>
        <w:kinsoku/>
        <w:wordWrap/>
        <w:overflowPunct/>
        <w:topLinePunct w:val="0"/>
        <w:bidi w:val="0"/>
        <w:snapToGrid/>
        <w:spacing w:line="380" w:lineRule="exact"/>
        <w:ind w:right="0" w:righ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1.4.3投标人不得存在下列情形：　</w:t>
      </w:r>
    </w:p>
    <w:p>
      <w:pPr>
        <w:keepNext w:val="0"/>
        <w:keepLines w:val="0"/>
        <w:pageBreakBefore w:val="0"/>
        <w:widowControl/>
        <w:kinsoku/>
        <w:wordWrap/>
        <w:overflowPunct/>
        <w:topLinePunct w:val="0"/>
        <w:bidi w:val="0"/>
        <w:snapToGrid/>
        <w:spacing w:line="380" w:lineRule="exact"/>
        <w:ind w:right="0" w:righ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（1）为招标人不具有独立法人资格的附属机构（单位）；</w:t>
      </w:r>
    </w:p>
    <w:p>
      <w:pPr>
        <w:keepNext w:val="0"/>
        <w:keepLines w:val="0"/>
        <w:pageBreakBefore w:val="0"/>
        <w:widowControl/>
        <w:kinsoku/>
        <w:wordWrap/>
        <w:overflowPunct/>
        <w:topLinePunct w:val="0"/>
        <w:bidi w:val="0"/>
        <w:snapToGrid/>
        <w:spacing w:line="380" w:lineRule="exact"/>
        <w:ind w:right="0" w:righ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（2）被责令停业的；</w:t>
      </w:r>
    </w:p>
    <w:p>
      <w:pPr>
        <w:keepNext w:val="0"/>
        <w:keepLines w:val="0"/>
        <w:pageBreakBefore w:val="0"/>
        <w:widowControl/>
        <w:kinsoku/>
        <w:wordWrap/>
        <w:overflowPunct/>
        <w:topLinePunct w:val="0"/>
        <w:bidi w:val="0"/>
        <w:snapToGrid/>
        <w:spacing w:line="380" w:lineRule="exact"/>
        <w:ind w:right="0" w:righ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（3）被暂停或取消投标资格的；</w:t>
      </w:r>
    </w:p>
    <w:p>
      <w:pPr>
        <w:keepNext w:val="0"/>
        <w:keepLines w:val="0"/>
        <w:pageBreakBefore w:val="0"/>
        <w:widowControl/>
        <w:kinsoku/>
        <w:wordWrap/>
        <w:overflowPunct/>
        <w:topLinePunct w:val="0"/>
        <w:bidi w:val="0"/>
        <w:snapToGrid/>
        <w:spacing w:line="380" w:lineRule="exact"/>
        <w:ind w:right="0" w:righ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（4）财产被接管或冻结的；</w:t>
      </w:r>
    </w:p>
    <w:p>
      <w:pPr>
        <w:keepNext w:val="0"/>
        <w:keepLines w:val="0"/>
        <w:pageBreakBefore w:val="0"/>
        <w:widowControl/>
        <w:kinsoku/>
        <w:wordWrap/>
        <w:overflowPunct/>
        <w:topLinePunct w:val="0"/>
        <w:bidi w:val="0"/>
        <w:snapToGrid/>
        <w:spacing w:line="380" w:lineRule="exact"/>
        <w:ind w:right="0" w:righ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（5）在最近三年内有骗取中标或严重违约的；</w:t>
      </w:r>
    </w:p>
    <w:p>
      <w:pPr>
        <w:keepNext w:val="0"/>
        <w:keepLines w:val="0"/>
        <w:pageBreakBefore w:val="0"/>
        <w:widowControl/>
        <w:kinsoku/>
        <w:wordWrap/>
        <w:overflowPunct/>
        <w:topLinePunct w:val="0"/>
        <w:bidi w:val="0"/>
        <w:snapToGrid/>
        <w:spacing w:line="380" w:lineRule="exact"/>
        <w:ind w:right="0" w:righ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（6）在招标活动中曾出现过违规违纪行为的。</w:t>
      </w:r>
    </w:p>
    <w:p>
      <w:pPr>
        <w:keepNext w:val="0"/>
        <w:keepLines w:val="0"/>
        <w:pageBreakBefore w:val="0"/>
        <w:widowControl/>
        <w:numPr>
          <w:ilvl w:val="0"/>
          <w:numId w:val="0"/>
        </w:numPr>
        <w:kinsoku/>
        <w:wordWrap/>
        <w:overflowPunct/>
        <w:topLinePunct w:val="0"/>
        <w:bidi w:val="0"/>
        <w:snapToGrid/>
        <w:spacing w:line="380" w:lineRule="exact"/>
        <w:ind w:leftChars="0" w:right="0" w:rightChars="0" w:firstLine="442" w:firstLineChars="200"/>
        <w:jc w:val="left"/>
        <w:textAlignment w:val="auto"/>
        <w:rPr>
          <w:rFonts w:hint="eastAsia" w:ascii="宋体" w:hAnsi="宋体" w:eastAsia="宋体" w:cs="宋体"/>
          <w:b/>
          <w:color w:val="auto"/>
          <w:sz w:val="22"/>
          <w:szCs w:val="22"/>
        </w:rPr>
      </w:pPr>
      <w:bookmarkStart w:id="31" w:name="_Toc4261"/>
      <w:bookmarkStart w:id="32" w:name="_Toc503932569"/>
      <w:bookmarkStart w:id="33" w:name="_Toc26641"/>
      <w:r>
        <w:rPr>
          <w:rFonts w:hint="eastAsia" w:ascii="宋体" w:hAnsi="宋体" w:eastAsia="宋体" w:cs="宋体"/>
          <w:b/>
          <w:color w:val="auto"/>
          <w:sz w:val="22"/>
          <w:szCs w:val="22"/>
          <w:lang w:val="en-US" w:eastAsia="zh-CN"/>
        </w:rPr>
        <w:t>1.5</w:t>
      </w:r>
      <w:r>
        <w:rPr>
          <w:rFonts w:hint="eastAsia" w:ascii="宋体" w:hAnsi="宋体" w:eastAsia="宋体" w:cs="宋体"/>
          <w:b/>
          <w:color w:val="auto"/>
          <w:sz w:val="22"/>
          <w:szCs w:val="22"/>
        </w:rPr>
        <w:t xml:space="preserve"> 费用承担</w:t>
      </w:r>
    </w:p>
    <w:p>
      <w:pPr>
        <w:keepNext w:val="0"/>
        <w:keepLines w:val="0"/>
        <w:pageBreakBefore w:val="0"/>
        <w:widowControl/>
        <w:kinsoku/>
        <w:wordWrap/>
        <w:overflowPunct/>
        <w:topLinePunct w:val="0"/>
        <w:bidi w:val="0"/>
        <w:snapToGrid/>
        <w:spacing w:line="380" w:lineRule="exact"/>
        <w:ind w:right="0" w:rightChars="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投标人准备和参加投标活动发生的费用自理。</w:t>
      </w:r>
    </w:p>
    <w:p>
      <w:pPr>
        <w:keepNext w:val="0"/>
        <w:keepLines w:val="0"/>
        <w:pageBreakBefore w:val="0"/>
        <w:widowControl/>
        <w:numPr>
          <w:ilvl w:val="0"/>
          <w:numId w:val="0"/>
        </w:numPr>
        <w:kinsoku/>
        <w:wordWrap/>
        <w:overflowPunct/>
        <w:topLinePunct w:val="0"/>
        <w:bidi w:val="0"/>
        <w:snapToGrid/>
        <w:spacing w:line="380" w:lineRule="exact"/>
        <w:ind w:right="0" w:rightChars="0" w:firstLine="442" w:firstLineChars="200"/>
        <w:jc w:val="lef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lang w:val="en-US" w:eastAsia="zh-CN"/>
        </w:rPr>
        <w:t>1.6</w:t>
      </w:r>
      <w:r>
        <w:rPr>
          <w:rFonts w:hint="eastAsia" w:ascii="宋体" w:hAnsi="宋体" w:eastAsia="宋体" w:cs="宋体"/>
          <w:b/>
          <w:color w:val="auto"/>
          <w:sz w:val="22"/>
          <w:szCs w:val="22"/>
        </w:rPr>
        <w:t>保密</w:t>
      </w:r>
    </w:p>
    <w:p>
      <w:pPr>
        <w:keepNext w:val="0"/>
        <w:keepLines w:val="0"/>
        <w:pageBreakBefore w:val="0"/>
        <w:widowControl/>
        <w:kinsoku/>
        <w:wordWrap/>
        <w:overflowPunct/>
        <w:topLinePunct w:val="0"/>
        <w:bidi w:val="0"/>
        <w:snapToGrid/>
        <w:spacing w:line="380" w:lineRule="exact"/>
        <w:ind w:right="0" w:rightChars="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参与招标投标活动的各方应对招标文件和投标文件中的商业和技术等秘密保密，违者应对由此造成的后果承担法律责任。</w:t>
      </w:r>
    </w:p>
    <w:p>
      <w:pPr>
        <w:keepNext w:val="0"/>
        <w:keepLines w:val="0"/>
        <w:pageBreakBefore w:val="0"/>
        <w:widowControl/>
        <w:numPr>
          <w:ilvl w:val="0"/>
          <w:numId w:val="0"/>
        </w:numPr>
        <w:kinsoku/>
        <w:wordWrap/>
        <w:overflowPunct/>
        <w:topLinePunct w:val="0"/>
        <w:bidi w:val="0"/>
        <w:snapToGrid/>
        <w:spacing w:line="380" w:lineRule="exact"/>
        <w:ind w:leftChars="0" w:right="0" w:rightChars="0" w:firstLine="442" w:firstLineChars="200"/>
        <w:jc w:val="lef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lang w:val="en-US" w:eastAsia="zh-CN"/>
        </w:rPr>
        <w:t>1.7</w:t>
      </w:r>
      <w:r>
        <w:rPr>
          <w:rFonts w:hint="eastAsia" w:ascii="宋体" w:hAnsi="宋体" w:eastAsia="宋体" w:cs="宋体"/>
          <w:b/>
          <w:color w:val="auto"/>
          <w:sz w:val="22"/>
          <w:szCs w:val="22"/>
        </w:rPr>
        <w:t>语言文字</w:t>
      </w:r>
    </w:p>
    <w:p>
      <w:pPr>
        <w:keepNext w:val="0"/>
        <w:keepLines w:val="0"/>
        <w:pageBreakBefore w:val="0"/>
        <w:widowControl/>
        <w:kinsoku/>
        <w:wordWrap/>
        <w:overflowPunct/>
        <w:topLinePunct w:val="0"/>
        <w:bidi w:val="0"/>
        <w:snapToGrid/>
        <w:spacing w:line="380" w:lineRule="exact"/>
        <w:ind w:right="0" w:rightChars="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除专用术语外，与招标投标有关的语言均使用中文。必要时专用术语应附有中文注释。</w:t>
      </w:r>
    </w:p>
    <w:p>
      <w:pPr>
        <w:keepNext w:val="0"/>
        <w:keepLines w:val="0"/>
        <w:pageBreakBefore w:val="0"/>
        <w:widowControl/>
        <w:numPr>
          <w:ilvl w:val="0"/>
          <w:numId w:val="0"/>
        </w:numPr>
        <w:kinsoku/>
        <w:wordWrap/>
        <w:overflowPunct/>
        <w:topLinePunct w:val="0"/>
        <w:bidi w:val="0"/>
        <w:snapToGrid/>
        <w:spacing w:line="380" w:lineRule="exact"/>
        <w:ind w:leftChars="0" w:right="0" w:rightChars="0" w:firstLine="442" w:firstLineChars="200"/>
        <w:jc w:val="lef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lang w:val="en-US" w:eastAsia="zh-CN"/>
        </w:rPr>
        <w:t>1.8</w:t>
      </w:r>
      <w:r>
        <w:rPr>
          <w:rFonts w:hint="eastAsia" w:ascii="宋体" w:hAnsi="宋体" w:eastAsia="宋体" w:cs="宋体"/>
          <w:b/>
          <w:color w:val="auto"/>
          <w:sz w:val="22"/>
          <w:szCs w:val="22"/>
        </w:rPr>
        <w:t>计量单位</w:t>
      </w:r>
    </w:p>
    <w:p>
      <w:pPr>
        <w:keepNext w:val="0"/>
        <w:keepLines w:val="0"/>
        <w:pageBreakBefore w:val="0"/>
        <w:widowControl/>
        <w:kinsoku/>
        <w:wordWrap/>
        <w:overflowPunct/>
        <w:topLinePunct w:val="0"/>
        <w:bidi w:val="0"/>
        <w:snapToGrid/>
        <w:spacing w:line="380" w:lineRule="exact"/>
        <w:ind w:right="0" w:rightChars="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所有计量均采用中华人民共和国法定计量单位。货币均采用人民币。</w:t>
      </w:r>
    </w:p>
    <w:p>
      <w:pPr>
        <w:pStyle w:val="3"/>
        <w:keepNext/>
        <w:keepLines/>
        <w:pageBreakBefore w:val="0"/>
        <w:widowControl/>
        <w:kinsoku/>
        <w:wordWrap/>
        <w:overflowPunct/>
        <w:topLinePunct w:val="0"/>
        <w:autoSpaceDE/>
        <w:autoSpaceDN/>
        <w:bidi w:val="0"/>
        <w:adjustRightInd/>
        <w:snapToGrid/>
        <w:spacing w:after="0" w:line="240" w:lineRule="auto"/>
        <w:ind w:left="11" w:right="0" w:hanging="11"/>
        <w:textAlignment w:val="auto"/>
        <w:rPr>
          <w:rFonts w:hint="eastAsia" w:ascii="宋体" w:hAnsi="宋体" w:eastAsia="宋体" w:cs="宋体"/>
          <w:color w:val="auto"/>
          <w:sz w:val="32"/>
          <w:szCs w:val="32"/>
        </w:rPr>
      </w:pPr>
      <w:bookmarkStart w:id="34" w:name="_Toc28570"/>
      <w:bookmarkStart w:id="35" w:name="_Toc19622"/>
      <w:bookmarkStart w:id="36" w:name="_Toc28559"/>
      <w:bookmarkStart w:id="37" w:name="_Toc29311"/>
      <w:r>
        <w:rPr>
          <w:rFonts w:hint="eastAsia" w:ascii="宋体" w:hAnsi="宋体" w:eastAsia="宋体" w:cs="宋体"/>
          <w:color w:val="auto"/>
          <w:sz w:val="32"/>
          <w:szCs w:val="32"/>
        </w:rPr>
        <w:t>2. 招标文件</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kinsoku/>
        <w:wordWrap/>
        <w:overflowPunct/>
        <w:topLinePunct w:val="0"/>
        <w:autoSpaceDE w:val="0"/>
        <w:autoSpaceDN w:val="0"/>
        <w:bidi w:val="0"/>
        <w:adjustRightInd w:val="0"/>
        <w:snapToGrid/>
        <w:spacing w:line="440" w:lineRule="exact"/>
        <w:ind w:firstLine="442" w:firstLineChars="200"/>
        <w:textAlignment w:val="auto"/>
        <w:rPr>
          <w:rFonts w:hint="eastAsia" w:ascii="宋体" w:hAnsi="宋体" w:eastAsia="宋体" w:cs="宋体"/>
          <w:b/>
          <w:color w:val="auto"/>
          <w:kern w:val="0"/>
          <w:sz w:val="22"/>
          <w:szCs w:val="22"/>
        </w:rPr>
      </w:pPr>
      <w:bookmarkStart w:id="38" w:name="_Toc9423"/>
      <w:bookmarkStart w:id="39" w:name="_Toc370307634"/>
      <w:bookmarkStart w:id="40" w:name="_Toc364092358"/>
      <w:bookmarkStart w:id="41" w:name="_Toc370307745"/>
      <w:bookmarkStart w:id="42" w:name="_Toc29349"/>
      <w:bookmarkStart w:id="43" w:name="_Toc370307421"/>
      <w:bookmarkStart w:id="44" w:name="_Toc370307923"/>
      <w:r>
        <w:rPr>
          <w:rFonts w:hint="eastAsia" w:ascii="宋体" w:hAnsi="宋体" w:eastAsia="宋体" w:cs="宋体"/>
          <w:b/>
          <w:color w:val="auto"/>
          <w:kern w:val="0"/>
          <w:sz w:val="22"/>
          <w:szCs w:val="22"/>
          <w:lang w:val="en-US" w:eastAsia="zh-CN"/>
        </w:rPr>
        <w:t xml:space="preserve">2.1  </w:t>
      </w:r>
      <w:r>
        <w:rPr>
          <w:rFonts w:hint="eastAsia" w:ascii="宋体" w:hAnsi="宋体" w:eastAsia="宋体" w:cs="宋体"/>
          <w:b/>
          <w:color w:val="auto"/>
          <w:kern w:val="0"/>
          <w:sz w:val="22"/>
          <w:szCs w:val="22"/>
        </w:rPr>
        <w:t>招标文件的组成</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本招标文件包括：</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（1）招标公告</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投标人须知</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评标办法</w:t>
      </w:r>
      <w:r>
        <w:rPr>
          <w:rFonts w:hint="eastAsia" w:ascii="宋体" w:hAnsi="宋体" w:eastAsia="宋体" w:cs="宋体"/>
          <w:color w:val="auto"/>
          <w:kern w:val="0"/>
          <w:sz w:val="22"/>
          <w:szCs w:val="22"/>
          <w:lang w:eastAsia="zh-CN"/>
        </w:rPr>
        <w:t>（综合评分法）</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lang w:eastAsia="zh-CN"/>
        </w:rPr>
        <w:t>采购内容及要求</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w:t>
      </w:r>
      <w:r>
        <w:rPr>
          <w:rFonts w:hint="eastAsia" w:ascii="宋体" w:hAnsi="宋体" w:cs="宋体"/>
          <w:color w:val="auto"/>
          <w:kern w:val="0"/>
          <w:sz w:val="22"/>
          <w:szCs w:val="22"/>
          <w:lang w:val="en-US" w:eastAsia="zh-CN"/>
        </w:rPr>
        <w:t>5</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t>合同主要条款</w:t>
      </w:r>
      <w:r>
        <w:rPr>
          <w:rFonts w:hint="eastAsia" w:ascii="宋体" w:hAnsi="宋体" w:eastAsia="宋体" w:cs="宋体"/>
          <w:color w:val="auto"/>
          <w:kern w:val="0"/>
          <w:sz w:val="22"/>
          <w:szCs w:val="22"/>
          <w:lang w:eastAsia="zh-CN"/>
        </w:rPr>
        <w:t>及格式</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w:t>
      </w:r>
      <w:r>
        <w:rPr>
          <w:rFonts w:hint="eastAsia" w:ascii="宋体" w:hAnsi="宋体" w:cs="宋体"/>
          <w:color w:val="auto"/>
          <w:kern w:val="0"/>
          <w:sz w:val="22"/>
          <w:szCs w:val="22"/>
          <w:lang w:val="en-US" w:eastAsia="zh-CN"/>
        </w:rPr>
        <w:t>6</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t>投标文件格式</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7</w:t>
      </w:r>
      <w:r>
        <w:rPr>
          <w:rFonts w:hint="eastAsia" w:ascii="宋体" w:hAnsi="宋体" w:eastAsia="宋体" w:cs="宋体"/>
          <w:color w:val="auto"/>
          <w:kern w:val="0"/>
          <w:sz w:val="22"/>
          <w:szCs w:val="22"/>
          <w:lang w:val="en-US" w:eastAsia="zh-CN"/>
        </w:rPr>
        <w:t>）河南省政府采购合同融资政策告知函</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根据本章第</w:t>
      </w:r>
      <w:r>
        <w:rPr>
          <w:rFonts w:hint="eastAsia" w:ascii="宋体" w:hAnsi="宋体" w:eastAsia="宋体" w:cs="宋体"/>
          <w:color w:val="auto"/>
          <w:kern w:val="0"/>
          <w:sz w:val="22"/>
          <w:szCs w:val="22"/>
          <w:lang w:val="en-US" w:eastAsia="zh-CN"/>
        </w:rPr>
        <w:t>2.2</w:t>
      </w:r>
      <w:r>
        <w:rPr>
          <w:rFonts w:hint="eastAsia" w:ascii="宋体" w:hAnsi="宋体" w:eastAsia="宋体" w:cs="宋体"/>
          <w:color w:val="auto"/>
          <w:kern w:val="0"/>
          <w:sz w:val="22"/>
          <w:szCs w:val="22"/>
        </w:rPr>
        <w:t>款和第</w:t>
      </w:r>
      <w:r>
        <w:rPr>
          <w:rFonts w:hint="eastAsia" w:ascii="宋体" w:hAnsi="宋体" w:eastAsia="宋体" w:cs="宋体"/>
          <w:color w:val="auto"/>
          <w:kern w:val="0"/>
          <w:sz w:val="22"/>
          <w:szCs w:val="22"/>
          <w:lang w:val="en-US" w:eastAsia="zh-CN"/>
        </w:rPr>
        <w:t>2.3</w:t>
      </w:r>
      <w:r>
        <w:rPr>
          <w:rFonts w:hint="eastAsia" w:ascii="宋体" w:hAnsi="宋体" w:eastAsia="宋体" w:cs="宋体"/>
          <w:color w:val="auto"/>
          <w:kern w:val="0"/>
          <w:sz w:val="22"/>
          <w:szCs w:val="22"/>
        </w:rPr>
        <w:t>款对招标文件所作的澄清、修改，构成招标文件的组成部分。</w:t>
      </w:r>
    </w:p>
    <w:p>
      <w:pPr>
        <w:keepNext w:val="0"/>
        <w:keepLines w:val="0"/>
        <w:pageBreakBefore w:val="0"/>
        <w:widowControl/>
        <w:kinsoku/>
        <w:wordWrap/>
        <w:overflowPunct/>
        <w:topLinePunct w:val="0"/>
        <w:autoSpaceDE w:val="0"/>
        <w:autoSpaceDN w:val="0"/>
        <w:bidi w:val="0"/>
        <w:adjustRightInd w:val="0"/>
        <w:snapToGrid/>
        <w:spacing w:line="44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2.2  招标文件的澄清</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2.2.1 投标人应仔细阅读和检查招标文件的全部内容。如发现缺页或附件不全，应及时向采购人提出，以便补齐。如有疑问，应在投标人须知前附表规定的时间前在信阳市公共资源交易中心电子招投标系统上进行提问，要求采购人对招标文件予以澄清。</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招标文件的澄清将在信阳市公共资源交易中心电子招投标系统发给所有领取招标文件的投标人。如果澄清发出的时间距投标人须知前附表规定的投标截止时间不足15天，并且澄清内容影响投标文件编制的，将相应延长投标截止时间。</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sz w:val="22"/>
          <w:szCs w:val="22"/>
        </w:rPr>
        <w:t>2.2.</w:t>
      </w:r>
      <w:r>
        <w:rPr>
          <w:rFonts w:hint="eastAsia" w:ascii="宋体" w:hAnsi="宋体" w:eastAsia="宋体" w:cs="宋体"/>
          <w:color w:val="auto"/>
          <w:sz w:val="22"/>
          <w:szCs w:val="22"/>
          <w:lang w:val="en-US" w:eastAsia="zh-CN"/>
        </w:rPr>
        <w:t>3</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投标人在收到澄清后，应在投标人须知前附表规定的时间内</w:t>
      </w:r>
      <w:r>
        <w:rPr>
          <w:rFonts w:hint="eastAsia" w:ascii="宋体" w:hAnsi="宋体" w:eastAsia="宋体" w:cs="宋体"/>
          <w:color w:val="auto"/>
          <w:sz w:val="22"/>
          <w:szCs w:val="22"/>
          <w:lang w:eastAsia="zh-CN"/>
        </w:rPr>
        <w:t>回复</w:t>
      </w:r>
      <w:r>
        <w:rPr>
          <w:rFonts w:hint="eastAsia" w:ascii="宋体" w:hAnsi="宋体" w:eastAsia="宋体" w:cs="宋体"/>
          <w:color w:val="auto"/>
          <w:sz w:val="22"/>
          <w:szCs w:val="22"/>
        </w:rPr>
        <w:t>确认已收到该澄清。</w:t>
      </w:r>
    </w:p>
    <w:p>
      <w:pPr>
        <w:keepNext w:val="0"/>
        <w:keepLines w:val="0"/>
        <w:pageBreakBefore w:val="0"/>
        <w:widowControl/>
        <w:kinsoku/>
        <w:wordWrap/>
        <w:overflowPunct/>
        <w:topLinePunct w:val="0"/>
        <w:autoSpaceDE w:val="0"/>
        <w:autoSpaceDN w:val="0"/>
        <w:bidi w:val="0"/>
        <w:adjustRightInd w:val="0"/>
        <w:snapToGrid/>
        <w:spacing w:line="44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2.3 招标文件的修改</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2.3.1 在投标截止时间15天前，采购人可以修改招标文件。如有修改，应在交易平台上发给所有领取招标文件的投标人。如果修改招标文件的时间距投标截止时间不足15天，相应延长投标截止时间。 </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2.3.2</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投标人收到修改内容后，应在投标人须知前附表规定的时间内回复确认已收到该修改。</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 xml:space="preserve"> 投标人在投标截止时间前，应通过信阳市公共资源交易中心电子招投标系统随时查看有关该项目招标文件的澄清、修改等内容。否则，其风险应由投标人自行承担。招标文件的澄清、修改、补充等内容均以网上答疑形式明确的内容为准。当招标文件的澄清、修改、补充等在同一内容的表述上不一致时，以最后发出的网上答疑为准。</w:t>
      </w:r>
    </w:p>
    <w:p>
      <w:pPr>
        <w:pStyle w:val="3"/>
        <w:keepNext/>
        <w:keepLines/>
        <w:pageBreakBefore w:val="0"/>
        <w:widowControl/>
        <w:kinsoku/>
        <w:wordWrap/>
        <w:overflowPunct/>
        <w:topLinePunct w:val="0"/>
        <w:autoSpaceDE/>
        <w:autoSpaceDN/>
        <w:bidi w:val="0"/>
        <w:adjustRightInd/>
        <w:snapToGrid/>
        <w:spacing w:after="0" w:line="240" w:lineRule="auto"/>
        <w:ind w:left="11" w:right="0" w:hanging="11"/>
        <w:textAlignment w:val="auto"/>
        <w:rPr>
          <w:rFonts w:hint="eastAsia" w:ascii="宋体" w:hAnsi="宋体" w:eastAsia="宋体" w:cs="宋体"/>
          <w:color w:val="auto"/>
          <w:sz w:val="32"/>
          <w:szCs w:val="32"/>
        </w:rPr>
      </w:pPr>
      <w:bookmarkStart w:id="45" w:name="_Toc29775"/>
      <w:bookmarkStart w:id="46" w:name="_Toc29104"/>
      <w:bookmarkStart w:id="47" w:name="_Toc5122"/>
      <w:bookmarkStart w:id="48" w:name="_Toc29543"/>
      <w:bookmarkStart w:id="49" w:name="_Toc32165"/>
      <w:bookmarkStart w:id="50" w:name="_Toc503932570"/>
      <w:bookmarkStart w:id="51" w:name="_Toc426"/>
    </w:p>
    <w:p>
      <w:pPr>
        <w:pStyle w:val="3"/>
        <w:keepNext/>
        <w:keepLines/>
        <w:pageBreakBefore w:val="0"/>
        <w:widowControl/>
        <w:kinsoku/>
        <w:wordWrap/>
        <w:overflowPunct/>
        <w:topLinePunct w:val="0"/>
        <w:autoSpaceDE/>
        <w:autoSpaceDN/>
        <w:bidi w:val="0"/>
        <w:adjustRightInd/>
        <w:snapToGrid/>
        <w:spacing w:after="0" w:line="240" w:lineRule="auto"/>
        <w:ind w:left="11" w:right="0" w:hanging="11"/>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3.投标文件</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keepNext w:val="0"/>
        <w:keepLines w:val="0"/>
        <w:pageBreakBefore w:val="0"/>
        <w:widowControl/>
        <w:kinsoku/>
        <w:wordWrap/>
        <w:overflowPunct/>
        <w:topLinePunct w:val="0"/>
        <w:autoSpaceDE w:val="0"/>
        <w:autoSpaceDN w:val="0"/>
        <w:bidi w:val="0"/>
        <w:adjustRightInd w:val="0"/>
        <w:snapToGrid/>
        <w:spacing w:line="440" w:lineRule="exact"/>
        <w:ind w:firstLine="442" w:firstLineChars="200"/>
        <w:textAlignment w:val="auto"/>
        <w:rPr>
          <w:rFonts w:hint="eastAsia" w:ascii="宋体" w:hAnsi="宋体" w:eastAsia="宋体" w:cs="宋体"/>
          <w:b/>
          <w:color w:val="auto"/>
          <w:kern w:val="0"/>
          <w:sz w:val="22"/>
          <w:szCs w:val="22"/>
        </w:rPr>
      </w:pPr>
      <w:bookmarkStart w:id="52" w:name="_Toc18131"/>
      <w:bookmarkStart w:id="53" w:name="_Toc370307422"/>
      <w:bookmarkStart w:id="54" w:name="_Toc370307635"/>
      <w:bookmarkStart w:id="55" w:name="_Toc162"/>
      <w:bookmarkStart w:id="56" w:name="_Toc370307924"/>
      <w:bookmarkStart w:id="57" w:name="_Toc370307746"/>
      <w:bookmarkStart w:id="58" w:name="_Toc364092359"/>
      <w:r>
        <w:rPr>
          <w:rFonts w:hint="eastAsia" w:ascii="宋体" w:hAnsi="宋体" w:eastAsia="宋体" w:cs="宋体"/>
          <w:b/>
          <w:color w:val="auto"/>
          <w:kern w:val="0"/>
          <w:sz w:val="22"/>
          <w:szCs w:val="22"/>
        </w:rPr>
        <w:t>3.1 投标文件的组成</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投标函</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开标一览表</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（3）法定代表人身份证明</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（4）法定代表人授权委托书</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5</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中小企业声明函</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残疾人福利性单位声明函(如有)</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7</w:t>
      </w:r>
      <w:r>
        <w:rPr>
          <w:rFonts w:hint="eastAsia" w:ascii="宋体" w:hAnsi="宋体" w:eastAsia="宋体" w:cs="宋体"/>
          <w:color w:val="auto"/>
          <w:sz w:val="22"/>
          <w:szCs w:val="22"/>
          <w:lang w:val="en-US" w:eastAsia="zh-CN"/>
        </w:rPr>
        <w:t>）监狱企业证明文件（如有）</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8</w:t>
      </w:r>
      <w:r>
        <w:rPr>
          <w:rFonts w:hint="eastAsia" w:ascii="宋体" w:hAnsi="宋体" w:eastAsia="宋体" w:cs="宋体"/>
          <w:color w:val="auto"/>
          <w:sz w:val="22"/>
          <w:szCs w:val="22"/>
          <w:lang w:val="en-US" w:eastAsia="zh-CN"/>
        </w:rPr>
        <w:t>）投标单位资格审查资料</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9</w:t>
      </w:r>
      <w:r>
        <w:rPr>
          <w:rFonts w:hint="eastAsia" w:ascii="宋体" w:hAnsi="宋体" w:eastAsia="宋体" w:cs="宋体"/>
          <w:color w:val="auto"/>
          <w:sz w:val="22"/>
          <w:szCs w:val="22"/>
          <w:lang w:val="en-US" w:eastAsia="zh-CN"/>
        </w:rPr>
        <w:t>）业绩证明</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w:t>
      </w:r>
      <w:r>
        <w:rPr>
          <w:rFonts w:hint="eastAsia" w:ascii="宋体" w:hAnsi="宋体" w:cs="宋体"/>
          <w:color w:val="auto"/>
          <w:sz w:val="22"/>
          <w:szCs w:val="22"/>
          <w:lang w:val="en-US" w:eastAsia="zh-CN"/>
        </w:rPr>
        <w:t>0</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反商业贿赂承诺书</w:t>
      </w:r>
    </w:p>
    <w:p>
      <w:pPr>
        <w:keepNext w:val="0"/>
        <w:keepLines w:val="0"/>
        <w:pageBreakBefore w:val="0"/>
        <w:widowControl/>
        <w:kinsoku/>
        <w:wordWrap/>
        <w:overflowPunct/>
        <w:topLinePunct w:val="0"/>
        <w:bidi w:val="0"/>
        <w:snapToGrid/>
        <w:spacing w:line="380" w:lineRule="exact"/>
        <w:ind w:firstLine="440" w:firstLineChars="2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r>
        <w:rPr>
          <w:rFonts w:hint="eastAsia" w:ascii="宋体" w:hAnsi="宋体" w:cs="宋体"/>
          <w:color w:val="auto"/>
          <w:sz w:val="22"/>
          <w:szCs w:val="22"/>
          <w:lang w:val="en-US" w:eastAsia="zh-CN"/>
        </w:rPr>
        <w:t>1</w:t>
      </w:r>
      <w:r>
        <w:rPr>
          <w:rFonts w:hint="eastAsia" w:ascii="宋体" w:hAnsi="宋体" w:eastAsia="宋体" w:cs="宋体"/>
          <w:color w:val="auto"/>
          <w:sz w:val="22"/>
          <w:szCs w:val="22"/>
          <w:lang w:val="en-US" w:eastAsia="zh-CN"/>
        </w:rPr>
        <w:t>）</w:t>
      </w:r>
      <w:r>
        <w:rPr>
          <w:rFonts w:hint="eastAsia" w:ascii="宋体" w:hAnsi="宋体" w:cs="宋体"/>
          <w:color w:val="auto"/>
          <w:sz w:val="22"/>
          <w:szCs w:val="22"/>
          <w:lang w:val="en-US" w:eastAsia="zh-CN"/>
        </w:rPr>
        <w:t>技术部分</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）其他材料</w:t>
      </w:r>
    </w:p>
    <w:p>
      <w:pPr>
        <w:keepNext w:val="0"/>
        <w:keepLines w:val="0"/>
        <w:pageBreakBefore w:val="0"/>
        <w:widowControl/>
        <w:kinsoku/>
        <w:wordWrap/>
        <w:overflowPunct/>
        <w:topLinePunct w:val="0"/>
        <w:bidi w:val="0"/>
        <w:snapToGrid/>
        <w:spacing w:line="44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3.2 投标截止时间</w:t>
      </w:r>
    </w:p>
    <w:p>
      <w:pPr>
        <w:keepNext w:val="0"/>
        <w:keepLines w:val="0"/>
        <w:pageBreakBefore w:val="0"/>
        <w:widowControl/>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投标截止时间：见投标人须知前附表。</w:t>
      </w:r>
    </w:p>
    <w:p>
      <w:pPr>
        <w:keepNext w:val="0"/>
        <w:keepLines w:val="0"/>
        <w:pageBreakBefore w:val="0"/>
        <w:widowControl/>
        <w:kinsoku/>
        <w:wordWrap/>
        <w:overflowPunct/>
        <w:topLinePunct w:val="0"/>
        <w:autoSpaceDE w:val="0"/>
        <w:autoSpaceDN w:val="0"/>
        <w:bidi w:val="0"/>
        <w:adjustRightInd w:val="0"/>
        <w:snapToGrid/>
        <w:spacing w:line="44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3.3 投标报价</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.1投标人应按招标文件、招标文件澄清（答疑）纪要、招标文件修改补充通知及相关技术要求进行报价。</w:t>
      </w:r>
    </w:p>
    <w:p>
      <w:pPr>
        <w:keepNext w:val="0"/>
        <w:keepLines w:val="0"/>
        <w:pageBreakBefore w:val="0"/>
        <w:widowControl/>
        <w:kinsoku/>
        <w:wordWrap/>
        <w:overflowPunct/>
        <w:topLinePunct w:val="0"/>
        <w:bidi w:val="0"/>
        <w:snapToGrid/>
        <w:spacing w:line="380" w:lineRule="exact"/>
        <w:ind w:firstLine="442" w:firstLineChars="20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3.</w:t>
      </w:r>
      <w:r>
        <w:rPr>
          <w:rFonts w:hint="eastAsia" w:ascii="宋体" w:hAnsi="宋体" w:eastAsia="宋体" w:cs="宋体"/>
          <w:b/>
          <w:color w:val="auto"/>
          <w:sz w:val="22"/>
          <w:szCs w:val="22"/>
          <w:lang w:val="en-US" w:eastAsia="zh-CN"/>
        </w:rPr>
        <w:t>3</w:t>
      </w:r>
      <w:r>
        <w:rPr>
          <w:rFonts w:hint="eastAsia" w:ascii="宋体" w:hAnsi="宋体" w:eastAsia="宋体" w:cs="宋体"/>
          <w:b/>
          <w:color w:val="auto"/>
          <w:sz w:val="22"/>
          <w:szCs w:val="22"/>
        </w:rPr>
        <w:t>.2本项目设招标控制价（见投标人须知前附表），投标人的总报价不得超过</w:t>
      </w:r>
      <w:r>
        <w:rPr>
          <w:rFonts w:hint="eastAsia" w:ascii="宋体" w:hAnsi="宋体" w:eastAsia="宋体" w:cs="宋体"/>
          <w:b/>
          <w:color w:val="auto"/>
          <w:sz w:val="22"/>
          <w:szCs w:val="22"/>
          <w:lang w:eastAsia="zh-CN"/>
        </w:rPr>
        <w:t>采购</w:t>
      </w:r>
      <w:r>
        <w:rPr>
          <w:rFonts w:hint="eastAsia" w:ascii="宋体" w:hAnsi="宋体" w:eastAsia="宋体" w:cs="宋体"/>
          <w:b/>
          <w:color w:val="auto"/>
          <w:sz w:val="22"/>
          <w:szCs w:val="22"/>
        </w:rPr>
        <w:t>人发布的招标控制价，否则其投标做无效标处理。</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.3本项目的投标总报价以3.</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.1条为依据由投标人自主报价，即投标人根据招标项目的具体内容、现场情况、技术要求等自主报价，投标人的报价不得低于企业成本。</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4投标人的投标总报价应包括本次购置货物所有的品种、数量、运杂费、保险费、税费、安装费、特种工具费、调试费、保管费、水电费、技术服务费（含售后服务费）、培训费、检验费、手续费相关部门验收费、计量检定费及货物验收合格正式交付使用前所发生的一切费用。</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.5 投标人的投标总报价具有唯一性，</w:t>
      </w:r>
      <w:r>
        <w:rPr>
          <w:rFonts w:hint="eastAsia" w:ascii="宋体" w:hAnsi="宋体" w:eastAsia="宋体" w:cs="宋体"/>
          <w:color w:val="auto"/>
          <w:sz w:val="22"/>
          <w:szCs w:val="22"/>
          <w:lang w:eastAsia="zh-CN"/>
        </w:rPr>
        <w:t>采购</w:t>
      </w:r>
      <w:r>
        <w:rPr>
          <w:rFonts w:hint="eastAsia" w:ascii="宋体" w:hAnsi="宋体" w:eastAsia="宋体" w:cs="宋体"/>
          <w:color w:val="auto"/>
          <w:sz w:val="22"/>
          <w:szCs w:val="22"/>
        </w:rPr>
        <w:t>人不接受任何可变价，投标人的投标报价理解为所有费用（3.</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.4条所列各项等一切费用），投标人的投标报价如有漏项，视为已经包含在投标报价内。</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投标总报价是评标的重要依据，但不是唯一依据，最低报价不是中标的决定因素</w:t>
      </w:r>
      <w:r>
        <w:rPr>
          <w:rFonts w:hint="eastAsia" w:ascii="宋体" w:hAnsi="宋体" w:cs="宋体"/>
          <w:color w:val="auto"/>
          <w:sz w:val="22"/>
          <w:szCs w:val="22"/>
          <w:lang w:eastAsia="zh-CN"/>
        </w:rPr>
        <w:t>。</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7</w:t>
      </w:r>
      <w:r>
        <w:rPr>
          <w:rFonts w:hint="eastAsia" w:ascii="宋体" w:hAnsi="宋体" w:eastAsia="宋体" w:cs="宋体"/>
          <w:color w:val="auto"/>
          <w:sz w:val="22"/>
          <w:szCs w:val="22"/>
        </w:rPr>
        <w:t>全部报价均应以人民币为计量币种，并以人民币进行结算。</w:t>
      </w:r>
    </w:p>
    <w:p>
      <w:pPr>
        <w:keepNext w:val="0"/>
        <w:keepLines w:val="0"/>
        <w:pageBreakBefore w:val="0"/>
        <w:widowControl/>
        <w:kinsoku/>
        <w:wordWrap/>
        <w:overflowPunct/>
        <w:topLinePunct w:val="0"/>
        <w:bidi w:val="0"/>
        <w:snapToGrid/>
        <w:spacing w:line="380" w:lineRule="exact"/>
        <w:ind w:firstLine="440" w:firstLineChars="200"/>
        <w:textAlignment w:val="auto"/>
        <w:rPr>
          <w:rFonts w:hint="eastAsia" w:ascii="宋体" w:hAnsi="宋体" w:eastAsia="宋体" w:cs="宋体"/>
          <w:b/>
          <w:bCs/>
          <w:color w:val="auto"/>
          <w:sz w:val="22"/>
          <w:szCs w:val="22"/>
          <w:lang w:val="zh-CN"/>
        </w:rPr>
      </w:pPr>
      <w:r>
        <w:rPr>
          <w:rFonts w:hint="eastAsia" w:ascii="宋体" w:hAnsi="宋体" w:eastAsia="宋体" w:cs="宋体"/>
          <w:color w:val="auto"/>
          <w:sz w:val="22"/>
          <w:szCs w:val="22"/>
          <w:lang w:val="en-US" w:eastAsia="zh-CN"/>
        </w:rPr>
        <w:t>3.3.</w:t>
      </w:r>
      <w:r>
        <w:rPr>
          <w:rFonts w:hint="eastAsia" w:ascii="宋体" w:hAnsi="宋体" w:cs="宋体"/>
          <w:color w:val="auto"/>
          <w:sz w:val="22"/>
          <w:szCs w:val="22"/>
          <w:lang w:val="en-US" w:eastAsia="zh-CN"/>
        </w:rPr>
        <w:t>8</w:t>
      </w:r>
      <w:r>
        <w:rPr>
          <w:rFonts w:hint="eastAsia" w:ascii="宋体" w:hAnsi="宋体" w:eastAsia="宋体" w:cs="宋体"/>
          <w:b/>
          <w:bCs/>
          <w:color w:val="auto"/>
          <w:sz w:val="22"/>
          <w:szCs w:val="22"/>
        </w:rPr>
        <w:t xml:space="preserve"> </w:t>
      </w:r>
      <w:r>
        <w:rPr>
          <w:rFonts w:hint="eastAsia" w:ascii="宋体" w:hAnsi="宋体" w:eastAsia="宋体" w:cs="宋体"/>
          <w:b/>
          <w:bCs/>
          <w:color w:val="auto"/>
          <w:sz w:val="22"/>
          <w:szCs w:val="22"/>
          <w:lang w:val="zh-CN"/>
        </w:rPr>
        <w:t>小型微型企业认定及评标价格评审</w:t>
      </w:r>
    </w:p>
    <w:p>
      <w:pPr>
        <w:keepNext w:val="0"/>
        <w:keepLines w:val="0"/>
        <w:pageBreakBefore w:val="0"/>
        <w:widowControl/>
        <w:kinsoku/>
        <w:wordWrap/>
        <w:overflowPunct/>
        <w:topLinePunct w:val="0"/>
        <w:bidi w:val="0"/>
        <w:snapToGrid/>
        <w:spacing w:line="380" w:lineRule="exact"/>
        <w:ind w:firstLine="442" w:firstLineChars="200"/>
        <w:textAlignment w:val="auto"/>
        <w:rPr>
          <w:rFonts w:hint="eastAsia" w:ascii="宋体" w:hAnsi="宋体" w:eastAsia="宋体" w:cs="宋体"/>
          <w:b/>
          <w:bCs/>
          <w:color w:val="auto"/>
          <w:sz w:val="22"/>
          <w:szCs w:val="22"/>
          <w:lang w:val="zh-CN"/>
        </w:rPr>
      </w:pPr>
    </w:p>
    <w:p>
      <w:pPr>
        <w:pStyle w:val="47"/>
        <w:rPr>
          <w:rFonts w:hint="eastAsia" w:ascii="宋体" w:hAnsi="宋体" w:eastAsia="宋体" w:cs="宋体"/>
          <w:color w:val="auto"/>
          <w:sz w:val="22"/>
          <w:szCs w:val="22"/>
          <w:lang w:val="zh-CN"/>
        </w:rPr>
      </w:pPr>
    </w:p>
    <w:tbl>
      <w:tblPr>
        <w:tblStyle w:val="3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1561"/>
        <w:gridCol w:w="1492"/>
        <w:gridCol w:w="2273"/>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9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内容</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大型企业</w:t>
            </w:r>
          </w:p>
        </w:tc>
        <w:tc>
          <w:tcPr>
            <w:tcW w:w="14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中型企业</w:t>
            </w: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小型企业</w:t>
            </w:r>
          </w:p>
        </w:tc>
        <w:tc>
          <w:tcPr>
            <w:tcW w:w="24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9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价格=</w:t>
            </w:r>
          </w:p>
        </w:tc>
        <w:tc>
          <w:tcPr>
            <w:tcW w:w="15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报价</w:t>
            </w:r>
          </w:p>
        </w:tc>
        <w:tc>
          <w:tcPr>
            <w:tcW w:w="149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报价</w:t>
            </w:r>
          </w:p>
        </w:tc>
        <w:tc>
          <w:tcPr>
            <w:tcW w:w="22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报价×（1-</w:t>
            </w:r>
            <w:r>
              <w:rPr>
                <w:rFonts w:hint="eastAsia" w:ascii="宋体" w:hAnsi="宋体" w:cs="宋体"/>
                <w:color w:val="auto"/>
                <w:sz w:val="22"/>
                <w:szCs w:val="22"/>
                <w:lang w:val="en-US" w:eastAsia="zh-CN"/>
              </w:rPr>
              <w:t>15</w:t>
            </w:r>
            <w:r>
              <w:rPr>
                <w:rFonts w:hint="eastAsia" w:ascii="宋体" w:hAnsi="宋体" w:eastAsia="宋体" w:cs="宋体"/>
                <w:color w:val="auto"/>
                <w:sz w:val="22"/>
                <w:szCs w:val="22"/>
                <w:lang w:val="zh-CN"/>
              </w:rPr>
              <w:t>%）</w:t>
            </w:r>
          </w:p>
        </w:tc>
        <w:tc>
          <w:tcPr>
            <w:tcW w:w="24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报价×（1-</w:t>
            </w:r>
            <w:r>
              <w:rPr>
                <w:rFonts w:hint="eastAsia" w:ascii="宋体" w:hAnsi="宋体" w:cs="宋体"/>
                <w:color w:val="auto"/>
                <w:sz w:val="22"/>
                <w:szCs w:val="22"/>
                <w:lang w:val="en-US" w:eastAsia="zh-CN"/>
              </w:rPr>
              <w:t>15</w:t>
            </w:r>
            <w:r>
              <w:rPr>
                <w:rFonts w:hint="eastAsia" w:ascii="宋体" w:hAnsi="宋体" w:eastAsia="宋体" w:cs="宋体"/>
                <w:color w:val="auto"/>
                <w:sz w:val="22"/>
                <w:szCs w:val="22"/>
                <w:lang w:val="zh-CN"/>
              </w:rPr>
              <w:t>%）</w:t>
            </w:r>
          </w:p>
        </w:tc>
      </w:tr>
    </w:tbl>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3.3.</w:t>
      </w:r>
      <w:r>
        <w:rPr>
          <w:rFonts w:hint="eastAsia" w:ascii="宋体" w:hAnsi="宋体" w:cs="宋体"/>
          <w:color w:val="auto"/>
          <w:kern w:val="0"/>
          <w:sz w:val="22"/>
          <w:szCs w:val="22"/>
          <w:lang w:val="en-US" w:eastAsia="zh-CN"/>
        </w:rPr>
        <w:t>8</w:t>
      </w: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lang w:val="zh-CN"/>
        </w:rPr>
        <w:t>根据《政府采购促进中小企业发展管理办法》（财库[20</w:t>
      </w:r>
      <w:r>
        <w:rPr>
          <w:rFonts w:hint="eastAsia" w:ascii="宋体" w:hAnsi="宋体" w:eastAsia="宋体" w:cs="宋体"/>
          <w:color w:val="auto"/>
          <w:kern w:val="0"/>
          <w:sz w:val="22"/>
          <w:szCs w:val="22"/>
        </w:rPr>
        <w:t>20</w:t>
      </w:r>
      <w:r>
        <w:rPr>
          <w:rFonts w:hint="eastAsia" w:ascii="宋体" w:hAnsi="宋体" w:eastAsia="宋体" w:cs="宋体"/>
          <w:color w:val="auto"/>
          <w:kern w:val="0"/>
          <w:sz w:val="22"/>
          <w:szCs w:val="22"/>
          <w:lang w:val="zh-CN"/>
        </w:rPr>
        <w:t>]</w:t>
      </w:r>
      <w:r>
        <w:rPr>
          <w:rFonts w:hint="eastAsia" w:ascii="宋体" w:hAnsi="宋体" w:eastAsia="宋体" w:cs="宋体"/>
          <w:color w:val="auto"/>
          <w:kern w:val="0"/>
          <w:sz w:val="22"/>
          <w:szCs w:val="22"/>
        </w:rPr>
        <w:t>46</w:t>
      </w:r>
      <w:r>
        <w:rPr>
          <w:rFonts w:hint="eastAsia" w:ascii="宋体" w:hAnsi="宋体" w:eastAsia="宋体" w:cs="宋体"/>
          <w:color w:val="auto"/>
          <w:kern w:val="0"/>
          <w:sz w:val="22"/>
          <w:szCs w:val="22"/>
          <w:lang w:val="zh-CN"/>
        </w:rPr>
        <w:t>号）的规定、《工业和信息化部、国家统计局、国家发展和改革委员会、财政部关于印发中小企业划型标准规定的通知》（工信部联企业[</w:t>
      </w:r>
      <w:r>
        <w:rPr>
          <w:rFonts w:hint="eastAsia" w:ascii="宋体" w:hAnsi="宋体" w:eastAsia="宋体" w:cs="宋体"/>
          <w:color w:val="auto"/>
          <w:kern w:val="0"/>
          <w:sz w:val="22"/>
          <w:szCs w:val="22"/>
        </w:rPr>
        <w:t>20</w:t>
      </w:r>
      <w:r>
        <w:rPr>
          <w:rFonts w:hint="eastAsia" w:ascii="宋体" w:hAnsi="宋体" w:eastAsia="宋体" w:cs="宋体"/>
          <w:color w:val="auto"/>
          <w:kern w:val="0"/>
          <w:sz w:val="22"/>
          <w:szCs w:val="22"/>
          <w:lang w:val="zh-CN"/>
        </w:rPr>
        <w:t>11]300号）、河南省财政厅 河南省工业和信息化厅《关于政府采购促进小型微型企业发展的实施意见》（豫财购[</w:t>
      </w:r>
      <w:r>
        <w:rPr>
          <w:rFonts w:hint="eastAsia" w:ascii="宋体" w:hAnsi="宋体" w:eastAsia="宋体" w:cs="宋体"/>
          <w:color w:val="auto"/>
          <w:kern w:val="0"/>
          <w:sz w:val="22"/>
          <w:szCs w:val="22"/>
        </w:rPr>
        <w:t>20</w:t>
      </w:r>
      <w:r>
        <w:rPr>
          <w:rFonts w:hint="eastAsia" w:ascii="宋体" w:hAnsi="宋体" w:eastAsia="宋体" w:cs="宋体"/>
          <w:color w:val="auto"/>
          <w:kern w:val="0"/>
          <w:sz w:val="22"/>
          <w:szCs w:val="22"/>
          <w:lang w:val="zh-CN"/>
        </w:rPr>
        <w:t>13]14号）《光山县财政局关于进一步加大政府采购支持中小企业力度的通知》（光财购[2022]3号）文件规定，对小型和微型企业产品的价格给予</w:t>
      </w:r>
      <w:r>
        <w:rPr>
          <w:rFonts w:hint="eastAsia" w:ascii="宋体" w:hAnsi="宋体" w:cs="宋体"/>
          <w:color w:val="auto"/>
          <w:kern w:val="0"/>
          <w:sz w:val="22"/>
          <w:szCs w:val="22"/>
          <w:lang w:val="en-US" w:eastAsia="zh-CN"/>
        </w:rPr>
        <w:t>15</w:t>
      </w:r>
      <w:r>
        <w:rPr>
          <w:rFonts w:hint="eastAsia" w:ascii="宋体" w:hAnsi="宋体" w:eastAsia="宋体" w:cs="宋体"/>
          <w:color w:val="auto"/>
          <w:kern w:val="0"/>
          <w:sz w:val="22"/>
          <w:szCs w:val="22"/>
          <w:lang w:val="zh-CN"/>
        </w:rPr>
        <w:t>%的扣除，用扣除后的价格参与评审（提供中小企业声明函）。</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3.3.</w:t>
      </w:r>
      <w:r>
        <w:rPr>
          <w:rFonts w:hint="eastAsia" w:ascii="宋体" w:hAnsi="宋体" w:cs="宋体"/>
          <w:color w:val="auto"/>
          <w:kern w:val="0"/>
          <w:sz w:val="22"/>
          <w:szCs w:val="22"/>
          <w:lang w:val="en-US" w:eastAsia="zh-CN"/>
        </w:rPr>
        <w:t>8</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cs="宋体"/>
          <w:color w:val="auto"/>
          <w:kern w:val="0"/>
          <w:sz w:val="22"/>
          <w:szCs w:val="22"/>
          <w:lang w:val="en-US" w:eastAsia="zh-CN"/>
        </w:rPr>
        <w:t>15</w:t>
      </w:r>
      <w:r>
        <w:rPr>
          <w:rFonts w:hint="eastAsia" w:ascii="宋体" w:hAnsi="宋体" w:eastAsia="宋体" w:cs="宋体"/>
          <w:color w:val="auto"/>
          <w:kern w:val="0"/>
          <w:sz w:val="22"/>
          <w:szCs w:val="22"/>
        </w:rPr>
        <w:t>%的价格扣除，但必须提供由省级以上监狱管理局、戒毒管理局（含新疆生产建设兵团）出具的属于监狱企业的证明文件，否则评审时不予价格扣除优惠。</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3.3.</w:t>
      </w:r>
      <w:r>
        <w:rPr>
          <w:rFonts w:hint="eastAsia" w:ascii="宋体" w:hAnsi="宋体" w:cs="宋体"/>
          <w:color w:val="auto"/>
          <w:kern w:val="0"/>
          <w:sz w:val="22"/>
          <w:szCs w:val="22"/>
          <w:lang w:val="en-US" w:eastAsia="zh-CN"/>
        </w:rPr>
        <w:t>8</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根据财库(2017)141号文件规定,在政府采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en-US" w:eastAsia="zh-CN"/>
        </w:rPr>
        <w:t>3.3.</w:t>
      </w:r>
      <w:r>
        <w:rPr>
          <w:rFonts w:hint="eastAsia" w:ascii="宋体" w:hAnsi="宋体" w:cs="宋体"/>
          <w:color w:val="auto"/>
          <w:kern w:val="0"/>
          <w:sz w:val="22"/>
          <w:szCs w:val="22"/>
          <w:lang w:val="en-US" w:eastAsia="zh-CN"/>
        </w:rPr>
        <w:t>8</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lang w:val="zh-CN"/>
        </w:rPr>
        <w:t>根据（财政部 国家环保总局联合印发《关于环境标志产品政府采购实施的意见》的通知）财库〔1906〕90号文件的有关要求，投标人本次投标活动中，如果所投设备属于最新发布“环境标志产品政府采购清单”中的品目时，在性能、技术、服务等指标同等条件下，将优先采购清单中的产品。</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eastAsia="zh-CN"/>
        </w:rPr>
        <w:t>3.3.</w:t>
      </w:r>
      <w:r>
        <w:rPr>
          <w:rFonts w:hint="eastAsia" w:ascii="宋体" w:hAnsi="宋体" w:cs="宋体"/>
          <w:color w:val="auto"/>
          <w:kern w:val="0"/>
          <w:sz w:val="22"/>
          <w:szCs w:val="22"/>
          <w:lang w:val="en-US" w:eastAsia="zh-CN"/>
        </w:rPr>
        <w:t>8</w:t>
      </w:r>
      <w:r>
        <w:rPr>
          <w:rFonts w:hint="eastAsia" w:ascii="宋体" w:hAnsi="宋体" w:eastAsia="宋体" w:cs="宋体"/>
          <w:color w:val="auto"/>
          <w:kern w:val="0"/>
          <w:sz w:val="22"/>
          <w:szCs w:val="22"/>
          <w:lang w:val="zh-CN" w:eastAsia="zh-CN"/>
        </w:rPr>
        <w:t>.</w:t>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lang w:val="zh-CN"/>
        </w:rPr>
        <w:t>根据（财政部 国家发展改革委关于印发《节能产品政府采购实施意见》的通知）财库〔1904〕185号文件的有关要求，投标人本次投标活动中，如果所投设备属于最新发布“节能产品政府采购清单”中的品目时，在性能、技术、服务等指标同等条件下，将优先采购清单中的产品。</w:t>
      </w:r>
    </w:p>
    <w:p>
      <w:pPr>
        <w:keepNext w:val="0"/>
        <w:keepLines w:val="0"/>
        <w:pageBreakBefore w:val="0"/>
        <w:widowControl/>
        <w:kinsoku/>
        <w:wordWrap/>
        <w:overflowPunct/>
        <w:topLinePunct w:val="0"/>
        <w:bidi w:val="0"/>
        <w:snapToGrid/>
        <w:spacing w:line="380" w:lineRule="exact"/>
        <w:ind w:firstLine="442" w:firstLineChars="200"/>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注：投标价格为含税价，应包含设备配送到</w:t>
      </w:r>
      <w:r>
        <w:rPr>
          <w:rFonts w:hint="eastAsia" w:ascii="宋体" w:hAnsi="宋体" w:eastAsia="宋体" w:cs="宋体"/>
          <w:b/>
          <w:bCs/>
          <w:color w:val="auto"/>
          <w:sz w:val="22"/>
          <w:szCs w:val="22"/>
          <w:lang w:eastAsia="zh-CN"/>
        </w:rPr>
        <w:t>采购人</w:t>
      </w:r>
      <w:r>
        <w:rPr>
          <w:rFonts w:hint="eastAsia" w:ascii="宋体" w:hAnsi="宋体" w:eastAsia="宋体" w:cs="宋体"/>
          <w:b/>
          <w:bCs/>
          <w:color w:val="auto"/>
          <w:sz w:val="22"/>
          <w:szCs w:val="22"/>
        </w:rPr>
        <w:t>指定地点落地交货前的一切费用及后期培训费用等。</w:t>
      </w:r>
    </w:p>
    <w:p>
      <w:pPr>
        <w:keepNext w:val="0"/>
        <w:keepLines w:val="0"/>
        <w:pageBreakBefore w:val="0"/>
        <w:widowControl/>
        <w:kinsoku/>
        <w:wordWrap/>
        <w:overflowPunct/>
        <w:topLinePunct w:val="0"/>
        <w:autoSpaceDE w:val="0"/>
        <w:autoSpaceDN w:val="0"/>
        <w:bidi w:val="0"/>
        <w:adjustRightInd w:val="0"/>
        <w:snapToGrid/>
        <w:spacing w:line="41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3.4 投标有效期</w:t>
      </w:r>
    </w:p>
    <w:p>
      <w:pPr>
        <w:keepNext w:val="0"/>
        <w:keepLines w:val="0"/>
        <w:pageBreakBefore w:val="0"/>
        <w:widowControl/>
        <w:kinsoku/>
        <w:wordWrap/>
        <w:overflowPunct/>
        <w:topLinePunct w:val="0"/>
        <w:autoSpaceDE w:val="0"/>
        <w:autoSpaceDN w:val="0"/>
        <w:bidi w:val="0"/>
        <w:adjustRightInd w:val="0"/>
        <w:snapToGrid/>
        <w:spacing w:line="41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3.4.1 投标有效期见投标人须知前附表。</w:t>
      </w:r>
    </w:p>
    <w:p>
      <w:pPr>
        <w:keepNext w:val="0"/>
        <w:keepLines w:val="0"/>
        <w:pageBreakBefore w:val="0"/>
        <w:widowControl/>
        <w:kinsoku/>
        <w:wordWrap/>
        <w:overflowPunct/>
        <w:topLinePunct w:val="0"/>
        <w:autoSpaceDE w:val="0"/>
        <w:autoSpaceDN w:val="0"/>
        <w:bidi w:val="0"/>
        <w:adjustRightInd w:val="0"/>
        <w:snapToGrid/>
        <w:spacing w:line="41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3.4.2 在投标有效期内，投标人不得要求撤销或修改其投标文件。</w:t>
      </w:r>
    </w:p>
    <w:p>
      <w:pPr>
        <w:keepNext w:val="0"/>
        <w:keepLines w:val="0"/>
        <w:pageBreakBefore w:val="0"/>
        <w:widowControl/>
        <w:kinsoku/>
        <w:wordWrap/>
        <w:overflowPunct/>
        <w:topLinePunct w:val="0"/>
        <w:autoSpaceDE w:val="0"/>
        <w:autoSpaceDN w:val="0"/>
        <w:bidi w:val="0"/>
        <w:adjustRightInd w:val="0"/>
        <w:snapToGrid/>
        <w:spacing w:line="41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3.4.3 出现特殊情况需要延长投标有效期的，采购人以书面形式通知所有投标人延长投标有效期。</w:t>
      </w:r>
    </w:p>
    <w:p>
      <w:pPr>
        <w:keepNext w:val="0"/>
        <w:keepLines w:val="0"/>
        <w:pageBreakBefore w:val="0"/>
        <w:widowControl/>
        <w:kinsoku/>
        <w:wordWrap/>
        <w:overflowPunct/>
        <w:topLinePunct w:val="0"/>
        <w:autoSpaceDE w:val="0"/>
        <w:autoSpaceDN w:val="0"/>
        <w:bidi w:val="0"/>
        <w:adjustRightInd w:val="0"/>
        <w:snapToGrid/>
        <w:spacing w:line="41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3.5 投标保证金</w:t>
      </w:r>
    </w:p>
    <w:p>
      <w:pPr>
        <w:keepNext w:val="0"/>
        <w:keepLines w:val="0"/>
        <w:pageBreakBefore w:val="0"/>
        <w:widowControl/>
        <w:kinsoku/>
        <w:wordWrap/>
        <w:overflowPunct/>
        <w:topLinePunct w:val="0"/>
        <w:autoSpaceDE w:val="0"/>
        <w:autoSpaceDN w:val="0"/>
        <w:bidi w:val="0"/>
        <w:adjustRightInd w:val="0"/>
        <w:snapToGrid/>
        <w:spacing w:line="410" w:lineRule="exact"/>
        <w:ind w:firstLine="444" w:firstLineChars="200"/>
        <w:textAlignment w:val="auto"/>
        <w:rPr>
          <w:rFonts w:hint="eastAsia" w:ascii="宋体" w:hAnsi="宋体" w:eastAsia="宋体" w:cs="宋体"/>
          <w:bCs/>
          <w:color w:val="auto"/>
          <w:spacing w:val="1"/>
          <w:kern w:val="0"/>
          <w:sz w:val="22"/>
          <w:szCs w:val="22"/>
        </w:rPr>
      </w:pPr>
      <w:r>
        <w:rPr>
          <w:rFonts w:hint="eastAsia" w:ascii="宋体" w:hAnsi="宋体" w:eastAsia="宋体" w:cs="宋体"/>
          <w:bCs/>
          <w:color w:val="auto"/>
          <w:spacing w:val="1"/>
          <w:kern w:val="0"/>
          <w:sz w:val="22"/>
          <w:szCs w:val="22"/>
        </w:rPr>
        <w:t>本项目不需要提供投标保证金</w:t>
      </w:r>
    </w:p>
    <w:p>
      <w:pPr>
        <w:keepNext w:val="0"/>
        <w:keepLines w:val="0"/>
        <w:pageBreakBefore w:val="0"/>
        <w:widowControl/>
        <w:kinsoku/>
        <w:wordWrap/>
        <w:overflowPunct/>
        <w:topLinePunct w:val="0"/>
        <w:autoSpaceDE w:val="0"/>
        <w:autoSpaceDN w:val="0"/>
        <w:bidi w:val="0"/>
        <w:adjustRightInd w:val="0"/>
        <w:snapToGrid/>
        <w:spacing w:line="41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3.6 资格审查资料</w:t>
      </w:r>
    </w:p>
    <w:p>
      <w:pPr>
        <w:keepNext w:val="0"/>
        <w:keepLines w:val="0"/>
        <w:pageBreakBefore w:val="0"/>
        <w:widowControl/>
        <w:kinsoku/>
        <w:wordWrap/>
        <w:overflowPunct/>
        <w:topLinePunct w:val="0"/>
        <w:bidi w:val="0"/>
        <w:snapToGrid/>
        <w:spacing w:line="41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3.6.1“投标人基本情况表”应</w:t>
      </w:r>
      <w:r>
        <w:rPr>
          <w:rFonts w:hint="eastAsia" w:ascii="宋体" w:hAnsi="宋体" w:eastAsia="宋体" w:cs="宋体"/>
          <w:color w:val="auto"/>
          <w:sz w:val="22"/>
          <w:szCs w:val="22"/>
        </w:rPr>
        <w:t>附投标人有效的营业执照（副本）等证明材料</w:t>
      </w:r>
      <w:r>
        <w:rPr>
          <w:rFonts w:hint="eastAsia" w:ascii="宋体" w:hAnsi="宋体" w:eastAsia="宋体" w:cs="宋体"/>
          <w:color w:val="auto"/>
          <w:sz w:val="22"/>
          <w:szCs w:val="22"/>
          <w:lang w:eastAsia="zh-CN"/>
        </w:rPr>
        <w:t>的</w:t>
      </w:r>
      <w:r>
        <w:rPr>
          <w:rFonts w:hint="eastAsia" w:ascii="宋体" w:hAnsi="宋体" w:eastAsia="宋体" w:cs="宋体"/>
          <w:color w:val="auto"/>
          <w:sz w:val="22"/>
          <w:szCs w:val="22"/>
        </w:rPr>
        <w:t>复印件。</w:t>
      </w:r>
    </w:p>
    <w:p>
      <w:pPr>
        <w:keepNext w:val="0"/>
        <w:keepLines w:val="0"/>
        <w:pageBreakBefore w:val="0"/>
        <w:widowControl/>
        <w:kinsoku/>
        <w:wordWrap/>
        <w:overflowPunct/>
        <w:topLinePunct w:val="0"/>
        <w:autoSpaceDE w:val="0"/>
        <w:autoSpaceDN w:val="0"/>
        <w:bidi w:val="0"/>
        <w:adjustRightInd w:val="0"/>
        <w:snapToGrid/>
        <w:spacing w:line="41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rPr>
        <w:t>3.6.2</w:t>
      </w:r>
      <w:r>
        <w:rPr>
          <w:rFonts w:hint="eastAsia" w:ascii="宋体" w:hAnsi="宋体" w:cs="宋体"/>
          <w:color w:val="auto"/>
          <w:kern w:val="0"/>
          <w:sz w:val="22"/>
          <w:szCs w:val="22"/>
          <w:lang w:val="en-US" w:eastAsia="zh-CN"/>
        </w:rPr>
        <w:t xml:space="preserve"> </w:t>
      </w:r>
      <w:r>
        <w:rPr>
          <w:rFonts w:hint="eastAsia" w:ascii="宋体" w:hAnsi="宋体" w:eastAsia="宋体" w:cs="宋体"/>
          <w:color w:val="auto"/>
          <w:kern w:val="0"/>
          <w:sz w:val="22"/>
          <w:szCs w:val="22"/>
        </w:rPr>
        <w:t>投标人须知前附表规定接受联合体投标的，本章第3.6.1项规定的表格和资料应包括联合体各方相关情况。</w:t>
      </w:r>
    </w:p>
    <w:p>
      <w:pPr>
        <w:keepNext w:val="0"/>
        <w:keepLines w:val="0"/>
        <w:pageBreakBefore w:val="0"/>
        <w:widowControl/>
        <w:kinsoku/>
        <w:wordWrap/>
        <w:overflowPunct/>
        <w:topLinePunct w:val="0"/>
        <w:autoSpaceDE w:val="0"/>
        <w:autoSpaceDN w:val="0"/>
        <w:bidi w:val="0"/>
        <w:adjustRightInd w:val="0"/>
        <w:snapToGrid/>
        <w:spacing w:line="41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3.7 投标文件的编制</w:t>
      </w:r>
    </w:p>
    <w:p>
      <w:pPr>
        <w:keepNext w:val="0"/>
        <w:keepLines w:val="0"/>
        <w:pageBreakBefore w:val="0"/>
        <w:widowControl/>
        <w:kinsoku/>
        <w:wordWrap/>
        <w:overflowPunct/>
        <w:topLinePunct w:val="0"/>
        <w:autoSpaceDE w:val="0"/>
        <w:autoSpaceDN w:val="0"/>
        <w:bidi w:val="0"/>
        <w:adjustRightInd w:val="0"/>
        <w:snapToGrid/>
        <w:spacing w:line="41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3.7.1</w:t>
      </w:r>
      <w:r>
        <w:rPr>
          <w:rFonts w:hint="eastAsia" w:ascii="宋体" w:hAnsi="宋体" w:cs="宋体"/>
          <w:color w:val="auto"/>
          <w:kern w:val="0"/>
          <w:sz w:val="22"/>
          <w:szCs w:val="22"/>
          <w:lang w:val="en-US" w:eastAsia="zh-CN"/>
        </w:rPr>
        <w:t xml:space="preserve"> </w:t>
      </w:r>
      <w:r>
        <w:rPr>
          <w:rFonts w:hint="eastAsia" w:ascii="宋体" w:hAnsi="宋体" w:eastAsia="宋体" w:cs="宋体"/>
          <w:color w:val="auto"/>
          <w:kern w:val="0"/>
          <w:sz w:val="22"/>
          <w:szCs w:val="22"/>
        </w:rPr>
        <w:t>投标文件应按投标文件格式使用</w:t>
      </w:r>
      <w:r>
        <w:rPr>
          <w:rFonts w:hint="eastAsia" w:ascii="宋体" w:hAnsi="宋体" w:eastAsia="宋体" w:cs="宋体"/>
          <w:color w:val="auto"/>
          <w:sz w:val="22"/>
          <w:szCs w:val="22"/>
        </w:rPr>
        <w:t>信阳市公共资源交易中心电子招投标系统</w:t>
      </w:r>
      <w:r>
        <w:rPr>
          <w:rFonts w:hint="eastAsia" w:ascii="宋体" w:hAnsi="宋体" w:eastAsia="宋体" w:cs="宋体"/>
          <w:color w:val="auto"/>
          <w:kern w:val="0"/>
          <w:sz w:val="22"/>
          <w:szCs w:val="22"/>
        </w:rPr>
        <w:t>投标文件制作专用工具软件编制。其中，投标函附录在满足招标文件实质性要求的基础上，可以提出比招标文件要求更有利于采购人的承诺。</w:t>
      </w:r>
    </w:p>
    <w:p>
      <w:pPr>
        <w:keepNext w:val="0"/>
        <w:keepLines w:val="0"/>
        <w:pageBreakBefore w:val="0"/>
        <w:widowControl/>
        <w:kinsoku/>
        <w:wordWrap/>
        <w:overflowPunct/>
        <w:topLinePunct w:val="0"/>
        <w:autoSpaceDE w:val="0"/>
        <w:autoSpaceDN w:val="0"/>
        <w:bidi w:val="0"/>
        <w:adjustRightInd w:val="0"/>
        <w:snapToGrid/>
        <w:spacing w:line="41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rPr>
        <w:t>3.7.2 投标文件应当对招标文件有关</w:t>
      </w:r>
      <w:r>
        <w:rPr>
          <w:rFonts w:hint="eastAsia" w:ascii="宋体" w:hAnsi="宋体" w:cs="宋体"/>
          <w:color w:val="auto"/>
          <w:sz w:val="22"/>
          <w:szCs w:val="22"/>
          <w:lang w:val="en-US" w:eastAsia="zh-CN"/>
        </w:rPr>
        <w:t>合同履行</w:t>
      </w:r>
      <w:r>
        <w:rPr>
          <w:rFonts w:hint="eastAsia" w:ascii="宋体" w:hAnsi="宋体" w:eastAsia="宋体" w:cs="宋体"/>
          <w:color w:val="auto"/>
          <w:sz w:val="22"/>
          <w:szCs w:val="22"/>
        </w:rPr>
        <w:t>期限及地点、投标有效期、质量要求</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采购内容及要求</w:t>
      </w:r>
      <w:r>
        <w:rPr>
          <w:rFonts w:hint="eastAsia" w:ascii="宋体" w:hAnsi="宋体" w:eastAsia="宋体" w:cs="宋体"/>
          <w:color w:val="auto"/>
          <w:sz w:val="22"/>
          <w:szCs w:val="22"/>
        </w:rPr>
        <w:t>等实质性内容作出响应。</w:t>
      </w:r>
    </w:p>
    <w:p>
      <w:pPr>
        <w:keepNext w:val="0"/>
        <w:keepLines w:val="0"/>
        <w:pageBreakBefore w:val="0"/>
        <w:widowControl/>
        <w:kinsoku/>
        <w:wordWrap/>
        <w:overflowPunct/>
        <w:topLinePunct w:val="0"/>
        <w:autoSpaceDE w:val="0"/>
        <w:autoSpaceDN w:val="0"/>
        <w:bidi w:val="0"/>
        <w:adjustRightInd w:val="0"/>
        <w:snapToGrid/>
        <w:spacing w:line="41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3.7.3</w:t>
      </w:r>
      <w:r>
        <w:rPr>
          <w:rFonts w:hint="eastAsia" w:ascii="宋体" w:hAnsi="宋体" w:cs="宋体"/>
          <w:color w:val="auto"/>
          <w:kern w:val="0"/>
          <w:sz w:val="22"/>
          <w:szCs w:val="22"/>
          <w:lang w:val="en-US" w:eastAsia="zh-CN"/>
        </w:rPr>
        <w:t xml:space="preserve"> </w:t>
      </w:r>
      <w:r>
        <w:rPr>
          <w:rFonts w:hint="eastAsia" w:ascii="宋体" w:hAnsi="宋体" w:eastAsia="宋体" w:cs="宋体"/>
          <w:color w:val="auto"/>
          <w:kern w:val="0"/>
          <w:sz w:val="22"/>
          <w:szCs w:val="22"/>
        </w:rPr>
        <w:t>投标文件签字和盖章的具体要求见投标人须知前附表。如委托代理人电子签章的，投标文件应附法定代表人签署的授权委托书。</w:t>
      </w:r>
    </w:p>
    <w:p>
      <w:pPr>
        <w:keepNext w:val="0"/>
        <w:keepLines w:val="0"/>
        <w:pageBreakBefore w:val="0"/>
        <w:widowControl/>
        <w:kinsoku/>
        <w:wordWrap/>
        <w:overflowPunct/>
        <w:topLinePunct w:val="0"/>
        <w:autoSpaceDE w:val="0"/>
        <w:autoSpaceDN w:val="0"/>
        <w:bidi w:val="0"/>
        <w:adjustRightInd w:val="0"/>
        <w:snapToGrid/>
        <w:spacing w:line="41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3.</w:t>
      </w:r>
      <w:r>
        <w:rPr>
          <w:rFonts w:hint="eastAsia" w:ascii="宋体" w:hAnsi="宋体" w:eastAsia="宋体" w:cs="宋体"/>
          <w:b/>
          <w:color w:val="auto"/>
          <w:kern w:val="0"/>
          <w:sz w:val="22"/>
          <w:szCs w:val="22"/>
          <w:lang w:val="en-US" w:eastAsia="zh-CN"/>
        </w:rPr>
        <w:t>8</w:t>
      </w:r>
      <w:r>
        <w:rPr>
          <w:rFonts w:hint="eastAsia" w:ascii="宋体" w:hAnsi="宋体" w:eastAsia="宋体" w:cs="宋体"/>
          <w:b/>
          <w:color w:val="auto"/>
          <w:kern w:val="0"/>
          <w:sz w:val="22"/>
          <w:szCs w:val="22"/>
        </w:rPr>
        <w:t xml:space="preserve"> 踏勘现场</w:t>
      </w:r>
    </w:p>
    <w:p>
      <w:pPr>
        <w:keepNext w:val="0"/>
        <w:keepLines w:val="0"/>
        <w:pageBreakBefore w:val="0"/>
        <w:widowControl/>
        <w:kinsoku/>
        <w:wordWrap/>
        <w:overflowPunct/>
        <w:topLinePunct w:val="0"/>
        <w:autoSpaceDE w:val="0"/>
        <w:autoSpaceDN w:val="0"/>
        <w:bidi w:val="0"/>
        <w:adjustRightInd w:val="0"/>
        <w:snapToGrid/>
        <w:spacing w:line="41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r>
        <w:rPr>
          <w:rFonts w:hint="eastAsia" w:ascii="宋体" w:hAnsi="宋体" w:eastAsia="宋体" w:cs="宋体"/>
          <w:color w:val="auto"/>
          <w:kern w:val="0"/>
          <w:sz w:val="22"/>
          <w:szCs w:val="22"/>
          <w:lang w:val="en-US" w:eastAsia="zh-CN"/>
        </w:rPr>
        <w:t>8</w:t>
      </w:r>
      <w:r>
        <w:rPr>
          <w:rFonts w:hint="eastAsia" w:ascii="宋体" w:hAnsi="宋体" w:eastAsia="宋体" w:cs="宋体"/>
          <w:color w:val="auto"/>
          <w:kern w:val="0"/>
          <w:sz w:val="22"/>
          <w:szCs w:val="22"/>
        </w:rPr>
        <w:t>.1 本项目不安排勘察现场</w:t>
      </w:r>
    </w:p>
    <w:p>
      <w:pPr>
        <w:pStyle w:val="3"/>
        <w:pageBreakBefore w:val="0"/>
        <w:kinsoku/>
        <w:wordWrap/>
        <w:overflowPunct/>
        <w:topLinePunct w:val="0"/>
        <w:bidi w:val="0"/>
        <w:snapToGrid/>
        <w:spacing w:line="410" w:lineRule="exact"/>
        <w:textAlignment w:val="auto"/>
        <w:rPr>
          <w:rFonts w:hint="eastAsia" w:ascii="宋体" w:hAnsi="宋体" w:eastAsia="宋体" w:cs="宋体"/>
          <w:color w:val="auto"/>
          <w:sz w:val="32"/>
          <w:szCs w:val="32"/>
        </w:rPr>
      </w:pPr>
      <w:bookmarkStart w:id="59" w:name="_Toc9335"/>
      <w:bookmarkStart w:id="60" w:name="_Toc13360"/>
      <w:bookmarkStart w:id="61" w:name="_Toc18606"/>
      <w:bookmarkStart w:id="62" w:name="_Toc503932571"/>
      <w:bookmarkStart w:id="63" w:name="_Toc1455"/>
      <w:bookmarkStart w:id="64" w:name="_Toc8013"/>
      <w:bookmarkStart w:id="65" w:name="_Toc22488"/>
      <w:r>
        <w:rPr>
          <w:rFonts w:hint="eastAsia" w:ascii="宋体" w:hAnsi="宋体" w:eastAsia="宋体" w:cs="宋体"/>
          <w:color w:val="auto"/>
          <w:sz w:val="32"/>
          <w:szCs w:val="32"/>
        </w:rPr>
        <w:t>4.投标</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keepNext w:val="0"/>
        <w:keepLines w:val="0"/>
        <w:pageBreakBefore w:val="0"/>
        <w:kinsoku/>
        <w:wordWrap/>
        <w:overflowPunct/>
        <w:topLinePunct w:val="0"/>
        <w:autoSpaceDE w:val="0"/>
        <w:autoSpaceDN w:val="0"/>
        <w:bidi w:val="0"/>
        <w:adjustRightInd w:val="0"/>
        <w:snapToGrid/>
        <w:spacing w:line="41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4.1</w:t>
      </w:r>
      <w:r>
        <w:rPr>
          <w:rFonts w:hint="eastAsia" w:ascii="宋体" w:hAnsi="宋体" w:cs="宋体"/>
          <w:b/>
          <w:color w:val="auto"/>
          <w:kern w:val="0"/>
          <w:sz w:val="22"/>
          <w:szCs w:val="22"/>
          <w:lang w:val="en-US" w:eastAsia="zh-CN"/>
        </w:rPr>
        <w:t xml:space="preserve"> </w:t>
      </w:r>
      <w:r>
        <w:rPr>
          <w:rFonts w:hint="eastAsia" w:ascii="宋体" w:hAnsi="宋体" w:eastAsia="宋体" w:cs="宋体"/>
          <w:b/>
          <w:color w:val="auto"/>
          <w:sz w:val="22"/>
          <w:szCs w:val="22"/>
        </w:rPr>
        <w:t>投标文件的密封和标记</w:t>
      </w:r>
    </w:p>
    <w:p>
      <w:pPr>
        <w:keepNext w:val="0"/>
        <w:keepLines w:val="0"/>
        <w:pageBreakBefore w:val="0"/>
        <w:kinsoku/>
        <w:wordWrap/>
        <w:overflowPunct/>
        <w:topLinePunct w:val="0"/>
        <w:autoSpaceDE w:val="0"/>
        <w:autoSpaceDN w:val="0"/>
        <w:bidi w:val="0"/>
        <w:adjustRightInd w:val="0"/>
        <w:snapToGrid/>
        <w:spacing w:line="41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4.1.1 网上上传的电子投标文件应使用投标人数字证书认证并加密，否则，其投标文件将被电子交易系统拒绝。</w:t>
      </w:r>
    </w:p>
    <w:p>
      <w:pPr>
        <w:keepNext w:val="0"/>
        <w:keepLines w:val="0"/>
        <w:pageBreakBefore w:val="0"/>
        <w:kinsoku/>
        <w:wordWrap/>
        <w:overflowPunct/>
        <w:topLinePunct w:val="0"/>
        <w:autoSpaceDE w:val="0"/>
        <w:autoSpaceDN w:val="0"/>
        <w:bidi w:val="0"/>
        <w:adjustRightInd w:val="0"/>
        <w:snapToGrid/>
        <w:spacing w:line="41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4.2 投标文件的</w:t>
      </w:r>
      <w:r>
        <w:rPr>
          <w:rFonts w:hint="eastAsia" w:ascii="宋体" w:hAnsi="宋体" w:eastAsia="宋体" w:cs="宋体"/>
          <w:b/>
          <w:color w:val="auto"/>
          <w:kern w:val="0"/>
          <w:sz w:val="22"/>
          <w:szCs w:val="22"/>
          <w:lang w:eastAsia="zh-CN"/>
        </w:rPr>
        <w:t>提</w:t>
      </w:r>
      <w:r>
        <w:rPr>
          <w:rFonts w:hint="eastAsia" w:ascii="宋体" w:hAnsi="宋体" w:eastAsia="宋体" w:cs="宋体"/>
          <w:b/>
          <w:color w:val="auto"/>
          <w:kern w:val="0"/>
          <w:sz w:val="22"/>
          <w:szCs w:val="22"/>
        </w:rPr>
        <w:t>交</w:t>
      </w:r>
    </w:p>
    <w:p>
      <w:pPr>
        <w:keepNext w:val="0"/>
        <w:keepLines w:val="0"/>
        <w:pageBreakBefore w:val="0"/>
        <w:kinsoku/>
        <w:wordWrap/>
        <w:overflowPunct/>
        <w:topLinePunct w:val="0"/>
        <w:bidi w:val="0"/>
        <w:snapToGrid/>
        <w:spacing w:line="41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4.2.1投标人应在投标人须知前附表规定的投标截止时间前</w:t>
      </w:r>
      <w:r>
        <w:rPr>
          <w:rFonts w:hint="eastAsia" w:ascii="宋体" w:hAnsi="宋体" w:eastAsia="宋体" w:cs="宋体"/>
          <w:color w:val="auto"/>
          <w:sz w:val="22"/>
          <w:szCs w:val="22"/>
          <w:lang w:eastAsia="zh-CN"/>
        </w:rPr>
        <w:t>提</w:t>
      </w:r>
      <w:r>
        <w:rPr>
          <w:rFonts w:hint="eastAsia" w:ascii="宋体" w:hAnsi="宋体" w:eastAsia="宋体" w:cs="宋体"/>
          <w:color w:val="auto"/>
          <w:sz w:val="22"/>
          <w:szCs w:val="22"/>
        </w:rPr>
        <w:t>交投标文件。</w:t>
      </w:r>
    </w:p>
    <w:p>
      <w:pPr>
        <w:keepNext w:val="0"/>
        <w:keepLines w:val="0"/>
        <w:pageBreakBefore w:val="0"/>
        <w:kinsoku/>
        <w:wordWrap/>
        <w:overflowPunct/>
        <w:topLinePunct w:val="0"/>
        <w:bidi w:val="0"/>
        <w:snapToGrid/>
        <w:spacing w:line="41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4.2.2投标人</w:t>
      </w:r>
      <w:r>
        <w:rPr>
          <w:rFonts w:hint="eastAsia" w:ascii="宋体" w:hAnsi="宋体" w:eastAsia="宋体" w:cs="宋体"/>
          <w:color w:val="auto"/>
          <w:sz w:val="22"/>
          <w:szCs w:val="22"/>
          <w:lang w:eastAsia="zh-CN"/>
        </w:rPr>
        <w:t>提</w:t>
      </w:r>
      <w:r>
        <w:rPr>
          <w:rFonts w:hint="eastAsia" w:ascii="宋体" w:hAnsi="宋体" w:eastAsia="宋体" w:cs="宋体"/>
          <w:color w:val="auto"/>
          <w:sz w:val="22"/>
          <w:szCs w:val="22"/>
        </w:rPr>
        <w:t>交投标文件的地点：见投标人须知前附表。</w:t>
      </w:r>
    </w:p>
    <w:p>
      <w:pPr>
        <w:keepNext w:val="0"/>
        <w:keepLines w:val="0"/>
        <w:pageBreakBefore w:val="0"/>
        <w:kinsoku/>
        <w:wordWrap/>
        <w:overflowPunct/>
        <w:topLinePunct w:val="0"/>
        <w:autoSpaceDE w:val="0"/>
        <w:autoSpaceDN w:val="0"/>
        <w:bidi w:val="0"/>
        <w:adjustRightInd w:val="0"/>
        <w:snapToGrid/>
        <w:spacing w:line="410" w:lineRule="exact"/>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4.3 投标文件的修改与撤回</w:t>
      </w:r>
    </w:p>
    <w:p>
      <w:pPr>
        <w:pStyle w:val="48"/>
        <w:keepNext w:val="0"/>
        <w:keepLines w:val="0"/>
        <w:pageBreakBefore w:val="0"/>
        <w:kinsoku/>
        <w:wordWrap/>
        <w:overflowPunct/>
        <w:topLinePunct w:val="0"/>
        <w:bidi w:val="0"/>
        <w:snapToGrid/>
        <w:spacing w:line="41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在投标人须知前附表规定的投标截止时间前，投标人可以修改或撤回已</w:t>
      </w:r>
      <w:r>
        <w:rPr>
          <w:rFonts w:hint="eastAsia" w:ascii="宋体" w:hAnsi="宋体" w:eastAsia="宋体" w:cs="宋体"/>
          <w:color w:val="auto"/>
          <w:sz w:val="22"/>
          <w:szCs w:val="22"/>
          <w:lang w:eastAsia="zh-CN"/>
        </w:rPr>
        <w:t>提</w:t>
      </w:r>
      <w:r>
        <w:rPr>
          <w:rFonts w:hint="eastAsia" w:ascii="宋体" w:hAnsi="宋体" w:eastAsia="宋体" w:cs="宋体"/>
          <w:color w:val="auto"/>
          <w:sz w:val="22"/>
          <w:szCs w:val="22"/>
        </w:rPr>
        <w:t>交的投标文件，但应</w:t>
      </w:r>
      <w:r>
        <w:rPr>
          <w:rFonts w:hint="eastAsia" w:ascii="宋体" w:hAnsi="宋体" w:eastAsia="宋体" w:cs="宋体"/>
          <w:color w:val="auto"/>
          <w:sz w:val="22"/>
          <w:szCs w:val="22"/>
          <w:lang w:eastAsia="zh-CN"/>
        </w:rPr>
        <w:t>重新上传。</w:t>
      </w:r>
    </w:p>
    <w:p>
      <w:pPr>
        <w:pStyle w:val="3"/>
        <w:spacing w:line="240" w:lineRule="auto"/>
        <w:rPr>
          <w:rFonts w:hint="eastAsia" w:ascii="宋体" w:hAnsi="宋体" w:eastAsia="宋体" w:cs="宋体"/>
          <w:color w:val="auto"/>
          <w:sz w:val="32"/>
          <w:szCs w:val="32"/>
        </w:rPr>
      </w:pPr>
      <w:bookmarkStart w:id="66" w:name="_Toc370307925"/>
      <w:bookmarkStart w:id="67" w:name="_Toc370307636"/>
      <w:bookmarkStart w:id="68" w:name="_Toc21655"/>
      <w:bookmarkStart w:id="69" w:name="_Toc12672"/>
      <w:bookmarkStart w:id="70" w:name="_Toc1230"/>
      <w:bookmarkStart w:id="71" w:name="_Toc565"/>
      <w:bookmarkStart w:id="72" w:name="_Toc364092360"/>
      <w:bookmarkStart w:id="73" w:name="_Toc4833"/>
      <w:bookmarkStart w:id="74" w:name="_Toc503932572"/>
      <w:bookmarkStart w:id="75" w:name="_Toc370307747"/>
      <w:bookmarkStart w:id="76" w:name="_Toc28410"/>
      <w:bookmarkStart w:id="77" w:name="_Toc10984"/>
      <w:bookmarkStart w:id="78" w:name="_Toc370307423"/>
      <w:bookmarkStart w:id="79" w:name="_Toc3951"/>
      <w:r>
        <w:rPr>
          <w:rFonts w:hint="eastAsia" w:ascii="宋体" w:hAnsi="宋体" w:eastAsia="宋体" w:cs="宋体"/>
          <w:color w:val="auto"/>
          <w:sz w:val="32"/>
          <w:szCs w:val="32"/>
        </w:rPr>
        <w:t>5. 开标</w:t>
      </w:r>
      <w:bookmarkEnd w:id="66"/>
      <w:bookmarkEnd w:id="67"/>
      <w:bookmarkEnd w:id="68"/>
      <w:bookmarkEnd w:id="69"/>
      <w:bookmarkEnd w:id="70"/>
      <w:bookmarkEnd w:id="71"/>
      <w:bookmarkEnd w:id="72"/>
      <w:bookmarkEnd w:id="73"/>
      <w:bookmarkEnd w:id="74"/>
      <w:bookmarkEnd w:id="75"/>
      <w:bookmarkEnd w:id="76"/>
      <w:bookmarkEnd w:id="77"/>
      <w:bookmarkEnd w:id="78"/>
      <w:bookmarkEnd w:id="79"/>
    </w:p>
    <w:p>
      <w:pPr>
        <w:keepNext w:val="0"/>
        <w:keepLines w:val="0"/>
        <w:pageBreakBefore w:val="0"/>
        <w:widowControl/>
        <w:kinsoku/>
        <w:wordWrap/>
        <w:overflowPunct/>
        <w:topLinePunct w:val="0"/>
        <w:autoSpaceDE w:val="0"/>
        <w:autoSpaceDN w:val="0"/>
        <w:bidi w:val="0"/>
        <w:adjustRightInd w:val="0"/>
        <w:snapToGrid/>
        <w:ind w:firstLine="442" w:firstLineChars="200"/>
        <w:textAlignment w:val="auto"/>
        <w:rPr>
          <w:rFonts w:hint="eastAsia" w:ascii="宋体" w:hAnsi="宋体" w:eastAsia="宋体" w:cs="宋体"/>
          <w:b/>
          <w:color w:val="auto"/>
          <w:kern w:val="0"/>
          <w:sz w:val="22"/>
          <w:szCs w:val="22"/>
        </w:rPr>
      </w:pPr>
      <w:bookmarkStart w:id="80" w:name="_Toc370307748"/>
      <w:bookmarkStart w:id="81" w:name="_Toc370307926"/>
      <w:bookmarkStart w:id="82" w:name="_Toc364092361"/>
      <w:bookmarkStart w:id="83" w:name="_Toc4757"/>
      <w:bookmarkStart w:id="84" w:name="_Toc370307424"/>
      <w:bookmarkStart w:id="85" w:name="_Toc8793"/>
      <w:bookmarkStart w:id="86" w:name="_Toc370307637"/>
      <w:r>
        <w:rPr>
          <w:rFonts w:hint="eastAsia" w:ascii="宋体" w:hAnsi="宋体" w:eastAsia="宋体" w:cs="宋体"/>
          <w:b/>
          <w:color w:val="auto"/>
          <w:kern w:val="0"/>
          <w:sz w:val="22"/>
          <w:szCs w:val="22"/>
        </w:rPr>
        <w:t>5.1 开标时间、地点和方式</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5.1.1 </w:t>
      </w:r>
      <w:r>
        <w:rPr>
          <w:rFonts w:hint="eastAsia" w:ascii="宋体" w:hAnsi="宋体" w:eastAsia="宋体" w:cs="宋体"/>
          <w:color w:val="auto"/>
          <w:kern w:val="0"/>
          <w:sz w:val="22"/>
          <w:szCs w:val="22"/>
          <w:lang w:eastAsia="zh-CN"/>
        </w:rPr>
        <w:t>采购</w:t>
      </w:r>
      <w:r>
        <w:rPr>
          <w:rFonts w:hint="eastAsia" w:ascii="宋体" w:hAnsi="宋体" w:eastAsia="宋体" w:cs="宋体"/>
          <w:color w:val="auto"/>
          <w:kern w:val="0"/>
          <w:sz w:val="22"/>
          <w:szCs w:val="22"/>
        </w:rPr>
        <w:t>人在本章规定的投标截止时间（开标时间）和投标人须知前附表规定的地点开标。</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r>
        <w:rPr>
          <w:rFonts w:hint="eastAsia" w:ascii="宋体" w:hAnsi="宋体" w:eastAsia="宋体" w:cs="宋体"/>
          <w:color w:val="auto"/>
          <w:kern w:val="0"/>
          <w:sz w:val="22"/>
          <w:szCs w:val="22"/>
          <w:lang w:val="en-US" w:eastAsia="zh-CN"/>
        </w:rPr>
        <w:t>1.2</w:t>
      </w:r>
      <w:r>
        <w:rPr>
          <w:rFonts w:hint="eastAsia" w:ascii="宋体" w:hAnsi="宋体" w:eastAsia="宋体" w:cs="宋体"/>
          <w:color w:val="auto"/>
          <w:kern w:val="0"/>
          <w:sz w:val="22"/>
          <w:szCs w:val="22"/>
        </w:rPr>
        <w:t>本项目采用“不见面开标”交易方式，不见面开标大厅网址为</w:t>
      </w:r>
      <w:r>
        <w:rPr>
          <w:rFonts w:hint="eastAsia" w:ascii="宋体" w:hAnsi="宋体" w:cs="宋体"/>
          <w:color w:val="auto"/>
          <w:kern w:val="0"/>
          <w:sz w:val="22"/>
          <w:szCs w:val="22"/>
          <w:lang w:eastAsia="zh-CN"/>
        </w:rPr>
        <w:t>https://ggzyjy.xinyang.gov.cn/BidOpening</w:t>
      </w:r>
      <w:r>
        <w:rPr>
          <w:rFonts w:hint="eastAsia" w:ascii="宋体" w:hAnsi="宋体" w:eastAsia="宋体" w:cs="宋体"/>
          <w:color w:val="auto"/>
          <w:kern w:val="0"/>
          <w:sz w:val="22"/>
          <w:szCs w:val="22"/>
        </w:rPr>
        <w:t>，投标人无需寄送和递交非加密的电子</w:t>
      </w:r>
      <w:r>
        <w:rPr>
          <w:rFonts w:hint="eastAsia" w:ascii="宋体" w:hAnsi="宋体" w:eastAsia="宋体" w:cs="宋体"/>
          <w:color w:val="auto"/>
          <w:kern w:val="0"/>
          <w:sz w:val="22"/>
          <w:szCs w:val="22"/>
          <w:lang w:eastAsia="zh-CN"/>
        </w:rPr>
        <w:t>投标文件</w:t>
      </w:r>
      <w:r>
        <w:rPr>
          <w:rFonts w:hint="eastAsia" w:ascii="宋体" w:hAnsi="宋体" w:eastAsia="宋体" w:cs="宋体"/>
          <w:color w:val="auto"/>
          <w:kern w:val="0"/>
          <w:sz w:val="22"/>
          <w:szCs w:val="22"/>
        </w:rPr>
        <w:t>，无需到现场参加开标会议，无需到达现场</w:t>
      </w:r>
      <w:r>
        <w:rPr>
          <w:rFonts w:hint="eastAsia" w:ascii="宋体" w:hAnsi="宋体" w:eastAsia="宋体" w:cs="宋体"/>
          <w:color w:val="auto"/>
          <w:kern w:val="0"/>
          <w:sz w:val="22"/>
          <w:szCs w:val="22"/>
          <w:lang w:eastAsia="zh-CN"/>
        </w:rPr>
        <w:t>递</w:t>
      </w:r>
      <w:r>
        <w:rPr>
          <w:rFonts w:hint="eastAsia" w:ascii="宋体" w:hAnsi="宋体" w:eastAsia="宋体" w:cs="宋体"/>
          <w:color w:val="auto"/>
          <w:kern w:val="0"/>
          <w:sz w:val="22"/>
          <w:szCs w:val="22"/>
        </w:rPr>
        <w:t>交原件资料。</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投标人应当在投标截止时间前，使用投标人 CA 数字证书登录不见面开标大厅，在线签到并准时参加开标活动，并在规定时间内完成</w:t>
      </w:r>
      <w:r>
        <w:rPr>
          <w:rFonts w:hint="eastAsia" w:ascii="宋体" w:hAnsi="宋体" w:eastAsia="宋体" w:cs="宋体"/>
          <w:color w:val="auto"/>
          <w:kern w:val="0"/>
          <w:sz w:val="22"/>
          <w:szCs w:val="22"/>
          <w:lang w:eastAsia="zh-CN"/>
        </w:rPr>
        <w:t>投标文件</w:t>
      </w:r>
      <w:r>
        <w:rPr>
          <w:rFonts w:hint="eastAsia" w:ascii="宋体" w:hAnsi="宋体" w:eastAsia="宋体" w:cs="宋体"/>
          <w:color w:val="auto"/>
          <w:kern w:val="0"/>
          <w:sz w:val="22"/>
          <w:szCs w:val="22"/>
        </w:rPr>
        <w:t>解密、答疑澄清等。</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投标人需在解密开始后10分钟内完成解密（当投标人过多时，解密时间可以适当延长）。在</w:t>
      </w:r>
      <w:r>
        <w:rPr>
          <w:rFonts w:hint="eastAsia" w:ascii="宋体" w:hAnsi="宋体" w:eastAsia="宋体" w:cs="宋体"/>
          <w:color w:val="auto"/>
          <w:kern w:val="0"/>
          <w:sz w:val="22"/>
          <w:szCs w:val="22"/>
          <w:lang w:eastAsia="zh-CN"/>
        </w:rPr>
        <w:t>投标文件</w:t>
      </w:r>
      <w:r>
        <w:rPr>
          <w:rFonts w:hint="eastAsia" w:ascii="宋体" w:hAnsi="宋体" w:eastAsia="宋体" w:cs="宋体"/>
          <w:color w:val="auto"/>
          <w:kern w:val="0"/>
          <w:sz w:val="22"/>
          <w:szCs w:val="22"/>
        </w:rPr>
        <w:t>解密过程中，因投标人原因（如投标人准备不到位、电脑网络问题等），造成无法及时解密的，将被退回</w:t>
      </w:r>
      <w:r>
        <w:rPr>
          <w:rFonts w:hint="eastAsia" w:ascii="宋体" w:hAnsi="宋体" w:eastAsia="宋体" w:cs="宋体"/>
          <w:color w:val="auto"/>
          <w:kern w:val="0"/>
          <w:sz w:val="22"/>
          <w:szCs w:val="22"/>
          <w:lang w:eastAsia="zh-CN"/>
        </w:rPr>
        <w:t>投标文件</w:t>
      </w:r>
      <w:r>
        <w:rPr>
          <w:rFonts w:hint="eastAsia" w:ascii="宋体" w:hAnsi="宋体" w:eastAsia="宋体" w:cs="宋体"/>
          <w:color w:val="auto"/>
          <w:kern w:val="0"/>
          <w:sz w:val="22"/>
          <w:szCs w:val="22"/>
        </w:rPr>
        <w:t>。</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不见面开标服务的具体事宜，请查阅信阳市公共资源交易中心网站首页—下载中心—信阳市不见面开标大厅系统操作手册。</w:t>
      </w:r>
    </w:p>
    <w:p>
      <w:pPr>
        <w:keepNext w:val="0"/>
        <w:keepLines w:val="0"/>
        <w:pageBreakBefore w:val="0"/>
        <w:widowControl/>
        <w:kinsoku/>
        <w:wordWrap/>
        <w:overflowPunct/>
        <w:topLinePunct w:val="0"/>
        <w:bidi w:val="0"/>
        <w:snapToGrid/>
        <w:spacing w:line="440" w:lineRule="exact"/>
        <w:ind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开标过程中，投标人如有异议，须在开标结束前通过系统提出，否则视同认可开标记录。开标结束后，对开标记录的任何异议不再接受。</w:t>
      </w:r>
    </w:p>
    <w:p>
      <w:pPr>
        <w:pStyle w:val="3"/>
        <w:keepNext/>
        <w:keepLines/>
        <w:pageBreakBefore w:val="0"/>
        <w:widowControl/>
        <w:kinsoku/>
        <w:wordWrap/>
        <w:overflowPunct/>
        <w:topLinePunct w:val="0"/>
        <w:autoSpaceDE/>
        <w:autoSpaceDN/>
        <w:bidi w:val="0"/>
        <w:adjustRightInd/>
        <w:snapToGrid/>
        <w:spacing w:after="0" w:line="240" w:lineRule="auto"/>
        <w:ind w:left="0" w:right="0" w:firstLine="0"/>
        <w:textAlignment w:val="auto"/>
        <w:rPr>
          <w:rFonts w:hint="eastAsia" w:ascii="宋体" w:hAnsi="宋体" w:eastAsia="宋体" w:cs="宋体"/>
          <w:color w:val="auto"/>
          <w:sz w:val="32"/>
          <w:szCs w:val="32"/>
        </w:rPr>
      </w:pPr>
      <w:bookmarkStart w:id="87" w:name="_Toc14134"/>
      <w:bookmarkStart w:id="88" w:name="_Toc503932573"/>
      <w:bookmarkStart w:id="89" w:name="_Toc20513"/>
      <w:bookmarkStart w:id="90" w:name="_Toc10161"/>
      <w:bookmarkStart w:id="91" w:name="_Toc10933"/>
      <w:bookmarkStart w:id="92" w:name="_Toc22071"/>
      <w:bookmarkStart w:id="93" w:name="_Toc4565"/>
      <w:r>
        <w:rPr>
          <w:rFonts w:hint="eastAsia" w:ascii="宋体" w:hAnsi="宋体" w:eastAsia="宋体" w:cs="宋体"/>
          <w:color w:val="auto"/>
          <w:sz w:val="32"/>
          <w:szCs w:val="32"/>
        </w:rPr>
        <w:t>6. 评标</w:t>
      </w:r>
      <w:bookmarkEnd w:id="80"/>
      <w:bookmarkEnd w:id="81"/>
      <w:bookmarkEnd w:id="82"/>
      <w:bookmarkEnd w:id="83"/>
      <w:bookmarkEnd w:id="84"/>
      <w:bookmarkEnd w:id="85"/>
      <w:bookmarkEnd w:id="86"/>
      <w:bookmarkEnd w:id="87"/>
      <w:bookmarkEnd w:id="88"/>
      <w:bookmarkEnd w:id="89"/>
      <w:bookmarkEnd w:id="90"/>
      <w:bookmarkEnd w:id="91"/>
      <w:bookmarkEnd w:id="92"/>
      <w:bookmarkEnd w:id="93"/>
    </w:p>
    <w:p>
      <w:pPr>
        <w:keepNext w:val="0"/>
        <w:keepLines w:val="0"/>
        <w:pageBreakBefore w:val="0"/>
        <w:widowControl/>
        <w:kinsoku/>
        <w:wordWrap/>
        <w:overflowPunct/>
        <w:topLinePunct w:val="0"/>
        <w:autoSpaceDE w:val="0"/>
        <w:autoSpaceDN w:val="0"/>
        <w:bidi w:val="0"/>
        <w:adjustRightInd/>
        <w:snapToGrid/>
        <w:spacing w:line="440" w:lineRule="exact"/>
        <w:ind w:firstLine="442" w:firstLineChars="200"/>
        <w:textAlignment w:val="auto"/>
        <w:rPr>
          <w:rFonts w:hint="eastAsia" w:ascii="宋体" w:hAnsi="宋体" w:eastAsia="宋体" w:cs="宋体"/>
          <w:b/>
          <w:color w:val="auto"/>
          <w:sz w:val="22"/>
          <w:szCs w:val="22"/>
        </w:rPr>
      </w:pPr>
      <w:bookmarkStart w:id="94" w:name="_Toc370307425"/>
      <w:bookmarkStart w:id="95" w:name="_Toc27725"/>
      <w:bookmarkStart w:id="96" w:name="_Toc370307749"/>
      <w:bookmarkStart w:id="97" w:name="_Toc364092362"/>
      <w:bookmarkStart w:id="98" w:name="_Toc370307927"/>
      <w:bookmarkStart w:id="99" w:name="_Toc370307638"/>
      <w:bookmarkStart w:id="100" w:name="_Toc15159"/>
      <w:r>
        <w:rPr>
          <w:rFonts w:hint="eastAsia" w:ascii="宋体" w:hAnsi="宋体" w:eastAsia="宋体" w:cs="宋体"/>
          <w:b/>
          <w:color w:val="auto"/>
          <w:sz w:val="22"/>
          <w:szCs w:val="22"/>
        </w:rPr>
        <w:t>6.1 评标委员会</w:t>
      </w:r>
    </w:p>
    <w:p>
      <w:pPr>
        <w:keepNext w:val="0"/>
        <w:keepLines w:val="0"/>
        <w:pageBreakBefore w:val="0"/>
        <w:widowControl/>
        <w:kinsoku/>
        <w:wordWrap/>
        <w:overflowPunct/>
        <w:topLinePunct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6.1.1 评标由采购人依法组建的评标委员会负责。评标委员会成员人数以及技术、经济等方面专家的确定方式见投标人须知前附表。</w:t>
      </w:r>
    </w:p>
    <w:p>
      <w:pPr>
        <w:keepNext w:val="0"/>
        <w:keepLines w:val="0"/>
        <w:pageBreakBefore w:val="0"/>
        <w:widowControl/>
        <w:kinsoku/>
        <w:wordWrap/>
        <w:overflowPunct/>
        <w:topLinePunct w:val="0"/>
        <w:bidi w:val="0"/>
        <w:adjustRightInd/>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6.1.2 评标委员会成员有下列情形之一的，应当回避：</w:t>
      </w:r>
    </w:p>
    <w:p>
      <w:pPr>
        <w:keepNext w:val="0"/>
        <w:keepLines w:val="0"/>
        <w:pageBreakBefore w:val="0"/>
        <w:widowControl/>
        <w:numPr>
          <w:ilvl w:val="0"/>
          <w:numId w:val="5"/>
        </w:numPr>
        <w:kinsoku/>
        <w:wordWrap/>
        <w:overflowPunct/>
        <w:topLinePunct w:val="0"/>
        <w:autoSpaceDE/>
        <w:autoSpaceDN/>
        <w:bidi w:val="0"/>
        <w:adjustRightInd/>
        <w:snapToGrid/>
        <w:spacing w:line="380" w:lineRule="exact"/>
        <w:ind w:left="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采购</w:t>
      </w:r>
      <w:r>
        <w:rPr>
          <w:rFonts w:hint="eastAsia" w:ascii="宋体" w:hAnsi="宋体" w:eastAsia="宋体" w:cs="宋体"/>
          <w:color w:val="auto"/>
          <w:sz w:val="22"/>
          <w:szCs w:val="22"/>
        </w:rPr>
        <w:t>人或投标人的主要负责人的近亲属；</w:t>
      </w:r>
    </w:p>
    <w:p>
      <w:pPr>
        <w:keepNext w:val="0"/>
        <w:keepLines w:val="0"/>
        <w:pageBreakBefore w:val="0"/>
        <w:widowControl/>
        <w:numPr>
          <w:ilvl w:val="0"/>
          <w:numId w:val="5"/>
        </w:numPr>
        <w:kinsoku/>
        <w:wordWrap/>
        <w:overflowPunct/>
        <w:topLinePunct w:val="0"/>
        <w:autoSpaceDE/>
        <w:autoSpaceDN/>
        <w:bidi w:val="0"/>
        <w:adjustRightInd/>
        <w:snapToGrid/>
        <w:spacing w:line="380" w:lineRule="exact"/>
        <w:ind w:left="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项目主管部门或者行政监督部门的人员；</w:t>
      </w:r>
    </w:p>
    <w:p>
      <w:pPr>
        <w:keepNext w:val="0"/>
        <w:keepLines w:val="0"/>
        <w:pageBreakBefore w:val="0"/>
        <w:widowControl/>
        <w:numPr>
          <w:ilvl w:val="0"/>
          <w:numId w:val="5"/>
        </w:numPr>
        <w:kinsoku/>
        <w:wordWrap/>
        <w:overflowPunct/>
        <w:topLinePunct w:val="0"/>
        <w:autoSpaceDE/>
        <w:autoSpaceDN/>
        <w:bidi w:val="0"/>
        <w:adjustRightInd/>
        <w:snapToGrid/>
        <w:spacing w:line="380" w:lineRule="exact"/>
        <w:ind w:left="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与投标人有经济利益关系，可能影响对投标公正评审的；</w:t>
      </w:r>
    </w:p>
    <w:p>
      <w:pPr>
        <w:keepNext w:val="0"/>
        <w:keepLines w:val="0"/>
        <w:pageBreakBefore w:val="0"/>
        <w:widowControl/>
        <w:numPr>
          <w:ilvl w:val="0"/>
          <w:numId w:val="5"/>
        </w:numPr>
        <w:tabs>
          <w:tab w:val="left" w:pos="0"/>
          <w:tab w:val="clear" w:pos="420"/>
        </w:tabs>
        <w:kinsoku/>
        <w:wordWrap/>
        <w:overflowPunct/>
        <w:topLinePunct w:val="0"/>
        <w:autoSpaceDE/>
        <w:autoSpaceDN/>
        <w:bidi w:val="0"/>
        <w:adjustRightInd/>
        <w:snapToGrid/>
        <w:spacing w:line="380" w:lineRule="exact"/>
        <w:ind w:left="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曾因在招标、评标以及其他与招标投标有关活动中从事违法行为而受过行政处罚或刑事处罚的。</w:t>
      </w:r>
    </w:p>
    <w:p>
      <w:pPr>
        <w:keepNext w:val="0"/>
        <w:keepLines w:val="0"/>
        <w:pageBreakBefore w:val="0"/>
        <w:widowControl/>
        <w:kinsoku/>
        <w:wordWrap/>
        <w:overflowPunct/>
        <w:topLinePunct w:val="0"/>
        <w:autoSpaceDE w:val="0"/>
        <w:autoSpaceDN w:val="0"/>
        <w:bidi w:val="0"/>
        <w:adjustRightInd/>
        <w:snapToGrid/>
        <w:spacing w:line="440" w:lineRule="exact"/>
        <w:ind w:firstLine="442" w:firstLineChars="20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6.2 评标原则</w:t>
      </w:r>
    </w:p>
    <w:p>
      <w:pPr>
        <w:keepNext w:val="0"/>
        <w:keepLines w:val="0"/>
        <w:pageBreakBefore w:val="0"/>
        <w:widowControl/>
        <w:kinsoku/>
        <w:wordWrap/>
        <w:overflowPunct/>
        <w:topLinePunct w:val="0"/>
        <w:bidi w:val="0"/>
        <w:adjustRightInd/>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评标活动遵循公平、公正、科学和择优的原则。</w:t>
      </w:r>
    </w:p>
    <w:p>
      <w:pPr>
        <w:keepNext w:val="0"/>
        <w:keepLines w:val="0"/>
        <w:pageBreakBefore w:val="0"/>
        <w:widowControl/>
        <w:kinsoku/>
        <w:wordWrap/>
        <w:overflowPunct/>
        <w:topLinePunct w:val="0"/>
        <w:bidi w:val="0"/>
        <w:adjustRightInd/>
        <w:snapToGrid/>
        <w:spacing w:line="380" w:lineRule="exact"/>
        <w:ind w:firstLine="442" w:firstLineChars="20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6.3 评标过程的保密</w:t>
      </w:r>
    </w:p>
    <w:p>
      <w:pPr>
        <w:keepNext w:val="0"/>
        <w:keepLines w:val="0"/>
        <w:pageBreakBefore w:val="0"/>
        <w:widowControl/>
        <w:kinsoku/>
        <w:wordWrap/>
        <w:overflowPunct/>
        <w:topLinePunct w:val="0"/>
        <w:bidi w:val="0"/>
        <w:adjustRightInd/>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公开开标后，直到授予中标人合同为止，凡属于对投标文件的审查、澄清、评价和比较的有关资料以及中标候选人的推荐情况、与评标有关的其他任何情况均应严格保密。</w:t>
      </w:r>
    </w:p>
    <w:p>
      <w:pPr>
        <w:keepNext w:val="0"/>
        <w:keepLines w:val="0"/>
        <w:pageBreakBefore w:val="0"/>
        <w:widowControl/>
        <w:kinsoku/>
        <w:wordWrap/>
        <w:overflowPunct/>
        <w:topLinePunct w:val="0"/>
        <w:bidi w:val="0"/>
        <w:adjustRightInd/>
        <w:snapToGrid/>
        <w:spacing w:line="380" w:lineRule="exact"/>
        <w:ind w:firstLine="442" w:firstLineChars="20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6.</w:t>
      </w:r>
      <w:r>
        <w:rPr>
          <w:rFonts w:hint="eastAsia" w:ascii="宋体" w:hAnsi="宋体" w:eastAsia="宋体" w:cs="宋体"/>
          <w:b/>
          <w:color w:val="auto"/>
          <w:sz w:val="22"/>
          <w:szCs w:val="22"/>
          <w:lang w:val="en-US" w:eastAsia="zh-CN"/>
        </w:rPr>
        <w:t>4</w:t>
      </w:r>
      <w:r>
        <w:rPr>
          <w:rFonts w:hint="eastAsia" w:ascii="宋体" w:hAnsi="宋体" w:eastAsia="宋体" w:cs="宋体"/>
          <w:b/>
          <w:color w:val="auto"/>
          <w:sz w:val="22"/>
          <w:szCs w:val="22"/>
        </w:rPr>
        <w:t xml:space="preserve"> 评标</w:t>
      </w:r>
    </w:p>
    <w:p>
      <w:pPr>
        <w:keepNext w:val="0"/>
        <w:keepLines w:val="0"/>
        <w:pageBreakBefore w:val="0"/>
        <w:widowControl/>
        <w:kinsoku/>
        <w:wordWrap/>
        <w:overflowPunct/>
        <w:topLinePunct w:val="0"/>
        <w:bidi w:val="0"/>
        <w:adjustRightInd/>
        <w:snapToGrid/>
        <w:spacing w:line="380" w:lineRule="exact"/>
        <w:ind w:firstLine="440" w:firstLineChars="200"/>
        <w:textAlignment w:val="auto"/>
        <w:rPr>
          <w:rFonts w:hint="eastAsia" w:ascii="宋体" w:hAnsi="宋体" w:eastAsia="宋体" w:cs="宋体"/>
          <w:color w:val="auto"/>
          <w:sz w:val="22"/>
          <w:szCs w:val="22"/>
        </w:rPr>
      </w:pPr>
      <w:bookmarkStart w:id="101" w:name="_Toc23776"/>
      <w:bookmarkStart w:id="102" w:name="_Toc11738"/>
      <w:r>
        <w:rPr>
          <w:rFonts w:hint="eastAsia" w:ascii="宋体" w:hAnsi="宋体" w:eastAsia="宋体" w:cs="宋体"/>
          <w:color w:val="auto"/>
          <w:sz w:val="22"/>
          <w:szCs w:val="22"/>
        </w:rPr>
        <w:t>评标委员会按照第三章“评标办法”规定的方法和程序对投标文件进行评审。第三章“评标办法”没有规定的方法和标准，不作为评标依据。</w:t>
      </w:r>
    </w:p>
    <w:p>
      <w:pPr>
        <w:pStyle w:val="3"/>
        <w:spacing w:line="240" w:lineRule="auto"/>
        <w:rPr>
          <w:rFonts w:hint="eastAsia" w:ascii="宋体" w:hAnsi="宋体" w:eastAsia="宋体" w:cs="宋体"/>
          <w:color w:val="auto"/>
          <w:sz w:val="32"/>
          <w:szCs w:val="32"/>
        </w:rPr>
      </w:pPr>
      <w:bookmarkStart w:id="103" w:name="_Toc13291"/>
      <w:bookmarkStart w:id="104" w:name="_Toc6970"/>
      <w:bookmarkStart w:id="105" w:name="_Toc368"/>
      <w:bookmarkStart w:id="106" w:name="_Toc4279"/>
      <w:r>
        <w:rPr>
          <w:rFonts w:hint="eastAsia" w:ascii="宋体" w:hAnsi="宋体" w:eastAsia="宋体" w:cs="宋体"/>
          <w:color w:val="auto"/>
          <w:sz w:val="32"/>
          <w:szCs w:val="32"/>
        </w:rPr>
        <w:t>7.合同授予</w:t>
      </w:r>
      <w:bookmarkEnd w:id="94"/>
      <w:bookmarkEnd w:id="95"/>
      <w:bookmarkEnd w:id="96"/>
      <w:bookmarkEnd w:id="97"/>
      <w:bookmarkEnd w:id="98"/>
      <w:bookmarkEnd w:id="99"/>
      <w:bookmarkEnd w:id="100"/>
      <w:bookmarkEnd w:id="101"/>
      <w:bookmarkEnd w:id="102"/>
      <w:bookmarkEnd w:id="103"/>
      <w:bookmarkEnd w:id="104"/>
      <w:bookmarkEnd w:id="105"/>
      <w:bookmarkEnd w:id="106"/>
    </w:p>
    <w:p>
      <w:pPr>
        <w:keepNext w:val="0"/>
        <w:keepLines w:val="0"/>
        <w:pageBreakBefore w:val="0"/>
        <w:widowControl/>
        <w:kinsoku/>
        <w:wordWrap/>
        <w:overflowPunct/>
        <w:topLinePunct w:val="0"/>
        <w:autoSpaceDE w:val="0"/>
        <w:autoSpaceDN w:val="0"/>
        <w:bidi w:val="0"/>
        <w:adjustRightInd/>
        <w:snapToGrid/>
        <w:spacing w:line="440" w:lineRule="exact"/>
        <w:ind w:firstLine="442" w:firstLineChars="200"/>
        <w:textAlignment w:val="auto"/>
        <w:rPr>
          <w:rFonts w:hint="eastAsia" w:ascii="宋体" w:hAnsi="宋体" w:eastAsia="宋体" w:cs="宋体"/>
          <w:b/>
          <w:color w:val="auto"/>
          <w:sz w:val="22"/>
          <w:szCs w:val="22"/>
        </w:rPr>
      </w:pPr>
      <w:bookmarkStart w:id="107" w:name="_Toc370307639"/>
      <w:bookmarkStart w:id="108" w:name="_Toc29751"/>
      <w:bookmarkStart w:id="109" w:name="_Toc370307426"/>
      <w:bookmarkStart w:id="110" w:name="_Toc8238"/>
      <w:bookmarkStart w:id="111" w:name="_Toc364092363"/>
      <w:bookmarkStart w:id="112" w:name="_Toc370307928"/>
      <w:bookmarkStart w:id="113" w:name="_Toc370307750"/>
      <w:r>
        <w:rPr>
          <w:rFonts w:hint="eastAsia" w:ascii="宋体" w:hAnsi="宋体" w:eastAsia="宋体" w:cs="宋体"/>
          <w:b/>
          <w:color w:val="auto"/>
          <w:sz w:val="22"/>
          <w:szCs w:val="22"/>
        </w:rPr>
        <w:t>7.1 定标方式</w:t>
      </w:r>
    </w:p>
    <w:p>
      <w:pPr>
        <w:keepNext w:val="0"/>
        <w:keepLines w:val="0"/>
        <w:pageBreakBefore w:val="0"/>
        <w:widowControl/>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除投标人须知前附表规定评标委员会直接确定中标人外，采购人依据评标委员会推荐的中标候选人确定中标人，评标委员会推荐中标候选人的人数见投标人须知前附表。</w:t>
      </w:r>
    </w:p>
    <w:p>
      <w:pPr>
        <w:keepNext w:val="0"/>
        <w:keepLines w:val="0"/>
        <w:pageBreakBefore w:val="0"/>
        <w:widowControl/>
        <w:kinsoku/>
        <w:wordWrap/>
        <w:overflowPunct/>
        <w:topLinePunct w:val="0"/>
        <w:autoSpaceDE w:val="0"/>
        <w:autoSpaceDN w:val="0"/>
        <w:bidi w:val="0"/>
        <w:adjustRightInd/>
        <w:snapToGrid/>
        <w:spacing w:line="440" w:lineRule="exact"/>
        <w:ind w:firstLine="442" w:firstLineChars="20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7.2 中标通知书</w:t>
      </w:r>
    </w:p>
    <w:p>
      <w:pPr>
        <w:keepNext w:val="0"/>
        <w:keepLines w:val="0"/>
        <w:pageBreakBefore w:val="0"/>
        <w:widowControl/>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在公告中标结果同时采购人或采购代理机构以书面形式向中标人发出中标通知书。</w:t>
      </w:r>
    </w:p>
    <w:p>
      <w:pPr>
        <w:keepNext w:val="0"/>
        <w:keepLines w:val="0"/>
        <w:pageBreakBefore w:val="0"/>
        <w:widowControl/>
        <w:kinsoku/>
        <w:wordWrap/>
        <w:overflowPunct/>
        <w:topLinePunct w:val="0"/>
        <w:autoSpaceDE w:val="0"/>
        <w:autoSpaceDN w:val="0"/>
        <w:bidi w:val="0"/>
        <w:adjustRightInd/>
        <w:snapToGrid/>
        <w:spacing w:line="440" w:lineRule="exact"/>
        <w:ind w:firstLine="442" w:firstLineChars="20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7.3 履约担保</w:t>
      </w:r>
    </w:p>
    <w:p>
      <w:pPr>
        <w:keepNext w:val="0"/>
        <w:keepLines w:val="0"/>
        <w:pageBreakBefore w:val="0"/>
        <w:widowControl/>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无</w:t>
      </w:r>
    </w:p>
    <w:p>
      <w:pPr>
        <w:keepNext w:val="0"/>
        <w:keepLines w:val="0"/>
        <w:pageBreakBefore w:val="0"/>
        <w:widowControl/>
        <w:kinsoku/>
        <w:wordWrap/>
        <w:overflowPunct/>
        <w:topLinePunct w:val="0"/>
        <w:autoSpaceDE w:val="0"/>
        <w:autoSpaceDN w:val="0"/>
        <w:bidi w:val="0"/>
        <w:adjustRightInd/>
        <w:snapToGrid/>
        <w:spacing w:line="440" w:lineRule="exact"/>
        <w:ind w:firstLine="442" w:firstLineChars="20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7.4 签订合同</w:t>
      </w:r>
    </w:p>
    <w:p>
      <w:pPr>
        <w:keepNext w:val="0"/>
        <w:keepLines w:val="0"/>
        <w:pageBreakBefore w:val="0"/>
        <w:widowControl/>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7.4.1</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采购人和中标人应当自中标通知书发出之日起</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lang w:eastAsia="zh-CN"/>
        </w:rPr>
        <w:t>日</w:t>
      </w:r>
      <w:r>
        <w:rPr>
          <w:rFonts w:hint="eastAsia" w:ascii="宋体" w:hAnsi="宋体" w:eastAsia="宋体" w:cs="宋体"/>
          <w:color w:val="auto"/>
          <w:sz w:val="22"/>
          <w:szCs w:val="22"/>
        </w:rPr>
        <w:t>内，根据招标文件和中标人的投标文件订立书面合同。所签订的合同不得对招标文件确定的事项和中标人投标文件作实质性修改。中标人无正当理由拒签合同的，采购人取消其中标资格。</w:t>
      </w:r>
    </w:p>
    <w:p>
      <w:pPr>
        <w:keepNext w:val="0"/>
        <w:keepLines w:val="0"/>
        <w:pageBreakBefore w:val="0"/>
        <w:widowControl/>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7.4.2 发出中标通知书后，采购人无正当理由拒签合同的,给中标人造成损失的，还应当赔偿损失。</w:t>
      </w:r>
    </w:p>
    <w:bookmarkEnd w:id="107"/>
    <w:bookmarkEnd w:id="108"/>
    <w:bookmarkEnd w:id="109"/>
    <w:bookmarkEnd w:id="110"/>
    <w:bookmarkEnd w:id="111"/>
    <w:bookmarkEnd w:id="112"/>
    <w:bookmarkEnd w:id="113"/>
    <w:p>
      <w:pPr>
        <w:pStyle w:val="3"/>
        <w:keepNext/>
        <w:keepLines/>
        <w:pageBreakBefore w:val="0"/>
        <w:widowControl/>
        <w:kinsoku/>
        <w:wordWrap/>
        <w:overflowPunct/>
        <w:topLinePunct w:val="0"/>
        <w:autoSpaceDE/>
        <w:autoSpaceDN/>
        <w:bidi w:val="0"/>
        <w:adjustRightInd/>
        <w:snapToGrid/>
        <w:spacing w:after="0" w:line="240" w:lineRule="auto"/>
        <w:ind w:left="0" w:right="0" w:firstLine="0"/>
        <w:textAlignment w:val="auto"/>
        <w:rPr>
          <w:rFonts w:hint="eastAsia" w:ascii="宋体" w:hAnsi="宋体" w:eastAsia="宋体" w:cs="宋体"/>
          <w:color w:val="auto"/>
          <w:sz w:val="32"/>
          <w:szCs w:val="32"/>
        </w:rPr>
      </w:pPr>
      <w:bookmarkStart w:id="114" w:name="_Toc370307929"/>
      <w:bookmarkStart w:id="115" w:name="_Toc29213"/>
      <w:bookmarkStart w:id="116" w:name="_Toc17943"/>
      <w:bookmarkStart w:id="117" w:name="_Toc31000"/>
      <w:bookmarkStart w:id="118" w:name="_Toc28792"/>
      <w:bookmarkStart w:id="119" w:name="_Toc370307427"/>
      <w:bookmarkStart w:id="120" w:name="_Toc370307751"/>
      <w:bookmarkStart w:id="121" w:name="_Toc503932575"/>
      <w:bookmarkStart w:id="122" w:name="_Toc30603"/>
      <w:bookmarkStart w:id="123" w:name="_Toc8926"/>
      <w:bookmarkStart w:id="124" w:name="_Toc5692"/>
      <w:bookmarkStart w:id="125" w:name="_Toc28806"/>
      <w:bookmarkStart w:id="126" w:name="_Toc364092364"/>
      <w:bookmarkStart w:id="127" w:name="_Toc370307640"/>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.纪律和监督</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ascii="宋体" w:hAnsi="宋体" w:eastAsia="宋体" w:cs="宋体"/>
          <w:b/>
          <w:color w:val="auto"/>
          <w:sz w:val="22"/>
          <w:szCs w:val="22"/>
        </w:rPr>
      </w:pPr>
      <w:bookmarkStart w:id="128" w:name="_Toc364092365"/>
      <w:bookmarkStart w:id="129" w:name="_Toc8878"/>
      <w:bookmarkStart w:id="130" w:name="_Toc23430"/>
      <w:bookmarkStart w:id="131" w:name="_Toc370307930"/>
      <w:bookmarkStart w:id="132" w:name="_Toc370307752"/>
      <w:bookmarkStart w:id="133" w:name="_Toc370307641"/>
      <w:bookmarkStart w:id="134" w:name="_Toc370307428"/>
      <w:r>
        <w:rPr>
          <w:rFonts w:hint="eastAsia" w:ascii="宋体" w:hAnsi="宋体" w:eastAsia="宋体" w:cs="宋体"/>
          <w:b/>
          <w:color w:val="auto"/>
          <w:sz w:val="22"/>
          <w:szCs w:val="22"/>
        </w:rPr>
        <w:t>8.1 对采购人的纪律要求</w:t>
      </w:r>
    </w:p>
    <w:p>
      <w:pPr>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采购人不得泄漏招标投标活动中应当保密的情况和资料，不得与投标人串通损害国家利益、社会公共利益或者他人合法权益。</w:t>
      </w:r>
    </w:p>
    <w:p>
      <w:pPr>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8.2 对投标人的纪律要求</w:t>
      </w:r>
    </w:p>
    <w:p>
      <w:pPr>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投标人不得相互串通投标或者与采购人串通投标，不得向采购人或者评标委员会成员行贿谋取中标，不得以他人名义投标或者以其他方式弄虚作假骗取中标；投标人不得以任何方式干扰、影响评标工作。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8.3 对评标委员会成员的纪律要求</w:t>
      </w:r>
    </w:p>
    <w:p>
      <w:pPr>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8.4 对与评标活动有关的工作人员的纪律要求</w:t>
      </w:r>
    </w:p>
    <w:p>
      <w:pPr>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8.5 投诉</w:t>
      </w:r>
    </w:p>
    <w:p>
      <w:pPr>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投标人和其他利害关系人认为本次招标活动违反法律、法规和规章规定的，有权向有关行政监督部门投诉。</w:t>
      </w:r>
    </w:p>
    <w:p>
      <w:pPr>
        <w:pStyle w:val="3"/>
        <w:spacing w:line="240" w:lineRule="auto"/>
        <w:rPr>
          <w:rFonts w:hint="eastAsia" w:ascii="宋体" w:hAnsi="宋体" w:eastAsia="宋体" w:cs="宋体"/>
          <w:color w:val="auto"/>
          <w:sz w:val="32"/>
          <w:szCs w:val="32"/>
        </w:rPr>
      </w:pPr>
      <w:bookmarkStart w:id="135" w:name="_Toc2695"/>
      <w:bookmarkStart w:id="136" w:name="_Toc15059"/>
      <w:bookmarkStart w:id="137" w:name="_Toc2414"/>
      <w:bookmarkStart w:id="138" w:name="_Toc24778"/>
      <w:bookmarkStart w:id="139" w:name="_Toc2354"/>
      <w:bookmarkStart w:id="140" w:name="_Toc31447"/>
      <w:bookmarkStart w:id="141" w:name="_Toc503932576"/>
      <w:r>
        <w:rPr>
          <w:rFonts w:hint="eastAsia" w:ascii="宋体" w:hAnsi="宋体" w:eastAsia="宋体" w:cs="宋体"/>
          <w:color w:val="auto"/>
          <w:sz w:val="32"/>
          <w:szCs w:val="32"/>
        </w:rPr>
        <w:t>9.需要补充的其他内容</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spacing w:after="123" w:line="265" w:lineRule="auto"/>
        <w:ind w:left="430" w:right="103" w:hanging="10"/>
        <w:jc w:val="both"/>
        <w:rPr>
          <w:rFonts w:hint="eastAsia" w:ascii="宋体" w:hAnsi="宋体" w:eastAsia="宋体" w:cs="宋体"/>
          <w:color w:val="auto"/>
          <w:sz w:val="22"/>
          <w:szCs w:val="22"/>
        </w:rPr>
      </w:pPr>
      <w:r>
        <w:rPr>
          <w:rFonts w:hint="eastAsia" w:ascii="宋体" w:hAnsi="宋体" w:eastAsia="宋体" w:cs="宋体"/>
          <w:color w:val="auto"/>
          <w:kern w:val="0"/>
          <w:sz w:val="22"/>
          <w:szCs w:val="22"/>
        </w:rPr>
        <w:t>需要补充的其他内容：见投标人须知前附表。</w:t>
      </w:r>
    </w:p>
    <w:p>
      <w:pPr>
        <w:ind w:left="420"/>
        <w:jc w:val="both"/>
        <w:rPr>
          <w:rFonts w:hint="eastAsia" w:ascii="宋体" w:hAnsi="宋体" w:eastAsia="宋体" w:cs="宋体"/>
          <w:color w:val="auto"/>
          <w:sz w:val="22"/>
          <w:szCs w:val="22"/>
        </w:rPr>
      </w:pPr>
      <w:r>
        <w:rPr>
          <w:rFonts w:hint="eastAsia" w:ascii="宋体" w:hAnsi="宋体" w:eastAsia="宋体" w:cs="宋体"/>
          <w:color w:val="auto"/>
          <w:sz w:val="22"/>
          <w:szCs w:val="22"/>
        </w:rPr>
        <w:br w:type="page"/>
      </w:r>
    </w:p>
    <w:p>
      <w:pPr>
        <w:pStyle w:val="2"/>
        <w:keepNext/>
        <w:keepLines/>
        <w:pageBreakBefore w:val="0"/>
        <w:widowControl/>
        <w:kinsoku/>
        <w:wordWrap/>
        <w:overflowPunct/>
        <w:topLinePunct w:val="0"/>
        <w:autoSpaceDE/>
        <w:autoSpaceDN/>
        <w:bidi w:val="0"/>
        <w:adjustRightInd/>
        <w:snapToGrid/>
        <w:spacing w:line="240" w:lineRule="auto"/>
        <w:textAlignment w:val="auto"/>
        <w:rPr>
          <w:rFonts w:hint="eastAsia"/>
          <w:color w:val="auto"/>
        </w:rPr>
      </w:pPr>
      <w:bookmarkStart w:id="142" w:name="_Toc31508_WPSOffice_Level1"/>
      <w:bookmarkStart w:id="143" w:name="_Toc31680"/>
      <w:bookmarkStart w:id="144" w:name="_Toc24265"/>
      <w:r>
        <w:rPr>
          <w:rFonts w:hint="eastAsia"/>
          <w:color w:val="auto"/>
        </w:rPr>
        <w:t>第三章</w:t>
      </w:r>
      <w:r>
        <w:rPr>
          <w:rFonts w:hint="eastAsia"/>
          <w:color w:val="auto"/>
          <w:lang w:val="en-US" w:eastAsia="zh-CN"/>
        </w:rPr>
        <w:t xml:space="preserve">  </w:t>
      </w:r>
      <w:r>
        <w:rPr>
          <w:rFonts w:hint="eastAsia"/>
          <w:color w:val="auto"/>
        </w:rPr>
        <w:t>评标办法（综合评分法）</w:t>
      </w:r>
      <w:bookmarkEnd w:id="142"/>
      <w:bookmarkEnd w:id="143"/>
      <w:bookmarkEnd w:id="144"/>
    </w:p>
    <w:p>
      <w:pPr>
        <w:pStyle w:val="3"/>
        <w:keepNext/>
        <w:keepLines/>
        <w:pageBreakBefore w:val="0"/>
        <w:widowControl/>
        <w:kinsoku/>
        <w:wordWrap/>
        <w:overflowPunct/>
        <w:topLinePunct w:val="0"/>
        <w:autoSpaceDE/>
        <w:autoSpaceDN/>
        <w:bidi w:val="0"/>
        <w:adjustRightInd/>
        <w:snapToGrid/>
        <w:spacing w:after="0" w:line="240" w:lineRule="auto"/>
        <w:ind w:left="0" w:right="0" w:firstLine="0"/>
        <w:jc w:val="left"/>
        <w:textAlignment w:val="auto"/>
        <w:rPr>
          <w:rFonts w:hint="eastAsia"/>
          <w:color w:val="auto"/>
        </w:rPr>
      </w:pPr>
      <w:bookmarkStart w:id="145" w:name="_Toc17754"/>
      <w:bookmarkStart w:id="146" w:name="_Toc29405"/>
      <w:bookmarkStart w:id="147" w:name="_Toc29369"/>
      <w:bookmarkStart w:id="148" w:name="_Toc130"/>
      <w:r>
        <w:rPr>
          <w:rFonts w:hint="eastAsia"/>
          <w:color w:val="auto"/>
          <w:lang w:val="en-US" w:eastAsia="zh-CN"/>
        </w:rPr>
        <w:t>1.</w:t>
      </w:r>
      <w:r>
        <w:rPr>
          <w:rFonts w:hint="eastAsia"/>
          <w:color w:val="auto"/>
        </w:rPr>
        <w:t>初步评审</w:t>
      </w:r>
      <w:bookmarkEnd w:id="145"/>
      <w:bookmarkEnd w:id="146"/>
      <w:bookmarkEnd w:id="147"/>
      <w:bookmarkEnd w:id="148"/>
    </w:p>
    <w:tbl>
      <w:tblPr>
        <w:tblStyle w:val="95"/>
        <w:tblpPr w:leftFromText="180" w:rightFromText="180" w:vertAnchor="text" w:horzAnchor="page" w:tblpX="1205" w:tblpY="2"/>
        <w:tblOverlap w:val="never"/>
        <w:tblW w:w="93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610"/>
        <w:gridCol w:w="2294"/>
        <w:gridCol w:w="5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30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宋体" w:hAnsi="宋体" w:eastAsia="宋体" w:cs="宋体"/>
                <w:snapToGrid w:val="0"/>
                <w:color w:val="auto"/>
                <w:spacing w:val="8"/>
                <w:kern w:val="0"/>
                <w:sz w:val="22"/>
                <w:szCs w:val="22"/>
                <w:lang w:val="en-US" w:eastAsia="zh-CN"/>
              </w:rPr>
            </w:pPr>
            <w:r>
              <w:rPr>
                <w:rFonts w:hint="eastAsia" w:ascii="宋体" w:hAnsi="宋体" w:eastAsia="宋体" w:cs="宋体"/>
                <w:snapToGrid w:val="0"/>
                <w:color w:val="auto"/>
                <w:spacing w:val="8"/>
                <w:kern w:val="0"/>
                <w:sz w:val="22"/>
                <w:szCs w:val="22"/>
                <w:lang w:val="en-US" w:eastAsia="zh-CN"/>
              </w:rPr>
              <w:t>条款号</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宋体" w:hAnsi="宋体" w:eastAsia="宋体" w:cs="宋体"/>
                <w:snapToGrid w:val="0"/>
                <w:color w:val="auto"/>
                <w:spacing w:val="8"/>
                <w:kern w:val="0"/>
                <w:sz w:val="22"/>
                <w:szCs w:val="22"/>
                <w:lang w:val="en-US" w:eastAsia="zh-CN"/>
              </w:rPr>
            </w:pPr>
            <w:bookmarkStart w:id="149" w:name="_bookmark3"/>
            <w:bookmarkEnd w:id="149"/>
            <w:r>
              <w:rPr>
                <w:rFonts w:hint="eastAsia" w:ascii="宋体" w:hAnsi="宋体" w:eastAsia="宋体" w:cs="宋体"/>
                <w:snapToGrid w:val="0"/>
                <w:color w:val="auto"/>
                <w:spacing w:val="8"/>
                <w:kern w:val="0"/>
                <w:sz w:val="22"/>
                <w:szCs w:val="22"/>
                <w:lang w:val="en-US" w:eastAsia="zh-CN"/>
              </w:rPr>
              <w:t>评审因素</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77"/>
              <w:jc w:val="center"/>
              <w:textAlignment w:val="baseline"/>
              <w:rPr>
                <w:rFonts w:hint="eastAsia" w:ascii="宋体" w:hAnsi="宋体" w:eastAsia="宋体" w:cs="宋体"/>
                <w:snapToGrid w:val="0"/>
                <w:color w:val="auto"/>
                <w:spacing w:val="8"/>
                <w:kern w:val="0"/>
                <w:sz w:val="22"/>
                <w:szCs w:val="22"/>
                <w:lang w:val="en-US" w:eastAsia="zh-CN"/>
              </w:rPr>
            </w:pPr>
            <w:r>
              <w:rPr>
                <w:rFonts w:hint="eastAsia" w:ascii="宋体" w:hAnsi="宋体" w:eastAsia="宋体" w:cs="宋体"/>
                <w:snapToGrid w:val="0"/>
                <w:color w:val="auto"/>
                <w:spacing w:val="8"/>
                <w:kern w:val="0"/>
                <w:sz w:val="22"/>
                <w:szCs w:val="22"/>
                <w:lang w:val="en-US" w:eastAsia="zh-CN"/>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r>
              <w:rPr>
                <w:rFonts w:hint="eastAsia" w:ascii="宋体" w:hAnsi="宋体" w:eastAsia="宋体" w:cs="宋体"/>
                <w:snapToGrid w:val="0"/>
                <w:color w:val="auto"/>
                <w:spacing w:val="8"/>
                <w:kern w:val="0"/>
                <w:sz w:val="22"/>
                <w:szCs w:val="22"/>
              </w:rPr>
              <w:t>2</w:t>
            </w:r>
            <w:r>
              <w:rPr>
                <w:rFonts w:hint="eastAsia" w:ascii="宋体" w:hAnsi="宋体" w:eastAsia="宋体" w:cs="宋体"/>
                <w:snapToGrid w:val="0"/>
                <w:color w:val="auto"/>
                <w:spacing w:val="6"/>
                <w:kern w:val="0"/>
                <w:sz w:val="22"/>
                <w:szCs w:val="22"/>
              </w:rPr>
              <w:t>.1.1</w:t>
            </w:r>
          </w:p>
        </w:tc>
        <w:tc>
          <w:tcPr>
            <w:tcW w:w="61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right="60"/>
              <w:jc w:val="center"/>
              <w:textAlignment w:val="baseline"/>
              <w:rPr>
                <w:rFonts w:hint="eastAsia" w:ascii="宋体" w:hAnsi="宋体" w:eastAsia="宋体" w:cs="宋体"/>
                <w:snapToGrid w:val="0"/>
                <w:color w:val="auto"/>
                <w:kern w:val="0"/>
                <w:sz w:val="22"/>
                <w:szCs w:val="22"/>
              </w:rPr>
            </w:pPr>
            <w:r>
              <w:rPr>
                <w:rFonts w:hint="eastAsia" w:ascii="宋体" w:hAnsi="宋体" w:eastAsia="宋体" w:cs="宋体"/>
                <w:snapToGrid w:val="0"/>
                <w:color w:val="auto"/>
                <w:spacing w:val="5"/>
                <w:kern w:val="0"/>
                <w:sz w:val="22"/>
                <w:szCs w:val="22"/>
              </w:rPr>
              <w:t>形式性</w:t>
            </w:r>
            <w:r>
              <w:rPr>
                <w:rFonts w:hint="eastAsia" w:ascii="宋体" w:hAnsi="宋体" w:eastAsia="宋体" w:cs="宋体"/>
                <w:snapToGrid w:val="0"/>
                <w:color w:val="auto"/>
                <w:kern w:val="0"/>
                <w:sz w:val="22"/>
                <w:szCs w:val="22"/>
              </w:rPr>
              <w:t xml:space="preserve"> </w:t>
            </w:r>
            <w:r>
              <w:rPr>
                <w:rFonts w:hint="eastAsia" w:ascii="宋体" w:hAnsi="宋体" w:eastAsia="宋体" w:cs="宋体"/>
                <w:snapToGrid w:val="0"/>
                <w:color w:val="auto"/>
                <w:kern w:val="0"/>
                <w:sz w:val="22"/>
                <w:szCs w:val="22"/>
                <w:lang w:val="en-US" w:eastAsia="zh-CN"/>
              </w:rPr>
              <w:t xml:space="preserve"> </w:t>
            </w:r>
            <w:r>
              <w:rPr>
                <w:rFonts w:hint="eastAsia" w:ascii="宋体" w:hAnsi="宋体" w:eastAsia="宋体" w:cs="宋体"/>
                <w:snapToGrid w:val="0"/>
                <w:color w:val="auto"/>
                <w:spacing w:val="8"/>
                <w:kern w:val="0"/>
                <w:sz w:val="22"/>
                <w:szCs w:val="22"/>
              </w:rPr>
              <w:t>评</w:t>
            </w:r>
            <w:r>
              <w:rPr>
                <w:rFonts w:hint="eastAsia" w:ascii="宋体" w:hAnsi="宋体" w:eastAsia="宋体" w:cs="宋体"/>
                <w:snapToGrid w:val="0"/>
                <w:color w:val="auto"/>
                <w:spacing w:val="5"/>
                <w:kern w:val="0"/>
                <w:sz w:val="22"/>
                <w:szCs w:val="22"/>
              </w:rPr>
              <w:t>审标准</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eastAsia="zh-CN"/>
              </w:rPr>
              <w:t>供应商</w:t>
            </w:r>
            <w:r>
              <w:rPr>
                <w:rFonts w:hint="eastAsia" w:ascii="宋体" w:hAnsi="宋体" w:eastAsia="宋体" w:cs="宋体"/>
                <w:snapToGrid w:val="0"/>
                <w:color w:val="auto"/>
                <w:kern w:val="0"/>
                <w:sz w:val="22"/>
                <w:szCs w:val="22"/>
                <w:highlight w:val="none"/>
              </w:rPr>
              <w:t>名称</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报价唯一</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投标文件签字盖章</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投标文件格式</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9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r>
              <w:rPr>
                <w:rFonts w:hint="eastAsia" w:ascii="宋体" w:hAnsi="宋体" w:eastAsia="宋体" w:cs="宋体"/>
                <w:snapToGrid w:val="0"/>
                <w:color w:val="auto"/>
                <w:spacing w:val="4"/>
                <w:kern w:val="0"/>
                <w:sz w:val="22"/>
                <w:szCs w:val="22"/>
              </w:rPr>
              <w:t>2.1.2</w:t>
            </w:r>
          </w:p>
        </w:tc>
        <w:tc>
          <w:tcPr>
            <w:tcW w:w="61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宋体" w:hAnsi="宋体" w:eastAsia="宋体" w:cs="宋体"/>
                <w:snapToGrid w:val="0"/>
                <w:color w:val="auto"/>
                <w:spacing w:val="5"/>
                <w:kern w:val="0"/>
                <w:sz w:val="22"/>
                <w:szCs w:val="22"/>
              </w:rPr>
            </w:pPr>
            <w:r>
              <w:rPr>
                <w:rFonts w:hint="eastAsia" w:ascii="宋体" w:hAnsi="宋体" w:eastAsia="宋体" w:cs="宋体"/>
                <w:snapToGrid w:val="0"/>
                <w:color w:val="auto"/>
                <w:spacing w:val="-4"/>
                <w:kern w:val="0"/>
                <w:sz w:val="22"/>
                <w:szCs w:val="22"/>
              </w:rPr>
              <w:t>资</w:t>
            </w:r>
            <w:r>
              <w:rPr>
                <w:rFonts w:hint="eastAsia" w:ascii="宋体" w:hAnsi="宋体" w:eastAsia="宋体" w:cs="宋体"/>
                <w:snapToGrid w:val="0"/>
                <w:color w:val="auto"/>
                <w:spacing w:val="-3"/>
                <w:kern w:val="0"/>
                <w:sz w:val="22"/>
                <w:szCs w:val="22"/>
              </w:rPr>
              <w:t>格</w:t>
            </w:r>
            <w:r>
              <w:rPr>
                <w:rFonts w:hint="eastAsia" w:ascii="宋体" w:hAnsi="宋体" w:eastAsia="宋体" w:cs="宋体"/>
                <w:snapToGrid w:val="0"/>
                <w:color w:val="auto"/>
                <w:spacing w:val="8"/>
                <w:kern w:val="0"/>
                <w:sz w:val="22"/>
                <w:szCs w:val="22"/>
              </w:rPr>
              <w:t>评</w:t>
            </w:r>
            <w:r>
              <w:rPr>
                <w:rFonts w:hint="eastAsia" w:ascii="宋体" w:hAnsi="宋体" w:eastAsia="宋体" w:cs="宋体"/>
                <w:snapToGrid w:val="0"/>
                <w:color w:val="auto"/>
                <w:spacing w:val="5"/>
                <w:kern w:val="0"/>
                <w:sz w:val="22"/>
                <w:szCs w:val="22"/>
              </w:rPr>
              <w:t>审</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宋体" w:hAnsi="宋体" w:eastAsia="宋体" w:cs="宋体"/>
                <w:snapToGrid w:val="0"/>
                <w:color w:val="auto"/>
                <w:kern w:val="0"/>
                <w:sz w:val="22"/>
                <w:szCs w:val="22"/>
              </w:rPr>
            </w:pPr>
            <w:r>
              <w:rPr>
                <w:rFonts w:hint="eastAsia" w:ascii="宋体" w:hAnsi="宋体" w:eastAsia="宋体" w:cs="宋体"/>
                <w:snapToGrid w:val="0"/>
                <w:color w:val="auto"/>
                <w:spacing w:val="5"/>
                <w:kern w:val="0"/>
                <w:sz w:val="22"/>
                <w:szCs w:val="22"/>
              </w:rPr>
              <w:t>标准</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具有独立承担民事责任的能力</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提供法人或者其他组织的营业执照等证明文件，自然人的身份证明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具有良好的商业信誉和健全的财务会计制度</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供应商须提供2022年度或2023年度经审计的财务审计报告或基本户开户行出具的资信证明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具有履行合同所必需的设备和专业技术能力</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参加政府采购活动前三年内，在经营活动中没有重大违法记录</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法律、行政法规规定的其他条件</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center"/>
              <w:textAlignment w:val="baseline"/>
              <w:rPr>
                <w:rFonts w:hint="default"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不良行为记录</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both"/>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符合第二章“供应商须知前附表”第1</w:t>
            </w:r>
            <w:r>
              <w:rPr>
                <w:rFonts w:hint="eastAsia" w:ascii="宋体" w:hAnsi="宋体" w:cs="宋体"/>
                <w:snapToGrid w:val="0"/>
                <w:color w:val="auto"/>
                <w:kern w:val="0"/>
                <w:sz w:val="22"/>
                <w:szCs w:val="22"/>
                <w:highlight w:val="none"/>
                <w:lang w:val="en-US" w:eastAsia="zh-CN"/>
              </w:rPr>
              <w:t>2</w:t>
            </w:r>
            <w:r>
              <w:rPr>
                <w:rFonts w:hint="eastAsia" w:ascii="宋体" w:hAnsi="宋体" w:eastAsia="宋体" w:cs="宋体"/>
                <w:snapToGrid w:val="0"/>
                <w:color w:val="auto"/>
                <w:kern w:val="0"/>
                <w:sz w:val="22"/>
                <w:szCs w:val="22"/>
                <w:highlight w:val="none"/>
                <w:lang w:val="en-US"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center"/>
              <w:textAlignment w:val="baseline"/>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信</w:t>
            </w:r>
            <w:r>
              <w:rPr>
                <w:rFonts w:hint="eastAsia" w:ascii="宋体" w:hAnsi="宋体" w:eastAsia="宋体" w:cs="宋体"/>
                <w:snapToGrid w:val="0"/>
                <w:color w:val="auto"/>
                <w:kern w:val="0"/>
                <w:sz w:val="22"/>
                <w:szCs w:val="22"/>
                <w:highlight w:val="none"/>
                <w:lang w:val="en-US" w:eastAsia="zh-CN"/>
              </w:rPr>
              <w:t>用记录</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right="49" w:hanging="14"/>
              <w:jc w:val="both"/>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符合第二章“供应商须知前附表”第1</w:t>
            </w:r>
            <w:r>
              <w:rPr>
                <w:rFonts w:hint="eastAsia" w:ascii="宋体" w:hAnsi="宋体" w:cs="宋体"/>
                <w:snapToGrid w:val="0"/>
                <w:color w:val="auto"/>
                <w:kern w:val="0"/>
                <w:sz w:val="22"/>
                <w:szCs w:val="22"/>
                <w:highlight w:val="none"/>
                <w:lang w:val="en-US" w:eastAsia="zh-CN"/>
              </w:rPr>
              <w:t>2</w:t>
            </w:r>
            <w:r>
              <w:rPr>
                <w:rFonts w:hint="eastAsia" w:ascii="宋体" w:hAnsi="宋体" w:eastAsia="宋体" w:cs="宋体"/>
                <w:snapToGrid w:val="0"/>
                <w:color w:val="auto"/>
                <w:kern w:val="0"/>
                <w:sz w:val="22"/>
                <w:szCs w:val="22"/>
                <w:highlight w:val="none"/>
                <w:lang w:val="en-US" w:eastAsia="zh-CN"/>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无行政或经济关联的书面声明</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right="46"/>
              <w:jc w:val="both"/>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rPr>
              <w:t>单位负责人为同一人或者存在直接控股、管理关系的不同单位，不得同时参加同一合同项目下的政府采购活动</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right="46"/>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rPr>
              <w:t>提供书面声明，格式自拟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其他要求</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符合第二章“</w:t>
            </w:r>
            <w:r>
              <w:rPr>
                <w:rFonts w:hint="eastAsia" w:ascii="宋体" w:hAnsi="宋体" w:eastAsia="宋体" w:cs="宋体"/>
                <w:snapToGrid w:val="0"/>
                <w:color w:val="auto"/>
                <w:kern w:val="0"/>
                <w:sz w:val="22"/>
                <w:szCs w:val="22"/>
                <w:highlight w:val="none"/>
                <w:lang w:eastAsia="zh-CN"/>
              </w:rPr>
              <w:t>供应商</w:t>
            </w:r>
            <w:r>
              <w:rPr>
                <w:rFonts w:hint="eastAsia" w:ascii="宋体" w:hAnsi="宋体" w:eastAsia="宋体" w:cs="宋体"/>
                <w:snapToGrid w:val="0"/>
                <w:color w:val="auto"/>
                <w:kern w:val="0"/>
                <w:sz w:val="22"/>
                <w:szCs w:val="22"/>
                <w:highlight w:val="none"/>
              </w:rPr>
              <w:t>须知前附表”第</w:t>
            </w:r>
            <w:r>
              <w:rPr>
                <w:rFonts w:hint="eastAsia" w:ascii="宋体" w:hAnsi="宋体" w:eastAsia="宋体" w:cs="宋体"/>
                <w:snapToGrid w:val="0"/>
                <w:color w:val="auto"/>
                <w:kern w:val="0"/>
                <w:sz w:val="22"/>
                <w:szCs w:val="22"/>
                <w:highlight w:val="none"/>
                <w:lang w:val="en-US" w:eastAsia="zh-CN"/>
              </w:rPr>
              <w:t>11</w:t>
            </w:r>
            <w:r>
              <w:rPr>
                <w:rFonts w:hint="eastAsia" w:ascii="宋体" w:hAnsi="宋体" w:eastAsia="宋体" w:cs="宋体"/>
                <w:snapToGrid w:val="0"/>
                <w:color w:val="auto"/>
                <w:kern w:val="0"/>
                <w:sz w:val="22"/>
                <w:szCs w:val="22"/>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r>
              <w:rPr>
                <w:rFonts w:hint="eastAsia" w:ascii="宋体" w:hAnsi="宋体" w:eastAsia="宋体" w:cs="宋体"/>
                <w:snapToGrid w:val="0"/>
                <w:color w:val="auto"/>
                <w:spacing w:val="5"/>
                <w:kern w:val="0"/>
                <w:sz w:val="22"/>
                <w:szCs w:val="22"/>
              </w:rPr>
              <w:t>2</w:t>
            </w:r>
            <w:r>
              <w:rPr>
                <w:rFonts w:hint="eastAsia" w:ascii="宋体" w:hAnsi="宋体" w:eastAsia="宋体" w:cs="宋体"/>
                <w:snapToGrid w:val="0"/>
                <w:color w:val="auto"/>
                <w:spacing w:val="4"/>
                <w:kern w:val="0"/>
                <w:sz w:val="22"/>
                <w:szCs w:val="22"/>
              </w:rPr>
              <w:t>.1.3</w:t>
            </w:r>
          </w:p>
        </w:tc>
        <w:tc>
          <w:tcPr>
            <w:tcW w:w="61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60" w:firstLine="0"/>
              <w:jc w:val="center"/>
              <w:textAlignment w:val="baseline"/>
              <w:rPr>
                <w:rFonts w:hint="eastAsia" w:ascii="宋体" w:hAnsi="宋体" w:eastAsia="宋体" w:cs="宋体"/>
                <w:snapToGrid w:val="0"/>
                <w:color w:val="auto"/>
                <w:kern w:val="0"/>
                <w:sz w:val="22"/>
                <w:szCs w:val="22"/>
              </w:rPr>
            </w:pPr>
            <w:r>
              <w:rPr>
                <w:rFonts w:hint="eastAsia" w:ascii="宋体" w:hAnsi="宋体" w:eastAsia="宋体" w:cs="宋体"/>
                <w:snapToGrid w:val="0"/>
                <w:color w:val="auto"/>
                <w:spacing w:val="3"/>
                <w:kern w:val="0"/>
                <w:sz w:val="22"/>
                <w:szCs w:val="22"/>
              </w:rPr>
              <w:t>响应</w:t>
            </w:r>
            <w:r>
              <w:rPr>
                <w:rFonts w:hint="eastAsia" w:ascii="宋体" w:hAnsi="宋体" w:eastAsia="宋体" w:cs="宋体"/>
                <w:snapToGrid w:val="0"/>
                <w:color w:val="auto"/>
                <w:spacing w:val="2"/>
                <w:kern w:val="0"/>
                <w:sz w:val="22"/>
                <w:szCs w:val="22"/>
              </w:rPr>
              <w:t>性</w:t>
            </w:r>
            <w:r>
              <w:rPr>
                <w:rFonts w:hint="eastAsia" w:ascii="宋体" w:hAnsi="宋体" w:eastAsia="宋体" w:cs="宋体"/>
                <w:snapToGrid w:val="0"/>
                <w:color w:val="auto"/>
                <w:spacing w:val="8"/>
                <w:kern w:val="0"/>
                <w:sz w:val="22"/>
                <w:szCs w:val="22"/>
              </w:rPr>
              <w:t>评</w:t>
            </w:r>
            <w:r>
              <w:rPr>
                <w:rFonts w:hint="eastAsia" w:ascii="宋体" w:hAnsi="宋体" w:eastAsia="宋体" w:cs="宋体"/>
                <w:snapToGrid w:val="0"/>
                <w:color w:val="auto"/>
                <w:spacing w:val="5"/>
                <w:kern w:val="0"/>
                <w:sz w:val="22"/>
                <w:szCs w:val="22"/>
              </w:rPr>
              <w:t>审标准</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服务期限</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22"/>
              <w:jc w:val="both"/>
              <w:textAlignment w:val="baseline"/>
              <w:rPr>
                <w:rFonts w:hint="default"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eastAsia="zh-CN"/>
              </w:rPr>
              <w:t>接采购人通知的30日历天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质量要求</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lang w:val="en-US" w:eastAsia="zh-CN"/>
              </w:rPr>
              <w:t>质量合格，符合现行国家技术规范、标准及采购人的要求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投标报价</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报价未超过招标文件中规定的</w:t>
            </w:r>
            <w:r>
              <w:rPr>
                <w:rFonts w:hint="eastAsia" w:ascii="宋体" w:hAnsi="宋体" w:eastAsia="宋体" w:cs="宋体"/>
                <w:snapToGrid w:val="0"/>
                <w:color w:val="auto"/>
                <w:kern w:val="0"/>
                <w:sz w:val="22"/>
                <w:szCs w:val="22"/>
                <w:highlight w:val="none"/>
                <w:lang w:eastAsia="zh-CN"/>
              </w:rPr>
              <w:t>招标控制价（最高限价）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投标有效期</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2" w:leftChars="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rPr>
              <w:t>60</w:t>
            </w:r>
            <w:r>
              <w:rPr>
                <w:rFonts w:hint="eastAsia" w:ascii="宋体" w:hAnsi="宋体" w:eastAsia="宋体" w:cs="宋体"/>
                <w:snapToGrid w:val="0"/>
                <w:color w:val="auto"/>
                <w:kern w:val="0"/>
                <w:sz w:val="22"/>
                <w:szCs w:val="22"/>
                <w:highlight w:val="none"/>
              </w:rPr>
              <w:t>日历天（从投标截止之日算起）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9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61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rPr>
            </w:pP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投标内容</w:t>
            </w:r>
          </w:p>
        </w:tc>
        <w:tc>
          <w:tcPr>
            <w:tcW w:w="5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6" w:leftChars="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eastAsia="zh-CN"/>
              </w:rPr>
              <w:t>满足</w:t>
            </w:r>
            <w:r>
              <w:rPr>
                <w:rFonts w:hint="eastAsia" w:ascii="宋体" w:hAnsi="宋体" w:eastAsia="宋体" w:cs="宋体"/>
                <w:snapToGrid w:val="0"/>
                <w:color w:val="auto"/>
                <w:kern w:val="0"/>
                <w:sz w:val="22"/>
                <w:szCs w:val="22"/>
                <w:highlight w:val="none"/>
              </w:rPr>
              <w:t>招标文件第五章“</w:t>
            </w:r>
            <w:r>
              <w:rPr>
                <w:rFonts w:hint="eastAsia" w:ascii="宋体" w:hAnsi="宋体" w:eastAsia="宋体" w:cs="宋体"/>
                <w:snapToGrid w:val="0"/>
                <w:color w:val="auto"/>
                <w:kern w:val="0"/>
                <w:sz w:val="22"/>
                <w:szCs w:val="22"/>
                <w:highlight w:val="none"/>
                <w:lang w:val="en-US" w:eastAsia="zh-CN"/>
              </w:rPr>
              <w:t>采购需求</w:t>
            </w:r>
            <w:r>
              <w:rPr>
                <w:rFonts w:hint="eastAsia" w:ascii="宋体" w:hAnsi="宋体" w:eastAsia="宋体" w:cs="宋体"/>
                <w:snapToGrid w:val="0"/>
                <w:color w:val="auto"/>
                <w:kern w:val="0"/>
                <w:sz w:val="22"/>
                <w:szCs w:val="22"/>
                <w:highlight w:val="none"/>
              </w:rPr>
              <w:t>”要求的所有内容</w:t>
            </w:r>
          </w:p>
        </w:tc>
      </w:tr>
    </w:tbl>
    <w:p>
      <w:pPr>
        <w:pStyle w:val="13"/>
        <w:jc w:val="center"/>
        <w:rPr>
          <w:rFonts w:hint="eastAsia"/>
          <w:b/>
          <w:bCs/>
          <w:color w:val="auto"/>
        </w:rPr>
      </w:pPr>
    </w:p>
    <w:p>
      <w:pPr>
        <w:rPr>
          <w:rFonts w:hint="eastAsia"/>
          <w:color w:val="auto"/>
        </w:rPr>
      </w:pPr>
    </w:p>
    <w:p>
      <w:pPr>
        <w:rPr>
          <w:rFonts w:hint="eastAsia"/>
          <w:b/>
          <w:bCs/>
          <w:color w:val="auto"/>
          <w:sz w:val="32"/>
          <w:szCs w:val="22"/>
        </w:rPr>
      </w:pPr>
      <w:r>
        <w:rPr>
          <w:rFonts w:hint="eastAsia"/>
          <w:b/>
          <w:bCs/>
          <w:color w:val="auto"/>
          <w:sz w:val="32"/>
          <w:szCs w:val="22"/>
        </w:rPr>
        <w:br w:type="page"/>
      </w:r>
    </w:p>
    <w:p>
      <w:pPr>
        <w:pStyle w:val="19"/>
        <w:rPr>
          <w:rFonts w:hint="eastAsia"/>
          <w:b/>
          <w:bCs/>
          <w:color w:val="auto"/>
          <w:sz w:val="32"/>
          <w:szCs w:val="22"/>
        </w:rPr>
      </w:pPr>
      <w:r>
        <w:rPr>
          <w:rFonts w:hint="eastAsia"/>
          <w:b/>
          <w:bCs/>
          <w:color w:val="auto"/>
          <w:sz w:val="32"/>
          <w:szCs w:val="22"/>
        </w:rPr>
        <w:t>2、详细评审</w:t>
      </w:r>
    </w:p>
    <w:tbl>
      <w:tblPr>
        <w:tblStyle w:val="33"/>
        <w:tblpPr w:leftFromText="180" w:rightFromText="180" w:vertAnchor="text" w:horzAnchor="page" w:tblpXSpec="center" w:tblpY="543"/>
        <w:tblOverlap w:val="never"/>
        <w:tblW w:w="90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8"/>
        <w:gridCol w:w="9"/>
        <w:gridCol w:w="1578"/>
        <w:gridCol w:w="58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5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315" w:firstLine="171" w:firstLineChars="71"/>
              <w:jc w:val="center"/>
              <w:rPr>
                <w:rFonts w:hint="eastAsia" w:ascii="宋体" w:hAnsi="宋体"/>
                <w:b/>
                <w:color w:val="auto"/>
                <w:szCs w:val="21"/>
              </w:rPr>
            </w:pPr>
            <w:r>
              <w:rPr>
                <w:rFonts w:hint="eastAsia" w:ascii="宋体" w:hAnsi="宋体"/>
                <w:b/>
                <w:color w:val="auto"/>
                <w:szCs w:val="21"/>
              </w:rPr>
              <w:t>条款号</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color w:val="auto"/>
                <w:szCs w:val="21"/>
              </w:rPr>
            </w:pPr>
            <w:r>
              <w:rPr>
                <w:rFonts w:hint="eastAsia" w:ascii="宋体" w:hAnsi="宋体"/>
                <w:b/>
                <w:color w:val="auto"/>
                <w:szCs w:val="21"/>
              </w:rPr>
              <w:t>评审因素</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color w:val="auto"/>
                <w:szCs w:val="21"/>
              </w:rPr>
            </w:pPr>
            <w:r>
              <w:rPr>
                <w:rFonts w:hint="eastAsia" w:ascii="宋体" w:hAnsi="宋体"/>
                <w:b/>
                <w:color w:val="auto"/>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6" w:hRule="atLeast"/>
          <w:jc w:val="center"/>
        </w:trPr>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2.2.1</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分值构成 （总分100分）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A：商务部分： 40分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B：技术部分： 30分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C：综合部分： 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条款号</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评分因素</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3" w:hRule="atLeast"/>
          <w:jc w:val="center"/>
        </w:trPr>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2.2.2(1)</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商务部分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（40分）</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投标报价</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（40分）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价格分采用低价优先法计算，即满足招标文件要求且最后报价最低的投标人的价格为评标基准价，其价格分为满分，其他投标人的价格分按下列公式计算：</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投标报价得分=（评标基准价/投标报价）×40</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bookmarkStart w:id="150" w:name="_Toc6043"/>
            <w:bookmarkStart w:id="151" w:name="_Toc31705"/>
            <w:bookmarkStart w:id="152" w:name="_Toc1086"/>
            <w:bookmarkStart w:id="153" w:name="_Toc7392"/>
            <w:r>
              <w:rPr>
                <w:rFonts w:hint="eastAsia" w:ascii="宋体" w:hAnsi="宋体" w:eastAsia="宋体" w:cs="宋体"/>
                <w:color w:val="auto"/>
                <w:sz w:val="22"/>
                <w:szCs w:val="22"/>
                <w:lang w:val="en-US" w:eastAsia="zh-CN"/>
              </w:rPr>
              <w:t>注：（1）按四舍五入法则，保留小数点后两位。</w:t>
            </w:r>
            <w:bookmarkEnd w:id="150"/>
            <w:bookmarkEnd w:id="151"/>
            <w:bookmarkEnd w:id="152"/>
            <w:bookmarkEnd w:id="153"/>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bookmarkStart w:id="154" w:name="_Toc26287"/>
            <w:bookmarkStart w:id="155" w:name="_Toc20379"/>
            <w:bookmarkStart w:id="156" w:name="_Toc1360"/>
            <w:bookmarkStart w:id="157" w:name="_Toc29771"/>
            <w:r>
              <w:rPr>
                <w:rFonts w:hint="eastAsia" w:ascii="宋体" w:hAnsi="宋体" w:eastAsia="宋体" w:cs="宋体"/>
                <w:color w:val="auto"/>
                <w:sz w:val="22"/>
                <w:szCs w:val="22"/>
                <w:lang w:val="en-US" w:eastAsia="zh-CN"/>
              </w:rPr>
              <w:t>（2）如投标人中出现明显低价或不符合招标参数要求的服务市场价格的投标报价，评标委员会各成员需对此类报价进行综合审查及评定，如发现恶意竞标行为予以废标处理，上报主管部门进行相应处罚）。对小型和微型企业、监狱企业、残疾人福利性等单位的投标报价给予15%的扣除，用扣除后的价格参与评审。参加本项目的中小企业应当提供《中小企业声明函》（格式详见招标文件内《中小企业声明函》样本。</w:t>
            </w:r>
            <w:bookmarkEnd w:id="154"/>
            <w:bookmarkEnd w:id="155"/>
            <w:bookmarkEnd w:id="156"/>
            <w:bookmarkEnd w:id="15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6" w:hRule="exact"/>
          <w:jc w:val="center"/>
        </w:trPr>
        <w:tc>
          <w:tcPr>
            <w:tcW w:w="15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2.2.2(2)</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技术部分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（30分）</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实施方案</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 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1、作业实施方案需符合本地实际情况因地制宜，技术路线科学合理，有完善细致的可行性实施步骤，并能提出合理化建议，符合采购人需求。供应商对 本项目实施方案进行详细描述得 7 分， 不提供不得分。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2、评标委员会根据技术方案进行综合对比， 优得 3 分，良得 1 分， 一般得 0.5 分，不提供不得分。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8" w:hRule="exact"/>
          <w:jc w:val="center"/>
        </w:trPr>
        <w:tc>
          <w:tcPr>
            <w:tcW w:w="156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质量保证措施</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 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1、供应商具有专业质量管理部门，有详细完善的质量管理制度和切实可行的质量控制措施，保证提供优质的服务，供应商对此项内容进行详细描述得 3分，不提供不得分。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评标委员会</w:t>
            </w:r>
            <w:r>
              <w:rPr>
                <w:rFonts w:hint="eastAsia" w:ascii="宋体" w:hAnsi="宋体" w:eastAsia="宋体" w:cs="宋体"/>
                <w:color w:val="auto"/>
                <w:sz w:val="22"/>
                <w:szCs w:val="22"/>
              </w:rPr>
              <w:t>根据本项内容进行综合对比，优得 3 分，良得 1 分， 一般得 0.5 分，不提供不得分。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9" w:hRule="exact"/>
          <w:jc w:val="center"/>
        </w:trPr>
        <w:tc>
          <w:tcPr>
            <w:tcW w:w="156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进度保证措施</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 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1、供应商针对本项目实际情况合理安排项目进度计划，时间节点控制得当，具有详实、可行的进度保证措施，确保项目顺利进行，供应商对以上内容进行详细描述得 3 分，不提供不得分。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评标委员会</w:t>
            </w:r>
            <w:r>
              <w:rPr>
                <w:rFonts w:hint="eastAsia" w:ascii="宋体" w:hAnsi="宋体" w:eastAsia="宋体" w:cs="宋体"/>
                <w:color w:val="auto"/>
                <w:sz w:val="22"/>
                <w:szCs w:val="22"/>
              </w:rPr>
              <w:t>根据本项内容进行综合对比， 优得 3 分，良得 1 分， 一般得 0.5 分，不提供不得分。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exact"/>
          <w:jc w:val="center"/>
        </w:trPr>
        <w:tc>
          <w:tcPr>
            <w:tcW w:w="156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安全管理与环境保护体系与措施</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(8 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1、供应商需针对本项目特点制定项目安全管理与环境保护体系与措施，确保项目的安全作业与实施过程中的环境保护，供应商对以上内容进行详细描述得 5 分，不提供不得分。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评标委员会</w:t>
            </w:r>
            <w:r>
              <w:rPr>
                <w:rFonts w:hint="eastAsia" w:ascii="宋体" w:hAnsi="宋体" w:eastAsia="宋体" w:cs="宋体"/>
                <w:color w:val="auto"/>
                <w:sz w:val="22"/>
                <w:szCs w:val="22"/>
              </w:rPr>
              <w:t>根据本项内容进行综合对比，优得 3分，良得 1 分， 一般得 0.5 分，不提供不得分。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8" w:hRule="atLeast"/>
          <w:jc w:val="center"/>
        </w:trPr>
        <w:tc>
          <w:tcPr>
            <w:tcW w:w="15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2.2.2(3)</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综合部分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（30分）</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类似业绩</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自 2020 年 1 月 1 日以来， 供应商每提供一份类似业绩的得2分,最多得 4 分；（提供业绩合同协议书原件扫描件，以合同签订时间为准）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6" w:hRule="atLeast"/>
          <w:jc w:val="center"/>
        </w:trPr>
        <w:tc>
          <w:tcPr>
            <w:tcW w:w="15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拟投入设备及人员</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 xml:space="preserve"> 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default" w:ascii="宋体" w:hAnsi="宋体" w:eastAsia="宋体" w:cs="宋体"/>
                <w:color w:val="auto"/>
                <w:sz w:val="22"/>
                <w:szCs w:val="22"/>
                <w:lang w:val="en-US" w:eastAsia="zh-CN"/>
              </w:rPr>
            </w:pPr>
            <w:r>
              <w:rPr>
                <w:rFonts w:hint="default" w:ascii="宋体" w:hAnsi="宋体" w:eastAsia="宋体" w:cs="宋体"/>
                <w:color w:val="auto"/>
                <w:sz w:val="22"/>
                <w:szCs w:val="22"/>
                <w:lang w:val="en-US" w:eastAsia="zh-CN"/>
              </w:rPr>
              <w:t xml:space="preserve">1、供应商应具有专业农业机械和设备等，拖拉机、旋耕机、收割机及其它农业机械设备5 台（套）及以上的得 </w:t>
            </w:r>
            <w:r>
              <w:rPr>
                <w:rFonts w:hint="eastAsia" w:ascii="宋体" w:hAnsi="宋体" w:eastAsia="宋体" w:cs="宋体"/>
                <w:color w:val="auto"/>
                <w:sz w:val="22"/>
                <w:szCs w:val="22"/>
                <w:lang w:val="en-US" w:eastAsia="zh-CN"/>
              </w:rPr>
              <w:t>5</w:t>
            </w:r>
            <w:r>
              <w:rPr>
                <w:rFonts w:hint="default" w:ascii="宋体" w:hAnsi="宋体" w:eastAsia="宋体" w:cs="宋体"/>
                <w:color w:val="auto"/>
                <w:sz w:val="22"/>
                <w:szCs w:val="22"/>
                <w:lang w:val="en-US" w:eastAsia="zh-CN"/>
              </w:rPr>
              <w:t>分。 (提供相应农业设备图片及相关使用说明，不提供不得分)。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default" w:ascii="宋体" w:hAnsi="宋体" w:eastAsia="宋体" w:cs="宋体"/>
                <w:color w:val="auto"/>
                <w:sz w:val="22"/>
                <w:szCs w:val="22"/>
                <w:lang w:val="en-US" w:eastAsia="zh-CN"/>
              </w:rPr>
            </w:pPr>
            <w:r>
              <w:rPr>
                <w:rFonts w:hint="default" w:ascii="宋体" w:hAnsi="宋体" w:eastAsia="宋体" w:cs="宋体"/>
                <w:color w:val="auto"/>
                <w:sz w:val="22"/>
                <w:szCs w:val="22"/>
                <w:lang w:val="en-US" w:eastAsia="zh-CN"/>
              </w:rPr>
              <w:t xml:space="preserve">2、根据项目作业量统计需要供应商必须安装相关电子监测设备，并愿意接受社会化服务行业管理部  门和项目乡镇、村的监管，符合采购人需求的得 </w:t>
            </w:r>
            <w:r>
              <w:rPr>
                <w:rFonts w:hint="eastAsia" w:ascii="宋体" w:hAnsi="宋体" w:eastAsia="宋体" w:cs="宋体"/>
                <w:color w:val="auto"/>
                <w:sz w:val="22"/>
                <w:szCs w:val="22"/>
                <w:lang w:val="en-US" w:eastAsia="zh-CN"/>
              </w:rPr>
              <w:t>2</w:t>
            </w:r>
            <w:r>
              <w:rPr>
                <w:rFonts w:hint="default" w:ascii="宋体" w:hAnsi="宋体" w:eastAsia="宋体" w:cs="宋体"/>
                <w:color w:val="auto"/>
                <w:sz w:val="22"/>
                <w:szCs w:val="22"/>
                <w:lang w:val="en-US" w:eastAsia="zh-CN"/>
              </w:rPr>
              <w:t xml:space="preserve"> 分（供应商自行承诺，格式自拟，不提供不得分）； 安装的监测设备为北斗作业监测应用终端的另外加 2 分。（供应商自行承诺，格式自拟，不提供不得分)。 </w:t>
            </w:r>
          </w:p>
          <w:p>
            <w:pPr>
              <w:keepNext w:val="0"/>
              <w:keepLines w:val="0"/>
              <w:pageBreakBefore w:val="0"/>
              <w:widowControl/>
              <w:kinsoku/>
              <w:wordWrap/>
              <w:overflowPunct/>
              <w:topLinePunct w:val="0"/>
              <w:bidi w:val="0"/>
              <w:snapToGrid/>
              <w:spacing w:line="280" w:lineRule="exact"/>
              <w:ind w:firstLine="110" w:firstLineChars="50"/>
              <w:textAlignment w:val="auto"/>
              <w:rPr>
                <w:rFonts w:hint="default" w:ascii="宋体" w:hAnsi="宋体" w:eastAsia="宋体" w:cs="宋体"/>
                <w:color w:val="auto"/>
                <w:sz w:val="22"/>
                <w:szCs w:val="22"/>
                <w:lang w:val="en-US" w:eastAsia="zh-CN"/>
              </w:rPr>
            </w:pPr>
            <w:r>
              <w:rPr>
                <w:rFonts w:hint="default" w:ascii="宋体" w:hAnsi="宋体" w:eastAsia="宋体" w:cs="宋体"/>
                <w:color w:val="auto"/>
                <w:sz w:val="22"/>
                <w:szCs w:val="22"/>
                <w:lang w:val="en-US" w:eastAsia="zh-CN"/>
              </w:rPr>
              <w:t xml:space="preserve">3、供应商应具有农业操作技术人员（驾驶员）不少于 5 人，本项最多得 </w:t>
            </w:r>
            <w:r>
              <w:rPr>
                <w:rFonts w:hint="eastAsia" w:ascii="宋体" w:hAnsi="宋体" w:eastAsia="宋体" w:cs="宋体"/>
                <w:color w:val="auto"/>
                <w:sz w:val="22"/>
                <w:szCs w:val="22"/>
                <w:lang w:val="en-US" w:eastAsia="zh-CN"/>
              </w:rPr>
              <w:t>3</w:t>
            </w:r>
            <w:r>
              <w:rPr>
                <w:rFonts w:hint="default" w:ascii="宋体" w:hAnsi="宋体" w:eastAsia="宋体" w:cs="宋体"/>
                <w:color w:val="auto"/>
                <w:sz w:val="22"/>
                <w:szCs w:val="22"/>
                <w:lang w:val="en-US" w:eastAsia="zh-CN"/>
              </w:rPr>
              <w:t>分。 (提供相关人员身份证、劳务合同、农机驾驶证且在有效期内证件或证明材料原件的扫描件，不提供不得分。)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6" w:hRule="atLeast"/>
          <w:jc w:val="center"/>
        </w:trPr>
        <w:tc>
          <w:tcPr>
            <w:tcW w:w="15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资质荣誉</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 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供应商</w:t>
            </w:r>
            <w:r>
              <w:rPr>
                <w:rFonts w:hint="eastAsia" w:ascii="宋体" w:hAnsi="宋体" w:cs="宋体"/>
                <w:color w:val="auto"/>
                <w:sz w:val="22"/>
                <w:szCs w:val="22"/>
                <w:lang w:eastAsia="zh-CN"/>
              </w:rPr>
              <w:t>在</w:t>
            </w:r>
            <w:r>
              <w:rPr>
                <w:rFonts w:hint="eastAsia" w:ascii="宋体" w:hAnsi="宋体" w:eastAsia="宋体" w:cs="宋体"/>
                <w:color w:val="auto"/>
                <w:sz w:val="22"/>
                <w:szCs w:val="22"/>
              </w:rPr>
              <w:t>获得过农业相关</w:t>
            </w:r>
            <w:r>
              <w:rPr>
                <w:rFonts w:hint="eastAsia" w:ascii="宋体" w:hAnsi="宋体" w:cs="宋体"/>
                <w:color w:val="auto"/>
                <w:sz w:val="22"/>
                <w:szCs w:val="22"/>
                <w:lang w:eastAsia="zh-CN"/>
              </w:rPr>
              <w:t>市</w:t>
            </w:r>
            <w:r>
              <w:rPr>
                <w:rFonts w:hint="eastAsia" w:ascii="宋体" w:hAnsi="宋体" w:eastAsia="宋体" w:cs="宋体"/>
                <w:color w:val="auto"/>
                <w:sz w:val="22"/>
                <w:szCs w:val="22"/>
              </w:rPr>
              <w:t>级荣誉或奖项（含农业社会化服务示范组织、农民合作社示范社、农业产业化龙头企业、家庭农场等类似荣誉或奖项</w:t>
            </w:r>
            <w:r>
              <w:rPr>
                <w:rFonts w:hint="eastAsia" w:ascii="宋体" w:hAnsi="宋体" w:cs="宋体"/>
                <w:color w:val="auto"/>
                <w:sz w:val="22"/>
                <w:szCs w:val="22"/>
                <w:lang w:eastAsia="zh-CN"/>
              </w:rPr>
              <w:t>）的基础上，每提供一项省级荣誉或奖项得</w:t>
            </w:r>
            <w:r>
              <w:rPr>
                <w:rFonts w:hint="eastAsia" w:ascii="宋体" w:hAnsi="宋体" w:cs="宋体"/>
                <w:color w:val="auto"/>
                <w:sz w:val="22"/>
                <w:szCs w:val="22"/>
                <w:lang w:val="en-US" w:eastAsia="zh-CN"/>
              </w:rPr>
              <w:t>3</w:t>
            </w:r>
            <w:r>
              <w:rPr>
                <w:rFonts w:hint="eastAsia" w:ascii="宋体" w:hAnsi="宋体" w:cs="宋体"/>
                <w:color w:val="auto"/>
                <w:sz w:val="22"/>
                <w:szCs w:val="22"/>
                <w:lang w:eastAsia="zh-CN"/>
              </w:rPr>
              <w:t>分；国家级荣誉或奖项得</w:t>
            </w:r>
            <w:r>
              <w:rPr>
                <w:rFonts w:hint="eastAsia" w:ascii="宋体" w:hAnsi="宋体" w:cs="宋体"/>
                <w:color w:val="auto"/>
                <w:sz w:val="22"/>
                <w:szCs w:val="22"/>
                <w:lang w:val="en-US" w:eastAsia="zh-CN"/>
              </w:rPr>
              <w:t>5</w:t>
            </w:r>
            <w:r>
              <w:rPr>
                <w:rFonts w:hint="eastAsia" w:ascii="宋体" w:hAnsi="宋体" w:cs="宋体"/>
                <w:color w:val="auto"/>
                <w:sz w:val="22"/>
                <w:szCs w:val="22"/>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4" w:hRule="atLeast"/>
          <w:jc w:val="center"/>
        </w:trPr>
        <w:tc>
          <w:tcPr>
            <w:tcW w:w="15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售后服务方案</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 xml:space="preserve"> 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1.具有详实可行的售后服务方案，主要包括但不限于： 响应时间、服务人员保障、现场服务及措施（如 联络人、服务范围、应急处理方案等方案）、优惠条件等，以上内容全面详细的得 </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 xml:space="preserve"> 分，缺项不得分。</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评标委员会</w:t>
            </w:r>
            <w:r>
              <w:rPr>
                <w:rFonts w:hint="eastAsia" w:ascii="宋体" w:hAnsi="宋体" w:eastAsia="宋体" w:cs="宋体"/>
                <w:color w:val="auto"/>
                <w:sz w:val="22"/>
                <w:szCs w:val="22"/>
              </w:rPr>
              <w:t xml:space="preserve">根据本项内容进行综合对比， 优得 </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 xml:space="preserve"> 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良得 1 分， 一般得 0.5 分，缺项不得分。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9" w:hRule="atLeast"/>
          <w:jc w:val="center"/>
        </w:trPr>
        <w:tc>
          <w:tcPr>
            <w:tcW w:w="15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服务承诺</w:t>
            </w:r>
          </w:p>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 分）</w:t>
            </w:r>
          </w:p>
        </w:tc>
        <w:tc>
          <w:tcPr>
            <w:tcW w:w="5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80" w:lineRule="exact"/>
              <w:ind w:firstLine="110" w:firstLineChars="5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供应商承诺用于本项目的机械设备及人员在作业期间只服务于本项目，不得参与其他项目的得 2 分，不提供不得分。（供应商自行承诺， 格式自拟）</w:t>
            </w:r>
          </w:p>
        </w:tc>
      </w:tr>
    </w:tbl>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jc w:val="center"/>
        <w:rPr>
          <w:rFonts w:hint="eastAsia"/>
          <w:color w:val="auto"/>
        </w:rPr>
      </w:pPr>
      <w:r>
        <w:rPr>
          <w:rFonts w:hint="eastAsia" w:ascii="宋体" w:hAnsi="宋体" w:cs="宋体"/>
          <w:b/>
          <w:color w:val="auto"/>
          <w:sz w:val="28"/>
          <w:szCs w:val="28"/>
          <w:highlight w:val="none"/>
        </w:rPr>
        <w:t>详细评审标准</w:t>
      </w:r>
    </w:p>
    <w:tbl>
      <w:tblPr>
        <w:tblStyle w:val="34"/>
        <w:tblpPr w:leftFromText="180" w:rightFromText="180" w:vertAnchor="text" w:tblpX="10908" w:tblpY="-9812"/>
        <w:tblOverlap w:val="never"/>
        <w:tblW w:w="4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045" w:type="dxa"/>
          </w:tcPr>
          <w:p>
            <w:pPr>
              <w:autoSpaceDE w:val="0"/>
              <w:autoSpaceDN w:val="0"/>
              <w:spacing w:line="440" w:lineRule="exact"/>
              <w:rPr>
                <w:rFonts w:hint="eastAsia" w:ascii="宋体" w:hAnsi="宋体" w:eastAsia="宋体" w:cs="宋体"/>
                <w:b/>
                <w:color w:val="auto"/>
                <w:sz w:val="22"/>
                <w:szCs w:val="22"/>
                <w:vertAlign w:val="baseline"/>
              </w:rPr>
            </w:pPr>
          </w:p>
        </w:tc>
      </w:tr>
    </w:tbl>
    <w:tbl>
      <w:tblPr>
        <w:tblStyle w:val="34"/>
        <w:tblpPr w:leftFromText="180" w:rightFromText="180" w:vertAnchor="text" w:tblpX="10908" w:tblpY="-9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10" w:type="dxa"/>
          </w:tcPr>
          <w:p>
            <w:pPr>
              <w:autoSpaceDE w:val="0"/>
              <w:autoSpaceDN w:val="0"/>
              <w:spacing w:line="440" w:lineRule="exact"/>
              <w:rPr>
                <w:rFonts w:hint="eastAsia" w:ascii="宋体" w:hAnsi="宋体" w:eastAsia="宋体" w:cs="宋体"/>
                <w:b/>
                <w:color w:val="auto"/>
                <w:sz w:val="22"/>
                <w:szCs w:val="22"/>
                <w:vertAlign w:val="baseline"/>
              </w:rPr>
            </w:pPr>
          </w:p>
        </w:tc>
      </w:tr>
    </w:tbl>
    <w:p>
      <w:pPr>
        <w:pStyle w:val="92"/>
        <w:rPr>
          <w:b/>
          <w:color w:val="auto"/>
          <w:sz w:val="21"/>
          <w:szCs w:val="21"/>
        </w:rPr>
      </w:pPr>
      <w:r>
        <w:rPr>
          <w:b/>
          <w:color w:val="auto"/>
          <w:sz w:val="21"/>
          <w:szCs w:val="21"/>
        </w:rPr>
        <w:t>备注：如发现中标</w:t>
      </w:r>
      <w:r>
        <w:rPr>
          <w:rFonts w:hint="eastAsia"/>
          <w:b/>
          <w:color w:val="auto"/>
          <w:sz w:val="21"/>
          <w:szCs w:val="21"/>
          <w:lang w:val="en-US" w:eastAsia="zh-CN"/>
        </w:rPr>
        <w:t>单位</w:t>
      </w:r>
      <w:r>
        <w:rPr>
          <w:b/>
          <w:color w:val="auto"/>
          <w:sz w:val="21"/>
          <w:szCs w:val="21"/>
        </w:rPr>
        <w:t>提供的资料造假，取消中标资格。</w:t>
      </w:r>
    </w:p>
    <w:p>
      <w:pPr>
        <w:pStyle w:val="92"/>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1、评标方法</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1.1本次评标采用综合评分法。</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评标委员会对满足招标文件实质性要求的投标文件，按照本章详细评审标准进行打分，本项目按综合得分由高到低顺序推荐3名中标候选人。综合评分相等时，以投标报价低的优先；投标报价也相等的，</w:t>
      </w:r>
      <w:r>
        <w:rPr>
          <w:rFonts w:hint="eastAsia" w:ascii="宋体" w:hAnsi="宋体"/>
          <w:color w:val="auto"/>
          <w:sz w:val="21"/>
          <w:szCs w:val="21"/>
          <w:lang w:eastAsia="zh-CN"/>
        </w:rPr>
        <w:t>由采购人自行确定</w:t>
      </w:r>
      <w:r>
        <w:rPr>
          <w:rFonts w:hint="eastAsia" w:ascii="宋体" w:hAnsi="宋体"/>
          <w:color w:val="auto"/>
          <w:sz w:val="21"/>
          <w:szCs w:val="21"/>
        </w:rPr>
        <w:t>。</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1.2经评标委员会初步评审后有效投标不足3个的，评标委员会应予废标。</w:t>
      </w:r>
      <w:bookmarkStart w:id="158" w:name="_Toc374358912"/>
      <w:bookmarkStart w:id="159" w:name="_Toc381964642"/>
      <w:bookmarkStart w:id="160" w:name="_Toc363053528"/>
      <w:bookmarkStart w:id="161" w:name="_Toc381018333"/>
      <w:bookmarkStart w:id="162" w:name="_Toc184635094"/>
      <w:bookmarkStart w:id="163" w:name="_Toc21497"/>
      <w:bookmarkStart w:id="164" w:name="_Toc381964734"/>
    </w:p>
    <w:p>
      <w:pPr>
        <w:keepNext w:val="0"/>
        <w:keepLines w:val="0"/>
        <w:pageBreakBefore w:val="0"/>
        <w:widowControl/>
        <w:kinsoku/>
        <w:wordWrap/>
        <w:overflowPunct/>
        <w:topLinePunct w:val="0"/>
        <w:bidi w:val="0"/>
        <w:adjustRightInd/>
        <w:snapToGrid/>
        <w:spacing w:line="38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2、评审标准</w:t>
      </w:r>
      <w:bookmarkEnd w:id="158"/>
      <w:bookmarkEnd w:id="159"/>
      <w:bookmarkEnd w:id="160"/>
      <w:bookmarkEnd w:id="161"/>
      <w:bookmarkEnd w:id="162"/>
      <w:bookmarkEnd w:id="163"/>
      <w:bookmarkEnd w:id="164"/>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见初步评审和详细评审。</w:t>
      </w:r>
      <w:bookmarkStart w:id="165" w:name="_Toc374358913"/>
      <w:bookmarkStart w:id="166" w:name="_Toc26780"/>
      <w:bookmarkStart w:id="167" w:name="_Toc363053529"/>
      <w:bookmarkStart w:id="168" w:name="_Toc381964643"/>
      <w:bookmarkStart w:id="169" w:name="_Toc381018334"/>
      <w:bookmarkStart w:id="170" w:name="_Toc184635095"/>
      <w:bookmarkStart w:id="171" w:name="_Toc381964735"/>
    </w:p>
    <w:p>
      <w:pPr>
        <w:keepNext w:val="0"/>
        <w:keepLines w:val="0"/>
        <w:pageBreakBefore w:val="0"/>
        <w:widowControl/>
        <w:kinsoku/>
        <w:wordWrap/>
        <w:overflowPunct/>
        <w:topLinePunct w:val="0"/>
        <w:bidi w:val="0"/>
        <w:adjustRightInd/>
        <w:snapToGrid/>
        <w:spacing w:line="38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3、评标程序</w:t>
      </w:r>
      <w:bookmarkEnd w:id="165"/>
      <w:bookmarkEnd w:id="166"/>
      <w:bookmarkEnd w:id="167"/>
      <w:bookmarkEnd w:id="168"/>
      <w:bookmarkEnd w:id="169"/>
      <w:bookmarkEnd w:id="170"/>
      <w:bookmarkEnd w:id="171"/>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3.1 初步评审</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s="宋体"/>
          <w:color w:val="auto"/>
          <w:sz w:val="21"/>
          <w:szCs w:val="21"/>
        </w:rPr>
      </w:pPr>
      <w:r>
        <w:rPr>
          <w:rFonts w:hint="eastAsia" w:ascii="宋体" w:hAnsi="宋体"/>
          <w:color w:val="auto"/>
          <w:sz w:val="21"/>
          <w:szCs w:val="21"/>
          <w:lang w:val="en-US" w:eastAsia="zh-CN"/>
        </w:rPr>
        <w:t>3.1.1</w:t>
      </w:r>
      <w:r>
        <w:rPr>
          <w:rFonts w:hint="eastAsia" w:ascii="宋体" w:hAnsi="宋体" w:cs="宋体"/>
          <w:color w:val="auto"/>
          <w:sz w:val="21"/>
          <w:szCs w:val="21"/>
        </w:rPr>
        <w:t>采购人应当依据招标文件的规定，依法对投标供应商的投标文件进行资格性</w:t>
      </w:r>
      <w:r>
        <w:rPr>
          <w:rFonts w:hint="eastAsia" w:ascii="宋体" w:hAnsi="宋体" w:cs="宋体"/>
          <w:color w:val="auto"/>
          <w:sz w:val="21"/>
          <w:szCs w:val="21"/>
          <w:lang w:eastAsia="zh-CN"/>
        </w:rPr>
        <w:t>审</w:t>
      </w:r>
      <w:r>
        <w:rPr>
          <w:rFonts w:hint="eastAsia" w:ascii="宋体" w:hAnsi="宋体" w:cs="宋体"/>
          <w:color w:val="auto"/>
          <w:sz w:val="21"/>
          <w:szCs w:val="21"/>
        </w:rPr>
        <w:t>查；</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3.1.</w:t>
      </w:r>
      <w:r>
        <w:rPr>
          <w:rFonts w:hint="eastAsia" w:ascii="宋体" w:hAnsi="宋体"/>
          <w:color w:val="auto"/>
          <w:sz w:val="21"/>
          <w:szCs w:val="21"/>
          <w:lang w:val="en-US" w:eastAsia="zh-CN"/>
        </w:rPr>
        <w:t>2</w:t>
      </w:r>
      <w:r>
        <w:rPr>
          <w:rFonts w:hint="eastAsia" w:ascii="宋体" w:hAnsi="宋体"/>
          <w:color w:val="auto"/>
          <w:sz w:val="21"/>
          <w:szCs w:val="21"/>
        </w:rPr>
        <w:t>评标委员会应当依据招标文件的规定对符合资格的投标人的投标文件进行符合性审查。</w:t>
      </w:r>
    </w:p>
    <w:p>
      <w:pPr>
        <w:keepNext w:val="0"/>
        <w:keepLines w:val="0"/>
        <w:pageBreakBefore w:val="0"/>
        <w:widowControl/>
        <w:kinsoku/>
        <w:wordWrap/>
        <w:overflowPunct/>
        <w:topLinePunct w:val="0"/>
        <w:bidi w:val="0"/>
        <w:adjustRightInd/>
        <w:snapToGrid/>
        <w:spacing w:line="380" w:lineRule="exact"/>
        <w:ind w:firstLine="422" w:firstLineChars="200"/>
        <w:textAlignment w:val="auto"/>
        <w:rPr>
          <w:rFonts w:hint="eastAsia" w:ascii="宋体" w:hAnsi="宋体"/>
          <w:b/>
          <w:bCs/>
          <w:color w:val="auto"/>
          <w:sz w:val="21"/>
          <w:szCs w:val="21"/>
        </w:rPr>
      </w:pPr>
      <w:r>
        <w:rPr>
          <w:rFonts w:hint="eastAsia" w:ascii="宋体" w:hAnsi="宋体"/>
          <w:b/>
          <w:bCs/>
          <w:color w:val="auto"/>
          <w:sz w:val="21"/>
          <w:szCs w:val="21"/>
        </w:rPr>
        <w:t>有一项不符合评审标准的，其投标做无效标处理，不得进入详细评审。</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3.1.</w:t>
      </w:r>
      <w:r>
        <w:rPr>
          <w:rFonts w:hint="eastAsia" w:ascii="宋体" w:hAnsi="宋体"/>
          <w:color w:val="auto"/>
          <w:sz w:val="21"/>
          <w:szCs w:val="21"/>
          <w:lang w:val="en-US" w:eastAsia="zh-CN"/>
        </w:rPr>
        <w:t>3</w:t>
      </w:r>
      <w:r>
        <w:rPr>
          <w:rFonts w:hint="eastAsia" w:ascii="宋体" w:hAnsi="宋体"/>
          <w:color w:val="auto"/>
          <w:sz w:val="21"/>
          <w:szCs w:val="21"/>
        </w:rPr>
        <w:t>投标报价有算术错误的，评标委员会按以下原则对投标报价进行修正，修正的价格经投标人书面确认后具有约束力。投标人不接受修正价格的，其投标作废标处理。</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（1）投标文件中的大写金额与小写金额不一致的，以大写金额为准（但大写金额有明显错误的除外）；</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（2）总价金额与依据单价计算出的结果不一致的，以单价金额为准修正总价，但单价金额小数点有明显错误的除外。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adjustRightInd/>
        <w:snapToGrid/>
        <w:spacing w:line="380" w:lineRule="exact"/>
        <w:textAlignment w:val="auto"/>
        <w:rPr>
          <w:rFonts w:hint="eastAsia" w:ascii="宋体" w:hAnsi="宋体"/>
          <w:color w:val="auto"/>
          <w:sz w:val="21"/>
          <w:szCs w:val="21"/>
        </w:rPr>
      </w:pPr>
      <w:r>
        <w:rPr>
          <w:rFonts w:hint="eastAsia" w:ascii="宋体" w:hAnsi="宋体"/>
          <w:color w:val="auto"/>
          <w:sz w:val="21"/>
          <w:szCs w:val="21"/>
        </w:rPr>
        <w:t>3.2 详细评审</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3.2.1 评标委员会按本章详细评审内容规定的量化因素和分值进行打分，并计算出综合评</w:t>
      </w:r>
      <w:r>
        <w:rPr>
          <w:rFonts w:hint="eastAsia" w:ascii="宋体" w:hAnsi="宋体"/>
          <w:color w:val="auto"/>
          <w:sz w:val="21"/>
          <w:szCs w:val="21"/>
          <w:lang w:eastAsia="zh-CN"/>
        </w:rPr>
        <w:t>分</w:t>
      </w:r>
      <w:r>
        <w:rPr>
          <w:rFonts w:hint="eastAsia" w:ascii="宋体" w:hAnsi="宋体"/>
          <w:color w:val="auto"/>
          <w:sz w:val="21"/>
          <w:szCs w:val="21"/>
        </w:rPr>
        <w:t>得分。</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3.2.2 评分分值计算保留小数点后两位，小数点后第三位“四舍五入”。</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3.2.3 投标人的最终得分以全部评委打分的算术平均值为准。</w:t>
      </w:r>
    </w:p>
    <w:p>
      <w:pPr>
        <w:keepNext w:val="0"/>
        <w:keepLines w:val="0"/>
        <w:pageBreakBefore w:val="0"/>
        <w:widowControl/>
        <w:kinsoku/>
        <w:wordWrap/>
        <w:overflowPunct/>
        <w:topLinePunct w:val="0"/>
        <w:bidi w:val="0"/>
        <w:adjustRightInd/>
        <w:snapToGrid/>
        <w:spacing w:line="380" w:lineRule="exact"/>
        <w:textAlignment w:val="auto"/>
        <w:rPr>
          <w:rFonts w:hint="eastAsia" w:ascii="宋体" w:hAnsi="宋体" w:eastAsia="宋体"/>
          <w:color w:val="auto"/>
          <w:sz w:val="21"/>
          <w:szCs w:val="21"/>
        </w:rPr>
      </w:pPr>
      <w:r>
        <w:rPr>
          <w:rFonts w:hint="eastAsia" w:ascii="宋体" w:hAnsi="宋体" w:eastAsia="宋体"/>
          <w:color w:val="auto"/>
          <w:sz w:val="21"/>
          <w:szCs w:val="21"/>
        </w:rPr>
        <w:t>3.3 投标文件的澄清和补正</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3.3.2 澄清、说明和补正不得改变投标文件的实质性内容（算术性错误修正的除外）。投标人的书面澄清、说明和补正属于投标文件的组成部分。</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3.3.3 评标委员会对投标人提交的澄清、说明或补正有疑问的，可以要求投标人进一步澄清、说明或补正，直至满足评标委员会的要求。</w:t>
      </w:r>
    </w:p>
    <w:p>
      <w:pPr>
        <w:keepNext w:val="0"/>
        <w:keepLines w:val="0"/>
        <w:pageBreakBefore w:val="0"/>
        <w:widowControl/>
        <w:kinsoku/>
        <w:wordWrap/>
        <w:overflowPunct/>
        <w:topLinePunct w:val="0"/>
        <w:bidi w:val="0"/>
        <w:adjustRightInd/>
        <w:snapToGrid/>
        <w:spacing w:line="380" w:lineRule="exact"/>
        <w:textAlignment w:val="auto"/>
        <w:rPr>
          <w:rFonts w:hint="eastAsia" w:ascii="宋体" w:hAnsi="宋体" w:eastAsia="宋体"/>
          <w:color w:val="auto"/>
          <w:sz w:val="21"/>
          <w:szCs w:val="21"/>
        </w:rPr>
      </w:pPr>
      <w:r>
        <w:rPr>
          <w:rFonts w:hint="eastAsia" w:ascii="宋体" w:hAnsi="宋体" w:eastAsia="宋体"/>
          <w:color w:val="auto"/>
          <w:sz w:val="21"/>
          <w:szCs w:val="21"/>
        </w:rPr>
        <w:t>3.4 评标结果</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3.4.1评标委员会完成评标后，应当向</w:t>
      </w:r>
      <w:r>
        <w:rPr>
          <w:rFonts w:hint="eastAsia" w:ascii="宋体" w:hAnsi="宋体"/>
          <w:color w:val="auto"/>
          <w:sz w:val="21"/>
          <w:szCs w:val="21"/>
          <w:lang w:eastAsia="zh-CN"/>
        </w:rPr>
        <w:t>采购</w:t>
      </w:r>
      <w:r>
        <w:rPr>
          <w:rFonts w:hint="eastAsia" w:ascii="宋体" w:hAnsi="宋体"/>
          <w:color w:val="auto"/>
          <w:sz w:val="21"/>
          <w:szCs w:val="21"/>
        </w:rPr>
        <w:t>人提交书面评标报告。</w:t>
      </w:r>
    </w:p>
    <w:p>
      <w:pPr>
        <w:keepNext w:val="0"/>
        <w:keepLines w:val="0"/>
        <w:pageBreakBefore w:val="0"/>
        <w:widowControl/>
        <w:kinsoku/>
        <w:wordWrap/>
        <w:overflowPunct/>
        <w:topLinePunct w:val="0"/>
        <w:bidi w:val="0"/>
        <w:adjustRightInd/>
        <w:snapToGrid/>
        <w:spacing w:line="380" w:lineRule="exact"/>
        <w:ind w:firstLine="420" w:firstLineChars="200"/>
        <w:textAlignment w:val="auto"/>
        <w:rPr>
          <w:rFonts w:hint="eastAsia" w:ascii="宋体" w:hAnsi="宋体" w:eastAsia="宋体" w:cs="宋体"/>
          <w:b/>
          <w:color w:val="auto"/>
          <w:sz w:val="22"/>
          <w:szCs w:val="22"/>
        </w:rPr>
      </w:pPr>
      <w:r>
        <w:rPr>
          <w:rFonts w:hint="eastAsia" w:ascii="宋体" w:hAnsi="宋体"/>
          <w:color w:val="auto"/>
          <w:sz w:val="21"/>
          <w:szCs w:val="21"/>
        </w:rPr>
        <w:t>3.4.2评标结果在《河南省政府采购网》、《河南省电子招标投标公共服务平台》、《全国公共资源交易平台（河南省·</w:t>
      </w:r>
      <w:r>
        <w:rPr>
          <w:rFonts w:hint="eastAsia" w:ascii="宋体" w:hAnsi="宋体"/>
          <w:color w:val="auto"/>
          <w:sz w:val="21"/>
          <w:szCs w:val="21"/>
          <w:lang w:val="en-US" w:eastAsia="zh-CN"/>
        </w:rPr>
        <w:t>光山县</w:t>
      </w:r>
      <w:r>
        <w:rPr>
          <w:rFonts w:hint="eastAsia" w:ascii="宋体" w:hAnsi="宋体"/>
          <w:color w:val="auto"/>
          <w:sz w:val="21"/>
          <w:szCs w:val="21"/>
        </w:rPr>
        <w:t>）》</w:t>
      </w:r>
      <w:r>
        <w:rPr>
          <w:rFonts w:hint="eastAsia" w:ascii="宋体" w:hAnsi="宋体"/>
          <w:color w:val="auto"/>
          <w:sz w:val="21"/>
          <w:szCs w:val="21"/>
          <w:lang w:eastAsia="zh-CN"/>
        </w:rPr>
        <w:t>网上</w:t>
      </w:r>
      <w:r>
        <w:rPr>
          <w:rFonts w:hint="eastAsia" w:ascii="宋体" w:hAnsi="宋体"/>
          <w:color w:val="auto"/>
          <w:sz w:val="21"/>
          <w:szCs w:val="21"/>
        </w:rPr>
        <w:t>公示。</w:t>
      </w:r>
    </w:p>
    <w:p>
      <w:pPr>
        <w:autoSpaceDE w:val="0"/>
        <w:autoSpaceDN w:val="0"/>
        <w:spacing w:line="440" w:lineRule="exact"/>
        <w:ind w:left="0" w:leftChars="0" w:firstLine="0" w:firstLineChars="0"/>
        <w:rPr>
          <w:rFonts w:hint="eastAsia" w:ascii="宋体" w:hAnsi="宋体" w:eastAsia="宋体" w:cs="宋体"/>
          <w:b/>
          <w:color w:val="auto"/>
          <w:sz w:val="22"/>
          <w:szCs w:val="22"/>
        </w:rPr>
      </w:pPr>
      <w:r>
        <w:rPr>
          <w:rFonts w:hint="eastAsia" w:ascii="宋体" w:hAnsi="宋体" w:eastAsia="宋体" w:cs="宋体"/>
          <w:b/>
          <w:color w:val="auto"/>
          <w:sz w:val="22"/>
          <w:szCs w:val="22"/>
        </w:rPr>
        <w:t>附件：废标条件</w:t>
      </w:r>
    </w:p>
    <w:p>
      <w:pPr>
        <w:pStyle w:val="3"/>
        <w:keepNext/>
        <w:keepLines/>
        <w:pageBreakBefore w:val="0"/>
        <w:widowControl/>
        <w:kinsoku/>
        <w:wordWrap/>
        <w:overflowPunct/>
        <w:topLinePunct w:val="0"/>
        <w:autoSpaceDE/>
        <w:autoSpaceDN/>
        <w:bidi w:val="0"/>
        <w:adjustRightInd/>
        <w:snapToGrid/>
        <w:spacing w:after="0" w:line="400" w:lineRule="exact"/>
        <w:ind w:left="0" w:right="0" w:firstLine="0"/>
        <w:textAlignment w:val="auto"/>
        <w:rPr>
          <w:rFonts w:hint="eastAsia"/>
          <w:color w:val="auto"/>
        </w:rPr>
      </w:pPr>
      <w:bookmarkStart w:id="172" w:name="_Toc27147"/>
      <w:bookmarkStart w:id="173" w:name="_Toc21323"/>
      <w:bookmarkStart w:id="174" w:name="_Toc29186"/>
      <w:bookmarkStart w:id="175" w:name="_Toc10857"/>
      <w:r>
        <w:rPr>
          <w:rFonts w:hint="eastAsia"/>
          <w:color w:val="auto"/>
        </w:rPr>
        <w:t>废标条件</w:t>
      </w:r>
      <w:bookmarkEnd w:id="172"/>
      <w:bookmarkEnd w:id="173"/>
      <w:bookmarkEnd w:id="174"/>
      <w:bookmarkEnd w:id="175"/>
    </w:p>
    <w:p>
      <w:pPr>
        <w:spacing w:line="360" w:lineRule="auto"/>
        <w:ind w:firstLine="422" w:firstLineChars="200"/>
        <w:rPr>
          <w:rFonts w:hint="eastAsia" w:ascii="宋体" w:hAnsi="宋体"/>
          <w:b/>
          <w:color w:val="auto"/>
          <w:sz w:val="21"/>
          <w:szCs w:val="21"/>
        </w:rPr>
      </w:pPr>
    </w:p>
    <w:p>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pacing w:line="360" w:lineRule="auto"/>
        <w:rPr>
          <w:rFonts w:hint="eastAsia" w:ascii="宋体" w:hAnsi="宋体"/>
          <w:b/>
          <w:color w:val="auto"/>
          <w:sz w:val="22"/>
          <w:szCs w:val="22"/>
        </w:rPr>
      </w:pPr>
      <w:r>
        <w:rPr>
          <w:rFonts w:hint="eastAsia" w:ascii="宋体" w:hAnsi="宋体"/>
          <w:b/>
          <w:color w:val="auto"/>
          <w:sz w:val="22"/>
          <w:szCs w:val="22"/>
        </w:rPr>
        <w:t xml:space="preserve">    1.未通过第三章评标办法</w:t>
      </w:r>
      <w:r>
        <w:rPr>
          <w:rFonts w:hint="eastAsia" w:ascii="宋体" w:hAnsi="宋体"/>
          <w:b/>
          <w:color w:val="auto"/>
          <w:sz w:val="22"/>
          <w:szCs w:val="22"/>
          <w:lang w:eastAsia="zh-CN"/>
        </w:rPr>
        <w:t>资格</w:t>
      </w:r>
      <w:r>
        <w:rPr>
          <w:rFonts w:hint="eastAsia" w:ascii="宋体" w:hAnsi="宋体"/>
          <w:b/>
          <w:color w:val="auto"/>
          <w:sz w:val="22"/>
          <w:szCs w:val="22"/>
        </w:rPr>
        <w:t>评审、</w:t>
      </w:r>
      <w:r>
        <w:rPr>
          <w:rFonts w:hint="eastAsia" w:ascii="宋体" w:hAnsi="宋体"/>
          <w:b/>
          <w:color w:val="auto"/>
          <w:sz w:val="22"/>
          <w:szCs w:val="22"/>
          <w:lang w:eastAsia="zh-CN"/>
        </w:rPr>
        <w:t>符合</w:t>
      </w:r>
      <w:r>
        <w:rPr>
          <w:rFonts w:hint="eastAsia" w:ascii="宋体" w:hAnsi="宋体"/>
          <w:b/>
          <w:color w:val="auto"/>
          <w:sz w:val="22"/>
          <w:szCs w:val="22"/>
        </w:rPr>
        <w:t xml:space="preserve">性评审的； </w:t>
      </w:r>
    </w:p>
    <w:p>
      <w:pPr>
        <w:spacing w:line="360" w:lineRule="auto"/>
        <w:ind w:firstLine="221" w:firstLineChars="100"/>
        <w:rPr>
          <w:rFonts w:ascii="宋体" w:hAnsi="宋体"/>
          <w:b/>
          <w:color w:val="auto"/>
          <w:sz w:val="22"/>
          <w:szCs w:val="22"/>
        </w:rPr>
      </w:pPr>
      <w:r>
        <w:rPr>
          <w:rFonts w:hint="eastAsia" w:ascii="宋体" w:hAnsi="宋体"/>
          <w:b/>
          <w:color w:val="auto"/>
          <w:sz w:val="22"/>
          <w:szCs w:val="22"/>
        </w:rPr>
        <w:t xml:space="preserve">  </w:t>
      </w:r>
      <w:r>
        <w:rPr>
          <w:rFonts w:hint="eastAsia" w:ascii="宋体" w:hAnsi="宋体"/>
          <w:b/>
          <w:color w:val="auto"/>
          <w:sz w:val="22"/>
          <w:szCs w:val="22"/>
          <w:lang w:val="en-US" w:eastAsia="zh-CN"/>
        </w:rPr>
        <w:t>2</w:t>
      </w:r>
      <w:r>
        <w:rPr>
          <w:rFonts w:hint="eastAsia" w:ascii="宋体" w:hAnsi="宋体"/>
          <w:b/>
          <w:color w:val="auto"/>
          <w:sz w:val="22"/>
          <w:szCs w:val="22"/>
        </w:rPr>
        <w:t>.不按评标委员会要求澄清、说明或补正的；</w:t>
      </w:r>
    </w:p>
    <w:p>
      <w:pPr>
        <w:spacing w:line="360" w:lineRule="auto"/>
        <w:rPr>
          <w:rFonts w:hint="eastAsia" w:ascii="宋体" w:hAnsi="宋体"/>
          <w:b/>
          <w:color w:val="auto"/>
          <w:sz w:val="22"/>
          <w:szCs w:val="22"/>
        </w:rPr>
      </w:pPr>
      <w:r>
        <w:rPr>
          <w:rFonts w:hint="eastAsia" w:ascii="宋体" w:hAnsi="宋体"/>
          <w:b/>
          <w:color w:val="auto"/>
          <w:sz w:val="22"/>
          <w:szCs w:val="22"/>
        </w:rPr>
        <w:t xml:space="preserve">    </w:t>
      </w:r>
      <w:r>
        <w:rPr>
          <w:rFonts w:hint="eastAsia" w:ascii="宋体" w:hAnsi="宋体"/>
          <w:b/>
          <w:color w:val="auto"/>
          <w:sz w:val="22"/>
          <w:szCs w:val="22"/>
          <w:lang w:val="en-US" w:eastAsia="zh-CN"/>
        </w:rPr>
        <w:t>3</w:t>
      </w:r>
      <w:r>
        <w:rPr>
          <w:rFonts w:hint="eastAsia" w:ascii="宋体" w:hAnsi="宋体"/>
          <w:b/>
          <w:color w:val="auto"/>
          <w:sz w:val="22"/>
          <w:szCs w:val="22"/>
        </w:rPr>
        <w:t>.投标报价有算术性错误，投标人不接受修正价格的；</w:t>
      </w:r>
    </w:p>
    <w:p>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lang w:val="en-US" w:eastAsia="zh-CN"/>
        </w:rPr>
        <w:t>4</w:t>
      </w:r>
      <w:r>
        <w:rPr>
          <w:rFonts w:hint="eastAsia" w:ascii="宋体" w:hAnsi="宋体"/>
          <w:b/>
          <w:color w:val="auto"/>
          <w:sz w:val="22"/>
          <w:szCs w:val="22"/>
        </w:rPr>
        <w:t>.以他人的名义投标、以行贿手段谋取中标或者以其他弄虚作假方式投标的；</w:t>
      </w:r>
    </w:p>
    <w:p>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lang w:val="en-US" w:eastAsia="zh-CN"/>
        </w:rPr>
        <w:t>5</w:t>
      </w:r>
      <w:r>
        <w:rPr>
          <w:rFonts w:hint="eastAsia" w:ascii="宋体" w:hAnsi="宋体"/>
          <w:b/>
          <w:color w:val="auto"/>
          <w:sz w:val="22"/>
          <w:szCs w:val="22"/>
        </w:rPr>
        <w:t>.属于串（围）标行为的；</w:t>
      </w:r>
    </w:p>
    <w:p>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lang w:val="en-US" w:eastAsia="zh-CN"/>
        </w:rPr>
        <w:t>6</w:t>
      </w:r>
      <w:r>
        <w:rPr>
          <w:rFonts w:hint="eastAsia" w:ascii="宋体" w:hAnsi="宋体"/>
          <w:b/>
          <w:color w:val="auto"/>
          <w:sz w:val="22"/>
          <w:szCs w:val="22"/>
        </w:rPr>
        <w:t>.评标委员会认定投标人以低于成本报价竞标的；</w:t>
      </w:r>
    </w:p>
    <w:p>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lang w:val="en-US" w:eastAsia="zh-CN"/>
        </w:rPr>
        <w:t>7</w:t>
      </w:r>
      <w:r>
        <w:rPr>
          <w:rFonts w:hint="eastAsia" w:ascii="宋体" w:hAnsi="宋体"/>
          <w:b/>
          <w:color w:val="auto"/>
          <w:sz w:val="22"/>
          <w:szCs w:val="22"/>
        </w:rPr>
        <w:t>．明显不符合技术规格、技术标准的要求；</w:t>
      </w:r>
    </w:p>
    <w:p>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lang w:val="en-US" w:eastAsia="zh-CN"/>
        </w:rPr>
        <w:t>8</w:t>
      </w:r>
      <w:r>
        <w:rPr>
          <w:rFonts w:hint="eastAsia" w:ascii="宋体" w:hAnsi="宋体"/>
          <w:b/>
          <w:color w:val="auto"/>
          <w:sz w:val="22"/>
          <w:szCs w:val="22"/>
        </w:rPr>
        <w:t>.不具备招标文件中规定的资格要求的；</w:t>
      </w:r>
    </w:p>
    <w:p>
      <w:pPr>
        <w:pStyle w:val="32"/>
        <w:rPr>
          <w:rFonts w:hint="default" w:eastAsia="宋体"/>
          <w:color w:val="auto"/>
          <w:sz w:val="28"/>
          <w:szCs w:val="24"/>
          <w:lang w:val="en-US" w:eastAsia="zh-CN"/>
        </w:rPr>
      </w:pPr>
      <w:r>
        <w:rPr>
          <w:rFonts w:hint="eastAsia" w:ascii="宋体" w:hAnsi="宋体"/>
          <w:b/>
          <w:color w:val="auto"/>
          <w:sz w:val="22"/>
          <w:szCs w:val="22"/>
          <w:lang w:val="en-US" w:eastAsia="zh-CN"/>
        </w:rPr>
        <w:t xml:space="preserve">  9.</w:t>
      </w:r>
      <w:r>
        <w:rPr>
          <w:rFonts w:hint="eastAsia" w:ascii="宋体" w:hAnsi="宋体" w:eastAsia="宋体" w:cs="宋体"/>
          <w:b/>
          <w:bCs/>
          <w:color w:val="auto"/>
          <w:sz w:val="22"/>
          <w:szCs w:val="22"/>
          <w:lang w:val="en-US" w:eastAsia="zh-CN"/>
        </w:rPr>
        <w:t>文件制作机器码、文件创建标识码有相同的；</w:t>
      </w:r>
    </w:p>
    <w:p>
      <w:pPr>
        <w:spacing w:line="360" w:lineRule="auto"/>
        <w:ind w:firstLine="442" w:firstLineChars="200"/>
        <w:rPr>
          <w:rFonts w:hint="eastAsia" w:ascii="宋体" w:hAnsi="宋体"/>
          <w:b/>
          <w:color w:val="auto"/>
          <w:sz w:val="22"/>
          <w:szCs w:val="22"/>
        </w:rPr>
      </w:pPr>
      <w:r>
        <w:rPr>
          <w:rFonts w:hint="eastAsia" w:ascii="宋体" w:hAnsi="宋体"/>
          <w:b/>
          <w:color w:val="auto"/>
          <w:sz w:val="22"/>
          <w:szCs w:val="22"/>
        </w:rPr>
        <w:t>10．不符合招标文件规定的其他实质性要求及相关法律、法规或规章规定可以废标的其他情形。</w:t>
      </w:r>
    </w:p>
    <w:p>
      <w:pPr>
        <w:pStyle w:val="2"/>
        <w:keepNext/>
        <w:keepLines/>
        <w:pageBreakBefore w:val="0"/>
        <w:widowControl/>
        <w:numPr>
          <w:ilvl w:val="0"/>
          <w:numId w:val="0"/>
        </w:numPr>
        <w:tabs>
          <w:tab w:val="left" w:pos="5760"/>
        </w:tabs>
        <w:kinsoku/>
        <w:wordWrap/>
        <w:overflowPunct/>
        <w:topLinePunct w:val="0"/>
        <w:autoSpaceDE/>
        <w:autoSpaceDN/>
        <w:bidi w:val="0"/>
        <w:adjustRightInd/>
        <w:snapToGrid/>
        <w:spacing w:line="240" w:lineRule="auto"/>
        <w:jc w:val="center"/>
        <w:textAlignment w:val="auto"/>
        <w:rPr>
          <w:rFonts w:hint="eastAsia"/>
          <w:color w:val="auto"/>
          <w:lang w:val="en-US" w:eastAsia="zh-CN"/>
        </w:rPr>
      </w:pPr>
      <w:bookmarkStart w:id="176" w:name="_Toc18938"/>
      <w:bookmarkStart w:id="177" w:name="_Toc503932583"/>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bidi w:val="0"/>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pStyle w:val="2"/>
        <w:keepNext/>
        <w:keepLines/>
        <w:pageBreakBefore w:val="0"/>
        <w:widowControl/>
        <w:numPr>
          <w:ilvl w:val="0"/>
          <w:numId w:val="0"/>
        </w:numPr>
        <w:tabs>
          <w:tab w:val="left" w:pos="5760"/>
        </w:tabs>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val="en-US" w:eastAsia="zh-CN"/>
        </w:rPr>
        <w:t>第四章   采购内容及要求</w:t>
      </w:r>
      <w:bookmarkEnd w:id="176"/>
    </w:p>
    <w:p>
      <w:pPr>
        <w:rPr>
          <w:rFonts w:hint="eastAsia"/>
          <w:color w:val="auto"/>
          <w:lang w:val="en-US" w:eastAsia="zh-CN"/>
        </w:rPr>
      </w:pPr>
    </w:p>
    <w:bookmarkEnd w:id="177"/>
    <w:p>
      <w:pPr>
        <w:keepNext w:val="0"/>
        <w:keepLines w:val="0"/>
        <w:pageBreakBefore w:val="0"/>
        <w:widowControl/>
        <w:kinsoku/>
        <w:wordWrap/>
        <w:overflowPunct/>
        <w:topLinePunct w:val="0"/>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bookmarkStart w:id="178" w:name="_Toc30955"/>
      <w:r>
        <w:rPr>
          <w:rFonts w:hint="eastAsia" w:ascii="宋体" w:hAnsi="宋体" w:eastAsia="宋体" w:cs="宋体"/>
          <w:b/>
          <w:bCs/>
          <w:color w:val="auto"/>
          <w:sz w:val="28"/>
          <w:szCs w:val="28"/>
          <w:highlight w:val="none"/>
        </w:rPr>
        <w:t>一、农业农村发展基本情况</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光山县位于河南省东南部，北临淮河，南依大别山，为鄂豫皖三省交界，35平方公里，下辖23个乡镇办事处，人口93.6万， 其中农村人口79.6万人，总面积138万亩。光山是农业大县，产粮大县，水稻、油菜、小麦种植面积197万亩。</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近年来，我县农业生产社会化服务组织快速发展，目前，全县共有农业社会化服务主体3242家，其中：市级以上社会化服务 示范组织31家；农民合作社2000余家；家庭农场3000余家；种</w:t>
      </w:r>
    </w:p>
    <w:p>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粮大户5000余户；托管经营服务面积153万余亩。</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县、乡两级农业技术服务体系健全，全县共有乡、村两级农 业技术员417名。县农业农村局现有高级职称人员21名，中级职称人员34名，能够成立专家团队，为项目实施提供技术保障。</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县委县政府对农业生产社会化服务项目实施工作高度重视，加大农业生产社会化服务组织的培育工作，鼓励农民专业合作社、 家庭农场、农业企业、专业大户等发挥自身优势，因地制宜开展 生产托管服务，以大宗农产品全程托管、关键环节托管为主导，  加大生产托管支持力度，切实引导小农户进入托管市场，提高全 县生产托管覆盖面。促进我县水稻等粮食主导产业发展，增强粮 食综合生产能力，提高农业农村经济效益，带动农民群众增收致富。</w:t>
      </w:r>
    </w:p>
    <w:p>
      <w:pPr>
        <w:keepNext w:val="0"/>
        <w:keepLines w:val="0"/>
        <w:pageBreakBefore w:val="0"/>
        <w:widowControl/>
        <w:kinsoku/>
        <w:wordWrap/>
        <w:overflowPunct/>
        <w:topLinePunct w:val="0"/>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二、项目目标</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通过项目实施，促进全县农业社会化服务体系进一步完善，多种形式的适度规模经营进一步发展，更好地解决“谁来种地” 和“如何种好地”、保障重要农产品有效供给、促进小农户与现代农业有机衔接，引导小农户广泛接受专业化标准化社会化服务， 努力培育主体多元、竞争充分的农业社会化服务市场，着力推进 服务规模经营和绿色高效农业生产方式，不断提高农业综合效益和竞争力。</w:t>
      </w:r>
    </w:p>
    <w:p>
      <w:pPr>
        <w:keepNext w:val="0"/>
        <w:keepLines w:val="0"/>
        <w:pageBreakBefore w:val="0"/>
        <w:widowControl/>
        <w:kinsoku/>
        <w:wordWrap/>
        <w:overflowPunct/>
        <w:topLinePunct w:val="0"/>
        <w:bidi w:val="0"/>
        <w:adjustRightInd/>
        <w:snapToGrid/>
        <w:spacing w:line="360" w:lineRule="auto"/>
        <w:ind w:firstLine="56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三 、项目实施内容</w:t>
      </w:r>
    </w:p>
    <w:p>
      <w:pPr>
        <w:keepNext w:val="0"/>
        <w:keepLines w:val="0"/>
        <w:pageBreakBefore w:val="0"/>
        <w:widowControl/>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(一)服务产业、区域和关键环节</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1.项目主导产业。实施农业生产社会化服务项目的主导产业为水稻、油菜、小麦等粮食作物。</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服务区域。光山全域，鼓励光山本土服务主体跨区到县外、市外、省外开展服务。</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3.项目支持环节。我县把提升水稻、油菜、小麦作物生产效益作为支持开展农业社会化服务项目的目标，以支持农业生产托 管等服务带动规模经营为重点，因地制宜选择农业生产关键且薄弱，单个农户做不了、做不好、不愿做的如下环节进行支持：</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(1)旋耕、深耕；</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(2)机插、机播；</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(3)机收；</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(4)延伸环节：与机插秧一体化服务的工厂化或大棚育秧，与</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机收一体化的秸杆还田。单环节的育秧及秸杆还田不予支持。</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每个支持的环节都必须使用现代农业技术。</w:t>
      </w:r>
    </w:p>
    <w:p>
      <w:pPr>
        <w:keepNext w:val="0"/>
        <w:keepLines w:val="0"/>
        <w:pageBreakBefore w:val="0"/>
        <w:widowControl/>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(二)服务标准</w:t>
      </w:r>
    </w:p>
    <w:p>
      <w:pPr>
        <w:keepNext w:val="0"/>
        <w:keepLines w:val="0"/>
        <w:pageBreakBefore w:val="0"/>
        <w:widowControl/>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1.承担农业生产社会化服务的服务组织应具备的标准</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按照“公开、公平、公正”原则，采取公开招标或评选的方式，择优录用有一定规模的农业社会化服务组织作为承接项目实施主体。承接项目实施的社会服务主体应具备以下条件：</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(1)依法注册的农业社会化服务组织，包括家庭农场、农民合作社、农村集体经济组织、农业社会化服务公司等各类农业社会化服务经营主体，实现以项目实施带动农业社会化服务组织的高质量发展。</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接项目实施的社会服务主体应有一定的社会化服务经验，原则上从事社会化服务达两年以上，被认定为市级以上(含市级)农业社会化服务示范组织、农民合作社示范社、农业产业化龙头企业、家庭农场等。其它愿意承担社会化服务的组织，需提供国家认可的相应资质。</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(3)拥有与农业社会化服务内容、服务能力相匹配的专业技术人员、场地、专业农业机械和设备等，拖拉机、旋耕机、收割机及其它农业机械设备等5台套以上。</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(4)依法具有独立承担民事责任资格，组织机构完善，具有独立、健全的财务管理、会计核算和资产管理制度，无违法违规等不良社会记录，在农民群众中享有良好的社会信誉。</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项目作业量统计，现行行业发展中，可以安装相关电子监测终端设备对作业量统计的服务环节，须安装相关设备，愿意接受社会化服务行业管理部门和项目乡镇、村的监管，并且按照项目要求提供所需要条件。</w:t>
      </w:r>
    </w:p>
    <w:p>
      <w:pPr>
        <w:keepNext w:val="0"/>
        <w:keepLines w:val="0"/>
        <w:pageBreakBefore w:val="0"/>
        <w:widowControl/>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2.服务作业标准</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各环节服务作业标准均按高于国家现有技术操作规程和行业标准执行，同时达到如下要求：</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(1)旋耕、深耕：旋耕达到平、齐、碎、净、实等标准，确保苗齐、苗匀、苗壮。深耕：小麦、油菜在25cm 以上，打破犁 底层，耕作均为无漏耕现象，达到疏松土壤，加深耕作层，增强土壤蓄水保肥能力。</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(2)机插机播：械插秧的标准为适、密、浅、正、直、匀、 满、扶8字标准；油菜机播为土壤内2～3厘米处，精度和平整度 为±2厘米，间距4～6厘米，数量5苗/米；小麦机播为宽幅匀播、宽窄行播种、缩距匀播等播种方式；旱作区示范推广免耕沟播；稻茬麦区推广灭茬免耕带旋播种，播种深度3～5cm, 并做到行距一致、播量准确、深浅一致、不漏播、不重播。提供机插秧与水 稻工厂化、大棚育秧一体化服务的：克服低温和高温湿热对作物 的风险，能保证提前或滞后一周左右插秧的需要，杜绝白化苗、青枯死苗。</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机收及秸杆还田：水稻留茬高度不超过15厘米。不同机型总损失率应小于2.5%～3%。油菜机收留茬高度不超过10厘米，损失率在8%以下。小麦机收留茬高度不超过10厘米损失率小于2%.秸杆返田，合格粉碎长度：水稻秸杆&lt;15cm,小麦秸杆≤10.6cm)、 油菜秸杆&lt;10cm。</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以上标准与国家法定标准不一致的，以国家法定标准为准。</w:t>
      </w:r>
    </w:p>
    <w:p>
      <w:pPr>
        <w:keepNext w:val="0"/>
        <w:keepLines w:val="0"/>
        <w:pageBreakBefore w:val="0"/>
        <w:widowControl/>
        <w:kinsoku/>
        <w:wordWrap/>
        <w:overflowPunct/>
        <w:topLinePunct w:val="0"/>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3.补助标准</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按照《河南省2024年农业社会化服务项目实施方案》要求， 财政补助占服务价格的比例不超过30%、单季作物亩均补助金额不超过100元。为种粮大户、家庭农场、农业企业等提供社会化服务的，单个生产主体的年补助总额不超过10万元，服务小农户的资金或面积补助占比应高于60%。项目实施面积核算由耕、种、 防、收各环节服务面积按照综合托管系数加权计算得出，计算公式为</w:t>
      </w:r>
      <w:r>
        <w:rPr>
          <w:rFonts w:hint="eastAsia" w:ascii="宋体" w:hAnsi="宋体" w:eastAsia="宋体" w:cs="宋体"/>
          <w:b/>
          <w:bCs/>
          <w:color w:val="auto"/>
          <w:sz w:val="24"/>
          <w:szCs w:val="24"/>
          <w:highlight w:val="none"/>
        </w:rPr>
        <w:t>A=0.36A₁+0.27A₂+0.1A₃+0.27A₄(A</w:t>
      </w:r>
      <w:r>
        <w:rPr>
          <w:rFonts w:hint="eastAsia" w:ascii="宋体" w:hAnsi="宋体" w:eastAsia="宋体" w:cs="宋体"/>
          <w:color w:val="auto"/>
          <w:sz w:val="24"/>
          <w:szCs w:val="24"/>
          <w:highlight w:val="none"/>
        </w:rPr>
        <w:t>为农业生产全程托管服务面积，</w:t>
      </w:r>
      <w:r>
        <w:rPr>
          <w:rFonts w:hint="eastAsia" w:ascii="宋体" w:hAnsi="宋体" w:eastAsia="宋体" w:cs="宋体"/>
          <w:b/>
          <w:bCs/>
          <w:color w:val="auto"/>
          <w:sz w:val="24"/>
          <w:szCs w:val="24"/>
          <w:highlight w:val="none"/>
        </w:rPr>
        <w:t>A₁ 、A₂ 、A₃ 、A₄</w:t>
      </w:r>
      <w:r>
        <w:rPr>
          <w:rFonts w:hint="eastAsia" w:ascii="宋体" w:hAnsi="宋体" w:eastAsia="宋体" w:cs="宋体"/>
          <w:color w:val="auto"/>
          <w:sz w:val="24"/>
          <w:szCs w:val="24"/>
          <w:highlight w:val="none"/>
        </w:rPr>
        <w:t xml:space="preserve"> 分别为耕、种、防、收各环节托管服务面积。)</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参照2023年光山县农业生产社会化服务过程中水稻、油菜、小麦旋耕、深耕、育秧、机械插秧、机播、收割各环节按照市场价格测算：旋耕作业服务费市场均价为120~140元/亩；育秧和机 械插秧作业服务费市场均价为200~220元/亩；机播作业服务费市场均价为45~60元/亩；收割作业服务费市场均价为65~85元/亩； 秸杆还田作业服务费市场均价为20~40元/亩(2024年价格根据市场调整)。</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充分考虑光山县域丘陵地貌占比重，服务成本高的客观因素，按照财政补助占服务价格的比例不超过30%的要求确定：旋耕、深耕补助标准每亩不高于35元；机插补助标准每亩不高于40元，机插秧与工厂化育秧及大棚育秧一体化服务的，两项合计补助标准每亩不高45元；机播补助标准每亩不高于13元；机收补助标准每亩不高于12元，与秸杆还田一体化服务的，两项合计补助标准每亩不高于17元。单季作物每亩补助标准不高于97元</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项目实施财政支持价格最终以招标采购价格或价格听证会、询价等方式确定的价格为准。</w:t>
      </w:r>
    </w:p>
    <w:p>
      <w:pPr>
        <w:keepNext w:val="0"/>
        <w:keepLines w:val="0"/>
        <w:pageBreakBefore w:val="0"/>
        <w:widowControl/>
        <w:kinsoku/>
        <w:wordWrap/>
        <w:overflowPunct/>
        <w:topLinePunct w:val="0"/>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4.确认作业面积</w:t>
      </w:r>
      <w:r>
        <w:rPr>
          <w:rFonts w:hint="eastAsia" w:ascii="宋体" w:hAnsi="宋体" w:eastAsia="宋体" w:cs="宋体"/>
          <w:color w:val="auto"/>
          <w:sz w:val="24"/>
          <w:szCs w:val="24"/>
          <w:highlight w:val="none"/>
        </w:rPr>
        <w:t>。利用信息化手段进行监测，在机耕、机插、 机播、机收及秸杆还田等环节作业机械要求安装监测终端设备，能装尽装，监测数据作为项目实施作业面积的主要依据，不能安装监测终端设备的，服务主体要提供其它科学计量依据。所有服务环节都必须提供作业相关证明资料，以备验收存档。本年度该项目实施区域不能与相同类项目重复。</w:t>
      </w:r>
    </w:p>
    <w:p>
      <w:pPr>
        <w:keepNext w:val="0"/>
        <w:keepLines w:val="0"/>
        <w:pageBreakBefore w:val="0"/>
        <w:widowControl/>
        <w:kinsoku/>
        <w:wordWrap/>
        <w:overflowPunct/>
        <w:topLinePunct w:val="0"/>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5.项目补助方式</w:t>
      </w:r>
      <w:r>
        <w:rPr>
          <w:rFonts w:hint="eastAsia" w:ascii="宋体" w:hAnsi="宋体" w:eastAsia="宋体" w:cs="宋体"/>
          <w:color w:val="auto"/>
          <w:sz w:val="24"/>
          <w:szCs w:val="24"/>
          <w:highlight w:val="none"/>
        </w:rPr>
        <w:t>。 中标或评选产生的服务主体必须与县农业农村局签订《项目合同书》后方可开展相关社会化服务作业。中标或评选产生的服务主体开展服务作业前，必须按照农业农村部农业生产托管服务合同示范文本与项目村、服务对象签订《农业生产托管服务合同》。服务合同要明确服务地块、服务面积、服务内容、作业时间、质量要求、收费标准、补助标准、质检验收合规责任等内容。项目实施完毕并经项目村核实无误签字盖章确认，上报乡镇分管领导及乡镇长签字盖章后，由项目乡镇汇总上报，县农业农村局根据服务合同实际作业量核算汇总，签字盖章后，向县财政局申报拨付补助资金。</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补助资金根据作业面积和作业标准，按照“先服务后补助、 先公示后兑现”的方式，经验收合格后按照补助标准拨付给实施项目的社会化服务作业组织。</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充分发挥村集体经济组织居间协调作用，因不在家等原因， 小农户自愿出具书面委托书，可委托村集体经济组织代签合同、代签作业面积完成单等。</w:t>
      </w:r>
    </w:p>
    <w:p>
      <w:pPr>
        <w:keepNext w:val="0"/>
        <w:keepLines w:val="0"/>
        <w:pageBreakBefore w:val="0"/>
        <w:widowControl/>
        <w:tabs>
          <w:tab w:val="left" w:pos="4860"/>
        </w:tabs>
        <w:kinsoku/>
        <w:overflowPunct/>
        <w:topLinePunct w:val="0"/>
        <w:autoSpaceDE/>
        <w:autoSpaceDN/>
        <w:bidi w:val="0"/>
        <w:adjustRightInd/>
        <w:snapToGrid/>
        <w:spacing w:line="440" w:lineRule="exact"/>
        <w:ind w:left="0" w:leftChars="0" w:right="0" w:rightChars="0" w:firstLine="422" w:firstLineChars="150"/>
        <w:textAlignment w:val="auto"/>
        <w:rPr>
          <w:rFonts w:hint="eastAsia" w:ascii="宋体" w:hAnsi="宋体" w:eastAsia="宋体"/>
          <w:bCs/>
          <w:color w:val="auto"/>
          <w:szCs w:val="24"/>
          <w:lang w:eastAsia="zh-CN"/>
        </w:rPr>
      </w:pPr>
      <w:r>
        <w:rPr>
          <w:rFonts w:hint="eastAsia" w:ascii="宋体" w:hAnsi="宋体" w:eastAsia="宋体" w:cs="宋体"/>
          <w:b/>
          <w:bCs/>
          <w:color w:val="auto"/>
          <w:sz w:val="28"/>
          <w:szCs w:val="28"/>
          <w:highlight w:val="none"/>
          <w:lang w:eastAsia="zh-CN"/>
        </w:rPr>
        <w:t>四、标段划分</w:t>
      </w:r>
    </w:p>
    <w:p>
      <w:pPr>
        <w:keepNext w:val="0"/>
        <w:keepLines w:val="0"/>
        <w:pageBreakBefore w:val="0"/>
        <w:widowControl/>
        <w:tabs>
          <w:tab w:val="left" w:pos="4860"/>
        </w:tabs>
        <w:kinsoku/>
        <w:overflowPunct/>
        <w:topLinePunct w:val="0"/>
        <w:autoSpaceDE/>
        <w:autoSpaceDN/>
        <w:bidi w:val="0"/>
        <w:adjustRightInd/>
        <w:snapToGrid/>
        <w:spacing w:line="440" w:lineRule="exact"/>
        <w:ind w:left="0" w:leftChars="0" w:right="0" w:rightChars="0" w:firstLine="360" w:firstLineChars="150"/>
        <w:textAlignment w:val="auto"/>
        <w:rPr>
          <w:rFonts w:hint="default" w:ascii="宋体" w:hAnsi="宋体"/>
          <w:bCs/>
          <w:color w:val="auto"/>
          <w:szCs w:val="24"/>
          <w:lang w:val="en-US" w:eastAsia="zh-CN"/>
        </w:rPr>
      </w:pPr>
      <w:r>
        <w:rPr>
          <w:rFonts w:hint="eastAsia" w:ascii="宋体" w:hAnsi="宋体"/>
          <w:bCs/>
          <w:color w:val="auto"/>
          <w:szCs w:val="24"/>
        </w:rPr>
        <w:t>最高限价：</w:t>
      </w:r>
      <w:r>
        <w:rPr>
          <w:rFonts w:hint="eastAsia" w:ascii="宋体" w:hAnsi="宋体"/>
          <w:bCs/>
          <w:color w:val="auto"/>
          <w:szCs w:val="24"/>
          <w:lang w:eastAsia="zh-CN"/>
        </w:rPr>
        <w:t>918</w:t>
      </w:r>
      <w:r>
        <w:rPr>
          <w:rFonts w:hint="eastAsia" w:ascii="宋体" w:hAnsi="宋体"/>
          <w:bCs/>
          <w:color w:val="auto"/>
          <w:szCs w:val="24"/>
          <w:lang w:val="en-US" w:eastAsia="zh-CN"/>
        </w:rPr>
        <w:t>万元</w:t>
      </w:r>
    </w:p>
    <w:tbl>
      <w:tblPr>
        <w:tblStyle w:val="34"/>
        <w:tblpPr w:leftFromText="180" w:rightFromText="180" w:vertAnchor="text" w:horzAnchor="page" w:tblpX="1635" w:tblpY="626"/>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3158"/>
        <w:gridCol w:w="2281"/>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b/>
                <w:bCs/>
                <w:color w:val="auto"/>
                <w:vertAlign w:val="baseline"/>
                <w:lang w:val="en-US" w:eastAsia="zh-CN"/>
              </w:rPr>
            </w:pPr>
            <w:r>
              <w:rPr>
                <w:rFonts w:ascii="宋体" w:hAnsi="宋体" w:eastAsia="宋体" w:cs="宋体"/>
                <w:b/>
                <w:bCs/>
                <w:i w:val="0"/>
                <w:iCs w:val="0"/>
                <w:caps w:val="0"/>
                <w:color w:val="auto"/>
                <w:spacing w:val="0"/>
                <w:kern w:val="0"/>
                <w:sz w:val="21"/>
                <w:szCs w:val="21"/>
                <w:lang w:val="en-US" w:eastAsia="zh-CN" w:bidi="ar"/>
              </w:rPr>
              <w:t>序号</w:t>
            </w:r>
          </w:p>
        </w:tc>
        <w:tc>
          <w:tcPr>
            <w:tcW w:w="31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b/>
                <w:bCs/>
                <w:color w:val="auto"/>
                <w:vertAlign w:val="baseline"/>
                <w:lang w:val="en-US" w:eastAsia="zh-CN"/>
              </w:rPr>
            </w:pPr>
            <w:r>
              <w:rPr>
                <w:rFonts w:ascii="宋体" w:hAnsi="宋体" w:eastAsia="宋体" w:cs="宋体"/>
                <w:b/>
                <w:bCs/>
                <w:i w:val="0"/>
                <w:iCs w:val="0"/>
                <w:caps w:val="0"/>
                <w:color w:val="auto"/>
                <w:spacing w:val="0"/>
                <w:kern w:val="0"/>
                <w:sz w:val="21"/>
                <w:szCs w:val="21"/>
                <w:lang w:val="en-US" w:eastAsia="zh-CN" w:bidi="ar"/>
              </w:rPr>
              <w:t>包名称</w:t>
            </w:r>
          </w:p>
        </w:tc>
        <w:tc>
          <w:tcPr>
            <w:tcW w:w="2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b/>
                <w:bCs/>
                <w:color w:val="auto"/>
                <w:vertAlign w:val="baseline"/>
                <w:lang w:val="en-US" w:eastAsia="zh-CN"/>
              </w:rPr>
            </w:pPr>
            <w:r>
              <w:rPr>
                <w:rFonts w:ascii="宋体" w:hAnsi="宋体" w:eastAsia="宋体" w:cs="宋体"/>
                <w:b/>
                <w:bCs/>
                <w:i w:val="0"/>
                <w:iCs w:val="0"/>
                <w:caps w:val="0"/>
                <w:color w:val="auto"/>
                <w:spacing w:val="0"/>
                <w:kern w:val="0"/>
                <w:sz w:val="21"/>
                <w:szCs w:val="21"/>
                <w:lang w:val="en-US" w:eastAsia="zh-CN" w:bidi="ar"/>
              </w:rPr>
              <w:t>包预算（元）</w:t>
            </w:r>
          </w:p>
        </w:tc>
        <w:tc>
          <w:tcPr>
            <w:tcW w:w="2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120" w:leftChars="0" w:right="0" w:rightChars="0" w:hanging="120" w:hangingChars="57"/>
              <w:jc w:val="center"/>
              <w:textAlignment w:val="auto"/>
              <w:rPr>
                <w:rFonts w:hint="default"/>
                <w:b/>
                <w:bCs/>
                <w:color w:val="auto"/>
                <w:vertAlign w:val="baseline"/>
                <w:lang w:val="en-US" w:eastAsia="zh-CN"/>
              </w:rPr>
            </w:pPr>
            <w:r>
              <w:rPr>
                <w:rFonts w:ascii="宋体" w:hAnsi="宋体" w:eastAsia="宋体" w:cs="宋体"/>
                <w:b/>
                <w:bCs/>
                <w:i w:val="0"/>
                <w:iCs w:val="0"/>
                <w:caps w:val="0"/>
                <w:color w:val="auto"/>
                <w:spacing w:val="0"/>
                <w:kern w:val="0"/>
                <w:sz w:val="21"/>
                <w:szCs w:val="21"/>
                <w:lang w:val="en-US" w:eastAsia="zh-CN" w:bidi="ar"/>
              </w:rPr>
              <w:t>包最高限</w:t>
            </w:r>
            <w:r>
              <w:rPr>
                <w:rFonts w:hint="eastAsia" w:ascii="宋体" w:hAnsi="宋体" w:cs="宋体"/>
                <w:b/>
                <w:bCs/>
                <w:i w:val="0"/>
                <w:iCs w:val="0"/>
                <w:caps w:val="0"/>
                <w:color w:val="auto"/>
                <w:spacing w:val="0"/>
                <w:kern w:val="0"/>
                <w:sz w:val="21"/>
                <w:szCs w:val="21"/>
                <w:lang w:val="en-US" w:eastAsia="zh-CN" w:bidi="ar"/>
              </w:rPr>
              <w:t>价</w:t>
            </w:r>
            <w:r>
              <w:rPr>
                <w:rFonts w:ascii="宋体" w:hAnsi="宋体" w:eastAsia="宋体" w:cs="宋体"/>
                <w:b/>
                <w:bCs/>
                <w:i w:val="0"/>
                <w:iCs w:val="0"/>
                <w:caps w:val="0"/>
                <w:color w:val="auto"/>
                <w:spacing w:val="0"/>
                <w:kern w:val="0"/>
                <w:sz w:val="21"/>
                <w:szCs w:val="21"/>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2" w:type="dxa"/>
            <w:noWrap w:val="0"/>
            <w:vAlign w:val="center"/>
          </w:tcPr>
          <w:p>
            <w:pPr>
              <w:pStyle w:val="48"/>
              <w:keepNext w:val="0"/>
              <w:keepLines w:val="0"/>
              <w:pageBreakBefore w:val="0"/>
              <w:kinsoku/>
              <w:overflowPunct/>
              <w:bidi w:val="0"/>
              <w:spacing w:line="440" w:lineRule="exact"/>
              <w:ind w:left="0" w:leftChars="0"/>
              <w:jc w:val="center"/>
              <w:textAlignment w:val="auto"/>
              <w:rPr>
                <w:rFonts w:hint="default" w:ascii="宋体" w:hAnsi="宋体" w:eastAsia="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1</w:t>
            </w:r>
          </w:p>
        </w:tc>
        <w:tc>
          <w:tcPr>
            <w:tcW w:w="3158" w:type="dxa"/>
            <w:noWrap w:val="0"/>
            <w:vAlign w:val="center"/>
          </w:tcPr>
          <w:p>
            <w:pPr>
              <w:pStyle w:val="48"/>
              <w:keepNext w:val="0"/>
              <w:keepLines w:val="0"/>
              <w:pageBreakBefore w:val="0"/>
              <w:kinsoku/>
              <w:overflowPunct/>
              <w:bidi w:val="0"/>
              <w:spacing w:line="440" w:lineRule="exact"/>
              <w:ind w:left="840" w:leftChars="0" w:hanging="840" w:hangingChars="400"/>
              <w:jc w:val="both"/>
              <w:textAlignment w:val="auto"/>
              <w:rPr>
                <w:rFonts w:hint="default" w:ascii="宋体" w:hAnsi="宋体" w:eastAsia="宋体" w:cs="宋体"/>
                <w:bCs/>
                <w:color w:val="auto"/>
                <w:kern w:val="0"/>
                <w:sz w:val="24"/>
                <w:szCs w:val="24"/>
                <w:shd w:val="clear" w:color="auto" w:fill="FFFFFF"/>
                <w:lang w:val="en-US" w:eastAsia="zh-CN" w:bidi="ar-SA"/>
              </w:rPr>
            </w:pPr>
            <w:r>
              <w:rPr>
                <w:rFonts w:hint="eastAsia"/>
                <w:color w:val="auto"/>
                <w:lang w:val="en-US" w:eastAsia="zh-CN"/>
              </w:rPr>
              <w:t>2024年光山县农业生产社会服务项目一标段</w:t>
            </w:r>
          </w:p>
        </w:tc>
        <w:tc>
          <w:tcPr>
            <w:tcW w:w="2281" w:type="dxa"/>
            <w:noWrap w:val="0"/>
            <w:vAlign w:val="center"/>
          </w:tcPr>
          <w:p>
            <w:pPr>
              <w:pStyle w:val="48"/>
              <w:keepNext w:val="0"/>
              <w:keepLines w:val="0"/>
              <w:pageBreakBefore w:val="0"/>
              <w:kinsoku/>
              <w:overflowPunct/>
              <w:bidi w:val="0"/>
              <w:spacing w:line="440" w:lineRule="exact"/>
              <w:ind w:left="98" w:leftChars="0" w:hanging="98" w:hangingChars="41"/>
              <w:jc w:val="center"/>
              <w:textAlignment w:val="auto"/>
              <w:rPr>
                <w:rFonts w:hint="default" w:ascii="宋体" w:hAnsi="宋体" w:cs="宋体"/>
                <w:bCs/>
                <w:color w:val="auto"/>
                <w:kern w:val="0"/>
                <w:sz w:val="24"/>
                <w:szCs w:val="24"/>
                <w:shd w:val="clear" w:color="auto" w:fill="FFFFFF"/>
                <w:lang w:val="en-US" w:eastAsia="zh-CN" w:bidi="ar-SA"/>
              </w:rPr>
            </w:pPr>
            <w:r>
              <w:rPr>
                <w:rFonts w:hint="default" w:ascii="宋体" w:hAnsi="宋体" w:cs="宋体"/>
                <w:bCs/>
                <w:color w:val="auto"/>
                <w:kern w:val="0"/>
                <w:sz w:val="24"/>
                <w:szCs w:val="24"/>
                <w:shd w:val="clear" w:color="auto" w:fill="FFFFFF"/>
                <w:lang w:val="en-US" w:eastAsia="zh-CN" w:bidi="ar-SA"/>
              </w:rPr>
              <w:t>1400000</w:t>
            </w:r>
          </w:p>
        </w:tc>
        <w:tc>
          <w:tcPr>
            <w:tcW w:w="2737"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2" w:type="dxa"/>
            <w:noWrap w:val="0"/>
            <w:vAlign w:val="center"/>
          </w:tcPr>
          <w:p>
            <w:pPr>
              <w:pStyle w:val="48"/>
              <w:keepNext w:val="0"/>
              <w:keepLines w:val="0"/>
              <w:pageBreakBefore w:val="0"/>
              <w:kinsoku/>
              <w:overflowPunct/>
              <w:bidi w:val="0"/>
              <w:spacing w:line="440" w:lineRule="exact"/>
              <w:ind w:left="0" w:leftChars="0"/>
              <w:jc w:val="center"/>
              <w:textAlignment w:val="auto"/>
              <w:rPr>
                <w:rFonts w:hint="default"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2</w:t>
            </w:r>
          </w:p>
        </w:tc>
        <w:tc>
          <w:tcPr>
            <w:tcW w:w="3158"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eastAsia="宋体" w:cs="宋体"/>
                <w:bCs/>
                <w:color w:val="auto"/>
                <w:kern w:val="0"/>
                <w:sz w:val="24"/>
                <w:szCs w:val="24"/>
                <w:shd w:val="clear" w:color="auto" w:fill="FFFFFF"/>
                <w:lang w:val="en-US" w:eastAsia="zh-CN" w:bidi="ar-SA"/>
              </w:rPr>
            </w:pPr>
            <w:r>
              <w:rPr>
                <w:rFonts w:hint="eastAsia"/>
                <w:color w:val="auto"/>
              </w:rPr>
              <w:t>2024年光山县农业生产社会化服务项目</w:t>
            </w:r>
            <w:r>
              <w:rPr>
                <w:rFonts w:hint="eastAsia"/>
                <w:color w:val="auto"/>
                <w:lang w:eastAsia="zh-CN"/>
              </w:rPr>
              <w:t>二标段</w:t>
            </w:r>
          </w:p>
        </w:tc>
        <w:tc>
          <w:tcPr>
            <w:tcW w:w="2281" w:type="dxa"/>
            <w:noWrap w:val="0"/>
            <w:vAlign w:val="center"/>
          </w:tcPr>
          <w:p>
            <w:pPr>
              <w:pStyle w:val="48"/>
              <w:keepNext w:val="0"/>
              <w:keepLines w:val="0"/>
              <w:pageBreakBefore w:val="0"/>
              <w:kinsoku/>
              <w:overflowPunct/>
              <w:bidi w:val="0"/>
              <w:spacing w:line="440" w:lineRule="exact"/>
              <w:ind w:left="98" w:leftChars="0" w:hanging="98" w:hangingChars="41"/>
              <w:jc w:val="center"/>
              <w:textAlignment w:val="auto"/>
              <w:rPr>
                <w:rFonts w:hint="default" w:ascii="宋体" w:hAnsi="宋体" w:cs="宋体"/>
                <w:bCs/>
                <w:color w:val="auto"/>
                <w:kern w:val="0"/>
                <w:sz w:val="24"/>
                <w:szCs w:val="24"/>
                <w:shd w:val="clear" w:color="auto" w:fill="FFFFFF"/>
                <w:lang w:val="en-US" w:eastAsia="zh-CN" w:bidi="ar-SA"/>
              </w:rPr>
            </w:pPr>
            <w:r>
              <w:rPr>
                <w:rFonts w:hint="default" w:ascii="宋体" w:hAnsi="宋体" w:cs="宋体"/>
                <w:bCs/>
                <w:color w:val="auto"/>
                <w:kern w:val="0"/>
                <w:sz w:val="24"/>
                <w:szCs w:val="24"/>
                <w:shd w:val="clear" w:color="auto" w:fill="FFFFFF"/>
                <w:lang w:val="en-US" w:eastAsia="zh-CN" w:bidi="ar-SA"/>
              </w:rPr>
              <w:t>2700000</w:t>
            </w:r>
          </w:p>
        </w:tc>
        <w:tc>
          <w:tcPr>
            <w:tcW w:w="2737"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2" w:type="dxa"/>
            <w:noWrap w:val="0"/>
            <w:vAlign w:val="center"/>
          </w:tcPr>
          <w:p>
            <w:pPr>
              <w:pStyle w:val="48"/>
              <w:keepNext w:val="0"/>
              <w:keepLines w:val="0"/>
              <w:pageBreakBefore w:val="0"/>
              <w:kinsoku/>
              <w:overflowPunct/>
              <w:bidi w:val="0"/>
              <w:spacing w:line="440" w:lineRule="exact"/>
              <w:ind w:left="0" w:leftChars="0"/>
              <w:jc w:val="center"/>
              <w:textAlignment w:val="auto"/>
              <w:rPr>
                <w:rFonts w:hint="default"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3</w:t>
            </w:r>
          </w:p>
        </w:tc>
        <w:tc>
          <w:tcPr>
            <w:tcW w:w="3158"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eastAsia="宋体" w:cs="宋体"/>
                <w:bCs/>
                <w:color w:val="auto"/>
                <w:kern w:val="0"/>
                <w:sz w:val="24"/>
                <w:szCs w:val="24"/>
                <w:shd w:val="clear" w:color="auto" w:fill="FFFFFF"/>
                <w:lang w:val="en-US" w:eastAsia="zh-CN" w:bidi="ar-SA"/>
              </w:rPr>
            </w:pPr>
            <w:r>
              <w:rPr>
                <w:rFonts w:hint="eastAsia"/>
                <w:color w:val="auto"/>
              </w:rPr>
              <w:t>2024年光山县农业生产社会化服务项目</w:t>
            </w:r>
            <w:r>
              <w:rPr>
                <w:rFonts w:hint="eastAsia"/>
                <w:color w:val="auto"/>
                <w:lang w:eastAsia="zh-CN"/>
              </w:rPr>
              <w:t>三标段</w:t>
            </w:r>
          </w:p>
        </w:tc>
        <w:tc>
          <w:tcPr>
            <w:tcW w:w="2281" w:type="dxa"/>
            <w:noWrap w:val="0"/>
            <w:vAlign w:val="center"/>
          </w:tcPr>
          <w:p>
            <w:pPr>
              <w:pStyle w:val="48"/>
              <w:keepNext w:val="0"/>
              <w:keepLines w:val="0"/>
              <w:pageBreakBefore w:val="0"/>
              <w:kinsoku/>
              <w:overflowPunct/>
              <w:bidi w:val="0"/>
              <w:spacing w:line="440" w:lineRule="exact"/>
              <w:ind w:left="98" w:leftChars="0" w:hanging="98" w:hangingChars="41"/>
              <w:jc w:val="center"/>
              <w:textAlignment w:val="auto"/>
              <w:rPr>
                <w:rFonts w:hint="default" w:ascii="宋体" w:hAnsi="宋体" w:cs="宋体"/>
                <w:bCs/>
                <w:color w:val="auto"/>
                <w:kern w:val="0"/>
                <w:sz w:val="24"/>
                <w:szCs w:val="24"/>
                <w:shd w:val="clear" w:color="auto" w:fill="FFFFFF"/>
                <w:lang w:val="en-US" w:eastAsia="zh-CN" w:bidi="ar-SA"/>
              </w:rPr>
            </w:pPr>
            <w:r>
              <w:rPr>
                <w:rFonts w:hint="default" w:ascii="宋体" w:hAnsi="宋体" w:cs="宋体"/>
                <w:bCs/>
                <w:color w:val="auto"/>
                <w:kern w:val="0"/>
                <w:sz w:val="24"/>
                <w:szCs w:val="24"/>
                <w:shd w:val="clear" w:color="auto" w:fill="FFFFFF"/>
                <w:lang w:val="en-US" w:eastAsia="zh-CN" w:bidi="ar-SA"/>
              </w:rPr>
              <w:t>1400000</w:t>
            </w:r>
          </w:p>
        </w:tc>
        <w:tc>
          <w:tcPr>
            <w:tcW w:w="2737"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2" w:type="dxa"/>
            <w:noWrap w:val="0"/>
            <w:vAlign w:val="center"/>
          </w:tcPr>
          <w:p>
            <w:pPr>
              <w:pStyle w:val="48"/>
              <w:keepNext w:val="0"/>
              <w:keepLines w:val="0"/>
              <w:pageBreakBefore w:val="0"/>
              <w:kinsoku/>
              <w:overflowPunct/>
              <w:bidi w:val="0"/>
              <w:spacing w:line="440" w:lineRule="exact"/>
              <w:ind w:left="0" w:leftChars="0"/>
              <w:jc w:val="center"/>
              <w:textAlignment w:val="auto"/>
              <w:rPr>
                <w:rFonts w:hint="default"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4</w:t>
            </w:r>
          </w:p>
        </w:tc>
        <w:tc>
          <w:tcPr>
            <w:tcW w:w="3158"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eastAsia="宋体" w:cs="宋体"/>
                <w:bCs/>
                <w:color w:val="auto"/>
                <w:kern w:val="0"/>
                <w:sz w:val="24"/>
                <w:szCs w:val="24"/>
                <w:shd w:val="clear" w:color="auto" w:fill="FFFFFF"/>
                <w:lang w:val="en-US" w:eastAsia="zh-CN" w:bidi="ar-SA"/>
              </w:rPr>
            </w:pPr>
            <w:r>
              <w:rPr>
                <w:rFonts w:hint="eastAsia"/>
                <w:color w:val="auto"/>
              </w:rPr>
              <w:t>2024年光山县农业生产社会化服务项目</w:t>
            </w:r>
            <w:r>
              <w:rPr>
                <w:rFonts w:hint="eastAsia"/>
                <w:color w:val="auto"/>
                <w:lang w:eastAsia="zh-CN"/>
              </w:rPr>
              <w:t>四标段</w:t>
            </w:r>
          </w:p>
        </w:tc>
        <w:tc>
          <w:tcPr>
            <w:tcW w:w="2281" w:type="dxa"/>
            <w:noWrap w:val="0"/>
            <w:vAlign w:val="center"/>
          </w:tcPr>
          <w:p>
            <w:pPr>
              <w:pStyle w:val="48"/>
              <w:keepNext w:val="0"/>
              <w:keepLines w:val="0"/>
              <w:pageBreakBefore w:val="0"/>
              <w:kinsoku/>
              <w:overflowPunct/>
              <w:bidi w:val="0"/>
              <w:spacing w:line="440" w:lineRule="exact"/>
              <w:ind w:left="98" w:leftChars="0" w:hanging="98" w:hangingChars="41"/>
              <w:jc w:val="center"/>
              <w:textAlignment w:val="auto"/>
              <w:rPr>
                <w:rFonts w:hint="default" w:ascii="宋体" w:hAnsi="宋体" w:cs="宋体"/>
                <w:bCs/>
                <w:color w:val="auto"/>
                <w:kern w:val="0"/>
                <w:sz w:val="24"/>
                <w:szCs w:val="24"/>
                <w:shd w:val="clear" w:color="auto" w:fill="FFFFFF"/>
                <w:lang w:val="en-US" w:eastAsia="zh-CN" w:bidi="ar-SA"/>
              </w:rPr>
            </w:pPr>
            <w:r>
              <w:rPr>
                <w:rFonts w:hint="default" w:ascii="宋体" w:hAnsi="宋体" w:cs="宋体"/>
                <w:bCs/>
                <w:color w:val="auto"/>
                <w:kern w:val="0"/>
                <w:sz w:val="24"/>
                <w:szCs w:val="24"/>
                <w:shd w:val="clear" w:color="auto" w:fill="FFFFFF"/>
                <w:lang w:val="en-US" w:eastAsia="zh-CN" w:bidi="ar-SA"/>
              </w:rPr>
              <w:t>1400000</w:t>
            </w:r>
          </w:p>
        </w:tc>
        <w:tc>
          <w:tcPr>
            <w:tcW w:w="2737"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2" w:type="dxa"/>
            <w:noWrap w:val="0"/>
            <w:vAlign w:val="center"/>
          </w:tcPr>
          <w:p>
            <w:pPr>
              <w:pStyle w:val="48"/>
              <w:keepNext w:val="0"/>
              <w:keepLines w:val="0"/>
              <w:pageBreakBefore w:val="0"/>
              <w:kinsoku/>
              <w:overflowPunct/>
              <w:bidi w:val="0"/>
              <w:spacing w:line="440" w:lineRule="exact"/>
              <w:ind w:left="0" w:leftChars="0"/>
              <w:jc w:val="center"/>
              <w:textAlignment w:val="auto"/>
              <w:rPr>
                <w:rFonts w:hint="default"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5</w:t>
            </w:r>
          </w:p>
        </w:tc>
        <w:tc>
          <w:tcPr>
            <w:tcW w:w="3158"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eastAsia="宋体" w:cs="宋体"/>
                <w:bCs/>
                <w:color w:val="auto"/>
                <w:kern w:val="0"/>
                <w:sz w:val="24"/>
                <w:szCs w:val="24"/>
                <w:shd w:val="clear" w:color="auto" w:fill="FFFFFF"/>
                <w:lang w:val="en-US" w:eastAsia="zh-CN" w:bidi="ar-SA"/>
              </w:rPr>
            </w:pPr>
            <w:r>
              <w:rPr>
                <w:rFonts w:hint="eastAsia"/>
                <w:color w:val="auto"/>
              </w:rPr>
              <w:t>2024年光山县农业生产社会化服务项目</w:t>
            </w:r>
            <w:r>
              <w:rPr>
                <w:rFonts w:hint="eastAsia"/>
                <w:color w:val="auto"/>
                <w:lang w:eastAsia="zh-CN"/>
              </w:rPr>
              <w:t>五标段</w:t>
            </w:r>
          </w:p>
        </w:tc>
        <w:tc>
          <w:tcPr>
            <w:tcW w:w="2281" w:type="dxa"/>
            <w:noWrap w:val="0"/>
            <w:vAlign w:val="center"/>
          </w:tcPr>
          <w:p>
            <w:pPr>
              <w:pStyle w:val="48"/>
              <w:keepNext w:val="0"/>
              <w:keepLines w:val="0"/>
              <w:pageBreakBefore w:val="0"/>
              <w:kinsoku/>
              <w:overflowPunct/>
              <w:bidi w:val="0"/>
              <w:spacing w:line="440" w:lineRule="exact"/>
              <w:ind w:left="98" w:leftChars="0" w:hanging="98" w:hangingChars="41"/>
              <w:jc w:val="center"/>
              <w:textAlignment w:val="auto"/>
              <w:rPr>
                <w:rFonts w:hint="default" w:ascii="宋体" w:hAnsi="宋体" w:cs="宋体"/>
                <w:bCs/>
                <w:color w:val="auto"/>
                <w:kern w:val="0"/>
                <w:sz w:val="24"/>
                <w:szCs w:val="24"/>
                <w:shd w:val="clear" w:color="auto" w:fill="FFFFFF"/>
                <w:lang w:val="en-US" w:eastAsia="zh-CN" w:bidi="ar-SA"/>
              </w:rPr>
            </w:pPr>
            <w:r>
              <w:rPr>
                <w:rFonts w:hint="default" w:ascii="宋体" w:hAnsi="宋体" w:cs="宋体"/>
                <w:bCs/>
                <w:color w:val="auto"/>
                <w:kern w:val="0"/>
                <w:sz w:val="24"/>
                <w:szCs w:val="24"/>
                <w:shd w:val="clear" w:color="auto" w:fill="FFFFFF"/>
                <w:lang w:val="en-US" w:eastAsia="zh-CN" w:bidi="ar-SA"/>
              </w:rPr>
              <w:t>2287500</w:t>
            </w:r>
          </w:p>
        </w:tc>
        <w:tc>
          <w:tcPr>
            <w:tcW w:w="2737" w:type="dxa"/>
            <w:noWrap w:val="0"/>
            <w:vAlign w:val="center"/>
          </w:tcPr>
          <w:p>
            <w:pPr>
              <w:pStyle w:val="48"/>
              <w:keepNext w:val="0"/>
              <w:keepLines w:val="0"/>
              <w:pageBreakBefore w:val="0"/>
              <w:kinsoku/>
              <w:overflowPunct/>
              <w:bidi w:val="0"/>
              <w:spacing w:line="440" w:lineRule="exact"/>
              <w:ind w:left="0" w:leftChars="0"/>
              <w:jc w:val="center"/>
              <w:textAlignment w:val="auto"/>
              <w:rPr>
                <w:rFonts w:hint="eastAsia" w:ascii="宋体" w:hAnsi="宋体" w:cs="宋体"/>
                <w:bCs/>
                <w:color w:val="auto"/>
                <w:kern w:val="0"/>
                <w:sz w:val="24"/>
                <w:szCs w:val="24"/>
                <w:shd w:val="clear" w:color="auto" w:fill="FFFFFF"/>
                <w:lang w:val="en-US" w:eastAsia="zh-CN" w:bidi="ar-SA"/>
              </w:rPr>
            </w:pPr>
            <w:r>
              <w:rPr>
                <w:rFonts w:hint="eastAsia" w:ascii="宋体" w:hAnsi="宋体" w:cs="宋体"/>
                <w:bCs/>
                <w:color w:val="auto"/>
                <w:kern w:val="0"/>
                <w:sz w:val="24"/>
                <w:szCs w:val="24"/>
                <w:shd w:val="clear" w:color="auto" w:fill="FFFFFF"/>
                <w:lang w:val="en-US" w:eastAsia="zh-CN" w:bidi="ar-SA"/>
              </w:rPr>
              <w:t>2280000</w:t>
            </w:r>
          </w:p>
        </w:tc>
      </w:tr>
    </w:tbl>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采购内容：2024年光山县农业社会化服务项目，全县项目实施总面积(加权平均)约 10.05万亩。光山县域内:水稻旋耕、深耕、机插、工厂化育秧及收割服务，小麦和油菜旋耕、深耕、机播、及收割服务服务，具体要求及标准详见招标文件第五章“采购需求”。</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1包:斛山乡、白雀镇、砖桥镇、泼河镇、槐店乡，作业环节为水稻旋耕、深耕、机插、工厂化育秧及收割服务，面积((加权平均)共约1.51万亩。</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2包:仙居、马畈、寨河、孙铺、十里，作业环节为水稻旋耕、深耕、机插、工厂化育秧及收割服务，面积(加权平均)共约3.01万亩。</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3 包:晏河乡、文殊乡、南向店乡、北向店乡、罗陈乡、弦山办事处，作业环节为水稻旋耕、深耕、机插、工厂化育秧及收割服务，面积(加权平均)共约1.51万亩。</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4包:斛山乡、白雀镇、砖桥镇、晏河乡、文殊乡、南向店乡、北向店乡、罗陈乡、弦山办事处，作业环节为小麦和油菜旋耕、深耕、机播及收割服务，面积(加权平均)共约1.51万亩。</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cs="宋体"/>
          <w:bCs/>
          <w:color w:val="auto"/>
          <w:kern w:val="0"/>
          <w:szCs w:val="24"/>
          <w:shd w:val="clear" w:color="auto" w:fill="FFFFFF"/>
          <w:lang w:val="en-US" w:eastAsia="zh-CN"/>
        </w:rPr>
      </w:pPr>
      <w:r>
        <w:rPr>
          <w:rFonts w:hint="eastAsia" w:ascii="宋体" w:hAnsi="宋体" w:cs="宋体"/>
          <w:bCs/>
          <w:color w:val="auto"/>
          <w:kern w:val="0"/>
          <w:szCs w:val="24"/>
          <w:shd w:val="clear" w:color="auto" w:fill="FFFFFF"/>
          <w:lang w:val="en-US" w:eastAsia="zh-CN"/>
        </w:rPr>
        <w:t>5包:凉亭乡、泼河镇、槐店乡、十里镇、寨河镇、孙铺镇、仙居乡、马畈镇。作业环节为小麦和油菜旋耕、深耕、机播及收割服务，面积(加权平均)共约2.51万亩。</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b/>
          <w:bCs/>
          <w:color w:val="auto"/>
          <w:sz w:val="28"/>
          <w:szCs w:val="28"/>
          <w:highlight w:val="none"/>
          <w:lang w:eastAsia="zh-CN"/>
        </w:rPr>
      </w:pPr>
      <w:r>
        <w:rPr>
          <w:rFonts w:hint="eastAsia" w:ascii="宋体" w:hAnsi="宋体" w:cs="宋体"/>
          <w:bCs/>
          <w:color w:val="auto"/>
          <w:kern w:val="0"/>
          <w:szCs w:val="24"/>
          <w:shd w:val="clear" w:color="auto" w:fill="FFFFFF"/>
          <w:lang w:val="en-US" w:eastAsia="zh-CN"/>
        </w:rPr>
        <w:t>(</w:t>
      </w:r>
      <w:r>
        <w:rPr>
          <w:rFonts w:hint="eastAsia" w:ascii="宋体" w:hAnsi="宋体" w:cs="宋体"/>
          <w:b/>
          <w:bCs w:val="0"/>
          <w:color w:val="auto"/>
          <w:kern w:val="0"/>
          <w:szCs w:val="24"/>
          <w:shd w:val="clear" w:color="auto" w:fill="FFFFFF"/>
          <w:lang w:val="en-US" w:eastAsia="zh-CN"/>
        </w:rPr>
        <w:t>各包根据农业生产季节调整不同环节作业面积，按实际提供服务面积结算</w:t>
      </w:r>
      <w:r>
        <w:rPr>
          <w:rFonts w:hint="eastAsia" w:ascii="宋体" w:hAnsi="宋体" w:cs="宋体"/>
          <w:bCs/>
          <w:color w:val="auto"/>
          <w:kern w:val="0"/>
          <w:szCs w:val="24"/>
          <w:shd w:val="clear" w:color="auto" w:fill="FFFFFF"/>
          <w:lang w:val="en-US" w:eastAsia="zh-CN"/>
        </w:rPr>
        <w:t>)</w:t>
      </w:r>
    </w:p>
    <w:p>
      <w:pPr>
        <w:keepNext w:val="0"/>
        <w:keepLines w:val="0"/>
        <w:pageBreakBefore w:val="0"/>
        <w:widowControl/>
        <w:kinsoku/>
        <w:overflowPunct/>
        <w:topLinePunct w:val="0"/>
        <w:autoSpaceDE/>
        <w:autoSpaceDN/>
        <w:bidi w:val="0"/>
        <w:adjustRightInd/>
        <w:snapToGrid/>
        <w:spacing w:line="440" w:lineRule="exact"/>
        <w:ind w:left="0" w:leftChars="0" w:right="0" w:rightChars="0"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六、其他要求</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1.服务期限：接采购人通知的30日历天；</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2.质量要求：合格，符合采购人要求及相关规范要求；</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3.合同履行期限：同服务期限；</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4.投标有效期：60日历天（从投标截止之日算起）；</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5.供应商具有详细的投标方案（包含但不限于进度、质量保证措施、应急和突发事件的处理措施以及人员配备等方案）；</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6.本项目以单价作为最高投标限价进行招标，最终作业面积以包最高限价除以中标单价的面积为准。</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pStyle w:val="2"/>
        <w:bidi w:val="0"/>
        <w:rPr>
          <w:rFonts w:hint="eastAsia"/>
          <w:color w:val="auto"/>
          <w:lang w:val="en-US" w:eastAsia="zh-CN"/>
        </w:rPr>
      </w:pPr>
      <w:r>
        <w:rPr>
          <w:rFonts w:hint="eastAsia"/>
          <w:color w:val="auto"/>
          <w:lang w:val="en-US" w:eastAsia="zh-CN"/>
        </w:rPr>
        <w:t>第五章  合同主要条款及格式</w:t>
      </w:r>
      <w:bookmarkEnd w:id="178"/>
    </w:p>
    <w:p>
      <w:pPr>
        <w:spacing w:line="460" w:lineRule="exact"/>
        <w:jc w:val="center"/>
        <w:rPr>
          <w:rFonts w:hint="eastAsia" w:ascii="宋体" w:hAnsi="宋体" w:eastAsia="宋体" w:cs="宋体"/>
          <w:b/>
          <w:bCs w:val="0"/>
          <w:color w:val="auto"/>
          <w:sz w:val="36"/>
        </w:rPr>
      </w:pPr>
      <w:r>
        <w:rPr>
          <w:rFonts w:hint="eastAsia" w:ascii="宋体" w:hAnsi="宋体" w:eastAsia="宋体" w:cs="宋体"/>
          <w:b/>
          <w:bCs w:val="0"/>
          <w:color w:val="auto"/>
          <w:sz w:val="36"/>
        </w:rPr>
        <w:t>（参考文本）</w:t>
      </w:r>
    </w:p>
    <w:p>
      <w:pPr>
        <w:bidi w:val="0"/>
        <w:rPr>
          <w:rFonts w:hint="eastAsia" w:ascii="宋体" w:hAnsi="宋体" w:eastAsia="宋体" w:cs="宋体"/>
          <w:b/>
          <w:bCs w:val="0"/>
          <w:color w:val="auto"/>
          <w:kern w:val="2"/>
          <w:sz w:val="21"/>
          <w:szCs w:val="24"/>
          <w:lang w:val="en-US" w:eastAsia="zh-CN" w:bidi="ar-SA"/>
        </w:rPr>
      </w:pPr>
    </w:p>
    <w:p>
      <w:pPr>
        <w:bidi w:val="0"/>
        <w:rPr>
          <w:rFonts w:hint="eastAsia" w:ascii="宋体" w:hAnsi="宋体" w:eastAsia="宋体" w:cs="宋体"/>
          <w:b/>
          <w:bCs w:val="0"/>
          <w:color w:val="auto"/>
          <w:lang w:val="en-US" w:eastAsia="zh-CN"/>
        </w:rPr>
      </w:pPr>
    </w:p>
    <w:p>
      <w:pPr>
        <w:tabs>
          <w:tab w:val="left" w:pos="2638"/>
        </w:tabs>
        <w:bidi w:val="0"/>
        <w:jc w:val="left"/>
        <w:rPr>
          <w:rFonts w:hint="eastAsia" w:ascii="宋体" w:hAnsi="宋体" w:eastAsia="宋体" w:cs="宋体"/>
          <w:b/>
          <w:bCs w:val="0"/>
          <w:color w:val="auto"/>
          <w:sz w:val="56"/>
          <w:szCs w:val="96"/>
          <w:lang w:val="en-US" w:eastAsia="zh-CN"/>
        </w:rPr>
      </w:pPr>
      <w:r>
        <w:rPr>
          <w:rFonts w:hint="eastAsia" w:ascii="宋体" w:hAnsi="宋体" w:eastAsia="宋体" w:cs="宋体"/>
          <w:b/>
          <w:bCs w:val="0"/>
          <w:color w:val="auto"/>
          <w:sz w:val="56"/>
          <w:szCs w:val="96"/>
          <w:lang w:val="en-US" w:eastAsia="zh-CN"/>
        </w:rPr>
        <w:tab/>
      </w:r>
    </w:p>
    <w:p>
      <w:pPr>
        <w:tabs>
          <w:tab w:val="left" w:pos="2638"/>
        </w:tabs>
        <w:bidi w:val="0"/>
        <w:jc w:val="center"/>
        <w:rPr>
          <w:rFonts w:hint="eastAsia" w:ascii="宋体" w:hAnsi="宋体" w:eastAsia="宋体" w:cs="宋体"/>
          <w:b/>
          <w:bCs w:val="0"/>
          <w:color w:val="auto"/>
          <w:sz w:val="48"/>
          <w:szCs w:val="56"/>
          <w:lang w:val="en-US" w:eastAsia="zh-CN"/>
        </w:rPr>
      </w:pPr>
      <w:r>
        <w:rPr>
          <w:rFonts w:hint="eastAsia" w:ascii="宋体" w:hAnsi="宋体" w:eastAsia="宋体" w:cs="宋体"/>
          <w:b/>
          <w:bCs w:val="0"/>
          <w:color w:val="auto"/>
          <w:sz w:val="48"/>
          <w:szCs w:val="56"/>
          <w:lang w:val="en-US" w:eastAsia="zh-CN"/>
        </w:rPr>
        <w:t>政府采购合同</w:t>
      </w:r>
    </w:p>
    <w:p>
      <w:pPr>
        <w:bidi w:val="0"/>
        <w:rPr>
          <w:rFonts w:hint="eastAsia" w:ascii="宋体" w:hAnsi="宋体" w:eastAsia="宋体" w:cs="宋体"/>
          <w:b/>
          <w:bCs w:val="0"/>
          <w:color w:val="auto"/>
          <w:kern w:val="2"/>
          <w:sz w:val="21"/>
          <w:szCs w:val="24"/>
          <w:lang w:val="en-US" w:eastAsia="zh-CN" w:bidi="ar-SA"/>
        </w:rPr>
      </w:pPr>
    </w:p>
    <w:p>
      <w:pPr>
        <w:bidi w:val="0"/>
        <w:rPr>
          <w:rFonts w:hint="eastAsia" w:ascii="宋体" w:hAnsi="宋体" w:eastAsia="宋体" w:cs="宋体"/>
          <w:b/>
          <w:bCs w:val="0"/>
          <w:color w:val="auto"/>
          <w:lang w:val="en-US" w:eastAsia="zh-CN"/>
        </w:rPr>
      </w:pPr>
    </w:p>
    <w:p>
      <w:pPr>
        <w:bidi w:val="0"/>
        <w:rPr>
          <w:rFonts w:hint="eastAsia" w:ascii="宋体" w:hAnsi="宋体" w:eastAsia="宋体" w:cs="宋体"/>
          <w:b/>
          <w:bCs w:val="0"/>
          <w:color w:val="auto"/>
          <w:lang w:val="en-US" w:eastAsia="zh-CN"/>
        </w:rPr>
      </w:pPr>
    </w:p>
    <w:p>
      <w:pPr>
        <w:keepNext w:val="0"/>
        <w:keepLines w:val="0"/>
        <w:pageBreakBefore w:val="0"/>
        <w:widowControl w:val="0"/>
        <w:tabs>
          <w:tab w:val="left" w:pos="2308"/>
        </w:tabs>
        <w:kinsoku/>
        <w:wordWrap/>
        <w:overflowPunct/>
        <w:topLinePunct w:val="0"/>
        <w:autoSpaceDE/>
        <w:autoSpaceDN/>
        <w:bidi w:val="0"/>
        <w:adjustRightInd/>
        <w:snapToGrid/>
        <w:spacing w:line="780" w:lineRule="exact"/>
        <w:ind w:left="0" w:leftChars="0" w:firstLine="1405" w:firstLineChars="500"/>
        <w:jc w:val="left"/>
        <w:textAlignment w:val="auto"/>
        <w:rPr>
          <w:rFonts w:hint="eastAsia" w:ascii="宋体" w:hAnsi="宋体" w:eastAsia="宋体" w:cs="宋体"/>
          <w:b/>
          <w:bCs w:val="0"/>
          <w:color w:val="auto"/>
          <w:sz w:val="28"/>
          <w:szCs w:val="36"/>
          <w:lang w:val="en-US" w:eastAsia="zh-CN"/>
        </w:rPr>
      </w:pPr>
      <w:r>
        <w:rPr>
          <w:rFonts w:hint="eastAsia" w:ascii="宋体" w:hAnsi="宋体" w:eastAsia="宋体" w:cs="宋体"/>
          <w:b/>
          <w:bCs w:val="0"/>
          <w:color w:val="auto"/>
          <w:sz w:val="28"/>
          <w:szCs w:val="36"/>
          <w:lang w:val="en-US" w:eastAsia="zh-CN"/>
        </w:rPr>
        <w:t>项目名称：</w:t>
      </w:r>
    </w:p>
    <w:p>
      <w:pPr>
        <w:keepNext w:val="0"/>
        <w:keepLines w:val="0"/>
        <w:pageBreakBefore w:val="0"/>
        <w:widowControl w:val="0"/>
        <w:tabs>
          <w:tab w:val="left" w:pos="2308"/>
        </w:tabs>
        <w:kinsoku/>
        <w:wordWrap/>
        <w:overflowPunct/>
        <w:topLinePunct w:val="0"/>
        <w:autoSpaceDE/>
        <w:autoSpaceDN/>
        <w:bidi w:val="0"/>
        <w:adjustRightInd/>
        <w:snapToGrid/>
        <w:spacing w:line="780" w:lineRule="exact"/>
        <w:ind w:left="0" w:leftChars="0" w:firstLine="1405" w:firstLineChars="500"/>
        <w:jc w:val="left"/>
        <w:textAlignment w:val="auto"/>
        <w:rPr>
          <w:rFonts w:hint="eastAsia" w:ascii="宋体" w:hAnsi="宋体" w:eastAsia="宋体" w:cs="宋体"/>
          <w:b/>
          <w:bCs w:val="0"/>
          <w:color w:val="auto"/>
          <w:sz w:val="28"/>
          <w:szCs w:val="36"/>
          <w:lang w:val="en-US" w:eastAsia="zh-CN"/>
        </w:rPr>
      </w:pPr>
      <w:r>
        <w:rPr>
          <w:rFonts w:hint="eastAsia" w:ascii="宋体" w:hAnsi="宋体" w:eastAsia="宋体" w:cs="宋体"/>
          <w:b/>
          <w:bCs w:val="0"/>
          <w:color w:val="auto"/>
          <w:sz w:val="28"/>
          <w:szCs w:val="36"/>
          <w:lang w:val="en-US" w:eastAsia="zh-CN"/>
        </w:rPr>
        <w:t>采购文件编号：</w:t>
      </w:r>
    </w:p>
    <w:p>
      <w:pPr>
        <w:keepNext w:val="0"/>
        <w:keepLines w:val="0"/>
        <w:pageBreakBefore w:val="0"/>
        <w:widowControl w:val="0"/>
        <w:tabs>
          <w:tab w:val="left" w:pos="2308"/>
        </w:tabs>
        <w:kinsoku/>
        <w:wordWrap/>
        <w:overflowPunct/>
        <w:topLinePunct w:val="0"/>
        <w:autoSpaceDE/>
        <w:autoSpaceDN/>
        <w:bidi w:val="0"/>
        <w:adjustRightInd/>
        <w:snapToGrid/>
        <w:spacing w:line="780" w:lineRule="exact"/>
        <w:ind w:left="0" w:leftChars="0" w:firstLine="1405" w:firstLineChars="500"/>
        <w:jc w:val="left"/>
        <w:textAlignment w:val="auto"/>
        <w:rPr>
          <w:rFonts w:hint="eastAsia" w:ascii="宋体" w:hAnsi="宋体" w:eastAsia="宋体" w:cs="宋体"/>
          <w:b/>
          <w:bCs w:val="0"/>
          <w:color w:val="auto"/>
          <w:sz w:val="28"/>
          <w:szCs w:val="36"/>
          <w:lang w:val="en-US" w:eastAsia="zh-CN"/>
        </w:rPr>
      </w:pPr>
      <w:r>
        <w:rPr>
          <w:rFonts w:hint="eastAsia" w:ascii="宋体" w:hAnsi="宋体" w:eastAsia="宋体" w:cs="宋体"/>
          <w:b/>
          <w:bCs w:val="0"/>
          <w:color w:val="auto"/>
          <w:sz w:val="28"/>
          <w:szCs w:val="36"/>
          <w:lang w:val="en-US" w:eastAsia="zh-CN"/>
        </w:rPr>
        <w:t>甲方合同编号：</w:t>
      </w:r>
    </w:p>
    <w:p>
      <w:pPr>
        <w:keepNext w:val="0"/>
        <w:keepLines w:val="0"/>
        <w:pageBreakBefore w:val="0"/>
        <w:widowControl w:val="0"/>
        <w:tabs>
          <w:tab w:val="left" w:pos="2308"/>
        </w:tabs>
        <w:kinsoku/>
        <w:wordWrap/>
        <w:overflowPunct/>
        <w:topLinePunct w:val="0"/>
        <w:autoSpaceDE/>
        <w:autoSpaceDN/>
        <w:bidi w:val="0"/>
        <w:adjustRightInd/>
        <w:snapToGrid/>
        <w:spacing w:line="780" w:lineRule="exact"/>
        <w:ind w:left="0" w:leftChars="0" w:firstLine="1405" w:firstLineChars="500"/>
        <w:jc w:val="left"/>
        <w:textAlignment w:val="auto"/>
        <w:rPr>
          <w:rFonts w:hint="eastAsia" w:ascii="宋体" w:hAnsi="宋体" w:eastAsia="宋体" w:cs="宋体"/>
          <w:b/>
          <w:bCs w:val="0"/>
          <w:color w:val="auto"/>
          <w:sz w:val="28"/>
          <w:szCs w:val="36"/>
          <w:lang w:val="en-US" w:eastAsia="zh-CN"/>
        </w:rPr>
      </w:pPr>
      <w:r>
        <w:rPr>
          <w:rFonts w:hint="eastAsia" w:ascii="宋体" w:hAnsi="宋体" w:eastAsia="宋体" w:cs="宋体"/>
          <w:b/>
          <w:bCs w:val="0"/>
          <w:color w:val="auto"/>
          <w:sz w:val="28"/>
          <w:szCs w:val="36"/>
          <w:lang w:val="en-US" w:eastAsia="zh-CN"/>
        </w:rPr>
        <w:t>甲方：</w:t>
      </w:r>
    </w:p>
    <w:p>
      <w:pPr>
        <w:keepNext w:val="0"/>
        <w:keepLines w:val="0"/>
        <w:pageBreakBefore w:val="0"/>
        <w:widowControl w:val="0"/>
        <w:tabs>
          <w:tab w:val="left" w:pos="2308"/>
        </w:tabs>
        <w:kinsoku/>
        <w:wordWrap/>
        <w:overflowPunct/>
        <w:topLinePunct w:val="0"/>
        <w:autoSpaceDE/>
        <w:autoSpaceDN/>
        <w:bidi w:val="0"/>
        <w:adjustRightInd/>
        <w:snapToGrid/>
        <w:spacing w:line="780" w:lineRule="exact"/>
        <w:ind w:left="0" w:leftChars="0" w:firstLine="1405" w:firstLineChars="500"/>
        <w:jc w:val="left"/>
        <w:textAlignment w:val="auto"/>
        <w:rPr>
          <w:rFonts w:hint="eastAsia" w:ascii="宋体" w:hAnsi="宋体" w:eastAsia="宋体" w:cs="宋体"/>
          <w:b/>
          <w:bCs w:val="0"/>
          <w:color w:val="auto"/>
          <w:sz w:val="28"/>
          <w:szCs w:val="36"/>
          <w:lang w:val="en-US" w:eastAsia="zh-CN"/>
        </w:rPr>
      </w:pPr>
      <w:r>
        <w:rPr>
          <w:rFonts w:hint="eastAsia" w:ascii="宋体" w:hAnsi="宋体" w:eastAsia="宋体" w:cs="宋体"/>
          <w:b/>
          <w:bCs w:val="0"/>
          <w:color w:val="auto"/>
          <w:sz w:val="28"/>
          <w:szCs w:val="36"/>
          <w:lang w:val="en-US" w:eastAsia="zh-CN"/>
        </w:rPr>
        <w:t>乙方：</w:t>
      </w:r>
    </w:p>
    <w:p>
      <w:pPr>
        <w:bidi w:val="0"/>
        <w:rPr>
          <w:rFonts w:hint="eastAsia" w:ascii="宋体" w:hAnsi="宋体" w:eastAsia="宋体" w:cs="宋体"/>
          <w:b/>
          <w:bCs w:val="0"/>
          <w:color w:val="auto"/>
          <w:kern w:val="2"/>
          <w:sz w:val="21"/>
          <w:szCs w:val="24"/>
          <w:lang w:val="en-US" w:eastAsia="zh-CN" w:bidi="ar-SA"/>
        </w:rPr>
      </w:pPr>
    </w:p>
    <w:p>
      <w:pPr>
        <w:bidi w:val="0"/>
        <w:rPr>
          <w:rFonts w:hint="eastAsia" w:ascii="宋体" w:hAnsi="宋体" w:eastAsia="宋体" w:cs="宋体"/>
          <w:b/>
          <w:bCs w:val="0"/>
          <w:color w:val="auto"/>
          <w:lang w:val="en-US" w:eastAsia="zh-CN"/>
        </w:rPr>
      </w:pPr>
    </w:p>
    <w:p>
      <w:pPr>
        <w:tabs>
          <w:tab w:val="left" w:pos="643"/>
        </w:tabs>
        <w:bidi w:val="0"/>
        <w:jc w:val="left"/>
        <w:rPr>
          <w:rFonts w:hint="eastAsia"/>
          <w:color w:val="auto"/>
          <w:sz w:val="28"/>
          <w:szCs w:val="36"/>
          <w:lang w:val="en-US" w:eastAsia="zh-CN"/>
        </w:rPr>
      </w:pPr>
      <w:r>
        <w:rPr>
          <w:rFonts w:hint="eastAsia" w:ascii="宋体" w:hAnsi="宋体" w:eastAsia="宋体" w:cs="宋体"/>
          <w:b/>
          <w:bCs w:val="0"/>
          <w:color w:val="auto"/>
          <w:sz w:val="28"/>
          <w:szCs w:val="36"/>
          <w:lang w:val="en-US" w:eastAsia="zh-CN"/>
        </w:rPr>
        <w:tab/>
      </w:r>
      <w:r>
        <w:rPr>
          <w:rFonts w:hint="eastAsia" w:ascii="宋体" w:hAnsi="宋体" w:eastAsia="宋体" w:cs="宋体"/>
          <w:b/>
          <w:bCs w:val="0"/>
          <w:color w:val="auto"/>
          <w:sz w:val="28"/>
          <w:szCs w:val="36"/>
          <w:lang w:val="en-US" w:eastAsia="zh-CN"/>
        </w:rPr>
        <w:t xml:space="preserve">                     签订时间：   年    月    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color w:val="auto"/>
          <w:sz w:val="24"/>
          <w:szCs w:val="24"/>
          <w:lang w:val="en-US" w:eastAsia="zh-CN"/>
        </w:rPr>
      </w:pPr>
    </w:p>
    <w:p>
      <w:pPr>
        <w:pStyle w:val="21"/>
        <w:rPr>
          <w:rFonts w:hint="eastAsia"/>
          <w:color w:val="auto"/>
          <w:lang w:val="en-US" w:eastAsia="zh-CN"/>
        </w:rPr>
      </w:pPr>
    </w:p>
    <w:p>
      <w:pPr>
        <w:pStyle w:val="21"/>
        <w:rPr>
          <w:rFonts w:hint="eastAsia"/>
          <w:color w:val="auto"/>
          <w:lang w:val="en-US" w:eastAsia="zh-CN"/>
        </w:rPr>
      </w:pPr>
    </w:p>
    <w:p>
      <w:pPr>
        <w:pStyle w:val="21"/>
        <w:rPr>
          <w:rFonts w:hint="eastAsia"/>
          <w:color w:val="auto"/>
          <w:lang w:val="en-US" w:eastAsia="zh-CN"/>
        </w:rPr>
      </w:pPr>
    </w:p>
    <w:p>
      <w:pPr>
        <w:pStyle w:val="21"/>
        <w:rPr>
          <w:rFonts w:hint="eastAsia"/>
          <w:color w:val="auto"/>
          <w:lang w:val="en-US" w:eastAsia="zh-CN"/>
        </w:rPr>
      </w:pP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bookmarkStart w:id="179" w:name="_Toc503932587"/>
      <w:bookmarkStart w:id="180" w:name="_Toc13402"/>
      <w:bookmarkStart w:id="181" w:name="_Toc364092380"/>
      <w:bookmarkStart w:id="182" w:name="_Toc11310"/>
      <w:bookmarkStart w:id="183" w:name="_Toc25675_WPSOffice_Level1"/>
      <w:bookmarkStart w:id="184" w:name="_Toc10637"/>
      <w:bookmarkStart w:id="185" w:name="_Toc370307443"/>
      <w:bookmarkStart w:id="186" w:name="_Toc16404"/>
      <w:bookmarkStart w:id="187" w:name="_Toc370307945"/>
      <w:bookmarkStart w:id="188" w:name="_Toc370307767"/>
      <w:bookmarkStart w:id="189" w:name="_Toc370307656"/>
      <w:bookmarkStart w:id="190" w:name="_Toc530904667"/>
      <w:r>
        <w:rPr>
          <w:rFonts w:hint="eastAsia" w:ascii="Calibri" w:hAnsi="Calibri" w:eastAsia="宋体" w:cs="Times New Roman"/>
          <w:color w:val="auto"/>
          <w:sz w:val="24"/>
          <w:lang w:eastAsia="zh-CN"/>
        </w:rPr>
        <w:t>（甲方</w:t>
      </w:r>
      <w:r>
        <w:rPr>
          <w:rFonts w:hint="eastAsia" w:cs="Times New Roman"/>
          <w:color w:val="auto"/>
          <w:sz w:val="24"/>
          <w:lang w:eastAsia="zh-CN"/>
        </w:rPr>
        <w:t>）</w:t>
      </w:r>
      <w:r>
        <w:rPr>
          <w:rFonts w:hint="eastAsia" w:ascii="Calibri" w:hAnsi="Calibri" w:eastAsia="宋体" w:cs="Times New Roman"/>
          <w:color w:val="auto"/>
          <w:sz w:val="24"/>
          <w:lang w:eastAsia="zh-CN"/>
        </w:rPr>
        <w:t xml:space="preserve">（××项目）委托（代理机构名称）进行了政府采购。按照评委会评审推荐、甲方确定乙方为中标单位。现甲乙双方协商同意签订本合同。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cs="Times New Roman"/>
          <w:b/>
          <w:bCs/>
          <w:color w:val="auto"/>
          <w:sz w:val="24"/>
          <w:lang w:eastAsia="zh-CN"/>
        </w:rPr>
        <w:t>第一条</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合同文件</w:t>
      </w:r>
      <w:r>
        <w:rPr>
          <w:rFonts w:hint="eastAsia" w:ascii="Calibri" w:hAnsi="Calibri" w:eastAsia="宋体" w:cs="Times New Roman"/>
          <w:color w:val="auto"/>
          <w:sz w:val="24"/>
          <w:lang w:eastAsia="zh-CN"/>
        </w:rPr>
        <w:t xml:space="preserve">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下列与本次采购活动有关的文件及附件是本合同不可分割的组成部分，与本合同具有同等法律效力，这些文件包括但不限于：</w:t>
      </w:r>
    </w:p>
    <w:p>
      <w:pPr>
        <w:pStyle w:val="28"/>
        <w:keepNext w:val="0"/>
        <w:keepLines w:val="0"/>
        <w:pageBreakBefore w:val="0"/>
        <w:widowControl w:val="0"/>
        <w:numPr>
          <w:ilvl w:val="0"/>
          <w:numId w:val="0"/>
        </w:numPr>
        <w:tabs>
          <w:tab w:val="left" w:pos="1050"/>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1.（××号）招标采购文件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2.投标文件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3.乙方在投标时的书面承诺</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4.（××号）中标通知书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5.合同补充条款或说明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6.保密协议或条款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7.相关附件、图纸及电子版资料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2" w:firstLineChars="200"/>
        <w:textAlignment w:val="auto"/>
        <w:rPr>
          <w:rFonts w:hint="eastAsia" w:ascii="Calibri" w:hAnsi="Calibri" w:eastAsia="宋体" w:cs="Times New Roman"/>
          <w:b/>
          <w:bCs/>
          <w:color w:val="auto"/>
          <w:sz w:val="24"/>
          <w:lang w:eastAsia="zh-CN"/>
        </w:rPr>
      </w:pPr>
      <w:r>
        <w:rPr>
          <w:rFonts w:hint="eastAsia" w:ascii="Calibri" w:hAnsi="Calibri" w:eastAsia="宋体" w:cs="Times New Roman"/>
          <w:b/>
          <w:bCs/>
          <w:color w:val="auto"/>
          <w:sz w:val="24"/>
          <w:lang w:eastAsia="zh-CN"/>
        </w:rPr>
        <w:t xml:space="preserve">第二条 </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 xml:space="preserve">合同内容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服务名称：详见合同附件中《服务一览表》 </w:t>
      </w:r>
    </w:p>
    <w:p>
      <w:pPr>
        <w:pStyle w:val="28"/>
        <w:keepNext w:val="0"/>
        <w:keepLines w:val="0"/>
        <w:pageBreakBefore w:val="0"/>
        <w:widowControl w:val="0"/>
        <w:numPr>
          <w:ilvl w:val="0"/>
          <w:numId w:val="0"/>
        </w:numPr>
        <w:tabs>
          <w:tab w:val="left" w:pos="1422"/>
        </w:tabs>
        <w:kinsoku/>
        <w:wordWrap/>
        <w:overflowPunct/>
        <w:topLinePunct w:val="0"/>
        <w:autoSpaceDE/>
        <w:autoSpaceDN/>
        <w:bidi w:val="0"/>
        <w:adjustRightInd/>
        <w:snapToGrid/>
        <w:spacing w:line="490" w:lineRule="exact"/>
        <w:ind w:left="0" w:leftChars="0" w:firstLine="482" w:firstLineChars="200"/>
        <w:textAlignment w:val="auto"/>
        <w:rPr>
          <w:rFonts w:hint="eastAsia" w:ascii="Calibri" w:hAnsi="Calibri" w:eastAsia="宋体" w:cs="Times New Roman"/>
          <w:b/>
          <w:bCs/>
          <w:color w:val="auto"/>
          <w:sz w:val="24"/>
          <w:lang w:eastAsia="zh-CN"/>
        </w:rPr>
      </w:pPr>
      <w:r>
        <w:rPr>
          <w:rFonts w:hint="eastAsia" w:ascii="Calibri" w:hAnsi="Calibri" w:eastAsia="宋体" w:cs="Times New Roman"/>
          <w:b/>
          <w:bCs/>
          <w:color w:val="auto"/>
          <w:sz w:val="24"/>
          <w:lang w:eastAsia="zh-CN"/>
        </w:rPr>
        <w:t>第三条</w:t>
      </w:r>
      <w:r>
        <w:rPr>
          <w:rFonts w:hint="eastAsia" w:ascii="Calibri" w:hAnsi="Calibri" w:eastAsia="宋体" w:cs="Times New Roman"/>
          <w:b/>
          <w:bCs/>
          <w:color w:val="auto"/>
          <w:sz w:val="24"/>
          <w:lang w:val="en-US" w:eastAsia="zh-CN"/>
        </w:rPr>
        <w:t xml:space="preserve"> </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 xml:space="preserve">合同总金额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720" w:leftChars="200" w:hanging="240" w:hangingChars="100"/>
        <w:textAlignment w:val="auto"/>
        <w:rPr>
          <w:rFonts w:hint="eastAsia" w:eastAsia="宋体" w:cs="Times New Roman"/>
          <w:color w:val="auto"/>
          <w:sz w:val="24"/>
          <w:lang w:eastAsia="zh-CN"/>
        </w:rPr>
      </w:pPr>
      <w:r>
        <w:rPr>
          <w:rFonts w:hint="eastAsia" w:ascii="Calibri" w:hAnsi="Calibri" w:eastAsia="宋体" w:cs="Times New Roman"/>
          <w:color w:val="auto"/>
          <w:sz w:val="24"/>
          <w:lang w:eastAsia="zh-CN"/>
        </w:rPr>
        <w:t xml:space="preserve">本合同服务总金额： </w:t>
      </w:r>
      <w:r>
        <w:rPr>
          <w:rFonts w:hint="eastAsia" w:eastAsia="宋体" w:cs="Times New Roman"/>
          <w:color w:val="auto"/>
          <w:sz w:val="24"/>
          <w:lang w:eastAsia="zh-CN"/>
        </w:rPr>
        <w:t>（根据中标价格结算，结算依据为各环节每亩的作业服务费）</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720" w:leftChars="200" w:hanging="240" w:hangingChars="100"/>
        <w:textAlignment w:val="auto"/>
        <w:rPr>
          <w:rFonts w:hint="eastAsia" w:eastAsia="宋体" w:cs="Times New Roman"/>
          <w:color w:val="auto"/>
          <w:sz w:val="24"/>
          <w:lang w:eastAsia="zh-CN"/>
        </w:rPr>
      </w:pPr>
      <w:r>
        <w:rPr>
          <w:rFonts w:hint="eastAsia" w:eastAsia="宋体" w:cs="Times New Roman"/>
          <w:color w:val="auto"/>
          <w:sz w:val="24"/>
          <w:lang w:eastAsia="zh-CN"/>
        </w:rPr>
        <w:t>旋耕</w:t>
      </w:r>
      <w:r>
        <w:rPr>
          <w:rFonts w:hint="eastAsia" w:eastAsia="宋体" w:cs="Times New Roman"/>
          <w:color w:val="auto"/>
          <w:sz w:val="24"/>
          <w:u w:val="single"/>
          <w:lang w:val="en-US" w:eastAsia="zh-CN"/>
        </w:rPr>
        <w:t xml:space="preserve">     </w:t>
      </w:r>
      <w:r>
        <w:rPr>
          <w:rFonts w:hint="eastAsia" w:eastAsia="宋体" w:cs="Times New Roman"/>
          <w:color w:val="auto"/>
          <w:sz w:val="24"/>
          <w:u w:val="none"/>
          <w:lang w:val="en-US" w:eastAsia="zh-CN"/>
        </w:rPr>
        <w:t>/亩</w:t>
      </w:r>
      <w:r>
        <w:rPr>
          <w:rFonts w:hint="eastAsia" w:eastAsia="宋体" w:cs="Times New Roman"/>
          <w:color w:val="auto"/>
          <w:sz w:val="24"/>
          <w:lang w:val="en-US" w:eastAsia="zh-CN"/>
        </w:rPr>
        <w:t>；</w:t>
      </w:r>
      <w:r>
        <w:rPr>
          <w:rFonts w:hint="eastAsia" w:eastAsia="宋体" w:cs="Times New Roman"/>
          <w:color w:val="auto"/>
          <w:sz w:val="24"/>
          <w:lang w:eastAsia="zh-CN"/>
        </w:rPr>
        <w:t>深耕</w:t>
      </w:r>
      <w:r>
        <w:rPr>
          <w:rFonts w:hint="eastAsia" w:eastAsia="宋体" w:cs="Times New Roman"/>
          <w:color w:val="auto"/>
          <w:sz w:val="24"/>
          <w:u w:val="single"/>
          <w:lang w:eastAsia="zh-CN"/>
        </w:rPr>
        <w:t xml:space="preserve">     </w:t>
      </w:r>
      <w:r>
        <w:rPr>
          <w:rFonts w:hint="eastAsia" w:eastAsia="宋体" w:cs="Times New Roman"/>
          <w:color w:val="auto"/>
          <w:sz w:val="24"/>
          <w:u w:val="none"/>
          <w:lang w:val="en-US" w:eastAsia="zh-CN"/>
        </w:rPr>
        <w:t>/</w:t>
      </w:r>
      <w:r>
        <w:rPr>
          <w:rFonts w:hint="eastAsia" w:eastAsia="宋体" w:cs="Times New Roman"/>
          <w:color w:val="auto"/>
          <w:sz w:val="24"/>
          <w:u w:val="none"/>
          <w:lang w:eastAsia="zh-CN"/>
        </w:rPr>
        <w:t>亩</w:t>
      </w:r>
      <w:r>
        <w:rPr>
          <w:rFonts w:hint="eastAsia" w:eastAsia="宋体" w:cs="Times New Roman"/>
          <w:color w:val="auto"/>
          <w:sz w:val="24"/>
          <w:lang w:eastAsia="zh-CN"/>
        </w:rPr>
        <w:t>；机播</w:t>
      </w:r>
      <w:r>
        <w:rPr>
          <w:rFonts w:hint="eastAsia" w:eastAsia="宋体" w:cs="Times New Roman"/>
          <w:color w:val="auto"/>
          <w:sz w:val="24"/>
          <w:u w:val="single"/>
          <w:lang w:eastAsia="zh-CN"/>
        </w:rPr>
        <w:t xml:space="preserve">     </w:t>
      </w:r>
      <w:r>
        <w:rPr>
          <w:rFonts w:hint="eastAsia" w:eastAsia="宋体" w:cs="Times New Roman"/>
          <w:color w:val="auto"/>
          <w:sz w:val="24"/>
          <w:u w:val="none"/>
          <w:lang w:val="en-US" w:eastAsia="zh-CN"/>
        </w:rPr>
        <w:t>/</w:t>
      </w:r>
      <w:r>
        <w:rPr>
          <w:rFonts w:hint="eastAsia" w:eastAsia="宋体" w:cs="Times New Roman"/>
          <w:color w:val="auto"/>
          <w:sz w:val="24"/>
          <w:u w:val="none"/>
          <w:lang w:eastAsia="zh-CN"/>
        </w:rPr>
        <w:t>亩</w:t>
      </w:r>
      <w:r>
        <w:rPr>
          <w:rFonts w:hint="eastAsia" w:eastAsia="宋体" w:cs="Times New Roman"/>
          <w:color w:val="auto"/>
          <w:sz w:val="24"/>
          <w:lang w:eastAsia="zh-CN"/>
        </w:rPr>
        <w:t>；收割</w:t>
      </w:r>
      <w:r>
        <w:rPr>
          <w:rFonts w:hint="eastAsia" w:eastAsia="宋体" w:cs="Times New Roman"/>
          <w:color w:val="auto"/>
          <w:sz w:val="24"/>
          <w:u w:val="single"/>
          <w:lang w:eastAsia="zh-CN"/>
        </w:rPr>
        <w:t xml:space="preserve">     </w:t>
      </w:r>
      <w:r>
        <w:rPr>
          <w:rFonts w:hint="eastAsia" w:eastAsia="宋体" w:cs="Times New Roman"/>
          <w:color w:val="auto"/>
          <w:sz w:val="24"/>
          <w:u w:val="none"/>
          <w:lang w:val="en-US" w:eastAsia="zh-CN"/>
        </w:rPr>
        <w:t>/</w:t>
      </w:r>
      <w:r>
        <w:rPr>
          <w:rFonts w:hint="eastAsia" w:eastAsia="宋体" w:cs="Times New Roman"/>
          <w:color w:val="auto"/>
          <w:sz w:val="24"/>
          <w:u w:val="none"/>
          <w:lang w:eastAsia="zh-CN"/>
        </w:rPr>
        <w:t>亩</w:t>
      </w:r>
      <w:r>
        <w:rPr>
          <w:rFonts w:hint="eastAsia" w:eastAsia="宋体" w:cs="Times New Roman"/>
          <w:color w:val="auto"/>
          <w:sz w:val="24"/>
          <w:lang w:eastAsia="zh-CN"/>
        </w:rPr>
        <w:t>；</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720" w:leftChars="200" w:hanging="240" w:hangingChars="100"/>
        <w:textAlignment w:val="auto"/>
        <w:rPr>
          <w:rFonts w:hint="eastAsia" w:ascii="Calibri" w:hAnsi="Calibri" w:eastAsia="宋体" w:cs="Times New Roman"/>
          <w:color w:val="auto"/>
          <w:sz w:val="24"/>
          <w:lang w:eastAsia="zh-CN"/>
        </w:rPr>
      </w:pPr>
      <w:r>
        <w:rPr>
          <w:rFonts w:hint="eastAsia" w:eastAsia="宋体" w:cs="Times New Roman"/>
          <w:color w:val="auto"/>
          <w:sz w:val="24"/>
          <w:lang w:eastAsia="zh-CN"/>
        </w:rPr>
        <w:t>小写：</w:t>
      </w:r>
      <w:r>
        <w:rPr>
          <w:rFonts w:hint="eastAsia" w:ascii="Calibri" w:hAnsi="Calibri" w:eastAsia="宋体" w:cs="Times New Roman"/>
          <w:color w:val="auto"/>
          <w:sz w:val="24"/>
          <w:lang w:eastAsia="zh-CN"/>
        </w:rPr>
        <w:t>￥</w:t>
      </w:r>
      <w:r>
        <w:rPr>
          <w:rFonts w:hint="eastAsia" w:ascii="Calibri" w:hAnsi="Calibri" w:eastAsia="宋体" w:cs="Times New Roman"/>
          <w:color w:val="auto"/>
          <w:sz w:val="24"/>
          <w:u w:val="single"/>
          <w:lang w:val="en-US" w:eastAsia="zh-CN"/>
        </w:rPr>
        <w:t xml:space="preserve">           </w:t>
      </w:r>
      <w:r>
        <w:rPr>
          <w:rFonts w:hint="eastAsia" w:eastAsia="宋体" w:cs="Times New Roman"/>
          <w:color w:val="auto"/>
          <w:sz w:val="24"/>
          <w:u w:val="single"/>
          <w:lang w:val="en-US" w:eastAsia="zh-CN"/>
        </w:rPr>
        <w:t xml:space="preserve">   </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元</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大写：</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 xml:space="preserve">元。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分项价款在《服务一览表》中有明确规定。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本合同总价款包括服务期间必须的日常物料、易耗品、工具、调试费、培训费等相关费用。</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本合同执行期内因工作量变化而引起的服务费用的变动，在双方事先协商一致的前提下签订补充合同，但因此而增加的服务费用不得超过原中标金额的10%。</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2"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b/>
          <w:bCs/>
          <w:color w:val="auto"/>
          <w:sz w:val="24"/>
          <w:lang w:eastAsia="zh-CN"/>
        </w:rPr>
        <w:t>第四条</w:t>
      </w:r>
      <w:r>
        <w:rPr>
          <w:rFonts w:hint="eastAsia" w:ascii="Calibri" w:hAnsi="Calibri" w:eastAsia="宋体" w:cs="Times New Roman"/>
          <w:b/>
          <w:bCs/>
          <w:color w:val="auto"/>
          <w:sz w:val="24"/>
          <w:lang w:val="en-US" w:eastAsia="zh-CN"/>
        </w:rPr>
        <w:t xml:space="preserve"> </w:t>
      </w:r>
      <w:r>
        <w:rPr>
          <w:rFonts w:hint="eastAsia" w:ascii="Calibri" w:hAnsi="Calibri" w:eastAsia="宋体" w:cs="Times New Roman"/>
          <w:b/>
          <w:bCs/>
          <w:color w:val="auto"/>
          <w:sz w:val="24"/>
          <w:lang w:eastAsia="zh-CN"/>
        </w:rPr>
        <w:t>权利义务和质量保证</w:t>
      </w:r>
      <w:r>
        <w:rPr>
          <w:rFonts w:hint="eastAsia" w:ascii="Calibri" w:hAnsi="Calibri" w:eastAsia="宋体" w:cs="Times New Roman"/>
          <w:color w:val="auto"/>
          <w:sz w:val="24"/>
          <w:lang w:eastAsia="zh-CN"/>
        </w:rPr>
        <w:t xml:space="preserve">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1.甲方保证服务期间，对乙方工作给予支持，提供水、电、场地等必须的基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val="en-US" w:eastAsia="zh-CN"/>
        </w:rPr>
        <w:t>2.</w:t>
      </w:r>
      <w:r>
        <w:rPr>
          <w:rFonts w:hint="eastAsia" w:ascii="Calibri" w:hAnsi="Calibri" w:eastAsia="宋体" w:cs="Times New Roman"/>
          <w:color w:val="auto"/>
          <w:sz w:val="24"/>
          <w:lang w:eastAsia="zh-CN"/>
        </w:rPr>
        <w:t xml:space="preserve">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 </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2"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b/>
          <w:bCs/>
          <w:color w:val="auto"/>
          <w:sz w:val="24"/>
          <w:lang w:eastAsia="zh-CN"/>
        </w:rPr>
        <w:t xml:space="preserve">第五条 </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付款方式</w:t>
      </w:r>
      <w:r>
        <w:rPr>
          <w:rFonts w:hint="eastAsia" w:ascii="Calibri" w:hAnsi="Calibri" w:eastAsia="宋体" w:cs="Times New Roman"/>
          <w:color w:val="auto"/>
          <w:sz w:val="24"/>
          <w:lang w:eastAsia="zh-CN"/>
        </w:rPr>
        <w:t xml:space="preserve">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firstLine="480" w:firstLineChars="200"/>
        <w:textAlignment w:val="auto"/>
        <w:rPr>
          <w:rFonts w:hint="eastAsia" w:ascii="Calibri" w:hAnsi="Calibri" w:eastAsia="宋体" w:cs="Times New Roman"/>
          <w:color w:val="auto"/>
          <w:sz w:val="24"/>
          <w:lang w:val="en-US" w:eastAsia="zh-CN"/>
        </w:rPr>
      </w:pPr>
      <w:r>
        <w:rPr>
          <w:rFonts w:hint="eastAsia" w:ascii="Calibri" w:hAnsi="Calibri" w:eastAsia="宋体" w:cs="Times New Roman"/>
          <w:color w:val="auto"/>
          <w:sz w:val="24"/>
          <w:lang w:val="en-US" w:eastAsia="zh-CN"/>
        </w:rPr>
        <w:t>付款方式：</w:t>
      </w:r>
      <w:r>
        <w:rPr>
          <w:rFonts w:hint="eastAsia" w:ascii="Calibri" w:hAnsi="Calibri" w:eastAsia="宋体" w:cs="Times New Roman"/>
          <w:color w:val="auto"/>
          <w:sz w:val="24"/>
          <w:u w:val="single"/>
          <w:lang w:val="en-US" w:eastAsia="zh-CN"/>
        </w:rPr>
        <w:t xml:space="preserve">        </w:t>
      </w:r>
      <w:r>
        <w:rPr>
          <w:rFonts w:hint="eastAsia" w:eastAsia="宋体" w:cs="Times New Roman"/>
          <w:color w:val="auto"/>
          <w:sz w:val="24"/>
          <w:u w:val="single"/>
          <w:lang w:val="en-US" w:eastAsia="zh-CN"/>
        </w:rPr>
        <w:t xml:space="preserve">   </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val="en-US" w:eastAsia="zh-CN"/>
        </w:rPr>
        <w:t xml:space="preserve">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firstLine="482"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b/>
          <w:bCs/>
          <w:color w:val="auto"/>
          <w:sz w:val="24"/>
          <w:lang w:val="en-US" w:eastAsia="zh-CN"/>
        </w:rPr>
        <w:t xml:space="preserve">第六条  </w:t>
      </w:r>
      <w:r>
        <w:rPr>
          <w:rFonts w:hint="eastAsia" w:ascii="Calibri" w:hAnsi="Calibri" w:eastAsia="宋体" w:cs="Times New Roman"/>
          <w:b/>
          <w:bCs/>
          <w:color w:val="auto"/>
          <w:sz w:val="24"/>
          <w:lang w:eastAsia="zh-CN"/>
        </w:rPr>
        <w:t>履约保证金 （</w:t>
      </w:r>
      <w:r>
        <w:rPr>
          <w:rFonts w:hint="eastAsia" w:ascii="Calibri" w:hAnsi="Calibri" w:eastAsia="宋体" w:cs="Times New Roman"/>
          <w:b/>
          <w:bCs/>
          <w:color w:val="auto"/>
          <w:sz w:val="24"/>
          <w:lang w:val="en-US" w:eastAsia="zh-CN"/>
        </w:rPr>
        <w:t>为减少企业负担，非特殊需要，不建议采购人收取履约保证金，未能按合同履行合同的，可报财政部门，进行失信行为记录</w:t>
      </w:r>
      <w:r>
        <w:rPr>
          <w:rFonts w:hint="eastAsia" w:ascii="Calibri" w:hAnsi="Calibri" w:eastAsia="宋体" w:cs="Times New Roman"/>
          <w:b/>
          <w:bCs/>
          <w:color w:val="auto"/>
          <w:sz w:val="24"/>
          <w:lang w:eastAsia="zh-CN"/>
        </w:rPr>
        <w:t>）</w:t>
      </w:r>
      <w:r>
        <w:rPr>
          <w:rFonts w:hint="eastAsia" w:ascii="Calibri" w:hAnsi="Calibri" w:eastAsia="宋体" w:cs="Times New Roman"/>
          <w:color w:val="auto"/>
          <w:sz w:val="24"/>
          <w:lang w:eastAsia="zh-CN"/>
        </w:rPr>
        <w:t xml:space="preserve"> </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default" w:ascii="Calibri" w:hAnsi="Calibri" w:eastAsia="宋体" w:cs="Times New Roman"/>
          <w:color w:val="auto"/>
          <w:sz w:val="24"/>
          <w:lang w:val="en-US" w:eastAsia="zh-CN"/>
        </w:rPr>
      </w:pPr>
      <w:r>
        <w:rPr>
          <w:rFonts w:hint="eastAsia" w:ascii="Calibri" w:hAnsi="Calibri" w:eastAsia="宋体" w:cs="Times New Roman"/>
          <w:color w:val="auto"/>
          <w:sz w:val="24"/>
          <w:lang w:val="en-US" w:eastAsia="zh-CN"/>
        </w:rPr>
        <w:t>1.乙方在签订本合同之日，向甲方提交合同履约保证金</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val="en-US" w:eastAsia="zh-CN"/>
        </w:rPr>
        <w:t>元（履约保证金的数额不得超过政府采购合同金额的10%）。</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val="en-US" w:eastAsia="zh-CN"/>
        </w:rPr>
      </w:pPr>
      <w:r>
        <w:rPr>
          <w:rFonts w:hint="eastAsia" w:ascii="Calibri" w:hAnsi="Calibri" w:eastAsia="宋体" w:cs="Times New Roman"/>
          <w:color w:val="auto"/>
          <w:sz w:val="24"/>
          <w:lang w:val="en-US" w:eastAsia="zh-CN"/>
        </w:rPr>
        <w:t>2.履约保证金有效期为甲乙双方最终验收后1个月内。到期后，甲方向乙方无息退还。</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default" w:ascii="Calibri" w:hAnsi="Calibri" w:eastAsia="宋体" w:cs="Times New Roman"/>
          <w:color w:val="auto"/>
          <w:sz w:val="24"/>
          <w:lang w:val="en-US" w:eastAsia="zh-CN"/>
        </w:rPr>
      </w:pPr>
      <w:r>
        <w:rPr>
          <w:rFonts w:hint="eastAsia" w:ascii="Calibri" w:hAnsi="Calibri" w:eastAsia="宋体" w:cs="Times New Roman"/>
          <w:color w:val="auto"/>
          <w:sz w:val="24"/>
          <w:lang w:val="en-US" w:eastAsia="zh-CN"/>
        </w:rPr>
        <w:t>3.如乙方未能履行、或未能完全履行合同规定的义务，甲方有权从履约保证金中取得补偿。履约保证金扣除甲方应得的补偿后的余额在合同期满后</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val="en-US" w:eastAsia="zh-CN"/>
        </w:rPr>
        <w:t>天内无息退还乙方。</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cs="Times New Roman"/>
          <w:b/>
          <w:bCs/>
          <w:color w:val="auto"/>
          <w:sz w:val="24"/>
          <w:lang w:eastAsia="zh-CN"/>
        </w:rPr>
        <w:t>第七条</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验收</w:t>
      </w:r>
      <w:r>
        <w:rPr>
          <w:rFonts w:hint="eastAsia" w:ascii="Calibri" w:hAnsi="Calibri" w:eastAsia="宋体" w:cs="Times New Roman"/>
          <w:color w:val="auto"/>
          <w:sz w:val="24"/>
          <w:lang w:eastAsia="zh-CN"/>
        </w:rPr>
        <w:t xml:space="preserve">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after="0" w:line="490" w:lineRule="exact"/>
        <w:ind w:left="0" w:leftChars="0" w:right="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1.服务期限：</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至</w:t>
      </w:r>
      <w:r>
        <w:rPr>
          <w:rFonts w:hint="eastAsia" w:ascii="Calibri" w:hAnsi="Calibri" w:eastAsia="宋体" w:cs="Times New Roman"/>
          <w:color w:val="auto"/>
          <w:sz w:val="24"/>
          <w:u w:val="single"/>
          <w:lang w:val="en-US" w:eastAsia="zh-CN"/>
        </w:rPr>
        <w:t xml:space="preserve">             </w:t>
      </w:r>
      <w:r>
        <w:rPr>
          <w:rFonts w:hint="eastAsia" w:eastAsia="宋体" w:cs="Times New Roman"/>
          <w:color w:val="auto"/>
          <w:sz w:val="24"/>
          <w:u w:val="single"/>
          <w:lang w:val="en-US" w:eastAsia="zh-CN"/>
        </w:rPr>
        <w:t xml:space="preserve"> </w:t>
      </w:r>
      <w:r>
        <w:rPr>
          <w:rFonts w:hint="eastAsia" w:ascii="Calibri" w:hAnsi="Calibri" w:eastAsia="宋体" w:cs="Times New Roman"/>
          <w:color w:val="auto"/>
          <w:sz w:val="24"/>
          <w:u w:val="single"/>
          <w:lang w:val="en-US" w:eastAsia="zh-CN"/>
        </w:rPr>
        <w:t xml:space="preserve">    </w:t>
      </w:r>
      <w:r>
        <w:rPr>
          <w:rFonts w:hint="eastAsia"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after="0" w:line="490" w:lineRule="exact"/>
        <w:ind w:left="0" w:leftChars="0" w:right="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服务地点：</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after="0" w:line="490" w:lineRule="exact"/>
        <w:ind w:left="0" w:leftChars="0" w:right="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验收时间：</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 xml:space="preserve">。 </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after="0" w:line="490" w:lineRule="exact"/>
        <w:ind w:left="0" w:leftChars="0" w:right="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验收地点：</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w:t>
      </w:r>
    </w:p>
    <w:p>
      <w:pPr>
        <w:pStyle w:val="28"/>
        <w:keepNext w:val="0"/>
        <w:keepLines w:val="0"/>
        <w:pageBreakBefore w:val="0"/>
        <w:widowControl w:val="0"/>
        <w:numPr>
          <w:ilvl w:val="0"/>
          <w:numId w:val="0"/>
        </w:numPr>
        <w:tabs>
          <w:tab w:val="left" w:pos="840"/>
          <w:tab w:val="left" w:pos="1050"/>
          <w:tab w:val="right" w:leader="dot" w:pos="8306"/>
        </w:tabs>
        <w:kinsoku/>
        <w:wordWrap/>
        <w:overflowPunct/>
        <w:topLinePunct w:val="0"/>
        <w:autoSpaceDE/>
        <w:autoSpaceDN/>
        <w:bidi w:val="0"/>
        <w:adjustRightInd/>
        <w:snapToGrid/>
        <w:spacing w:after="0" w:line="490" w:lineRule="exact"/>
        <w:ind w:leftChars="0" w:right="0" w:rightChars="0" w:firstLine="480" w:firstLineChars="200"/>
        <w:textAlignment w:val="auto"/>
        <w:rPr>
          <w:rFonts w:hint="eastAsia" w:ascii="Calibri" w:hAnsi="Calibri" w:eastAsia="宋体" w:cs="Times New Roman"/>
          <w:color w:val="auto"/>
          <w:sz w:val="24"/>
          <w:lang w:eastAsia="zh-CN"/>
        </w:rPr>
      </w:pPr>
      <w:r>
        <w:rPr>
          <w:rFonts w:hint="eastAsia" w:eastAsia="宋体" w:cs="Times New Roman"/>
          <w:color w:val="auto"/>
          <w:sz w:val="24"/>
          <w:lang w:val="en-US" w:eastAsia="zh-CN"/>
        </w:rPr>
        <w:t>2.</w:t>
      </w:r>
      <w:r>
        <w:rPr>
          <w:rFonts w:hint="eastAsia" w:ascii="Calibri" w:hAnsi="Calibri" w:eastAsia="宋体" w:cs="Times New Roman"/>
          <w:color w:val="auto"/>
          <w:sz w:val="24"/>
          <w:lang w:eastAsia="zh-CN"/>
        </w:rPr>
        <w:t>乙方应对提供的服务成果作出全面自查和整理，并列出清单，作为甲方验收和使用的服务条件依据，清单应随提供的服务成果交给甲方。</w:t>
      </w:r>
    </w:p>
    <w:p>
      <w:pPr>
        <w:pStyle w:val="28"/>
        <w:keepNext w:val="0"/>
        <w:keepLines w:val="0"/>
        <w:pageBreakBefore w:val="0"/>
        <w:widowControl w:val="0"/>
        <w:numPr>
          <w:ilvl w:val="0"/>
          <w:numId w:val="0"/>
        </w:numPr>
        <w:tabs>
          <w:tab w:val="left" w:pos="840"/>
          <w:tab w:val="right" w:leader="dot" w:pos="8306"/>
        </w:tabs>
        <w:kinsoku/>
        <w:wordWrap/>
        <w:overflowPunct/>
        <w:topLinePunct w:val="0"/>
        <w:autoSpaceDE/>
        <w:autoSpaceDN/>
        <w:bidi w:val="0"/>
        <w:adjustRightInd/>
        <w:snapToGrid/>
        <w:spacing w:after="0" w:line="490" w:lineRule="exact"/>
        <w:ind w:leftChars="0" w:right="0" w:rightChars="0" w:firstLine="480" w:firstLineChars="200"/>
        <w:textAlignment w:val="auto"/>
        <w:rPr>
          <w:rFonts w:hint="eastAsia" w:ascii="Calibri" w:hAnsi="Calibri" w:eastAsia="宋体" w:cs="Times New Roman"/>
          <w:color w:val="auto"/>
          <w:sz w:val="24"/>
          <w:lang w:eastAsia="zh-CN"/>
        </w:rPr>
      </w:pPr>
      <w:r>
        <w:rPr>
          <w:rFonts w:hint="eastAsia" w:eastAsia="宋体" w:cs="Times New Roman"/>
          <w:color w:val="auto"/>
          <w:sz w:val="24"/>
          <w:lang w:val="en-US" w:eastAsia="zh-CN"/>
        </w:rPr>
        <w:t>3.</w:t>
      </w:r>
      <w:r>
        <w:rPr>
          <w:rFonts w:hint="eastAsia" w:ascii="Calibri" w:hAnsi="Calibri" w:eastAsia="宋体" w:cs="Times New Roman"/>
          <w:color w:val="auto"/>
          <w:sz w:val="24"/>
          <w:lang w:eastAsia="zh-CN"/>
        </w:rPr>
        <w:t xml:space="preserve">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 </w:t>
      </w:r>
    </w:p>
    <w:p>
      <w:pPr>
        <w:pStyle w:val="28"/>
        <w:keepNext w:val="0"/>
        <w:keepLines w:val="0"/>
        <w:pageBreakBefore w:val="0"/>
        <w:widowControl w:val="0"/>
        <w:numPr>
          <w:ilvl w:val="0"/>
          <w:numId w:val="0"/>
        </w:numPr>
        <w:tabs>
          <w:tab w:val="left" w:pos="840"/>
          <w:tab w:val="right" w:leader="dot" w:pos="8306"/>
        </w:tabs>
        <w:kinsoku/>
        <w:wordWrap/>
        <w:overflowPunct/>
        <w:topLinePunct w:val="0"/>
        <w:autoSpaceDE/>
        <w:autoSpaceDN/>
        <w:bidi w:val="0"/>
        <w:adjustRightInd/>
        <w:snapToGrid/>
        <w:spacing w:after="0" w:line="490" w:lineRule="exact"/>
        <w:ind w:leftChars="0" w:right="0" w:rightChars="0" w:firstLine="480" w:firstLineChars="200"/>
        <w:textAlignment w:val="auto"/>
        <w:rPr>
          <w:rFonts w:hint="eastAsia" w:ascii="Calibri" w:hAnsi="Calibri" w:eastAsia="宋体" w:cs="Times New Roman"/>
          <w:color w:val="auto"/>
          <w:sz w:val="24"/>
          <w:lang w:eastAsia="zh-CN"/>
        </w:rPr>
      </w:pPr>
      <w:r>
        <w:rPr>
          <w:rFonts w:hint="eastAsia" w:eastAsia="宋体" w:cs="Times New Roman"/>
          <w:color w:val="auto"/>
          <w:sz w:val="24"/>
          <w:lang w:val="en-US" w:eastAsia="zh-CN"/>
        </w:rPr>
        <w:t>4.</w:t>
      </w:r>
      <w:r>
        <w:rPr>
          <w:rFonts w:hint="eastAsia" w:ascii="Calibri" w:hAnsi="Calibri" w:eastAsia="宋体" w:cs="Times New Roman"/>
          <w:color w:val="auto"/>
          <w:sz w:val="24"/>
          <w:lang w:eastAsia="zh-CN"/>
        </w:rPr>
        <w:t xml:space="preserve">甲方可以视项目规模或复杂情况聘请专业人员参与验收，大型或复杂项目，以及涉及专业服务内容的应当邀请国家认可的第三方质量检测机构参与验收。 </w:t>
      </w:r>
    </w:p>
    <w:p>
      <w:pPr>
        <w:pStyle w:val="28"/>
        <w:keepNext w:val="0"/>
        <w:keepLines w:val="0"/>
        <w:pageBreakBefore w:val="0"/>
        <w:widowControl w:val="0"/>
        <w:numPr>
          <w:ilvl w:val="0"/>
          <w:numId w:val="0"/>
        </w:numPr>
        <w:tabs>
          <w:tab w:val="left" w:pos="840"/>
          <w:tab w:val="right" w:leader="dot" w:pos="8306"/>
        </w:tabs>
        <w:kinsoku/>
        <w:wordWrap/>
        <w:overflowPunct/>
        <w:topLinePunct w:val="0"/>
        <w:autoSpaceDE/>
        <w:autoSpaceDN/>
        <w:bidi w:val="0"/>
        <w:adjustRightInd/>
        <w:snapToGrid/>
        <w:spacing w:after="0" w:line="490" w:lineRule="exact"/>
        <w:ind w:leftChars="0" w:right="0" w:rightChars="0" w:firstLine="480" w:firstLineChars="200"/>
        <w:textAlignment w:val="auto"/>
        <w:rPr>
          <w:rFonts w:hint="eastAsia" w:ascii="Calibri" w:hAnsi="Calibri" w:eastAsia="宋体" w:cs="Times New Roman"/>
          <w:color w:val="auto"/>
          <w:sz w:val="24"/>
          <w:lang w:eastAsia="zh-CN"/>
        </w:rPr>
      </w:pPr>
      <w:r>
        <w:rPr>
          <w:rFonts w:hint="eastAsia" w:eastAsia="宋体" w:cs="Times New Roman"/>
          <w:color w:val="auto"/>
          <w:sz w:val="24"/>
          <w:lang w:val="en-US" w:eastAsia="zh-CN"/>
        </w:rPr>
        <w:t>5.</w:t>
      </w:r>
      <w:r>
        <w:rPr>
          <w:rFonts w:hint="eastAsia" w:ascii="Calibri" w:hAnsi="Calibri" w:eastAsia="宋体" w:cs="Times New Roman"/>
          <w:color w:val="auto"/>
          <w:sz w:val="24"/>
          <w:lang w:eastAsia="zh-CN"/>
        </w:rPr>
        <w:t>如根据项目实施情况需要分阶段验收，则双方分阶段签署《验收报告》。</w:t>
      </w:r>
    </w:p>
    <w:p>
      <w:pPr>
        <w:pStyle w:val="28"/>
        <w:keepNext w:val="0"/>
        <w:keepLines w:val="0"/>
        <w:pageBreakBefore w:val="0"/>
        <w:widowControl w:val="0"/>
        <w:numPr>
          <w:ilvl w:val="0"/>
          <w:numId w:val="0"/>
        </w:numPr>
        <w:tabs>
          <w:tab w:val="left" w:pos="840"/>
          <w:tab w:val="right" w:leader="dot" w:pos="8306"/>
        </w:tabs>
        <w:kinsoku/>
        <w:wordWrap/>
        <w:overflowPunct/>
        <w:topLinePunct w:val="0"/>
        <w:autoSpaceDE/>
        <w:autoSpaceDN/>
        <w:bidi w:val="0"/>
        <w:adjustRightInd/>
        <w:snapToGrid/>
        <w:spacing w:after="0" w:line="490" w:lineRule="exact"/>
        <w:ind w:leftChars="0" w:right="0" w:rightChars="0" w:firstLine="480" w:firstLineChars="200"/>
        <w:textAlignment w:val="auto"/>
        <w:rPr>
          <w:rFonts w:hint="eastAsia" w:ascii="Calibri" w:hAnsi="Calibri" w:eastAsia="宋体" w:cs="Times New Roman"/>
          <w:color w:val="auto"/>
          <w:sz w:val="24"/>
          <w:lang w:eastAsia="zh-CN"/>
        </w:rPr>
      </w:pPr>
      <w:r>
        <w:rPr>
          <w:rFonts w:hint="eastAsia" w:eastAsia="宋体" w:cs="Times New Roman"/>
          <w:color w:val="auto"/>
          <w:sz w:val="24"/>
          <w:lang w:val="en-US" w:eastAsia="zh-CN"/>
        </w:rPr>
        <w:t>6.</w:t>
      </w:r>
      <w:r>
        <w:rPr>
          <w:rFonts w:hint="eastAsia" w:ascii="Calibri" w:hAnsi="Calibri" w:eastAsia="宋体" w:cs="Times New Roman"/>
          <w:color w:val="auto"/>
          <w:sz w:val="24"/>
          <w:lang w:eastAsia="zh-CN"/>
        </w:rPr>
        <w:t>如果合同双方对《验收报告》有分歧，双方须于出现分歧后</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天内给对方书面声明，以陈述己方的理由及要求，并附有关证据。分歧应通过协商解决。</w:t>
      </w:r>
    </w:p>
    <w:p>
      <w:pPr>
        <w:pStyle w:val="28"/>
        <w:keepNext w:val="0"/>
        <w:keepLines w:val="0"/>
        <w:pageBreakBefore w:val="0"/>
        <w:widowControl w:val="0"/>
        <w:numPr>
          <w:ilvl w:val="0"/>
          <w:numId w:val="0"/>
        </w:numPr>
        <w:tabs>
          <w:tab w:val="left" w:pos="840"/>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b/>
          <w:bCs/>
          <w:color w:val="auto"/>
          <w:sz w:val="24"/>
          <w:lang w:eastAsia="zh-CN"/>
        </w:rPr>
      </w:pPr>
      <w:r>
        <w:rPr>
          <w:rFonts w:hint="eastAsia" w:cs="Times New Roman"/>
          <w:b/>
          <w:bCs/>
          <w:color w:val="auto"/>
          <w:sz w:val="24"/>
          <w:lang w:eastAsia="zh-CN"/>
        </w:rPr>
        <w:t>第八条</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 xml:space="preserve">项目管理服务 </w:t>
      </w:r>
    </w:p>
    <w:p>
      <w:pPr>
        <w:pStyle w:val="28"/>
        <w:keepNext w:val="0"/>
        <w:keepLines w:val="0"/>
        <w:pageBreakBefore w:val="0"/>
        <w:widowControl w:val="0"/>
        <w:numPr>
          <w:ilvl w:val="0"/>
          <w:numId w:val="0"/>
        </w:numPr>
        <w:tabs>
          <w:tab w:val="left" w:pos="0"/>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乙方要指定不少于一人全权全程负责本项目服务的落实，包括服务的咨询、执行和后续工作。 </w:t>
      </w:r>
    </w:p>
    <w:p>
      <w:pPr>
        <w:pStyle w:val="28"/>
        <w:keepNext w:val="0"/>
        <w:keepLines w:val="0"/>
        <w:pageBreakBefore w:val="0"/>
        <w:widowControl w:val="0"/>
        <w:numPr>
          <w:ilvl w:val="0"/>
          <w:numId w:val="0"/>
        </w:numPr>
        <w:tabs>
          <w:tab w:val="left" w:pos="840"/>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项目负责人姓名：</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；联系电话：</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cs="Times New Roman"/>
          <w:b/>
          <w:bCs/>
          <w:color w:val="auto"/>
          <w:sz w:val="24"/>
          <w:lang w:val="en-US" w:eastAsia="zh-CN"/>
        </w:rPr>
        <w:t xml:space="preserve">第九条 </w:t>
      </w:r>
      <w:r>
        <w:rPr>
          <w:rFonts w:hint="eastAsia" w:ascii="Calibri" w:hAnsi="Calibri" w:eastAsia="宋体" w:cs="Times New Roman"/>
          <w:b/>
          <w:bCs/>
          <w:color w:val="auto"/>
          <w:sz w:val="24"/>
          <w:lang w:val="en-US" w:eastAsia="zh-CN"/>
        </w:rPr>
        <w:t xml:space="preserve"> </w:t>
      </w:r>
      <w:r>
        <w:rPr>
          <w:rFonts w:hint="eastAsia" w:ascii="Calibri" w:hAnsi="Calibri" w:eastAsia="宋体" w:cs="Times New Roman"/>
          <w:b/>
          <w:bCs/>
          <w:color w:val="auto"/>
          <w:sz w:val="24"/>
          <w:lang w:eastAsia="zh-CN"/>
        </w:rPr>
        <w:t>售后服务</w:t>
      </w:r>
      <w:r>
        <w:rPr>
          <w:rFonts w:hint="eastAsia" w:ascii="Calibri" w:hAnsi="Calibri" w:eastAsia="宋体" w:cs="Times New Roman"/>
          <w:color w:val="auto"/>
          <w:sz w:val="24"/>
          <w:lang w:eastAsia="zh-CN"/>
        </w:rPr>
        <w:t xml:space="preserve">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1.乙方提供服务的质量保证期为自服务通过最终验收之日起</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个月。若国家有明确规定的质量保证期高于此质量保证期的，执行国家规定。</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2.服务期内，乙方应提供相关服务支持。对甲方所反映的任何服务问题在</w:t>
      </w:r>
      <w:r>
        <w:rPr>
          <w:rFonts w:hint="eastAsia" w:ascii="Calibri" w:hAnsi="Calibri" w:eastAsia="宋体" w:cs="Times New Roman"/>
          <w:color w:val="auto"/>
          <w:sz w:val="24"/>
          <w:u w:val="single"/>
          <w:lang w:eastAsia="zh-CN"/>
        </w:rPr>
        <w:t>× ×</w:t>
      </w:r>
      <w:r>
        <w:rPr>
          <w:rFonts w:hint="eastAsia" w:ascii="Calibri" w:hAnsi="Calibri" w:eastAsia="宋体" w:cs="Times New Roman"/>
          <w:color w:val="auto"/>
          <w:sz w:val="24"/>
          <w:lang w:eastAsia="zh-CN"/>
        </w:rPr>
        <w:t>日（小时）之内做出及时响应，在</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日（小时）之内赶到现场实地解决问题。若问题在</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工作日（小时）后仍无法解决，乙方应在</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 xml:space="preserve">日（小时）内免费提供服务的补偿、替换方案，直至服务恢复正常。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3.乙方必须遵守甲方的有关管理制度、操作规程。对于乙方违规操作造成甲方损失的，由乙方按照本合同第十二条的约定承担赔偿责任。</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2"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b/>
          <w:bCs/>
          <w:color w:val="auto"/>
          <w:sz w:val="24"/>
          <w:lang w:eastAsia="zh-CN"/>
        </w:rPr>
        <w:t xml:space="preserve">第十条 </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分包</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除招标采购文件事先说明、且经甲方事先书面同意外，乙方不得分包、转包其应履行的合同义务。</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b/>
          <w:bCs/>
          <w:color w:val="auto"/>
          <w:sz w:val="24"/>
          <w:lang w:eastAsia="zh-CN"/>
        </w:rPr>
      </w:pPr>
      <w:r>
        <w:rPr>
          <w:rFonts w:hint="eastAsia" w:cs="Times New Roman"/>
          <w:b/>
          <w:bCs/>
          <w:color w:val="auto"/>
          <w:sz w:val="24"/>
          <w:lang w:eastAsia="zh-CN"/>
        </w:rPr>
        <w:t>第十一条</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 xml:space="preserve">合同的生效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1.本合同经甲乙双方授权代表签字并加盖公章或合同专用章后生效。</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2.生效后，除《政府采购法》第49条、第50条第二款规定的情形外，甲乙双方不得擅自变更、中止或终止合同。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2" w:firstLineChars="200"/>
        <w:textAlignment w:val="auto"/>
        <w:rPr>
          <w:rFonts w:hint="eastAsia" w:ascii="Calibri" w:hAnsi="Calibri" w:eastAsia="宋体" w:cs="Times New Roman"/>
          <w:b/>
          <w:bCs/>
          <w:color w:val="auto"/>
          <w:sz w:val="24"/>
          <w:lang w:eastAsia="zh-CN"/>
        </w:rPr>
      </w:pPr>
      <w:r>
        <w:rPr>
          <w:rFonts w:hint="eastAsia" w:ascii="Calibri" w:hAnsi="Calibri" w:eastAsia="宋体" w:cs="Times New Roman"/>
          <w:b/>
          <w:bCs/>
          <w:color w:val="auto"/>
          <w:sz w:val="24"/>
          <w:lang w:eastAsia="zh-CN"/>
        </w:rPr>
        <w:t xml:space="preserve">第十二条 </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 xml:space="preserve">违约责任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1.乙方所交付服务成果不符合本合同规定的，甲方有权拒收，乙方在得到甲方通知之日起</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lang w:eastAsia="zh-CN"/>
        </w:rPr>
        <w:t>个工作日内采取补救措施，逾期仍未采取有效措施的，甲方有权要求乙方赔偿因此造成的损失或扣留履约保证金；同时乙方应向甲方支付合同总价</w:t>
      </w:r>
      <w:r>
        <w:rPr>
          <w:rFonts w:hint="eastAsia" w:ascii="Calibri" w:hAnsi="Calibri" w:eastAsia="宋体" w:cs="Times New Roman"/>
          <w:color w:val="auto"/>
          <w:sz w:val="24"/>
          <w:u w:val="single"/>
          <w:lang w:val="en-US" w:eastAsia="zh-CN"/>
        </w:rPr>
        <w:t xml:space="preserve">    </w:t>
      </w:r>
      <w:r>
        <w:rPr>
          <w:rFonts w:hint="eastAsia" w:ascii="Calibri" w:hAnsi="Calibri" w:eastAsia="宋体" w:cs="Times New Roman"/>
          <w:color w:val="auto"/>
          <w:sz w:val="24"/>
          <w:u w:val="single"/>
          <w:lang w:eastAsia="zh-CN"/>
        </w:rPr>
        <w:t xml:space="preserve"> </w:t>
      </w:r>
      <w:r>
        <w:rPr>
          <w:rFonts w:hint="eastAsia" w:ascii="Calibri" w:hAnsi="Calibri" w:eastAsia="宋体" w:cs="Times New Roman"/>
          <w:color w:val="auto"/>
          <w:sz w:val="24"/>
          <w:lang w:eastAsia="zh-CN"/>
        </w:rPr>
        <w:t xml:space="preserve">％的违约金。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2.甲方无正当理由拒收服务，甲方应向乙方偿付拒付服务费用</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 xml:space="preserve">％的违约金。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3.乙方无正当理由逾期交付服务的，每逾期 1 天，乙方向甲方偿付合同总额的</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‰的违约金。如乙方逾期达</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 xml:space="preserve">天，甲方有权解除合同，甲方解除合同的通知自到达乙方时生效。在此情况下，乙方给甲方造成的实际损失高于违约金的，对高出违约金的部分乙方应予以赔偿。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4.甲方未按合同规定的期限向乙方支付合同款的，每逾期 1 天甲方向乙方偿付欠款总额的</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‰违约金，但累计违约金总额不超过欠款总额的</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5.其它未尽事宜，以《民法典》和《政府采购法》等有关法律法规规定为准，无相关规定的，双方协商解决。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2"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b/>
          <w:bCs/>
          <w:color w:val="auto"/>
          <w:sz w:val="24"/>
          <w:lang w:eastAsia="zh-CN"/>
        </w:rPr>
        <w:t xml:space="preserve">第十三条 </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不可抗力</w:t>
      </w:r>
      <w:r>
        <w:rPr>
          <w:rFonts w:hint="eastAsia" w:ascii="Calibri" w:hAnsi="Calibri" w:eastAsia="宋体" w:cs="Times New Roman"/>
          <w:color w:val="auto"/>
          <w:sz w:val="24"/>
          <w:lang w:eastAsia="zh-CN"/>
        </w:rPr>
        <w:t xml:space="preserve"> </w:t>
      </w:r>
    </w:p>
    <w:p>
      <w:pPr>
        <w:pStyle w:val="28"/>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甲、乙方中任何一方，因不可抗力不能按时或完全履行合同的，应及时通知对方，并在</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个工作日内提供相应证明，结算服务费用。未履行的部分是否继续履行、如何履行等问题，可由双方初步协商，并向主管部门和政府采购管理部门报告。确定为不可抗力原因造成的损失，免予承担责任。</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cs="Times New Roman"/>
          <w:b/>
          <w:bCs/>
          <w:color w:val="auto"/>
          <w:sz w:val="24"/>
          <w:lang w:eastAsia="zh-CN"/>
        </w:rPr>
        <w:t>第十四条</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争议的解决方式</w:t>
      </w:r>
      <w:r>
        <w:rPr>
          <w:rFonts w:hint="eastAsia" w:ascii="Calibri" w:hAnsi="Calibri" w:eastAsia="宋体" w:cs="Times New Roman"/>
          <w:color w:val="auto"/>
          <w:sz w:val="24"/>
          <w:lang w:eastAsia="zh-CN"/>
        </w:rPr>
        <w:t xml:space="preserve"> </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1.因服务质量问题发生争议的，应当邀请国家认可的质量检测机构对服务进行鉴定。服务符合标准的，鉴定费由甲方承担</w:t>
      </w:r>
      <w:r>
        <w:rPr>
          <w:rFonts w:hint="eastAsia" w:cs="Times New Roman"/>
          <w:color w:val="auto"/>
          <w:sz w:val="24"/>
          <w:lang w:eastAsia="zh-CN"/>
        </w:rPr>
        <w:t>。</w:t>
      </w:r>
      <w:r>
        <w:rPr>
          <w:rFonts w:hint="eastAsia" w:ascii="Calibri" w:hAnsi="Calibri" w:eastAsia="宋体" w:cs="Times New Roman"/>
          <w:color w:val="auto"/>
          <w:sz w:val="24"/>
          <w:lang w:eastAsia="zh-CN"/>
        </w:rPr>
        <w:t xml:space="preserve">不符合质量标准的，鉴定费由乙方承担。 </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cs="Times New Roman"/>
          <w:color w:val="auto"/>
          <w:sz w:val="24"/>
          <w:lang w:val="en-US" w:eastAsia="zh-CN"/>
        </w:rPr>
        <w:t>2</w:t>
      </w:r>
      <w:r>
        <w:rPr>
          <w:rFonts w:hint="eastAsia" w:ascii="Calibri" w:hAnsi="Calibri" w:eastAsia="宋体" w:cs="Times New Roman"/>
          <w:color w:val="auto"/>
          <w:sz w:val="24"/>
          <w:lang w:eastAsia="zh-CN"/>
        </w:rPr>
        <w:t xml:space="preserve">.在解释或者执行本合同的过程中发生争议时，双方应通过协商方式解决。 </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cs="Times New Roman"/>
          <w:color w:val="auto"/>
          <w:sz w:val="24"/>
          <w:lang w:val="en-US" w:eastAsia="zh-CN"/>
        </w:rPr>
        <w:t>3</w:t>
      </w:r>
      <w:r>
        <w:rPr>
          <w:rFonts w:hint="eastAsia" w:ascii="Calibri" w:hAnsi="Calibri" w:eastAsia="宋体" w:cs="Times New Roman"/>
          <w:color w:val="auto"/>
          <w:sz w:val="24"/>
          <w:lang w:eastAsia="zh-CN"/>
        </w:rPr>
        <w:t>.经协商不能解决的争议，双方可选择以下第</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种方式解决：</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①向</w:t>
      </w:r>
      <w:r>
        <w:rPr>
          <w:rFonts w:hint="eastAsia" w:ascii="Calibri" w:hAnsi="Calibri" w:eastAsia="宋体" w:cs="Times New Roman"/>
          <w:color w:val="auto"/>
          <w:sz w:val="24"/>
          <w:lang w:val="en-US" w:eastAsia="zh-CN"/>
        </w:rPr>
        <w:t>光山</w:t>
      </w:r>
      <w:r>
        <w:rPr>
          <w:rFonts w:hint="eastAsia" w:ascii="Calibri" w:hAnsi="Calibri" w:eastAsia="宋体" w:cs="Times New Roman"/>
          <w:color w:val="auto"/>
          <w:sz w:val="24"/>
          <w:lang w:eastAsia="zh-CN"/>
        </w:rPr>
        <w:t>县有管辖权的法院提起诉讼；</w:t>
      </w:r>
    </w:p>
    <w:p>
      <w:pPr>
        <w:pStyle w:val="28"/>
        <w:keepNext w:val="0"/>
        <w:keepLines w:val="0"/>
        <w:pageBreakBefore w:val="0"/>
        <w:widowControl w:val="0"/>
        <w:tabs>
          <w:tab w:val="left" w:pos="0"/>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②向</w:t>
      </w:r>
      <w:r>
        <w:rPr>
          <w:rFonts w:hint="eastAsia" w:ascii="Calibri" w:hAnsi="Calibri" w:eastAsia="宋体" w:cs="Times New Roman"/>
          <w:color w:val="auto"/>
          <w:sz w:val="24"/>
          <w:lang w:val="en-US" w:eastAsia="zh-CN"/>
        </w:rPr>
        <w:t>光山</w:t>
      </w:r>
      <w:r>
        <w:rPr>
          <w:rFonts w:hint="eastAsia" w:ascii="Calibri" w:hAnsi="Calibri" w:eastAsia="宋体" w:cs="Times New Roman"/>
          <w:color w:val="auto"/>
          <w:sz w:val="24"/>
          <w:lang w:eastAsia="zh-CN"/>
        </w:rPr>
        <w:t>县仲裁委员会提出仲裁。</w:t>
      </w:r>
    </w:p>
    <w:p>
      <w:pPr>
        <w:pStyle w:val="28"/>
        <w:keepNext w:val="0"/>
        <w:keepLines w:val="0"/>
        <w:pageBreakBefore w:val="0"/>
        <w:widowControl w:val="0"/>
        <w:tabs>
          <w:tab w:val="left" w:pos="0"/>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4.在法院审理和仲裁期间，除有争议部分外，本合同其他部分可以履行的仍应按合同条款继续履行。 </w:t>
      </w:r>
    </w:p>
    <w:p>
      <w:pPr>
        <w:pStyle w:val="28"/>
        <w:keepNext w:val="0"/>
        <w:keepLines w:val="0"/>
        <w:pageBreakBefore w:val="0"/>
        <w:widowControl w:val="0"/>
        <w:tabs>
          <w:tab w:val="left" w:pos="0"/>
          <w:tab w:val="right" w:leader="dot" w:pos="8306"/>
        </w:tabs>
        <w:kinsoku/>
        <w:wordWrap/>
        <w:overflowPunct/>
        <w:topLinePunct w:val="0"/>
        <w:autoSpaceDE/>
        <w:autoSpaceDN/>
        <w:bidi w:val="0"/>
        <w:adjustRightInd/>
        <w:snapToGrid/>
        <w:spacing w:line="490" w:lineRule="exact"/>
        <w:ind w:left="0" w:leftChars="0" w:firstLine="482" w:firstLineChars="200"/>
        <w:textAlignment w:val="auto"/>
        <w:rPr>
          <w:rFonts w:hint="eastAsia" w:ascii="Calibri" w:hAnsi="Calibri" w:eastAsia="宋体" w:cs="Times New Roman"/>
          <w:b/>
          <w:bCs/>
          <w:color w:val="auto"/>
          <w:sz w:val="24"/>
          <w:lang w:eastAsia="zh-CN"/>
        </w:rPr>
      </w:pPr>
      <w:r>
        <w:rPr>
          <w:rFonts w:hint="eastAsia" w:ascii="Calibri" w:hAnsi="Calibri" w:eastAsia="宋体" w:cs="Times New Roman"/>
          <w:b/>
          <w:bCs/>
          <w:color w:val="auto"/>
          <w:sz w:val="24"/>
          <w:lang w:eastAsia="zh-CN"/>
        </w:rPr>
        <w:t xml:space="preserve">第十五条 </w:t>
      </w:r>
      <w:r>
        <w:rPr>
          <w:rFonts w:hint="eastAsia" w:cs="Times New Roman"/>
          <w:b/>
          <w:bCs/>
          <w:color w:val="auto"/>
          <w:sz w:val="24"/>
          <w:lang w:val="en-US" w:eastAsia="zh-CN"/>
        </w:rPr>
        <w:t xml:space="preserve"> </w:t>
      </w:r>
      <w:r>
        <w:rPr>
          <w:rFonts w:hint="eastAsia" w:ascii="Calibri" w:hAnsi="Calibri" w:eastAsia="宋体" w:cs="Times New Roman"/>
          <w:b/>
          <w:bCs/>
          <w:color w:val="auto"/>
          <w:sz w:val="24"/>
          <w:lang w:eastAsia="zh-CN"/>
        </w:rPr>
        <w:t xml:space="preserve">其他 </w:t>
      </w:r>
    </w:p>
    <w:p>
      <w:pPr>
        <w:pStyle w:val="28"/>
        <w:keepNext w:val="0"/>
        <w:keepLines w:val="0"/>
        <w:pageBreakBefore w:val="0"/>
        <w:widowControl w:val="0"/>
        <w:tabs>
          <w:tab w:val="left" w:pos="0"/>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符合《政府采购法》第 49 条规定的，经双方协商，办理政府采购手续后，可签订补充合同，所签订的补充合同与本合同具有同等法律效力。 </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本合同一式</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份，甲、乙双方各执</w:t>
      </w:r>
      <w:r>
        <w:rPr>
          <w:rFonts w:hint="eastAsia" w:cs="Times New Roman"/>
          <w:color w:val="auto"/>
          <w:sz w:val="24"/>
          <w:u w:val="single"/>
          <w:lang w:val="en-US" w:eastAsia="zh-CN"/>
        </w:rPr>
        <w:t xml:space="preserve">     </w:t>
      </w:r>
      <w:r>
        <w:rPr>
          <w:rFonts w:hint="eastAsia" w:ascii="Calibri" w:hAnsi="Calibri" w:eastAsia="宋体" w:cs="Times New Roman"/>
          <w:color w:val="auto"/>
          <w:sz w:val="24"/>
          <w:lang w:eastAsia="zh-CN"/>
        </w:rPr>
        <w:t>份。</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甲 方： </w:t>
      </w:r>
      <w:r>
        <w:rPr>
          <w:rFonts w:hint="eastAsia" w:cs="Times New Roman"/>
          <w:color w:val="auto"/>
          <w:sz w:val="24"/>
          <w:lang w:val="en-US" w:eastAsia="zh-CN"/>
        </w:rPr>
        <w:t xml:space="preserve">                                </w:t>
      </w:r>
      <w:r>
        <w:rPr>
          <w:rFonts w:hint="eastAsia" w:ascii="Calibri" w:hAnsi="Calibri" w:eastAsia="宋体" w:cs="Times New Roman"/>
          <w:color w:val="auto"/>
          <w:sz w:val="24"/>
          <w:lang w:eastAsia="zh-CN"/>
        </w:rPr>
        <w:t xml:space="preserve">乙 方： </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名称：（盖章） </w:t>
      </w:r>
      <w:r>
        <w:rPr>
          <w:rFonts w:hint="eastAsia" w:cs="Times New Roman"/>
          <w:color w:val="auto"/>
          <w:sz w:val="24"/>
          <w:lang w:val="en-US" w:eastAsia="zh-CN"/>
        </w:rPr>
        <w:t xml:space="preserve">                         </w:t>
      </w:r>
      <w:r>
        <w:rPr>
          <w:rFonts w:hint="eastAsia" w:ascii="Calibri" w:hAnsi="Calibri" w:eastAsia="宋体" w:cs="Times New Roman"/>
          <w:color w:val="auto"/>
          <w:sz w:val="24"/>
          <w:lang w:eastAsia="zh-CN"/>
        </w:rPr>
        <w:t>名称</w:t>
      </w:r>
      <w:r>
        <w:rPr>
          <w:rFonts w:hint="eastAsia" w:cs="Times New Roman"/>
          <w:color w:val="auto"/>
          <w:sz w:val="24"/>
          <w:lang w:eastAsia="zh-CN"/>
        </w:rPr>
        <w:t>：</w:t>
      </w:r>
      <w:r>
        <w:rPr>
          <w:rFonts w:hint="eastAsia" w:ascii="Calibri" w:hAnsi="Calibri" w:eastAsia="宋体" w:cs="Times New Roman"/>
          <w:color w:val="auto"/>
          <w:sz w:val="24"/>
          <w:lang w:eastAsia="zh-CN"/>
        </w:rPr>
        <w:t>（盖章）</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地址： </w:t>
      </w:r>
      <w:r>
        <w:rPr>
          <w:rFonts w:hint="eastAsia" w:cs="Times New Roman"/>
          <w:color w:val="auto"/>
          <w:sz w:val="24"/>
          <w:lang w:val="en-US" w:eastAsia="zh-CN"/>
        </w:rPr>
        <w:t xml:space="preserve">                                 </w:t>
      </w:r>
      <w:r>
        <w:rPr>
          <w:rFonts w:hint="eastAsia" w:ascii="Calibri" w:hAnsi="Calibri" w:eastAsia="宋体" w:cs="Times New Roman"/>
          <w:color w:val="auto"/>
          <w:sz w:val="24"/>
          <w:lang w:eastAsia="zh-CN"/>
        </w:rPr>
        <w:t xml:space="preserve">地址： </w:t>
      </w:r>
    </w:p>
    <w:p>
      <w:pPr>
        <w:pStyle w:val="28"/>
        <w:keepNext w:val="0"/>
        <w:keepLines w:val="0"/>
        <w:pageBreakBefore w:val="0"/>
        <w:widowControl w:val="0"/>
        <w:tabs>
          <w:tab w:val="left" w:pos="0"/>
          <w:tab w:val="left" w:pos="210"/>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法定代表人（签字）： </w:t>
      </w:r>
      <w:r>
        <w:rPr>
          <w:rFonts w:hint="eastAsia" w:cs="Times New Roman"/>
          <w:color w:val="auto"/>
          <w:sz w:val="24"/>
          <w:lang w:val="en-US" w:eastAsia="zh-CN"/>
        </w:rPr>
        <w:t xml:space="preserve">                   </w:t>
      </w:r>
      <w:r>
        <w:rPr>
          <w:rFonts w:hint="eastAsia" w:ascii="Calibri" w:hAnsi="Calibri" w:eastAsia="宋体" w:cs="Times New Roman"/>
          <w:color w:val="auto"/>
          <w:sz w:val="24"/>
          <w:lang w:eastAsia="zh-CN"/>
        </w:rPr>
        <w:t xml:space="preserve">法定代表人（签字）： </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授权代表（签字）： </w:t>
      </w:r>
      <w:r>
        <w:rPr>
          <w:rFonts w:hint="eastAsia" w:cs="Times New Roman"/>
          <w:color w:val="auto"/>
          <w:sz w:val="24"/>
          <w:lang w:val="en-US" w:eastAsia="zh-CN"/>
        </w:rPr>
        <w:t xml:space="preserve">                     </w:t>
      </w:r>
      <w:r>
        <w:rPr>
          <w:rFonts w:hint="eastAsia" w:ascii="Calibri" w:hAnsi="Calibri" w:eastAsia="宋体" w:cs="Times New Roman"/>
          <w:color w:val="auto"/>
          <w:sz w:val="24"/>
          <w:lang w:eastAsia="zh-CN"/>
        </w:rPr>
        <w:t>授权代表（签字）：</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开户银行： </w:t>
      </w:r>
      <w:r>
        <w:rPr>
          <w:rFonts w:hint="eastAsia" w:cs="Times New Roman"/>
          <w:color w:val="auto"/>
          <w:sz w:val="24"/>
          <w:lang w:val="en-US" w:eastAsia="zh-CN"/>
        </w:rPr>
        <w:t xml:space="preserve">                             </w:t>
      </w:r>
      <w:r>
        <w:rPr>
          <w:rFonts w:hint="eastAsia" w:ascii="Calibri" w:hAnsi="Calibri" w:eastAsia="宋体" w:cs="Times New Roman"/>
          <w:color w:val="auto"/>
          <w:sz w:val="24"/>
          <w:lang w:eastAsia="zh-CN"/>
        </w:rPr>
        <w:t>开户银行：</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leftChars="0" w:firstLine="480" w:firstLineChars="2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银行帐号： </w:t>
      </w:r>
      <w:r>
        <w:rPr>
          <w:rFonts w:hint="eastAsia" w:cs="Times New Roman"/>
          <w:color w:val="auto"/>
          <w:sz w:val="24"/>
          <w:lang w:val="en-US" w:eastAsia="zh-CN"/>
        </w:rPr>
        <w:t xml:space="preserve">                             </w:t>
      </w:r>
      <w:r>
        <w:rPr>
          <w:rFonts w:hint="eastAsia" w:ascii="Calibri" w:hAnsi="Calibri" w:eastAsia="宋体" w:cs="Times New Roman"/>
          <w:color w:val="auto"/>
          <w:sz w:val="24"/>
          <w:lang w:eastAsia="zh-CN"/>
        </w:rPr>
        <w:t xml:space="preserve">银行帐号： </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firstLine="3840" w:firstLineChars="1600"/>
        <w:textAlignment w:val="auto"/>
        <w:rPr>
          <w:rFonts w:hint="eastAsia" w:ascii="Calibri" w:hAnsi="Calibri" w:eastAsia="宋体" w:cs="Times New Roman"/>
          <w:color w:val="auto"/>
          <w:sz w:val="24"/>
          <w:lang w:eastAsia="zh-CN"/>
        </w:rPr>
      </w:pP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left="0" w:firstLine="5040" w:firstLineChars="2100"/>
        <w:textAlignment w:val="auto"/>
        <w:rPr>
          <w:rFonts w:hint="eastAsia" w:ascii="Calibri" w:hAnsi="Calibri" w:eastAsia="宋体" w:cs="Times New Roman"/>
          <w:color w:val="auto"/>
          <w:sz w:val="24"/>
          <w:lang w:eastAsia="zh-CN"/>
        </w:rPr>
      </w:pPr>
      <w:r>
        <w:rPr>
          <w:rFonts w:hint="eastAsia" w:ascii="Calibri" w:hAnsi="Calibri" w:eastAsia="宋体" w:cs="Times New Roman"/>
          <w:color w:val="auto"/>
          <w:sz w:val="24"/>
          <w:lang w:eastAsia="zh-CN"/>
        </w:rPr>
        <w:t xml:space="preserve">时间： </w:t>
      </w:r>
      <w:r>
        <w:rPr>
          <w:rFonts w:hint="eastAsia" w:cs="Times New Roman"/>
          <w:color w:val="auto"/>
          <w:sz w:val="24"/>
          <w:lang w:val="en-US" w:eastAsia="zh-CN"/>
        </w:rPr>
        <w:t xml:space="preserve">    </w:t>
      </w:r>
      <w:r>
        <w:rPr>
          <w:rFonts w:hint="eastAsia" w:ascii="Calibri" w:hAnsi="Calibri" w:eastAsia="宋体" w:cs="Times New Roman"/>
          <w:color w:val="auto"/>
          <w:sz w:val="24"/>
          <w:lang w:eastAsia="zh-CN"/>
        </w:rPr>
        <w:t xml:space="preserve">年 </w:t>
      </w:r>
      <w:r>
        <w:rPr>
          <w:rFonts w:hint="eastAsia" w:cs="Times New Roman"/>
          <w:color w:val="auto"/>
          <w:sz w:val="24"/>
          <w:lang w:val="en-US" w:eastAsia="zh-CN"/>
        </w:rPr>
        <w:t xml:space="preserve">   </w:t>
      </w:r>
      <w:r>
        <w:rPr>
          <w:rFonts w:hint="eastAsia" w:ascii="Calibri" w:hAnsi="Calibri" w:eastAsia="宋体" w:cs="Times New Roman"/>
          <w:color w:val="auto"/>
          <w:sz w:val="24"/>
          <w:lang w:eastAsia="zh-CN"/>
        </w:rPr>
        <w:t xml:space="preserve">月 </w:t>
      </w:r>
      <w:r>
        <w:rPr>
          <w:rFonts w:hint="eastAsia" w:cs="Times New Roman"/>
          <w:color w:val="auto"/>
          <w:sz w:val="24"/>
          <w:lang w:val="en-US" w:eastAsia="zh-CN"/>
        </w:rPr>
        <w:t xml:space="preserve">    </w:t>
      </w:r>
      <w:r>
        <w:rPr>
          <w:rFonts w:hint="eastAsia" w:ascii="Calibri" w:hAnsi="Calibri" w:eastAsia="宋体" w:cs="Times New Roman"/>
          <w:color w:val="auto"/>
          <w:sz w:val="24"/>
          <w:lang w:eastAsia="zh-CN"/>
        </w:rPr>
        <w:t xml:space="preserve">日 </w:t>
      </w:r>
    </w:p>
    <w:p>
      <w:pPr>
        <w:spacing w:line="500" w:lineRule="atLeast"/>
        <w:rPr>
          <w:rFonts w:hint="eastAsia" w:ascii="宋体" w:hAnsi="宋体" w:cs="宋体"/>
          <w:color w:val="auto"/>
          <w:sz w:val="24"/>
          <w:szCs w:val="24"/>
        </w:rPr>
      </w:pPr>
    </w:p>
    <w:p>
      <w:pPr>
        <w:spacing w:before="120" w:beforeLines="50" w:line="500" w:lineRule="atLeast"/>
        <w:jc w:val="center"/>
        <w:rPr>
          <w:rFonts w:hint="eastAsia" w:ascii="宋体" w:hAnsi="宋体" w:cs="宋体"/>
          <w:b/>
          <w:color w:val="auto"/>
          <w:sz w:val="28"/>
          <w:szCs w:val="28"/>
        </w:rPr>
      </w:pPr>
    </w:p>
    <w:p>
      <w:pPr>
        <w:rPr>
          <w:rFonts w:hint="eastAsia" w:ascii="宋体" w:hAnsi="宋体" w:cs="宋体"/>
          <w:color w:val="auto"/>
          <w:sz w:val="22"/>
          <w:szCs w:val="18"/>
        </w:rPr>
        <w:sectPr>
          <w:footerReference r:id="rId13" w:type="default"/>
          <w:pgSz w:w="11907" w:h="16840"/>
          <w:pgMar w:top="1440" w:right="1080" w:bottom="1440" w:left="1080" w:header="851" w:footer="992" w:gutter="0"/>
          <w:pgNumType w:fmt="decimal"/>
          <w:cols w:space="720" w:num="1"/>
        </w:sectPr>
      </w:pPr>
    </w:p>
    <w:p>
      <w:pPr>
        <w:pStyle w:val="2"/>
        <w:rPr>
          <w:color w:val="auto"/>
        </w:rPr>
      </w:pPr>
      <w:r>
        <w:rPr>
          <w:rFonts w:hint="eastAsia"/>
          <w:color w:val="auto"/>
        </w:rPr>
        <w:t>第</w:t>
      </w:r>
      <w:r>
        <w:rPr>
          <w:rFonts w:hint="eastAsia"/>
          <w:color w:val="auto"/>
          <w:lang w:val="en-US" w:eastAsia="zh-CN"/>
        </w:rPr>
        <w:t>六</w:t>
      </w:r>
      <w:r>
        <w:rPr>
          <w:rFonts w:hint="eastAsia"/>
          <w:color w:val="auto"/>
        </w:rPr>
        <w:t>章</w:t>
      </w:r>
      <w:r>
        <w:rPr>
          <w:rFonts w:hint="eastAsia"/>
          <w:color w:val="auto"/>
          <w:lang w:val="en-US" w:eastAsia="zh-CN"/>
        </w:rPr>
        <w:t xml:space="preserve">  </w:t>
      </w:r>
      <w:r>
        <w:rPr>
          <w:rFonts w:hint="eastAsia"/>
          <w:color w:val="auto"/>
        </w:rPr>
        <w:t>投标文件格式</w:t>
      </w:r>
      <w:bookmarkEnd w:id="179"/>
      <w:bookmarkEnd w:id="180"/>
      <w:bookmarkEnd w:id="181"/>
      <w:bookmarkEnd w:id="182"/>
      <w:bookmarkEnd w:id="183"/>
      <w:bookmarkEnd w:id="184"/>
      <w:bookmarkEnd w:id="185"/>
      <w:bookmarkEnd w:id="186"/>
      <w:bookmarkEnd w:id="187"/>
      <w:bookmarkEnd w:id="188"/>
      <w:bookmarkEnd w:id="189"/>
      <w:bookmarkEnd w:id="190"/>
    </w:p>
    <w:p>
      <w:pPr>
        <w:autoSpaceDE w:val="0"/>
        <w:autoSpaceDN w:val="0"/>
        <w:ind w:firstLine="560"/>
        <w:jc w:val="right"/>
        <w:rPr>
          <w:rFonts w:ascii="宋体" w:hAnsi="宋体" w:cs="宋体"/>
          <w:color w:val="auto"/>
          <w:kern w:val="0"/>
          <w:sz w:val="30"/>
          <w:szCs w:val="30"/>
        </w:rPr>
      </w:pPr>
    </w:p>
    <w:p>
      <w:pPr>
        <w:jc w:val="center"/>
        <w:rPr>
          <w:rFonts w:hint="eastAsia" w:eastAsia="宋体"/>
          <w:color w:val="auto"/>
          <w:kern w:val="0"/>
          <w:sz w:val="40"/>
          <w:szCs w:val="40"/>
          <w:lang w:val="en-US" w:eastAsia="zh-CN"/>
        </w:rPr>
      </w:pPr>
      <w:bookmarkStart w:id="191" w:name="_Toc24603_WPSOffice_Level1"/>
      <w:r>
        <w:rPr>
          <w:rFonts w:hint="eastAsia"/>
          <w:color w:val="auto"/>
          <w:kern w:val="0"/>
          <w:sz w:val="40"/>
          <w:szCs w:val="40"/>
          <w:u w:val="single"/>
        </w:rPr>
        <w:t xml:space="preserve">           </w:t>
      </w:r>
      <w:r>
        <w:rPr>
          <w:rFonts w:hint="eastAsia"/>
          <w:color w:val="auto"/>
          <w:kern w:val="0"/>
          <w:sz w:val="40"/>
          <w:szCs w:val="40"/>
        </w:rPr>
        <w:t>（项目名称）</w:t>
      </w:r>
      <w:bookmarkEnd w:id="191"/>
    </w:p>
    <w:p>
      <w:pPr>
        <w:autoSpaceDE w:val="0"/>
        <w:autoSpaceDN w:val="0"/>
        <w:ind w:firstLine="560"/>
        <w:rPr>
          <w:rFonts w:ascii="宋体" w:hAnsi="宋体" w:cs="宋体"/>
          <w:color w:val="auto"/>
          <w:kern w:val="0"/>
          <w:szCs w:val="21"/>
        </w:rPr>
      </w:pPr>
    </w:p>
    <w:p>
      <w:pPr>
        <w:pStyle w:val="13"/>
        <w:rPr>
          <w:color w:val="auto"/>
        </w:rPr>
      </w:pPr>
    </w:p>
    <w:p>
      <w:pPr>
        <w:autoSpaceDE w:val="0"/>
        <w:autoSpaceDN w:val="0"/>
        <w:ind w:firstLine="560"/>
        <w:rPr>
          <w:rFonts w:ascii="宋体" w:hAnsi="宋体" w:cs="宋体"/>
          <w:color w:val="auto"/>
          <w:kern w:val="0"/>
          <w:szCs w:val="21"/>
        </w:rPr>
      </w:pPr>
    </w:p>
    <w:p>
      <w:pPr>
        <w:jc w:val="center"/>
        <w:rPr>
          <w:color w:val="auto"/>
        </w:rPr>
      </w:pPr>
      <w:bookmarkStart w:id="192" w:name="_Toc23645_WPSOffice_Level1"/>
      <w:r>
        <w:rPr>
          <w:rFonts w:hint="eastAsia"/>
          <w:color w:val="auto"/>
          <w:sz w:val="48"/>
          <w:szCs w:val="48"/>
        </w:rPr>
        <w:t>投   标   文   件</w:t>
      </w:r>
      <w:bookmarkEnd w:id="192"/>
    </w:p>
    <w:p>
      <w:pPr>
        <w:autoSpaceDE w:val="0"/>
        <w:autoSpaceDN w:val="0"/>
        <w:jc w:val="center"/>
        <w:rPr>
          <w:rFonts w:ascii="宋体" w:hAnsi="宋体" w:cs="宋体"/>
          <w:b/>
          <w:color w:val="auto"/>
          <w:kern w:val="0"/>
        </w:rPr>
      </w:pPr>
      <w:bookmarkStart w:id="193" w:name="_Toc28721_WPSOffice_Level1"/>
      <w:r>
        <w:rPr>
          <w:rFonts w:hint="eastAsia" w:ascii="宋体" w:hAnsi="宋体" w:cs="宋体"/>
          <w:b/>
          <w:color w:val="auto"/>
          <w:kern w:val="0"/>
        </w:rPr>
        <w:t>项目编号：</w:t>
      </w:r>
      <w:bookmarkEnd w:id="193"/>
    </w:p>
    <w:p>
      <w:pPr>
        <w:autoSpaceDE w:val="0"/>
        <w:autoSpaceDN w:val="0"/>
        <w:ind w:firstLine="560"/>
        <w:rPr>
          <w:rFonts w:ascii="宋体" w:hAnsi="宋体" w:cs="宋体"/>
          <w:color w:val="auto"/>
          <w:kern w:val="0"/>
          <w:szCs w:val="21"/>
        </w:rPr>
      </w:pPr>
    </w:p>
    <w:p>
      <w:pPr>
        <w:autoSpaceDE w:val="0"/>
        <w:autoSpaceDN w:val="0"/>
        <w:ind w:firstLine="560"/>
        <w:rPr>
          <w:rFonts w:ascii="宋体" w:hAnsi="宋体" w:cs="宋体"/>
          <w:color w:val="auto"/>
          <w:kern w:val="0"/>
          <w:szCs w:val="21"/>
        </w:rPr>
      </w:pPr>
    </w:p>
    <w:p>
      <w:pPr>
        <w:autoSpaceDE w:val="0"/>
        <w:autoSpaceDN w:val="0"/>
        <w:ind w:firstLine="480"/>
        <w:rPr>
          <w:rFonts w:ascii="宋体" w:hAnsi="宋体" w:cs="宋体"/>
          <w:color w:val="auto"/>
          <w:kern w:val="0"/>
          <w:szCs w:val="21"/>
        </w:rPr>
      </w:pPr>
    </w:p>
    <w:p>
      <w:pPr>
        <w:autoSpaceDE w:val="0"/>
        <w:autoSpaceDN w:val="0"/>
        <w:ind w:firstLine="480"/>
        <w:rPr>
          <w:rFonts w:ascii="宋体" w:hAnsi="宋体" w:cs="宋体"/>
          <w:color w:val="auto"/>
          <w:kern w:val="0"/>
          <w:szCs w:val="21"/>
        </w:rPr>
      </w:pPr>
    </w:p>
    <w:p>
      <w:pPr>
        <w:autoSpaceDE w:val="0"/>
        <w:autoSpaceDN w:val="0"/>
        <w:ind w:firstLine="480"/>
        <w:rPr>
          <w:rFonts w:ascii="宋体" w:hAnsi="宋体" w:cs="宋体"/>
          <w:color w:val="auto"/>
          <w:kern w:val="0"/>
          <w:szCs w:val="21"/>
        </w:rPr>
      </w:pPr>
    </w:p>
    <w:p>
      <w:pPr>
        <w:autoSpaceDE w:val="0"/>
        <w:autoSpaceDN w:val="0"/>
        <w:ind w:firstLine="480"/>
        <w:rPr>
          <w:rFonts w:ascii="宋体" w:hAnsi="宋体" w:cs="宋体"/>
          <w:color w:val="auto"/>
          <w:kern w:val="0"/>
          <w:szCs w:val="21"/>
        </w:rPr>
      </w:pPr>
    </w:p>
    <w:p>
      <w:pPr>
        <w:pStyle w:val="13"/>
        <w:rPr>
          <w:color w:val="auto"/>
        </w:rPr>
      </w:pPr>
    </w:p>
    <w:p>
      <w:pPr>
        <w:pStyle w:val="13"/>
        <w:rPr>
          <w:color w:val="auto"/>
        </w:rPr>
      </w:pPr>
    </w:p>
    <w:p>
      <w:pPr>
        <w:pStyle w:val="13"/>
        <w:rPr>
          <w:color w:val="auto"/>
        </w:rPr>
      </w:pPr>
    </w:p>
    <w:p>
      <w:pPr>
        <w:pStyle w:val="13"/>
        <w:rPr>
          <w:color w:val="auto"/>
        </w:rPr>
      </w:pPr>
    </w:p>
    <w:p>
      <w:pPr>
        <w:spacing w:line="360" w:lineRule="auto"/>
        <w:ind w:firstLine="720" w:firstLineChars="300"/>
        <w:jc w:val="center"/>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w:t>
      </w:r>
      <w:r>
        <w:rPr>
          <w:rFonts w:hint="eastAsia" w:ascii="宋体" w:hAnsi="宋体"/>
          <w:color w:val="auto"/>
        </w:rPr>
        <w:t>（盖单位公章）</w:t>
      </w:r>
    </w:p>
    <w:p>
      <w:pPr>
        <w:spacing w:line="360" w:lineRule="auto"/>
        <w:ind w:firstLine="600" w:firstLineChars="250"/>
        <w:jc w:val="center"/>
        <w:rPr>
          <w:rFonts w:hint="eastAsia" w:ascii="宋体" w:hAnsi="宋体"/>
          <w:color w:val="auto"/>
        </w:rPr>
      </w:pPr>
    </w:p>
    <w:p>
      <w:pPr>
        <w:spacing w:line="360" w:lineRule="auto"/>
        <w:ind w:firstLine="600" w:firstLineChars="250"/>
        <w:jc w:val="center"/>
        <w:rPr>
          <w:rFonts w:hint="eastAsia" w:ascii="宋体" w:hAnsi="宋体"/>
          <w:color w:val="auto"/>
        </w:rPr>
      </w:pPr>
      <w:r>
        <w:rPr>
          <w:rFonts w:hint="eastAsia" w:ascii="宋体" w:hAnsi="宋体"/>
          <w:color w:val="auto"/>
        </w:rPr>
        <w:t>法定代表人或其委托代理人：</w:t>
      </w:r>
      <w:r>
        <w:rPr>
          <w:rFonts w:hint="eastAsia" w:ascii="宋体" w:hAnsi="宋体"/>
          <w:color w:val="auto"/>
          <w:u w:val="single"/>
        </w:rPr>
        <w:t xml:space="preserve">            </w:t>
      </w:r>
      <w:r>
        <w:rPr>
          <w:rFonts w:hint="eastAsia" w:ascii="宋体" w:hAnsi="宋体"/>
          <w:color w:val="auto"/>
        </w:rPr>
        <w:t>（签字）</w:t>
      </w:r>
    </w:p>
    <w:p>
      <w:pPr>
        <w:spacing w:line="360" w:lineRule="auto"/>
        <w:jc w:val="center"/>
        <w:rPr>
          <w:rFonts w:hint="eastAsia" w:ascii="宋体" w:hAnsi="宋体"/>
          <w:color w:val="auto"/>
          <w:u w:val="single"/>
        </w:rPr>
      </w:pPr>
    </w:p>
    <w:p>
      <w:pPr>
        <w:spacing w:line="360" w:lineRule="auto"/>
        <w:jc w:val="center"/>
        <w:rPr>
          <w:rFonts w:hint="eastAsia" w:ascii="宋体" w:hAnsi="宋体"/>
          <w:color w:val="auto"/>
          <w:sz w:val="24"/>
          <w:szCs w:val="24"/>
        </w:rPr>
      </w:pP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日</w:t>
      </w:r>
    </w:p>
    <w:p>
      <w:pPr>
        <w:spacing w:line="240" w:lineRule="auto"/>
        <w:rPr>
          <w:rFonts w:ascii="宋体" w:hAnsi="宋体" w:cs="宋体"/>
          <w:color w:val="auto"/>
          <w:kern w:val="0"/>
          <w:szCs w:val="21"/>
        </w:rPr>
      </w:pPr>
      <w:r>
        <w:rPr>
          <w:rFonts w:ascii="宋体" w:hAnsi="宋体" w:cs="宋体"/>
          <w:color w:val="auto"/>
          <w:kern w:val="0"/>
          <w:szCs w:val="21"/>
        </w:rPr>
        <w:br w:type="page"/>
      </w:r>
    </w:p>
    <w:p>
      <w:pPr>
        <w:spacing w:line="360" w:lineRule="auto"/>
        <w:jc w:val="center"/>
        <w:rPr>
          <w:rFonts w:hint="eastAsia" w:ascii="宋体" w:hAnsi="宋体"/>
          <w:b/>
          <w:bCs/>
          <w:color w:val="auto"/>
          <w:sz w:val="30"/>
          <w:szCs w:val="30"/>
        </w:rPr>
      </w:pPr>
      <w:r>
        <w:rPr>
          <w:rFonts w:hint="eastAsia" w:ascii="宋体" w:hAnsi="宋体"/>
          <w:b/>
          <w:bCs/>
          <w:color w:val="auto"/>
          <w:sz w:val="30"/>
          <w:szCs w:val="30"/>
        </w:rPr>
        <w:t>目   录</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olor w:val="auto"/>
          <w:sz w:val="24"/>
          <w:szCs w:val="24"/>
        </w:rPr>
      </w:pP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eastAsia" w:ascii="宋体" w:hAnsi="宋体"/>
          <w:color w:val="auto"/>
          <w:sz w:val="24"/>
          <w:szCs w:val="24"/>
        </w:rPr>
      </w:pPr>
      <w:r>
        <w:rPr>
          <w:rFonts w:hint="eastAsia" w:ascii="宋体" w:hAnsi="宋体"/>
          <w:color w:val="auto"/>
          <w:sz w:val="24"/>
          <w:szCs w:val="24"/>
          <w:lang w:val="en-US" w:eastAsia="zh-CN"/>
        </w:rPr>
        <w:t>一、</w:t>
      </w:r>
      <w:r>
        <w:rPr>
          <w:rFonts w:hint="eastAsia" w:ascii="宋体" w:hAnsi="宋体"/>
          <w:color w:val="auto"/>
          <w:sz w:val="24"/>
          <w:szCs w:val="24"/>
        </w:rPr>
        <w:t>投标函</w:t>
      </w: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eastAsia" w:ascii="宋体" w:hAnsi="宋体"/>
          <w:color w:val="auto"/>
          <w:sz w:val="24"/>
          <w:szCs w:val="24"/>
        </w:rPr>
      </w:pPr>
      <w:r>
        <w:rPr>
          <w:rFonts w:hint="eastAsia" w:ascii="宋体" w:hAnsi="宋体"/>
          <w:color w:val="auto"/>
          <w:sz w:val="24"/>
          <w:szCs w:val="24"/>
          <w:lang w:val="en-US" w:eastAsia="zh-CN"/>
        </w:rPr>
        <w:t>二、</w:t>
      </w:r>
      <w:r>
        <w:rPr>
          <w:rFonts w:hint="eastAsia" w:ascii="宋体" w:hAnsi="宋体"/>
          <w:color w:val="auto"/>
          <w:sz w:val="24"/>
          <w:szCs w:val="24"/>
        </w:rPr>
        <w:t>开标一览表</w:t>
      </w: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三、法定代表人身份证明</w:t>
      </w: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四、法定代表人授权委托书</w:t>
      </w: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eastAsia" w:ascii="宋体" w:hAnsi="宋体"/>
          <w:color w:val="auto"/>
          <w:sz w:val="24"/>
          <w:szCs w:val="24"/>
        </w:rPr>
      </w:pPr>
      <w:r>
        <w:rPr>
          <w:rFonts w:hint="eastAsia" w:ascii="宋体" w:hAnsi="宋体"/>
          <w:color w:val="auto"/>
          <w:sz w:val="24"/>
          <w:szCs w:val="24"/>
          <w:lang w:val="en-US" w:eastAsia="zh-CN"/>
        </w:rPr>
        <w:t>五、</w:t>
      </w:r>
      <w:r>
        <w:rPr>
          <w:rFonts w:hint="eastAsia" w:ascii="宋体" w:hAnsi="宋体"/>
          <w:color w:val="auto"/>
          <w:sz w:val="24"/>
          <w:szCs w:val="24"/>
        </w:rPr>
        <w:t>中小企业声明函</w:t>
      </w: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eastAsia" w:ascii="宋体" w:hAnsi="宋体"/>
          <w:color w:val="auto"/>
          <w:sz w:val="24"/>
          <w:szCs w:val="24"/>
        </w:rPr>
      </w:pPr>
      <w:r>
        <w:rPr>
          <w:rFonts w:hint="eastAsia" w:ascii="宋体" w:hAnsi="宋体"/>
          <w:color w:val="auto"/>
          <w:sz w:val="24"/>
          <w:szCs w:val="24"/>
          <w:lang w:val="en-US" w:eastAsia="zh-CN"/>
        </w:rPr>
        <w:t>六、</w:t>
      </w:r>
      <w:r>
        <w:rPr>
          <w:rFonts w:hint="eastAsia" w:ascii="宋体" w:hAnsi="宋体"/>
          <w:color w:val="auto"/>
          <w:sz w:val="24"/>
          <w:szCs w:val="24"/>
        </w:rPr>
        <w:t>残疾人福利性单位声明函(如有)</w:t>
      </w: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七、监狱企业证明文件（如有）</w:t>
      </w: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八、投标单位资格审查资料</w:t>
      </w: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九、业绩证明</w:t>
      </w: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eastAsia" w:ascii="宋体" w:hAnsi="宋体" w:eastAsia="宋体"/>
          <w:color w:val="auto"/>
          <w:sz w:val="24"/>
          <w:szCs w:val="24"/>
          <w:lang w:val="en-US" w:eastAsia="zh-CN"/>
        </w:rPr>
      </w:pPr>
      <w:bookmarkStart w:id="194" w:name="_Toc18452"/>
      <w:r>
        <w:rPr>
          <w:rFonts w:hint="eastAsia" w:ascii="宋体" w:hAnsi="宋体"/>
          <w:color w:val="auto"/>
          <w:sz w:val="24"/>
          <w:szCs w:val="24"/>
          <w:lang w:val="en-US" w:eastAsia="zh-CN"/>
        </w:rPr>
        <w:t>十、</w:t>
      </w:r>
      <w:r>
        <w:rPr>
          <w:rFonts w:hint="eastAsia" w:ascii="宋体" w:hAnsi="宋体"/>
          <w:color w:val="auto"/>
          <w:sz w:val="24"/>
          <w:szCs w:val="24"/>
        </w:rPr>
        <w:t>反商业贿赂承诺书</w:t>
      </w:r>
    </w:p>
    <w:p>
      <w:pPr>
        <w:keepNext w:val="0"/>
        <w:keepLines w:val="0"/>
        <w:pageBreakBefore w:val="0"/>
        <w:widowControl w:val="0"/>
        <w:kinsoku/>
        <w:wordWrap/>
        <w:overflowPunct/>
        <w:topLinePunct w:val="0"/>
        <w:bidi w:val="0"/>
        <w:snapToGrid/>
        <w:spacing w:line="360" w:lineRule="auto"/>
        <w:ind w:left="0" w:leftChars="0" w:firstLine="739" w:firstLineChars="308"/>
        <w:textAlignment w:val="auto"/>
        <w:rPr>
          <w:rFonts w:hint="default" w:ascii="宋体" w:hAnsi="宋体"/>
          <w:color w:val="auto"/>
          <w:sz w:val="24"/>
          <w:szCs w:val="24"/>
          <w:lang w:val="en-US"/>
        </w:rPr>
      </w:pPr>
      <w:r>
        <w:rPr>
          <w:rFonts w:hint="eastAsia" w:ascii="宋体" w:hAnsi="宋体"/>
          <w:color w:val="auto"/>
          <w:sz w:val="24"/>
          <w:szCs w:val="24"/>
        </w:rPr>
        <w:t>十</w:t>
      </w:r>
      <w:r>
        <w:rPr>
          <w:rFonts w:hint="eastAsia" w:ascii="宋体" w:hAnsi="宋体"/>
          <w:color w:val="auto"/>
          <w:sz w:val="24"/>
          <w:szCs w:val="24"/>
          <w:lang w:val="en-US" w:eastAsia="zh-CN"/>
        </w:rPr>
        <w:t>一、</w:t>
      </w:r>
      <w:bookmarkEnd w:id="194"/>
      <w:r>
        <w:rPr>
          <w:rFonts w:hint="eastAsia" w:ascii="宋体" w:hAnsi="宋体"/>
          <w:color w:val="auto"/>
          <w:sz w:val="24"/>
          <w:szCs w:val="24"/>
          <w:lang w:val="en-US" w:eastAsia="zh-CN"/>
        </w:rPr>
        <w:t>技术部分</w:t>
      </w:r>
    </w:p>
    <w:p>
      <w:pPr>
        <w:pStyle w:val="47"/>
        <w:tabs>
          <w:tab w:val="left" w:pos="939"/>
        </w:tabs>
        <w:ind w:firstLine="720" w:firstLineChars="300"/>
        <w:rPr>
          <w:rFonts w:hint="default"/>
          <w:color w:val="auto"/>
          <w:lang w:val="en-US" w:eastAsia="zh-CN"/>
        </w:rPr>
      </w:pPr>
      <w:r>
        <w:rPr>
          <w:rFonts w:hint="eastAsia" w:hAnsi="宋体"/>
          <w:color w:val="auto"/>
          <w:sz w:val="24"/>
          <w:szCs w:val="24"/>
          <w:lang w:val="en-US" w:eastAsia="zh-CN"/>
        </w:rPr>
        <w:t>十二、其他材料</w:t>
      </w:r>
    </w:p>
    <w:p>
      <w:pPr>
        <w:spacing w:line="312" w:lineRule="auto"/>
        <w:jc w:val="center"/>
        <w:rPr>
          <w:rFonts w:ascii="宋体" w:hAnsi="宋体"/>
          <w:b/>
          <w:color w:val="auto"/>
          <w:sz w:val="22"/>
          <w:szCs w:val="22"/>
        </w:rPr>
      </w:pPr>
    </w:p>
    <w:p>
      <w:pPr>
        <w:pStyle w:val="3"/>
        <w:numPr>
          <w:ilvl w:val="0"/>
          <w:numId w:val="0"/>
        </w:numPr>
        <w:ind w:left="567"/>
        <w:jc w:val="center"/>
        <w:rPr>
          <w:rFonts w:hint="eastAsia" w:ascii="宋体" w:hAnsi="宋体" w:eastAsia="宋体" w:cs="宋体"/>
          <w:b/>
          <w:bCs/>
          <w:color w:val="auto"/>
          <w:sz w:val="24"/>
          <w:szCs w:val="20"/>
        </w:rPr>
      </w:pPr>
      <w:bookmarkStart w:id="195" w:name="_Toc26710"/>
      <w:bookmarkStart w:id="196" w:name="_Toc6760"/>
      <w:bookmarkStart w:id="197" w:name="_Toc8761"/>
      <w:bookmarkStart w:id="198" w:name="_Toc17101"/>
      <w:bookmarkStart w:id="199" w:name="_Toc1509"/>
      <w:r>
        <w:rPr>
          <w:rFonts w:hint="eastAsia" w:ascii="宋体" w:hAnsi="宋体" w:eastAsia="宋体" w:cs="宋体"/>
          <w:b/>
          <w:bCs/>
          <w:color w:val="auto"/>
          <w:sz w:val="24"/>
          <w:szCs w:val="20"/>
        </w:rPr>
        <w:t>（注：可根据内容充实目录</w:t>
      </w:r>
      <w:r>
        <w:rPr>
          <w:rFonts w:hint="eastAsia" w:ascii="宋体" w:hAnsi="宋体" w:eastAsia="宋体" w:cs="宋体"/>
          <w:b/>
          <w:bCs/>
          <w:color w:val="auto"/>
          <w:sz w:val="24"/>
          <w:szCs w:val="20"/>
          <w:lang w:eastAsia="zh-CN"/>
        </w:rPr>
        <w:t>，</w:t>
      </w:r>
      <w:r>
        <w:rPr>
          <w:rFonts w:hint="eastAsia" w:ascii="宋体" w:hAnsi="宋体" w:eastAsia="宋体" w:cs="宋体"/>
          <w:b/>
          <w:bCs/>
          <w:color w:val="auto"/>
          <w:sz w:val="24"/>
          <w:szCs w:val="20"/>
        </w:rPr>
        <w:t>必须编制带页码</w:t>
      </w:r>
      <w:r>
        <w:rPr>
          <w:rFonts w:hint="eastAsia" w:ascii="宋体" w:hAnsi="宋体" w:eastAsia="宋体" w:cs="宋体"/>
          <w:b/>
          <w:bCs/>
          <w:color w:val="auto"/>
          <w:sz w:val="24"/>
          <w:szCs w:val="20"/>
          <w:lang w:val="en-US" w:eastAsia="zh-CN"/>
        </w:rPr>
        <w:t>的</w:t>
      </w:r>
      <w:r>
        <w:rPr>
          <w:rFonts w:hint="eastAsia" w:ascii="宋体" w:hAnsi="宋体" w:eastAsia="宋体" w:cs="宋体"/>
          <w:b/>
          <w:bCs/>
          <w:color w:val="auto"/>
          <w:sz w:val="24"/>
          <w:szCs w:val="20"/>
        </w:rPr>
        <w:t>目录）</w:t>
      </w:r>
      <w:bookmarkEnd w:id="195"/>
      <w:bookmarkEnd w:id="196"/>
      <w:bookmarkEnd w:id="197"/>
      <w:bookmarkEnd w:id="198"/>
      <w:bookmarkEnd w:id="199"/>
    </w:p>
    <w:p>
      <w:pPr>
        <w:bidi w:val="0"/>
        <w:jc w:val="center"/>
        <w:rPr>
          <w:rFonts w:hint="eastAsia"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一、投 标 函</w:t>
      </w:r>
    </w:p>
    <w:p>
      <w:pPr>
        <w:widowControl/>
        <w:spacing w:line="360" w:lineRule="auto"/>
        <w:rPr>
          <w:rFonts w:hint="eastAsia" w:ascii="宋体" w:hAnsi="宋体"/>
          <w:color w:val="auto"/>
          <w:sz w:val="21"/>
          <w:szCs w:val="21"/>
        </w:rPr>
      </w:pPr>
    </w:p>
    <w:p>
      <w:pPr>
        <w:spacing w:line="360" w:lineRule="auto"/>
        <w:rPr>
          <w:rFonts w:hint="eastAsia" w:ascii="宋体" w:hAnsi="宋体" w:eastAsia="宋体"/>
          <w:color w:val="auto"/>
          <w:sz w:val="21"/>
          <w:szCs w:val="21"/>
          <w:lang w:eastAsia="zh-CN"/>
        </w:rPr>
      </w:pPr>
      <w:r>
        <w:rPr>
          <w:rFonts w:hint="eastAsia" w:ascii="宋体" w:hAnsi="宋体"/>
          <w:color w:val="auto"/>
          <w:sz w:val="21"/>
          <w:szCs w:val="21"/>
        </w:rPr>
        <w:t>致：</w:t>
      </w:r>
      <w:r>
        <w:rPr>
          <w:rFonts w:hint="eastAsia" w:ascii="宋体" w:hAnsi="宋体" w:cs="宋体"/>
          <w:color w:val="auto"/>
          <w:sz w:val="21"/>
          <w:szCs w:val="21"/>
          <w:lang w:eastAsia="zh-CN"/>
        </w:rPr>
        <w:t>（采购人）</w:t>
      </w:r>
    </w:p>
    <w:p>
      <w:pPr>
        <w:widowControl/>
        <w:spacing w:line="360" w:lineRule="auto"/>
        <w:ind w:firstLine="428" w:firstLineChars="204"/>
        <w:rPr>
          <w:rFonts w:hint="eastAsia"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（投标单位全称）授权</w:t>
      </w:r>
      <w:r>
        <w:rPr>
          <w:rFonts w:hint="eastAsia" w:ascii="宋体" w:hAnsi="宋体"/>
          <w:color w:val="auto"/>
          <w:sz w:val="21"/>
          <w:szCs w:val="21"/>
          <w:u w:val="single"/>
        </w:rPr>
        <w:t xml:space="preserve">             </w:t>
      </w:r>
      <w:r>
        <w:rPr>
          <w:rFonts w:hint="eastAsia" w:ascii="宋体" w:hAnsi="宋体"/>
          <w:color w:val="auto"/>
          <w:sz w:val="21"/>
          <w:szCs w:val="21"/>
        </w:rPr>
        <w:t>（委托代理人姓名、职务）为本项目委托代理人，参加贵方组织的项目名称：</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采购项目编号：</w:t>
      </w:r>
      <w:r>
        <w:rPr>
          <w:rFonts w:hint="eastAsia" w:ascii="宋体" w:hAnsi="宋体"/>
          <w:color w:val="auto"/>
          <w:sz w:val="21"/>
          <w:szCs w:val="21"/>
          <w:u w:val="single"/>
        </w:rPr>
        <w:t xml:space="preserve">                       </w:t>
      </w:r>
      <w:r>
        <w:rPr>
          <w:rFonts w:hint="eastAsia" w:ascii="宋体" w:hAnsi="宋体"/>
          <w:color w:val="auto"/>
          <w:sz w:val="21"/>
          <w:szCs w:val="21"/>
        </w:rPr>
        <w:t>招标的有关活动，并对相关货物进行投标。</w:t>
      </w:r>
    </w:p>
    <w:p>
      <w:pPr>
        <w:widowControl/>
        <w:spacing w:line="360" w:lineRule="auto"/>
        <w:ind w:firstLine="428" w:firstLineChars="204"/>
        <w:rPr>
          <w:rFonts w:hint="eastAsia" w:ascii="宋体" w:hAnsi="宋体"/>
          <w:color w:val="auto"/>
          <w:sz w:val="21"/>
          <w:szCs w:val="21"/>
        </w:rPr>
      </w:pPr>
      <w:r>
        <w:rPr>
          <w:rFonts w:hint="eastAsia" w:ascii="宋体" w:hAnsi="宋体"/>
          <w:color w:val="auto"/>
          <w:sz w:val="21"/>
          <w:szCs w:val="21"/>
        </w:rPr>
        <w:t>为此承诺如下：</w:t>
      </w:r>
    </w:p>
    <w:p>
      <w:pPr>
        <w:tabs>
          <w:tab w:val="left" w:pos="1365"/>
        </w:tabs>
        <w:spacing w:line="360" w:lineRule="auto"/>
        <w:ind w:firstLine="420" w:firstLineChars="200"/>
        <w:rPr>
          <w:rFonts w:hint="eastAsia" w:ascii="宋体" w:hAnsi="宋体"/>
          <w:color w:val="auto"/>
          <w:sz w:val="21"/>
          <w:szCs w:val="21"/>
        </w:rPr>
      </w:pPr>
      <w:r>
        <w:rPr>
          <w:rFonts w:hint="eastAsia" w:ascii="宋体" w:hAnsi="宋体"/>
          <w:color w:val="auto"/>
          <w:sz w:val="21"/>
          <w:szCs w:val="21"/>
        </w:rPr>
        <w:t>1.投标货物的总报价为人民币（大写）</w:t>
      </w:r>
      <w:r>
        <w:rPr>
          <w:rFonts w:hint="eastAsia" w:ascii="宋体" w:hAnsi="宋体"/>
          <w:color w:val="auto"/>
          <w:sz w:val="21"/>
          <w:szCs w:val="21"/>
          <w:u w:val="single"/>
        </w:rPr>
        <w:t xml:space="preserve">            </w:t>
      </w:r>
      <w:r>
        <w:rPr>
          <w:rFonts w:hint="eastAsia" w:ascii="宋体" w:hAnsi="宋体"/>
          <w:color w:val="auto"/>
          <w:sz w:val="21"/>
          <w:szCs w:val="21"/>
        </w:rPr>
        <w:t>元</w:t>
      </w:r>
      <w:r>
        <w:rPr>
          <w:rFonts w:hint="eastAsia" w:ascii="宋体" w:hAnsi="宋体"/>
          <w:color w:val="auto"/>
          <w:sz w:val="21"/>
          <w:szCs w:val="21"/>
          <w:lang w:val="en-US" w:eastAsia="zh-CN"/>
        </w:rPr>
        <w:t>每年</w:t>
      </w:r>
      <w:r>
        <w:rPr>
          <w:rFonts w:hint="eastAsia" w:ascii="宋体" w:hAnsi="宋体"/>
          <w:color w:val="auto"/>
          <w:sz w:val="21"/>
          <w:szCs w:val="21"/>
        </w:rPr>
        <w:t>，（小写）</w:t>
      </w:r>
      <w:r>
        <w:rPr>
          <w:rFonts w:hint="eastAsia" w:ascii="宋体" w:hAnsi="宋体"/>
          <w:color w:val="auto"/>
          <w:sz w:val="21"/>
          <w:szCs w:val="21"/>
          <w:u w:val="single"/>
        </w:rPr>
        <w:t xml:space="preserve">              </w:t>
      </w:r>
      <w:r>
        <w:rPr>
          <w:rFonts w:hint="eastAsia" w:ascii="宋体" w:hAnsi="宋体"/>
          <w:color w:val="auto"/>
          <w:sz w:val="21"/>
          <w:szCs w:val="21"/>
        </w:rPr>
        <w:t>元</w:t>
      </w:r>
      <w:r>
        <w:rPr>
          <w:rFonts w:hint="eastAsia" w:ascii="宋体" w:hAnsi="宋体"/>
          <w:color w:val="auto"/>
          <w:sz w:val="21"/>
          <w:szCs w:val="21"/>
          <w:lang w:val="en-US" w:eastAsia="zh-CN"/>
        </w:rPr>
        <w:t>/年</w:t>
      </w:r>
      <w:r>
        <w:rPr>
          <w:rFonts w:hint="eastAsia" w:ascii="宋体" w:hAnsi="宋体"/>
          <w:color w:val="auto"/>
          <w:sz w:val="21"/>
          <w:szCs w:val="21"/>
        </w:rPr>
        <w:t>。</w:t>
      </w:r>
    </w:p>
    <w:p>
      <w:pPr>
        <w:tabs>
          <w:tab w:val="left" w:pos="1365"/>
        </w:tabs>
        <w:spacing w:line="360" w:lineRule="auto"/>
        <w:ind w:firstLine="420" w:firstLineChars="200"/>
        <w:rPr>
          <w:rFonts w:hint="eastAsia" w:ascii="宋体" w:hAnsi="宋体"/>
          <w:color w:val="auto"/>
          <w:sz w:val="21"/>
          <w:szCs w:val="21"/>
        </w:rPr>
      </w:pPr>
      <w:r>
        <w:rPr>
          <w:rFonts w:hint="eastAsia" w:ascii="宋体" w:hAnsi="宋体"/>
          <w:color w:val="auto"/>
          <w:sz w:val="21"/>
          <w:szCs w:val="21"/>
        </w:rPr>
        <w:t>2.如我方的投标文件被接受，我们将履行招标文件中规定的每一项要求，按期、按质、按量履行合同。我方声明，我单位递交的投标文件中所提供全部资料均符合招标文件的要求，合法、真实、有效，并且在以后实施中承担由于与此不符而引起的一切责任。</w:t>
      </w:r>
    </w:p>
    <w:p>
      <w:pPr>
        <w:tabs>
          <w:tab w:val="left" w:pos="1365"/>
        </w:tabs>
        <w:spacing w:line="360" w:lineRule="auto"/>
        <w:ind w:firstLine="420" w:firstLineChars="200"/>
        <w:rPr>
          <w:rFonts w:hint="eastAsia" w:ascii="宋体" w:hAnsi="宋体"/>
          <w:color w:val="auto"/>
          <w:sz w:val="21"/>
          <w:szCs w:val="21"/>
        </w:rPr>
      </w:pPr>
      <w:r>
        <w:rPr>
          <w:rFonts w:hint="eastAsia" w:ascii="宋体" w:hAnsi="宋体"/>
          <w:color w:val="auto"/>
          <w:sz w:val="21"/>
          <w:szCs w:val="21"/>
        </w:rPr>
        <w:t>3.我方愿按《中华人民共和国</w:t>
      </w:r>
      <w:r>
        <w:rPr>
          <w:rFonts w:hint="eastAsia" w:ascii="宋体" w:hAnsi="宋体"/>
          <w:color w:val="auto"/>
          <w:sz w:val="21"/>
          <w:szCs w:val="21"/>
          <w:lang w:val="en-US" w:eastAsia="zh-CN"/>
        </w:rPr>
        <w:t>民法典</w:t>
      </w:r>
      <w:r>
        <w:rPr>
          <w:rFonts w:hint="eastAsia" w:ascii="宋体" w:hAnsi="宋体"/>
          <w:color w:val="auto"/>
          <w:sz w:val="21"/>
          <w:szCs w:val="21"/>
        </w:rPr>
        <w:t>》履行我方的全部责任。</w:t>
      </w:r>
    </w:p>
    <w:p>
      <w:pPr>
        <w:tabs>
          <w:tab w:val="left" w:pos="1365"/>
        </w:tabs>
        <w:spacing w:line="360" w:lineRule="auto"/>
        <w:ind w:firstLine="420" w:firstLineChars="200"/>
        <w:rPr>
          <w:rFonts w:hint="eastAsia" w:ascii="宋体" w:hAnsi="宋体"/>
          <w:color w:val="auto"/>
          <w:sz w:val="21"/>
          <w:szCs w:val="21"/>
        </w:rPr>
      </w:pPr>
      <w:r>
        <w:rPr>
          <w:rFonts w:hint="eastAsia" w:ascii="宋体" w:hAnsi="宋体"/>
          <w:color w:val="auto"/>
          <w:sz w:val="21"/>
          <w:szCs w:val="21"/>
        </w:rPr>
        <w:t>4.我方已详细审查全部招标文件，包括修改文件以及全部参考资料。我们完全理解并同意放弃对这方面有不明及误解的权力。</w:t>
      </w:r>
    </w:p>
    <w:p>
      <w:pPr>
        <w:tabs>
          <w:tab w:val="left" w:pos="1365"/>
        </w:tabs>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我方同意提供按照贵方可能要求的与其投标有关的一切数据或资料，理解贵方不一定要接受最低价的投标或收到的任何投标。</w:t>
      </w:r>
    </w:p>
    <w:p>
      <w:pPr>
        <w:tabs>
          <w:tab w:val="left" w:pos="1365"/>
        </w:tabs>
        <w:spacing w:line="360" w:lineRule="auto"/>
        <w:ind w:firstLine="840" w:firstLineChars="400"/>
        <w:rPr>
          <w:rFonts w:hint="eastAsia" w:ascii="宋体" w:hAnsi="宋体"/>
          <w:color w:val="auto"/>
          <w:sz w:val="21"/>
          <w:szCs w:val="21"/>
        </w:rPr>
      </w:pPr>
    </w:p>
    <w:p>
      <w:pPr>
        <w:tabs>
          <w:tab w:val="left" w:pos="1365"/>
        </w:tabs>
        <w:spacing w:line="360" w:lineRule="auto"/>
        <w:ind w:firstLine="840" w:firstLineChars="400"/>
        <w:rPr>
          <w:rFonts w:hint="eastAsia" w:ascii="宋体" w:hAnsi="宋体"/>
          <w:color w:val="auto"/>
          <w:sz w:val="21"/>
          <w:szCs w:val="21"/>
        </w:rPr>
      </w:pPr>
      <w:r>
        <w:rPr>
          <w:rFonts w:hint="eastAsia" w:ascii="宋体" w:hAnsi="宋体"/>
          <w:color w:val="auto"/>
          <w:sz w:val="21"/>
          <w:szCs w:val="21"/>
        </w:rPr>
        <w:t>联系人：                         电话：</w:t>
      </w:r>
    </w:p>
    <w:p>
      <w:pPr>
        <w:tabs>
          <w:tab w:val="left" w:pos="1365"/>
        </w:tabs>
        <w:spacing w:line="360" w:lineRule="auto"/>
        <w:ind w:firstLine="840" w:firstLineChars="400"/>
        <w:rPr>
          <w:rFonts w:hint="eastAsia" w:ascii="宋体" w:hAnsi="宋体"/>
          <w:color w:val="auto"/>
          <w:sz w:val="21"/>
          <w:szCs w:val="21"/>
        </w:rPr>
      </w:pPr>
      <w:r>
        <w:rPr>
          <w:rFonts w:hint="eastAsia" w:ascii="宋体" w:hAnsi="宋体"/>
          <w:color w:val="auto"/>
          <w:sz w:val="21"/>
          <w:szCs w:val="21"/>
        </w:rPr>
        <w:t>传真：                           电子邮箱：</w:t>
      </w:r>
    </w:p>
    <w:p>
      <w:pPr>
        <w:tabs>
          <w:tab w:val="left" w:pos="1365"/>
        </w:tabs>
        <w:spacing w:line="360" w:lineRule="auto"/>
        <w:ind w:firstLine="840" w:firstLineChars="400"/>
        <w:rPr>
          <w:rFonts w:hint="eastAsia" w:ascii="宋体" w:hAnsi="宋体"/>
          <w:color w:val="auto"/>
          <w:sz w:val="21"/>
          <w:szCs w:val="21"/>
        </w:rPr>
      </w:pPr>
      <w:r>
        <w:rPr>
          <w:rFonts w:hint="eastAsia" w:ascii="宋体" w:hAnsi="宋体"/>
          <w:color w:val="auto"/>
          <w:sz w:val="21"/>
          <w:szCs w:val="21"/>
        </w:rPr>
        <w:t>地址：                           邮政编码：</w:t>
      </w:r>
    </w:p>
    <w:p>
      <w:pPr>
        <w:tabs>
          <w:tab w:val="left" w:pos="1365"/>
        </w:tabs>
        <w:spacing w:line="360" w:lineRule="auto"/>
        <w:ind w:firstLine="840" w:firstLineChars="400"/>
        <w:rPr>
          <w:rFonts w:hint="eastAsia" w:ascii="宋体" w:hAnsi="宋体"/>
          <w:color w:val="auto"/>
          <w:sz w:val="21"/>
          <w:szCs w:val="21"/>
        </w:rPr>
      </w:pPr>
      <w:r>
        <w:rPr>
          <w:rFonts w:hint="eastAsia" w:ascii="宋体" w:hAnsi="宋体"/>
          <w:color w:val="auto"/>
          <w:sz w:val="21"/>
          <w:szCs w:val="21"/>
        </w:rPr>
        <w:t>投标单位（盖章）：               法定代表人或其委托代理人（签字）：</w:t>
      </w:r>
    </w:p>
    <w:p>
      <w:pPr>
        <w:tabs>
          <w:tab w:val="left" w:pos="1365"/>
        </w:tabs>
        <w:spacing w:line="360" w:lineRule="auto"/>
        <w:ind w:left="1176" w:leftChars="490"/>
        <w:rPr>
          <w:rFonts w:hint="eastAsia" w:ascii="宋体" w:hAnsi="宋体"/>
          <w:color w:val="auto"/>
          <w:sz w:val="21"/>
          <w:szCs w:val="21"/>
        </w:rPr>
      </w:pPr>
    </w:p>
    <w:p>
      <w:pPr>
        <w:spacing w:line="360" w:lineRule="auto"/>
        <w:ind w:firstLine="5250" w:firstLineChars="2500"/>
        <w:rPr>
          <w:rFonts w:hint="eastAsia" w:ascii="宋体" w:hAnsi="宋体"/>
          <w:color w:val="auto"/>
          <w:sz w:val="21"/>
          <w:szCs w:val="21"/>
        </w:rPr>
      </w:pPr>
      <w:r>
        <w:rPr>
          <w:rFonts w:hint="eastAsia" w:ascii="宋体" w:hAnsi="宋体"/>
          <w:color w:val="auto"/>
          <w:sz w:val="21"/>
          <w:szCs w:val="21"/>
        </w:rPr>
        <w:t>日期：   年   月     日</w:t>
      </w:r>
    </w:p>
    <w:p>
      <w:pPr>
        <w:tabs>
          <w:tab w:val="left" w:pos="1365"/>
        </w:tabs>
        <w:spacing w:line="312" w:lineRule="auto"/>
        <w:ind w:firstLine="6120" w:firstLineChars="2550"/>
        <w:rPr>
          <w:rFonts w:hint="eastAsia" w:ascii="宋体" w:hAnsi="宋体"/>
          <w:color w:val="auto"/>
          <w:szCs w:val="21"/>
        </w:rPr>
      </w:pPr>
    </w:p>
    <w:p>
      <w:pPr>
        <w:tabs>
          <w:tab w:val="left" w:pos="1365"/>
        </w:tabs>
        <w:spacing w:line="312" w:lineRule="auto"/>
        <w:ind w:firstLine="6144" w:firstLineChars="2550"/>
        <w:rPr>
          <w:rFonts w:hint="eastAsia" w:ascii="宋体" w:hAnsi="宋体"/>
          <w:b/>
          <w:color w:val="auto"/>
          <w:szCs w:val="21"/>
        </w:rPr>
      </w:pPr>
    </w:p>
    <w:p>
      <w:pPr>
        <w:tabs>
          <w:tab w:val="left" w:pos="1365"/>
        </w:tabs>
        <w:spacing w:line="312" w:lineRule="auto"/>
        <w:ind w:firstLine="120" w:firstLineChars="50"/>
        <w:rPr>
          <w:rFonts w:hint="eastAsia" w:ascii="宋体" w:hAnsi="宋体"/>
          <w:b/>
          <w:color w:val="auto"/>
          <w:szCs w:val="21"/>
        </w:rPr>
      </w:pPr>
    </w:p>
    <w:p>
      <w:pPr>
        <w:tabs>
          <w:tab w:val="left" w:pos="1365"/>
        </w:tabs>
        <w:spacing w:line="312" w:lineRule="auto"/>
        <w:ind w:firstLine="120" w:firstLineChars="50"/>
        <w:rPr>
          <w:rFonts w:hint="eastAsia" w:ascii="宋体" w:hAnsi="宋体"/>
          <w:b/>
          <w:color w:val="auto"/>
          <w:szCs w:val="21"/>
        </w:rPr>
      </w:pPr>
    </w:p>
    <w:p>
      <w:pPr>
        <w:pStyle w:val="13"/>
        <w:rPr>
          <w:rFonts w:hint="eastAsia" w:ascii="宋体" w:hAnsi="宋体"/>
          <w:b/>
          <w:color w:val="auto"/>
          <w:szCs w:val="21"/>
        </w:rPr>
      </w:pPr>
    </w:p>
    <w:p>
      <w:pPr>
        <w:pStyle w:val="47"/>
        <w:rPr>
          <w:rFonts w:hint="eastAsia" w:hAnsi="宋体"/>
          <w:b/>
          <w:color w:val="auto"/>
          <w:szCs w:val="21"/>
        </w:rPr>
      </w:pPr>
    </w:p>
    <w:p>
      <w:pPr>
        <w:pStyle w:val="49"/>
        <w:rPr>
          <w:rFonts w:hint="eastAsia"/>
          <w:color w:val="auto"/>
        </w:rPr>
      </w:pPr>
    </w:p>
    <w:p>
      <w:pPr>
        <w:pStyle w:val="47"/>
        <w:rPr>
          <w:rFonts w:hint="eastAsia" w:hAnsi="宋体"/>
          <w:b/>
          <w:color w:val="auto"/>
          <w:szCs w:val="21"/>
        </w:rPr>
      </w:pPr>
    </w:p>
    <w:p>
      <w:pPr>
        <w:pStyle w:val="47"/>
        <w:rPr>
          <w:rFonts w:hint="eastAsia" w:hAnsi="宋体"/>
          <w:b/>
          <w:color w:val="auto"/>
          <w:szCs w:val="21"/>
        </w:rPr>
      </w:pPr>
    </w:p>
    <w:p>
      <w:pPr>
        <w:pStyle w:val="47"/>
        <w:rPr>
          <w:rFonts w:hint="eastAsia" w:hAnsi="宋体"/>
          <w:b/>
          <w:color w:val="auto"/>
          <w:szCs w:val="21"/>
        </w:rPr>
      </w:pPr>
    </w:p>
    <w:p>
      <w:pPr>
        <w:spacing w:line="312" w:lineRule="auto"/>
        <w:jc w:val="center"/>
        <w:rPr>
          <w:rFonts w:hint="eastAsia" w:ascii="宋体" w:hAnsi="宋体"/>
          <w:b/>
          <w:color w:val="auto"/>
          <w:sz w:val="28"/>
          <w:szCs w:val="28"/>
        </w:rPr>
      </w:pPr>
      <w:r>
        <w:rPr>
          <w:rFonts w:hint="eastAsia" w:ascii="宋体" w:hAnsi="宋体"/>
          <w:b/>
          <w:color w:val="auto"/>
          <w:sz w:val="28"/>
          <w:szCs w:val="28"/>
          <w:lang w:eastAsia="zh-CN"/>
        </w:rPr>
        <w:t>二</w:t>
      </w:r>
      <w:r>
        <w:rPr>
          <w:rFonts w:hint="eastAsia" w:ascii="宋体" w:hAnsi="宋体"/>
          <w:b/>
          <w:color w:val="auto"/>
          <w:sz w:val="28"/>
          <w:szCs w:val="28"/>
        </w:rPr>
        <w:t>、开标一览表</w:t>
      </w:r>
    </w:p>
    <w:p>
      <w:pPr>
        <w:spacing w:line="312" w:lineRule="auto"/>
        <w:ind w:firstLine="105" w:firstLineChars="50"/>
        <w:rPr>
          <w:rFonts w:hint="eastAsia" w:ascii="宋体" w:hAnsi="宋体"/>
          <w:color w:val="auto"/>
          <w:sz w:val="21"/>
          <w:szCs w:val="21"/>
          <w:u w:val="singl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05" w:type="dxa"/>
            <w:noWrap w:val="0"/>
            <w:vAlign w:val="center"/>
          </w:tcPr>
          <w:p>
            <w:pPr>
              <w:spacing w:line="312" w:lineRule="auto"/>
              <w:jc w:val="center"/>
              <w:rPr>
                <w:rFonts w:hint="default" w:ascii="宋体" w:hAnsi="宋体" w:eastAsia="宋体"/>
                <w:color w:val="auto"/>
                <w:sz w:val="21"/>
                <w:szCs w:val="21"/>
                <w:lang w:val="en-US" w:eastAsia="zh-CN"/>
              </w:rPr>
            </w:pPr>
            <w:r>
              <w:rPr>
                <w:rFonts w:hint="eastAsia" w:ascii="宋体" w:hAnsi="宋体"/>
                <w:color w:val="auto"/>
                <w:sz w:val="21"/>
                <w:szCs w:val="21"/>
              </w:rPr>
              <w:t>项目名称</w:t>
            </w:r>
          </w:p>
        </w:tc>
        <w:tc>
          <w:tcPr>
            <w:tcW w:w="6554" w:type="dxa"/>
            <w:noWrap w:val="0"/>
            <w:vAlign w:val="center"/>
          </w:tcPr>
          <w:p>
            <w:pPr>
              <w:spacing w:line="360" w:lineRule="exact"/>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5" w:type="dxa"/>
            <w:noWrap w:val="0"/>
            <w:vAlign w:val="center"/>
          </w:tcPr>
          <w:p>
            <w:pPr>
              <w:spacing w:line="312" w:lineRule="auto"/>
              <w:jc w:val="center"/>
              <w:rPr>
                <w:rFonts w:hint="eastAsia" w:ascii="宋体" w:hAnsi="宋体"/>
                <w:color w:val="auto"/>
                <w:sz w:val="21"/>
                <w:szCs w:val="21"/>
              </w:rPr>
            </w:pPr>
            <w:r>
              <w:rPr>
                <w:rFonts w:hint="eastAsia" w:ascii="宋体" w:hAnsi="宋体"/>
                <w:color w:val="auto"/>
                <w:sz w:val="21"/>
                <w:szCs w:val="21"/>
              </w:rPr>
              <w:t>投标人</w:t>
            </w:r>
          </w:p>
        </w:tc>
        <w:tc>
          <w:tcPr>
            <w:tcW w:w="6554" w:type="dxa"/>
            <w:noWrap w:val="0"/>
            <w:vAlign w:val="center"/>
          </w:tcPr>
          <w:p>
            <w:pPr>
              <w:spacing w:line="360" w:lineRule="exact"/>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exact"/>
          <w:jc w:val="center"/>
        </w:trPr>
        <w:tc>
          <w:tcPr>
            <w:tcW w:w="2305" w:type="dxa"/>
            <w:noWrap w:val="0"/>
            <w:vAlign w:val="center"/>
          </w:tcPr>
          <w:p>
            <w:pPr>
              <w:spacing w:line="312" w:lineRule="auto"/>
              <w:jc w:val="center"/>
              <w:rPr>
                <w:rFonts w:hint="eastAsia" w:ascii="宋体" w:hAnsi="宋体"/>
                <w:color w:val="auto"/>
                <w:sz w:val="21"/>
                <w:szCs w:val="21"/>
              </w:rPr>
            </w:pPr>
            <w:r>
              <w:rPr>
                <w:rFonts w:hint="eastAsia" w:ascii="宋体" w:hAnsi="宋体"/>
                <w:color w:val="auto"/>
                <w:sz w:val="21"/>
                <w:szCs w:val="21"/>
              </w:rPr>
              <w:t>投标</w:t>
            </w:r>
            <w:r>
              <w:rPr>
                <w:rFonts w:hint="eastAsia" w:ascii="宋体" w:hAnsi="宋体"/>
                <w:color w:val="auto"/>
                <w:sz w:val="21"/>
                <w:szCs w:val="21"/>
                <w:lang w:val="en-US" w:eastAsia="zh-CN"/>
              </w:rPr>
              <w:t>总</w:t>
            </w:r>
            <w:r>
              <w:rPr>
                <w:rFonts w:hint="eastAsia" w:ascii="宋体" w:hAnsi="宋体"/>
                <w:color w:val="auto"/>
                <w:sz w:val="21"/>
                <w:szCs w:val="21"/>
              </w:rPr>
              <w:t>报价</w:t>
            </w:r>
          </w:p>
        </w:tc>
        <w:tc>
          <w:tcPr>
            <w:tcW w:w="6554" w:type="dxa"/>
            <w:noWrap w:val="0"/>
            <w:vAlign w:val="center"/>
          </w:tcPr>
          <w:p>
            <w:pPr>
              <w:spacing w:line="312" w:lineRule="auto"/>
              <w:rPr>
                <w:rFonts w:hint="eastAsia" w:ascii="宋体" w:hAnsi="宋体"/>
                <w:color w:val="auto"/>
                <w:sz w:val="21"/>
                <w:szCs w:val="21"/>
              </w:rPr>
            </w:pPr>
            <w:r>
              <w:rPr>
                <w:rFonts w:hint="eastAsia" w:ascii="宋体" w:hAnsi="宋体"/>
                <w:color w:val="auto"/>
                <w:sz w:val="21"/>
                <w:szCs w:val="21"/>
              </w:rPr>
              <w:t>小写：</w:t>
            </w:r>
            <w:r>
              <w:rPr>
                <w:rFonts w:hint="eastAsia" w:ascii="宋体" w:hAnsi="宋体"/>
                <w:color w:val="auto"/>
                <w:sz w:val="21"/>
                <w:szCs w:val="21"/>
                <w:u w:val="single"/>
              </w:rPr>
              <w:t xml:space="preserve">　　　                </w:t>
            </w:r>
            <w:r>
              <w:rPr>
                <w:rFonts w:hint="eastAsia" w:ascii="宋体" w:hAnsi="宋体"/>
                <w:color w:val="auto"/>
                <w:sz w:val="21"/>
                <w:szCs w:val="21"/>
              </w:rPr>
              <w:t xml:space="preserve">元　　    </w:t>
            </w:r>
          </w:p>
          <w:p>
            <w:pPr>
              <w:spacing w:line="312" w:lineRule="auto"/>
              <w:jc w:val="both"/>
              <w:rPr>
                <w:rFonts w:hint="eastAsia" w:ascii="宋体" w:hAnsi="宋体" w:eastAsia="宋体"/>
                <w:color w:val="auto"/>
                <w:sz w:val="21"/>
                <w:szCs w:val="21"/>
                <w:lang w:val="en-US" w:eastAsia="zh-CN"/>
              </w:rPr>
            </w:pPr>
            <w:r>
              <w:rPr>
                <w:rFonts w:hint="eastAsia" w:ascii="宋体" w:hAnsi="宋体"/>
                <w:color w:val="auto"/>
                <w:sz w:val="21"/>
                <w:szCs w:val="21"/>
              </w:rPr>
              <w:t>大写：</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2305" w:type="dxa"/>
            <w:noWrap w:val="0"/>
            <w:vAlign w:val="center"/>
          </w:tcPr>
          <w:p>
            <w:pPr>
              <w:spacing w:line="312"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投标单价</w:t>
            </w:r>
          </w:p>
        </w:tc>
        <w:tc>
          <w:tcPr>
            <w:tcW w:w="6554" w:type="dxa"/>
            <w:noWrap w:val="0"/>
            <w:vAlign w:val="center"/>
          </w:tcPr>
          <w:p>
            <w:pPr>
              <w:spacing w:line="312" w:lineRule="auto"/>
              <w:jc w:val="both"/>
              <w:rPr>
                <w:rFonts w:hint="eastAsia"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lang w:val="en-US" w:eastAsia="zh-CN"/>
              </w:rPr>
              <w:t xml:space="preserve">元/月/户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2305" w:type="dxa"/>
            <w:noWrap w:val="0"/>
            <w:vAlign w:val="center"/>
          </w:tcPr>
          <w:p>
            <w:pPr>
              <w:spacing w:line="312"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合同履行期限</w:t>
            </w:r>
          </w:p>
        </w:tc>
        <w:tc>
          <w:tcPr>
            <w:tcW w:w="6554" w:type="dxa"/>
            <w:noWrap w:val="0"/>
            <w:vAlign w:val="center"/>
          </w:tcPr>
          <w:p>
            <w:pPr>
              <w:spacing w:line="312" w:lineRule="auto"/>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2305" w:type="dxa"/>
            <w:noWrap w:val="0"/>
            <w:vAlign w:val="center"/>
          </w:tcPr>
          <w:p>
            <w:pPr>
              <w:spacing w:line="312" w:lineRule="auto"/>
              <w:jc w:val="center"/>
              <w:rPr>
                <w:rFonts w:hint="eastAsia" w:ascii="宋体" w:hAnsi="宋体"/>
                <w:color w:val="auto"/>
                <w:sz w:val="21"/>
                <w:szCs w:val="21"/>
              </w:rPr>
            </w:pPr>
            <w:r>
              <w:rPr>
                <w:rFonts w:hint="eastAsia" w:ascii="宋体" w:hAnsi="宋体"/>
                <w:color w:val="auto"/>
                <w:sz w:val="21"/>
                <w:szCs w:val="21"/>
              </w:rPr>
              <w:t>质量要求</w:t>
            </w:r>
          </w:p>
        </w:tc>
        <w:tc>
          <w:tcPr>
            <w:tcW w:w="6554" w:type="dxa"/>
            <w:noWrap w:val="0"/>
            <w:vAlign w:val="center"/>
          </w:tcPr>
          <w:p>
            <w:pPr>
              <w:spacing w:line="312" w:lineRule="auto"/>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305" w:type="dxa"/>
            <w:noWrap w:val="0"/>
            <w:vAlign w:val="center"/>
          </w:tcPr>
          <w:p>
            <w:pPr>
              <w:spacing w:line="312"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备注</w:t>
            </w:r>
          </w:p>
        </w:tc>
        <w:tc>
          <w:tcPr>
            <w:tcW w:w="6554" w:type="dxa"/>
            <w:noWrap w:val="0"/>
            <w:vAlign w:val="center"/>
          </w:tcPr>
          <w:p>
            <w:pPr>
              <w:spacing w:line="312" w:lineRule="auto"/>
              <w:rPr>
                <w:rFonts w:hint="eastAsia" w:ascii="宋体" w:hAnsi="宋体"/>
                <w:color w:val="auto"/>
                <w:sz w:val="21"/>
                <w:szCs w:val="21"/>
              </w:rPr>
            </w:pPr>
          </w:p>
        </w:tc>
      </w:tr>
    </w:tbl>
    <w:p>
      <w:pPr>
        <w:spacing w:line="312" w:lineRule="auto"/>
        <w:ind w:firstLine="210" w:firstLineChars="100"/>
        <w:rPr>
          <w:rFonts w:hint="eastAsia" w:ascii="宋体" w:hAnsi="宋体"/>
          <w:color w:val="auto"/>
          <w:sz w:val="21"/>
          <w:szCs w:val="21"/>
        </w:rPr>
      </w:pPr>
    </w:p>
    <w:p>
      <w:pPr>
        <w:tabs>
          <w:tab w:val="left" w:pos="1365"/>
        </w:tabs>
        <w:spacing w:line="360" w:lineRule="auto"/>
        <w:ind w:firstLine="315" w:firstLineChars="150"/>
        <w:rPr>
          <w:rFonts w:hint="eastAsia" w:ascii="宋体" w:hAnsi="宋体"/>
          <w:color w:val="auto"/>
          <w:sz w:val="21"/>
          <w:szCs w:val="21"/>
        </w:rPr>
      </w:pPr>
    </w:p>
    <w:p>
      <w:pPr>
        <w:tabs>
          <w:tab w:val="left" w:pos="1365"/>
        </w:tabs>
        <w:spacing w:line="360" w:lineRule="auto"/>
        <w:ind w:firstLine="315" w:firstLineChars="150"/>
        <w:rPr>
          <w:rFonts w:hint="eastAsia" w:ascii="宋体" w:hAnsi="宋体"/>
          <w:color w:val="auto"/>
          <w:sz w:val="21"/>
          <w:szCs w:val="21"/>
        </w:rPr>
      </w:pPr>
      <w:r>
        <w:rPr>
          <w:rFonts w:hint="eastAsia" w:ascii="宋体" w:hAnsi="宋体"/>
          <w:color w:val="auto"/>
          <w:sz w:val="21"/>
          <w:szCs w:val="21"/>
        </w:rPr>
        <w:t>投标单位（盖章）：                法定代表人或其委托代理人（签字）：</w:t>
      </w:r>
    </w:p>
    <w:p>
      <w:pPr>
        <w:tabs>
          <w:tab w:val="left" w:pos="1365"/>
        </w:tabs>
        <w:spacing w:line="360" w:lineRule="auto"/>
        <w:ind w:firstLine="315" w:firstLineChars="150"/>
        <w:rPr>
          <w:rFonts w:hint="eastAsia" w:ascii="宋体" w:hAnsi="宋体"/>
          <w:color w:val="auto"/>
          <w:sz w:val="21"/>
          <w:szCs w:val="21"/>
        </w:rPr>
      </w:pPr>
    </w:p>
    <w:p>
      <w:pPr>
        <w:tabs>
          <w:tab w:val="left" w:pos="1365"/>
        </w:tabs>
        <w:spacing w:line="360" w:lineRule="auto"/>
        <w:ind w:firstLine="5565" w:firstLineChars="2650"/>
        <w:rPr>
          <w:rFonts w:hint="eastAsia" w:ascii="宋体" w:hAnsi="宋体"/>
          <w:color w:val="auto"/>
          <w:sz w:val="21"/>
          <w:szCs w:val="21"/>
        </w:rPr>
      </w:pPr>
      <w:r>
        <w:rPr>
          <w:rFonts w:hint="eastAsia" w:ascii="宋体" w:hAnsi="宋体"/>
          <w:color w:val="auto"/>
          <w:sz w:val="21"/>
          <w:szCs w:val="21"/>
        </w:rPr>
        <w:t xml:space="preserve">日   期：     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w:t>
      </w:r>
    </w:p>
    <w:p>
      <w:pPr>
        <w:tabs>
          <w:tab w:val="left" w:pos="1365"/>
        </w:tabs>
        <w:spacing w:line="360" w:lineRule="auto"/>
        <w:rPr>
          <w:rFonts w:hint="eastAsia" w:ascii="宋体" w:hAnsi="宋体"/>
          <w:color w:val="auto"/>
          <w:sz w:val="21"/>
          <w:szCs w:val="21"/>
        </w:rPr>
      </w:pPr>
    </w:p>
    <w:p>
      <w:pPr>
        <w:tabs>
          <w:tab w:val="left" w:pos="1365"/>
        </w:tabs>
        <w:spacing w:line="360" w:lineRule="auto"/>
        <w:rPr>
          <w:rFonts w:hint="eastAsia" w:ascii="宋体" w:hAnsi="宋体"/>
          <w:color w:val="auto"/>
          <w:sz w:val="21"/>
          <w:szCs w:val="21"/>
        </w:rPr>
      </w:pPr>
    </w:p>
    <w:p>
      <w:pPr>
        <w:tabs>
          <w:tab w:val="left" w:pos="1365"/>
        </w:tabs>
        <w:spacing w:line="360" w:lineRule="auto"/>
        <w:rPr>
          <w:rFonts w:hint="eastAsia" w:ascii="宋体" w:hAnsi="宋体"/>
          <w:color w:val="auto"/>
          <w:sz w:val="21"/>
          <w:szCs w:val="21"/>
        </w:rPr>
      </w:pPr>
    </w:p>
    <w:p>
      <w:pPr>
        <w:spacing w:line="312" w:lineRule="auto"/>
        <w:jc w:val="center"/>
        <w:rPr>
          <w:rFonts w:hint="eastAsia" w:ascii="宋体" w:hAnsi="宋体"/>
          <w:b/>
          <w:color w:val="auto"/>
          <w:sz w:val="28"/>
          <w:szCs w:val="28"/>
        </w:rPr>
      </w:pPr>
    </w:p>
    <w:p>
      <w:pPr>
        <w:spacing w:line="312" w:lineRule="auto"/>
        <w:jc w:val="center"/>
        <w:rPr>
          <w:rFonts w:hint="eastAsia" w:ascii="宋体" w:hAnsi="宋体"/>
          <w:b/>
          <w:color w:val="auto"/>
          <w:sz w:val="28"/>
          <w:szCs w:val="28"/>
          <w:lang w:eastAsia="zh-CN"/>
        </w:rPr>
      </w:pPr>
    </w:p>
    <w:p>
      <w:pPr>
        <w:spacing w:line="312" w:lineRule="auto"/>
        <w:jc w:val="center"/>
        <w:rPr>
          <w:rFonts w:hint="eastAsia" w:ascii="宋体" w:hAnsi="宋体"/>
          <w:b/>
          <w:color w:val="auto"/>
          <w:sz w:val="28"/>
          <w:szCs w:val="28"/>
          <w:lang w:eastAsia="zh-CN"/>
        </w:rPr>
      </w:pPr>
    </w:p>
    <w:p>
      <w:pPr>
        <w:spacing w:line="312" w:lineRule="auto"/>
        <w:jc w:val="center"/>
        <w:rPr>
          <w:rFonts w:hint="eastAsia" w:ascii="宋体" w:hAnsi="宋体"/>
          <w:b/>
          <w:color w:val="auto"/>
          <w:sz w:val="28"/>
          <w:szCs w:val="28"/>
          <w:lang w:eastAsia="zh-CN"/>
        </w:rPr>
      </w:pPr>
    </w:p>
    <w:p>
      <w:pPr>
        <w:spacing w:line="312" w:lineRule="auto"/>
        <w:jc w:val="center"/>
        <w:rPr>
          <w:rFonts w:hint="eastAsia" w:ascii="宋体" w:hAnsi="宋体"/>
          <w:b/>
          <w:color w:val="auto"/>
          <w:sz w:val="28"/>
          <w:szCs w:val="28"/>
          <w:lang w:eastAsia="zh-CN"/>
        </w:rPr>
      </w:pPr>
    </w:p>
    <w:p>
      <w:pPr>
        <w:pStyle w:val="32"/>
        <w:rPr>
          <w:rFonts w:hint="eastAsia"/>
          <w:color w:val="auto"/>
          <w:lang w:eastAsia="zh-CN"/>
        </w:rPr>
      </w:pPr>
    </w:p>
    <w:p>
      <w:pPr>
        <w:spacing w:line="312" w:lineRule="auto"/>
        <w:jc w:val="center"/>
        <w:rPr>
          <w:rFonts w:hint="eastAsia" w:ascii="宋体" w:hAnsi="宋体"/>
          <w:b/>
          <w:color w:val="auto"/>
          <w:sz w:val="28"/>
          <w:szCs w:val="28"/>
          <w:lang w:eastAsia="zh-CN"/>
        </w:rPr>
      </w:pPr>
    </w:p>
    <w:p>
      <w:pPr>
        <w:spacing w:line="312" w:lineRule="auto"/>
        <w:jc w:val="center"/>
        <w:rPr>
          <w:rFonts w:hint="eastAsia" w:ascii="宋体" w:hAnsi="宋体"/>
          <w:b/>
          <w:color w:val="auto"/>
          <w:sz w:val="28"/>
          <w:szCs w:val="28"/>
          <w:lang w:eastAsia="zh-CN"/>
        </w:rPr>
      </w:pPr>
    </w:p>
    <w:p>
      <w:pPr>
        <w:pStyle w:val="3"/>
        <w:spacing w:line="500" w:lineRule="exact"/>
        <w:jc w:val="center"/>
        <w:rPr>
          <w:rFonts w:hint="eastAsia" w:ascii="宋体" w:hAnsi="宋体" w:eastAsia="宋体" w:cs="Calibri"/>
          <w:b/>
          <w:color w:val="auto"/>
          <w:kern w:val="2"/>
          <w:sz w:val="28"/>
          <w:szCs w:val="28"/>
          <w:lang w:val="en-US" w:eastAsia="zh-CN" w:bidi="ar-SA"/>
        </w:rPr>
      </w:pPr>
      <w:bookmarkStart w:id="200" w:name="_Toc475980441"/>
      <w:bookmarkStart w:id="201" w:name="_Toc496024230"/>
      <w:bookmarkStart w:id="202" w:name="_Toc496337964"/>
      <w:bookmarkStart w:id="203" w:name="_Toc475642421"/>
      <w:bookmarkStart w:id="204" w:name="_Toc4009"/>
      <w:bookmarkStart w:id="205" w:name="_Toc29518"/>
      <w:bookmarkStart w:id="206" w:name="_Toc514425641"/>
      <w:bookmarkStart w:id="207" w:name="_Toc13152"/>
      <w:bookmarkStart w:id="208" w:name="_Toc31751"/>
      <w:bookmarkStart w:id="209" w:name="_Toc24278"/>
      <w:bookmarkStart w:id="210" w:name="_Toc379"/>
      <w:bookmarkStart w:id="211" w:name="_Toc917"/>
      <w:bookmarkStart w:id="212" w:name="_Toc1930"/>
      <w:r>
        <w:rPr>
          <w:rFonts w:hint="eastAsia" w:ascii="宋体" w:hAnsi="宋体" w:eastAsia="宋体" w:cs="Calibri"/>
          <w:b/>
          <w:color w:val="auto"/>
          <w:kern w:val="2"/>
          <w:sz w:val="28"/>
          <w:szCs w:val="28"/>
          <w:lang w:val="en-US" w:eastAsia="zh-CN" w:bidi="ar-SA"/>
        </w:rPr>
        <w:t>三、法定代表人身份证明</w:t>
      </w:r>
      <w:bookmarkEnd w:id="200"/>
      <w:bookmarkEnd w:id="201"/>
      <w:bookmarkEnd w:id="202"/>
      <w:bookmarkEnd w:id="203"/>
      <w:bookmarkEnd w:id="204"/>
      <w:bookmarkEnd w:id="205"/>
      <w:bookmarkEnd w:id="206"/>
      <w:bookmarkEnd w:id="207"/>
      <w:bookmarkEnd w:id="208"/>
      <w:bookmarkEnd w:id="209"/>
      <w:bookmarkEnd w:id="210"/>
      <w:bookmarkEnd w:id="211"/>
      <w:bookmarkEnd w:id="212"/>
    </w:p>
    <w:p>
      <w:pPr>
        <w:tabs>
          <w:tab w:val="left" w:pos="6300"/>
        </w:tabs>
        <w:snapToGrid w:val="0"/>
        <w:spacing w:line="500" w:lineRule="exact"/>
        <w:ind w:firstLine="570"/>
        <w:rPr>
          <w:rFonts w:hint="eastAsia" w:ascii="宋体" w:hAnsi="宋体"/>
          <w:color w:val="auto"/>
        </w:rPr>
      </w:pPr>
    </w:p>
    <w:p>
      <w:pPr>
        <w:tabs>
          <w:tab w:val="left" w:pos="6300"/>
        </w:tabs>
        <w:snapToGrid w:val="0"/>
        <w:spacing w:line="500" w:lineRule="exact"/>
        <w:ind w:firstLine="420" w:firstLineChars="200"/>
        <w:rPr>
          <w:rFonts w:hint="eastAsia" w:ascii="宋体" w:hAnsi="宋体"/>
          <w:color w:val="auto"/>
          <w:sz w:val="21"/>
          <w:szCs w:val="21"/>
          <w:u w:val="single"/>
        </w:rPr>
      </w:pPr>
      <w:r>
        <w:rPr>
          <w:rFonts w:hint="eastAsia" w:ascii="宋体" w:hAnsi="宋体"/>
          <w:color w:val="auto"/>
          <w:sz w:val="21"/>
          <w:szCs w:val="21"/>
        </w:rPr>
        <w:t>采购项目名称：</w:t>
      </w:r>
      <w:r>
        <w:rPr>
          <w:rFonts w:hint="eastAsia" w:ascii="宋体" w:hAnsi="宋体"/>
          <w:color w:val="auto"/>
          <w:sz w:val="21"/>
          <w:szCs w:val="21"/>
          <w:u w:val="single"/>
        </w:rPr>
        <w:t xml:space="preserve">                                                </w:t>
      </w:r>
    </w:p>
    <w:p>
      <w:pPr>
        <w:tabs>
          <w:tab w:val="left" w:pos="6300"/>
        </w:tabs>
        <w:snapToGrid w:val="0"/>
        <w:spacing w:line="500" w:lineRule="exact"/>
        <w:rPr>
          <w:rFonts w:hint="eastAsia" w:ascii="宋体" w:hAnsi="宋体"/>
          <w:color w:val="auto"/>
          <w:sz w:val="21"/>
          <w:szCs w:val="21"/>
        </w:rPr>
      </w:pPr>
    </w:p>
    <w:p>
      <w:pPr>
        <w:tabs>
          <w:tab w:val="left" w:pos="6300"/>
        </w:tabs>
        <w:snapToGrid w:val="0"/>
        <w:spacing w:line="500" w:lineRule="exact"/>
        <w:rPr>
          <w:rFonts w:hint="eastAsia"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（采购代理机构名称）：</w:t>
      </w:r>
    </w:p>
    <w:p>
      <w:pPr>
        <w:tabs>
          <w:tab w:val="left" w:pos="6300"/>
        </w:tabs>
        <w:snapToGrid w:val="0"/>
        <w:spacing w:line="500" w:lineRule="exact"/>
        <w:ind w:firstLine="573"/>
        <w:rPr>
          <w:rFonts w:hint="eastAsia"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（法定代表人姓名）在</w:t>
      </w:r>
      <w:r>
        <w:rPr>
          <w:rFonts w:hint="eastAsia" w:ascii="宋体" w:hAnsi="宋体"/>
          <w:color w:val="auto"/>
          <w:sz w:val="21"/>
          <w:szCs w:val="21"/>
          <w:u w:val="single"/>
        </w:rPr>
        <w:t xml:space="preserve">                       </w:t>
      </w:r>
      <w:r>
        <w:rPr>
          <w:rFonts w:hint="eastAsia" w:ascii="宋体" w:hAnsi="宋体"/>
          <w:color w:val="auto"/>
          <w:sz w:val="21"/>
          <w:szCs w:val="21"/>
        </w:rPr>
        <w:t>（投标</w:t>
      </w:r>
      <w:r>
        <w:rPr>
          <w:rFonts w:hint="eastAsia" w:ascii="宋体" w:hAnsi="宋体"/>
          <w:color w:val="auto"/>
          <w:sz w:val="21"/>
          <w:szCs w:val="21"/>
          <w:lang w:val="en-US" w:eastAsia="zh-CN"/>
        </w:rPr>
        <w:t>单位</w:t>
      </w:r>
      <w:r>
        <w:rPr>
          <w:rFonts w:hint="eastAsia" w:ascii="宋体" w:hAnsi="宋体"/>
          <w:color w:val="auto"/>
          <w:sz w:val="21"/>
          <w:szCs w:val="21"/>
        </w:rPr>
        <w:t>名称）任</w:t>
      </w:r>
      <w:r>
        <w:rPr>
          <w:rFonts w:hint="eastAsia" w:ascii="宋体" w:hAnsi="宋体"/>
          <w:color w:val="auto"/>
          <w:sz w:val="21"/>
          <w:szCs w:val="21"/>
          <w:u w:val="single"/>
        </w:rPr>
        <w:t xml:space="preserve">             </w:t>
      </w:r>
      <w:r>
        <w:rPr>
          <w:rFonts w:hint="eastAsia" w:ascii="宋体" w:hAnsi="宋体"/>
          <w:color w:val="auto"/>
          <w:sz w:val="21"/>
          <w:szCs w:val="21"/>
        </w:rPr>
        <w:t>（职务名称）职务，是（投标</w:t>
      </w:r>
      <w:r>
        <w:rPr>
          <w:rFonts w:hint="eastAsia" w:ascii="宋体" w:hAnsi="宋体"/>
          <w:color w:val="auto"/>
          <w:sz w:val="21"/>
          <w:szCs w:val="21"/>
          <w:lang w:val="en-US" w:eastAsia="zh-CN"/>
        </w:rPr>
        <w:t>单位</w:t>
      </w:r>
      <w:r>
        <w:rPr>
          <w:rFonts w:hint="eastAsia" w:ascii="宋体" w:hAnsi="宋体"/>
          <w:color w:val="auto"/>
          <w:sz w:val="21"/>
          <w:szCs w:val="21"/>
        </w:rPr>
        <w:t>名称）</w:t>
      </w:r>
      <w:r>
        <w:rPr>
          <w:rFonts w:hint="eastAsia" w:ascii="宋体" w:hAnsi="宋体"/>
          <w:color w:val="auto"/>
          <w:sz w:val="21"/>
          <w:szCs w:val="21"/>
          <w:u w:val="single"/>
        </w:rPr>
        <w:t xml:space="preserve">              </w:t>
      </w:r>
      <w:r>
        <w:rPr>
          <w:rFonts w:hint="eastAsia" w:ascii="宋体" w:hAnsi="宋体"/>
          <w:color w:val="auto"/>
          <w:sz w:val="21"/>
          <w:szCs w:val="21"/>
        </w:rPr>
        <w:t>的法定代表人。</w:t>
      </w:r>
    </w:p>
    <w:p>
      <w:pPr>
        <w:tabs>
          <w:tab w:val="left" w:pos="6300"/>
        </w:tabs>
        <w:snapToGrid w:val="0"/>
        <w:spacing w:line="500" w:lineRule="exact"/>
        <w:ind w:firstLine="573"/>
        <w:rPr>
          <w:rFonts w:hint="eastAsia" w:ascii="宋体" w:hAnsi="宋体"/>
          <w:color w:val="auto"/>
          <w:sz w:val="21"/>
          <w:szCs w:val="21"/>
        </w:rPr>
      </w:pPr>
    </w:p>
    <w:p>
      <w:pPr>
        <w:rPr>
          <w:rFonts w:hint="eastAsia" w:ascii="宋体" w:hAnsi="宋体"/>
          <w:color w:val="auto"/>
          <w:sz w:val="21"/>
          <w:szCs w:val="21"/>
        </w:rPr>
      </w:pPr>
      <w:bookmarkStart w:id="213" w:name="_Toc385601163"/>
      <w:bookmarkStart w:id="214" w:name="_Toc412728742"/>
      <w:bookmarkStart w:id="215" w:name="_Toc412730354"/>
      <w:bookmarkStart w:id="216" w:name="_Toc385507994"/>
      <w:bookmarkStart w:id="217" w:name="_Toc439975848"/>
      <w:bookmarkStart w:id="218" w:name="_Toc396208154"/>
      <w:bookmarkStart w:id="219" w:name="_Toc384717560"/>
      <w:r>
        <w:rPr>
          <w:rFonts w:hint="eastAsia" w:ascii="宋体" w:hAnsi="宋体"/>
          <w:color w:val="auto"/>
          <w:sz w:val="21"/>
          <w:szCs w:val="21"/>
        </w:rPr>
        <w:t>特此证明。</w:t>
      </w:r>
      <w:bookmarkEnd w:id="213"/>
      <w:bookmarkEnd w:id="214"/>
      <w:bookmarkEnd w:id="215"/>
      <w:bookmarkEnd w:id="216"/>
      <w:bookmarkEnd w:id="217"/>
      <w:bookmarkEnd w:id="218"/>
      <w:bookmarkEnd w:id="219"/>
    </w:p>
    <w:p>
      <w:pPr>
        <w:tabs>
          <w:tab w:val="left" w:pos="6300"/>
        </w:tabs>
        <w:snapToGrid w:val="0"/>
        <w:spacing w:line="500" w:lineRule="exact"/>
        <w:rPr>
          <w:rFonts w:hint="eastAsia" w:ascii="宋体" w:hAnsi="宋体"/>
          <w:color w:val="auto"/>
          <w:sz w:val="21"/>
          <w:szCs w:val="21"/>
        </w:rPr>
      </w:pPr>
    </w:p>
    <w:p>
      <w:pPr>
        <w:tabs>
          <w:tab w:val="left" w:pos="6300"/>
        </w:tabs>
        <w:snapToGrid w:val="0"/>
        <w:spacing w:line="500" w:lineRule="exact"/>
        <w:ind w:firstLine="105" w:firstLineChars="50"/>
        <w:rPr>
          <w:rFonts w:hint="eastAsia" w:ascii="宋体" w:hAnsi="宋体"/>
          <w:color w:val="auto"/>
          <w:sz w:val="21"/>
          <w:szCs w:val="21"/>
        </w:rPr>
      </w:pPr>
      <w:r>
        <w:rPr>
          <w:rFonts w:hint="eastAsia" w:ascii="宋体" w:hAnsi="宋体"/>
          <w:color w:val="auto"/>
          <w:sz w:val="21"/>
          <w:szCs w:val="21"/>
        </w:rPr>
        <w:t>（附：法定代表人身份证复印件）</w:t>
      </w:r>
    </w:p>
    <w:p>
      <w:pPr>
        <w:tabs>
          <w:tab w:val="left" w:pos="6300"/>
        </w:tabs>
        <w:snapToGrid w:val="0"/>
        <w:spacing w:line="500" w:lineRule="exact"/>
        <w:rPr>
          <w:rFonts w:hint="eastAsia" w:ascii="宋体" w:hAnsi="宋体"/>
          <w:color w:val="auto"/>
          <w:sz w:val="21"/>
          <w:szCs w:val="21"/>
        </w:rPr>
      </w:pPr>
    </w:p>
    <w:p>
      <w:pPr>
        <w:tabs>
          <w:tab w:val="left" w:pos="6300"/>
        </w:tabs>
        <w:snapToGrid w:val="0"/>
        <w:spacing w:line="500" w:lineRule="exact"/>
        <w:rPr>
          <w:rFonts w:hint="eastAsia" w:ascii="宋体" w:hAnsi="宋体"/>
          <w:color w:val="auto"/>
          <w:sz w:val="21"/>
          <w:szCs w:val="21"/>
        </w:rPr>
      </w:pPr>
    </w:p>
    <w:p>
      <w:pPr>
        <w:tabs>
          <w:tab w:val="left" w:pos="6300"/>
        </w:tabs>
        <w:snapToGrid w:val="0"/>
        <w:spacing w:line="500" w:lineRule="exact"/>
        <w:outlineLvl w:val="0"/>
        <w:rPr>
          <w:rFonts w:hint="eastAsia" w:ascii="宋体" w:hAnsi="宋体"/>
          <w:color w:val="auto"/>
          <w:sz w:val="21"/>
          <w:szCs w:val="21"/>
        </w:rPr>
      </w:pPr>
      <w:r>
        <w:rPr>
          <w:rFonts w:hint="eastAsia" w:ascii="宋体" w:hAnsi="宋体"/>
          <w:color w:val="auto"/>
          <w:sz w:val="21"/>
          <w:szCs w:val="21"/>
        </w:rPr>
        <w:t xml:space="preserve">                                             </w:t>
      </w:r>
      <w:bookmarkStart w:id="220" w:name="_Toc17418"/>
      <w:bookmarkStart w:id="221" w:name="_Toc412730355"/>
      <w:bookmarkStart w:id="222" w:name="_Toc3548"/>
      <w:bookmarkStart w:id="223" w:name="_Toc475980442"/>
      <w:bookmarkStart w:id="224" w:name="_Toc475642422"/>
      <w:bookmarkStart w:id="225" w:name="_Toc384717561"/>
      <w:bookmarkStart w:id="226" w:name="_Toc21487"/>
      <w:bookmarkStart w:id="227" w:name="_Toc385601164"/>
      <w:bookmarkStart w:id="228" w:name="_Toc496337965"/>
      <w:bookmarkStart w:id="229" w:name="_Toc4226"/>
      <w:bookmarkStart w:id="230" w:name="_Toc385507995"/>
      <w:bookmarkStart w:id="231" w:name="_Toc7023"/>
      <w:bookmarkStart w:id="232" w:name="_Toc27121"/>
      <w:bookmarkStart w:id="233" w:name="_Toc439975849"/>
      <w:bookmarkStart w:id="234" w:name="_Toc514425642"/>
      <w:bookmarkStart w:id="235" w:name="_Toc11802"/>
      <w:bookmarkStart w:id="236" w:name="_Toc412728743"/>
      <w:bookmarkStart w:id="237" w:name="_Toc29272"/>
      <w:bookmarkStart w:id="238" w:name="_Toc396208155"/>
      <w:bookmarkStart w:id="239" w:name="_Toc496024231"/>
      <w:r>
        <w:rPr>
          <w:rFonts w:hint="eastAsia" w:ascii="宋体" w:hAnsi="宋体"/>
          <w:color w:val="auto"/>
          <w:sz w:val="21"/>
          <w:szCs w:val="21"/>
        </w:rPr>
        <w:t>（投标</w:t>
      </w:r>
      <w:r>
        <w:rPr>
          <w:rFonts w:hint="eastAsia" w:ascii="宋体" w:hAnsi="宋体"/>
          <w:color w:val="auto"/>
          <w:sz w:val="21"/>
          <w:szCs w:val="21"/>
          <w:lang w:val="en-US" w:eastAsia="zh-CN"/>
        </w:rPr>
        <w:t>单位</w:t>
      </w:r>
      <w:r>
        <w:rPr>
          <w:rFonts w:hint="eastAsia" w:ascii="宋体" w:hAnsi="宋体"/>
          <w:color w:val="auto"/>
          <w:sz w:val="21"/>
          <w:szCs w:val="21"/>
        </w:rPr>
        <w:t>公章）</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tabs>
          <w:tab w:val="left" w:pos="6300"/>
        </w:tabs>
        <w:snapToGrid w:val="0"/>
        <w:spacing w:line="500" w:lineRule="exact"/>
        <w:outlineLvl w:val="0"/>
        <w:rPr>
          <w:rFonts w:hint="eastAsia" w:ascii="宋体" w:hAnsi="宋体"/>
          <w:color w:val="auto"/>
          <w:sz w:val="21"/>
          <w:szCs w:val="21"/>
        </w:rPr>
      </w:pPr>
    </w:p>
    <w:p>
      <w:pPr>
        <w:spacing w:line="336" w:lineRule="auto"/>
        <w:ind w:firstLine="611" w:firstLineChars="291"/>
        <w:rPr>
          <w:rFonts w:hint="eastAsia" w:ascii="宋体" w:hAnsi="宋体"/>
          <w:iCs/>
          <w:color w:val="auto"/>
          <w:sz w:val="21"/>
          <w:szCs w:val="21"/>
          <w:em w:val="dot"/>
        </w:rPr>
      </w:pP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年   月   日</w:t>
      </w:r>
    </w:p>
    <w:p>
      <w:pPr>
        <w:tabs>
          <w:tab w:val="left" w:pos="1365"/>
        </w:tabs>
        <w:spacing w:line="312" w:lineRule="auto"/>
        <w:ind w:firstLine="120" w:firstLineChars="50"/>
        <w:rPr>
          <w:rFonts w:hint="eastAsia" w:ascii="宋体" w:hAnsi="宋体"/>
          <w:b/>
          <w:color w:val="auto"/>
          <w:szCs w:val="21"/>
        </w:rPr>
      </w:pPr>
    </w:p>
    <w:p>
      <w:pPr>
        <w:tabs>
          <w:tab w:val="left" w:pos="1365"/>
        </w:tabs>
        <w:spacing w:line="312" w:lineRule="auto"/>
        <w:ind w:firstLine="120" w:firstLineChars="50"/>
        <w:rPr>
          <w:rFonts w:hint="eastAsia" w:ascii="宋体" w:hAnsi="宋体"/>
          <w:b/>
          <w:color w:val="auto"/>
          <w:szCs w:val="21"/>
        </w:rPr>
      </w:pPr>
    </w:p>
    <w:p>
      <w:pPr>
        <w:tabs>
          <w:tab w:val="left" w:pos="1365"/>
        </w:tabs>
        <w:spacing w:line="312" w:lineRule="auto"/>
        <w:ind w:firstLine="120" w:firstLineChars="50"/>
        <w:rPr>
          <w:rFonts w:hint="eastAsia" w:ascii="宋体" w:hAnsi="宋体"/>
          <w:b/>
          <w:color w:val="auto"/>
          <w:szCs w:val="21"/>
        </w:rPr>
      </w:pPr>
    </w:p>
    <w:p>
      <w:pPr>
        <w:tabs>
          <w:tab w:val="left" w:pos="1365"/>
        </w:tabs>
        <w:spacing w:line="312" w:lineRule="auto"/>
        <w:ind w:firstLine="120" w:firstLineChars="50"/>
        <w:rPr>
          <w:rFonts w:hint="eastAsia" w:ascii="宋体" w:hAnsi="宋体"/>
          <w:b/>
          <w:color w:val="auto"/>
          <w:szCs w:val="21"/>
        </w:rPr>
      </w:pPr>
    </w:p>
    <w:p>
      <w:pPr>
        <w:tabs>
          <w:tab w:val="left" w:pos="1365"/>
        </w:tabs>
        <w:spacing w:line="312" w:lineRule="auto"/>
        <w:ind w:firstLine="120" w:firstLineChars="50"/>
        <w:rPr>
          <w:rFonts w:hint="eastAsia" w:ascii="宋体" w:hAnsi="宋体"/>
          <w:b/>
          <w:color w:val="auto"/>
          <w:szCs w:val="21"/>
        </w:rPr>
      </w:pPr>
    </w:p>
    <w:p>
      <w:pPr>
        <w:tabs>
          <w:tab w:val="left" w:pos="1365"/>
        </w:tabs>
        <w:spacing w:line="312" w:lineRule="auto"/>
        <w:ind w:firstLine="120" w:firstLineChars="50"/>
        <w:rPr>
          <w:rFonts w:hint="eastAsia" w:ascii="宋体" w:hAnsi="宋体"/>
          <w:b/>
          <w:color w:val="auto"/>
          <w:szCs w:val="21"/>
        </w:rPr>
      </w:pPr>
    </w:p>
    <w:p>
      <w:pPr>
        <w:spacing w:line="312" w:lineRule="auto"/>
        <w:jc w:val="center"/>
        <w:rPr>
          <w:rFonts w:hint="eastAsia" w:ascii="宋体" w:hAnsi="宋体"/>
          <w:b/>
          <w:color w:val="auto"/>
          <w:sz w:val="28"/>
          <w:szCs w:val="28"/>
        </w:rPr>
      </w:pPr>
    </w:p>
    <w:p>
      <w:pPr>
        <w:pStyle w:val="32"/>
        <w:rPr>
          <w:rFonts w:hint="eastAsia" w:ascii="宋体" w:hAnsi="宋体"/>
          <w:b/>
          <w:color w:val="auto"/>
          <w:sz w:val="28"/>
          <w:szCs w:val="28"/>
        </w:rPr>
      </w:pPr>
    </w:p>
    <w:p>
      <w:pPr>
        <w:rPr>
          <w:rFonts w:hint="eastAsia"/>
          <w:color w:val="auto"/>
        </w:rPr>
      </w:pPr>
    </w:p>
    <w:p>
      <w:pPr>
        <w:spacing w:line="312" w:lineRule="auto"/>
        <w:jc w:val="center"/>
        <w:rPr>
          <w:rFonts w:hint="eastAsia" w:ascii="宋体" w:hAnsi="宋体"/>
          <w:b/>
          <w:color w:val="auto"/>
          <w:sz w:val="28"/>
          <w:szCs w:val="28"/>
        </w:rPr>
      </w:pPr>
    </w:p>
    <w:p>
      <w:pPr>
        <w:spacing w:line="312" w:lineRule="auto"/>
        <w:jc w:val="center"/>
        <w:rPr>
          <w:rFonts w:hint="eastAsia" w:ascii="宋体" w:hAnsi="宋体"/>
          <w:b/>
          <w:color w:val="auto"/>
          <w:sz w:val="28"/>
          <w:szCs w:val="28"/>
        </w:rPr>
      </w:pPr>
    </w:p>
    <w:p>
      <w:pPr>
        <w:pStyle w:val="48"/>
        <w:rPr>
          <w:rFonts w:hint="eastAsia"/>
          <w:color w:val="auto"/>
        </w:rPr>
      </w:pPr>
    </w:p>
    <w:p>
      <w:pPr>
        <w:pStyle w:val="3"/>
        <w:spacing w:line="500" w:lineRule="exact"/>
        <w:jc w:val="center"/>
        <w:rPr>
          <w:rFonts w:hint="eastAsia"/>
          <w:b/>
          <w:bCs/>
          <w:color w:val="auto"/>
          <w:sz w:val="28"/>
          <w:szCs w:val="21"/>
          <w:lang w:val="en-US" w:eastAsia="zh-CN"/>
        </w:rPr>
      </w:pPr>
      <w:bookmarkStart w:id="240" w:name="_Toc11406"/>
      <w:bookmarkStart w:id="241" w:name="_Toc514425643"/>
      <w:bookmarkStart w:id="242" w:name="_Toc2121"/>
      <w:bookmarkStart w:id="243" w:name="_Toc27646"/>
      <w:bookmarkStart w:id="244" w:name="_Toc475980443"/>
      <w:bookmarkStart w:id="245" w:name="_Toc27986"/>
      <w:bookmarkStart w:id="246" w:name="_Toc8830"/>
      <w:bookmarkStart w:id="247" w:name="_Toc12701"/>
      <w:bookmarkStart w:id="248" w:name="_Toc496337966"/>
      <w:bookmarkStart w:id="249" w:name="_Toc496024232"/>
      <w:bookmarkStart w:id="250" w:name="_Toc2569"/>
      <w:bookmarkStart w:id="251" w:name="_Toc475642423"/>
    </w:p>
    <w:p>
      <w:pPr>
        <w:pStyle w:val="3"/>
        <w:spacing w:line="500" w:lineRule="exact"/>
        <w:jc w:val="center"/>
        <w:rPr>
          <w:rFonts w:hint="eastAsia"/>
          <w:b/>
          <w:bCs/>
          <w:color w:val="auto"/>
          <w:sz w:val="28"/>
          <w:szCs w:val="21"/>
        </w:rPr>
      </w:pPr>
      <w:r>
        <w:rPr>
          <w:rFonts w:hint="eastAsia"/>
          <w:b/>
          <w:bCs/>
          <w:color w:val="auto"/>
          <w:sz w:val="28"/>
          <w:szCs w:val="21"/>
          <w:lang w:val="en-US" w:eastAsia="zh-CN"/>
        </w:rPr>
        <w:t>四</w:t>
      </w:r>
      <w:r>
        <w:rPr>
          <w:rFonts w:hint="eastAsia"/>
          <w:b/>
          <w:bCs/>
          <w:color w:val="auto"/>
          <w:sz w:val="28"/>
          <w:szCs w:val="21"/>
          <w:lang w:eastAsia="zh-CN"/>
        </w:rPr>
        <w:t>、</w:t>
      </w:r>
      <w:r>
        <w:rPr>
          <w:rFonts w:hint="eastAsia"/>
          <w:b/>
          <w:bCs/>
          <w:color w:val="auto"/>
          <w:sz w:val="28"/>
          <w:szCs w:val="21"/>
        </w:rPr>
        <w:t>法定代表人授权委托书</w:t>
      </w:r>
      <w:bookmarkEnd w:id="240"/>
      <w:bookmarkEnd w:id="241"/>
      <w:bookmarkEnd w:id="242"/>
      <w:bookmarkEnd w:id="243"/>
      <w:bookmarkEnd w:id="244"/>
      <w:bookmarkEnd w:id="245"/>
      <w:bookmarkEnd w:id="246"/>
      <w:bookmarkEnd w:id="247"/>
      <w:bookmarkEnd w:id="248"/>
      <w:bookmarkEnd w:id="249"/>
      <w:bookmarkEnd w:id="250"/>
      <w:bookmarkEnd w:id="251"/>
      <w:r>
        <w:rPr>
          <w:rFonts w:hint="eastAsia"/>
          <w:b/>
          <w:bCs/>
          <w:color w:val="auto"/>
          <w:sz w:val="28"/>
          <w:szCs w:val="21"/>
        </w:rPr>
        <w:t xml:space="preserve"> </w:t>
      </w:r>
    </w:p>
    <w:p>
      <w:pPr>
        <w:tabs>
          <w:tab w:val="left" w:pos="6300"/>
        </w:tabs>
        <w:snapToGrid w:val="0"/>
        <w:spacing w:line="500" w:lineRule="exact"/>
        <w:ind w:left="0" w:leftChars="0" w:firstLine="0" w:firstLineChars="0"/>
        <w:rPr>
          <w:rFonts w:hint="eastAsia" w:ascii="宋体" w:hAnsi="宋体"/>
          <w:color w:val="auto"/>
          <w:sz w:val="21"/>
          <w:szCs w:val="21"/>
          <w:u w:val="single"/>
        </w:rPr>
      </w:pPr>
      <w:r>
        <w:rPr>
          <w:rFonts w:hint="eastAsia" w:ascii="宋体" w:hAnsi="宋体"/>
          <w:color w:val="auto"/>
          <w:sz w:val="21"/>
          <w:szCs w:val="21"/>
        </w:rPr>
        <w:t>采购项目名称：</w:t>
      </w:r>
      <w:r>
        <w:rPr>
          <w:rFonts w:hint="eastAsia" w:ascii="宋体" w:hAnsi="宋体"/>
          <w:color w:val="auto"/>
          <w:sz w:val="21"/>
          <w:szCs w:val="21"/>
          <w:u w:val="single"/>
        </w:rPr>
        <w:t xml:space="preserve">                                                </w:t>
      </w:r>
    </w:p>
    <w:p>
      <w:pPr>
        <w:tabs>
          <w:tab w:val="left" w:pos="6300"/>
        </w:tabs>
        <w:snapToGrid w:val="0"/>
        <w:spacing w:line="500" w:lineRule="exact"/>
        <w:rPr>
          <w:rFonts w:hint="eastAsia" w:ascii="宋体" w:hAnsi="宋体"/>
          <w:color w:val="auto"/>
          <w:sz w:val="21"/>
          <w:szCs w:val="21"/>
        </w:rPr>
      </w:pPr>
    </w:p>
    <w:p>
      <w:pPr>
        <w:tabs>
          <w:tab w:val="left" w:pos="6300"/>
        </w:tabs>
        <w:snapToGrid w:val="0"/>
        <w:spacing w:line="500" w:lineRule="exact"/>
        <w:rPr>
          <w:rFonts w:hint="eastAsia"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（采购单位）：</w:t>
      </w:r>
    </w:p>
    <w:p>
      <w:pPr>
        <w:tabs>
          <w:tab w:val="left" w:pos="6300"/>
        </w:tabs>
        <w:snapToGrid w:val="0"/>
        <w:spacing w:line="500" w:lineRule="exact"/>
        <w:ind w:firstLine="555"/>
        <w:rPr>
          <w:rFonts w:hint="eastAsia"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（法定代表人姓名）是</w:t>
      </w:r>
      <w:r>
        <w:rPr>
          <w:rFonts w:hint="eastAsia" w:ascii="宋体" w:hAnsi="宋体"/>
          <w:color w:val="auto"/>
          <w:sz w:val="21"/>
          <w:szCs w:val="21"/>
          <w:u w:val="single"/>
        </w:rPr>
        <w:t xml:space="preserve">                    </w:t>
      </w:r>
      <w:r>
        <w:rPr>
          <w:rFonts w:hint="eastAsia" w:ascii="宋体" w:hAnsi="宋体"/>
          <w:color w:val="auto"/>
          <w:sz w:val="21"/>
          <w:szCs w:val="21"/>
        </w:rPr>
        <w:t>（投标</w:t>
      </w:r>
      <w:r>
        <w:rPr>
          <w:rFonts w:hint="eastAsia" w:ascii="宋体" w:hAnsi="宋体"/>
          <w:color w:val="auto"/>
          <w:sz w:val="21"/>
          <w:szCs w:val="21"/>
          <w:lang w:val="en-US" w:eastAsia="zh-CN"/>
        </w:rPr>
        <w:t>单位</w:t>
      </w:r>
      <w:r>
        <w:rPr>
          <w:rFonts w:hint="eastAsia" w:ascii="宋体" w:hAnsi="宋体"/>
          <w:color w:val="auto"/>
          <w:sz w:val="21"/>
          <w:szCs w:val="21"/>
        </w:rPr>
        <w:t>名称）的法定代表人，特授权</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（被授权人姓名及身份证代码）代表我单位全权办理上述项目的投标、谈判、签约等具体工作，并签署全部有关文件、协议及合同。</w:t>
      </w:r>
    </w:p>
    <w:p>
      <w:pPr>
        <w:tabs>
          <w:tab w:val="left" w:pos="6300"/>
        </w:tabs>
        <w:snapToGrid w:val="0"/>
        <w:spacing w:line="500" w:lineRule="exact"/>
        <w:ind w:firstLine="555"/>
        <w:rPr>
          <w:rFonts w:hint="eastAsia" w:ascii="宋体" w:hAnsi="宋体"/>
          <w:color w:val="auto"/>
          <w:sz w:val="21"/>
          <w:szCs w:val="21"/>
        </w:rPr>
      </w:pPr>
      <w:r>
        <w:rPr>
          <w:rFonts w:hint="eastAsia" w:ascii="宋体" w:hAnsi="宋体"/>
          <w:color w:val="auto"/>
          <w:sz w:val="21"/>
          <w:szCs w:val="21"/>
        </w:rPr>
        <w:t>我单位对被授权人的签名负全部责任。</w:t>
      </w:r>
    </w:p>
    <w:p>
      <w:pPr>
        <w:tabs>
          <w:tab w:val="left" w:pos="6300"/>
        </w:tabs>
        <w:snapToGrid w:val="0"/>
        <w:spacing w:line="500" w:lineRule="exact"/>
        <w:ind w:firstLine="555"/>
        <w:rPr>
          <w:rFonts w:hint="eastAsia" w:ascii="宋体" w:hAnsi="宋体"/>
          <w:color w:val="auto"/>
          <w:sz w:val="21"/>
          <w:szCs w:val="21"/>
        </w:rPr>
      </w:pPr>
      <w:r>
        <w:rPr>
          <w:rFonts w:hint="eastAsia" w:ascii="宋体" w:hAnsi="宋体"/>
          <w:color w:val="auto"/>
          <w:sz w:val="21"/>
          <w:szCs w:val="21"/>
        </w:rPr>
        <w:t>在撤消授权的书面通知以前，本授权书一直有效。被授权人在授权书有效期内签署的所有文件不因授权的撤消而失效。</w:t>
      </w:r>
    </w:p>
    <w:p>
      <w:pPr>
        <w:tabs>
          <w:tab w:val="left" w:pos="6300"/>
        </w:tabs>
        <w:snapToGrid w:val="0"/>
        <w:spacing w:line="500" w:lineRule="exact"/>
        <w:rPr>
          <w:rFonts w:hint="eastAsia" w:ascii="宋体" w:hAnsi="宋体"/>
          <w:color w:val="auto"/>
          <w:sz w:val="21"/>
          <w:szCs w:val="21"/>
        </w:rPr>
      </w:pPr>
    </w:p>
    <w:p>
      <w:pPr>
        <w:tabs>
          <w:tab w:val="left" w:pos="6300"/>
        </w:tabs>
        <w:snapToGrid w:val="0"/>
        <w:spacing w:line="500" w:lineRule="exact"/>
        <w:rPr>
          <w:rFonts w:hint="eastAsia" w:ascii="宋体" w:hAnsi="宋体"/>
          <w:color w:val="auto"/>
          <w:sz w:val="21"/>
          <w:szCs w:val="21"/>
        </w:rPr>
      </w:pPr>
    </w:p>
    <w:p>
      <w:pPr>
        <w:tabs>
          <w:tab w:val="left" w:pos="6300"/>
        </w:tabs>
        <w:snapToGrid w:val="0"/>
        <w:spacing w:line="500" w:lineRule="exact"/>
        <w:ind w:firstLine="630" w:firstLineChars="300"/>
        <w:rPr>
          <w:rFonts w:hint="eastAsia" w:ascii="宋体" w:hAnsi="宋体"/>
          <w:color w:val="auto"/>
          <w:sz w:val="21"/>
          <w:szCs w:val="21"/>
        </w:rPr>
      </w:pPr>
      <w:r>
        <w:rPr>
          <w:rFonts w:hint="eastAsia" w:ascii="宋体" w:hAnsi="宋体"/>
          <w:color w:val="auto"/>
          <w:sz w:val="21"/>
          <w:szCs w:val="21"/>
        </w:rPr>
        <w:t xml:space="preserve">被授权人签名：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投标</w:t>
      </w:r>
      <w:r>
        <w:rPr>
          <w:rFonts w:hint="eastAsia" w:ascii="宋体" w:hAnsi="宋体"/>
          <w:color w:val="auto"/>
          <w:sz w:val="21"/>
          <w:szCs w:val="21"/>
          <w:lang w:val="en-US" w:eastAsia="zh-CN"/>
        </w:rPr>
        <w:t>单位</w:t>
      </w:r>
      <w:r>
        <w:rPr>
          <w:rFonts w:hint="eastAsia" w:ascii="宋体" w:hAnsi="宋体"/>
          <w:color w:val="auto"/>
          <w:sz w:val="21"/>
          <w:szCs w:val="21"/>
        </w:rPr>
        <w:t>法定代表人签名：</w:t>
      </w:r>
    </w:p>
    <w:p>
      <w:pPr>
        <w:tabs>
          <w:tab w:val="left" w:pos="6300"/>
        </w:tabs>
        <w:snapToGrid w:val="0"/>
        <w:spacing w:line="500" w:lineRule="exact"/>
        <w:rPr>
          <w:rFonts w:hint="eastAsia" w:ascii="宋体" w:hAnsi="宋体"/>
          <w:color w:val="auto"/>
          <w:sz w:val="21"/>
          <w:szCs w:val="21"/>
        </w:rPr>
      </w:pPr>
      <w:r>
        <w:rPr>
          <w:rFonts w:hint="eastAsia" w:ascii="宋体" w:hAnsi="宋体"/>
          <w:color w:val="auto"/>
          <w:sz w:val="21"/>
          <w:szCs w:val="21"/>
        </w:rPr>
        <w:t xml:space="preserve">          </w:t>
      </w:r>
    </w:p>
    <w:p>
      <w:pPr>
        <w:tabs>
          <w:tab w:val="left" w:pos="6300"/>
        </w:tabs>
        <w:snapToGrid w:val="0"/>
        <w:spacing w:line="500" w:lineRule="exact"/>
        <w:rPr>
          <w:rFonts w:hint="eastAsia" w:ascii="宋体" w:hAnsi="宋体"/>
          <w:color w:val="auto"/>
          <w:sz w:val="21"/>
          <w:szCs w:val="21"/>
        </w:rPr>
      </w:pPr>
    </w:p>
    <w:p>
      <w:pPr>
        <w:tabs>
          <w:tab w:val="left" w:pos="6300"/>
        </w:tabs>
        <w:snapToGrid w:val="0"/>
        <w:spacing w:line="500" w:lineRule="exact"/>
        <w:ind w:firstLine="840" w:firstLineChars="400"/>
        <w:rPr>
          <w:rFonts w:hint="eastAsia" w:ascii="宋体" w:hAnsi="宋体"/>
          <w:color w:val="auto"/>
          <w:sz w:val="21"/>
          <w:szCs w:val="21"/>
        </w:rPr>
      </w:pPr>
      <w:r>
        <w:rPr>
          <w:rFonts w:hint="eastAsia" w:ascii="宋体" w:hAnsi="宋体"/>
          <w:color w:val="auto"/>
          <w:sz w:val="21"/>
          <w:szCs w:val="21"/>
        </w:rPr>
        <w:t>（附：被授权人身份证复印件）</w:t>
      </w:r>
    </w:p>
    <w:p>
      <w:pPr>
        <w:tabs>
          <w:tab w:val="left" w:pos="6300"/>
        </w:tabs>
        <w:snapToGrid w:val="0"/>
        <w:spacing w:line="500" w:lineRule="exact"/>
        <w:rPr>
          <w:rFonts w:hint="eastAsia" w:ascii="宋体" w:hAnsi="宋体"/>
          <w:color w:val="auto"/>
          <w:sz w:val="21"/>
          <w:szCs w:val="21"/>
        </w:rPr>
      </w:pPr>
      <w:r>
        <w:rPr>
          <w:rFonts w:hint="eastAsia" w:ascii="宋体" w:hAnsi="宋体"/>
          <w:color w:val="auto"/>
          <w:sz w:val="21"/>
          <w:szCs w:val="21"/>
        </w:rPr>
        <w:t xml:space="preserve">                                          </w:t>
      </w:r>
    </w:p>
    <w:p>
      <w:pPr>
        <w:tabs>
          <w:tab w:val="left" w:pos="6300"/>
        </w:tabs>
        <w:snapToGrid w:val="0"/>
        <w:spacing w:line="500" w:lineRule="exact"/>
        <w:rPr>
          <w:rFonts w:hint="eastAsia" w:ascii="宋体" w:hAnsi="宋体"/>
          <w:color w:val="auto"/>
          <w:sz w:val="21"/>
          <w:szCs w:val="21"/>
        </w:rPr>
      </w:pPr>
    </w:p>
    <w:p>
      <w:pPr>
        <w:tabs>
          <w:tab w:val="left" w:pos="6300"/>
        </w:tabs>
        <w:snapToGrid w:val="0"/>
        <w:spacing w:line="500" w:lineRule="exact"/>
        <w:rPr>
          <w:rFonts w:hint="eastAsia" w:ascii="宋体" w:hAnsi="宋体"/>
          <w:color w:val="auto"/>
          <w:sz w:val="21"/>
          <w:szCs w:val="21"/>
        </w:rPr>
      </w:pPr>
    </w:p>
    <w:p>
      <w:pPr>
        <w:tabs>
          <w:tab w:val="left" w:pos="6300"/>
        </w:tabs>
        <w:snapToGrid w:val="0"/>
        <w:spacing w:line="500" w:lineRule="exact"/>
        <w:ind w:firstLine="5888" w:firstLineChars="2804"/>
        <w:rPr>
          <w:rFonts w:hint="eastAsia" w:ascii="宋体" w:hAnsi="宋体"/>
          <w:color w:val="auto"/>
          <w:sz w:val="21"/>
          <w:szCs w:val="21"/>
        </w:rPr>
      </w:pPr>
      <w:r>
        <w:rPr>
          <w:rFonts w:hint="eastAsia" w:ascii="宋体" w:hAnsi="宋体"/>
          <w:color w:val="auto"/>
          <w:sz w:val="21"/>
          <w:szCs w:val="21"/>
        </w:rPr>
        <w:t>（投标</w:t>
      </w:r>
      <w:r>
        <w:rPr>
          <w:rFonts w:hint="eastAsia" w:ascii="宋体" w:hAnsi="宋体"/>
          <w:color w:val="auto"/>
          <w:sz w:val="21"/>
          <w:szCs w:val="21"/>
          <w:lang w:val="en-US" w:eastAsia="zh-CN"/>
        </w:rPr>
        <w:t>单位</w:t>
      </w:r>
      <w:r>
        <w:rPr>
          <w:rFonts w:hint="eastAsia" w:ascii="宋体" w:hAnsi="宋体"/>
          <w:color w:val="auto"/>
          <w:sz w:val="21"/>
          <w:szCs w:val="21"/>
        </w:rPr>
        <w:t>公章）</w:t>
      </w:r>
    </w:p>
    <w:p>
      <w:pPr>
        <w:tabs>
          <w:tab w:val="left" w:pos="6300"/>
        </w:tabs>
        <w:snapToGrid w:val="0"/>
        <w:spacing w:line="500" w:lineRule="exact"/>
        <w:ind w:firstLine="6090" w:firstLineChars="2900"/>
        <w:rPr>
          <w:rFonts w:hint="eastAsia" w:ascii="宋体" w:hAnsi="宋体"/>
          <w:color w:val="auto"/>
          <w:sz w:val="21"/>
          <w:szCs w:val="21"/>
        </w:rPr>
      </w:pPr>
      <w:r>
        <w:rPr>
          <w:rFonts w:hint="eastAsia" w:ascii="宋体" w:hAnsi="宋体"/>
          <w:color w:val="auto"/>
          <w:sz w:val="21"/>
          <w:szCs w:val="21"/>
        </w:rPr>
        <w:t>年   月   日</w:t>
      </w:r>
    </w:p>
    <w:p>
      <w:pPr>
        <w:bidi w:val="0"/>
        <w:ind w:left="0" w:leftChars="0" w:firstLine="0" w:firstLineChars="0"/>
        <w:rPr>
          <w:rFonts w:hint="eastAsia" w:eastAsia="仿宋"/>
          <w:color w:val="auto"/>
          <w:sz w:val="21"/>
          <w:szCs w:val="21"/>
          <w:lang w:eastAsia="zh-CN"/>
        </w:rPr>
      </w:pPr>
    </w:p>
    <w:p>
      <w:pPr>
        <w:spacing w:line="312" w:lineRule="auto"/>
        <w:jc w:val="center"/>
        <w:rPr>
          <w:rFonts w:hint="eastAsia" w:ascii="宋体" w:hAnsi="宋体"/>
          <w:b/>
          <w:color w:val="auto"/>
          <w:sz w:val="28"/>
          <w:szCs w:val="28"/>
          <w:lang w:eastAsia="zh-CN"/>
        </w:rPr>
      </w:pPr>
    </w:p>
    <w:p>
      <w:pPr>
        <w:bidi w:val="0"/>
        <w:rPr>
          <w:rFonts w:hint="eastAsia"/>
          <w:color w:val="auto"/>
          <w:lang w:eastAsia="zh-CN"/>
        </w:rPr>
      </w:pPr>
      <w:bookmarkStart w:id="252" w:name="_Toc2505"/>
      <w:bookmarkStart w:id="253" w:name="_Toc20923"/>
      <w:bookmarkStart w:id="254" w:name="_Toc7553"/>
      <w:bookmarkStart w:id="255" w:name="_Toc30287"/>
      <w:bookmarkStart w:id="256" w:name="_Toc17407"/>
      <w:bookmarkStart w:id="257" w:name="_Toc20029"/>
    </w:p>
    <w:p>
      <w:pPr>
        <w:pStyle w:val="32"/>
        <w:rPr>
          <w:rFonts w:hint="eastAsia"/>
          <w:color w:val="auto"/>
          <w:lang w:eastAsia="zh-CN"/>
        </w:rPr>
      </w:pPr>
    </w:p>
    <w:p>
      <w:pPr>
        <w:bidi w:val="0"/>
        <w:rPr>
          <w:rFonts w:hint="eastAsia"/>
          <w:color w:val="auto"/>
          <w:lang w:eastAsia="zh-CN"/>
        </w:rPr>
      </w:pPr>
    </w:p>
    <w:p>
      <w:pPr>
        <w:pStyle w:val="32"/>
        <w:rPr>
          <w:rFonts w:hint="eastAsia"/>
          <w:color w:val="auto"/>
          <w:lang w:eastAsia="zh-CN"/>
        </w:rPr>
      </w:pPr>
    </w:p>
    <w:p>
      <w:pPr>
        <w:rPr>
          <w:rFonts w:hint="eastAsia"/>
          <w:color w:val="auto"/>
          <w:lang w:eastAsia="zh-CN"/>
        </w:rPr>
      </w:pPr>
    </w:p>
    <w:bookmarkEnd w:id="252"/>
    <w:bookmarkEnd w:id="253"/>
    <w:bookmarkEnd w:id="254"/>
    <w:bookmarkEnd w:id="255"/>
    <w:bookmarkEnd w:id="256"/>
    <w:bookmarkEnd w:id="257"/>
    <w:p>
      <w:pPr>
        <w:spacing w:line="312" w:lineRule="auto"/>
        <w:jc w:val="center"/>
        <w:rPr>
          <w:rFonts w:hint="eastAsia" w:ascii="宋体" w:hAnsi="宋体"/>
          <w:color w:val="auto"/>
          <w:sz w:val="28"/>
          <w:szCs w:val="28"/>
        </w:rPr>
      </w:pPr>
      <w:r>
        <w:rPr>
          <w:rFonts w:hint="eastAsia" w:ascii="宋体" w:hAnsi="宋体"/>
          <w:b/>
          <w:bCs/>
          <w:color w:val="auto"/>
          <w:sz w:val="28"/>
          <w:szCs w:val="28"/>
          <w:lang w:val="en-US" w:eastAsia="zh-CN"/>
        </w:rPr>
        <w:t>五</w:t>
      </w:r>
      <w:r>
        <w:rPr>
          <w:rFonts w:hint="eastAsia" w:ascii="宋体" w:hAnsi="宋体"/>
          <w:b/>
          <w:bCs/>
          <w:color w:val="auto"/>
          <w:sz w:val="28"/>
          <w:szCs w:val="28"/>
        </w:rPr>
        <w:t>、中小企业声明函</w:t>
      </w:r>
    </w:p>
    <w:p>
      <w:pPr>
        <w:spacing w:line="440" w:lineRule="exact"/>
        <w:ind w:firstLine="480" w:firstLineChars="200"/>
        <w:rPr>
          <w:rFonts w:ascii="宋体" w:hAnsi="宋体" w:eastAsia="宋体" w:cs="宋体"/>
          <w:color w:val="auto"/>
          <w:sz w:val="24"/>
        </w:rPr>
      </w:pPr>
      <w:bookmarkStart w:id="258" w:name="OLE_LINK13"/>
      <w:bookmarkStart w:id="259" w:name="OLE_LINK14"/>
      <w:r>
        <w:rPr>
          <w:rFonts w:hint="eastAsia" w:ascii="宋体" w:hAnsi="宋体" w:eastAsia="宋体" w:cs="宋体"/>
          <w:color w:val="auto"/>
          <w:sz w:val="24"/>
          <w:lang w:val="en-US" w:eastAsia="zh-CN"/>
        </w:rPr>
        <w:t>本公司（联合体）郑重声明，根据《政府采购促进中小企业发展管理办法》（财库﹝2020﹞46号）的规定，本公司（联合体）参加</w:t>
      </w:r>
      <w:r>
        <w:rPr>
          <w:rFonts w:hint="eastAsia" w:ascii="宋体" w:hAnsi="宋体" w:eastAsia="宋体" w:cs="宋体"/>
          <w:color w:val="auto"/>
          <w:sz w:val="24"/>
          <w:u w:val="single"/>
          <w:lang w:val="en-US" w:eastAsia="zh-CN"/>
        </w:rPr>
        <w:t>（单位名称）</w:t>
      </w:r>
      <w:r>
        <w:rPr>
          <w:rFonts w:hint="eastAsia" w:ascii="宋体" w:hAnsi="宋体" w:eastAsia="宋体" w:cs="宋体"/>
          <w:color w:val="auto"/>
          <w:sz w:val="24"/>
          <w:lang w:val="en-US" w:eastAsia="zh-CN"/>
        </w:rPr>
        <w:t>的</w:t>
      </w:r>
      <w:r>
        <w:rPr>
          <w:rFonts w:hint="eastAsia" w:ascii="宋体" w:hAnsi="宋体" w:eastAsia="宋体" w:cs="宋体"/>
          <w:color w:val="auto"/>
          <w:sz w:val="24"/>
          <w:u w:val="single"/>
          <w:lang w:val="en-US" w:eastAsia="zh-CN"/>
        </w:rPr>
        <w:t xml:space="preserve"> （项目名称） </w:t>
      </w:r>
      <w:r>
        <w:rPr>
          <w:rFonts w:hint="eastAsia" w:ascii="宋体" w:hAnsi="宋体" w:eastAsia="宋体" w:cs="宋体"/>
          <w:color w:val="auto"/>
          <w:sz w:val="24"/>
          <w:lang w:val="en-US" w:eastAsia="zh-CN"/>
        </w:rPr>
        <w:t xml:space="preserve">采购活动，工程的施工单位全部为符合政策要求的中小企业（或者：服务全部由符合政策要求的中小企业承接）。 </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 xml:space="preserve">相关企业（含联合体中的中小企业、签订分包意向协议的中小企业）的具体情况如下： </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u w:val="single"/>
          <w:lang w:val="en-US" w:eastAsia="zh-CN"/>
        </w:rPr>
        <w:t xml:space="preserve">（标的名称） </w:t>
      </w:r>
      <w:r>
        <w:rPr>
          <w:rFonts w:hint="eastAsia" w:ascii="宋体" w:hAnsi="宋体" w:eastAsia="宋体" w:cs="宋体"/>
          <w:color w:val="auto"/>
          <w:sz w:val="24"/>
          <w:lang w:val="en-US" w:eastAsia="zh-CN"/>
        </w:rPr>
        <w:t>，属于</w:t>
      </w:r>
      <w:r>
        <w:rPr>
          <w:rFonts w:hint="eastAsia" w:ascii="宋体" w:hAnsi="宋体" w:eastAsia="宋体" w:cs="宋体"/>
          <w:color w:val="auto"/>
          <w:sz w:val="24"/>
          <w:u w:val="single"/>
          <w:lang w:val="en-US" w:eastAsia="zh-CN"/>
        </w:rPr>
        <w:t xml:space="preserve"> （采购文件中明确的所属行业） </w:t>
      </w:r>
      <w:r>
        <w:rPr>
          <w:rFonts w:hint="eastAsia" w:ascii="宋体" w:hAnsi="宋体" w:eastAsia="宋体" w:cs="宋体"/>
          <w:color w:val="auto"/>
          <w:sz w:val="24"/>
          <w:lang w:val="en-US" w:eastAsia="zh-CN"/>
        </w:rPr>
        <w:t>行业 ；承建（承接）企业为</w:t>
      </w:r>
      <w:r>
        <w:rPr>
          <w:rFonts w:hint="eastAsia" w:ascii="宋体" w:hAnsi="宋体" w:eastAsia="宋体" w:cs="宋体"/>
          <w:color w:val="auto"/>
          <w:sz w:val="24"/>
          <w:u w:val="single"/>
          <w:lang w:val="en-US" w:eastAsia="zh-CN"/>
        </w:rPr>
        <w:t xml:space="preserve">（企业名称） </w:t>
      </w:r>
      <w:r>
        <w:rPr>
          <w:rFonts w:hint="eastAsia" w:ascii="宋体" w:hAnsi="宋体" w:eastAsia="宋体" w:cs="宋体"/>
          <w:color w:val="auto"/>
          <w:sz w:val="24"/>
          <w:lang w:val="en-US" w:eastAsia="zh-CN"/>
        </w:rPr>
        <w:t>，从业人员</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万元，属于</w:t>
      </w:r>
      <w:r>
        <w:rPr>
          <w:rFonts w:hint="eastAsia" w:ascii="宋体" w:hAnsi="宋体" w:eastAsia="宋体" w:cs="宋体"/>
          <w:color w:val="auto"/>
          <w:sz w:val="24"/>
          <w:u w:val="single"/>
          <w:lang w:val="en-US" w:eastAsia="zh-CN"/>
        </w:rPr>
        <w:t xml:space="preserve"> （中型企业、小型企业、微型企业） </w:t>
      </w:r>
      <w:r>
        <w:rPr>
          <w:rFonts w:hint="eastAsia" w:ascii="宋体" w:hAnsi="宋体" w:eastAsia="宋体" w:cs="宋体"/>
          <w:color w:val="auto"/>
          <w:sz w:val="24"/>
          <w:lang w:val="en-US" w:eastAsia="zh-CN"/>
        </w:rPr>
        <w:t xml:space="preserve">； </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 xml:space="preserve">2. </w:t>
      </w:r>
      <w:r>
        <w:rPr>
          <w:rFonts w:hint="eastAsia" w:ascii="宋体" w:hAnsi="宋体" w:eastAsia="宋体" w:cs="宋体"/>
          <w:color w:val="auto"/>
          <w:sz w:val="24"/>
          <w:u w:val="single"/>
          <w:lang w:val="en-US" w:eastAsia="zh-CN"/>
        </w:rPr>
        <w:t xml:space="preserve">（标的名称） </w:t>
      </w:r>
      <w:r>
        <w:rPr>
          <w:rFonts w:hint="eastAsia" w:ascii="宋体" w:hAnsi="宋体" w:eastAsia="宋体" w:cs="宋体"/>
          <w:color w:val="auto"/>
          <w:sz w:val="24"/>
          <w:lang w:val="en-US" w:eastAsia="zh-CN"/>
        </w:rPr>
        <w:t>，属于</w:t>
      </w:r>
      <w:r>
        <w:rPr>
          <w:rFonts w:hint="eastAsia" w:ascii="宋体" w:hAnsi="宋体" w:eastAsia="宋体" w:cs="宋体"/>
          <w:color w:val="auto"/>
          <w:sz w:val="24"/>
          <w:u w:val="single"/>
          <w:lang w:val="en-US" w:eastAsia="zh-CN"/>
        </w:rPr>
        <w:t xml:space="preserve"> （采购文件中明确的所属行业） </w:t>
      </w:r>
      <w:r>
        <w:rPr>
          <w:rFonts w:hint="eastAsia" w:ascii="宋体" w:hAnsi="宋体" w:eastAsia="宋体" w:cs="宋体"/>
          <w:color w:val="auto"/>
          <w:sz w:val="24"/>
          <w:lang w:val="en-US" w:eastAsia="zh-CN"/>
        </w:rPr>
        <w:t>行业 ；承建（承接）企业为</w:t>
      </w:r>
      <w:r>
        <w:rPr>
          <w:rFonts w:hint="eastAsia" w:ascii="宋体" w:hAnsi="宋体" w:eastAsia="宋体" w:cs="宋体"/>
          <w:color w:val="auto"/>
          <w:sz w:val="24"/>
          <w:u w:val="single"/>
          <w:lang w:val="en-US" w:eastAsia="zh-CN"/>
        </w:rPr>
        <w:t>（企业名称）</w:t>
      </w:r>
      <w:r>
        <w:rPr>
          <w:rFonts w:hint="eastAsia" w:ascii="宋体" w:hAnsi="宋体" w:eastAsia="宋体" w:cs="宋体"/>
          <w:color w:val="auto"/>
          <w:sz w:val="24"/>
          <w:lang w:val="en-US" w:eastAsia="zh-CN"/>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万元，属于</w:t>
      </w:r>
      <w:r>
        <w:rPr>
          <w:rFonts w:hint="eastAsia" w:ascii="宋体" w:hAnsi="宋体" w:eastAsia="宋体" w:cs="宋体"/>
          <w:color w:val="auto"/>
          <w:sz w:val="24"/>
          <w:u w:val="single"/>
          <w:lang w:val="en-US" w:eastAsia="zh-CN"/>
        </w:rPr>
        <w:t xml:space="preserve"> （中型企业、小型企业、微型企业） </w:t>
      </w:r>
      <w:r>
        <w:rPr>
          <w:rFonts w:hint="eastAsia" w:ascii="宋体" w:hAnsi="宋体" w:eastAsia="宋体" w:cs="宋体"/>
          <w:color w:val="auto"/>
          <w:sz w:val="24"/>
          <w:lang w:val="en-US" w:eastAsia="zh-CN"/>
        </w:rPr>
        <w:t xml:space="preserve">； </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 xml:space="preserve">...... </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 xml:space="preserve">以上企业，不属于大企业的分支机构，不存在控股股东为大企业的情形，也不存在与大企业的负责人为同一人的情形。 </w:t>
      </w:r>
    </w:p>
    <w:p>
      <w:pPr>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 xml:space="preserve">本企业对上述声明内容的真实性负责。如有虚假，将依法承担相应责任。 </w:t>
      </w:r>
    </w:p>
    <w:p>
      <w:pPr>
        <w:spacing w:line="440" w:lineRule="exact"/>
        <w:ind w:firstLine="4320" w:firstLineChars="1800"/>
        <w:rPr>
          <w:rFonts w:hint="eastAsia" w:ascii="宋体" w:hAnsi="宋体" w:eastAsia="宋体" w:cs="宋体"/>
          <w:color w:val="auto"/>
          <w:sz w:val="24"/>
          <w:lang w:val="en-US" w:eastAsia="zh-CN"/>
        </w:rPr>
      </w:pPr>
    </w:p>
    <w:p>
      <w:pPr>
        <w:spacing w:line="440" w:lineRule="exact"/>
        <w:ind w:firstLine="4320" w:firstLineChars="1800"/>
        <w:rPr>
          <w:rFonts w:ascii="宋体" w:hAnsi="宋体" w:eastAsia="宋体" w:cs="宋体"/>
          <w:color w:val="auto"/>
          <w:sz w:val="24"/>
        </w:rPr>
      </w:pPr>
      <w:r>
        <w:rPr>
          <w:rFonts w:hint="eastAsia" w:ascii="宋体" w:hAnsi="宋体" w:eastAsia="宋体" w:cs="宋体"/>
          <w:color w:val="auto"/>
          <w:sz w:val="24"/>
          <w:lang w:val="en-US" w:eastAsia="zh-CN"/>
        </w:rPr>
        <w:t>企业名称（</w:t>
      </w:r>
      <w:r>
        <w:rPr>
          <w:rFonts w:ascii="宋体" w:hAnsi="宋体" w:cs="宋体"/>
          <w:color w:val="auto"/>
          <w:sz w:val="24"/>
        </w:rPr>
        <w:t>盖章</w:t>
      </w:r>
      <w:r>
        <w:rPr>
          <w:rFonts w:hint="eastAsia" w:ascii="宋体" w:hAnsi="宋体" w:eastAsia="宋体" w:cs="宋体"/>
          <w:color w:val="auto"/>
          <w:sz w:val="24"/>
          <w:lang w:val="en-US" w:eastAsia="zh-CN"/>
        </w:rPr>
        <w:t xml:space="preserve">）： </w:t>
      </w:r>
    </w:p>
    <w:p>
      <w:pPr>
        <w:spacing w:line="440" w:lineRule="exact"/>
        <w:ind w:firstLine="4320" w:firstLineChars="1800"/>
        <w:rPr>
          <w:rFonts w:ascii="宋体" w:hAnsi="宋体" w:eastAsia="宋体" w:cs="宋体"/>
          <w:color w:val="auto"/>
          <w:sz w:val="24"/>
        </w:rPr>
      </w:pPr>
      <w:r>
        <w:rPr>
          <w:rFonts w:hint="eastAsia" w:ascii="宋体" w:hAnsi="宋体" w:eastAsia="宋体" w:cs="宋体"/>
          <w:color w:val="auto"/>
          <w:sz w:val="24"/>
          <w:lang w:val="en-US" w:eastAsia="zh-CN"/>
        </w:rPr>
        <w:t xml:space="preserve">日期： </w:t>
      </w:r>
    </w:p>
    <w:p>
      <w:pPr>
        <w:rPr>
          <w:rFonts w:hint="eastAsia" w:ascii="Calibri" w:hAnsi="Calibri"/>
          <w:color w:val="auto"/>
        </w:rPr>
      </w:pPr>
    </w:p>
    <w:p>
      <w:pPr>
        <w:ind w:leftChars="-95" w:right="-132" w:rightChars="-55" w:hanging="199" w:hangingChars="90"/>
        <w:jc w:val="center"/>
        <w:rPr>
          <w:rFonts w:hint="eastAsia"/>
          <w:color w:val="auto"/>
        </w:rPr>
      </w:pPr>
      <w:r>
        <w:rPr>
          <w:rFonts w:ascii="宋体" w:hAnsi="宋体" w:cs="宋体"/>
          <w:b/>
          <w:bCs/>
          <w:color w:val="auto"/>
          <w:sz w:val="22"/>
          <w:szCs w:val="22"/>
        </w:rPr>
        <w:t>从业人员、营业收入、资产总额填报上一年度数据，无上一年度数据的新成立企业可不填报。</w:t>
      </w:r>
    </w:p>
    <w:p>
      <w:pPr>
        <w:tabs>
          <w:tab w:val="left" w:pos="1835"/>
        </w:tabs>
        <w:jc w:val="left"/>
        <w:rPr>
          <w:rFonts w:hint="eastAsia"/>
          <w:color w:val="auto"/>
        </w:rPr>
      </w:pPr>
    </w:p>
    <w:p>
      <w:pPr>
        <w:spacing w:line="588" w:lineRule="exact"/>
        <w:jc w:val="center"/>
        <w:rPr>
          <w:rFonts w:hint="eastAsia" w:ascii="仿宋_GB2312" w:eastAsia="仿宋_GB2312"/>
          <w:b/>
          <w:color w:val="auto"/>
          <w:spacing w:val="6"/>
          <w:sz w:val="32"/>
          <w:szCs w:val="32"/>
        </w:rPr>
      </w:pPr>
    </w:p>
    <w:p>
      <w:pPr>
        <w:pStyle w:val="32"/>
        <w:rPr>
          <w:rFonts w:hint="eastAsia" w:ascii="仿宋_GB2312" w:eastAsia="仿宋_GB2312"/>
          <w:b/>
          <w:color w:val="auto"/>
          <w:spacing w:val="6"/>
          <w:sz w:val="32"/>
          <w:szCs w:val="32"/>
        </w:rPr>
      </w:pPr>
    </w:p>
    <w:p>
      <w:pPr>
        <w:rPr>
          <w:rFonts w:hint="eastAsia"/>
          <w:color w:val="auto"/>
        </w:rPr>
      </w:pPr>
    </w:p>
    <w:p>
      <w:pPr>
        <w:pStyle w:val="48"/>
        <w:rPr>
          <w:rFonts w:hint="eastAsia" w:ascii="仿宋_GB2312" w:eastAsia="仿宋_GB2312"/>
          <w:b/>
          <w:color w:val="auto"/>
          <w:spacing w:val="6"/>
          <w:sz w:val="32"/>
          <w:szCs w:val="32"/>
        </w:rPr>
      </w:pPr>
    </w:p>
    <w:p>
      <w:pPr>
        <w:rPr>
          <w:rFonts w:hint="eastAsia"/>
          <w:color w:val="auto"/>
        </w:rPr>
      </w:pPr>
    </w:p>
    <w:p>
      <w:pPr>
        <w:rPr>
          <w:rFonts w:hint="eastAsia"/>
          <w:color w:val="auto"/>
        </w:rPr>
      </w:pPr>
    </w:p>
    <w:p>
      <w:pPr>
        <w:spacing w:line="480" w:lineRule="auto"/>
        <w:jc w:val="both"/>
        <w:rPr>
          <w:rFonts w:hint="eastAsia" w:ascii="宋体" w:hAnsi="宋体" w:eastAsia="宋体"/>
          <w:b/>
          <w:bCs/>
          <w:color w:val="auto"/>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center"/>
        <w:textAlignment w:val="auto"/>
        <w:rPr>
          <w:rFonts w:hint="eastAsia" w:ascii="宋体" w:hAnsi="宋体" w:eastAsia="宋体"/>
          <w:b/>
          <w:bCs/>
          <w:color w:val="auto"/>
          <w:sz w:val="28"/>
          <w:szCs w:val="28"/>
        </w:rPr>
      </w:pPr>
      <w:r>
        <w:rPr>
          <w:rFonts w:hint="eastAsia" w:ascii="宋体" w:hAnsi="宋体"/>
          <w:b/>
          <w:bCs/>
          <w:color w:val="auto"/>
          <w:sz w:val="28"/>
          <w:szCs w:val="28"/>
          <w:lang w:val="en-US" w:eastAsia="zh-CN"/>
        </w:rPr>
        <w:t>六</w:t>
      </w:r>
      <w:r>
        <w:rPr>
          <w:rFonts w:hint="eastAsia" w:ascii="宋体" w:hAnsi="宋体" w:eastAsia="宋体"/>
          <w:b/>
          <w:bCs/>
          <w:color w:val="auto"/>
          <w:sz w:val="28"/>
          <w:szCs w:val="28"/>
          <w:lang w:eastAsia="zh-CN"/>
        </w:rPr>
        <w:t>、</w:t>
      </w:r>
      <w:r>
        <w:rPr>
          <w:rFonts w:hint="eastAsia" w:ascii="宋体" w:hAnsi="宋体" w:eastAsia="宋体"/>
          <w:b/>
          <w:bCs/>
          <w:color w:val="auto"/>
          <w:sz w:val="28"/>
          <w:szCs w:val="28"/>
        </w:rPr>
        <w:t>残疾人福利性单位声明函（如有）</w:t>
      </w:r>
    </w:p>
    <w:p>
      <w:pPr>
        <w:spacing w:line="588" w:lineRule="exact"/>
        <w:ind w:firstLine="464" w:firstLineChars="200"/>
        <w:rPr>
          <w:rFonts w:hint="eastAsia" w:ascii="宋体" w:hAnsi="宋体" w:cs="宋体"/>
          <w:color w:val="auto"/>
          <w:spacing w:val="6"/>
          <w:sz w:val="22"/>
          <w:szCs w:val="22"/>
        </w:rPr>
      </w:pPr>
      <w:r>
        <w:rPr>
          <w:rFonts w:hint="eastAsia" w:ascii="宋体" w:hAnsi="宋体" w:cs="宋体"/>
          <w:color w:val="auto"/>
          <w:spacing w:val="6"/>
          <w:sz w:val="22"/>
          <w:szCs w:val="22"/>
        </w:rPr>
        <w:t>本单位郑重声明，根据《财政部 民政部 中国残疾人联合会关于促进残疾人就业政府采购政策的通知》（财库</w:t>
      </w:r>
      <w:r>
        <w:rPr>
          <w:rFonts w:hint="eastAsia" w:ascii="宋体" w:hAnsi="宋体" w:cs="宋体"/>
          <w:color w:val="auto"/>
          <w:sz w:val="22"/>
          <w:szCs w:val="22"/>
        </w:rPr>
        <w:t>〔2017〕 141</w:t>
      </w:r>
      <w:r>
        <w:rPr>
          <w:rFonts w:hint="eastAsia" w:ascii="宋体" w:hAnsi="宋体" w:cs="宋体"/>
          <w:color w:val="auto"/>
          <w:spacing w:val="6"/>
          <w:sz w:val="22"/>
          <w:szCs w:val="22"/>
        </w:rPr>
        <w:t>号）的规定，本单位为符合该文件之规定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宋体" w:hAnsi="宋体" w:cs="宋体"/>
          <w:color w:val="auto"/>
          <w:spacing w:val="6"/>
          <w:sz w:val="22"/>
          <w:szCs w:val="22"/>
        </w:rPr>
      </w:pPr>
      <w:r>
        <w:rPr>
          <w:rFonts w:hint="eastAsia" w:ascii="宋体" w:hAnsi="宋体" w:cs="宋体"/>
          <w:color w:val="auto"/>
          <w:spacing w:val="6"/>
          <w:sz w:val="22"/>
          <w:szCs w:val="22"/>
        </w:rPr>
        <w:t>本单位对上述声明的真实性负责。如有虚假，将依法承担相应责任。</w:t>
      </w:r>
    </w:p>
    <w:p>
      <w:pPr>
        <w:spacing w:line="588" w:lineRule="exact"/>
        <w:ind w:firstLine="464" w:firstLineChars="200"/>
        <w:rPr>
          <w:rFonts w:ascii="仿宋_GB2312" w:eastAsia="仿宋_GB2312"/>
          <w:color w:val="auto"/>
          <w:spacing w:val="6"/>
          <w:sz w:val="22"/>
          <w:szCs w:val="22"/>
        </w:rPr>
      </w:pPr>
    </w:p>
    <w:p>
      <w:pPr>
        <w:tabs>
          <w:tab w:val="left" w:pos="4860"/>
        </w:tabs>
        <w:spacing w:line="588" w:lineRule="exact"/>
        <w:ind w:right="1560" w:firstLine="464" w:firstLineChars="200"/>
        <w:jc w:val="center"/>
        <w:rPr>
          <w:rFonts w:hint="eastAsia" w:ascii="宋体" w:hAnsi="宋体" w:cs="宋体"/>
          <w:color w:val="auto"/>
          <w:spacing w:val="6"/>
          <w:sz w:val="22"/>
          <w:szCs w:val="22"/>
        </w:rPr>
      </w:pPr>
      <w:r>
        <w:rPr>
          <w:rFonts w:hint="eastAsia" w:ascii="仿宋_GB2312" w:eastAsia="仿宋_GB2312"/>
          <w:color w:val="auto"/>
          <w:spacing w:val="6"/>
          <w:sz w:val="22"/>
          <w:szCs w:val="22"/>
        </w:rPr>
        <w:t xml:space="preserve">            </w:t>
      </w:r>
      <w:r>
        <w:rPr>
          <w:rFonts w:hint="eastAsia" w:ascii="宋体" w:hAnsi="宋体" w:cs="宋体"/>
          <w:color w:val="auto"/>
          <w:spacing w:val="6"/>
          <w:sz w:val="22"/>
          <w:szCs w:val="22"/>
        </w:rPr>
        <w:t xml:space="preserve">   单位名称（盖章）：</w:t>
      </w:r>
    </w:p>
    <w:p>
      <w:pPr>
        <w:tabs>
          <w:tab w:val="left" w:pos="4860"/>
        </w:tabs>
        <w:spacing w:line="588" w:lineRule="exact"/>
        <w:ind w:right="1560" w:firstLine="464" w:firstLineChars="200"/>
        <w:jc w:val="center"/>
        <w:rPr>
          <w:rFonts w:hint="eastAsia" w:ascii="宋体" w:hAnsi="宋体" w:cs="宋体"/>
          <w:color w:val="auto"/>
          <w:spacing w:val="6"/>
          <w:sz w:val="22"/>
          <w:szCs w:val="22"/>
        </w:rPr>
      </w:pPr>
      <w:r>
        <w:rPr>
          <w:rFonts w:hint="eastAsia" w:ascii="宋体" w:hAnsi="宋体" w:cs="宋体"/>
          <w:color w:val="auto"/>
          <w:spacing w:val="6"/>
          <w:sz w:val="22"/>
          <w:szCs w:val="22"/>
        </w:rPr>
        <w:t xml:space="preserve">       日  期：</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lang w:val="zh-CN"/>
        </w:rPr>
      </w:pPr>
      <w:r>
        <w:rPr>
          <w:rFonts w:hint="eastAsia" w:ascii="宋体" w:hAnsi="宋体" w:cs="宋体"/>
          <w:b w:val="0"/>
          <w:bCs w:val="0"/>
          <w:color w:val="auto"/>
          <w:sz w:val="21"/>
          <w:szCs w:val="21"/>
          <w:lang w:val="zh-CN"/>
        </w:rPr>
        <w:t>（提醒：如果供应商不是残疾人福利性单位，则不需要提供《残疾人福利性单位声明函》。否则，因此导致虚假投标的后果由供应商自行承担。）</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《财政部民政部中国残疾人联合会关于促进残疾人就业政府采购政策的通知》（财库（2017〔141〕号）的规定：</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1、享受政府采购支持政策的残疾人福利性单位应当同时满足以下条件：</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（1）安置的残疾人占本单位在职职工人数的比例不低于25%（含25%），并且安置的残疾人人数不少于10人（含10人）；</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（2）依法与安置的每位残疾人签订了一年以上（含一年）的劳动合同或服务协议；</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（3）为安置的每位残疾人按月足额缴纳了基本养老保险、基本医疗保险、失业保险、工伤保险和生育保险等社会保险费；</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（4）通过银行等金融机构向安置的每位残疾人，按月支付了不低于单位所在区县适用的经省级人民政府批准的月最低工资标准的工资；</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（5）提供本单位制造的货物、承担的工程或者服务（以下简称产品），或者提供其他残疾人福利性单位制造的货物（不包括使用非残疾人福利性单位注册商标的货物）。</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1"/>
          <w:szCs w:val="21"/>
          <w:lang w:val="zh-CN"/>
        </w:rPr>
      </w:pPr>
      <w:r>
        <w:rPr>
          <w:rFonts w:hint="eastAsia" w:ascii="宋体" w:hAnsi="宋体" w:cs="宋体"/>
          <w:b w:val="0"/>
          <w:bCs w:val="0"/>
          <w:color w:val="auto"/>
          <w:sz w:val="21"/>
          <w:szCs w:val="21"/>
          <w:lang w:val="zh-CN"/>
        </w:rPr>
        <w:t>2、中标人为残疾人福利性单位的，招标人或者其委托的招标代理机构应当随中标、成交结果同时公告其《残疾人福利性单位声明函》，接受社会监督，一旦发现弄虚作假提供虚假信息的，承担相应的法律责任。</w:t>
      </w:r>
    </w:p>
    <w:bookmarkEnd w:id="258"/>
    <w:bookmarkEnd w:id="259"/>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center"/>
        <w:textAlignment w:val="auto"/>
        <w:rPr>
          <w:rFonts w:hint="eastAsia" w:ascii="宋体" w:hAnsi="宋体"/>
          <w:b/>
          <w:bCs/>
          <w:color w:val="auto"/>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center"/>
        <w:textAlignment w:val="auto"/>
        <w:rPr>
          <w:rFonts w:hint="eastAsia" w:ascii="宋体" w:hAnsi="宋体" w:eastAsia="宋体"/>
          <w:b/>
          <w:bCs/>
          <w:color w:val="auto"/>
          <w:sz w:val="28"/>
          <w:szCs w:val="28"/>
          <w:lang w:val="en-US" w:eastAsia="zh-CN"/>
        </w:rPr>
      </w:pPr>
      <w:r>
        <w:rPr>
          <w:rFonts w:hint="eastAsia" w:ascii="宋体" w:hAnsi="宋体"/>
          <w:b/>
          <w:bCs/>
          <w:color w:val="auto"/>
          <w:sz w:val="28"/>
          <w:szCs w:val="28"/>
          <w:lang w:val="en-US" w:eastAsia="zh-CN"/>
        </w:rPr>
        <w:t>七</w:t>
      </w:r>
      <w:r>
        <w:rPr>
          <w:rFonts w:hint="eastAsia" w:ascii="宋体" w:hAnsi="宋体" w:eastAsia="宋体"/>
          <w:b/>
          <w:bCs/>
          <w:color w:val="auto"/>
          <w:sz w:val="28"/>
          <w:szCs w:val="28"/>
          <w:lang w:eastAsia="zh-CN"/>
        </w:rPr>
        <w:t>、</w:t>
      </w:r>
      <w:r>
        <w:rPr>
          <w:rFonts w:hint="eastAsia" w:ascii="宋体" w:hAnsi="宋体" w:eastAsia="宋体"/>
          <w:b/>
          <w:bCs/>
          <w:color w:val="auto"/>
          <w:sz w:val="28"/>
          <w:szCs w:val="28"/>
          <w:lang w:val="en-US" w:eastAsia="zh-CN"/>
        </w:rPr>
        <w:t>监狱企业证明文件(如有)</w:t>
      </w:r>
    </w:p>
    <w:p>
      <w:pPr>
        <w:spacing w:line="360" w:lineRule="auto"/>
        <w:ind w:firstLine="420" w:firstLineChars="200"/>
        <w:rPr>
          <w:rFonts w:hint="eastAsia"/>
          <w:color w:val="auto"/>
          <w:sz w:val="21"/>
          <w:szCs w:val="21"/>
          <w:lang w:val="en-US" w:eastAsia="zh-CN"/>
        </w:rPr>
      </w:pPr>
    </w:p>
    <w:p>
      <w:pPr>
        <w:spacing w:line="360" w:lineRule="auto"/>
        <w:ind w:firstLine="420" w:firstLineChars="200"/>
        <w:rPr>
          <w:rFonts w:hint="eastAsia"/>
          <w:color w:val="auto"/>
          <w:sz w:val="21"/>
          <w:szCs w:val="21"/>
          <w:lang w:val="en-US" w:eastAsia="zh-CN"/>
        </w:rPr>
      </w:pPr>
      <w:r>
        <w:rPr>
          <w:rFonts w:hint="eastAsia" w:ascii="宋体" w:hAnsi="宋体" w:cs="宋体"/>
          <w:color w:val="auto"/>
          <w:sz w:val="21"/>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cs="宋体"/>
          <w:color w:val="auto"/>
          <w:sz w:val="21"/>
          <w:szCs w:val="21"/>
          <w:lang w:val="en-US" w:eastAsia="zh-CN"/>
        </w:rPr>
        <w:t>15</w:t>
      </w:r>
      <w:r>
        <w:rPr>
          <w:rFonts w:hint="eastAsia" w:ascii="宋体" w:hAnsi="宋体" w:cs="宋体"/>
          <w:color w:val="auto"/>
          <w:sz w:val="21"/>
          <w:szCs w:val="21"/>
        </w:rPr>
        <w:t>%的价格扣除，但必须提供由省级以上监狱管理局、戒毒管理局（含新疆生产建设兵团）出具的属于监狱企业的证明文件，否则评审时不予价格扣除优惠。</w:t>
      </w:r>
    </w:p>
    <w:p>
      <w:pPr>
        <w:spacing w:line="360" w:lineRule="auto"/>
        <w:rPr>
          <w:rFonts w:hint="eastAsia"/>
          <w:color w:val="auto"/>
          <w:sz w:val="21"/>
          <w:szCs w:val="21"/>
          <w:lang w:val="en-US" w:eastAsia="zh-CN"/>
        </w:rPr>
      </w:pPr>
    </w:p>
    <w:p>
      <w:pPr>
        <w:spacing w:line="360" w:lineRule="auto"/>
        <w:rPr>
          <w:rFonts w:hint="eastAsia"/>
          <w:color w:val="auto"/>
          <w:sz w:val="21"/>
          <w:szCs w:val="21"/>
          <w:lang w:val="en-US" w:eastAsia="zh-CN"/>
        </w:rPr>
      </w:pPr>
      <w:r>
        <w:rPr>
          <w:rFonts w:hint="eastAsia"/>
          <w:color w:val="auto"/>
          <w:sz w:val="21"/>
          <w:szCs w:val="21"/>
          <w:lang w:val="en-US" w:eastAsia="zh-CN"/>
        </w:rPr>
        <w:t>注：在投标文件中附扫描件。</w:t>
      </w:r>
    </w:p>
    <w:p>
      <w:pPr>
        <w:spacing w:line="312" w:lineRule="auto"/>
        <w:jc w:val="center"/>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7"/>
        <w:rPr>
          <w:rFonts w:hint="eastAsia" w:ascii="宋体" w:hAnsi="宋体"/>
          <w:color w:val="auto"/>
          <w:sz w:val="28"/>
          <w:szCs w:val="28"/>
        </w:rPr>
      </w:pPr>
    </w:p>
    <w:p>
      <w:pPr>
        <w:pStyle w:val="49"/>
        <w:rPr>
          <w:rFonts w:hint="eastAsia"/>
          <w:color w:val="auto"/>
        </w:rPr>
      </w:pPr>
    </w:p>
    <w:p>
      <w:pPr>
        <w:pStyle w:val="47"/>
        <w:rPr>
          <w:rFonts w:hint="eastAsia" w:ascii="宋体" w:hAnsi="宋体"/>
          <w:color w:val="auto"/>
          <w:sz w:val="28"/>
          <w:szCs w:val="28"/>
        </w:rPr>
      </w:pPr>
    </w:p>
    <w:p>
      <w:pPr>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center"/>
        <w:textAlignment w:val="auto"/>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八</w:t>
      </w:r>
      <w:r>
        <w:rPr>
          <w:rFonts w:hint="eastAsia" w:ascii="宋体" w:hAnsi="宋体" w:eastAsia="宋体"/>
          <w:b/>
          <w:bCs/>
          <w:color w:val="auto"/>
          <w:sz w:val="28"/>
          <w:szCs w:val="28"/>
          <w:lang w:eastAsia="zh-CN"/>
        </w:rPr>
        <w:t>、</w:t>
      </w:r>
      <w:r>
        <w:rPr>
          <w:rFonts w:hint="eastAsia" w:ascii="宋体" w:hAnsi="宋体" w:eastAsia="宋体"/>
          <w:b/>
          <w:bCs/>
          <w:color w:val="auto"/>
          <w:sz w:val="28"/>
          <w:szCs w:val="28"/>
          <w:lang w:val="en-US" w:eastAsia="zh-CN"/>
        </w:rPr>
        <w:t>投标单位资格审查资料</w:t>
      </w:r>
    </w:p>
    <w:p>
      <w:pPr>
        <w:pStyle w:val="4"/>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（一）投标人基本情况表</w:t>
      </w:r>
    </w:p>
    <w:tbl>
      <w:tblPr>
        <w:tblStyle w:val="33"/>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913"/>
        <w:gridCol w:w="233"/>
        <w:gridCol w:w="1048"/>
        <w:gridCol w:w="1288"/>
        <w:gridCol w:w="1283"/>
        <w:gridCol w:w="168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7735" w:type="dxa"/>
            <w:gridSpan w:val="7"/>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482"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489" w:firstLineChars="204"/>
              <w:jc w:val="center"/>
              <w:textAlignment w:val="auto"/>
              <w:rPr>
                <w:rFonts w:hint="eastAsia" w:ascii="宋体" w:hAnsi="宋体" w:cs="宋体"/>
                <w:color w:val="auto"/>
                <w:kern w:val="0"/>
                <w:szCs w:val="21"/>
                <w:highlight w:val="none"/>
              </w:rPr>
            </w:pPr>
          </w:p>
        </w:tc>
        <w:tc>
          <w:tcPr>
            <w:tcW w:w="12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97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4"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11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33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489" w:firstLineChars="204"/>
              <w:jc w:val="center"/>
              <w:textAlignment w:val="auto"/>
              <w:rPr>
                <w:rFonts w:hint="eastAsia" w:ascii="宋体" w:hAnsi="宋体" w:cs="宋体"/>
                <w:color w:val="auto"/>
                <w:kern w:val="0"/>
                <w:szCs w:val="21"/>
                <w:highlight w:val="none"/>
              </w:rPr>
            </w:pPr>
          </w:p>
        </w:tc>
        <w:tc>
          <w:tcPr>
            <w:tcW w:w="12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电 话</w:t>
            </w:r>
          </w:p>
        </w:tc>
        <w:tc>
          <w:tcPr>
            <w:tcW w:w="297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489" w:firstLineChars="204"/>
              <w:jc w:val="center"/>
              <w:textAlignment w:val="auto"/>
              <w:rPr>
                <w:rFonts w:hint="eastAsia" w:ascii="宋体" w:hAnsi="宋体" w:cs="宋体"/>
                <w:color w:val="auto"/>
                <w:kern w:val="0"/>
                <w:szCs w:val="21"/>
                <w:highlight w:val="none"/>
              </w:rPr>
            </w:pPr>
          </w:p>
        </w:tc>
        <w:tc>
          <w:tcPr>
            <w:tcW w:w="11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传 真</w:t>
            </w:r>
          </w:p>
        </w:tc>
        <w:tc>
          <w:tcPr>
            <w:tcW w:w="233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489" w:firstLineChars="204"/>
              <w:jc w:val="center"/>
              <w:textAlignment w:val="auto"/>
              <w:rPr>
                <w:rFonts w:hint="eastAsia" w:ascii="宋体" w:hAnsi="宋体" w:cs="宋体"/>
                <w:color w:val="auto"/>
                <w:kern w:val="0"/>
                <w:szCs w:val="21"/>
                <w:highlight w:val="none"/>
              </w:rPr>
            </w:pPr>
          </w:p>
        </w:tc>
        <w:tc>
          <w:tcPr>
            <w:tcW w:w="12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网 址</w:t>
            </w:r>
          </w:p>
        </w:tc>
        <w:tc>
          <w:tcPr>
            <w:tcW w:w="297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组织结构</w:t>
            </w:r>
          </w:p>
        </w:tc>
        <w:tc>
          <w:tcPr>
            <w:tcW w:w="7735" w:type="dxa"/>
            <w:gridSpan w:val="7"/>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1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1281"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28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2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6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1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1281"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28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2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6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3482"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4253"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3482"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28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其中</w:t>
            </w:r>
          </w:p>
        </w:tc>
        <w:tc>
          <w:tcPr>
            <w:tcW w:w="16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营业执照号</w:t>
            </w:r>
          </w:p>
        </w:tc>
        <w:tc>
          <w:tcPr>
            <w:tcW w:w="3482"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28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6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高级职称人员</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3482"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28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6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中级职称人员</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3482"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28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6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初级职称人员</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账号</w:t>
            </w:r>
          </w:p>
        </w:tc>
        <w:tc>
          <w:tcPr>
            <w:tcW w:w="3482"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2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c>
          <w:tcPr>
            <w:tcW w:w="16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技 工</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jc w:val="center"/>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735" w:type="dxa"/>
            <w:gridSpan w:val="7"/>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textAlignment w:val="auto"/>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0" w:firstLineChars="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7735" w:type="dxa"/>
            <w:gridSpan w:val="7"/>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89" w:firstLineChars="204"/>
              <w:textAlignment w:val="auto"/>
              <w:rPr>
                <w:rFonts w:hint="eastAsia" w:ascii="宋体" w:hAnsi="宋体" w:cs="宋体"/>
                <w:color w:val="auto"/>
                <w:kern w:val="0"/>
                <w:szCs w:val="21"/>
                <w:highlight w:val="none"/>
              </w:rPr>
            </w:pPr>
          </w:p>
        </w:tc>
      </w:tr>
    </w:tbl>
    <w:p>
      <w:pPr>
        <w:tabs>
          <w:tab w:val="left" w:pos="3560"/>
        </w:tabs>
        <w:adjustRightInd w:val="0"/>
        <w:snapToGrid w:val="0"/>
        <w:spacing w:line="360" w:lineRule="auto"/>
        <w:ind w:firstLine="489" w:firstLineChars="204"/>
        <w:rPr>
          <w:rFonts w:hint="eastAsia" w:ascii="宋体" w:hAnsi="宋体" w:cs="宋体"/>
          <w:color w:val="auto"/>
          <w:highlight w:val="none"/>
        </w:rPr>
      </w:pPr>
    </w:p>
    <w:p>
      <w:pPr>
        <w:tabs>
          <w:tab w:val="left" w:pos="3560"/>
        </w:tabs>
        <w:adjustRightInd w:val="0"/>
        <w:snapToGrid w:val="0"/>
        <w:spacing w:line="360" w:lineRule="auto"/>
        <w:ind w:firstLine="489" w:firstLineChars="204"/>
        <w:rPr>
          <w:rFonts w:hint="eastAsia" w:ascii="宋体" w:hAnsi="宋体" w:cs="宋体"/>
          <w:color w:val="auto"/>
          <w:highlight w:val="none"/>
        </w:rPr>
      </w:pPr>
      <w:r>
        <w:rPr>
          <w:rFonts w:hint="eastAsia" w:ascii="宋体" w:hAnsi="宋体" w:cs="宋体"/>
          <w:color w:val="auto"/>
          <w:highlight w:val="none"/>
        </w:rPr>
        <w:t>注：公司营业执照等</w:t>
      </w:r>
      <w:r>
        <w:rPr>
          <w:rFonts w:hint="eastAsia" w:ascii="宋体" w:hAnsi="宋体" w:cs="宋体"/>
          <w:color w:val="auto"/>
          <w:highlight w:val="none"/>
          <w:lang w:val="en-US" w:eastAsia="zh-CN"/>
        </w:rPr>
        <w:t>材料</w:t>
      </w:r>
      <w:r>
        <w:rPr>
          <w:rFonts w:hint="eastAsia" w:ascii="宋体" w:hAnsi="宋体" w:cs="宋体"/>
          <w:color w:val="auto"/>
          <w:highlight w:val="none"/>
        </w:rPr>
        <w:t>后附。</w:t>
      </w:r>
    </w:p>
    <w:p>
      <w:pPr>
        <w:rPr>
          <w:rFonts w:ascii="宋体" w:hAnsi="宋体" w:eastAsia="宋体" w:cs="宋体"/>
          <w:snapToGrid w:val="0"/>
          <w:color w:val="auto"/>
          <w:spacing w:val="-7"/>
          <w:kern w:val="0"/>
          <w:sz w:val="21"/>
          <w:szCs w:val="21"/>
        </w:rPr>
      </w:pPr>
      <w:r>
        <w:rPr>
          <w:rFonts w:ascii="宋体" w:hAnsi="宋体" w:eastAsia="宋体" w:cs="宋体"/>
          <w:snapToGrid w:val="0"/>
          <w:color w:val="auto"/>
          <w:spacing w:val="-7"/>
          <w:kern w:val="0"/>
          <w:sz w:val="21"/>
          <w:szCs w:val="21"/>
        </w:rPr>
        <w:br w:type="page"/>
      </w:r>
    </w:p>
    <w:p>
      <w:pPr>
        <w:keepNext w:val="0"/>
        <w:keepLines w:val="0"/>
        <w:pageBreakBefore w:val="0"/>
        <w:widowControl/>
        <w:kinsoku w:val="0"/>
        <w:wordWrap/>
        <w:overflowPunct/>
        <w:topLinePunct w:val="0"/>
        <w:autoSpaceDE w:val="0"/>
        <w:autoSpaceDN w:val="0"/>
        <w:bidi w:val="0"/>
        <w:adjustRightInd w:val="0"/>
        <w:snapToGrid w:val="0"/>
        <w:spacing w:line="348" w:lineRule="auto"/>
        <w:ind w:right="45" w:firstLine="474" w:firstLineChars="200"/>
        <w:jc w:val="left"/>
        <w:textAlignment w:val="baseline"/>
        <w:rPr>
          <w:rFonts w:hint="eastAsia" w:ascii="宋体" w:hAnsi="宋体" w:eastAsia="宋体" w:cs="宋体"/>
          <w:b w:val="0"/>
          <w:bCs w:val="0"/>
          <w:snapToGrid w:val="0"/>
          <w:color w:val="auto"/>
          <w:spacing w:val="-2"/>
          <w:kern w:val="0"/>
          <w:sz w:val="24"/>
          <w:szCs w:val="24"/>
          <w:lang w:eastAsia="zh-CN"/>
        </w:rPr>
      </w:pPr>
      <w:r>
        <w:rPr>
          <w:rFonts w:hint="eastAsia" w:ascii="宋体" w:hAnsi="宋体" w:eastAsia="宋体" w:cs="宋体"/>
          <w:b/>
          <w:bCs/>
          <w:snapToGrid w:val="0"/>
          <w:color w:val="auto"/>
          <w:spacing w:val="-2"/>
          <w:kern w:val="0"/>
          <w:sz w:val="24"/>
          <w:szCs w:val="24"/>
          <w:lang w:eastAsia="zh-CN"/>
        </w:rPr>
        <w:t>（二）</w:t>
      </w:r>
      <w:r>
        <w:rPr>
          <w:rFonts w:ascii="宋体" w:hAnsi="宋体" w:eastAsia="宋体" w:cs="宋体"/>
          <w:b w:val="0"/>
          <w:bCs w:val="0"/>
          <w:snapToGrid w:val="0"/>
          <w:color w:val="auto"/>
          <w:spacing w:val="-2"/>
          <w:kern w:val="0"/>
          <w:sz w:val="24"/>
          <w:szCs w:val="24"/>
        </w:rPr>
        <w:t>具有良好的商业信誉和健全的财务会计制度</w:t>
      </w:r>
      <w:r>
        <w:rPr>
          <w:rFonts w:ascii="宋体" w:hAnsi="宋体" w:eastAsia="宋体" w:cs="宋体"/>
          <w:b w:val="0"/>
          <w:bCs w:val="0"/>
          <w:snapToGrid w:val="0"/>
          <w:color w:val="auto"/>
          <w:spacing w:val="6"/>
          <w:kern w:val="0"/>
          <w:sz w:val="24"/>
          <w:szCs w:val="24"/>
        </w:rPr>
        <w:t>；（</w:t>
      </w:r>
      <w:r>
        <w:rPr>
          <w:rFonts w:hint="eastAsia" w:ascii="宋体" w:hAnsi="宋体" w:eastAsia="宋体" w:cs="宋体"/>
          <w:b w:val="0"/>
          <w:bCs w:val="0"/>
          <w:snapToGrid w:val="0"/>
          <w:color w:val="auto"/>
          <w:spacing w:val="-2"/>
          <w:kern w:val="0"/>
          <w:sz w:val="24"/>
          <w:szCs w:val="24"/>
        </w:rPr>
        <w:t>供应商须提供2022年度或2023年度经审计的财务审计报告或基本户开户行出具的资信证明</w:t>
      </w:r>
      <w:r>
        <w:rPr>
          <w:rFonts w:ascii="宋体" w:hAnsi="宋体" w:eastAsia="宋体" w:cs="宋体"/>
          <w:b w:val="0"/>
          <w:bCs w:val="0"/>
          <w:snapToGrid w:val="0"/>
          <w:color w:val="auto"/>
          <w:spacing w:val="-2"/>
          <w:kern w:val="0"/>
          <w:sz w:val="24"/>
          <w:szCs w:val="24"/>
        </w:rPr>
        <w:t>）</w:t>
      </w:r>
    </w:p>
    <w:p>
      <w:pPr>
        <w:kinsoku w:val="0"/>
        <w:autoSpaceDE w:val="0"/>
        <w:autoSpaceDN w:val="0"/>
        <w:adjustRightInd w:val="0"/>
        <w:snapToGrid w:val="0"/>
        <w:spacing w:line="240" w:lineRule="auto"/>
        <w:jc w:val="left"/>
        <w:textAlignment w:val="baseline"/>
        <w:rPr>
          <w:rFonts w:hint="eastAsia" w:ascii="宋体" w:hAnsi="宋体" w:eastAsia="宋体" w:cs="宋体"/>
          <w:b w:val="0"/>
          <w:bCs w:val="0"/>
          <w:snapToGrid w:val="0"/>
          <w:color w:val="auto"/>
          <w:spacing w:val="-2"/>
          <w:kern w:val="0"/>
          <w:sz w:val="24"/>
          <w:szCs w:val="24"/>
          <w:lang w:eastAsia="zh-CN"/>
        </w:rPr>
      </w:pPr>
      <w:r>
        <w:rPr>
          <w:rFonts w:hint="eastAsia" w:ascii="宋体" w:hAnsi="宋体" w:eastAsia="宋体" w:cs="宋体"/>
          <w:b w:val="0"/>
          <w:bCs w:val="0"/>
          <w:snapToGrid w:val="0"/>
          <w:color w:val="auto"/>
          <w:spacing w:val="-2"/>
          <w:kern w:val="0"/>
          <w:sz w:val="24"/>
          <w:szCs w:val="24"/>
          <w:lang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48" w:lineRule="auto"/>
        <w:ind w:right="45" w:firstLine="472" w:firstLineChars="200"/>
        <w:jc w:val="left"/>
        <w:textAlignment w:val="baseline"/>
        <w:rPr>
          <w:rFonts w:hint="eastAsia" w:ascii="宋体" w:hAnsi="宋体" w:eastAsia="宋体" w:cs="宋体"/>
          <w:b w:val="0"/>
          <w:bCs w:val="0"/>
          <w:snapToGrid w:val="0"/>
          <w:color w:val="auto"/>
          <w:spacing w:val="-2"/>
          <w:kern w:val="0"/>
          <w:sz w:val="24"/>
          <w:szCs w:val="24"/>
          <w:lang w:eastAsia="zh-CN"/>
        </w:rPr>
      </w:pPr>
      <w:r>
        <w:rPr>
          <w:rFonts w:hint="eastAsia" w:ascii="宋体" w:hAnsi="宋体" w:eastAsia="宋体" w:cs="宋体"/>
          <w:b w:val="0"/>
          <w:bCs w:val="0"/>
          <w:snapToGrid w:val="0"/>
          <w:color w:val="auto"/>
          <w:spacing w:val="-2"/>
          <w:kern w:val="0"/>
          <w:sz w:val="24"/>
          <w:szCs w:val="24"/>
          <w:lang w:eastAsia="zh-CN"/>
        </w:rPr>
        <w:t>（三）具有履行合同所必需的设备和专业技术能力。</w:t>
      </w:r>
    </w:p>
    <w:p>
      <w:pPr>
        <w:rPr>
          <w:rFonts w:hint="eastAsia" w:ascii="宋体" w:hAnsi="宋体" w:eastAsia="宋体" w:cs="宋体"/>
          <w:b/>
          <w:bCs/>
          <w:snapToGrid w:val="0"/>
          <w:color w:val="auto"/>
          <w:kern w:val="0"/>
          <w:sz w:val="24"/>
          <w:szCs w:val="24"/>
          <w:lang w:eastAsia="zh-CN"/>
        </w:rPr>
      </w:pPr>
      <w:r>
        <w:rPr>
          <w:rFonts w:hint="eastAsia" w:ascii="宋体" w:hAnsi="宋体" w:eastAsia="宋体" w:cs="宋体"/>
          <w:b w:val="0"/>
          <w:bCs w:val="0"/>
          <w:snapToGrid w:val="0"/>
          <w:color w:val="auto"/>
          <w:spacing w:val="-2"/>
          <w:kern w:val="0"/>
          <w:sz w:val="24"/>
          <w:szCs w:val="24"/>
          <w:lang w:eastAsia="zh-CN"/>
        </w:rPr>
        <w:br w:type="page"/>
      </w:r>
    </w:p>
    <w:p>
      <w:pPr>
        <w:kinsoku w:val="0"/>
        <w:autoSpaceDE w:val="0"/>
        <w:autoSpaceDN w:val="0"/>
        <w:adjustRightInd w:val="0"/>
        <w:snapToGrid w:val="0"/>
        <w:spacing w:line="240" w:lineRule="auto"/>
        <w:jc w:val="left"/>
        <w:textAlignment w:val="baseline"/>
        <w:rPr>
          <w:rFonts w:hint="eastAsia" w:ascii="宋体" w:hAnsi="宋体" w:eastAsia="宋体" w:cs="宋体"/>
          <w:b/>
          <w:bCs/>
          <w:snapToGrid w:val="0"/>
          <w:color w:val="auto"/>
          <w:spacing w:val="-7"/>
          <w:kern w:val="0"/>
          <w:sz w:val="21"/>
          <w:szCs w:val="21"/>
        </w:rPr>
      </w:pPr>
    </w:p>
    <w:p>
      <w:pPr>
        <w:kinsoku w:val="0"/>
        <w:autoSpaceDE w:val="0"/>
        <w:autoSpaceDN w:val="0"/>
        <w:adjustRightInd w:val="0"/>
        <w:snapToGrid w:val="0"/>
        <w:spacing w:line="240" w:lineRule="auto"/>
        <w:jc w:val="left"/>
        <w:textAlignment w:val="baseline"/>
        <w:rPr>
          <w:rFonts w:hint="eastAsia" w:ascii="宋体" w:hAnsi="宋体" w:eastAsia="宋体" w:cs="宋体"/>
          <w:b/>
          <w:bCs/>
          <w:snapToGrid w:val="0"/>
          <w:color w:val="auto"/>
          <w:spacing w:val="-7"/>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94" w:firstLineChars="200"/>
        <w:jc w:val="left"/>
        <w:textAlignment w:val="baseline"/>
        <w:rPr>
          <w:rFonts w:hint="eastAsia" w:ascii="宋体" w:hAnsi="宋体" w:eastAsia="宋体" w:cs="宋体"/>
          <w:b/>
          <w:bCs/>
          <w:snapToGrid w:val="0"/>
          <w:color w:val="auto"/>
          <w:spacing w:val="-7"/>
          <w:kern w:val="0"/>
          <w:sz w:val="21"/>
          <w:szCs w:val="21"/>
          <w:lang w:eastAsia="zh-CN"/>
        </w:rPr>
      </w:pPr>
      <w:r>
        <w:rPr>
          <w:rFonts w:hint="eastAsia" w:ascii="宋体" w:hAnsi="宋体" w:eastAsia="宋体" w:cs="宋体"/>
          <w:b/>
          <w:bCs/>
          <w:snapToGrid w:val="0"/>
          <w:color w:val="auto"/>
          <w:spacing w:val="-7"/>
          <w:kern w:val="0"/>
          <w:sz w:val="21"/>
          <w:szCs w:val="21"/>
        </w:rPr>
        <w:t>（</w:t>
      </w:r>
      <w:r>
        <w:rPr>
          <w:rFonts w:hint="eastAsia" w:ascii="宋体" w:hAnsi="宋体" w:eastAsia="宋体" w:cs="宋体"/>
          <w:b/>
          <w:bCs/>
          <w:snapToGrid w:val="0"/>
          <w:color w:val="auto"/>
          <w:spacing w:val="-7"/>
          <w:kern w:val="0"/>
          <w:sz w:val="21"/>
          <w:szCs w:val="21"/>
          <w:lang w:eastAsia="zh-CN"/>
        </w:rPr>
        <w:t>四</w:t>
      </w:r>
      <w:r>
        <w:rPr>
          <w:rFonts w:hint="eastAsia" w:ascii="宋体" w:hAnsi="宋体" w:eastAsia="宋体" w:cs="宋体"/>
          <w:b/>
          <w:bCs/>
          <w:snapToGrid w:val="0"/>
          <w:color w:val="auto"/>
          <w:spacing w:val="-7"/>
          <w:kern w:val="0"/>
          <w:sz w:val="21"/>
          <w:szCs w:val="21"/>
        </w:rPr>
        <w:t>）</w:t>
      </w:r>
      <w:r>
        <w:rPr>
          <w:rFonts w:hint="eastAsia" w:ascii="宋体" w:hAnsi="宋体" w:eastAsia="宋体" w:cs="宋体"/>
          <w:b/>
          <w:bCs/>
          <w:snapToGrid w:val="0"/>
          <w:color w:val="auto"/>
          <w:spacing w:val="-2"/>
          <w:kern w:val="0"/>
          <w:sz w:val="24"/>
          <w:szCs w:val="24"/>
          <w:lang w:eastAsia="zh-CN"/>
        </w:rPr>
        <w:t>供应商应查询：“信用中国”网站（www.creditchina.gov.cn）</w:t>
      </w:r>
      <w:r>
        <w:rPr>
          <w:rFonts w:ascii="宋体" w:hAnsi="宋体" w:eastAsia="宋体" w:cs="宋体"/>
          <w:b/>
          <w:bCs/>
          <w:snapToGrid w:val="0"/>
          <w:color w:val="auto"/>
          <w:spacing w:val="-27"/>
          <w:kern w:val="0"/>
          <w:sz w:val="24"/>
          <w:szCs w:val="24"/>
        </w:rPr>
        <w:t>，</w:t>
      </w:r>
      <w:r>
        <w:rPr>
          <w:rFonts w:ascii="宋体" w:hAnsi="宋体" w:eastAsia="宋体" w:cs="宋体"/>
          <w:b/>
          <w:bCs/>
          <w:snapToGrid w:val="0"/>
          <w:color w:val="auto"/>
          <w:kern w:val="0"/>
          <w:sz w:val="24"/>
          <w:szCs w:val="24"/>
        </w:rPr>
        <w:t xml:space="preserve"> </w:t>
      </w:r>
      <w:r>
        <w:rPr>
          <w:rFonts w:hint="eastAsia" w:ascii="宋体" w:hAnsi="宋体" w:eastAsia="宋体" w:cs="宋体"/>
          <w:b/>
          <w:bCs/>
          <w:snapToGrid w:val="0"/>
          <w:color w:val="auto"/>
          <w:spacing w:val="-2"/>
          <w:kern w:val="0"/>
          <w:sz w:val="24"/>
          <w:szCs w:val="24"/>
          <w:lang w:eastAsia="zh-CN"/>
        </w:rPr>
        <w:t>查询“失信被执行人”、“ 重大税收违法案件当事人名单”等；中国政府采购网</w:t>
      </w:r>
      <w:r>
        <w:rPr>
          <w:rFonts w:ascii="宋体" w:hAnsi="宋体" w:eastAsia="宋体" w:cs="宋体"/>
          <w:b/>
          <w:bCs/>
          <w:snapToGrid w:val="0"/>
          <w:color w:val="auto"/>
          <w:kern w:val="0"/>
          <w:sz w:val="24"/>
          <w:szCs w:val="24"/>
        </w:rPr>
        <w:t>（www.ccgp.gov.cn</w:t>
      </w:r>
      <w:r>
        <w:rPr>
          <w:rFonts w:ascii="宋体" w:hAnsi="宋体" w:eastAsia="宋体" w:cs="宋体"/>
          <w:b/>
          <w:bCs/>
          <w:snapToGrid w:val="0"/>
          <w:color w:val="auto"/>
          <w:spacing w:val="-2"/>
          <w:kern w:val="0"/>
          <w:sz w:val="24"/>
          <w:szCs w:val="24"/>
        </w:rPr>
        <w:fldChar w:fldCharType="begin"/>
      </w:r>
      <w:r>
        <w:rPr>
          <w:rFonts w:ascii="宋体" w:hAnsi="宋体" w:eastAsia="宋体" w:cs="宋体"/>
          <w:b/>
          <w:bCs/>
          <w:snapToGrid w:val="0"/>
          <w:color w:val="auto"/>
          <w:spacing w:val="-2"/>
          <w:kern w:val="0"/>
          <w:sz w:val="24"/>
          <w:szCs w:val="24"/>
        </w:rPr>
        <w:instrText xml:space="preserve"> HYPERLINK "http://www.ccgp.gov.cn/search/cr/" </w:instrText>
      </w:r>
      <w:r>
        <w:rPr>
          <w:rFonts w:ascii="宋体" w:hAnsi="宋体" w:eastAsia="宋体" w:cs="宋体"/>
          <w:b/>
          <w:bCs/>
          <w:snapToGrid w:val="0"/>
          <w:color w:val="auto"/>
          <w:spacing w:val="-2"/>
          <w:kern w:val="0"/>
          <w:sz w:val="24"/>
          <w:szCs w:val="24"/>
        </w:rPr>
        <w:fldChar w:fldCharType="separate"/>
      </w:r>
      <w:r>
        <w:rPr>
          <w:rFonts w:ascii="宋体" w:hAnsi="宋体" w:eastAsia="宋体" w:cs="宋体"/>
          <w:b/>
          <w:bCs/>
          <w:snapToGrid w:val="0"/>
          <w:color w:val="auto"/>
          <w:spacing w:val="-2"/>
          <w:kern w:val="0"/>
          <w:sz w:val="24"/>
          <w:szCs w:val="24"/>
        </w:rPr>
        <w:t>）查询政府采购严重违法失信行为记录名单</w:t>
      </w:r>
      <w:r>
        <w:rPr>
          <w:rFonts w:ascii="宋体" w:hAnsi="宋体" w:eastAsia="宋体" w:cs="宋体"/>
          <w:b/>
          <w:bCs/>
          <w:snapToGrid w:val="0"/>
          <w:color w:val="auto"/>
          <w:spacing w:val="-2"/>
          <w:kern w:val="0"/>
          <w:sz w:val="24"/>
          <w:szCs w:val="24"/>
        </w:rPr>
        <w:fldChar w:fldCharType="end"/>
      </w:r>
      <w:r>
        <w:rPr>
          <w:rFonts w:ascii="宋体" w:hAnsi="宋体" w:eastAsia="宋体" w:cs="宋体"/>
          <w:b/>
          <w:bCs/>
          <w:snapToGrid w:val="0"/>
          <w:color w:val="auto"/>
          <w:spacing w:val="-2"/>
          <w:kern w:val="0"/>
          <w:sz w:val="24"/>
          <w:szCs w:val="24"/>
        </w:rPr>
        <w:t>），提供查询网页截图</w:t>
      </w:r>
      <w:r>
        <w:rPr>
          <w:rFonts w:hint="eastAsia" w:ascii="宋体" w:hAnsi="宋体" w:eastAsia="宋体" w:cs="宋体"/>
          <w:b/>
          <w:bCs/>
          <w:snapToGrid w:val="0"/>
          <w:color w:val="auto"/>
          <w:spacing w:val="-2"/>
          <w:kern w:val="0"/>
          <w:sz w:val="24"/>
          <w:szCs w:val="24"/>
          <w:lang w:eastAsia="zh-CN"/>
        </w:rPr>
        <w:t>。</w:t>
      </w:r>
    </w:p>
    <w:p>
      <w:pPr>
        <w:kinsoku w:val="0"/>
        <w:autoSpaceDE w:val="0"/>
        <w:autoSpaceDN w:val="0"/>
        <w:adjustRightInd w:val="0"/>
        <w:snapToGrid w:val="0"/>
        <w:spacing w:line="240" w:lineRule="auto"/>
        <w:jc w:val="left"/>
        <w:textAlignment w:val="baseline"/>
        <w:rPr>
          <w:rFonts w:hint="eastAsia" w:ascii="宋体" w:hAnsi="宋体" w:eastAsia="宋体" w:cs="宋体"/>
          <w:b/>
          <w:bCs/>
          <w:snapToGrid w:val="0"/>
          <w:color w:val="auto"/>
          <w:spacing w:val="-7"/>
          <w:kern w:val="0"/>
          <w:sz w:val="21"/>
          <w:szCs w:val="21"/>
        </w:rPr>
      </w:pPr>
      <w:r>
        <w:rPr>
          <w:rFonts w:hint="eastAsia" w:ascii="宋体" w:hAnsi="宋体" w:eastAsia="宋体" w:cs="宋体"/>
          <w:b/>
          <w:bCs/>
          <w:snapToGrid w:val="0"/>
          <w:color w:val="auto"/>
          <w:spacing w:val="-7"/>
          <w:kern w:val="0"/>
          <w:sz w:val="21"/>
          <w:szCs w:val="21"/>
        </w:rPr>
        <w:br w:type="page"/>
      </w:r>
    </w:p>
    <w:p>
      <w:pPr>
        <w:kinsoku w:val="0"/>
        <w:autoSpaceDE w:val="0"/>
        <w:autoSpaceDN w:val="0"/>
        <w:adjustRightInd w:val="0"/>
        <w:snapToGrid w:val="0"/>
        <w:spacing w:before="199" w:line="359" w:lineRule="auto"/>
        <w:ind w:right="589"/>
        <w:jc w:val="center"/>
        <w:textAlignment w:val="baseline"/>
        <w:rPr>
          <w:rFonts w:hint="eastAsia" w:ascii="宋体" w:hAnsi="宋体" w:eastAsia="宋体" w:cs="宋体"/>
          <w:b/>
          <w:bCs/>
          <w:snapToGrid w:val="0"/>
          <w:color w:val="auto"/>
          <w:spacing w:val="-7"/>
          <w:kern w:val="0"/>
          <w:sz w:val="24"/>
          <w:szCs w:val="24"/>
        </w:rPr>
      </w:pPr>
      <w:r>
        <w:rPr>
          <w:rFonts w:hint="eastAsia" w:ascii="宋体" w:hAnsi="宋体" w:eastAsia="宋体" w:cs="宋体"/>
          <w:b/>
          <w:bCs/>
          <w:snapToGrid w:val="0"/>
          <w:color w:val="auto"/>
          <w:spacing w:val="-7"/>
          <w:kern w:val="0"/>
          <w:sz w:val="24"/>
          <w:szCs w:val="24"/>
        </w:rPr>
        <w:t>（</w:t>
      </w:r>
      <w:r>
        <w:rPr>
          <w:rFonts w:hint="eastAsia" w:ascii="宋体" w:hAnsi="宋体" w:eastAsia="宋体" w:cs="宋体"/>
          <w:b/>
          <w:bCs/>
          <w:snapToGrid w:val="0"/>
          <w:color w:val="auto"/>
          <w:spacing w:val="-7"/>
          <w:kern w:val="0"/>
          <w:sz w:val="24"/>
          <w:szCs w:val="24"/>
          <w:lang w:eastAsia="zh-CN"/>
        </w:rPr>
        <w:t>五</w:t>
      </w:r>
      <w:r>
        <w:rPr>
          <w:rFonts w:hint="eastAsia" w:ascii="宋体" w:hAnsi="宋体" w:eastAsia="宋体" w:cs="宋体"/>
          <w:b/>
          <w:bCs/>
          <w:snapToGrid w:val="0"/>
          <w:color w:val="auto"/>
          <w:spacing w:val="-7"/>
          <w:kern w:val="0"/>
          <w:sz w:val="24"/>
          <w:szCs w:val="24"/>
        </w:rPr>
        <w:t>）：参加政府采购活动前三年内无重大违法记录的承诺书</w:t>
      </w:r>
    </w:p>
    <w:p>
      <w:pPr>
        <w:keepNext w:val="0"/>
        <w:keepLines w:val="0"/>
        <w:pageBreakBefore w:val="0"/>
        <w:widowControl/>
        <w:kinsoku w:val="0"/>
        <w:wordWrap/>
        <w:overflowPunct/>
        <w:topLinePunct w:val="0"/>
        <w:autoSpaceDE w:val="0"/>
        <w:autoSpaceDN w:val="0"/>
        <w:bidi w:val="0"/>
        <w:adjustRightInd w:val="0"/>
        <w:snapToGrid w:val="0"/>
        <w:spacing w:before="199" w:line="360" w:lineRule="auto"/>
        <w:ind w:right="590" w:firstLine="452" w:firstLineChars="200"/>
        <w:jc w:val="both"/>
        <w:textAlignment w:val="baseline"/>
        <w:rPr>
          <w:rFonts w:hint="eastAsia" w:ascii="宋体" w:hAnsi="宋体" w:eastAsia="宋体" w:cs="宋体"/>
          <w:snapToGrid w:val="0"/>
          <w:color w:val="auto"/>
          <w:spacing w:val="-7"/>
          <w:kern w:val="0"/>
          <w:sz w:val="24"/>
          <w:szCs w:val="24"/>
        </w:rPr>
      </w:pPr>
      <w:r>
        <w:rPr>
          <w:rFonts w:hint="eastAsia" w:ascii="宋体" w:hAnsi="宋体" w:eastAsia="宋体" w:cs="宋体"/>
          <w:snapToGrid w:val="0"/>
          <w:color w:val="auto"/>
          <w:spacing w:val="-7"/>
          <w:kern w:val="0"/>
          <w:sz w:val="24"/>
          <w:szCs w:val="24"/>
        </w:rPr>
        <w:t xml:space="preserve">我单位 （单位名称）在参加政府采购活动前三年内，在经营活动中没有重大违法记录。 </w:t>
      </w:r>
    </w:p>
    <w:p>
      <w:pPr>
        <w:kinsoku w:val="0"/>
        <w:autoSpaceDE w:val="0"/>
        <w:autoSpaceDN w:val="0"/>
        <w:adjustRightInd w:val="0"/>
        <w:snapToGrid w:val="0"/>
        <w:spacing w:before="199" w:line="359" w:lineRule="auto"/>
        <w:ind w:right="589"/>
        <w:jc w:val="both"/>
        <w:textAlignment w:val="baseline"/>
        <w:rPr>
          <w:rFonts w:hint="eastAsia" w:ascii="宋体" w:hAnsi="宋体" w:eastAsia="宋体" w:cs="宋体"/>
          <w:snapToGrid w:val="0"/>
          <w:color w:val="auto"/>
          <w:spacing w:val="-7"/>
          <w:kern w:val="0"/>
          <w:sz w:val="24"/>
          <w:szCs w:val="24"/>
        </w:rPr>
      </w:pPr>
      <w:r>
        <w:rPr>
          <w:rFonts w:hint="eastAsia" w:ascii="宋体" w:hAnsi="宋体" w:eastAsia="宋体" w:cs="宋体"/>
          <w:snapToGrid w:val="0"/>
          <w:color w:val="auto"/>
          <w:spacing w:val="-7"/>
          <w:kern w:val="0"/>
          <w:sz w:val="24"/>
          <w:szCs w:val="24"/>
        </w:rPr>
        <w:t xml:space="preserve">特此承诺。 </w:t>
      </w:r>
    </w:p>
    <w:p>
      <w:pPr>
        <w:kinsoku w:val="0"/>
        <w:autoSpaceDE w:val="0"/>
        <w:autoSpaceDN w:val="0"/>
        <w:adjustRightInd w:val="0"/>
        <w:snapToGrid w:val="0"/>
        <w:spacing w:before="199" w:line="359" w:lineRule="auto"/>
        <w:ind w:right="589"/>
        <w:jc w:val="right"/>
        <w:textAlignment w:val="baseline"/>
        <w:rPr>
          <w:rFonts w:hint="eastAsia" w:ascii="宋体" w:hAnsi="宋体" w:eastAsia="宋体" w:cs="宋体"/>
          <w:snapToGrid w:val="0"/>
          <w:color w:val="auto"/>
          <w:spacing w:val="-7"/>
          <w:kern w:val="0"/>
          <w:sz w:val="24"/>
          <w:szCs w:val="24"/>
        </w:rPr>
      </w:pPr>
    </w:p>
    <w:p>
      <w:pPr>
        <w:kinsoku w:val="0"/>
        <w:autoSpaceDE w:val="0"/>
        <w:autoSpaceDN w:val="0"/>
        <w:adjustRightInd w:val="0"/>
        <w:snapToGrid w:val="0"/>
        <w:spacing w:before="199" w:line="359" w:lineRule="auto"/>
        <w:ind w:right="589"/>
        <w:jc w:val="right"/>
        <w:textAlignment w:val="baseline"/>
        <w:rPr>
          <w:rFonts w:hint="eastAsia" w:ascii="宋体" w:hAnsi="宋体" w:eastAsia="宋体" w:cs="宋体"/>
          <w:snapToGrid w:val="0"/>
          <w:color w:val="auto"/>
          <w:spacing w:val="-7"/>
          <w:kern w:val="0"/>
          <w:sz w:val="24"/>
          <w:szCs w:val="24"/>
        </w:rPr>
      </w:pPr>
    </w:p>
    <w:p>
      <w:pPr>
        <w:kinsoku w:val="0"/>
        <w:autoSpaceDE w:val="0"/>
        <w:autoSpaceDN w:val="0"/>
        <w:adjustRightInd w:val="0"/>
        <w:snapToGrid w:val="0"/>
        <w:spacing w:before="199" w:line="359" w:lineRule="auto"/>
        <w:ind w:right="589"/>
        <w:jc w:val="right"/>
        <w:textAlignment w:val="baseline"/>
        <w:rPr>
          <w:rFonts w:hint="eastAsia" w:ascii="宋体" w:hAnsi="宋体" w:eastAsia="宋体" w:cs="宋体"/>
          <w:snapToGrid w:val="0"/>
          <w:color w:val="auto"/>
          <w:spacing w:val="-7"/>
          <w:kern w:val="0"/>
          <w:sz w:val="24"/>
          <w:szCs w:val="24"/>
        </w:rPr>
      </w:pPr>
    </w:p>
    <w:p>
      <w:pPr>
        <w:kinsoku w:val="0"/>
        <w:autoSpaceDE w:val="0"/>
        <w:autoSpaceDN w:val="0"/>
        <w:adjustRightInd w:val="0"/>
        <w:snapToGrid w:val="0"/>
        <w:spacing w:before="199" w:line="359" w:lineRule="auto"/>
        <w:ind w:right="589"/>
        <w:jc w:val="right"/>
        <w:textAlignment w:val="baseline"/>
        <w:rPr>
          <w:rFonts w:hint="eastAsia" w:ascii="宋体" w:hAnsi="宋体" w:eastAsia="宋体" w:cs="宋体"/>
          <w:snapToGrid w:val="0"/>
          <w:color w:val="auto"/>
          <w:spacing w:val="-7"/>
          <w:kern w:val="0"/>
          <w:sz w:val="24"/>
          <w:szCs w:val="24"/>
        </w:rPr>
      </w:pPr>
      <w:r>
        <w:rPr>
          <w:rFonts w:hint="eastAsia" w:ascii="宋体" w:hAnsi="宋体" w:eastAsia="宋体" w:cs="宋体"/>
          <w:snapToGrid w:val="0"/>
          <w:color w:val="auto"/>
          <w:spacing w:val="-7"/>
          <w:kern w:val="0"/>
          <w:sz w:val="24"/>
          <w:szCs w:val="24"/>
        </w:rPr>
        <w:t xml:space="preserve">供应商（企业电子签章）： </w:t>
      </w:r>
    </w:p>
    <w:p>
      <w:pPr>
        <w:kinsoku w:val="0"/>
        <w:autoSpaceDE w:val="0"/>
        <w:autoSpaceDN w:val="0"/>
        <w:adjustRightInd w:val="0"/>
        <w:snapToGrid w:val="0"/>
        <w:spacing w:before="199" w:line="359" w:lineRule="auto"/>
        <w:ind w:right="589"/>
        <w:jc w:val="right"/>
        <w:textAlignment w:val="baseline"/>
        <w:rPr>
          <w:rFonts w:hint="eastAsia" w:ascii="宋体" w:hAnsi="宋体" w:eastAsia="宋体" w:cs="宋体"/>
          <w:snapToGrid w:val="0"/>
          <w:color w:val="auto"/>
          <w:spacing w:val="-7"/>
          <w:kern w:val="0"/>
          <w:sz w:val="24"/>
          <w:szCs w:val="24"/>
        </w:rPr>
      </w:pPr>
      <w:r>
        <w:rPr>
          <w:rFonts w:hint="eastAsia" w:ascii="宋体" w:hAnsi="宋体" w:eastAsia="宋体" w:cs="宋体"/>
          <w:snapToGrid w:val="0"/>
          <w:color w:val="auto"/>
          <w:spacing w:val="-7"/>
          <w:kern w:val="0"/>
          <w:sz w:val="24"/>
          <w:szCs w:val="24"/>
        </w:rPr>
        <w:t xml:space="preserve">法定代表人或其委托代理人（个人电子签章）： </w:t>
      </w:r>
    </w:p>
    <w:p>
      <w:pPr>
        <w:kinsoku w:val="0"/>
        <w:autoSpaceDE w:val="0"/>
        <w:autoSpaceDN w:val="0"/>
        <w:adjustRightInd w:val="0"/>
        <w:snapToGrid w:val="0"/>
        <w:spacing w:before="199" w:line="359" w:lineRule="auto"/>
        <w:ind w:right="589"/>
        <w:jc w:val="right"/>
        <w:textAlignment w:val="baseline"/>
        <w:rPr>
          <w:rFonts w:ascii="宋体" w:hAnsi="宋体" w:eastAsia="宋体" w:cs="宋体"/>
          <w:snapToGrid w:val="0"/>
          <w:color w:val="auto"/>
          <w:spacing w:val="-7"/>
          <w:kern w:val="0"/>
          <w:sz w:val="24"/>
          <w:szCs w:val="24"/>
        </w:rPr>
      </w:pPr>
      <w:r>
        <w:rPr>
          <w:rFonts w:hint="eastAsia" w:ascii="宋体" w:hAnsi="宋体" w:eastAsia="宋体" w:cs="宋体"/>
          <w:snapToGrid w:val="0"/>
          <w:color w:val="auto"/>
          <w:spacing w:val="-7"/>
          <w:kern w:val="0"/>
          <w:sz w:val="24"/>
          <w:szCs w:val="24"/>
        </w:rPr>
        <w:t>日期： 年 月 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b/>
          <w:bCs/>
          <w:color w:val="auto"/>
          <w:sz w:val="24"/>
          <w:szCs w:val="24"/>
          <w:lang w:eastAsia="zh-CN"/>
        </w:rPr>
      </w:pPr>
    </w:p>
    <w:p>
      <w:pPr>
        <w:pStyle w:val="13"/>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b/>
          <w:bCs/>
          <w:color w:val="auto"/>
          <w:sz w:val="24"/>
          <w:szCs w:val="24"/>
          <w:lang w:eastAsia="zh-CN"/>
        </w:rPr>
      </w:pPr>
    </w:p>
    <w:p>
      <w:pPr>
        <w:pStyle w:val="13"/>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b/>
          <w:bCs/>
          <w:color w:val="auto"/>
          <w:sz w:val="24"/>
          <w:szCs w:val="24"/>
          <w:lang w:eastAsia="zh-CN"/>
        </w:rPr>
      </w:pPr>
    </w:p>
    <w:p>
      <w:pPr>
        <w:pStyle w:val="13"/>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b/>
          <w:bCs/>
          <w:color w:val="auto"/>
          <w:sz w:val="24"/>
          <w:szCs w:val="24"/>
          <w:lang w:eastAsia="zh-CN"/>
        </w:rPr>
      </w:pPr>
      <w:r>
        <w:rPr>
          <w:rFonts w:hint="eastAsia"/>
          <w:b/>
          <w:bCs/>
          <w:color w:val="auto"/>
          <w:sz w:val="24"/>
          <w:szCs w:val="24"/>
          <w:lang w:eastAsia="zh-CN"/>
        </w:rPr>
        <w:t>附件：</w:t>
      </w:r>
    </w:p>
    <w:p>
      <w:pPr>
        <w:pStyle w:val="13"/>
        <w:keepNext w:val="0"/>
        <w:keepLines w:val="0"/>
        <w:pageBreakBefore w:val="0"/>
        <w:widowControl w:val="0"/>
        <w:kinsoku/>
        <w:wordWrap/>
        <w:overflowPunct/>
        <w:topLinePunct w:val="0"/>
        <w:autoSpaceDE/>
        <w:autoSpaceDN/>
        <w:bidi w:val="0"/>
        <w:adjustRightInd/>
        <w:snapToGrid/>
        <w:spacing w:after="0" w:afterLines="0" w:line="240" w:lineRule="auto"/>
        <w:jc w:val="center"/>
        <w:textAlignment w:val="auto"/>
        <w:rPr>
          <w:rFonts w:hint="eastAsia"/>
          <w:b/>
          <w:bCs/>
          <w:color w:val="auto"/>
          <w:sz w:val="32"/>
          <w:szCs w:val="32"/>
          <w:lang w:eastAsia="zh-CN"/>
        </w:rPr>
      </w:pPr>
      <w:r>
        <w:rPr>
          <w:rFonts w:hint="eastAsia"/>
          <w:b/>
          <w:bCs/>
          <w:color w:val="auto"/>
          <w:sz w:val="32"/>
          <w:szCs w:val="32"/>
          <w:lang w:eastAsia="zh-CN"/>
        </w:rPr>
        <w:t>光山县政府采购供应商信用承诺函</w:t>
      </w:r>
    </w:p>
    <w:p>
      <w:pPr>
        <w:pStyle w:val="29"/>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u w:val="single"/>
          <w:lang w:eastAsia="zh-CN"/>
        </w:rPr>
      </w:pPr>
      <w:r>
        <w:rPr>
          <w:rFonts w:hint="eastAsia" w:ascii="宋体" w:hAnsi="宋体" w:eastAsia="宋体" w:cs="宋体"/>
          <w:b w:val="0"/>
          <w:bCs w:val="0"/>
          <w:color w:val="auto"/>
          <w:sz w:val="22"/>
          <w:szCs w:val="22"/>
          <w:lang w:eastAsia="zh-CN"/>
        </w:rPr>
        <w:t>致（采购人或采购代理机构）：</w:t>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 xml:space="preserve"> </w:t>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sz w:val="22"/>
          <w:szCs w:val="22"/>
          <w:u w:val="single"/>
          <w:lang w:eastAsia="zh-CN"/>
        </w:rPr>
        <w:t xml:space="preserve">    </w:t>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sz w:val="22"/>
          <w:szCs w:val="22"/>
          <w:u w:val="single"/>
          <w:lang w:eastAsia="zh-CN"/>
        </w:rPr>
        <w:t xml:space="preserve">   </w:t>
      </w:r>
    </w:p>
    <w:p>
      <w:pPr>
        <w:pStyle w:val="29"/>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单位名称（自然人姓名）：</w:t>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 xml:space="preserve">    </w:t>
      </w:r>
    </w:p>
    <w:p>
      <w:pPr>
        <w:pStyle w:val="29"/>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eastAsia="zh-CN"/>
        </w:rPr>
        <w:t>统一社会信用代码（身份证号码）：</w:t>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sz w:val="22"/>
          <w:szCs w:val="22"/>
          <w:u w:val="single"/>
          <w:lang w:eastAsia="zh-CN"/>
        </w:rPr>
        <w:tab/>
      </w:r>
    </w:p>
    <w:p>
      <w:pPr>
        <w:pStyle w:val="29"/>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法定代表人（负责人）：</w:t>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 xml:space="preserve">  </w:t>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sz w:val="22"/>
          <w:szCs w:val="22"/>
          <w:u w:val="single"/>
          <w:lang w:eastAsia="zh-CN"/>
        </w:rPr>
        <w:t xml:space="preserve">     </w:t>
      </w:r>
    </w:p>
    <w:p>
      <w:pPr>
        <w:pStyle w:val="29"/>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联系地址和电话：</w:t>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ab/>
      </w:r>
      <w:r>
        <w:rPr>
          <w:rFonts w:hint="eastAsia" w:ascii="宋体" w:hAnsi="宋体" w:eastAsia="宋体" w:cs="宋体"/>
          <w:b w:val="0"/>
          <w:bCs w:val="0"/>
          <w:color w:val="auto"/>
          <w:sz w:val="22"/>
          <w:szCs w:val="22"/>
          <w:u w:val="single"/>
          <w:lang w:eastAsia="zh-CN"/>
        </w:rPr>
        <w:t xml:space="preserve">  </w:t>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sz w:val="22"/>
          <w:szCs w:val="22"/>
          <w:u w:val="single"/>
          <w:lang w:eastAsia="zh-CN"/>
        </w:rPr>
        <w:t xml:space="preserve">   </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为维护公平、公正、公开的政府采购市场秩序，树立诚实守信的政府采购供应商形象，我单位（本人）自愿作出以下承诺：</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（一）具有独立承担民事责任的能力；</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（二）具有良好的商业信誉和健全的财务会计制度；</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（三）具有履行合同所必需的设备和专业技术能力；</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（四）有依法缴纳税收和社会保障资金的良好记录；</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（五）参加政府采购活动前三年内，在经营活动中没有重大违法记录；</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（六）未被列入经营异常名录或者严重违法失信名单、失信被执行人、重大税收违法案件当事人名单、政府采购严重违法失信行为记录名单；</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（七）未被相关监管部门作出行政处罚且尚在处罚有效期内；</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（八）未曾作出虚假采购承诺；</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（九）符合法律、行政法规规定的其他条件。</w:t>
      </w:r>
    </w:p>
    <w:p>
      <w:pPr>
        <w:pStyle w:val="13"/>
        <w:keepNext w:val="0"/>
        <w:keepLines w:val="0"/>
        <w:pageBreakBefore w:val="0"/>
        <w:widowControl w:val="0"/>
        <w:kinsoku/>
        <w:wordWrap/>
        <w:overflowPunct/>
        <w:topLinePunct w:val="0"/>
        <w:autoSpaceDE/>
        <w:autoSpaceDN/>
        <w:bidi w:val="0"/>
        <w:adjustRightInd/>
        <w:snapToGrid/>
        <w:spacing w:after="0" w:line="360" w:lineRule="exact"/>
        <w:ind w:firstLine="440" w:firstLineChars="200"/>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pStyle w:val="29"/>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lang w:eastAsia="zh-CN"/>
        </w:rPr>
      </w:pPr>
    </w:p>
    <w:p>
      <w:pPr>
        <w:pStyle w:val="29"/>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2"/>
          <w:szCs w:val="22"/>
          <w:lang w:eastAsia="zh-CN"/>
        </w:rPr>
      </w:pPr>
      <w:r>
        <w:rPr>
          <w:rFonts w:hint="eastAsia"/>
          <w:color w:val="auto"/>
          <w:sz w:val="22"/>
          <w:szCs w:val="22"/>
          <w:lang w:eastAsia="zh-CN"/>
        </w:rPr>
        <w:t>供应商（盖单位公章）：</w:t>
      </w:r>
    </w:p>
    <w:p>
      <w:pPr>
        <w:pStyle w:val="29"/>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2"/>
          <w:szCs w:val="22"/>
          <w:lang w:eastAsia="zh-CN"/>
        </w:rPr>
      </w:pPr>
      <w:r>
        <w:rPr>
          <w:rFonts w:hint="eastAsia"/>
          <w:color w:val="auto"/>
          <w:sz w:val="22"/>
          <w:szCs w:val="22"/>
          <w:lang w:eastAsia="zh-CN"/>
        </w:rPr>
        <w:t>法定代表人、负责人、本人、或授权代表（签字或</w:t>
      </w:r>
      <w:r>
        <w:rPr>
          <w:rFonts w:hint="eastAsia"/>
          <w:color w:val="auto"/>
          <w:sz w:val="22"/>
          <w:szCs w:val="22"/>
          <w:lang w:val="en-US" w:eastAsia="zh-CN"/>
        </w:rPr>
        <w:t>盖</w:t>
      </w:r>
      <w:r>
        <w:rPr>
          <w:rFonts w:hint="eastAsia"/>
          <w:color w:val="auto"/>
          <w:sz w:val="22"/>
          <w:szCs w:val="22"/>
          <w:lang w:eastAsia="zh-CN"/>
        </w:rPr>
        <w:t>章）：</w:t>
      </w:r>
    </w:p>
    <w:p>
      <w:pPr>
        <w:pStyle w:val="29"/>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2"/>
          <w:szCs w:val="22"/>
          <w:lang w:eastAsia="zh-CN"/>
        </w:rPr>
      </w:pPr>
      <w:r>
        <w:rPr>
          <w:rFonts w:hint="eastAsia"/>
          <w:color w:val="auto"/>
          <w:sz w:val="22"/>
          <w:szCs w:val="22"/>
          <w:lang w:eastAsia="zh-CN"/>
        </w:rPr>
        <w:t>日期：</w:t>
      </w:r>
      <w:r>
        <w:rPr>
          <w:rFonts w:hint="eastAsia"/>
          <w:color w:val="auto"/>
          <w:sz w:val="22"/>
          <w:szCs w:val="22"/>
          <w:lang w:eastAsia="zh-CN"/>
        </w:rPr>
        <w:tab/>
      </w:r>
      <w:r>
        <w:rPr>
          <w:rFonts w:hint="eastAsia"/>
          <w:color w:val="auto"/>
          <w:sz w:val="22"/>
          <w:szCs w:val="22"/>
          <w:lang w:val="en-US" w:eastAsia="zh-CN"/>
        </w:rPr>
        <w:t xml:space="preserve">  </w:t>
      </w:r>
      <w:r>
        <w:rPr>
          <w:rFonts w:hint="eastAsia"/>
          <w:color w:val="auto"/>
          <w:sz w:val="22"/>
          <w:szCs w:val="22"/>
          <w:lang w:eastAsia="zh-CN"/>
        </w:rPr>
        <w:t xml:space="preserve">  年  </w:t>
      </w:r>
      <w:r>
        <w:rPr>
          <w:rFonts w:hint="eastAsia"/>
          <w:color w:val="auto"/>
          <w:sz w:val="22"/>
          <w:szCs w:val="22"/>
          <w:lang w:eastAsia="zh-CN"/>
        </w:rPr>
        <w:tab/>
      </w:r>
      <w:r>
        <w:rPr>
          <w:rFonts w:hint="eastAsia"/>
          <w:color w:val="auto"/>
          <w:sz w:val="22"/>
          <w:szCs w:val="22"/>
          <w:lang w:eastAsia="zh-CN"/>
        </w:rPr>
        <w:t>月</w:t>
      </w:r>
      <w:r>
        <w:rPr>
          <w:rFonts w:hint="eastAsia"/>
          <w:color w:val="auto"/>
          <w:sz w:val="22"/>
          <w:szCs w:val="22"/>
          <w:lang w:eastAsia="zh-CN"/>
        </w:rPr>
        <w:tab/>
      </w:r>
      <w:r>
        <w:rPr>
          <w:rFonts w:hint="eastAsia"/>
          <w:color w:val="auto"/>
          <w:sz w:val="22"/>
          <w:szCs w:val="22"/>
          <w:lang w:eastAsia="zh-CN"/>
        </w:rPr>
        <w:t xml:space="preserve">  日</w:t>
      </w:r>
    </w:p>
    <w:p>
      <w:pPr>
        <w:pStyle w:val="29"/>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2"/>
          <w:szCs w:val="22"/>
          <w:lang w:eastAsia="zh-CN"/>
        </w:rPr>
      </w:pPr>
      <w:r>
        <w:rPr>
          <w:rFonts w:hint="eastAsia"/>
          <w:color w:val="auto"/>
          <w:sz w:val="22"/>
          <w:szCs w:val="22"/>
          <w:lang w:eastAsia="zh-CN"/>
        </w:rPr>
        <w:t>注：投标人的法定代表人或者授权代表的签字或盖章应真实、有效，如由授权代表签字或盖章的，应提供“法定代表人授权书”。</w:t>
      </w:r>
      <w:bookmarkStart w:id="260" w:name="_Toc9527"/>
      <w:bookmarkStart w:id="261" w:name="_Toc27973"/>
      <w:bookmarkStart w:id="262" w:name="_Toc16229"/>
      <w:bookmarkStart w:id="263" w:name="_Toc30336"/>
    </w:p>
    <w:p>
      <w:pPr>
        <w:pStyle w:val="29"/>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2"/>
          <w:szCs w:val="22"/>
          <w:lang w:eastAsia="zh-CN"/>
        </w:rPr>
      </w:pPr>
    </w:p>
    <w:p>
      <w:pPr>
        <w:pStyle w:val="29"/>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2"/>
          <w:szCs w:val="22"/>
          <w:lang w:eastAsia="zh-CN"/>
        </w:rPr>
      </w:pPr>
    </w:p>
    <w:p>
      <w:pPr>
        <w:pStyle w:val="29"/>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2"/>
          <w:szCs w:val="22"/>
          <w:lang w:eastAsia="zh-CN"/>
        </w:rPr>
      </w:pPr>
    </w:p>
    <w:p>
      <w:pPr>
        <w:rPr>
          <w:rFonts w:hint="eastAsia"/>
          <w:b/>
          <w:bCs/>
          <w:color w:val="auto"/>
          <w:sz w:val="28"/>
          <w:szCs w:val="28"/>
          <w:lang w:val="en-US" w:eastAsia="zh-CN"/>
        </w:rPr>
      </w:pPr>
      <w:r>
        <w:rPr>
          <w:rFonts w:hint="eastAsia"/>
          <w:b/>
          <w:bCs/>
          <w:color w:val="auto"/>
          <w:sz w:val="28"/>
          <w:szCs w:val="28"/>
          <w:lang w:val="en-US" w:eastAsia="zh-CN"/>
        </w:rPr>
        <w:br w:type="page"/>
      </w:r>
    </w:p>
    <w:p>
      <w:pPr>
        <w:pStyle w:val="29"/>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color w:val="auto"/>
          <w:sz w:val="28"/>
          <w:szCs w:val="28"/>
          <w:lang w:val="en-US" w:eastAsia="zh-CN"/>
        </w:rPr>
      </w:pPr>
      <w:r>
        <w:rPr>
          <w:rFonts w:hint="eastAsia"/>
          <w:b/>
          <w:bCs/>
          <w:color w:val="auto"/>
          <w:sz w:val="28"/>
          <w:szCs w:val="28"/>
          <w:lang w:val="en-US" w:eastAsia="zh-CN"/>
        </w:rPr>
        <w:t>九、</w:t>
      </w:r>
      <w:r>
        <w:rPr>
          <w:rFonts w:hint="eastAsia"/>
          <w:b/>
          <w:bCs/>
          <w:color w:val="auto"/>
          <w:sz w:val="28"/>
          <w:szCs w:val="28"/>
        </w:rPr>
        <w:t>业绩证明</w:t>
      </w:r>
      <w:bookmarkEnd w:id="260"/>
      <w:bookmarkEnd w:id="261"/>
      <w:bookmarkEnd w:id="262"/>
      <w:bookmarkEnd w:id="263"/>
    </w:p>
    <w:p>
      <w:pPr>
        <w:pStyle w:val="3"/>
        <w:numPr>
          <w:ilvl w:val="0"/>
          <w:numId w:val="0"/>
        </w:numPr>
        <w:ind w:leftChars="0" w:right="-374" w:rightChars="-156"/>
        <w:jc w:val="center"/>
        <w:rPr>
          <w:rFonts w:hint="eastAsia"/>
          <w:color w:val="auto"/>
          <w:sz w:val="24"/>
          <w:szCs w:val="24"/>
          <w:lang w:val="en-US" w:eastAsia="zh-CN"/>
        </w:rPr>
      </w:pPr>
      <w:bookmarkStart w:id="264" w:name="_Toc3279"/>
      <w:bookmarkStart w:id="265" w:name="_Toc16531"/>
      <w:bookmarkStart w:id="266" w:name="_Toc28548"/>
      <w:bookmarkStart w:id="267" w:name="_Toc8561"/>
      <w:r>
        <w:rPr>
          <w:rFonts w:hint="eastAsia"/>
          <w:b/>
          <w:bCs/>
          <w:color w:val="auto"/>
          <w:sz w:val="24"/>
          <w:szCs w:val="24"/>
        </w:rPr>
        <w:t>（</w:t>
      </w:r>
      <w:r>
        <w:rPr>
          <w:rFonts w:hint="eastAsia"/>
          <w:b/>
          <w:bCs/>
          <w:color w:val="auto"/>
          <w:sz w:val="24"/>
          <w:szCs w:val="24"/>
          <w:lang w:val="en-US" w:eastAsia="zh-CN"/>
        </w:rPr>
        <w:t>附合同或中标通知书，每张表格只填一个项目</w:t>
      </w:r>
      <w:r>
        <w:rPr>
          <w:rFonts w:hint="eastAsia"/>
          <w:b/>
          <w:bCs/>
          <w:color w:val="auto"/>
          <w:sz w:val="24"/>
          <w:szCs w:val="24"/>
        </w:rPr>
        <w:t>）</w:t>
      </w:r>
      <w:bookmarkEnd w:id="264"/>
      <w:bookmarkEnd w:id="265"/>
      <w:bookmarkEnd w:id="266"/>
      <w:bookmarkEnd w:id="267"/>
    </w:p>
    <w:tbl>
      <w:tblPr>
        <w:tblStyle w:val="33"/>
        <w:tblpPr w:leftFromText="180" w:rightFromText="180" w:vertAnchor="page" w:horzAnchor="page" w:tblpX="1568" w:tblpY="2874"/>
        <w:tblW w:w="9154" w:type="dxa"/>
        <w:tblInd w:w="0" w:type="dxa"/>
        <w:tblLayout w:type="fixed"/>
        <w:tblCellMar>
          <w:top w:w="0" w:type="dxa"/>
          <w:left w:w="108" w:type="dxa"/>
          <w:bottom w:w="0" w:type="dxa"/>
          <w:right w:w="108" w:type="dxa"/>
        </w:tblCellMar>
      </w:tblPr>
      <w:tblGrid>
        <w:gridCol w:w="2722"/>
        <w:gridCol w:w="6432"/>
      </w:tblGrid>
      <w:tr>
        <w:tblPrEx>
          <w:tblCellMar>
            <w:top w:w="0" w:type="dxa"/>
            <w:left w:w="108" w:type="dxa"/>
            <w:bottom w:w="0" w:type="dxa"/>
            <w:right w:w="108" w:type="dxa"/>
          </w:tblCellMar>
        </w:tblPrEx>
        <w:trPr>
          <w:trHeight w:val="847" w:hRule="exact"/>
        </w:trPr>
        <w:tc>
          <w:tcPr>
            <w:tcW w:w="272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bidi="ar"/>
              </w:rPr>
              <w:t>项目名称</w:t>
            </w:r>
          </w:p>
        </w:tc>
        <w:tc>
          <w:tcPr>
            <w:tcW w:w="64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after="200"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787" w:hRule="exact"/>
        </w:trPr>
        <w:tc>
          <w:tcPr>
            <w:tcW w:w="272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bidi="ar"/>
              </w:rPr>
              <w:t>项目所在地</w:t>
            </w:r>
          </w:p>
        </w:tc>
        <w:tc>
          <w:tcPr>
            <w:tcW w:w="64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after="200"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802" w:hRule="exact"/>
        </w:trPr>
        <w:tc>
          <w:tcPr>
            <w:tcW w:w="272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bidi="ar"/>
              </w:rPr>
              <w:t>采购人</w:t>
            </w:r>
          </w:p>
        </w:tc>
        <w:tc>
          <w:tcPr>
            <w:tcW w:w="64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after="200"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802" w:hRule="exact"/>
        </w:trPr>
        <w:tc>
          <w:tcPr>
            <w:tcW w:w="272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bidi="ar"/>
              </w:rPr>
              <w:t>采购人地址</w:t>
            </w:r>
          </w:p>
        </w:tc>
        <w:tc>
          <w:tcPr>
            <w:tcW w:w="64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after="200"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794" w:hRule="exact"/>
        </w:trPr>
        <w:tc>
          <w:tcPr>
            <w:tcW w:w="272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bidi="ar"/>
              </w:rPr>
              <w:t>合同价格</w:t>
            </w:r>
          </w:p>
        </w:tc>
        <w:tc>
          <w:tcPr>
            <w:tcW w:w="64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after="200" w:line="360" w:lineRule="auto"/>
              <w:jc w:val="center"/>
              <w:rPr>
                <w:rFonts w:hint="eastAsia" w:ascii="宋体" w:hAnsi="宋体" w:cs="宋体"/>
                <w:color w:val="auto"/>
                <w:sz w:val="24"/>
                <w:szCs w:val="24"/>
              </w:rPr>
            </w:pPr>
          </w:p>
        </w:tc>
      </w:tr>
      <w:tr>
        <w:tblPrEx>
          <w:tblCellMar>
            <w:top w:w="0" w:type="dxa"/>
            <w:left w:w="108" w:type="dxa"/>
            <w:bottom w:w="0" w:type="dxa"/>
            <w:right w:w="108" w:type="dxa"/>
          </w:tblCellMar>
        </w:tblPrEx>
        <w:trPr>
          <w:trHeight w:val="742" w:hRule="exact"/>
        </w:trPr>
        <w:tc>
          <w:tcPr>
            <w:tcW w:w="272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bidi="ar"/>
              </w:rPr>
              <w:t>备注</w:t>
            </w:r>
          </w:p>
        </w:tc>
        <w:tc>
          <w:tcPr>
            <w:tcW w:w="643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spacing w:after="200" w:line="360" w:lineRule="auto"/>
              <w:jc w:val="center"/>
              <w:rPr>
                <w:rFonts w:hint="eastAsia" w:ascii="宋体" w:hAnsi="宋体" w:cs="宋体"/>
                <w:color w:val="auto"/>
                <w:sz w:val="24"/>
                <w:szCs w:val="24"/>
              </w:rPr>
            </w:pP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eastAsia" w:ascii="宋体" w:hAnsi="宋体" w:eastAsia="宋体"/>
          <w:b/>
          <w:bCs/>
          <w:color w:val="auto"/>
          <w:sz w:val="28"/>
          <w:szCs w:val="28"/>
          <w:lang w:eastAsia="zh-CN"/>
        </w:rPr>
      </w:pPr>
    </w:p>
    <w:p>
      <w:pPr>
        <w:bidi w:val="0"/>
        <w:rPr>
          <w:rFonts w:hint="eastAsia"/>
          <w:color w:val="auto"/>
          <w:kern w:val="2"/>
          <w:sz w:val="30"/>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pStyle w:val="48"/>
        <w:rPr>
          <w:rFonts w:hint="eastAsia"/>
          <w:color w:val="auto"/>
          <w:lang w:val="en-US" w:eastAsia="zh-CN"/>
        </w:rPr>
      </w:pPr>
    </w:p>
    <w:p>
      <w:pPr>
        <w:pStyle w:val="48"/>
        <w:rPr>
          <w:rFonts w:hint="eastAsia"/>
          <w:color w:val="auto"/>
          <w:lang w:val="en-US" w:eastAsia="zh-CN"/>
        </w:rPr>
      </w:pPr>
    </w:p>
    <w:p>
      <w:pPr>
        <w:pStyle w:val="48"/>
        <w:rPr>
          <w:rFonts w:hint="eastAsia"/>
          <w:color w:val="auto"/>
          <w:lang w:val="en-US" w:eastAsia="zh-CN"/>
        </w:rPr>
      </w:pPr>
    </w:p>
    <w:p>
      <w:pPr>
        <w:pStyle w:val="48"/>
        <w:rPr>
          <w:rFonts w:hint="eastAsia"/>
          <w:color w:val="auto"/>
          <w:lang w:val="en-US" w:eastAsia="zh-CN"/>
        </w:rPr>
      </w:pPr>
    </w:p>
    <w:p>
      <w:pPr>
        <w:pStyle w:val="48"/>
        <w:rPr>
          <w:rFonts w:hint="eastAsia"/>
          <w:color w:val="auto"/>
          <w:lang w:val="en-US" w:eastAsia="zh-CN"/>
        </w:rPr>
      </w:pPr>
    </w:p>
    <w:p>
      <w:pPr>
        <w:pStyle w:val="48"/>
        <w:rPr>
          <w:rFonts w:hint="eastAsia"/>
          <w:color w:val="auto"/>
          <w:lang w:val="en-US" w:eastAsia="zh-CN"/>
        </w:rPr>
      </w:pPr>
    </w:p>
    <w:p>
      <w:pPr>
        <w:pStyle w:val="48"/>
        <w:rPr>
          <w:rFonts w:hint="eastAsia"/>
          <w:color w:val="auto"/>
          <w:lang w:val="en-US" w:eastAsia="zh-CN"/>
        </w:rPr>
      </w:pPr>
    </w:p>
    <w:p>
      <w:pPr>
        <w:pStyle w:val="48"/>
        <w:rPr>
          <w:rFonts w:hint="eastAsia"/>
          <w:color w:val="auto"/>
          <w:lang w:val="en-US" w:eastAsia="zh-CN"/>
        </w:rPr>
      </w:pPr>
    </w:p>
    <w:p>
      <w:pPr>
        <w:pStyle w:val="48"/>
        <w:rPr>
          <w:rFonts w:hint="eastAsia"/>
          <w:color w:val="auto"/>
          <w:lang w:val="en-US" w:eastAsia="zh-CN"/>
        </w:rPr>
      </w:pPr>
    </w:p>
    <w:p>
      <w:pPr>
        <w:rPr>
          <w:rFonts w:hint="eastAsia"/>
          <w:color w:val="auto"/>
          <w:lang w:val="en-US" w:eastAsia="zh-CN"/>
        </w:rPr>
      </w:pPr>
    </w:p>
    <w:p>
      <w:pPr>
        <w:pStyle w:val="48"/>
        <w:rPr>
          <w:rFonts w:hint="eastAsia"/>
          <w:color w:val="auto"/>
          <w:lang w:val="en-US" w:eastAsia="zh-CN"/>
        </w:rPr>
      </w:pPr>
    </w:p>
    <w:p>
      <w:pPr>
        <w:pStyle w:val="48"/>
        <w:rPr>
          <w:rFonts w:hint="eastAsia"/>
          <w:color w:val="auto"/>
          <w:lang w:val="en-US" w:eastAsia="zh-CN"/>
        </w:rPr>
      </w:pPr>
    </w:p>
    <w:p>
      <w:pPr>
        <w:numPr>
          <w:ilvl w:val="0"/>
          <w:numId w:val="0"/>
        </w:numPr>
        <w:spacing w:line="480" w:lineRule="auto"/>
        <w:ind w:left="0" w:leftChars="0" w:firstLine="0" w:firstLineChars="0"/>
        <w:jc w:val="center"/>
        <w:rPr>
          <w:rFonts w:hint="eastAsia" w:ascii="宋体" w:hAnsi="宋体" w:eastAsia="宋体"/>
          <w:b/>
          <w:bCs/>
          <w:color w:val="auto"/>
          <w:sz w:val="28"/>
          <w:szCs w:val="28"/>
          <w:lang w:val="en-US" w:eastAsia="zh-CN"/>
        </w:rPr>
      </w:pPr>
      <w:bookmarkStart w:id="268" w:name="_Toc7747"/>
      <w:bookmarkStart w:id="269" w:name="_Toc2237"/>
      <w:bookmarkStart w:id="270" w:name="_Toc22050"/>
    </w:p>
    <w:p>
      <w:pPr>
        <w:numPr>
          <w:ilvl w:val="0"/>
          <w:numId w:val="0"/>
        </w:numPr>
        <w:spacing w:line="480" w:lineRule="auto"/>
        <w:ind w:left="0" w:leftChars="0" w:firstLine="0" w:firstLineChars="0"/>
        <w:jc w:val="center"/>
        <w:rPr>
          <w:rFonts w:hint="eastAsia" w:ascii="宋体" w:hAnsi="宋体" w:eastAsia="宋体"/>
          <w:b/>
          <w:bCs/>
          <w:color w:val="auto"/>
          <w:sz w:val="28"/>
          <w:szCs w:val="28"/>
          <w:lang w:eastAsia="zh-CN"/>
        </w:rPr>
      </w:pPr>
      <w:r>
        <w:rPr>
          <w:rFonts w:hint="eastAsia" w:ascii="宋体" w:hAnsi="宋体" w:eastAsia="宋体"/>
          <w:b/>
          <w:bCs/>
          <w:color w:val="auto"/>
          <w:sz w:val="28"/>
          <w:szCs w:val="28"/>
          <w:lang w:val="en-US" w:eastAsia="zh-CN"/>
        </w:rPr>
        <w:t>十</w:t>
      </w:r>
      <w:r>
        <w:rPr>
          <w:rFonts w:hint="eastAsia" w:ascii="宋体" w:hAnsi="宋体" w:eastAsia="宋体"/>
          <w:b/>
          <w:bCs/>
          <w:color w:val="auto"/>
          <w:sz w:val="28"/>
          <w:szCs w:val="28"/>
          <w:lang w:eastAsia="zh-CN"/>
        </w:rPr>
        <w:t>、反商业贿赂承诺书</w:t>
      </w:r>
      <w:bookmarkEnd w:id="268"/>
      <w:bookmarkEnd w:id="269"/>
      <w:bookmarkEnd w:id="270"/>
    </w:p>
    <w:p>
      <w:pPr>
        <w:tabs>
          <w:tab w:val="left" w:pos="0"/>
        </w:tabs>
        <w:spacing w:beforeLines="50" w:afterLines="50" w:line="500" w:lineRule="exact"/>
        <w:ind w:left="380" w:right="1321"/>
        <w:rPr>
          <w:color w:val="auto"/>
          <w:spacing w:val="8"/>
          <w:sz w:val="21"/>
          <w:szCs w:val="21"/>
        </w:rPr>
      </w:pPr>
      <w:r>
        <w:rPr>
          <w:rFonts w:hint="eastAsia"/>
          <w:color w:val="auto"/>
          <w:spacing w:val="8"/>
          <w:sz w:val="21"/>
          <w:szCs w:val="21"/>
        </w:rPr>
        <w:t>我公司承诺：</w:t>
      </w:r>
    </w:p>
    <w:p>
      <w:pPr>
        <w:tabs>
          <w:tab w:val="left" w:pos="0"/>
        </w:tabs>
        <w:spacing w:beforeLines="50" w:afterLines="50" w:line="500" w:lineRule="exact"/>
        <w:ind w:left="380" w:right="1321" w:firstLine="452" w:firstLineChars="200"/>
        <w:rPr>
          <w:color w:val="auto"/>
          <w:spacing w:val="8"/>
          <w:sz w:val="21"/>
          <w:szCs w:val="21"/>
        </w:rPr>
      </w:pPr>
      <w:r>
        <w:rPr>
          <w:rFonts w:hint="eastAsia"/>
          <w:color w:val="auto"/>
          <w:spacing w:val="8"/>
          <w:sz w:val="21"/>
          <w:szCs w:val="21"/>
        </w:rPr>
        <w:t>在招标活动中，我公司保证做到：</w:t>
      </w:r>
    </w:p>
    <w:p>
      <w:pPr>
        <w:tabs>
          <w:tab w:val="left" w:pos="0"/>
        </w:tabs>
        <w:spacing w:beforeLines="50" w:afterLines="50" w:line="500" w:lineRule="exact"/>
        <w:ind w:left="380" w:right="1321" w:firstLine="452" w:firstLineChars="200"/>
        <w:rPr>
          <w:color w:val="auto"/>
          <w:spacing w:val="8"/>
          <w:sz w:val="21"/>
          <w:szCs w:val="21"/>
        </w:rPr>
      </w:pPr>
      <w:r>
        <w:rPr>
          <w:rFonts w:hint="eastAsia"/>
          <w:color w:val="auto"/>
          <w:spacing w:val="8"/>
          <w:sz w:val="21"/>
          <w:szCs w:val="21"/>
        </w:rPr>
        <w:t>一、公平竞争参加本次招标活动。</w:t>
      </w:r>
    </w:p>
    <w:p>
      <w:pPr>
        <w:tabs>
          <w:tab w:val="left" w:pos="0"/>
        </w:tabs>
        <w:spacing w:beforeLines="50" w:afterLines="50" w:line="500" w:lineRule="exact"/>
        <w:ind w:left="380" w:right="220" w:rightChars="0" w:firstLine="452" w:firstLineChars="200"/>
        <w:rPr>
          <w:color w:val="auto"/>
          <w:spacing w:val="8"/>
          <w:sz w:val="21"/>
          <w:szCs w:val="21"/>
        </w:rPr>
      </w:pPr>
      <w:r>
        <w:rPr>
          <w:rFonts w:hint="eastAsia"/>
          <w:color w:val="auto"/>
          <w:spacing w:val="8"/>
          <w:sz w:val="21"/>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0"/>
        </w:tabs>
        <w:spacing w:beforeLines="50" w:afterLines="50" w:line="500" w:lineRule="exact"/>
        <w:ind w:left="380" w:right="220" w:rightChars="0" w:firstLine="452" w:firstLineChars="200"/>
        <w:rPr>
          <w:color w:val="auto"/>
          <w:spacing w:val="8"/>
          <w:sz w:val="21"/>
          <w:szCs w:val="21"/>
        </w:rPr>
      </w:pPr>
      <w:r>
        <w:rPr>
          <w:rFonts w:hint="eastAsia"/>
          <w:color w:val="auto"/>
          <w:spacing w:val="8"/>
          <w:sz w:val="21"/>
          <w:szCs w:val="21"/>
        </w:rPr>
        <w:t>三、若出现上述行为，我公司及参与投标的工作人员愿意接受按照国家法律法规等有关规定给予的处罚。</w:t>
      </w:r>
    </w:p>
    <w:p>
      <w:pPr>
        <w:tabs>
          <w:tab w:val="left" w:pos="0"/>
        </w:tabs>
        <w:spacing w:beforeLines="50" w:afterLines="50" w:line="500" w:lineRule="exact"/>
        <w:ind w:left="380" w:right="1321"/>
        <w:rPr>
          <w:color w:val="auto"/>
          <w:spacing w:val="8"/>
          <w:sz w:val="21"/>
          <w:szCs w:val="21"/>
        </w:rPr>
      </w:pPr>
    </w:p>
    <w:p>
      <w:pPr>
        <w:tabs>
          <w:tab w:val="left" w:pos="0"/>
        </w:tabs>
        <w:spacing w:beforeLines="50" w:afterLines="50" w:line="500" w:lineRule="exact"/>
        <w:ind w:left="380" w:right="1321"/>
        <w:rPr>
          <w:color w:val="auto"/>
          <w:spacing w:val="8"/>
          <w:sz w:val="21"/>
          <w:szCs w:val="21"/>
        </w:rPr>
      </w:pPr>
    </w:p>
    <w:p>
      <w:pPr>
        <w:adjustRightInd w:val="0"/>
        <w:spacing w:beforeLines="50" w:afterLines="50" w:line="360" w:lineRule="auto"/>
        <w:ind w:left="380" w:right="1321"/>
        <w:rPr>
          <w:rFonts w:cs="楷体_GB2312"/>
          <w:color w:val="auto"/>
          <w:sz w:val="21"/>
          <w:szCs w:val="21"/>
        </w:rPr>
      </w:pPr>
      <w:r>
        <w:rPr>
          <w:rFonts w:hint="eastAsia"/>
          <w:color w:val="auto"/>
          <w:sz w:val="21"/>
          <w:szCs w:val="21"/>
        </w:rPr>
        <w:t>投标人</w:t>
      </w:r>
      <w:r>
        <w:rPr>
          <w:rFonts w:hint="eastAsia" w:cs="楷体_GB2312"/>
          <w:color w:val="auto"/>
          <w:sz w:val="21"/>
          <w:szCs w:val="21"/>
        </w:rPr>
        <w:t>（盖单位公章）：</w:t>
      </w:r>
    </w:p>
    <w:p>
      <w:pPr>
        <w:adjustRightInd w:val="0"/>
        <w:spacing w:beforeLines="50" w:afterLines="50" w:line="360" w:lineRule="auto"/>
        <w:ind w:left="380" w:right="1321"/>
        <w:rPr>
          <w:rFonts w:cs="楷体_GB2312"/>
          <w:color w:val="auto"/>
          <w:sz w:val="21"/>
          <w:szCs w:val="21"/>
        </w:rPr>
      </w:pPr>
      <w:r>
        <w:rPr>
          <w:rFonts w:hint="eastAsia" w:cs="楷体_GB2312"/>
          <w:color w:val="auto"/>
          <w:sz w:val="21"/>
          <w:szCs w:val="21"/>
        </w:rPr>
        <w:t>法定代表人或被授权人（签字或盖章）：</w:t>
      </w:r>
    </w:p>
    <w:p>
      <w:pPr>
        <w:adjustRightInd w:val="0"/>
        <w:spacing w:beforeLines="50" w:afterLines="50" w:line="360" w:lineRule="auto"/>
        <w:ind w:right="1321" w:firstLine="420" w:firstLineChars="200"/>
        <w:rPr>
          <w:rFonts w:cs="楷体_GB2312"/>
          <w:color w:val="auto"/>
          <w:sz w:val="21"/>
          <w:szCs w:val="21"/>
        </w:rPr>
      </w:pPr>
      <w:r>
        <w:rPr>
          <w:rFonts w:hint="eastAsia" w:cs="楷体_GB2312"/>
          <w:color w:val="auto"/>
          <w:sz w:val="21"/>
          <w:szCs w:val="21"/>
        </w:rPr>
        <w:t>日期：</w:t>
      </w:r>
      <w:r>
        <w:rPr>
          <w:rFonts w:hint="eastAsia" w:cs="楷体_GB2312"/>
          <w:color w:val="auto"/>
          <w:sz w:val="21"/>
          <w:szCs w:val="21"/>
          <w:lang w:val="en-US" w:eastAsia="zh-CN"/>
        </w:rPr>
        <w:t xml:space="preserve"> </w:t>
      </w:r>
      <w:r>
        <w:rPr>
          <w:rFonts w:hint="eastAsia" w:cs="楷体_GB2312"/>
          <w:color w:val="auto"/>
          <w:sz w:val="21"/>
          <w:szCs w:val="21"/>
        </w:rPr>
        <w:t>年</w:t>
      </w:r>
      <w:r>
        <w:rPr>
          <w:rFonts w:hint="eastAsia" w:cs="楷体_GB2312"/>
          <w:color w:val="auto"/>
          <w:sz w:val="21"/>
          <w:szCs w:val="21"/>
          <w:lang w:val="en-US" w:eastAsia="zh-CN"/>
        </w:rPr>
        <w:t xml:space="preserve">   </w:t>
      </w:r>
      <w:r>
        <w:rPr>
          <w:rFonts w:hint="eastAsia" w:cs="楷体_GB2312"/>
          <w:color w:val="auto"/>
          <w:sz w:val="21"/>
          <w:szCs w:val="21"/>
        </w:rPr>
        <w:t>月</w:t>
      </w:r>
      <w:r>
        <w:rPr>
          <w:rFonts w:hint="eastAsia" w:cs="楷体_GB2312"/>
          <w:color w:val="auto"/>
          <w:sz w:val="21"/>
          <w:szCs w:val="21"/>
          <w:lang w:val="en-US" w:eastAsia="zh-CN"/>
        </w:rPr>
        <w:t xml:space="preserve">  </w:t>
      </w:r>
      <w:r>
        <w:rPr>
          <w:rFonts w:hint="eastAsia" w:cs="楷体_GB2312"/>
          <w:color w:val="auto"/>
          <w:sz w:val="21"/>
          <w:szCs w:val="21"/>
        </w:rPr>
        <w:t>日</w:t>
      </w:r>
    </w:p>
    <w:p>
      <w:pPr>
        <w:pStyle w:val="29"/>
        <w:jc w:val="center"/>
        <w:rPr>
          <w:rFonts w:hint="eastAsia" w:ascii="宋体" w:hAnsi="宋体"/>
          <w:b/>
          <w:color w:val="auto"/>
          <w:sz w:val="28"/>
          <w:szCs w:val="28"/>
        </w:rPr>
      </w:pPr>
    </w:p>
    <w:p>
      <w:pPr>
        <w:pStyle w:val="29"/>
        <w:jc w:val="center"/>
        <w:rPr>
          <w:rFonts w:hint="eastAsia" w:ascii="宋体" w:hAnsi="宋体"/>
          <w:b/>
          <w:color w:val="auto"/>
          <w:sz w:val="28"/>
          <w:szCs w:val="28"/>
        </w:rPr>
      </w:pPr>
    </w:p>
    <w:p>
      <w:pPr>
        <w:pStyle w:val="29"/>
        <w:jc w:val="center"/>
        <w:rPr>
          <w:rFonts w:hint="eastAsia" w:ascii="宋体" w:hAnsi="宋体"/>
          <w:b/>
          <w:color w:val="auto"/>
          <w:sz w:val="28"/>
          <w:szCs w:val="28"/>
        </w:rPr>
      </w:pPr>
    </w:p>
    <w:p>
      <w:pPr>
        <w:pStyle w:val="29"/>
        <w:jc w:val="center"/>
        <w:rPr>
          <w:rFonts w:hint="eastAsia" w:ascii="宋体" w:hAnsi="宋体"/>
          <w:b/>
          <w:color w:val="auto"/>
          <w:sz w:val="28"/>
          <w:szCs w:val="28"/>
        </w:rPr>
      </w:pPr>
    </w:p>
    <w:p>
      <w:pPr>
        <w:pStyle w:val="29"/>
        <w:jc w:val="center"/>
        <w:rPr>
          <w:rFonts w:hint="eastAsia" w:ascii="宋体" w:hAnsi="宋体"/>
          <w:b/>
          <w:color w:val="auto"/>
          <w:sz w:val="28"/>
          <w:szCs w:val="28"/>
        </w:rPr>
      </w:pPr>
    </w:p>
    <w:p>
      <w:pPr>
        <w:pStyle w:val="29"/>
        <w:jc w:val="both"/>
        <w:rPr>
          <w:rFonts w:hint="eastAsia" w:ascii="宋体" w:hAnsi="宋体"/>
          <w:b/>
          <w:color w:val="auto"/>
          <w:sz w:val="28"/>
          <w:szCs w:val="28"/>
        </w:rPr>
      </w:pPr>
    </w:p>
    <w:p>
      <w:pPr>
        <w:pStyle w:val="13"/>
        <w:rPr>
          <w:rFonts w:hint="eastAsia"/>
          <w:color w:val="auto"/>
        </w:rPr>
      </w:pPr>
    </w:p>
    <w:p>
      <w:pPr>
        <w:rPr>
          <w:rFonts w:hint="eastAsia"/>
          <w:b/>
          <w:color w:val="auto"/>
          <w:kern w:val="0"/>
          <w:sz w:val="28"/>
          <w:szCs w:val="24"/>
          <w:lang w:val="en-US" w:eastAsia="zh-CN"/>
        </w:rPr>
      </w:pPr>
      <w:r>
        <w:rPr>
          <w:rFonts w:hint="eastAsia"/>
          <w:b/>
          <w:color w:val="auto"/>
          <w:kern w:val="0"/>
          <w:sz w:val="28"/>
          <w:szCs w:val="24"/>
          <w:lang w:val="en-US" w:eastAsia="zh-CN"/>
        </w:rPr>
        <w:br w:type="page"/>
      </w:r>
    </w:p>
    <w:p>
      <w:pPr>
        <w:widowControl/>
        <w:snapToGrid w:val="0"/>
        <w:spacing w:before="120" w:beforeLines="50" w:after="120" w:afterLines="50" w:line="480" w:lineRule="exact"/>
        <w:jc w:val="center"/>
        <w:outlineLvl w:val="1"/>
        <w:rPr>
          <w:rFonts w:hint="eastAsia" w:eastAsia="宋体"/>
          <w:b/>
          <w:color w:val="auto"/>
          <w:kern w:val="0"/>
          <w:sz w:val="28"/>
          <w:szCs w:val="24"/>
          <w:lang w:eastAsia="zh-CN"/>
        </w:rPr>
      </w:pPr>
      <w:r>
        <w:rPr>
          <w:rFonts w:hint="eastAsia"/>
          <w:b/>
          <w:color w:val="auto"/>
          <w:kern w:val="0"/>
          <w:sz w:val="28"/>
          <w:szCs w:val="24"/>
          <w:lang w:val="en-US" w:eastAsia="zh-CN"/>
        </w:rPr>
        <w:t>十一</w:t>
      </w:r>
      <w:r>
        <w:rPr>
          <w:b/>
          <w:color w:val="auto"/>
          <w:kern w:val="0"/>
          <w:sz w:val="28"/>
          <w:szCs w:val="24"/>
        </w:rPr>
        <w:t>、技术</w:t>
      </w:r>
      <w:r>
        <w:rPr>
          <w:rFonts w:hint="eastAsia"/>
          <w:b/>
          <w:color w:val="auto"/>
          <w:kern w:val="0"/>
          <w:sz w:val="28"/>
          <w:szCs w:val="24"/>
          <w:lang w:val="en-US" w:eastAsia="zh-CN"/>
        </w:rPr>
        <w:t>部分</w:t>
      </w:r>
    </w:p>
    <w:p>
      <w:pPr>
        <w:widowControl/>
        <w:spacing w:line="440" w:lineRule="exact"/>
        <w:ind w:left="0" w:leftChars="0" w:firstLine="0" w:firstLineChars="0"/>
        <w:jc w:val="center"/>
        <w:rPr>
          <w:color w:val="auto"/>
          <w:szCs w:val="24"/>
        </w:rPr>
      </w:pPr>
      <w:r>
        <w:rPr>
          <w:b/>
          <w:color w:val="auto"/>
          <w:sz w:val="28"/>
          <w:szCs w:val="24"/>
        </w:rPr>
        <w:t>（格式由投标人根据技术</w:t>
      </w:r>
      <w:r>
        <w:rPr>
          <w:rFonts w:hint="eastAsia"/>
          <w:b/>
          <w:color w:val="auto"/>
          <w:sz w:val="28"/>
          <w:szCs w:val="24"/>
          <w:lang w:val="en-US" w:eastAsia="zh-CN"/>
        </w:rPr>
        <w:t>部</w:t>
      </w:r>
      <w:r>
        <w:rPr>
          <w:b/>
          <w:color w:val="auto"/>
          <w:sz w:val="28"/>
          <w:szCs w:val="24"/>
        </w:rPr>
        <w:t>分评分标准自定）</w:t>
      </w:r>
    </w:p>
    <w:p>
      <w:pPr>
        <w:widowControl/>
        <w:snapToGrid w:val="0"/>
        <w:spacing w:before="120" w:beforeLines="50" w:after="120" w:afterLines="50" w:line="480" w:lineRule="exact"/>
        <w:outlineLvl w:val="1"/>
        <w:rPr>
          <w:b/>
          <w:color w:val="auto"/>
          <w:kern w:val="0"/>
          <w:sz w:val="32"/>
          <w:szCs w:val="28"/>
        </w:rPr>
        <w:sectPr>
          <w:headerReference r:id="rId14" w:type="default"/>
          <w:footerReference r:id="rId15" w:type="default"/>
          <w:pgSz w:w="11906" w:h="16838"/>
          <w:pgMar w:top="1440" w:right="1080" w:bottom="1440" w:left="1080" w:header="850" w:footer="992" w:gutter="0"/>
          <w:pgNumType w:fmt="decimal"/>
          <w:cols w:space="0" w:num="1"/>
          <w:rtlGutter w:val="0"/>
          <w:docGrid w:linePitch="312" w:charSpace="0"/>
        </w:sectPr>
      </w:pPr>
    </w:p>
    <w:p>
      <w:pPr>
        <w:spacing w:after="200" w:line="360" w:lineRule="auto"/>
        <w:jc w:val="center"/>
        <w:rPr>
          <w:rFonts w:hint="eastAsia" w:ascii="宋体" w:hAnsi="宋体"/>
          <w:b/>
          <w:color w:val="auto"/>
          <w:sz w:val="28"/>
          <w:szCs w:val="28"/>
        </w:rPr>
      </w:pPr>
      <w:r>
        <w:rPr>
          <w:rFonts w:hint="eastAsia" w:ascii="宋体" w:hAnsi="宋体"/>
          <w:b/>
          <w:color w:val="auto"/>
          <w:sz w:val="28"/>
          <w:szCs w:val="28"/>
        </w:rPr>
        <w:t>十</w:t>
      </w:r>
      <w:r>
        <w:rPr>
          <w:rFonts w:hint="eastAsia" w:ascii="宋体" w:hAnsi="宋体"/>
          <w:b/>
          <w:color w:val="auto"/>
          <w:sz w:val="28"/>
          <w:szCs w:val="28"/>
          <w:lang w:val="en-US" w:eastAsia="zh-CN"/>
        </w:rPr>
        <w:t>二</w:t>
      </w:r>
      <w:r>
        <w:rPr>
          <w:rFonts w:hint="eastAsia" w:ascii="宋体" w:hAnsi="宋体"/>
          <w:b/>
          <w:color w:val="auto"/>
          <w:sz w:val="28"/>
          <w:szCs w:val="28"/>
        </w:rPr>
        <w:t>、其他材料</w:t>
      </w:r>
    </w:p>
    <w:p>
      <w:pPr>
        <w:spacing w:after="200" w:line="360" w:lineRule="auto"/>
        <w:ind w:left="0" w:leftChars="0" w:firstLine="0" w:firstLineChars="0"/>
        <w:jc w:val="center"/>
        <w:rPr>
          <w:rFonts w:hint="eastAsia" w:ascii="宋体" w:hAnsi="宋体" w:cs="宋体"/>
          <w:b/>
          <w:color w:val="auto"/>
          <w:sz w:val="28"/>
          <w:szCs w:val="28"/>
        </w:rPr>
      </w:pPr>
      <w:r>
        <w:rPr>
          <w:rFonts w:hint="eastAsia" w:ascii="宋体" w:hAnsi="宋体" w:cs="宋体"/>
          <w:b/>
          <w:color w:val="auto"/>
          <w:sz w:val="28"/>
          <w:szCs w:val="28"/>
          <w:lang w:bidi="ar"/>
        </w:rPr>
        <w:t>（投标单位认为应该附上的</w:t>
      </w:r>
      <w:r>
        <w:rPr>
          <w:rFonts w:hint="eastAsia" w:ascii="宋体" w:hAnsi="宋体"/>
          <w:b/>
          <w:color w:val="auto"/>
          <w:sz w:val="28"/>
          <w:szCs w:val="28"/>
        </w:rPr>
        <w:t>材料</w:t>
      </w:r>
      <w:r>
        <w:rPr>
          <w:rFonts w:hint="eastAsia" w:ascii="宋体" w:hAnsi="宋体" w:cs="宋体"/>
          <w:b/>
          <w:color w:val="auto"/>
          <w:sz w:val="28"/>
          <w:szCs w:val="28"/>
          <w:lang w:bidi="ar"/>
        </w:rPr>
        <w:t>和招标文件要求的其他</w:t>
      </w:r>
      <w:r>
        <w:rPr>
          <w:rFonts w:hint="eastAsia" w:ascii="宋体" w:hAnsi="宋体"/>
          <w:b/>
          <w:color w:val="auto"/>
          <w:sz w:val="28"/>
          <w:szCs w:val="28"/>
        </w:rPr>
        <w:t>材料</w:t>
      </w:r>
      <w:r>
        <w:rPr>
          <w:rFonts w:hint="eastAsia" w:ascii="宋体" w:hAnsi="宋体" w:cs="宋体"/>
          <w:b/>
          <w:color w:val="auto"/>
          <w:sz w:val="28"/>
          <w:szCs w:val="28"/>
          <w:lang w:bidi="ar"/>
        </w:rPr>
        <w:t>）</w:t>
      </w:r>
    </w:p>
    <w:p>
      <w:pPr>
        <w:numPr>
          <w:ilvl w:val="0"/>
          <w:numId w:val="0"/>
        </w:numPr>
        <w:spacing w:line="480" w:lineRule="auto"/>
        <w:ind w:left="-1" w:leftChars="0" w:firstLine="0" w:firstLineChars="0"/>
        <w:jc w:val="center"/>
        <w:rPr>
          <w:rFonts w:hint="eastAsia" w:ascii="宋体" w:hAnsi="宋体" w:eastAsia="宋体"/>
          <w:b/>
          <w:bCs/>
          <w:color w:val="auto"/>
          <w:sz w:val="28"/>
          <w:szCs w:val="28"/>
          <w:lang w:eastAsia="zh-CN"/>
        </w:rPr>
      </w:pPr>
    </w:p>
    <w:p>
      <w:pPr>
        <w:numPr>
          <w:ilvl w:val="0"/>
          <w:numId w:val="0"/>
        </w:numPr>
        <w:spacing w:line="480" w:lineRule="auto"/>
        <w:ind w:left="-1" w:leftChars="0" w:firstLine="0" w:firstLineChars="0"/>
        <w:jc w:val="center"/>
        <w:rPr>
          <w:rFonts w:hint="eastAsia" w:ascii="宋体" w:hAnsi="宋体" w:eastAsia="宋体"/>
          <w:b/>
          <w:bCs/>
          <w:color w:val="auto"/>
          <w:sz w:val="28"/>
          <w:szCs w:val="28"/>
          <w:lang w:eastAsia="zh-CN"/>
        </w:rPr>
      </w:pPr>
    </w:p>
    <w:p>
      <w:pPr>
        <w:pStyle w:val="47"/>
        <w:rPr>
          <w:rFonts w:hint="eastAsia" w:ascii="宋体" w:hAnsi="宋体" w:eastAsia="宋体"/>
          <w:b/>
          <w:bCs/>
          <w:color w:val="auto"/>
          <w:sz w:val="28"/>
          <w:szCs w:val="28"/>
          <w:lang w:eastAsia="zh-CN"/>
        </w:rPr>
      </w:pPr>
    </w:p>
    <w:p>
      <w:pPr>
        <w:pStyle w:val="49"/>
        <w:rPr>
          <w:rFonts w:hint="eastAsia" w:ascii="宋体" w:hAnsi="宋体" w:eastAsia="宋体"/>
          <w:b/>
          <w:bCs/>
          <w:color w:val="auto"/>
          <w:sz w:val="28"/>
          <w:szCs w:val="28"/>
          <w:lang w:eastAsia="zh-CN"/>
        </w:rPr>
      </w:pPr>
    </w:p>
    <w:p>
      <w:pPr>
        <w:pStyle w:val="13"/>
        <w:rPr>
          <w:rFonts w:hint="eastAsia" w:ascii="宋体" w:hAnsi="宋体" w:eastAsia="宋体"/>
          <w:b/>
          <w:bCs/>
          <w:color w:val="auto"/>
          <w:sz w:val="28"/>
          <w:szCs w:val="28"/>
          <w:lang w:eastAsia="zh-CN"/>
        </w:rPr>
      </w:pPr>
    </w:p>
    <w:p>
      <w:pPr>
        <w:rPr>
          <w:rFonts w:hint="eastAsia" w:ascii="宋体" w:hAnsi="宋体" w:eastAsia="宋体"/>
          <w:b/>
          <w:bCs/>
          <w:color w:val="auto"/>
          <w:sz w:val="28"/>
          <w:szCs w:val="28"/>
          <w:lang w:eastAsia="zh-CN"/>
        </w:rPr>
      </w:pPr>
    </w:p>
    <w:p>
      <w:pPr>
        <w:pStyle w:val="47"/>
        <w:rPr>
          <w:rFonts w:hint="eastAsia" w:ascii="宋体" w:hAnsi="宋体" w:eastAsia="宋体"/>
          <w:b/>
          <w:bCs/>
          <w:color w:val="auto"/>
          <w:sz w:val="28"/>
          <w:szCs w:val="28"/>
          <w:lang w:eastAsia="zh-CN"/>
        </w:rPr>
      </w:pPr>
    </w:p>
    <w:p>
      <w:pPr>
        <w:pStyle w:val="49"/>
        <w:rPr>
          <w:rFonts w:hint="eastAsia" w:ascii="宋体" w:hAnsi="宋体" w:eastAsia="宋体"/>
          <w:b/>
          <w:bCs/>
          <w:color w:val="auto"/>
          <w:sz w:val="28"/>
          <w:szCs w:val="28"/>
          <w:lang w:eastAsia="zh-CN"/>
        </w:rPr>
      </w:pPr>
    </w:p>
    <w:p>
      <w:pPr>
        <w:pStyle w:val="13"/>
        <w:rPr>
          <w:rFonts w:hint="eastAsia" w:ascii="宋体" w:hAnsi="宋体" w:eastAsia="宋体"/>
          <w:b/>
          <w:bCs/>
          <w:color w:val="auto"/>
          <w:sz w:val="28"/>
          <w:szCs w:val="28"/>
          <w:lang w:eastAsia="zh-CN"/>
        </w:rPr>
      </w:pPr>
    </w:p>
    <w:p>
      <w:pPr>
        <w:pStyle w:val="29"/>
        <w:rPr>
          <w:rFonts w:hint="eastAsia" w:ascii="宋体" w:hAnsi="宋体" w:eastAsia="宋体"/>
          <w:b/>
          <w:bCs/>
          <w:color w:val="auto"/>
          <w:sz w:val="28"/>
          <w:szCs w:val="28"/>
          <w:lang w:eastAsia="zh-CN"/>
        </w:rPr>
      </w:pPr>
    </w:p>
    <w:p>
      <w:pPr>
        <w:rPr>
          <w:rFonts w:hint="eastAsia" w:ascii="宋体" w:hAnsi="宋体" w:eastAsia="宋体"/>
          <w:b/>
          <w:bCs/>
          <w:color w:val="auto"/>
          <w:sz w:val="28"/>
          <w:szCs w:val="28"/>
          <w:lang w:eastAsia="zh-CN"/>
        </w:rPr>
      </w:pPr>
    </w:p>
    <w:p>
      <w:pPr>
        <w:pStyle w:val="48"/>
        <w:rPr>
          <w:rFonts w:hint="eastAsia" w:ascii="宋体" w:hAnsi="宋体" w:eastAsia="宋体"/>
          <w:b/>
          <w:bCs/>
          <w:color w:val="auto"/>
          <w:sz w:val="28"/>
          <w:szCs w:val="28"/>
          <w:lang w:eastAsia="zh-CN"/>
        </w:rPr>
      </w:pPr>
    </w:p>
    <w:p>
      <w:pPr>
        <w:rPr>
          <w:rFonts w:hint="eastAsia" w:ascii="宋体" w:hAnsi="宋体" w:eastAsia="宋体"/>
          <w:b/>
          <w:bCs/>
          <w:color w:val="auto"/>
          <w:sz w:val="28"/>
          <w:szCs w:val="28"/>
          <w:lang w:eastAsia="zh-CN"/>
        </w:rPr>
      </w:pPr>
    </w:p>
    <w:p>
      <w:pPr>
        <w:pStyle w:val="48"/>
        <w:rPr>
          <w:rFonts w:hint="eastAsia" w:ascii="宋体" w:hAnsi="宋体" w:eastAsia="宋体"/>
          <w:b/>
          <w:bCs/>
          <w:color w:val="auto"/>
          <w:sz w:val="28"/>
          <w:szCs w:val="28"/>
          <w:lang w:eastAsia="zh-CN"/>
        </w:rPr>
      </w:pPr>
    </w:p>
    <w:p>
      <w:pPr>
        <w:rPr>
          <w:rFonts w:hint="eastAsia" w:ascii="宋体" w:hAnsi="宋体" w:eastAsia="宋体"/>
          <w:b/>
          <w:bCs/>
          <w:color w:val="auto"/>
          <w:sz w:val="28"/>
          <w:szCs w:val="28"/>
          <w:lang w:eastAsia="zh-CN"/>
        </w:rPr>
      </w:pPr>
    </w:p>
    <w:p>
      <w:pPr>
        <w:pStyle w:val="48"/>
        <w:rPr>
          <w:rFonts w:hint="eastAsia" w:ascii="宋体" w:hAnsi="宋体" w:eastAsia="宋体"/>
          <w:b/>
          <w:bCs/>
          <w:color w:val="auto"/>
          <w:sz w:val="28"/>
          <w:szCs w:val="28"/>
          <w:lang w:eastAsia="zh-CN"/>
        </w:rPr>
      </w:pPr>
    </w:p>
    <w:p>
      <w:pPr>
        <w:rPr>
          <w:rFonts w:hint="eastAsia" w:ascii="宋体" w:hAnsi="宋体" w:eastAsia="宋体"/>
          <w:b/>
          <w:bCs/>
          <w:color w:val="auto"/>
          <w:sz w:val="28"/>
          <w:szCs w:val="28"/>
          <w:lang w:eastAsia="zh-CN"/>
        </w:rPr>
      </w:pPr>
    </w:p>
    <w:p>
      <w:pPr>
        <w:pStyle w:val="48"/>
        <w:rPr>
          <w:rFonts w:hint="eastAsia" w:ascii="宋体" w:hAnsi="宋体" w:eastAsia="宋体"/>
          <w:b/>
          <w:bCs/>
          <w:color w:val="auto"/>
          <w:sz w:val="28"/>
          <w:szCs w:val="28"/>
          <w:lang w:eastAsia="zh-CN"/>
        </w:rPr>
      </w:pPr>
    </w:p>
    <w:p>
      <w:pPr>
        <w:rPr>
          <w:rFonts w:hint="eastAsia" w:ascii="宋体" w:hAnsi="宋体" w:eastAsia="宋体"/>
          <w:b/>
          <w:bCs/>
          <w:color w:val="auto"/>
          <w:sz w:val="28"/>
          <w:szCs w:val="28"/>
          <w:lang w:eastAsia="zh-CN"/>
        </w:rPr>
      </w:pPr>
    </w:p>
    <w:p>
      <w:pPr>
        <w:pStyle w:val="48"/>
        <w:rPr>
          <w:rFonts w:hint="eastAsia" w:ascii="宋体" w:hAnsi="宋体" w:eastAsia="宋体"/>
          <w:b/>
          <w:bCs/>
          <w:color w:val="auto"/>
          <w:sz w:val="28"/>
          <w:szCs w:val="28"/>
          <w:lang w:eastAsia="zh-CN"/>
        </w:rPr>
      </w:pPr>
    </w:p>
    <w:p>
      <w:pPr>
        <w:rPr>
          <w:rFonts w:hint="eastAsia" w:ascii="宋体" w:hAnsi="宋体" w:eastAsia="宋体"/>
          <w:b/>
          <w:bCs/>
          <w:color w:val="auto"/>
          <w:sz w:val="28"/>
          <w:szCs w:val="28"/>
          <w:lang w:eastAsia="zh-CN"/>
        </w:rPr>
      </w:pPr>
    </w:p>
    <w:p>
      <w:pPr>
        <w:pStyle w:val="48"/>
        <w:rPr>
          <w:rFonts w:hint="eastAsia"/>
          <w:color w:val="auto"/>
          <w:lang w:eastAsia="zh-CN"/>
        </w:rPr>
      </w:pPr>
    </w:p>
    <w:p>
      <w:pPr>
        <w:pStyle w:val="2"/>
        <w:bidi w:val="0"/>
        <w:rPr>
          <w:rFonts w:hint="eastAsia"/>
          <w:color w:val="auto"/>
          <w:lang w:eastAsia="zh-CN"/>
        </w:rPr>
      </w:pPr>
      <w:bookmarkStart w:id="271" w:name="_Toc31138"/>
      <w:r>
        <w:rPr>
          <w:rFonts w:hint="eastAsia"/>
          <w:color w:val="auto"/>
          <w:lang w:val="en-US" w:eastAsia="zh-CN"/>
        </w:rPr>
        <w:t xml:space="preserve">第七章  </w:t>
      </w:r>
      <w:r>
        <w:rPr>
          <w:rFonts w:hint="eastAsia"/>
          <w:color w:val="auto"/>
          <w:lang w:eastAsia="zh-CN"/>
        </w:rPr>
        <w:t>河南省政府采购合同融资政策告知函</w:t>
      </w:r>
      <w:bookmarkEnd w:id="271"/>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各供应商：</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w w:val="90"/>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w:t>
      </w:r>
      <w:r>
        <w:rPr>
          <w:rFonts w:hint="eastAsia" w:ascii="宋体" w:hAnsi="宋体" w:eastAsia="宋体" w:cs="宋体"/>
          <w:color w:val="auto"/>
          <w:sz w:val="24"/>
          <w:szCs w:val="24"/>
          <w:lang w:eastAsia="zh-CN"/>
        </w:rPr>
        <w:t>政策解读网址：</w:t>
      </w:r>
      <w:r>
        <w:rPr>
          <w:rFonts w:hint="eastAsia" w:ascii="宋体" w:hAnsi="宋体" w:eastAsia="宋体" w:cs="宋体"/>
          <w:color w:val="auto"/>
          <w:w w:val="95"/>
          <w:sz w:val="24"/>
          <w:szCs w:val="24"/>
        </w:rPr>
        <w:t>http://www.hngp.gov.cn/henan/content?infoId=1601449567470800&amp;channelCode=H6016</w:t>
      </w:r>
    </w:p>
    <w:p>
      <w:pPr>
        <w:pStyle w:val="47"/>
        <w:rPr>
          <w:rFonts w:hint="eastAsia"/>
          <w:color w:val="auto"/>
          <w:lang w:val="en-US" w:eastAsia="zh-CN"/>
        </w:rPr>
      </w:pPr>
    </w:p>
    <w:p>
      <w:pPr>
        <w:pStyle w:val="13"/>
        <w:rPr>
          <w:color w:val="auto"/>
          <w:sz w:val="28"/>
          <w:szCs w:val="28"/>
        </w:rPr>
      </w:pPr>
    </w:p>
    <w:sectPr>
      <w:pgSz w:w="12240" w:h="15840"/>
      <w:pgMar w:top="1440" w:right="1080" w:bottom="1440" w:left="1080" w:header="720" w:footer="7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ourceHanSansCN-Regular">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Style w:val="36"/>
                            </w:rPr>
                          </w:pPr>
                        </w:p>
                        <w:p>
                          <w:pPr>
                            <w:pStyle w:val="24"/>
                            <w:rPr>
                              <w:rStyle w:val="36"/>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4"/>
                      <w:rPr>
                        <w:rStyle w:val="36"/>
                      </w:rPr>
                    </w:pPr>
                  </w:p>
                  <w:p>
                    <w:pPr>
                      <w:pStyle w:val="24"/>
                      <w:rPr>
                        <w:rStyle w:val="36"/>
                      </w:rPr>
                    </w:pP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fldChar w:fldCharType="begin"/>
    </w:r>
    <w:r>
      <w:rPr>
        <w:rStyle w:val="36"/>
      </w:rPr>
      <w:instrText xml:space="preserve">PAGE  </w:instrText>
    </w:r>
    <w:r>
      <w:fldChar w:fldCharType="separate"/>
    </w:r>
    <w:r>
      <w:rPr>
        <w:rStyle w:val="36"/>
      </w:rPr>
      <w:t>5</w: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536"/>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Style w:val="36"/>
                            </w:rPr>
                          </w:pPr>
                        </w:p>
                        <w:p>
                          <w:pPr>
                            <w:pStyle w:val="24"/>
                            <w:rPr>
                              <w:rStyle w:val="36"/>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24"/>
                      <w:rPr>
                        <w:rStyle w:val="36"/>
                      </w:rPr>
                    </w:pPr>
                  </w:p>
                  <w:p>
                    <w:pPr>
                      <w:pStyle w:val="24"/>
                      <w:rPr>
                        <w:rStyle w:val="36"/>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536"/>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24"/>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23</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Style w:val="36"/>
                            </w:rPr>
                          </w:pPr>
                        </w:p>
                        <w:p>
                          <w:pPr>
                            <w:pStyle w:val="24"/>
                            <w:rPr>
                              <w:rStyle w:val="36"/>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24"/>
                      <w:rPr>
                        <w:rStyle w:val="36"/>
                      </w:rPr>
                    </w:pPr>
                  </w:p>
                  <w:p>
                    <w:pPr>
                      <w:pStyle w:val="24"/>
                      <w:rPr>
                        <w:rStyle w:val="36"/>
                      </w:rPr>
                    </w:pP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pPr>
                          <w:r>
                            <w:fldChar w:fldCharType="begin"/>
                          </w:r>
                          <w:r>
                            <w:instrText xml:space="preserve">PAGE   \* MERGEFORMAT</w:instrText>
                          </w:r>
                          <w:r>
                            <w:fldChar w:fldCharType="separate"/>
                          </w:r>
                          <w:r>
                            <w:rPr>
                              <w:lang w:val="zh-CN"/>
                            </w:rP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p>
    <w:pPr>
      <w:pStyle w:val="2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7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431DB"/>
    <w:multiLevelType w:val="singleLevel"/>
    <w:tmpl w:val="882431DB"/>
    <w:lvl w:ilvl="0" w:tentative="0">
      <w:start w:val="1"/>
      <w:numFmt w:val="bullet"/>
      <w:pStyle w:val="11"/>
      <w:lvlText w:val=""/>
      <w:lvlJc w:val="left"/>
      <w:pPr>
        <w:tabs>
          <w:tab w:val="left" w:pos="1620"/>
        </w:tabs>
        <w:ind w:left="1620" w:hanging="360"/>
      </w:pPr>
      <w:rPr>
        <w:rFonts w:hint="default" w:ascii="Wingdings" w:hAnsi="Wingdings"/>
      </w:rPr>
    </w:lvl>
  </w:abstractNum>
  <w:abstractNum w:abstractNumId="1">
    <w:nsid w:val="BF6473BA"/>
    <w:multiLevelType w:val="singleLevel"/>
    <w:tmpl w:val="BF6473BA"/>
    <w:lvl w:ilvl="0" w:tentative="0">
      <w:start w:val="2"/>
      <w:numFmt w:val="decimal"/>
      <w:suff w:val="nothing"/>
      <w:lvlText w:val="%1、"/>
      <w:lvlJc w:val="left"/>
    </w:lvl>
  </w:abstractNum>
  <w:abstractNum w:abstractNumId="2">
    <w:nsid w:val="00000010"/>
    <w:multiLevelType w:val="multilevel"/>
    <w:tmpl w:val="0000001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D244112"/>
    <w:multiLevelType w:val="singleLevel"/>
    <w:tmpl w:val="0D244112"/>
    <w:lvl w:ilvl="0" w:tentative="0">
      <w:start w:val="6"/>
      <w:numFmt w:val="decimal"/>
      <w:suff w:val="nothing"/>
      <w:lvlText w:val="%1、"/>
      <w:lvlJc w:val="left"/>
      <w:rPr>
        <w:rFonts w:hint="default"/>
        <w:color w:val="auto"/>
      </w:rPr>
    </w:lvl>
  </w:abstractNum>
  <w:abstractNum w:abstractNumId="4">
    <w:nsid w:val="18AF5CC3"/>
    <w:multiLevelType w:val="singleLevel"/>
    <w:tmpl w:val="18AF5CC3"/>
    <w:lvl w:ilvl="0" w:tentative="0">
      <w:start w:val="2"/>
      <w:numFmt w:val="decimal"/>
      <w:suff w:val="nothing"/>
      <w:lvlText w:val="%1、"/>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ZWNmMDNlMjZkZjc1MzJjMDgxZWY5N2FkMzhjYWIifQ=="/>
  </w:docVars>
  <w:rsids>
    <w:rsidRoot w:val="00AD57DA"/>
    <w:rsid w:val="00001066"/>
    <w:rsid w:val="00003BA7"/>
    <w:rsid w:val="0000428E"/>
    <w:rsid w:val="00005FF0"/>
    <w:rsid w:val="0001017B"/>
    <w:rsid w:val="0001032B"/>
    <w:rsid w:val="000127E0"/>
    <w:rsid w:val="00012CAB"/>
    <w:rsid w:val="0001392C"/>
    <w:rsid w:val="000142C0"/>
    <w:rsid w:val="00014D26"/>
    <w:rsid w:val="00016402"/>
    <w:rsid w:val="00016CE8"/>
    <w:rsid w:val="00016FEC"/>
    <w:rsid w:val="00020341"/>
    <w:rsid w:val="00020CF1"/>
    <w:rsid w:val="000210AE"/>
    <w:rsid w:val="000244B3"/>
    <w:rsid w:val="00027E61"/>
    <w:rsid w:val="000328F8"/>
    <w:rsid w:val="00032BC1"/>
    <w:rsid w:val="0003538A"/>
    <w:rsid w:val="000369B0"/>
    <w:rsid w:val="000372BC"/>
    <w:rsid w:val="000407F7"/>
    <w:rsid w:val="000409F3"/>
    <w:rsid w:val="000413BE"/>
    <w:rsid w:val="00042008"/>
    <w:rsid w:val="00044012"/>
    <w:rsid w:val="0004416C"/>
    <w:rsid w:val="00044308"/>
    <w:rsid w:val="00044578"/>
    <w:rsid w:val="00045C03"/>
    <w:rsid w:val="00046A2F"/>
    <w:rsid w:val="00047BD3"/>
    <w:rsid w:val="00050143"/>
    <w:rsid w:val="00051426"/>
    <w:rsid w:val="0005364B"/>
    <w:rsid w:val="000542EC"/>
    <w:rsid w:val="00054590"/>
    <w:rsid w:val="00054821"/>
    <w:rsid w:val="00055598"/>
    <w:rsid w:val="000611CE"/>
    <w:rsid w:val="00061909"/>
    <w:rsid w:val="00063120"/>
    <w:rsid w:val="00063E05"/>
    <w:rsid w:val="000642EB"/>
    <w:rsid w:val="00065A20"/>
    <w:rsid w:val="00066A87"/>
    <w:rsid w:val="00067E38"/>
    <w:rsid w:val="00073239"/>
    <w:rsid w:val="00081CF6"/>
    <w:rsid w:val="00083CC3"/>
    <w:rsid w:val="000853D2"/>
    <w:rsid w:val="000922C1"/>
    <w:rsid w:val="0009272A"/>
    <w:rsid w:val="0009334C"/>
    <w:rsid w:val="00094EB8"/>
    <w:rsid w:val="000966CA"/>
    <w:rsid w:val="00096891"/>
    <w:rsid w:val="000A09A7"/>
    <w:rsid w:val="000A22ED"/>
    <w:rsid w:val="000A388C"/>
    <w:rsid w:val="000A4972"/>
    <w:rsid w:val="000A553B"/>
    <w:rsid w:val="000B129B"/>
    <w:rsid w:val="000B3118"/>
    <w:rsid w:val="000B360E"/>
    <w:rsid w:val="000B3B1B"/>
    <w:rsid w:val="000B448D"/>
    <w:rsid w:val="000B5027"/>
    <w:rsid w:val="000B50CC"/>
    <w:rsid w:val="000B6CDF"/>
    <w:rsid w:val="000C02CF"/>
    <w:rsid w:val="000C09BE"/>
    <w:rsid w:val="000C0B54"/>
    <w:rsid w:val="000C13A5"/>
    <w:rsid w:val="000C27BF"/>
    <w:rsid w:val="000C35DC"/>
    <w:rsid w:val="000C35EB"/>
    <w:rsid w:val="000C491C"/>
    <w:rsid w:val="000C7AF9"/>
    <w:rsid w:val="000D325F"/>
    <w:rsid w:val="000D391C"/>
    <w:rsid w:val="000D3F84"/>
    <w:rsid w:val="000D4DE1"/>
    <w:rsid w:val="000D560A"/>
    <w:rsid w:val="000D5980"/>
    <w:rsid w:val="000D5B26"/>
    <w:rsid w:val="000D5F2E"/>
    <w:rsid w:val="000D6D11"/>
    <w:rsid w:val="000E496B"/>
    <w:rsid w:val="000E6765"/>
    <w:rsid w:val="000E7B1F"/>
    <w:rsid w:val="000E7D6D"/>
    <w:rsid w:val="000F1948"/>
    <w:rsid w:val="000F3D6C"/>
    <w:rsid w:val="000F4448"/>
    <w:rsid w:val="000F67A7"/>
    <w:rsid w:val="000F791B"/>
    <w:rsid w:val="00102537"/>
    <w:rsid w:val="001038D5"/>
    <w:rsid w:val="00105CD0"/>
    <w:rsid w:val="00110F8A"/>
    <w:rsid w:val="00112037"/>
    <w:rsid w:val="00113DCA"/>
    <w:rsid w:val="001152B6"/>
    <w:rsid w:val="00116106"/>
    <w:rsid w:val="00116E6F"/>
    <w:rsid w:val="00120131"/>
    <w:rsid w:val="00121C4E"/>
    <w:rsid w:val="00122B0E"/>
    <w:rsid w:val="00124B62"/>
    <w:rsid w:val="001254C1"/>
    <w:rsid w:val="00125BA1"/>
    <w:rsid w:val="0012604B"/>
    <w:rsid w:val="00126556"/>
    <w:rsid w:val="00127527"/>
    <w:rsid w:val="0012779A"/>
    <w:rsid w:val="00127A53"/>
    <w:rsid w:val="001317E5"/>
    <w:rsid w:val="00132D98"/>
    <w:rsid w:val="0013394E"/>
    <w:rsid w:val="00141C37"/>
    <w:rsid w:val="00142390"/>
    <w:rsid w:val="00143CDA"/>
    <w:rsid w:val="001452A1"/>
    <w:rsid w:val="001463B8"/>
    <w:rsid w:val="001477F1"/>
    <w:rsid w:val="00147803"/>
    <w:rsid w:val="00152847"/>
    <w:rsid w:val="00152BB8"/>
    <w:rsid w:val="001532EC"/>
    <w:rsid w:val="0015526D"/>
    <w:rsid w:val="00157111"/>
    <w:rsid w:val="00157D90"/>
    <w:rsid w:val="0016006C"/>
    <w:rsid w:val="001614D9"/>
    <w:rsid w:val="001627A8"/>
    <w:rsid w:val="00163F5C"/>
    <w:rsid w:val="00165877"/>
    <w:rsid w:val="00167685"/>
    <w:rsid w:val="0016774B"/>
    <w:rsid w:val="00171AD2"/>
    <w:rsid w:val="00171F94"/>
    <w:rsid w:val="0017390E"/>
    <w:rsid w:val="00175604"/>
    <w:rsid w:val="00175753"/>
    <w:rsid w:val="00180B1C"/>
    <w:rsid w:val="00184CD1"/>
    <w:rsid w:val="0019018B"/>
    <w:rsid w:val="001930D7"/>
    <w:rsid w:val="00194EED"/>
    <w:rsid w:val="00195AE0"/>
    <w:rsid w:val="00196116"/>
    <w:rsid w:val="001968FA"/>
    <w:rsid w:val="0019796D"/>
    <w:rsid w:val="001A0127"/>
    <w:rsid w:val="001A1775"/>
    <w:rsid w:val="001A1A56"/>
    <w:rsid w:val="001A2245"/>
    <w:rsid w:val="001A4716"/>
    <w:rsid w:val="001A7997"/>
    <w:rsid w:val="001B28BC"/>
    <w:rsid w:val="001B404B"/>
    <w:rsid w:val="001B7C3B"/>
    <w:rsid w:val="001C04AD"/>
    <w:rsid w:val="001C1113"/>
    <w:rsid w:val="001C120A"/>
    <w:rsid w:val="001C6987"/>
    <w:rsid w:val="001C76EA"/>
    <w:rsid w:val="001D052C"/>
    <w:rsid w:val="001D07BC"/>
    <w:rsid w:val="001D1AF3"/>
    <w:rsid w:val="001D75AD"/>
    <w:rsid w:val="001E08B5"/>
    <w:rsid w:val="001E1320"/>
    <w:rsid w:val="001E1886"/>
    <w:rsid w:val="001E58E8"/>
    <w:rsid w:val="001E5A91"/>
    <w:rsid w:val="001E6B7A"/>
    <w:rsid w:val="001E7758"/>
    <w:rsid w:val="001F3ACA"/>
    <w:rsid w:val="001F3E07"/>
    <w:rsid w:val="001F4155"/>
    <w:rsid w:val="001F4501"/>
    <w:rsid w:val="001F47BA"/>
    <w:rsid w:val="00200370"/>
    <w:rsid w:val="00200712"/>
    <w:rsid w:val="0020094C"/>
    <w:rsid w:val="00204232"/>
    <w:rsid w:val="00204415"/>
    <w:rsid w:val="00204F45"/>
    <w:rsid w:val="00206274"/>
    <w:rsid w:val="002107D4"/>
    <w:rsid w:val="00211738"/>
    <w:rsid w:val="00211F5B"/>
    <w:rsid w:val="002128DB"/>
    <w:rsid w:val="00212B70"/>
    <w:rsid w:val="002133FF"/>
    <w:rsid w:val="0021351C"/>
    <w:rsid w:val="00214EB9"/>
    <w:rsid w:val="00217626"/>
    <w:rsid w:val="00220025"/>
    <w:rsid w:val="0022122B"/>
    <w:rsid w:val="00224279"/>
    <w:rsid w:val="002266E9"/>
    <w:rsid w:val="00227E04"/>
    <w:rsid w:val="00230615"/>
    <w:rsid w:val="0023237B"/>
    <w:rsid w:val="002326C4"/>
    <w:rsid w:val="002333EA"/>
    <w:rsid w:val="00233A24"/>
    <w:rsid w:val="002359C9"/>
    <w:rsid w:val="002405C6"/>
    <w:rsid w:val="00240975"/>
    <w:rsid w:val="00240D18"/>
    <w:rsid w:val="00244169"/>
    <w:rsid w:val="00246BDE"/>
    <w:rsid w:val="002472B2"/>
    <w:rsid w:val="00251D59"/>
    <w:rsid w:val="00252741"/>
    <w:rsid w:val="00252D73"/>
    <w:rsid w:val="00253E8E"/>
    <w:rsid w:val="00254039"/>
    <w:rsid w:val="00254D59"/>
    <w:rsid w:val="002555A7"/>
    <w:rsid w:val="00256292"/>
    <w:rsid w:val="002570F8"/>
    <w:rsid w:val="00257A11"/>
    <w:rsid w:val="00257CFD"/>
    <w:rsid w:val="002607A7"/>
    <w:rsid w:val="0026241E"/>
    <w:rsid w:val="002654F7"/>
    <w:rsid w:val="002700C8"/>
    <w:rsid w:val="00271F21"/>
    <w:rsid w:val="002745F2"/>
    <w:rsid w:val="00274E65"/>
    <w:rsid w:val="002752F8"/>
    <w:rsid w:val="00276798"/>
    <w:rsid w:val="00282578"/>
    <w:rsid w:val="00282944"/>
    <w:rsid w:val="00282B0F"/>
    <w:rsid w:val="00282DDD"/>
    <w:rsid w:val="00285B85"/>
    <w:rsid w:val="0028606D"/>
    <w:rsid w:val="00290DF5"/>
    <w:rsid w:val="00291CF7"/>
    <w:rsid w:val="00296F5D"/>
    <w:rsid w:val="002A008C"/>
    <w:rsid w:val="002A3793"/>
    <w:rsid w:val="002A3BE5"/>
    <w:rsid w:val="002A4681"/>
    <w:rsid w:val="002A4A03"/>
    <w:rsid w:val="002A5267"/>
    <w:rsid w:val="002A58F6"/>
    <w:rsid w:val="002A5CDE"/>
    <w:rsid w:val="002A5FA1"/>
    <w:rsid w:val="002A6F30"/>
    <w:rsid w:val="002A7575"/>
    <w:rsid w:val="002B1233"/>
    <w:rsid w:val="002B12B8"/>
    <w:rsid w:val="002B2936"/>
    <w:rsid w:val="002B3FB6"/>
    <w:rsid w:val="002B4626"/>
    <w:rsid w:val="002B4B8E"/>
    <w:rsid w:val="002B6DB6"/>
    <w:rsid w:val="002C2F07"/>
    <w:rsid w:val="002C316C"/>
    <w:rsid w:val="002C52B2"/>
    <w:rsid w:val="002C68FF"/>
    <w:rsid w:val="002C71A7"/>
    <w:rsid w:val="002D01A5"/>
    <w:rsid w:val="002D1065"/>
    <w:rsid w:val="002D23D5"/>
    <w:rsid w:val="002D2742"/>
    <w:rsid w:val="002D44EF"/>
    <w:rsid w:val="002D5716"/>
    <w:rsid w:val="002D5E71"/>
    <w:rsid w:val="002D6C49"/>
    <w:rsid w:val="002E32E7"/>
    <w:rsid w:val="002E4401"/>
    <w:rsid w:val="002E58FC"/>
    <w:rsid w:val="002E6AD3"/>
    <w:rsid w:val="002F0CB5"/>
    <w:rsid w:val="002F1456"/>
    <w:rsid w:val="002F1D1A"/>
    <w:rsid w:val="002F351E"/>
    <w:rsid w:val="002F3FA6"/>
    <w:rsid w:val="002F50EF"/>
    <w:rsid w:val="002F6AC6"/>
    <w:rsid w:val="002F6B64"/>
    <w:rsid w:val="002F6C0A"/>
    <w:rsid w:val="002F729C"/>
    <w:rsid w:val="00300666"/>
    <w:rsid w:val="00302576"/>
    <w:rsid w:val="003039D9"/>
    <w:rsid w:val="00303D05"/>
    <w:rsid w:val="00303F39"/>
    <w:rsid w:val="00304C64"/>
    <w:rsid w:val="0030638D"/>
    <w:rsid w:val="0031177C"/>
    <w:rsid w:val="00311C92"/>
    <w:rsid w:val="003135CF"/>
    <w:rsid w:val="00317407"/>
    <w:rsid w:val="00317FF6"/>
    <w:rsid w:val="003215D2"/>
    <w:rsid w:val="00322EEC"/>
    <w:rsid w:val="00324E52"/>
    <w:rsid w:val="00325A43"/>
    <w:rsid w:val="00326F52"/>
    <w:rsid w:val="00327B96"/>
    <w:rsid w:val="00327ECB"/>
    <w:rsid w:val="00330FB1"/>
    <w:rsid w:val="00331C0E"/>
    <w:rsid w:val="00333CBF"/>
    <w:rsid w:val="0033664C"/>
    <w:rsid w:val="00341A56"/>
    <w:rsid w:val="0034226E"/>
    <w:rsid w:val="00342C64"/>
    <w:rsid w:val="00342E95"/>
    <w:rsid w:val="00343EC2"/>
    <w:rsid w:val="003461F8"/>
    <w:rsid w:val="00346EC4"/>
    <w:rsid w:val="00347D93"/>
    <w:rsid w:val="0035474D"/>
    <w:rsid w:val="003553DF"/>
    <w:rsid w:val="0035615D"/>
    <w:rsid w:val="00356AB4"/>
    <w:rsid w:val="0036016C"/>
    <w:rsid w:val="0036119B"/>
    <w:rsid w:val="00361381"/>
    <w:rsid w:val="00361E5D"/>
    <w:rsid w:val="00362DD1"/>
    <w:rsid w:val="00363100"/>
    <w:rsid w:val="003671A5"/>
    <w:rsid w:val="00367BE2"/>
    <w:rsid w:val="00370AA4"/>
    <w:rsid w:val="00371361"/>
    <w:rsid w:val="00371751"/>
    <w:rsid w:val="00371D73"/>
    <w:rsid w:val="0037282A"/>
    <w:rsid w:val="003736E1"/>
    <w:rsid w:val="0037372A"/>
    <w:rsid w:val="003752C8"/>
    <w:rsid w:val="00375749"/>
    <w:rsid w:val="00375B18"/>
    <w:rsid w:val="00381D41"/>
    <w:rsid w:val="00382D7E"/>
    <w:rsid w:val="003876DC"/>
    <w:rsid w:val="00387B93"/>
    <w:rsid w:val="003923ED"/>
    <w:rsid w:val="00393222"/>
    <w:rsid w:val="00393A05"/>
    <w:rsid w:val="003940F8"/>
    <w:rsid w:val="00396E77"/>
    <w:rsid w:val="003A0C44"/>
    <w:rsid w:val="003A2C9E"/>
    <w:rsid w:val="003A3E88"/>
    <w:rsid w:val="003A58E2"/>
    <w:rsid w:val="003A5C75"/>
    <w:rsid w:val="003A7A9F"/>
    <w:rsid w:val="003B1DD5"/>
    <w:rsid w:val="003B2B6F"/>
    <w:rsid w:val="003B399E"/>
    <w:rsid w:val="003B425C"/>
    <w:rsid w:val="003B5168"/>
    <w:rsid w:val="003B58AC"/>
    <w:rsid w:val="003B5DC8"/>
    <w:rsid w:val="003B6769"/>
    <w:rsid w:val="003B78B8"/>
    <w:rsid w:val="003C50EA"/>
    <w:rsid w:val="003C76AA"/>
    <w:rsid w:val="003C77DB"/>
    <w:rsid w:val="003C7C4B"/>
    <w:rsid w:val="003D22B6"/>
    <w:rsid w:val="003D4133"/>
    <w:rsid w:val="003D4156"/>
    <w:rsid w:val="003E1113"/>
    <w:rsid w:val="003E1177"/>
    <w:rsid w:val="003E32E2"/>
    <w:rsid w:val="003E7CEE"/>
    <w:rsid w:val="003F0352"/>
    <w:rsid w:val="003F0FE7"/>
    <w:rsid w:val="003F25E3"/>
    <w:rsid w:val="003F3BE2"/>
    <w:rsid w:val="003F3D3F"/>
    <w:rsid w:val="003F495C"/>
    <w:rsid w:val="00401193"/>
    <w:rsid w:val="004019A5"/>
    <w:rsid w:val="00403E7D"/>
    <w:rsid w:val="00406C0A"/>
    <w:rsid w:val="00412666"/>
    <w:rsid w:val="00413657"/>
    <w:rsid w:val="004140CC"/>
    <w:rsid w:val="00415D61"/>
    <w:rsid w:val="004163F2"/>
    <w:rsid w:val="00416961"/>
    <w:rsid w:val="004176B7"/>
    <w:rsid w:val="00420200"/>
    <w:rsid w:val="00421005"/>
    <w:rsid w:val="00421E96"/>
    <w:rsid w:val="00421EDF"/>
    <w:rsid w:val="00424FC9"/>
    <w:rsid w:val="004300A3"/>
    <w:rsid w:val="004330BE"/>
    <w:rsid w:val="004410CF"/>
    <w:rsid w:val="00442785"/>
    <w:rsid w:val="00444546"/>
    <w:rsid w:val="004450B8"/>
    <w:rsid w:val="004477B2"/>
    <w:rsid w:val="004478D2"/>
    <w:rsid w:val="00447CF9"/>
    <w:rsid w:val="00447EB5"/>
    <w:rsid w:val="00450BFA"/>
    <w:rsid w:val="004537C4"/>
    <w:rsid w:val="00455381"/>
    <w:rsid w:val="00455C1B"/>
    <w:rsid w:val="00457984"/>
    <w:rsid w:val="004600AC"/>
    <w:rsid w:val="0046375D"/>
    <w:rsid w:val="00463F1E"/>
    <w:rsid w:val="004641BE"/>
    <w:rsid w:val="00465F20"/>
    <w:rsid w:val="004665EF"/>
    <w:rsid w:val="004674E7"/>
    <w:rsid w:val="0047109E"/>
    <w:rsid w:val="00472D48"/>
    <w:rsid w:val="00473EC2"/>
    <w:rsid w:val="00474EED"/>
    <w:rsid w:val="004750A0"/>
    <w:rsid w:val="004754F8"/>
    <w:rsid w:val="0047578F"/>
    <w:rsid w:val="00475EC5"/>
    <w:rsid w:val="00475F11"/>
    <w:rsid w:val="004767D8"/>
    <w:rsid w:val="00476F72"/>
    <w:rsid w:val="004770B6"/>
    <w:rsid w:val="004774F5"/>
    <w:rsid w:val="0048063F"/>
    <w:rsid w:val="00480A25"/>
    <w:rsid w:val="00481FD3"/>
    <w:rsid w:val="00482182"/>
    <w:rsid w:val="0048450E"/>
    <w:rsid w:val="00484C86"/>
    <w:rsid w:val="00484CA2"/>
    <w:rsid w:val="00485F39"/>
    <w:rsid w:val="00486DE5"/>
    <w:rsid w:val="00486DF9"/>
    <w:rsid w:val="0048762D"/>
    <w:rsid w:val="004903F1"/>
    <w:rsid w:val="0049415F"/>
    <w:rsid w:val="00494A62"/>
    <w:rsid w:val="00494EE8"/>
    <w:rsid w:val="004962A2"/>
    <w:rsid w:val="00497DEA"/>
    <w:rsid w:val="004A00EF"/>
    <w:rsid w:val="004A0754"/>
    <w:rsid w:val="004A2716"/>
    <w:rsid w:val="004A316F"/>
    <w:rsid w:val="004A3E97"/>
    <w:rsid w:val="004A78DD"/>
    <w:rsid w:val="004A7B4D"/>
    <w:rsid w:val="004B0CD5"/>
    <w:rsid w:val="004B234C"/>
    <w:rsid w:val="004B591A"/>
    <w:rsid w:val="004B647B"/>
    <w:rsid w:val="004B6D7D"/>
    <w:rsid w:val="004C03E1"/>
    <w:rsid w:val="004C0A37"/>
    <w:rsid w:val="004C57EB"/>
    <w:rsid w:val="004D15E0"/>
    <w:rsid w:val="004D1663"/>
    <w:rsid w:val="004D19D3"/>
    <w:rsid w:val="004D4403"/>
    <w:rsid w:val="004D47AE"/>
    <w:rsid w:val="004D4FAC"/>
    <w:rsid w:val="004E383D"/>
    <w:rsid w:val="004F227B"/>
    <w:rsid w:val="004F564B"/>
    <w:rsid w:val="004F71D3"/>
    <w:rsid w:val="00501CE3"/>
    <w:rsid w:val="005026B6"/>
    <w:rsid w:val="00502E07"/>
    <w:rsid w:val="00506D2F"/>
    <w:rsid w:val="005108FC"/>
    <w:rsid w:val="00510961"/>
    <w:rsid w:val="00513510"/>
    <w:rsid w:val="005149B6"/>
    <w:rsid w:val="00514DC3"/>
    <w:rsid w:val="00515E9F"/>
    <w:rsid w:val="00515F7F"/>
    <w:rsid w:val="00516376"/>
    <w:rsid w:val="00521D15"/>
    <w:rsid w:val="00530CC6"/>
    <w:rsid w:val="00532F6E"/>
    <w:rsid w:val="00533943"/>
    <w:rsid w:val="00533B5A"/>
    <w:rsid w:val="00533C89"/>
    <w:rsid w:val="00534A5F"/>
    <w:rsid w:val="00535D0B"/>
    <w:rsid w:val="00535E06"/>
    <w:rsid w:val="005364F1"/>
    <w:rsid w:val="005419CE"/>
    <w:rsid w:val="00541E81"/>
    <w:rsid w:val="00543566"/>
    <w:rsid w:val="00544BD4"/>
    <w:rsid w:val="005500F5"/>
    <w:rsid w:val="005507EA"/>
    <w:rsid w:val="00550D22"/>
    <w:rsid w:val="00551D1D"/>
    <w:rsid w:val="00552D60"/>
    <w:rsid w:val="00556E85"/>
    <w:rsid w:val="00557A7D"/>
    <w:rsid w:val="005603D2"/>
    <w:rsid w:val="00562A20"/>
    <w:rsid w:val="00563562"/>
    <w:rsid w:val="0056464F"/>
    <w:rsid w:val="00565517"/>
    <w:rsid w:val="00565D21"/>
    <w:rsid w:val="00572593"/>
    <w:rsid w:val="00573731"/>
    <w:rsid w:val="00576F14"/>
    <w:rsid w:val="005812A4"/>
    <w:rsid w:val="00581E12"/>
    <w:rsid w:val="00583391"/>
    <w:rsid w:val="005860C7"/>
    <w:rsid w:val="00590983"/>
    <w:rsid w:val="00591B82"/>
    <w:rsid w:val="00592D80"/>
    <w:rsid w:val="005957EE"/>
    <w:rsid w:val="005958AA"/>
    <w:rsid w:val="00596401"/>
    <w:rsid w:val="0059658F"/>
    <w:rsid w:val="0059719A"/>
    <w:rsid w:val="005A00BD"/>
    <w:rsid w:val="005A0B90"/>
    <w:rsid w:val="005A18F5"/>
    <w:rsid w:val="005A27B3"/>
    <w:rsid w:val="005A3337"/>
    <w:rsid w:val="005A350E"/>
    <w:rsid w:val="005A3DA4"/>
    <w:rsid w:val="005A3F97"/>
    <w:rsid w:val="005B0088"/>
    <w:rsid w:val="005B1CB9"/>
    <w:rsid w:val="005B2DD2"/>
    <w:rsid w:val="005B4CF2"/>
    <w:rsid w:val="005B4EF3"/>
    <w:rsid w:val="005B7D5E"/>
    <w:rsid w:val="005C06BA"/>
    <w:rsid w:val="005C2748"/>
    <w:rsid w:val="005C4A29"/>
    <w:rsid w:val="005C5F8C"/>
    <w:rsid w:val="005C6B37"/>
    <w:rsid w:val="005D071C"/>
    <w:rsid w:val="005D13BF"/>
    <w:rsid w:val="005D23DA"/>
    <w:rsid w:val="005D597A"/>
    <w:rsid w:val="005D70F2"/>
    <w:rsid w:val="005E1348"/>
    <w:rsid w:val="005E1F0E"/>
    <w:rsid w:val="005E20B5"/>
    <w:rsid w:val="005E2A9F"/>
    <w:rsid w:val="005E4108"/>
    <w:rsid w:val="005E66FF"/>
    <w:rsid w:val="005F0EBD"/>
    <w:rsid w:val="005F21C2"/>
    <w:rsid w:val="005F2B3F"/>
    <w:rsid w:val="005F3491"/>
    <w:rsid w:val="005F5981"/>
    <w:rsid w:val="005F649E"/>
    <w:rsid w:val="005F7086"/>
    <w:rsid w:val="005F7DF1"/>
    <w:rsid w:val="0060115D"/>
    <w:rsid w:val="0060223D"/>
    <w:rsid w:val="0060515D"/>
    <w:rsid w:val="006051EE"/>
    <w:rsid w:val="00605BD0"/>
    <w:rsid w:val="00606F87"/>
    <w:rsid w:val="0060739C"/>
    <w:rsid w:val="0061734A"/>
    <w:rsid w:val="00621A8F"/>
    <w:rsid w:val="006241DD"/>
    <w:rsid w:val="0062537D"/>
    <w:rsid w:val="00625653"/>
    <w:rsid w:val="00630C6B"/>
    <w:rsid w:val="0063225C"/>
    <w:rsid w:val="00632E29"/>
    <w:rsid w:val="00632FCA"/>
    <w:rsid w:val="00633ED6"/>
    <w:rsid w:val="00634A44"/>
    <w:rsid w:val="006361DE"/>
    <w:rsid w:val="00637B07"/>
    <w:rsid w:val="00640173"/>
    <w:rsid w:val="0064060B"/>
    <w:rsid w:val="00640CD9"/>
    <w:rsid w:val="0064230D"/>
    <w:rsid w:val="006431FA"/>
    <w:rsid w:val="0065225C"/>
    <w:rsid w:val="00652A1C"/>
    <w:rsid w:val="00660506"/>
    <w:rsid w:val="0066144B"/>
    <w:rsid w:val="00661C9D"/>
    <w:rsid w:val="00662C1C"/>
    <w:rsid w:val="00662CF5"/>
    <w:rsid w:val="00665BB9"/>
    <w:rsid w:val="00670528"/>
    <w:rsid w:val="006731EF"/>
    <w:rsid w:val="00674ABE"/>
    <w:rsid w:val="006761B8"/>
    <w:rsid w:val="00677914"/>
    <w:rsid w:val="00677AF5"/>
    <w:rsid w:val="00680E91"/>
    <w:rsid w:val="0068165B"/>
    <w:rsid w:val="00682797"/>
    <w:rsid w:val="00682CA3"/>
    <w:rsid w:val="00683318"/>
    <w:rsid w:val="006860A9"/>
    <w:rsid w:val="00690C5B"/>
    <w:rsid w:val="00691DE9"/>
    <w:rsid w:val="006936A9"/>
    <w:rsid w:val="006957B7"/>
    <w:rsid w:val="006963D1"/>
    <w:rsid w:val="006A27C3"/>
    <w:rsid w:val="006A2E03"/>
    <w:rsid w:val="006A3EB6"/>
    <w:rsid w:val="006A4C47"/>
    <w:rsid w:val="006A5854"/>
    <w:rsid w:val="006A59CE"/>
    <w:rsid w:val="006B319C"/>
    <w:rsid w:val="006B3F61"/>
    <w:rsid w:val="006B575C"/>
    <w:rsid w:val="006C196B"/>
    <w:rsid w:val="006C3AC6"/>
    <w:rsid w:val="006C4371"/>
    <w:rsid w:val="006C4ED1"/>
    <w:rsid w:val="006C506C"/>
    <w:rsid w:val="006C5626"/>
    <w:rsid w:val="006C67A2"/>
    <w:rsid w:val="006C7C5C"/>
    <w:rsid w:val="006D0FAA"/>
    <w:rsid w:val="006D302D"/>
    <w:rsid w:val="006D30EC"/>
    <w:rsid w:val="006D493E"/>
    <w:rsid w:val="006D5605"/>
    <w:rsid w:val="006D5D60"/>
    <w:rsid w:val="006D6AF2"/>
    <w:rsid w:val="006D6CC2"/>
    <w:rsid w:val="006E30AF"/>
    <w:rsid w:val="006F1387"/>
    <w:rsid w:val="006F3B4D"/>
    <w:rsid w:val="006F478C"/>
    <w:rsid w:val="006F5B57"/>
    <w:rsid w:val="006F70CB"/>
    <w:rsid w:val="00703422"/>
    <w:rsid w:val="007036E9"/>
    <w:rsid w:val="00704B99"/>
    <w:rsid w:val="007052D0"/>
    <w:rsid w:val="00707297"/>
    <w:rsid w:val="00712E3A"/>
    <w:rsid w:val="00713679"/>
    <w:rsid w:val="00713D8D"/>
    <w:rsid w:val="00715D47"/>
    <w:rsid w:val="00716636"/>
    <w:rsid w:val="00716C64"/>
    <w:rsid w:val="00716E80"/>
    <w:rsid w:val="00720746"/>
    <w:rsid w:val="00720DF7"/>
    <w:rsid w:val="007220EB"/>
    <w:rsid w:val="0072383F"/>
    <w:rsid w:val="00723C45"/>
    <w:rsid w:val="0072547F"/>
    <w:rsid w:val="00725C1E"/>
    <w:rsid w:val="00727643"/>
    <w:rsid w:val="00730A2C"/>
    <w:rsid w:val="00731D52"/>
    <w:rsid w:val="00733214"/>
    <w:rsid w:val="00735BED"/>
    <w:rsid w:val="00737436"/>
    <w:rsid w:val="007374C9"/>
    <w:rsid w:val="00737751"/>
    <w:rsid w:val="00737913"/>
    <w:rsid w:val="00737BF8"/>
    <w:rsid w:val="007400FC"/>
    <w:rsid w:val="00742F30"/>
    <w:rsid w:val="0074589C"/>
    <w:rsid w:val="00746200"/>
    <w:rsid w:val="0074734D"/>
    <w:rsid w:val="00750C7F"/>
    <w:rsid w:val="0075238A"/>
    <w:rsid w:val="00752667"/>
    <w:rsid w:val="00752A08"/>
    <w:rsid w:val="00753D5B"/>
    <w:rsid w:val="00753F55"/>
    <w:rsid w:val="00755A07"/>
    <w:rsid w:val="0075667E"/>
    <w:rsid w:val="00757887"/>
    <w:rsid w:val="007604C2"/>
    <w:rsid w:val="00760706"/>
    <w:rsid w:val="00761145"/>
    <w:rsid w:val="007619D0"/>
    <w:rsid w:val="0076457E"/>
    <w:rsid w:val="00764D5D"/>
    <w:rsid w:val="00764D6D"/>
    <w:rsid w:val="00765DB4"/>
    <w:rsid w:val="0076635D"/>
    <w:rsid w:val="00770848"/>
    <w:rsid w:val="0077147E"/>
    <w:rsid w:val="007717BD"/>
    <w:rsid w:val="00774464"/>
    <w:rsid w:val="007746FF"/>
    <w:rsid w:val="00775E6E"/>
    <w:rsid w:val="0077786C"/>
    <w:rsid w:val="00780711"/>
    <w:rsid w:val="0078225B"/>
    <w:rsid w:val="00782D44"/>
    <w:rsid w:val="00783F3E"/>
    <w:rsid w:val="007843E8"/>
    <w:rsid w:val="00784712"/>
    <w:rsid w:val="00784B69"/>
    <w:rsid w:val="00784D2F"/>
    <w:rsid w:val="00785073"/>
    <w:rsid w:val="007867E7"/>
    <w:rsid w:val="00790AF1"/>
    <w:rsid w:val="00797F76"/>
    <w:rsid w:val="007A0847"/>
    <w:rsid w:val="007A2DB9"/>
    <w:rsid w:val="007A4B9E"/>
    <w:rsid w:val="007A51B4"/>
    <w:rsid w:val="007A778B"/>
    <w:rsid w:val="007A7F63"/>
    <w:rsid w:val="007B06A8"/>
    <w:rsid w:val="007B115A"/>
    <w:rsid w:val="007B221D"/>
    <w:rsid w:val="007B6A8F"/>
    <w:rsid w:val="007B7F18"/>
    <w:rsid w:val="007C2E10"/>
    <w:rsid w:val="007C7F24"/>
    <w:rsid w:val="007D036F"/>
    <w:rsid w:val="007D08EB"/>
    <w:rsid w:val="007D1362"/>
    <w:rsid w:val="007D17BB"/>
    <w:rsid w:val="007D5A76"/>
    <w:rsid w:val="007D60A8"/>
    <w:rsid w:val="007D62F3"/>
    <w:rsid w:val="007E075E"/>
    <w:rsid w:val="007E141A"/>
    <w:rsid w:val="007E14A4"/>
    <w:rsid w:val="007E1AFC"/>
    <w:rsid w:val="007E2656"/>
    <w:rsid w:val="007E3519"/>
    <w:rsid w:val="007E3706"/>
    <w:rsid w:val="007E37F3"/>
    <w:rsid w:val="007E5BBA"/>
    <w:rsid w:val="007E5C6A"/>
    <w:rsid w:val="007E76CE"/>
    <w:rsid w:val="007E7C01"/>
    <w:rsid w:val="007F2428"/>
    <w:rsid w:val="007F3AEC"/>
    <w:rsid w:val="007F5BAD"/>
    <w:rsid w:val="00800CEE"/>
    <w:rsid w:val="00801D86"/>
    <w:rsid w:val="00801E4A"/>
    <w:rsid w:val="00801F53"/>
    <w:rsid w:val="00804197"/>
    <w:rsid w:val="00804468"/>
    <w:rsid w:val="008066D9"/>
    <w:rsid w:val="00806C36"/>
    <w:rsid w:val="008112E7"/>
    <w:rsid w:val="00812F5E"/>
    <w:rsid w:val="00813619"/>
    <w:rsid w:val="00814796"/>
    <w:rsid w:val="00817421"/>
    <w:rsid w:val="0082023D"/>
    <w:rsid w:val="00822E2D"/>
    <w:rsid w:val="00825EE9"/>
    <w:rsid w:val="00826400"/>
    <w:rsid w:val="00830C95"/>
    <w:rsid w:val="008329CC"/>
    <w:rsid w:val="00833786"/>
    <w:rsid w:val="00833C92"/>
    <w:rsid w:val="00837036"/>
    <w:rsid w:val="00840DEC"/>
    <w:rsid w:val="00841532"/>
    <w:rsid w:val="00843355"/>
    <w:rsid w:val="00845DCE"/>
    <w:rsid w:val="00851F90"/>
    <w:rsid w:val="0085288F"/>
    <w:rsid w:val="008559BD"/>
    <w:rsid w:val="00857809"/>
    <w:rsid w:val="008604B9"/>
    <w:rsid w:val="00865473"/>
    <w:rsid w:val="00865B06"/>
    <w:rsid w:val="00866B31"/>
    <w:rsid w:val="008715D6"/>
    <w:rsid w:val="00872A9E"/>
    <w:rsid w:val="008746A5"/>
    <w:rsid w:val="008800A2"/>
    <w:rsid w:val="008809FD"/>
    <w:rsid w:val="00881381"/>
    <w:rsid w:val="00881C1B"/>
    <w:rsid w:val="00883A60"/>
    <w:rsid w:val="00884F9E"/>
    <w:rsid w:val="00885E89"/>
    <w:rsid w:val="00890A9F"/>
    <w:rsid w:val="00890C10"/>
    <w:rsid w:val="008933BD"/>
    <w:rsid w:val="00894C10"/>
    <w:rsid w:val="0089577F"/>
    <w:rsid w:val="00896D43"/>
    <w:rsid w:val="008A0775"/>
    <w:rsid w:val="008A2F2A"/>
    <w:rsid w:val="008A347B"/>
    <w:rsid w:val="008A34CE"/>
    <w:rsid w:val="008A511A"/>
    <w:rsid w:val="008A5361"/>
    <w:rsid w:val="008A7CA8"/>
    <w:rsid w:val="008B137B"/>
    <w:rsid w:val="008B138B"/>
    <w:rsid w:val="008B2598"/>
    <w:rsid w:val="008B4221"/>
    <w:rsid w:val="008B52BB"/>
    <w:rsid w:val="008B5539"/>
    <w:rsid w:val="008B5E61"/>
    <w:rsid w:val="008B61FA"/>
    <w:rsid w:val="008C33B3"/>
    <w:rsid w:val="008C34D4"/>
    <w:rsid w:val="008C5241"/>
    <w:rsid w:val="008C65A0"/>
    <w:rsid w:val="008D2802"/>
    <w:rsid w:val="008D3ADA"/>
    <w:rsid w:val="008E043E"/>
    <w:rsid w:val="008E0FAC"/>
    <w:rsid w:val="008E2A3A"/>
    <w:rsid w:val="008E2DF4"/>
    <w:rsid w:val="008E3CB2"/>
    <w:rsid w:val="008E4ED3"/>
    <w:rsid w:val="008E5B5C"/>
    <w:rsid w:val="008E7456"/>
    <w:rsid w:val="008F0D4D"/>
    <w:rsid w:val="008F1EC3"/>
    <w:rsid w:val="008F31C3"/>
    <w:rsid w:val="008F3D06"/>
    <w:rsid w:val="008F3D8E"/>
    <w:rsid w:val="008F621B"/>
    <w:rsid w:val="00902567"/>
    <w:rsid w:val="00904AB1"/>
    <w:rsid w:val="00904ECB"/>
    <w:rsid w:val="009057AE"/>
    <w:rsid w:val="00905926"/>
    <w:rsid w:val="00906C6E"/>
    <w:rsid w:val="00907393"/>
    <w:rsid w:val="009118F3"/>
    <w:rsid w:val="00912106"/>
    <w:rsid w:val="009123C6"/>
    <w:rsid w:val="00913B26"/>
    <w:rsid w:val="00914F6D"/>
    <w:rsid w:val="00915A59"/>
    <w:rsid w:val="00915AD7"/>
    <w:rsid w:val="009163A5"/>
    <w:rsid w:val="009235CB"/>
    <w:rsid w:val="00926803"/>
    <w:rsid w:val="009271FA"/>
    <w:rsid w:val="00930C1F"/>
    <w:rsid w:val="00932FDC"/>
    <w:rsid w:val="00933F44"/>
    <w:rsid w:val="00934335"/>
    <w:rsid w:val="009357CD"/>
    <w:rsid w:val="00937074"/>
    <w:rsid w:val="0093778B"/>
    <w:rsid w:val="00940D82"/>
    <w:rsid w:val="0094520E"/>
    <w:rsid w:val="0094533D"/>
    <w:rsid w:val="00946CB8"/>
    <w:rsid w:val="00946E1D"/>
    <w:rsid w:val="00950948"/>
    <w:rsid w:val="00952EED"/>
    <w:rsid w:val="009560B1"/>
    <w:rsid w:val="00956118"/>
    <w:rsid w:val="009568A6"/>
    <w:rsid w:val="00960381"/>
    <w:rsid w:val="00960B33"/>
    <w:rsid w:val="00961B6C"/>
    <w:rsid w:val="00964EC8"/>
    <w:rsid w:val="009676A2"/>
    <w:rsid w:val="00967794"/>
    <w:rsid w:val="00971CE2"/>
    <w:rsid w:val="00981B05"/>
    <w:rsid w:val="00981D0B"/>
    <w:rsid w:val="009820FB"/>
    <w:rsid w:val="00984AB7"/>
    <w:rsid w:val="00987C02"/>
    <w:rsid w:val="00990978"/>
    <w:rsid w:val="00993AE4"/>
    <w:rsid w:val="009946BF"/>
    <w:rsid w:val="00994EFE"/>
    <w:rsid w:val="00996619"/>
    <w:rsid w:val="009975AB"/>
    <w:rsid w:val="009A3EB5"/>
    <w:rsid w:val="009A7B14"/>
    <w:rsid w:val="009B0736"/>
    <w:rsid w:val="009B0EA4"/>
    <w:rsid w:val="009B3FCE"/>
    <w:rsid w:val="009B41C1"/>
    <w:rsid w:val="009B772B"/>
    <w:rsid w:val="009C2F91"/>
    <w:rsid w:val="009C417D"/>
    <w:rsid w:val="009C463B"/>
    <w:rsid w:val="009C54D2"/>
    <w:rsid w:val="009C7F2B"/>
    <w:rsid w:val="009D0013"/>
    <w:rsid w:val="009D06C7"/>
    <w:rsid w:val="009D0B98"/>
    <w:rsid w:val="009D1C4B"/>
    <w:rsid w:val="009D3BE1"/>
    <w:rsid w:val="009D45DB"/>
    <w:rsid w:val="009D6181"/>
    <w:rsid w:val="009D6991"/>
    <w:rsid w:val="009E3179"/>
    <w:rsid w:val="009E3D53"/>
    <w:rsid w:val="009E66CB"/>
    <w:rsid w:val="009F387C"/>
    <w:rsid w:val="009F5B6C"/>
    <w:rsid w:val="00A010D3"/>
    <w:rsid w:val="00A0171B"/>
    <w:rsid w:val="00A0292D"/>
    <w:rsid w:val="00A04BE8"/>
    <w:rsid w:val="00A0778B"/>
    <w:rsid w:val="00A111B7"/>
    <w:rsid w:val="00A11736"/>
    <w:rsid w:val="00A122CA"/>
    <w:rsid w:val="00A1595D"/>
    <w:rsid w:val="00A20905"/>
    <w:rsid w:val="00A20CF2"/>
    <w:rsid w:val="00A21183"/>
    <w:rsid w:val="00A23F77"/>
    <w:rsid w:val="00A242E7"/>
    <w:rsid w:val="00A24789"/>
    <w:rsid w:val="00A322E8"/>
    <w:rsid w:val="00A368FB"/>
    <w:rsid w:val="00A37667"/>
    <w:rsid w:val="00A376C1"/>
    <w:rsid w:val="00A40556"/>
    <w:rsid w:val="00A40C0C"/>
    <w:rsid w:val="00A41DCF"/>
    <w:rsid w:val="00A46C3C"/>
    <w:rsid w:val="00A46E41"/>
    <w:rsid w:val="00A46F21"/>
    <w:rsid w:val="00A47425"/>
    <w:rsid w:val="00A50383"/>
    <w:rsid w:val="00A51C36"/>
    <w:rsid w:val="00A5440F"/>
    <w:rsid w:val="00A55AFC"/>
    <w:rsid w:val="00A55B64"/>
    <w:rsid w:val="00A605DF"/>
    <w:rsid w:val="00A607B5"/>
    <w:rsid w:val="00A61DA0"/>
    <w:rsid w:val="00A63158"/>
    <w:rsid w:val="00A650B2"/>
    <w:rsid w:val="00A66A72"/>
    <w:rsid w:val="00A6706D"/>
    <w:rsid w:val="00A673D6"/>
    <w:rsid w:val="00A71888"/>
    <w:rsid w:val="00A725C6"/>
    <w:rsid w:val="00A72829"/>
    <w:rsid w:val="00A81ACE"/>
    <w:rsid w:val="00A84EB4"/>
    <w:rsid w:val="00A859DB"/>
    <w:rsid w:val="00A85F04"/>
    <w:rsid w:val="00A8697D"/>
    <w:rsid w:val="00A86A8D"/>
    <w:rsid w:val="00A87793"/>
    <w:rsid w:val="00A90E5F"/>
    <w:rsid w:val="00A91522"/>
    <w:rsid w:val="00A93D56"/>
    <w:rsid w:val="00A96899"/>
    <w:rsid w:val="00AA128F"/>
    <w:rsid w:val="00AA5049"/>
    <w:rsid w:val="00AA7C87"/>
    <w:rsid w:val="00AB35C0"/>
    <w:rsid w:val="00AB4EF4"/>
    <w:rsid w:val="00AB77DA"/>
    <w:rsid w:val="00AC001D"/>
    <w:rsid w:val="00AC02ED"/>
    <w:rsid w:val="00AC0787"/>
    <w:rsid w:val="00AC3528"/>
    <w:rsid w:val="00AC64F3"/>
    <w:rsid w:val="00AD01C1"/>
    <w:rsid w:val="00AD0233"/>
    <w:rsid w:val="00AD2678"/>
    <w:rsid w:val="00AD46CE"/>
    <w:rsid w:val="00AD57DA"/>
    <w:rsid w:val="00AD5926"/>
    <w:rsid w:val="00AD5AF1"/>
    <w:rsid w:val="00AD60C8"/>
    <w:rsid w:val="00AD6BC7"/>
    <w:rsid w:val="00AD7D64"/>
    <w:rsid w:val="00AE0525"/>
    <w:rsid w:val="00AE053E"/>
    <w:rsid w:val="00AE07DB"/>
    <w:rsid w:val="00AE0DAC"/>
    <w:rsid w:val="00AE22D8"/>
    <w:rsid w:val="00AE2325"/>
    <w:rsid w:val="00AE258B"/>
    <w:rsid w:val="00AF2B76"/>
    <w:rsid w:val="00AF3825"/>
    <w:rsid w:val="00AF6D11"/>
    <w:rsid w:val="00AF6FE8"/>
    <w:rsid w:val="00AF782D"/>
    <w:rsid w:val="00B004D3"/>
    <w:rsid w:val="00B0063B"/>
    <w:rsid w:val="00B00DA4"/>
    <w:rsid w:val="00B049B5"/>
    <w:rsid w:val="00B06372"/>
    <w:rsid w:val="00B06C40"/>
    <w:rsid w:val="00B07614"/>
    <w:rsid w:val="00B07E93"/>
    <w:rsid w:val="00B10474"/>
    <w:rsid w:val="00B11DD1"/>
    <w:rsid w:val="00B124B0"/>
    <w:rsid w:val="00B13E18"/>
    <w:rsid w:val="00B13FAB"/>
    <w:rsid w:val="00B2185E"/>
    <w:rsid w:val="00B21EC3"/>
    <w:rsid w:val="00B229D1"/>
    <w:rsid w:val="00B27687"/>
    <w:rsid w:val="00B3000D"/>
    <w:rsid w:val="00B30EEC"/>
    <w:rsid w:val="00B341CF"/>
    <w:rsid w:val="00B34824"/>
    <w:rsid w:val="00B356E5"/>
    <w:rsid w:val="00B3634F"/>
    <w:rsid w:val="00B3641A"/>
    <w:rsid w:val="00B36773"/>
    <w:rsid w:val="00B378F5"/>
    <w:rsid w:val="00B41219"/>
    <w:rsid w:val="00B45ACD"/>
    <w:rsid w:val="00B504B2"/>
    <w:rsid w:val="00B5062E"/>
    <w:rsid w:val="00B50CB7"/>
    <w:rsid w:val="00B50D7B"/>
    <w:rsid w:val="00B50E88"/>
    <w:rsid w:val="00B512ED"/>
    <w:rsid w:val="00B528C1"/>
    <w:rsid w:val="00B53931"/>
    <w:rsid w:val="00B561ED"/>
    <w:rsid w:val="00B5682C"/>
    <w:rsid w:val="00B572C6"/>
    <w:rsid w:val="00B57DDB"/>
    <w:rsid w:val="00B603CC"/>
    <w:rsid w:val="00B60550"/>
    <w:rsid w:val="00B60ED6"/>
    <w:rsid w:val="00B61853"/>
    <w:rsid w:val="00B6530D"/>
    <w:rsid w:val="00B65454"/>
    <w:rsid w:val="00B66D76"/>
    <w:rsid w:val="00B706E7"/>
    <w:rsid w:val="00B71D75"/>
    <w:rsid w:val="00B71DAA"/>
    <w:rsid w:val="00B74E3F"/>
    <w:rsid w:val="00B758A6"/>
    <w:rsid w:val="00B75F45"/>
    <w:rsid w:val="00B76BB4"/>
    <w:rsid w:val="00B8069F"/>
    <w:rsid w:val="00B8087E"/>
    <w:rsid w:val="00B83FB0"/>
    <w:rsid w:val="00B84613"/>
    <w:rsid w:val="00B853BC"/>
    <w:rsid w:val="00B85F25"/>
    <w:rsid w:val="00B85F32"/>
    <w:rsid w:val="00B877B4"/>
    <w:rsid w:val="00B92AC4"/>
    <w:rsid w:val="00B939A9"/>
    <w:rsid w:val="00B93B70"/>
    <w:rsid w:val="00B94017"/>
    <w:rsid w:val="00B952F3"/>
    <w:rsid w:val="00B96614"/>
    <w:rsid w:val="00BA1E8C"/>
    <w:rsid w:val="00BA2591"/>
    <w:rsid w:val="00BA2E42"/>
    <w:rsid w:val="00BA337C"/>
    <w:rsid w:val="00BA3803"/>
    <w:rsid w:val="00BA4B9B"/>
    <w:rsid w:val="00BA5CE7"/>
    <w:rsid w:val="00BA669F"/>
    <w:rsid w:val="00BA7CA7"/>
    <w:rsid w:val="00BB0034"/>
    <w:rsid w:val="00BB1B14"/>
    <w:rsid w:val="00BB4083"/>
    <w:rsid w:val="00BB4495"/>
    <w:rsid w:val="00BB5860"/>
    <w:rsid w:val="00BB5E99"/>
    <w:rsid w:val="00BC47A0"/>
    <w:rsid w:val="00BC6A45"/>
    <w:rsid w:val="00BC7357"/>
    <w:rsid w:val="00BD1457"/>
    <w:rsid w:val="00BD3218"/>
    <w:rsid w:val="00BD354E"/>
    <w:rsid w:val="00BD5114"/>
    <w:rsid w:val="00BD54FC"/>
    <w:rsid w:val="00BD6DF7"/>
    <w:rsid w:val="00BD7751"/>
    <w:rsid w:val="00BE0837"/>
    <w:rsid w:val="00BE1471"/>
    <w:rsid w:val="00BE17D7"/>
    <w:rsid w:val="00BE197F"/>
    <w:rsid w:val="00BE1A33"/>
    <w:rsid w:val="00BE2652"/>
    <w:rsid w:val="00BE535D"/>
    <w:rsid w:val="00BE5C7C"/>
    <w:rsid w:val="00BE6893"/>
    <w:rsid w:val="00BE7797"/>
    <w:rsid w:val="00BF196E"/>
    <w:rsid w:val="00BF42B5"/>
    <w:rsid w:val="00BF5880"/>
    <w:rsid w:val="00BF7CB7"/>
    <w:rsid w:val="00BF7F99"/>
    <w:rsid w:val="00C0099E"/>
    <w:rsid w:val="00C020B5"/>
    <w:rsid w:val="00C03DC4"/>
    <w:rsid w:val="00C045BE"/>
    <w:rsid w:val="00C04B6C"/>
    <w:rsid w:val="00C06B86"/>
    <w:rsid w:val="00C128F8"/>
    <w:rsid w:val="00C12F1C"/>
    <w:rsid w:val="00C131E7"/>
    <w:rsid w:val="00C139AE"/>
    <w:rsid w:val="00C13BE8"/>
    <w:rsid w:val="00C150D6"/>
    <w:rsid w:val="00C15AA2"/>
    <w:rsid w:val="00C16888"/>
    <w:rsid w:val="00C17AEA"/>
    <w:rsid w:val="00C21E6A"/>
    <w:rsid w:val="00C2355E"/>
    <w:rsid w:val="00C24781"/>
    <w:rsid w:val="00C24FA2"/>
    <w:rsid w:val="00C263BF"/>
    <w:rsid w:val="00C267A7"/>
    <w:rsid w:val="00C26B96"/>
    <w:rsid w:val="00C312ED"/>
    <w:rsid w:val="00C3297D"/>
    <w:rsid w:val="00C32B7B"/>
    <w:rsid w:val="00C33306"/>
    <w:rsid w:val="00C34A9A"/>
    <w:rsid w:val="00C350A3"/>
    <w:rsid w:val="00C368B8"/>
    <w:rsid w:val="00C413A6"/>
    <w:rsid w:val="00C46801"/>
    <w:rsid w:val="00C5155F"/>
    <w:rsid w:val="00C52374"/>
    <w:rsid w:val="00C539DD"/>
    <w:rsid w:val="00C56B6A"/>
    <w:rsid w:val="00C603FA"/>
    <w:rsid w:val="00C610AB"/>
    <w:rsid w:val="00C62E87"/>
    <w:rsid w:val="00C63716"/>
    <w:rsid w:val="00C65392"/>
    <w:rsid w:val="00C67B22"/>
    <w:rsid w:val="00C71130"/>
    <w:rsid w:val="00C71CFB"/>
    <w:rsid w:val="00C76B66"/>
    <w:rsid w:val="00C804EE"/>
    <w:rsid w:val="00C81D80"/>
    <w:rsid w:val="00C85053"/>
    <w:rsid w:val="00C85941"/>
    <w:rsid w:val="00C859B7"/>
    <w:rsid w:val="00C85E5F"/>
    <w:rsid w:val="00C869A8"/>
    <w:rsid w:val="00C9001C"/>
    <w:rsid w:val="00C91D6C"/>
    <w:rsid w:val="00C93BAB"/>
    <w:rsid w:val="00C94AAA"/>
    <w:rsid w:val="00C94C75"/>
    <w:rsid w:val="00CA162A"/>
    <w:rsid w:val="00CA335B"/>
    <w:rsid w:val="00CA3438"/>
    <w:rsid w:val="00CA53F1"/>
    <w:rsid w:val="00CA5A55"/>
    <w:rsid w:val="00CB0DAF"/>
    <w:rsid w:val="00CB2297"/>
    <w:rsid w:val="00CB22A6"/>
    <w:rsid w:val="00CB29C7"/>
    <w:rsid w:val="00CB2E34"/>
    <w:rsid w:val="00CB42AD"/>
    <w:rsid w:val="00CB467B"/>
    <w:rsid w:val="00CB66A1"/>
    <w:rsid w:val="00CB6B1F"/>
    <w:rsid w:val="00CB7104"/>
    <w:rsid w:val="00CC1500"/>
    <w:rsid w:val="00CC367A"/>
    <w:rsid w:val="00CC4405"/>
    <w:rsid w:val="00CC44EB"/>
    <w:rsid w:val="00CC5927"/>
    <w:rsid w:val="00CC5AC6"/>
    <w:rsid w:val="00CC708E"/>
    <w:rsid w:val="00CD3D88"/>
    <w:rsid w:val="00CD5E19"/>
    <w:rsid w:val="00CD7370"/>
    <w:rsid w:val="00CD7BD0"/>
    <w:rsid w:val="00CE3A7D"/>
    <w:rsid w:val="00CE4826"/>
    <w:rsid w:val="00CE4830"/>
    <w:rsid w:val="00CE5C0F"/>
    <w:rsid w:val="00CE5F57"/>
    <w:rsid w:val="00CF0CE1"/>
    <w:rsid w:val="00CF2979"/>
    <w:rsid w:val="00CF3069"/>
    <w:rsid w:val="00CF36E5"/>
    <w:rsid w:val="00CF410C"/>
    <w:rsid w:val="00CF4FF1"/>
    <w:rsid w:val="00CF55D2"/>
    <w:rsid w:val="00CF6E42"/>
    <w:rsid w:val="00CF7459"/>
    <w:rsid w:val="00CF749B"/>
    <w:rsid w:val="00CF7D64"/>
    <w:rsid w:val="00CF7E1F"/>
    <w:rsid w:val="00D012D6"/>
    <w:rsid w:val="00D02F0A"/>
    <w:rsid w:val="00D031BC"/>
    <w:rsid w:val="00D04BF3"/>
    <w:rsid w:val="00D0579B"/>
    <w:rsid w:val="00D07AA2"/>
    <w:rsid w:val="00D107FA"/>
    <w:rsid w:val="00D108B9"/>
    <w:rsid w:val="00D10DDC"/>
    <w:rsid w:val="00D13220"/>
    <w:rsid w:val="00D14A7F"/>
    <w:rsid w:val="00D17BA8"/>
    <w:rsid w:val="00D201CD"/>
    <w:rsid w:val="00D21A6B"/>
    <w:rsid w:val="00D244E6"/>
    <w:rsid w:val="00D25B26"/>
    <w:rsid w:val="00D313ED"/>
    <w:rsid w:val="00D3232D"/>
    <w:rsid w:val="00D361B6"/>
    <w:rsid w:val="00D36952"/>
    <w:rsid w:val="00D36A85"/>
    <w:rsid w:val="00D41B07"/>
    <w:rsid w:val="00D459EF"/>
    <w:rsid w:val="00D46E1A"/>
    <w:rsid w:val="00D519BE"/>
    <w:rsid w:val="00D52472"/>
    <w:rsid w:val="00D5281C"/>
    <w:rsid w:val="00D568CE"/>
    <w:rsid w:val="00D577E7"/>
    <w:rsid w:val="00D60E1E"/>
    <w:rsid w:val="00D60EAF"/>
    <w:rsid w:val="00D627AA"/>
    <w:rsid w:val="00D62CDA"/>
    <w:rsid w:val="00D63176"/>
    <w:rsid w:val="00D64AE1"/>
    <w:rsid w:val="00D6579D"/>
    <w:rsid w:val="00D65C16"/>
    <w:rsid w:val="00D66748"/>
    <w:rsid w:val="00D72F31"/>
    <w:rsid w:val="00D73545"/>
    <w:rsid w:val="00D7657D"/>
    <w:rsid w:val="00D77803"/>
    <w:rsid w:val="00D851BB"/>
    <w:rsid w:val="00D85F0E"/>
    <w:rsid w:val="00D87EE1"/>
    <w:rsid w:val="00D93770"/>
    <w:rsid w:val="00D947FC"/>
    <w:rsid w:val="00D95E5A"/>
    <w:rsid w:val="00D960DC"/>
    <w:rsid w:val="00DA0B08"/>
    <w:rsid w:val="00DA7115"/>
    <w:rsid w:val="00DA7A5C"/>
    <w:rsid w:val="00DB0CEB"/>
    <w:rsid w:val="00DB104C"/>
    <w:rsid w:val="00DB1201"/>
    <w:rsid w:val="00DB146E"/>
    <w:rsid w:val="00DB1F31"/>
    <w:rsid w:val="00DB3528"/>
    <w:rsid w:val="00DB3B81"/>
    <w:rsid w:val="00DB49DF"/>
    <w:rsid w:val="00DB5248"/>
    <w:rsid w:val="00DB5F02"/>
    <w:rsid w:val="00DB6820"/>
    <w:rsid w:val="00DB75F7"/>
    <w:rsid w:val="00DC033E"/>
    <w:rsid w:val="00DC0E46"/>
    <w:rsid w:val="00DC239C"/>
    <w:rsid w:val="00DC3676"/>
    <w:rsid w:val="00DC3A01"/>
    <w:rsid w:val="00DC57C1"/>
    <w:rsid w:val="00DC5AB8"/>
    <w:rsid w:val="00DC6620"/>
    <w:rsid w:val="00DC7372"/>
    <w:rsid w:val="00DD0C61"/>
    <w:rsid w:val="00DD18CB"/>
    <w:rsid w:val="00DD1C2A"/>
    <w:rsid w:val="00DD4A75"/>
    <w:rsid w:val="00DD552D"/>
    <w:rsid w:val="00DE11AC"/>
    <w:rsid w:val="00DE1557"/>
    <w:rsid w:val="00DE1A2A"/>
    <w:rsid w:val="00DE3029"/>
    <w:rsid w:val="00DE454E"/>
    <w:rsid w:val="00DE6555"/>
    <w:rsid w:val="00DE7EE6"/>
    <w:rsid w:val="00DF04E0"/>
    <w:rsid w:val="00DF0A95"/>
    <w:rsid w:val="00DF2C1B"/>
    <w:rsid w:val="00DF3269"/>
    <w:rsid w:val="00DF4A52"/>
    <w:rsid w:val="00DF78A7"/>
    <w:rsid w:val="00DF790F"/>
    <w:rsid w:val="00E0039B"/>
    <w:rsid w:val="00E00964"/>
    <w:rsid w:val="00E00C8F"/>
    <w:rsid w:val="00E01522"/>
    <w:rsid w:val="00E0254D"/>
    <w:rsid w:val="00E02A54"/>
    <w:rsid w:val="00E034B7"/>
    <w:rsid w:val="00E059EF"/>
    <w:rsid w:val="00E0671B"/>
    <w:rsid w:val="00E11568"/>
    <w:rsid w:val="00E134D4"/>
    <w:rsid w:val="00E13556"/>
    <w:rsid w:val="00E13B4C"/>
    <w:rsid w:val="00E15442"/>
    <w:rsid w:val="00E161CB"/>
    <w:rsid w:val="00E174A8"/>
    <w:rsid w:val="00E2191F"/>
    <w:rsid w:val="00E21F3B"/>
    <w:rsid w:val="00E231F8"/>
    <w:rsid w:val="00E25621"/>
    <w:rsid w:val="00E262A1"/>
    <w:rsid w:val="00E30FAC"/>
    <w:rsid w:val="00E32971"/>
    <w:rsid w:val="00E33587"/>
    <w:rsid w:val="00E37606"/>
    <w:rsid w:val="00E40351"/>
    <w:rsid w:val="00E41F8D"/>
    <w:rsid w:val="00E4250F"/>
    <w:rsid w:val="00E43CCA"/>
    <w:rsid w:val="00E46316"/>
    <w:rsid w:val="00E522CA"/>
    <w:rsid w:val="00E522EE"/>
    <w:rsid w:val="00E54792"/>
    <w:rsid w:val="00E54D24"/>
    <w:rsid w:val="00E54EED"/>
    <w:rsid w:val="00E63488"/>
    <w:rsid w:val="00E634FD"/>
    <w:rsid w:val="00E637A1"/>
    <w:rsid w:val="00E725DA"/>
    <w:rsid w:val="00E73EB7"/>
    <w:rsid w:val="00E744E1"/>
    <w:rsid w:val="00E74762"/>
    <w:rsid w:val="00E75717"/>
    <w:rsid w:val="00E800AE"/>
    <w:rsid w:val="00E812EA"/>
    <w:rsid w:val="00E81373"/>
    <w:rsid w:val="00E81B0F"/>
    <w:rsid w:val="00E82EE8"/>
    <w:rsid w:val="00E83AB0"/>
    <w:rsid w:val="00E84C0A"/>
    <w:rsid w:val="00E85D9B"/>
    <w:rsid w:val="00E90954"/>
    <w:rsid w:val="00E9180A"/>
    <w:rsid w:val="00E920E1"/>
    <w:rsid w:val="00E93379"/>
    <w:rsid w:val="00E93BDC"/>
    <w:rsid w:val="00E9474F"/>
    <w:rsid w:val="00E9636A"/>
    <w:rsid w:val="00E97B40"/>
    <w:rsid w:val="00EA0544"/>
    <w:rsid w:val="00EA123F"/>
    <w:rsid w:val="00EA1871"/>
    <w:rsid w:val="00EA431B"/>
    <w:rsid w:val="00EA54C9"/>
    <w:rsid w:val="00EA70DF"/>
    <w:rsid w:val="00EB0124"/>
    <w:rsid w:val="00EB0BB3"/>
    <w:rsid w:val="00EB25A1"/>
    <w:rsid w:val="00EB2BEA"/>
    <w:rsid w:val="00EB2CE5"/>
    <w:rsid w:val="00EB2FEC"/>
    <w:rsid w:val="00EB3FCB"/>
    <w:rsid w:val="00EB4657"/>
    <w:rsid w:val="00EB5602"/>
    <w:rsid w:val="00EB6C2F"/>
    <w:rsid w:val="00EC1A0B"/>
    <w:rsid w:val="00EC3942"/>
    <w:rsid w:val="00EC3ED9"/>
    <w:rsid w:val="00EC41D7"/>
    <w:rsid w:val="00EC6C00"/>
    <w:rsid w:val="00ED00D5"/>
    <w:rsid w:val="00ED1E69"/>
    <w:rsid w:val="00ED4C03"/>
    <w:rsid w:val="00ED4C0E"/>
    <w:rsid w:val="00ED4D99"/>
    <w:rsid w:val="00ED5438"/>
    <w:rsid w:val="00ED5694"/>
    <w:rsid w:val="00EE4340"/>
    <w:rsid w:val="00EE44E6"/>
    <w:rsid w:val="00EE5FED"/>
    <w:rsid w:val="00EE6857"/>
    <w:rsid w:val="00EF2FA6"/>
    <w:rsid w:val="00EF35A1"/>
    <w:rsid w:val="00EF7277"/>
    <w:rsid w:val="00F00989"/>
    <w:rsid w:val="00F04BF5"/>
    <w:rsid w:val="00F06ADB"/>
    <w:rsid w:val="00F06CEB"/>
    <w:rsid w:val="00F07583"/>
    <w:rsid w:val="00F07B56"/>
    <w:rsid w:val="00F13D3A"/>
    <w:rsid w:val="00F14009"/>
    <w:rsid w:val="00F14A31"/>
    <w:rsid w:val="00F15BD3"/>
    <w:rsid w:val="00F2494D"/>
    <w:rsid w:val="00F26A1D"/>
    <w:rsid w:val="00F27920"/>
    <w:rsid w:val="00F30AAD"/>
    <w:rsid w:val="00F32F04"/>
    <w:rsid w:val="00F330DA"/>
    <w:rsid w:val="00F35BD5"/>
    <w:rsid w:val="00F402DF"/>
    <w:rsid w:val="00F424AD"/>
    <w:rsid w:val="00F45DFF"/>
    <w:rsid w:val="00F504C8"/>
    <w:rsid w:val="00F53013"/>
    <w:rsid w:val="00F55FA8"/>
    <w:rsid w:val="00F60689"/>
    <w:rsid w:val="00F64E93"/>
    <w:rsid w:val="00F65374"/>
    <w:rsid w:val="00F6732A"/>
    <w:rsid w:val="00F70220"/>
    <w:rsid w:val="00F7407B"/>
    <w:rsid w:val="00F74777"/>
    <w:rsid w:val="00F75BB6"/>
    <w:rsid w:val="00F7617F"/>
    <w:rsid w:val="00F81684"/>
    <w:rsid w:val="00F84B02"/>
    <w:rsid w:val="00F85BB7"/>
    <w:rsid w:val="00F93DF5"/>
    <w:rsid w:val="00F941BF"/>
    <w:rsid w:val="00F95D3C"/>
    <w:rsid w:val="00F960C0"/>
    <w:rsid w:val="00F9798A"/>
    <w:rsid w:val="00FA0B16"/>
    <w:rsid w:val="00FA2456"/>
    <w:rsid w:val="00FA5E79"/>
    <w:rsid w:val="00FA5ECC"/>
    <w:rsid w:val="00FB15BA"/>
    <w:rsid w:val="00FB234E"/>
    <w:rsid w:val="00FB35C2"/>
    <w:rsid w:val="00FB44A5"/>
    <w:rsid w:val="00FC01FE"/>
    <w:rsid w:val="00FC037B"/>
    <w:rsid w:val="00FC09F3"/>
    <w:rsid w:val="00FC1EF7"/>
    <w:rsid w:val="00FC3A5F"/>
    <w:rsid w:val="00FC4D2F"/>
    <w:rsid w:val="00FC530F"/>
    <w:rsid w:val="00FC5E29"/>
    <w:rsid w:val="00FC6611"/>
    <w:rsid w:val="00FC6B98"/>
    <w:rsid w:val="00FD168D"/>
    <w:rsid w:val="00FD2977"/>
    <w:rsid w:val="00FD29FC"/>
    <w:rsid w:val="00FD2B02"/>
    <w:rsid w:val="00FD3B02"/>
    <w:rsid w:val="00FD3EF1"/>
    <w:rsid w:val="00FD51E3"/>
    <w:rsid w:val="00FD564E"/>
    <w:rsid w:val="00FD7D90"/>
    <w:rsid w:val="00FE0F74"/>
    <w:rsid w:val="00FE160E"/>
    <w:rsid w:val="00FE17DB"/>
    <w:rsid w:val="00FE1DD9"/>
    <w:rsid w:val="00FE2595"/>
    <w:rsid w:val="00FE294D"/>
    <w:rsid w:val="00FE32A7"/>
    <w:rsid w:val="00FE3817"/>
    <w:rsid w:val="00FF1810"/>
    <w:rsid w:val="00FF243E"/>
    <w:rsid w:val="00FF2BF9"/>
    <w:rsid w:val="00FF3689"/>
    <w:rsid w:val="00FF4675"/>
    <w:rsid w:val="00FF4BEA"/>
    <w:rsid w:val="00FF7125"/>
    <w:rsid w:val="010D36D3"/>
    <w:rsid w:val="011B572A"/>
    <w:rsid w:val="01253372"/>
    <w:rsid w:val="0127533C"/>
    <w:rsid w:val="012D2227"/>
    <w:rsid w:val="012D75D5"/>
    <w:rsid w:val="01343E1F"/>
    <w:rsid w:val="01401264"/>
    <w:rsid w:val="0147778C"/>
    <w:rsid w:val="014A102B"/>
    <w:rsid w:val="015B3238"/>
    <w:rsid w:val="015D0D5E"/>
    <w:rsid w:val="015E5DFF"/>
    <w:rsid w:val="017B5688"/>
    <w:rsid w:val="018A5048"/>
    <w:rsid w:val="018E7169"/>
    <w:rsid w:val="01A85D51"/>
    <w:rsid w:val="01AA7D1B"/>
    <w:rsid w:val="01AB4A30"/>
    <w:rsid w:val="01AF0E8E"/>
    <w:rsid w:val="01B31F0F"/>
    <w:rsid w:val="01B800CA"/>
    <w:rsid w:val="01C34939"/>
    <w:rsid w:val="01C40DDD"/>
    <w:rsid w:val="01D6466C"/>
    <w:rsid w:val="01D85223"/>
    <w:rsid w:val="01E054EB"/>
    <w:rsid w:val="01F33470"/>
    <w:rsid w:val="01FB2325"/>
    <w:rsid w:val="01FD7E4B"/>
    <w:rsid w:val="02070CCA"/>
    <w:rsid w:val="02092C94"/>
    <w:rsid w:val="020B07BA"/>
    <w:rsid w:val="020B6B2A"/>
    <w:rsid w:val="020C62E0"/>
    <w:rsid w:val="02111B48"/>
    <w:rsid w:val="022C672A"/>
    <w:rsid w:val="023A2E4D"/>
    <w:rsid w:val="02477318"/>
    <w:rsid w:val="02533F0F"/>
    <w:rsid w:val="02691984"/>
    <w:rsid w:val="026B3007"/>
    <w:rsid w:val="02783976"/>
    <w:rsid w:val="027939E4"/>
    <w:rsid w:val="027C3466"/>
    <w:rsid w:val="02820350"/>
    <w:rsid w:val="02854A28"/>
    <w:rsid w:val="028B36A9"/>
    <w:rsid w:val="028C21C0"/>
    <w:rsid w:val="02926844"/>
    <w:rsid w:val="02944757"/>
    <w:rsid w:val="029F7154"/>
    <w:rsid w:val="02A17BE4"/>
    <w:rsid w:val="02A209F3"/>
    <w:rsid w:val="02AD7AC3"/>
    <w:rsid w:val="02B04197"/>
    <w:rsid w:val="02B41DD9"/>
    <w:rsid w:val="02B524D4"/>
    <w:rsid w:val="02D23086"/>
    <w:rsid w:val="02ED1C6E"/>
    <w:rsid w:val="02F84F1A"/>
    <w:rsid w:val="02F96864"/>
    <w:rsid w:val="03082F4B"/>
    <w:rsid w:val="03101E00"/>
    <w:rsid w:val="031956C0"/>
    <w:rsid w:val="03237D85"/>
    <w:rsid w:val="033F6241"/>
    <w:rsid w:val="03404493"/>
    <w:rsid w:val="03425F76"/>
    <w:rsid w:val="03493C5F"/>
    <w:rsid w:val="034A70C0"/>
    <w:rsid w:val="035148F2"/>
    <w:rsid w:val="03546191"/>
    <w:rsid w:val="03575C81"/>
    <w:rsid w:val="037C24AA"/>
    <w:rsid w:val="03870314"/>
    <w:rsid w:val="03AF786B"/>
    <w:rsid w:val="03D35138"/>
    <w:rsid w:val="03DE3B94"/>
    <w:rsid w:val="03E52874"/>
    <w:rsid w:val="03EF7C67"/>
    <w:rsid w:val="03F71C3D"/>
    <w:rsid w:val="03FA6D38"/>
    <w:rsid w:val="03FB660C"/>
    <w:rsid w:val="040E5C29"/>
    <w:rsid w:val="040F20B8"/>
    <w:rsid w:val="040F41E9"/>
    <w:rsid w:val="041B280B"/>
    <w:rsid w:val="041D508B"/>
    <w:rsid w:val="041D6583"/>
    <w:rsid w:val="042E253E"/>
    <w:rsid w:val="043958F2"/>
    <w:rsid w:val="04467A4A"/>
    <w:rsid w:val="044A0D45"/>
    <w:rsid w:val="044E2948"/>
    <w:rsid w:val="044F0706"/>
    <w:rsid w:val="04581CB1"/>
    <w:rsid w:val="0458580D"/>
    <w:rsid w:val="045B52FD"/>
    <w:rsid w:val="04615EED"/>
    <w:rsid w:val="046917C8"/>
    <w:rsid w:val="04812FB5"/>
    <w:rsid w:val="048E5836"/>
    <w:rsid w:val="04952C29"/>
    <w:rsid w:val="04A43144"/>
    <w:rsid w:val="04AA7B90"/>
    <w:rsid w:val="04AD32F7"/>
    <w:rsid w:val="04C609C8"/>
    <w:rsid w:val="04C82992"/>
    <w:rsid w:val="04CB4231"/>
    <w:rsid w:val="04D31E6D"/>
    <w:rsid w:val="04ED41A7"/>
    <w:rsid w:val="0506170D"/>
    <w:rsid w:val="05085485"/>
    <w:rsid w:val="05092FAB"/>
    <w:rsid w:val="05142ECF"/>
    <w:rsid w:val="051C101F"/>
    <w:rsid w:val="051C2CDE"/>
    <w:rsid w:val="051C4A8C"/>
    <w:rsid w:val="052E656D"/>
    <w:rsid w:val="05475809"/>
    <w:rsid w:val="054871BB"/>
    <w:rsid w:val="055471D9"/>
    <w:rsid w:val="05551D4C"/>
    <w:rsid w:val="056106F1"/>
    <w:rsid w:val="05685F23"/>
    <w:rsid w:val="057723B1"/>
    <w:rsid w:val="05777F14"/>
    <w:rsid w:val="057C3490"/>
    <w:rsid w:val="057D69E2"/>
    <w:rsid w:val="05820F66"/>
    <w:rsid w:val="05850883"/>
    <w:rsid w:val="05947000"/>
    <w:rsid w:val="0597641C"/>
    <w:rsid w:val="059840CF"/>
    <w:rsid w:val="059B74C3"/>
    <w:rsid w:val="059E0929"/>
    <w:rsid w:val="05AA3791"/>
    <w:rsid w:val="05B20F4D"/>
    <w:rsid w:val="05C1186B"/>
    <w:rsid w:val="05CB12DF"/>
    <w:rsid w:val="05D11D1B"/>
    <w:rsid w:val="05D26D24"/>
    <w:rsid w:val="05D3085E"/>
    <w:rsid w:val="05D67331"/>
    <w:rsid w:val="05E01F5E"/>
    <w:rsid w:val="05EE25BC"/>
    <w:rsid w:val="05EF3F4F"/>
    <w:rsid w:val="05F03FAF"/>
    <w:rsid w:val="05F15F19"/>
    <w:rsid w:val="05F872A7"/>
    <w:rsid w:val="05FB0B46"/>
    <w:rsid w:val="05FE0636"/>
    <w:rsid w:val="060519C4"/>
    <w:rsid w:val="06147E59"/>
    <w:rsid w:val="061F2A86"/>
    <w:rsid w:val="0625634D"/>
    <w:rsid w:val="062736E9"/>
    <w:rsid w:val="062A31D9"/>
    <w:rsid w:val="06345E06"/>
    <w:rsid w:val="063C038A"/>
    <w:rsid w:val="063D2F0C"/>
    <w:rsid w:val="064047AA"/>
    <w:rsid w:val="06462C1E"/>
    <w:rsid w:val="064D5EE3"/>
    <w:rsid w:val="064E5119"/>
    <w:rsid w:val="065B3392"/>
    <w:rsid w:val="06695AAF"/>
    <w:rsid w:val="0673692E"/>
    <w:rsid w:val="068161DF"/>
    <w:rsid w:val="06817FD5"/>
    <w:rsid w:val="068A3CB5"/>
    <w:rsid w:val="069A210C"/>
    <w:rsid w:val="06A30B9A"/>
    <w:rsid w:val="06A74829"/>
    <w:rsid w:val="06A87B41"/>
    <w:rsid w:val="06A9284D"/>
    <w:rsid w:val="06AE3E0A"/>
    <w:rsid w:val="06B22791"/>
    <w:rsid w:val="06B27F6D"/>
    <w:rsid w:val="06B31420"/>
    <w:rsid w:val="06B869C0"/>
    <w:rsid w:val="06C23411"/>
    <w:rsid w:val="06C67278"/>
    <w:rsid w:val="06CB0518"/>
    <w:rsid w:val="06F86E33"/>
    <w:rsid w:val="06FA704F"/>
    <w:rsid w:val="06FD2DFB"/>
    <w:rsid w:val="07053AED"/>
    <w:rsid w:val="070659F4"/>
    <w:rsid w:val="071850BE"/>
    <w:rsid w:val="072145DC"/>
    <w:rsid w:val="07293490"/>
    <w:rsid w:val="073065CD"/>
    <w:rsid w:val="07372051"/>
    <w:rsid w:val="073F0F06"/>
    <w:rsid w:val="07465DF0"/>
    <w:rsid w:val="074940C2"/>
    <w:rsid w:val="07494305"/>
    <w:rsid w:val="074A550C"/>
    <w:rsid w:val="074A5EEC"/>
    <w:rsid w:val="074B228B"/>
    <w:rsid w:val="07524795"/>
    <w:rsid w:val="0754100C"/>
    <w:rsid w:val="07546A4E"/>
    <w:rsid w:val="07612C2A"/>
    <w:rsid w:val="07683FB9"/>
    <w:rsid w:val="079C0106"/>
    <w:rsid w:val="07AC5738"/>
    <w:rsid w:val="07AF7E3A"/>
    <w:rsid w:val="07D43D79"/>
    <w:rsid w:val="07DD4224"/>
    <w:rsid w:val="07E51AAD"/>
    <w:rsid w:val="07E644A9"/>
    <w:rsid w:val="07E646D4"/>
    <w:rsid w:val="07E718FD"/>
    <w:rsid w:val="07F10B1D"/>
    <w:rsid w:val="07F37659"/>
    <w:rsid w:val="07FE66CB"/>
    <w:rsid w:val="080B667A"/>
    <w:rsid w:val="080D1371"/>
    <w:rsid w:val="080D1F6D"/>
    <w:rsid w:val="08163A15"/>
    <w:rsid w:val="081D5C8A"/>
    <w:rsid w:val="08294B35"/>
    <w:rsid w:val="082C148A"/>
    <w:rsid w:val="08316AA1"/>
    <w:rsid w:val="08387E2F"/>
    <w:rsid w:val="083B16CD"/>
    <w:rsid w:val="083B347B"/>
    <w:rsid w:val="08444A26"/>
    <w:rsid w:val="08444EFF"/>
    <w:rsid w:val="08471E20"/>
    <w:rsid w:val="08512C9F"/>
    <w:rsid w:val="0858227F"/>
    <w:rsid w:val="0865674A"/>
    <w:rsid w:val="086C1887"/>
    <w:rsid w:val="087D5842"/>
    <w:rsid w:val="087E26AD"/>
    <w:rsid w:val="087E6707"/>
    <w:rsid w:val="088017D6"/>
    <w:rsid w:val="088A61B1"/>
    <w:rsid w:val="088C017B"/>
    <w:rsid w:val="088E7A4F"/>
    <w:rsid w:val="088F0D8C"/>
    <w:rsid w:val="08B943F9"/>
    <w:rsid w:val="08BC1D37"/>
    <w:rsid w:val="08D4742C"/>
    <w:rsid w:val="08D5567E"/>
    <w:rsid w:val="08DF02AB"/>
    <w:rsid w:val="08E21B49"/>
    <w:rsid w:val="08E43B13"/>
    <w:rsid w:val="08E81855"/>
    <w:rsid w:val="08E9737B"/>
    <w:rsid w:val="08F22AD3"/>
    <w:rsid w:val="08F5187C"/>
    <w:rsid w:val="08F63DA5"/>
    <w:rsid w:val="09000221"/>
    <w:rsid w:val="090441B5"/>
    <w:rsid w:val="09067F2D"/>
    <w:rsid w:val="09075A53"/>
    <w:rsid w:val="09137F54"/>
    <w:rsid w:val="09187C60"/>
    <w:rsid w:val="09273A00"/>
    <w:rsid w:val="092E1232"/>
    <w:rsid w:val="09336848"/>
    <w:rsid w:val="093633AE"/>
    <w:rsid w:val="094D1CAF"/>
    <w:rsid w:val="09547AF8"/>
    <w:rsid w:val="095742E5"/>
    <w:rsid w:val="095C5D9F"/>
    <w:rsid w:val="09652EA6"/>
    <w:rsid w:val="096D613C"/>
    <w:rsid w:val="09715097"/>
    <w:rsid w:val="097C0FDF"/>
    <w:rsid w:val="09840E52"/>
    <w:rsid w:val="098E3A7F"/>
    <w:rsid w:val="0992531D"/>
    <w:rsid w:val="09A76BDF"/>
    <w:rsid w:val="09A777B0"/>
    <w:rsid w:val="09A92667"/>
    <w:rsid w:val="09AA4D5C"/>
    <w:rsid w:val="09B3041A"/>
    <w:rsid w:val="09B9293C"/>
    <w:rsid w:val="09D75426"/>
    <w:rsid w:val="09E029B1"/>
    <w:rsid w:val="09E14F8B"/>
    <w:rsid w:val="09ED69F7"/>
    <w:rsid w:val="09EF276F"/>
    <w:rsid w:val="09F412B3"/>
    <w:rsid w:val="0A002BCE"/>
    <w:rsid w:val="0A03356F"/>
    <w:rsid w:val="0A081A83"/>
    <w:rsid w:val="0A0A4E3C"/>
    <w:rsid w:val="0A0B5C52"/>
    <w:rsid w:val="0A222B45"/>
    <w:rsid w:val="0A342878"/>
    <w:rsid w:val="0A570314"/>
    <w:rsid w:val="0A577EA6"/>
    <w:rsid w:val="0A6749FB"/>
    <w:rsid w:val="0A6A44EC"/>
    <w:rsid w:val="0A7D7D7B"/>
    <w:rsid w:val="0A804F9A"/>
    <w:rsid w:val="0A870BFA"/>
    <w:rsid w:val="0A890310"/>
    <w:rsid w:val="0A8A06EA"/>
    <w:rsid w:val="0A9357F1"/>
    <w:rsid w:val="0A97797F"/>
    <w:rsid w:val="0A9F4195"/>
    <w:rsid w:val="0AA56712"/>
    <w:rsid w:val="0AA96DC2"/>
    <w:rsid w:val="0AB13EC9"/>
    <w:rsid w:val="0AB771B3"/>
    <w:rsid w:val="0ABB08A3"/>
    <w:rsid w:val="0AC177CD"/>
    <w:rsid w:val="0ACA32D3"/>
    <w:rsid w:val="0AD06B8A"/>
    <w:rsid w:val="0ADB7197"/>
    <w:rsid w:val="0AE72003"/>
    <w:rsid w:val="0AF46FDB"/>
    <w:rsid w:val="0AFC5ECA"/>
    <w:rsid w:val="0B016BFE"/>
    <w:rsid w:val="0B071D3B"/>
    <w:rsid w:val="0B0A5387"/>
    <w:rsid w:val="0B0B182B"/>
    <w:rsid w:val="0B1B1342"/>
    <w:rsid w:val="0B1B7594"/>
    <w:rsid w:val="0B1F7084"/>
    <w:rsid w:val="0B246449"/>
    <w:rsid w:val="0B27418B"/>
    <w:rsid w:val="0B282F86"/>
    <w:rsid w:val="0B3348DE"/>
    <w:rsid w:val="0B416FFB"/>
    <w:rsid w:val="0B45498C"/>
    <w:rsid w:val="0B4D1E43"/>
    <w:rsid w:val="0B640F3B"/>
    <w:rsid w:val="0B6A2B67"/>
    <w:rsid w:val="0B7373D0"/>
    <w:rsid w:val="0B82089D"/>
    <w:rsid w:val="0B861F5F"/>
    <w:rsid w:val="0B884C29"/>
    <w:rsid w:val="0B8D0F28"/>
    <w:rsid w:val="0B9A0A5A"/>
    <w:rsid w:val="0B9C1C05"/>
    <w:rsid w:val="0B9D61FB"/>
    <w:rsid w:val="0BA13F3D"/>
    <w:rsid w:val="0BA732C2"/>
    <w:rsid w:val="0BA8707A"/>
    <w:rsid w:val="0BB377CC"/>
    <w:rsid w:val="0BE67F8D"/>
    <w:rsid w:val="0BE8391A"/>
    <w:rsid w:val="0BEB655E"/>
    <w:rsid w:val="0BF12D0A"/>
    <w:rsid w:val="0BF71654"/>
    <w:rsid w:val="0BFA09FB"/>
    <w:rsid w:val="0C027B8E"/>
    <w:rsid w:val="0C0475D7"/>
    <w:rsid w:val="0C05627A"/>
    <w:rsid w:val="0C0F534B"/>
    <w:rsid w:val="0C113DF5"/>
    <w:rsid w:val="0C360EE6"/>
    <w:rsid w:val="0C3941C5"/>
    <w:rsid w:val="0C3D39A0"/>
    <w:rsid w:val="0C57132C"/>
    <w:rsid w:val="0C5965C6"/>
    <w:rsid w:val="0C654A1B"/>
    <w:rsid w:val="0C727688"/>
    <w:rsid w:val="0C917B0E"/>
    <w:rsid w:val="0C992E66"/>
    <w:rsid w:val="0C9E047D"/>
    <w:rsid w:val="0CA91063"/>
    <w:rsid w:val="0CAF61E6"/>
    <w:rsid w:val="0CBA1849"/>
    <w:rsid w:val="0CBA3508"/>
    <w:rsid w:val="0CBB026F"/>
    <w:rsid w:val="0CCC4FEA"/>
    <w:rsid w:val="0D101E5F"/>
    <w:rsid w:val="0D154CBC"/>
    <w:rsid w:val="0D247D3C"/>
    <w:rsid w:val="0D27363D"/>
    <w:rsid w:val="0D407C9C"/>
    <w:rsid w:val="0D504F5A"/>
    <w:rsid w:val="0D531267"/>
    <w:rsid w:val="0D5C45C0"/>
    <w:rsid w:val="0D6140E3"/>
    <w:rsid w:val="0D690A8B"/>
    <w:rsid w:val="0D6B035F"/>
    <w:rsid w:val="0D6C2329"/>
    <w:rsid w:val="0D7373DB"/>
    <w:rsid w:val="0D9163A4"/>
    <w:rsid w:val="0D95602F"/>
    <w:rsid w:val="0D9C49BC"/>
    <w:rsid w:val="0D9F26FE"/>
    <w:rsid w:val="0DA600B0"/>
    <w:rsid w:val="0DB717F6"/>
    <w:rsid w:val="0DC161D1"/>
    <w:rsid w:val="0DC43F13"/>
    <w:rsid w:val="0DC61A39"/>
    <w:rsid w:val="0DDE3227"/>
    <w:rsid w:val="0DE545B5"/>
    <w:rsid w:val="0DE8547F"/>
    <w:rsid w:val="0DE85752"/>
    <w:rsid w:val="0DE938FE"/>
    <w:rsid w:val="0DF04D08"/>
    <w:rsid w:val="0DF5231E"/>
    <w:rsid w:val="0E064AFF"/>
    <w:rsid w:val="0E0C2460"/>
    <w:rsid w:val="0E0D58BA"/>
    <w:rsid w:val="0E110424"/>
    <w:rsid w:val="0E303356"/>
    <w:rsid w:val="0E3110D4"/>
    <w:rsid w:val="0E3177FA"/>
    <w:rsid w:val="0E343C97"/>
    <w:rsid w:val="0E511C4A"/>
    <w:rsid w:val="0E611762"/>
    <w:rsid w:val="0E680D42"/>
    <w:rsid w:val="0E682AF0"/>
    <w:rsid w:val="0E7679FF"/>
    <w:rsid w:val="0E7A58AC"/>
    <w:rsid w:val="0E8B67DF"/>
    <w:rsid w:val="0E8F2773"/>
    <w:rsid w:val="0E8F4A99"/>
    <w:rsid w:val="0E957106"/>
    <w:rsid w:val="0EAC6E81"/>
    <w:rsid w:val="0EC35F79"/>
    <w:rsid w:val="0ECC12D1"/>
    <w:rsid w:val="0ECF0DC1"/>
    <w:rsid w:val="0ECF2B6F"/>
    <w:rsid w:val="0ED62150"/>
    <w:rsid w:val="0ED85EC8"/>
    <w:rsid w:val="0EEB0284"/>
    <w:rsid w:val="0EF16F8A"/>
    <w:rsid w:val="0EF97BEC"/>
    <w:rsid w:val="0F001FF3"/>
    <w:rsid w:val="0F056080"/>
    <w:rsid w:val="0F0C3DC3"/>
    <w:rsid w:val="0F0F5662"/>
    <w:rsid w:val="0F20786F"/>
    <w:rsid w:val="0F2122AA"/>
    <w:rsid w:val="0F3A448D"/>
    <w:rsid w:val="0F3D21CF"/>
    <w:rsid w:val="0F3D5D2B"/>
    <w:rsid w:val="0F4277E5"/>
    <w:rsid w:val="0F5A4B2F"/>
    <w:rsid w:val="0F5A68DD"/>
    <w:rsid w:val="0F5C08A7"/>
    <w:rsid w:val="0F623FB2"/>
    <w:rsid w:val="0F7C0D40"/>
    <w:rsid w:val="0F7E5CE7"/>
    <w:rsid w:val="0F865924"/>
    <w:rsid w:val="0F9718DF"/>
    <w:rsid w:val="0F9E7862"/>
    <w:rsid w:val="0FA34655"/>
    <w:rsid w:val="0FAC2252"/>
    <w:rsid w:val="0FAE5C62"/>
    <w:rsid w:val="0FB35B52"/>
    <w:rsid w:val="0FC226D4"/>
    <w:rsid w:val="0FC8550B"/>
    <w:rsid w:val="0FF26B15"/>
    <w:rsid w:val="0FF46F7C"/>
    <w:rsid w:val="0FFC7994"/>
    <w:rsid w:val="10007B6C"/>
    <w:rsid w:val="10172A20"/>
    <w:rsid w:val="101C1DE4"/>
    <w:rsid w:val="10200C45"/>
    <w:rsid w:val="10272DDA"/>
    <w:rsid w:val="102D6C72"/>
    <w:rsid w:val="102E38C6"/>
    <w:rsid w:val="103233B6"/>
    <w:rsid w:val="10437371"/>
    <w:rsid w:val="104B2EAE"/>
    <w:rsid w:val="104D43AE"/>
    <w:rsid w:val="10501A8E"/>
    <w:rsid w:val="105F29F2"/>
    <w:rsid w:val="106659FE"/>
    <w:rsid w:val="107439CE"/>
    <w:rsid w:val="108D4A90"/>
    <w:rsid w:val="10944070"/>
    <w:rsid w:val="1097590F"/>
    <w:rsid w:val="10A9113A"/>
    <w:rsid w:val="10AD5132"/>
    <w:rsid w:val="10B66513"/>
    <w:rsid w:val="10B77D5F"/>
    <w:rsid w:val="10BF36FF"/>
    <w:rsid w:val="10C61D50"/>
    <w:rsid w:val="10D75D0B"/>
    <w:rsid w:val="10EA5A3E"/>
    <w:rsid w:val="10F22B45"/>
    <w:rsid w:val="10F7015B"/>
    <w:rsid w:val="11057F84"/>
    <w:rsid w:val="110765F0"/>
    <w:rsid w:val="111533C4"/>
    <w:rsid w:val="11211998"/>
    <w:rsid w:val="11225683"/>
    <w:rsid w:val="112D4F78"/>
    <w:rsid w:val="11390308"/>
    <w:rsid w:val="11421D1E"/>
    <w:rsid w:val="1142587A"/>
    <w:rsid w:val="114F1D45"/>
    <w:rsid w:val="11535A08"/>
    <w:rsid w:val="11603F53"/>
    <w:rsid w:val="116C6490"/>
    <w:rsid w:val="116E2B13"/>
    <w:rsid w:val="11755C50"/>
    <w:rsid w:val="119A3908"/>
    <w:rsid w:val="119E7E8B"/>
    <w:rsid w:val="11A02087"/>
    <w:rsid w:val="11A025A1"/>
    <w:rsid w:val="11A3149B"/>
    <w:rsid w:val="11B013B4"/>
    <w:rsid w:val="11BA18B5"/>
    <w:rsid w:val="11BD15B6"/>
    <w:rsid w:val="11BF511D"/>
    <w:rsid w:val="11DC5FC8"/>
    <w:rsid w:val="11F51A04"/>
    <w:rsid w:val="1202325C"/>
    <w:rsid w:val="12094FE5"/>
    <w:rsid w:val="120B2110"/>
    <w:rsid w:val="120B3EBE"/>
    <w:rsid w:val="12251C71"/>
    <w:rsid w:val="12282CC2"/>
    <w:rsid w:val="12296A3A"/>
    <w:rsid w:val="122D1A3B"/>
    <w:rsid w:val="122E0D67"/>
    <w:rsid w:val="1230601B"/>
    <w:rsid w:val="1235718D"/>
    <w:rsid w:val="12371157"/>
    <w:rsid w:val="123C676E"/>
    <w:rsid w:val="12415B32"/>
    <w:rsid w:val="12445622"/>
    <w:rsid w:val="12481992"/>
    <w:rsid w:val="124D4AED"/>
    <w:rsid w:val="124E2B2A"/>
    <w:rsid w:val="12554D14"/>
    <w:rsid w:val="125B14BF"/>
    <w:rsid w:val="125C6E10"/>
    <w:rsid w:val="12617F82"/>
    <w:rsid w:val="126C217E"/>
    <w:rsid w:val="126F08F1"/>
    <w:rsid w:val="12767ED2"/>
    <w:rsid w:val="12A52565"/>
    <w:rsid w:val="12A54313"/>
    <w:rsid w:val="12A61E39"/>
    <w:rsid w:val="12AA36D7"/>
    <w:rsid w:val="12B318B6"/>
    <w:rsid w:val="12B427A8"/>
    <w:rsid w:val="12B74046"/>
    <w:rsid w:val="12BF1F82"/>
    <w:rsid w:val="12CC2900"/>
    <w:rsid w:val="12D1335A"/>
    <w:rsid w:val="12D14525"/>
    <w:rsid w:val="12D15C2F"/>
    <w:rsid w:val="12D5625E"/>
    <w:rsid w:val="12D76496"/>
    <w:rsid w:val="12D9220E"/>
    <w:rsid w:val="12D94892"/>
    <w:rsid w:val="12DA7DDB"/>
    <w:rsid w:val="12E3308D"/>
    <w:rsid w:val="12E438B8"/>
    <w:rsid w:val="12F07EE3"/>
    <w:rsid w:val="12F157AA"/>
    <w:rsid w:val="12F60149"/>
    <w:rsid w:val="1300779B"/>
    <w:rsid w:val="130324BB"/>
    <w:rsid w:val="130A686C"/>
    <w:rsid w:val="130F79DE"/>
    <w:rsid w:val="131C4A70"/>
    <w:rsid w:val="13320576"/>
    <w:rsid w:val="134753CA"/>
    <w:rsid w:val="13525B1D"/>
    <w:rsid w:val="135C4B4F"/>
    <w:rsid w:val="136E2957"/>
    <w:rsid w:val="138E4DA7"/>
    <w:rsid w:val="138E62F2"/>
    <w:rsid w:val="13A541C5"/>
    <w:rsid w:val="13B17A34"/>
    <w:rsid w:val="13BB725D"/>
    <w:rsid w:val="13BC6B86"/>
    <w:rsid w:val="13BD38DE"/>
    <w:rsid w:val="13CA1884"/>
    <w:rsid w:val="13D72346"/>
    <w:rsid w:val="13DA4490"/>
    <w:rsid w:val="13DD188A"/>
    <w:rsid w:val="13DD31DB"/>
    <w:rsid w:val="13E9332D"/>
    <w:rsid w:val="13E96481"/>
    <w:rsid w:val="13F07810"/>
    <w:rsid w:val="13F6294C"/>
    <w:rsid w:val="13F76DF0"/>
    <w:rsid w:val="140C2170"/>
    <w:rsid w:val="140E5EE8"/>
    <w:rsid w:val="14184FB8"/>
    <w:rsid w:val="142221F3"/>
    <w:rsid w:val="14261483"/>
    <w:rsid w:val="143D5922"/>
    <w:rsid w:val="143F42F3"/>
    <w:rsid w:val="144135AB"/>
    <w:rsid w:val="14416FC6"/>
    <w:rsid w:val="145F04F1"/>
    <w:rsid w:val="146529A6"/>
    <w:rsid w:val="14777F31"/>
    <w:rsid w:val="147A6BB3"/>
    <w:rsid w:val="147E4E1C"/>
    <w:rsid w:val="148E0DD7"/>
    <w:rsid w:val="14902DA1"/>
    <w:rsid w:val="14985D77"/>
    <w:rsid w:val="149E726C"/>
    <w:rsid w:val="14A3487C"/>
    <w:rsid w:val="14AD5701"/>
    <w:rsid w:val="14C02644"/>
    <w:rsid w:val="14D45232"/>
    <w:rsid w:val="14E135FC"/>
    <w:rsid w:val="14EC447B"/>
    <w:rsid w:val="14FF17EF"/>
    <w:rsid w:val="15011746"/>
    <w:rsid w:val="150D43F1"/>
    <w:rsid w:val="151412DC"/>
    <w:rsid w:val="151417DA"/>
    <w:rsid w:val="151614F8"/>
    <w:rsid w:val="151E03AD"/>
    <w:rsid w:val="152534E9"/>
    <w:rsid w:val="154C744C"/>
    <w:rsid w:val="15565D98"/>
    <w:rsid w:val="155E11CF"/>
    <w:rsid w:val="15610299"/>
    <w:rsid w:val="156E0A8E"/>
    <w:rsid w:val="157955E3"/>
    <w:rsid w:val="157E75CB"/>
    <w:rsid w:val="158521DA"/>
    <w:rsid w:val="1589377E"/>
    <w:rsid w:val="15897F1C"/>
    <w:rsid w:val="159863B1"/>
    <w:rsid w:val="15A03708"/>
    <w:rsid w:val="15AF462C"/>
    <w:rsid w:val="15B36D47"/>
    <w:rsid w:val="15BA6327"/>
    <w:rsid w:val="15C56A7A"/>
    <w:rsid w:val="15D54F0F"/>
    <w:rsid w:val="15D66ED9"/>
    <w:rsid w:val="15D8055B"/>
    <w:rsid w:val="15E629C6"/>
    <w:rsid w:val="15F63143"/>
    <w:rsid w:val="16097BDD"/>
    <w:rsid w:val="16283C4A"/>
    <w:rsid w:val="16297B44"/>
    <w:rsid w:val="162C08A7"/>
    <w:rsid w:val="1638549E"/>
    <w:rsid w:val="163F6FB6"/>
    <w:rsid w:val="164F5399"/>
    <w:rsid w:val="165A6B98"/>
    <w:rsid w:val="165B2F3A"/>
    <w:rsid w:val="165F1C73"/>
    <w:rsid w:val="16610551"/>
    <w:rsid w:val="166E49F3"/>
    <w:rsid w:val="166F2237"/>
    <w:rsid w:val="167C182F"/>
    <w:rsid w:val="167F30CD"/>
    <w:rsid w:val="168129A1"/>
    <w:rsid w:val="16826672"/>
    <w:rsid w:val="1686445B"/>
    <w:rsid w:val="169052DA"/>
    <w:rsid w:val="1697205A"/>
    <w:rsid w:val="16A2521C"/>
    <w:rsid w:val="16BC3D6A"/>
    <w:rsid w:val="16BD7F1F"/>
    <w:rsid w:val="16BF34C9"/>
    <w:rsid w:val="16C94348"/>
    <w:rsid w:val="16CB1E6E"/>
    <w:rsid w:val="16CF7BB0"/>
    <w:rsid w:val="16D033A4"/>
    <w:rsid w:val="16DE7DF3"/>
    <w:rsid w:val="16F30604"/>
    <w:rsid w:val="16F77107"/>
    <w:rsid w:val="171A4BA4"/>
    <w:rsid w:val="17237EFC"/>
    <w:rsid w:val="173C2893"/>
    <w:rsid w:val="1744728F"/>
    <w:rsid w:val="174A32FC"/>
    <w:rsid w:val="174A5489"/>
    <w:rsid w:val="17527900"/>
    <w:rsid w:val="176127D3"/>
    <w:rsid w:val="176A1687"/>
    <w:rsid w:val="17742506"/>
    <w:rsid w:val="177E15D6"/>
    <w:rsid w:val="178766DD"/>
    <w:rsid w:val="178843F6"/>
    <w:rsid w:val="178938B1"/>
    <w:rsid w:val="1791130A"/>
    <w:rsid w:val="17930DF4"/>
    <w:rsid w:val="17986F0A"/>
    <w:rsid w:val="179B7A92"/>
    <w:rsid w:val="17A00C9C"/>
    <w:rsid w:val="17A70B2D"/>
    <w:rsid w:val="17A80401"/>
    <w:rsid w:val="17AD6FEE"/>
    <w:rsid w:val="17B9628F"/>
    <w:rsid w:val="17C90AA4"/>
    <w:rsid w:val="17CD5E32"/>
    <w:rsid w:val="17D949BA"/>
    <w:rsid w:val="17DD3D91"/>
    <w:rsid w:val="17DE07C9"/>
    <w:rsid w:val="17E05DED"/>
    <w:rsid w:val="17E53404"/>
    <w:rsid w:val="17EE2198"/>
    <w:rsid w:val="17F3167D"/>
    <w:rsid w:val="17F378CF"/>
    <w:rsid w:val="18025D64"/>
    <w:rsid w:val="180513B0"/>
    <w:rsid w:val="18060CAD"/>
    <w:rsid w:val="18090EA0"/>
    <w:rsid w:val="180970F2"/>
    <w:rsid w:val="181141F9"/>
    <w:rsid w:val="1816180F"/>
    <w:rsid w:val="181810E3"/>
    <w:rsid w:val="181B5077"/>
    <w:rsid w:val="181F06C4"/>
    <w:rsid w:val="182A3CED"/>
    <w:rsid w:val="182C2DE0"/>
    <w:rsid w:val="182E4653"/>
    <w:rsid w:val="18326D5A"/>
    <w:rsid w:val="18352CCE"/>
    <w:rsid w:val="18381785"/>
    <w:rsid w:val="18392EA6"/>
    <w:rsid w:val="1840688C"/>
    <w:rsid w:val="184B14B9"/>
    <w:rsid w:val="18602A8A"/>
    <w:rsid w:val="186319F2"/>
    <w:rsid w:val="18820491"/>
    <w:rsid w:val="18822A00"/>
    <w:rsid w:val="189664AC"/>
    <w:rsid w:val="18980476"/>
    <w:rsid w:val="189A41EE"/>
    <w:rsid w:val="18A27FB7"/>
    <w:rsid w:val="18B057C0"/>
    <w:rsid w:val="18B2431D"/>
    <w:rsid w:val="18B828C6"/>
    <w:rsid w:val="18BD7EDC"/>
    <w:rsid w:val="18BE2686"/>
    <w:rsid w:val="18BF3C55"/>
    <w:rsid w:val="18C63235"/>
    <w:rsid w:val="18C66FC3"/>
    <w:rsid w:val="18C76C7D"/>
    <w:rsid w:val="18CB43A7"/>
    <w:rsid w:val="18CE5C46"/>
    <w:rsid w:val="18D45952"/>
    <w:rsid w:val="18DD53B0"/>
    <w:rsid w:val="18FA5F5B"/>
    <w:rsid w:val="19063631"/>
    <w:rsid w:val="190D5DA6"/>
    <w:rsid w:val="190D676E"/>
    <w:rsid w:val="19210F7C"/>
    <w:rsid w:val="19243431"/>
    <w:rsid w:val="192915C4"/>
    <w:rsid w:val="192D1C36"/>
    <w:rsid w:val="192F4936"/>
    <w:rsid w:val="194303E2"/>
    <w:rsid w:val="1945415A"/>
    <w:rsid w:val="194A6555"/>
    <w:rsid w:val="194D1260"/>
    <w:rsid w:val="19520625"/>
    <w:rsid w:val="195F2D42"/>
    <w:rsid w:val="19636FAD"/>
    <w:rsid w:val="196A1E12"/>
    <w:rsid w:val="197E141A"/>
    <w:rsid w:val="198033E4"/>
    <w:rsid w:val="19831E34"/>
    <w:rsid w:val="19897912"/>
    <w:rsid w:val="198A7DBF"/>
    <w:rsid w:val="19924EC5"/>
    <w:rsid w:val="19996254"/>
    <w:rsid w:val="19A8293B"/>
    <w:rsid w:val="19B32C13"/>
    <w:rsid w:val="19BB08C0"/>
    <w:rsid w:val="19BB441C"/>
    <w:rsid w:val="19C92FDD"/>
    <w:rsid w:val="19D64215"/>
    <w:rsid w:val="19E82D37"/>
    <w:rsid w:val="19EF056A"/>
    <w:rsid w:val="19F16090"/>
    <w:rsid w:val="19F21518"/>
    <w:rsid w:val="19F45B80"/>
    <w:rsid w:val="19F5699C"/>
    <w:rsid w:val="19F854ED"/>
    <w:rsid w:val="19FC4B99"/>
    <w:rsid w:val="19FD4A34"/>
    <w:rsid w:val="1A0553F8"/>
    <w:rsid w:val="1A100B78"/>
    <w:rsid w:val="1A1104E0"/>
    <w:rsid w:val="1A141D7E"/>
    <w:rsid w:val="1A1816AF"/>
    <w:rsid w:val="1A197394"/>
    <w:rsid w:val="1A1B2776"/>
    <w:rsid w:val="1A2226ED"/>
    <w:rsid w:val="1A2553F4"/>
    <w:rsid w:val="1A390D02"/>
    <w:rsid w:val="1A400DC5"/>
    <w:rsid w:val="1A50725A"/>
    <w:rsid w:val="1A512FD2"/>
    <w:rsid w:val="1A5B175B"/>
    <w:rsid w:val="1A5D6B21"/>
    <w:rsid w:val="1A6B392B"/>
    <w:rsid w:val="1A6C3968"/>
    <w:rsid w:val="1A776A7C"/>
    <w:rsid w:val="1A7867B1"/>
    <w:rsid w:val="1A954C6D"/>
    <w:rsid w:val="1A9F5AEC"/>
    <w:rsid w:val="1AA96950"/>
    <w:rsid w:val="1AAB623F"/>
    <w:rsid w:val="1AAC0209"/>
    <w:rsid w:val="1AB0358A"/>
    <w:rsid w:val="1AB779F7"/>
    <w:rsid w:val="1ABA0B77"/>
    <w:rsid w:val="1AC241ED"/>
    <w:rsid w:val="1AC56366"/>
    <w:rsid w:val="1AD31C39"/>
    <w:rsid w:val="1AD42B5F"/>
    <w:rsid w:val="1ADA4D76"/>
    <w:rsid w:val="1ADF3D64"/>
    <w:rsid w:val="1AE654C9"/>
    <w:rsid w:val="1AE94FB9"/>
    <w:rsid w:val="1AFA5F43"/>
    <w:rsid w:val="1AFB610E"/>
    <w:rsid w:val="1AFC2F3E"/>
    <w:rsid w:val="1B001962"/>
    <w:rsid w:val="1B03607B"/>
    <w:rsid w:val="1B293607"/>
    <w:rsid w:val="1B301BF8"/>
    <w:rsid w:val="1B32775E"/>
    <w:rsid w:val="1B5468D6"/>
    <w:rsid w:val="1B5A4D59"/>
    <w:rsid w:val="1B5D7722"/>
    <w:rsid w:val="1B604C82"/>
    <w:rsid w:val="1B682381"/>
    <w:rsid w:val="1B7900EB"/>
    <w:rsid w:val="1B854CE1"/>
    <w:rsid w:val="1B860A5A"/>
    <w:rsid w:val="1B8F49F8"/>
    <w:rsid w:val="1B970EB9"/>
    <w:rsid w:val="1BA17641"/>
    <w:rsid w:val="1BBC447B"/>
    <w:rsid w:val="1BC11A92"/>
    <w:rsid w:val="1BC752FA"/>
    <w:rsid w:val="1BD11B5A"/>
    <w:rsid w:val="1BDB0DA5"/>
    <w:rsid w:val="1BDE2809"/>
    <w:rsid w:val="1BEF2AA3"/>
    <w:rsid w:val="1BF81957"/>
    <w:rsid w:val="1C0025BA"/>
    <w:rsid w:val="1C063DFC"/>
    <w:rsid w:val="1C093B64"/>
    <w:rsid w:val="1C163B8C"/>
    <w:rsid w:val="1C197B20"/>
    <w:rsid w:val="1C1A0A3B"/>
    <w:rsid w:val="1C1F5136"/>
    <w:rsid w:val="1C220782"/>
    <w:rsid w:val="1C2344C8"/>
    <w:rsid w:val="1C27223D"/>
    <w:rsid w:val="1C2838BF"/>
    <w:rsid w:val="1C2C33AF"/>
    <w:rsid w:val="1C312FB0"/>
    <w:rsid w:val="1C3202C9"/>
    <w:rsid w:val="1C3D380E"/>
    <w:rsid w:val="1C3D55BC"/>
    <w:rsid w:val="1C56042C"/>
    <w:rsid w:val="1C5D17BA"/>
    <w:rsid w:val="1C746B04"/>
    <w:rsid w:val="1C7A6810"/>
    <w:rsid w:val="1CA51528"/>
    <w:rsid w:val="1CAB489A"/>
    <w:rsid w:val="1CAB56A6"/>
    <w:rsid w:val="1CAE0268"/>
    <w:rsid w:val="1CB82E95"/>
    <w:rsid w:val="1CCA73D9"/>
    <w:rsid w:val="1CCB3034"/>
    <w:rsid w:val="1CD32386"/>
    <w:rsid w:val="1CE1063D"/>
    <w:rsid w:val="1CED6FE2"/>
    <w:rsid w:val="1CF579C3"/>
    <w:rsid w:val="1CFD4D4B"/>
    <w:rsid w:val="1D0165EA"/>
    <w:rsid w:val="1D04432C"/>
    <w:rsid w:val="1D0460DA"/>
    <w:rsid w:val="1D100EDB"/>
    <w:rsid w:val="1D1A63F1"/>
    <w:rsid w:val="1D232A04"/>
    <w:rsid w:val="1D291FA4"/>
    <w:rsid w:val="1D2C3DF3"/>
    <w:rsid w:val="1D320E99"/>
    <w:rsid w:val="1D322C47"/>
    <w:rsid w:val="1D352737"/>
    <w:rsid w:val="1D383FD6"/>
    <w:rsid w:val="1D3F35B6"/>
    <w:rsid w:val="1D41732E"/>
    <w:rsid w:val="1D4913DB"/>
    <w:rsid w:val="1D4B3D09"/>
    <w:rsid w:val="1D50131F"/>
    <w:rsid w:val="1D525097"/>
    <w:rsid w:val="1D5317F9"/>
    <w:rsid w:val="1D5E3A3C"/>
    <w:rsid w:val="1D644DCB"/>
    <w:rsid w:val="1D736EB5"/>
    <w:rsid w:val="1D7414B2"/>
    <w:rsid w:val="1D796AC8"/>
    <w:rsid w:val="1D840FC9"/>
    <w:rsid w:val="1D887F78"/>
    <w:rsid w:val="1D8B61C3"/>
    <w:rsid w:val="1D990F18"/>
    <w:rsid w:val="1D9C0F06"/>
    <w:rsid w:val="1DA01BE8"/>
    <w:rsid w:val="1DBB7F27"/>
    <w:rsid w:val="1DC61712"/>
    <w:rsid w:val="1DC83B88"/>
    <w:rsid w:val="1DCA7323"/>
    <w:rsid w:val="1DE56417"/>
    <w:rsid w:val="1E021B0F"/>
    <w:rsid w:val="1E0C16EA"/>
    <w:rsid w:val="1E0D7210"/>
    <w:rsid w:val="1E110AAE"/>
    <w:rsid w:val="1E117898"/>
    <w:rsid w:val="1E1268EC"/>
    <w:rsid w:val="1E220F0E"/>
    <w:rsid w:val="1E28404A"/>
    <w:rsid w:val="1E3C595D"/>
    <w:rsid w:val="1E3D0957"/>
    <w:rsid w:val="1E430390"/>
    <w:rsid w:val="1E5B441F"/>
    <w:rsid w:val="1E5E7A6C"/>
    <w:rsid w:val="1E6C3F37"/>
    <w:rsid w:val="1E796654"/>
    <w:rsid w:val="1E890F8D"/>
    <w:rsid w:val="1E934E86"/>
    <w:rsid w:val="1EA2204E"/>
    <w:rsid w:val="1EAF51A6"/>
    <w:rsid w:val="1EB53B30"/>
    <w:rsid w:val="1EBB0A1A"/>
    <w:rsid w:val="1EBC3110"/>
    <w:rsid w:val="1ED55F80"/>
    <w:rsid w:val="1ED61CF8"/>
    <w:rsid w:val="1EDA17E8"/>
    <w:rsid w:val="1EE14925"/>
    <w:rsid w:val="1EEE0DF0"/>
    <w:rsid w:val="1EF53F2C"/>
    <w:rsid w:val="1F02489B"/>
    <w:rsid w:val="1F032D79"/>
    <w:rsid w:val="1F06438B"/>
    <w:rsid w:val="1F0A0BF3"/>
    <w:rsid w:val="1F170346"/>
    <w:rsid w:val="1F220A99"/>
    <w:rsid w:val="1F5218AC"/>
    <w:rsid w:val="1F572E39"/>
    <w:rsid w:val="1F79410D"/>
    <w:rsid w:val="1F957F30"/>
    <w:rsid w:val="1F9B1205"/>
    <w:rsid w:val="1F9C4CF0"/>
    <w:rsid w:val="1FA45952"/>
    <w:rsid w:val="1FB06288"/>
    <w:rsid w:val="1FBA5176"/>
    <w:rsid w:val="1FBF453A"/>
    <w:rsid w:val="1FC009DE"/>
    <w:rsid w:val="1FC14756"/>
    <w:rsid w:val="1FCB1131"/>
    <w:rsid w:val="1FCD4EA9"/>
    <w:rsid w:val="1FE16BA6"/>
    <w:rsid w:val="1FF75BB9"/>
    <w:rsid w:val="1FFF018E"/>
    <w:rsid w:val="20333484"/>
    <w:rsid w:val="204333BD"/>
    <w:rsid w:val="2043434B"/>
    <w:rsid w:val="204607B7"/>
    <w:rsid w:val="204809D3"/>
    <w:rsid w:val="204F1D62"/>
    <w:rsid w:val="204F54AA"/>
    <w:rsid w:val="20540038"/>
    <w:rsid w:val="20564E9E"/>
    <w:rsid w:val="20635CDA"/>
    <w:rsid w:val="20696A4F"/>
    <w:rsid w:val="206F256C"/>
    <w:rsid w:val="2080016D"/>
    <w:rsid w:val="20803CC9"/>
    <w:rsid w:val="20825C93"/>
    <w:rsid w:val="2099122F"/>
    <w:rsid w:val="20A04C9E"/>
    <w:rsid w:val="20BF0C96"/>
    <w:rsid w:val="20C371C9"/>
    <w:rsid w:val="20D364EF"/>
    <w:rsid w:val="20D83B05"/>
    <w:rsid w:val="20D95DBC"/>
    <w:rsid w:val="20DB1848"/>
    <w:rsid w:val="20E26732"/>
    <w:rsid w:val="20EC75B1"/>
    <w:rsid w:val="20FA3A7C"/>
    <w:rsid w:val="21052421"/>
    <w:rsid w:val="21076BB1"/>
    <w:rsid w:val="210A7A37"/>
    <w:rsid w:val="210E39CB"/>
    <w:rsid w:val="21133454"/>
    <w:rsid w:val="21244F9D"/>
    <w:rsid w:val="21470C8B"/>
    <w:rsid w:val="21495FA7"/>
    <w:rsid w:val="214E201A"/>
    <w:rsid w:val="21667363"/>
    <w:rsid w:val="21674E89"/>
    <w:rsid w:val="216E6218"/>
    <w:rsid w:val="21721BC5"/>
    <w:rsid w:val="217F21D3"/>
    <w:rsid w:val="21863BB1"/>
    <w:rsid w:val="21867A05"/>
    <w:rsid w:val="218D2F7E"/>
    <w:rsid w:val="218E0668"/>
    <w:rsid w:val="21983295"/>
    <w:rsid w:val="21A539C8"/>
    <w:rsid w:val="21A84FD1"/>
    <w:rsid w:val="21BE088E"/>
    <w:rsid w:val="21C83B7A"/>
    <w:rsid w:val="21D73DBD"/>
    <w:rsid w:val="21DA38AD"/>
    <w:rsid w:val="21E50DD0"/>
    <w:rsid w:val="21EB1616"/>
    <w:rsid w:val="21F05E39"/>
    <w:rsid w:val="21F15493"/>
    <w:rsid w:val="21F4496F"/>
    <w:rsid w:val="21F4671D"/>
    <w:rsid w:val="21F93D33"/>
    <w:rsid w:val="21F962A0"/>
    <w:rsid w:val="22010E3A"/>
    <w:rsid w:val="22032509"/>
    <w:rsid w:val="2205092A"/>
    <w:rsid w:val="22094DFD"/>
    <w:rsid w:val="22097CEF"/>
    <w:rsid w:val="220F3557"/>
    <w:rsid w:val="22161C61"/>
    <w:rsid w:val="221D0BEC"/>
    <w:rsid w:val="221E7C3E"/>
    <w:rsid w:val="22274D44"/>
    <w:rsid w:val="222A213F"/>
    <w:rsid w:val="222A4B6D"/>
    <w:rsid w:val="222F1E4B"/>
    <w:rsid w:val="222F59A7"/>
    <w:rsid w:val="2234120F"/>
    <w:rsid w:val="2237485C"/>
    <w:rsid w:val="223D3F40"/>
    <w:rsid w:val="223F5FEE"/>
    <w:rsid w:val="22482F0D"/>
    <w:rsid w:val="225331FA"/>
    <w:rsid w:val="22596EC8"/>
    <w:rsid w:val="228A0E2F"/>
    <w:rsid w:val="22925F36"/>
    <w:rsid w:val="22A632E6"/>
    <w:rsid w:val="22AC6FF8"/>
    <w:rsid w:val="22AE0FC2"/>
    <w:rsid w:val="22B1460E"/>
    <w:rsid w:val="22B27E7B"/>
    <w:rsid w:val="22BD7457"/>
    <w:rsid w:val="22BE7CF6"/>
    <w:rsid w:val="22BF7BEC"/>
    <w:rsid w:val="22CD64D5"/>
    <w:rsid w:val="22D07957"/>
    <w:rsid w:val="22D16A5E"/>
    <w:rsid w:val="22D622C7"/>
    <w:rsid w:val="22D80B06"/>
    <w:rsid w:val="22DA353F"/>
    <w:rsid w:val="22DD3655"/>
    <w:rsid w:val="22DE117B"/>
    <w:rsid w:val="22DE2AD5"/>
    <w:rsid w:val="22E04EF3"/>
    <w:rsid w:val="22F56BF1"/>
    <w:rsid w:val="23007343"/>
    <w:rsid w:val="2304679B"/>
    <w:rsid w:val="230E6A95"/>
    <w:rsid w:val="231150AD"/>
    <w:rsid w:val="231B5F2B"/>
    <w:rsid w:val="23270D74"/>
    <w:rsid w:val="23411E36"/>
    <w:rsid w:val="234E00AF"/>
    <w:rsid w:val="234F1F97"/>
    <w:rsid w:val="235A4CA6"/>
    <w:rsid w:val="238748E8"/>
    <w:rsid w:val="238C6E29"/>
    <w:rsid w:val="238E6BF4"/>
    <w:rsid w:val="23971A56"/>
    <w:rsid w:val="239C5DF7"/>
    <w:rsid w:val="239E1A4F"/>
    <w:rsid w:val="23A67EEB"/>
    <w:rsid w:val="23C5389E"/>
    <w:rsid w:val="23C6058D"/>
    <w:rsid w:val="23CA689B"/>
    <w:rsid w:val="23CE0618"/>
    <w:rsid w:val="23CE7442"/>
    <w:rsid w:val="23DA5DE6"/>
    <w:rsid w:val="24013373"/>
    <w:rsid w:val="240F66DF"/>
    <w:rsid w:val="242157C3"/>
    <w:rsid w:val="242E1C8E"/>
    <w:rsid w:val="243D7865"/>
    <w:rsid w:val="243F5C4A"/>
    <w:rsid w:val="24427416"/>
    <w:rsid w:val="244A2F6C"/>
    <w:rsid w:val="24513E1A"/>
    <w:rsid w:val="24575689"/>
    <w:rsid w:val="245872B7"/>
    <w:rsid w:val="247E6772"/>
    <w:rsid w:val="24821797"/>
    <w:rsid w:val="2483647E"/>
    <w:rsid w:val="24863878"/>
    <w:rsid w:val="24B108F5"/>
    <w:rsid w:val="24C0004C"/>
    <w:rsid w:val="24CC1BD3"/>
    <w:rsid w:val="24D46CDA"/>
    <w:rsid w:val="24D51E86"/>
    <w:rsid w:val="24DE36B4"/>
    <w:rsid w:val="24DF6C29"/>
    <w:rsid w:val="24F37160"/>
    <w:rsid w:val="24F77EC0"/>
    <w:rsid w:val="24FE5B05"/>
    <w:rsid w:val="250076E0"/>
    <w:rsid w:val="25090731"/>
    <w:rsid w:val="25201F1F"/>
    <w:rsid w:val="25207829"/>
    <w:rsid w:val="25253074"/>
    <w:rsid w:val="252F3F10"/>
    <w:rsid w:val="254554E2"/>
    <w:rsid w:val="254B6F9C"/>
    <w:rsid w:val="25506360"/>
    <w:rsid w:val="255064C5"/>
    <w:rsid w:val="255D0A7D"/>
    <w:rsid w:val="2560217B"/>
    <w:rsid w:val="256E3C46"/>
    <w:rsid w:val="256E4FC7"/>
    <w:rsid w:val="257445A4"/>
    <w:rsid w:val="257A162F"/>
    <w:rsid w:val="2580651A"/>
    <w:rsid w:val="25825C3A"/>
    <w:rsid w:val="258B3ADC"/>
    <w:rsid w:val="258B4809"/>
    <w:rsid w:val="258F21DF"/>
    <w:rsid w:val="25953B63"/>
    <w:rsid w:val="259D6EA3"/>
    <w:rsid w:val="259F2BD5"/>
    <w:rsid w:val="25B34B41"/>
    <w:rsid w:val="25BF3FF0"/>
    <w:rsid w:val="25C428AA"/>
    <w:rsid w:val="25C94247"/>
    <w:rsid w:val="25D36F91"/>
    <w:rsid w:val="25EF3DCB"/>
    <w:rsid w:val="25F017A5"/>
    <w:rsid w:val="25F52A64"/>
    <w:rsid w:val="25F72C80"/>
    <w:rsid w:val="25F73D92"/>
    <w:rsid w:val="25F80519"/>
    <w:rsid w:val="25FE400E"/>
    <w:rsid w:val="260A4E23"/>
    <w:rsid w:val="260B04D9"/>
    <w:rsid w:val="26153106"/>
    <w:rsid w:val="26160CB4"/>
    <w:rsid w:val="26231FED"/>
    <w:rsid w:val="263920A0"/>
    <w:rsid w:val="26461511"/>
    <w:rsid w:val="264B4D7A"/>
    <w:rsid w:val="26511004"/>
    <w:rsid w:val="26562EC6"/>
    <w:rsid w:val="2658553D"/>
    <w:rsid w:val="265A2CA1"/>
    <w:rsid w:val="265A4FBD"/>
    <w:rsid w:val="265A6D6B"/>
    <w:rsid w:val="266114EB"/>
    <w:rsid w:val="266876DA"/>
    <w:rsid w:val="26773DC1"/>
    <w:rsid w:val="267C5CFF"/>
    <w:rsid w:val="26864004"/>
    <w:rsid w:val="268F4BF4"/>
    <w:rsid w:val="26930518"/>
    <w:rsid w:val="26A12BEB"/>
    <w:rsid w:val="26A5532C"/>
    <w:rsid w:val="26B52555"/>
    <w:rsid w:val="26B91CE3"/>
    <w:rsid w:val="26C62106"/>
    <w:rsid w:val="26C8461C"/>
    <w:rsid w:val="26DF00CE"/>
    <w:rsid w:val="26E03714"/>
    <w:rsid w:val="26EC030B"/>
    <w:rsid w:val="26EE4083"/>
    <w:rsid w:val="26F15921"/>
    <w:rsid w:val="27054F28"/>
    <w:rsid w:val="270D202F"/>
    <w:rsid w:val="27197EAD"/>
    <w:rsid w:val="27231852"/>
    <w:rsid w:val="272730F1"/>
    <w:rsid w:val="27337CE7"/>
    <w:rsid w:val="274243CE"/>
    <w:rsid w:val="27537066"/>
    <w:rsid w:val="275B723E"/>
    <w:rsid w:val="275F0ADD"/>
    <w:rsid w:val="27651E6B"/>
    <w:rsid w:val="2769067D"/>
    <w:rsid w:val="276D4554"/>
    <w:rsid w:val="2778394C"/>
    <w:rsid w:val="277D71B5"/>
    <w:rsid w:val="27822A1D"/>
    <w:rsid w:val="279664C8"/>
    <w:rsid w:val="279B763B"/>
    <w:rsid w:val="27A42993"/>
    <w:rsid w:val="27AC1848"/>
    <w:rsid w:val="27B506FD"/>
    <w:rsid w:val="27BA21B7"/>
    <w:rsid w:val="27BB051C"/>
    <w:rsid w:val="27C82E0F"/>
    <w:rsid w:val="27C923FA"/>
    <w:rsid w:val="27DD7C53"/>
    <w:rsid w:val="27E01FB0"/>
    <w:rsid w:val="27E86D24"/>
    <w:rsid w:val="27EB6E7A"/>
    <w:rsid w:val="27EE1E60"/>
    <w:rsid w:val="27EF4C6C"/>
    <w:rsid w:val="27F51441"/>
    <w:rsid w:val="27F67BE1"/>
    <w:rsid w:val="27FB4A1E"/>
    <w:rsid w:val="27FC632B"/>
    <w:rsid w:val="28016611"/>
    <w:rsid w:val="28096C9A"/>
    <w:rsid w:val="28133675"/>
    <w:rsid w:val="28141E26"/>
    <w:rsid w:val="28180C8B"/>
    <w:rsid w:val="281C0F5B"/>
    <w:rsid w:val="281E5ACB"/>
    <w:rsid w:val="281F64BE"/>
    <w:rsid w:val="28333D17"/>
    <w:rsid w:val="28341F69"/>
    <w:rsid w:val="28387E95"/>
    <w:rsid w:val="283D279D"/>
    <w:rsid w:val="284657F9"/>
    <w:rsid w:val="284A065D"/>
    <w:rsid w:val="284F6DA3"/>
    <w:rsid w:val="285521D8"/>
    <w:rsid w:val="28884063"/>
    <w:rsid w:val="28890E9F"/>
    <w:rsid w:val="288C3B0E"/>
    <w:rsid w:val="28916C07"/>
    <w:rsid w:val="28960EC3"/>
    <w:rsid w:val="28972A99"/>
    <w:rsid w:val="289C18BC"/>
    <w:rsid w:val="28AD1D1C"/>
    <w:rsid w:val="28B430AA"/>
    <w:rsid w:val="28C02B57"/>
    <w:rsid w:val="28C11323"/>
    <w:rsid w:val="28E25CFA"/>
    <w:rsid w:val="28E56F64"/>
    <w:rsid w:val="28FB2A87"/>
    <w:rsid w:val="28FB4835"/>
    <w:rsid w:val="29017C9D"/>
    <w:rsid w:val="2903331A"/>
    <w:rsid w:val="290D4568"/>
    <w:rsid w:val="29206A9A"/>
    <w:rsid w:val="29297154"/>
    <w:rsid w:val="294206B6"/>
    <w:rsid w:val="29424212"/>
    <w:rsid w:val="29475CCC"/>
    <w:rsid w:val="29494DB0"/>
    <w:rsid w:val="2957166D"/>
    <w:rsid w:val="29602C12"/>
    <w:rsid w:val="296B4718"/>
    <w:rsid w:val="296E6FF1"/>
    <w:rsid w:val="296F6CA5"/>
    <w:rsid w:val="297445E7"/>
    <w:rsid w:val="2976210D"/>
    <w:rsid w:val="29791ADF"/>
    <w:rsid w:val="298962E5"/>
    <w:rsid w:val="29A94291"/>
    <w:rsid w:val="29C63C11"/>
    <w:rsid w:val="29C76E0D"/>
    <w:rsid w:val="29E277A3"/>
    <w:rsid w:val="29FA689B"/>
    <w:rsid w:val="2A0C7A5C"/>
    <w:rsid w:val="2A0F46C9"/>
    <w:rsid w:val="2A1D0D41"/>
    <w:rsid w:val="2A202079"/>
    <w:rsid w:val="2A257690"/>
    <w:rsid w:val="2A285A3E"/>
    <w:rsid w:val="2A2C0A1E"/>
    <w:rsid w:val="2A391AB9"/>
    <w:rsid w:val="2A3F69A3"/>
    <w:rsid w:val="2A44045E"/>
    <w:rsid w:val="2A451994"/>
    <w:rsid w:val="2A473AAA"/>
    <w:rsid w:val="2A4A77E3"/>
    <w:rsid w:val="2A4E5310"/>
    <w:rsid w:val="2A524929"/>
    <w:rsid w:val="2A5306A1"/>
    <w:rsid w:val="2A6428AE"/>
    <w:rsid w:val="2A6A7EA4"/>
    <w:rsid w:val="2A6D1431"/>
    <w:rsid w:val="2A74232B"/>
    <w:rsid w:val="2A75037D"/>
    <w:rsid w:val="2A7A5C2D"/>
    <w:rsid w:val="2A900FAD"/>
    <w:rsid w:val="2A9071FF"/>
    <w:rsid w:val="2AAF1A65"/>
    <w:rsid w:val="2AB96756"/>
    <w:rsid w:val="2ABE5B1A"/>
    <w:rsid w:val="2AC10237"/>
    <w:rsid w:val="2ACD3FAF"/>
    <w:rsid w:val="2ADB029A"/>
    <w:rsid w:val="2AF45324"/>
    <w:rsid w:val="2AFC6642"/>
    <w:rsid w:val="2B025B16"/>
    <w:rsid w:val="2B0E370A"/>
    <w:rsid w:val="2B3758CC"/>
    <w:rsid w:val="2B4104F9"/>
    <w:rsid w:val="2B4A3852"/>
    <w:rsid w:val="2B4C581C"/>
    <w:rsid w:val="2B4D201E"/>
    <w:rsid w:val="2B4E0793"/>
    <w:rsid w:val="2B51698E"/>
    <w:rsid w:val="2B537A46"/>
    <w:rsid w:val="2B626DED"/>
    <w:rsid w:val="2B6C5576"/>
    <w:rsid w:val="2B715282"/>
    <w:rsid w:val="2B7B1307"/>
    <w:rsid w:val="2B7B7806"/>
    <w:rsid w:val="2B807273"/>
    <w:rsid w:val="2B8925CC"/>
    <w:rsid w:val="2B8C61C1"/>
    <w:rsid w:val="2B92733D"/>
    <w:rsid w:val="2BAF007C"/>
    <w:rsid w:val="2BC11369"/>
    <w:rsid w:val="2BD62512"/>
    <w:rsid w:val="2BD73FA6"/>
    <w:rsid w:val="2BD96984"/>
    <w:rsid w:val="2BDD4362"/>
    <w:rsid w:val="2BE40A0C"/>
    <w:rsid w:val="2BE47802"/>
    <w:rsid w:val="2BF0264B"/>
    <w:rsid w:val="2BF13CCD"/>
    <w:rsid w:val="2BF253AF"/>
    <w:rsid w:val="2BF51A0F"/>
    <w:rsid w:val="2BFB4B4C"/>
    <w:rsid w:val="2C097269"/>
    <w:rsid w:val="2C131E96"/>
    <w:rsid w:val="2C175B64"/>
    <w:rsid w:val="2C1874AC"/>
    <w:rsid w:val="2C1D4AC2"/>
    <w:rsid w:val="2C22032B"/>
    <w:rsid w:val="2C2A7A5F"/>
    <w:rsid w:val="2C317328"/>
    <w:rsid w:val="2C33078A"/>
    <w:rsid w:val="2C3F0EDD"/>
    <w:rsid w:val="2C451190"/>
    <w:rsid w:val="2C623728"/>
    <w:rsid w:val="2C72442D"/>
    <w:rsid w:val="2C7A1F15"/>
    <w:rsid w:val="2C7F7C26"/>
    <w:rsid w:val="2CA174A1"/>
    <w:rsid w:val="2CA86A82"/>
    <w:rsid w:val="2CB14869"/>
    <w:rsid w:val="2CBC077F"/>
    <w:rsid w:val="2CBE44F7"/>
    <w:rsid w:val="2CBF3DCB"/>
    <w:rsid w:val="2CC17B44"/>
    <w:rsid w:val="2CCD3B55"/>
    <w:rsid w:val="2CD0422B"/>
    <w:rsid w:val="2CD51841"/>
    <w:rsid w:val="2CD91D5C"/>
    <w:rsid w:val="2D002B75"/>
    <w:rsid w:val="2D012C77"/>
    <w:rsid w:val="2D01586E"/>
    <w:rsid w:val="2D016192"/>
    <w:rsid w:val="2D053ED4"/>
    <w:rsid w:val="2D12039F"/>
    <w:rsid w:val="2D200D0E"/>
    <w:rsid w:val="2D257DD1"/>
    <w:rsid w:val="2D265BF9"/>
    <w:rsid w:val="2D281971"/>
    <w:rsid w:val="2D2B1461"/>
    <w:rsid w:val="2D2B320F"/>
    <w:rsid w:val="2D3C541C"/>
    <w:rsid w:val="2D4A18E7"/>
    <w:rsid w:val="2D4F619D"/>
    <w:rsid w:val="2D5E35E4"/>
    <w:rsid w:val="2D662384"/>
    <w:rsid w:val="2D6D7CCB"/>
    <w:rsid w:val="2D83386F"/>
    <w:rsid w:val="2D8F3594"/>
    <w:rsid w:val="2D9D235F"/>
    <w:rsid w:val="2DA3215A"/>
    <w:rsid w:val="2DA4120F"/>
    <w:rsid w:val="2DA97864"/>
    <w:rsid w:val="2DAD1E76"/>
    <w:rsid w:val="2DB15E0A"/>
    <w:rsid w:val="2DB476A8"/>
    <w:rsid w:val="2DB60FC9"/>
    <w:rsid w:val="2DB9081B"/>
    <w:rsid w:val="2DC26011"/>
    <w:rsid w:val="2DC84F02"/>
    <w:rsid w:val="2DCE08CE"/>
    <w:rsid w:val="2DCE11F9"/>
    <w:rsid w:val="2DF06932"/>
    <w:rsid w:val="2DF33D2D"/>
    <w:rsid w:val="2E026666"/>
    <w:rsid w:val="2E045F3A"/>
    <w:rsid w:val="2E0A7B22"/>
    <w:rsid w:val="2E0C4DEE"/>
    <w:rsid w:val="2E0E0B66"/>
    <w:rsid w:val="2E114AFB"/>
    <w:rsid w:val="2E1D7C6B"/>
    <w:rsid w:val="2E2F6D2F"/>
    <w:rsid w:val="2E314855"/>
    <w:rsid w:val="2E362E80"/>
    <w:rsid w:val="2E366468"/>
    <w:rsid w:val="2E3D769E"/>
    <w:rsid w:val="2E4E3659"/>
    <w:rsid w:val="2E530C6F"/>
    <w:rsid w:val="2E55726A"/>
    <w:rsid w:val="2E5B7B24"/>
    <w:rsid w:val="2E5F5866"/>
    <w:rsid w:val="2E5F7614"/>
    <w:rsid w:val="2E694158"/>
    <w:rsid w:val="2E7330BF"/>
    <w:rsid w:val="2E7B3D22"/>
    <w:rsid w:val="2E84707B"/>
    <w:rsid w:val="2E8B0409"/>
    <w:rsid w:val="2EBB66FE"/>
    <w:rsid w:val="2EC61441"/>
    <w:rsid w:val="2EC76F67"/>
    <w:rsid w:val="2EC97183"/>
    <w:rsid w:val="2ECB6A58"/>
    <w:rsid w:val="2ED00512"/>
    <w:rsid w:val="2ED3590C"/>
    <w:rsid w:val="2EDF0755"/>
    <w:rsid w:val="2EE47B19"/>
    <w:rsid w:val="2EE67D35"/>
    <w:rsid w:val="2EEF6BEA"/>
    <w:rsid w:val="2EF2727F"/>
    <w:rsid w:val="2EF835C5"/>
    <w:rsid w:val="2EFF4953"/>
    <w:rsid w:val="2F012479"/>
    <w:rsid w:val="2F083808"/>
    <w:rsid w:val="2F2A4E8F"/>
    <w:rsid w:val="2F37233F"/>
    <w:rsid w:val="2F4E3303"/>
    <w:rsid w:val="2F503401"/>
    <w:rsid w:val="2F5E78CC"/>
    <w:rsid w:val="2F6D5D61"/>
    <w:rsid w:val="2F7E13BE"/>
    <w:rsid w:val="2F803CE6"/>
    <w:rsid w:val="2F8D0CD0"/>
    <w:rsid w:val="2F901D6F"/>
    <w:rsid w:val="2F910E4F"/>
    <w:rsid w:val="2F957C97"/>
    <w:rsid w:val="2FAB0637"/>
    <w:rsid w:val="2FB17851"/>
    <w:rsid w:val="2FB219C5"/>
    <w:rsid w:val="2FBC1EE1"/>
    <w:rsid w:val="2FD162F0"/>
    <w:rsid w:val="2FEA50DD"/>
    <w:rsid w:val="2FFD70E5"/>
    <w:rsid w:val="30054923"/>
    <w:rsid w:val="300D4E4E"/>
    <w:rsid w:val="300E62AB"/>
    <w:rsid w:val="30227C46"/>
    <w:rsid w:val="30231051"/>
    <w:rsid w:val="302B2641"/>
    <w:rsid w:val="30304946"/>
    <w:rsid w:val="30341A55"/>
    <w:rsid w:val="303D5733"/>
    <w:rsid w:val="30450A8C"/>
    <w:rsid w:val="304A7E50"/>
    <w:rsid w:val="30506C8F"/>
    <w:rsid w:val="305111DE"/>
    <w:rsid w:val="305A59FE"/>
    <w:rsid w:val="305D4027"/>
    <w:rsid w:val="3071362F"/>
    <w:rsid w:val="307355F9"/>
    <w:rsid w:val="30803872"/>
    <w:rsid w:val="309061AB"/>
    <w:rsid w:val="309243ED"/>
    <w:rsid w:val="30BC6FA0"/>
    <w:rsid w:val="30BF439A"/>
    <w:rsid w:val="30CC503A"/>
    <w:rsid w:val="30D50061"/>
    <w:rsid w:val="30F2476F"/>
    <w:rsid w:val="31015122"/>
    <w:rsid w:val="31035D61"/>
    <w:rsid w:val="3114756C"/>
    <w:rsid w:val="31305298"/>
    <w:rsid w:val="3136653F"/>
    <w:rsid w:val="313905F0"/>
    <w:rsid w:val="31442AF1"/>
    <w:rsid w:val="3148438F"/>
    <w:rsid w:val="31560FE0"/>
    <w:rsid w:val="315B522B"/>
    <w:rsid w:val="315D04EA"/>
    <w:rsid w:val="31615451"/>
    <w:rsid w:val="31745184"/>
    <w:rsid w:val="317621A6"/>
    <w:rsid w:val="31794E91"/>
    <w:rsid w:val="3185060A"/>
    <w:rsid w:val="31875EA5"/>
    <w:rsid w:val="319E0453"/>
    <w:rsid w:val="31C3610C"/>
    <w:rsid w:val="31C75679"/>
    <w:rsid w:val="31D60C88"/>
    <w:rsid w:val="31DE5BF5"/>
    <w:rsid w:val="31E85B72"/>
    <w:rsid w:val="31E87920"/>
    <w:rsid w:val="31F6028F"/>
    <w:rsid w:val="320C0E5F"/>
    <w:rsid w:val="321D3A6E"/>
    <w:rsid w:val="323446FA"/>
    <w:rsid w:val="323963CE"/>
    <w:rsid w:val="323B0A1C"/>
    <w:rsid w:val="325154C6"/>
    <w:rsid w:val="32544FB6"/>
    <w:rsid w:val="32582CF8"/>
    <w:rsid w:val="32780CA4"/>
    <w:rsid w:val="32831138"/>
    <w:rsid w:val="32891103"/>
    <w:rsid w:val="32A41A99"/>
    <w:rsid w:val="32A95302"/>
    <w:rsid w:val="32B02312"/>
    <w:rsid w:val="32B37F2E"/>
    <w:rsid w:val="32B53CA7"/>
    <w:rsid w:val="32D26322"/>
    <w:rsid w:val="32EE540A"/>
    <w:rsid w:val="32F3724F"/>
    <w:rsid w:val="32F72511"/>
    <w:rsid w:val="33016EEC"/>
    <w:rsid w:val="330C763F"/>
    <w:rsid w:val="33114C55"/>
    <w:rsid w:val="33136DFA"/>
    <w:rsid w:val="33150046"/>
    <w:rsid w:val="332363E3"/>
    <w:rsid w:val="33252441"/>
    <w:rsid w:val="332D7CE1"/>
    <w:rsid w:val="3337290D"/>
    <w:rsid w:val="33386686"/>
    <w:rsid w:val="33386B85"/>
    <w:rsid w:val="333A41AC"/>
    <w:rsid w:val="33582884"/>
    <w:rsid w:val="336D043E"/>
    <w:rsid w:val="33773EA8"/>
    <w:rsid w:val="33791178"/>
    <w:rsid w:val="337B4EF0"/>
    <w:rsid w:val="339C4E66"/>
    <w:rsid w:val="339C6B01"/>
    <w:rsid w:val="339C7805"/>
    <w:rsid w:val="33A25A3D"/>
    <w:rsid w:val="33A33767"/>
    <w:rsid w:val="33A917F9"/>
    <w:rsid w:val="33AE0939"/>
    <w:rsid w:val="33B81AE3"/>
    <w:rsid w:val="33BB7611"/>
    <w:rsid w:val="33C341A1"/>
    <w:rsid w:val="33C65A3F"/>
    <w:rsid w:val="33CC6E9A"/>
    <w:rsid w:val="33EA20AA"/>
    <w:rsid w:val="33EA3E24"/>
    <w:rsid w:val="33F83F44"/>
    <w:rsid w:val="340D366E"/>
    <w:rsid w:val="340F73E6"/>
    <w:rsid w:val="341418CD"/>
    <w:rsid w:val="341669C7"/>
    <w:rsid w:val="343E1A7A"/>
    <w:rsid w:val="343E7CCC"/>
    <w:rsid w:val="34473024"/>
    <w:rsid w:val="34521274"/>
    <w:rsid w:val="3456163B"/>
    <w:rsid w:val="345D02CE"/>
    <w:rsid w:val="34621C0C"/>
    <w:rsid w:val="346314E0"/>
    <w:rsid w:val="346A0AC1"/>
    <w:rsid w:val="346F5794"/>
    <w:rsid w:val="34763FFD"/>
    <w:rsid w:val="34787A33"/>
    <w:rsid w:val="347B7BE4"/>
    <w:rsid w:val="34806C8E"/>
    <w:rsid w:val="348C6C89"/>
    <w:rsid w:val="348E2A01"/>
    <w:rsid w:val="3491429F"/>
    <w:rsid w:val="34930017"/>
    <w:rsid w:val="349A13A6"/>
    <w:rsid w:val="349B6ECC"/>
    <w:rsid w:val="34A35D81"/>
    <w:rsid w:val="34B166F0"/>
    <w:rsid w:val="34B63D06"/>
    <w:rsid w:val="34D04DC8"/>
    <w:rsid w:val="34D60535"/>
    <w:rsid w:val="34DD74E5"/>
    <w:rsid w:val="34DF325D"/>
    <w:rsid w:val="34E16FD5"/>
    <w:rsid w:val="34E4518D"/>
    <w:rsid w:val="34F26040"/>
    <w:rsid w:val="35020CF9"/>
    <w:rsid w:val="35133AD1"/>
    <w:rsid w:val="353F631E"/>
    <w:rsid w:val="3546426D"/>
    <w:rsid w:val="35521C81"/>
    <w:rsid w:val="3555351F"/>
    <w:rsid w:val="35571045"/>
    <w:rsid w:val="355C5557"/>
    <w:rsid w:val="356201C9"/>
    <w:rsid w:val="35645510"/>
    <w:rsid w:val="356674DA"/>
    <w:rsid w:val="35747E49"/>
    <w:rsid w:val="35773495"/>
    <w:rsid w:val="357B225F"/>
    <w:rsid w:val="357C5E26"/>
    <w:rsid w:val="359F0C3E"/>
    <w:rsid w:val="35A61FCC"/>
    <w:rsid w:val="35B244CD"/>
    <w:rsid w:val="35B30245"/>
    <w:rsid w:val="35B90739"/>
    <w:rsid w:val="35BF4E3C"/>
    <w:rsid w:val="35C81F43"/>
    <w:rsid w:val="35CD7559"/>
    <w:rsid w:val="35D3054A"/>
    <w:rsid w:val="35D50968"/>
    <w:rsid w:val="35E6686D"/>
    <w:rsid w:val="35E825E5"/>
    <w:rsid w:val="35F76B61"/>
    <w:rsid w:val="35F86203"/>
    <w:rsid w:val="35FD5169"/>
    <w:rsid w:val="36064819"/>
    <w:rsid w:val="3607362C"/>
    <w:rsid w:val="360C16FF"/>
    <w:rsid w:val="361B3376"/>
    <w:rsid w:val="36203B2D"/>
    <w:rsid w:val="362C2A25"/>
    <w:rsid w:val="362E7E13"/>
    <w:rsid w:val="36362163"/>
    <w:rsid w:val="364041CF"/>
    <w:rsid w:val="364A0BAA"/>
    <w:rsid w:val="364D069A"/>
    <w:rsid w:val="3654172E"/>
    <w:rsid w:val="3659703F"/>
    <w:rsid w:val="36690512"/>
    <w:rsid w:val="366D6646"/>
    <w:rsid w:val="366F1DEB"/>
    <w:rsid w:val="36716136"/>
    <w:rsid w:val="36822E5F"/>
    <w:rsid w:val="36857E34"/>
    <w:rsid w:val="3692680B"/>
    <w:rsid w:val="36965B9D"/>
    <w:rsid w:val="36A06A1C"/>
    <w:rsid w:val="36A22794"/>
    <w:rsid w:val="36A302BA"/>
    <w:rsid w:val="36A91D74"/>
    <w:rsid w:val="36AB5FB6"/>
    <w:rsid w:val="36AE738B"/>
    <w:rsid w:val="36B404CB"/>
    <w:rsid w:val="36BD75CE"/>
    <w:rsid w:val="36C546D4"/>
    <w:rsid w:val="36D23A2D"/>
    <w:rsid w:val="36D6243D"/>
    <w:rsid w:val="36E0506A"/>
    <w:rsid w:val="36E1728E"/>
    <w:rsid w:val="36EA03BA"/>
    <w:rsid w:val="36F154C9"/>
    <w:rsid w:val="37076A9B"/>
    <w:rsid w:val="3710594F"/>
    <w:rsid w:val="37180CA8"/>
    <w:rsid w:val="37182A56"/>
    <w:rsid w:val="371D4A41"/>
    <w:rsid w:val="371D5B61"/>
    <w:rsid w:val="373D4E15"/>
    <w:rsid w:val="37490E61"/>
    <w:rsid w:val="375872F6"/>
    <w:rsid w:val="376D2DA2"/>
    <w:rsid w:val="37773C20"/>
    <w:rsid w:val="379A1945"/>
    <w:rsid w:val="37A1025A"/>
    <w:rsid w:val="37A662B4"/>
    <w:rsid w:val="37A900E7"/>
    <w:rsid w:val="37A91900"/>
    <w:rsid w:val="37B207B5"/>
    <w:rsid w:val="37B81B43"/>
    <w:rsid w:val="37B876E9"/>
    <w:rsid w:val="37BC7885"/>
    <w:rsid w:val="37C87FD8"/>
    <w:rsid w:val="37F05781"/>
    <w:rsid w:val="37F72B08"/>
    <w:rsid w:val="37FC447A"/>
    <w:rsid w:val="380706D3"/>
    <w:rsid w:val="380D00E1"/>
    <w:rsid w:val="38172D0E"/>
    <w:rsid w:val="38190834"/>
    <w:rsid w:val="381946B1"/>
    <w:rsid w:val="38205895"/>
    <w:rsid w:val="38206066"/>
    <w:rsid w:val="382471D8"/>
    <w:rsid w:val="38357BA5"/>
    <w:rsid w:val="38422875"/>
    <w:rsid w:val="3843397F"/>
    <w:rsid w:val="384855BD"/>
    <w:rsid w:val="384C5069"/>
    <w:rsid w:val="38507FCD"/>
    <w:rsid w:val="3852678F"/>
    <w:rsid w:val="3857135C"/>
    <w:rsid w:val="386D4BCC"/>
    <w:rsid w:val="3870241E"/>
    <w:rsid w:val="387719FE"/>
    <w:rsid w:val="388C54AA"/>
    <w:rsid w:val="388D17BD"/>
    <w:rsid w:val="38910D12"/>
    <w:rsid w:val="38A10829"/>
    <w:rsid w:val="38AD5420"/>
    <w:rsid w:val="38B247E4"/>
    <w:rsid w:val="38B31AC3"/>
    <w:rsid w:val="38C033A5"/>
    <w:rsid w:val="38C20ECB"/>
    <w:rsid w:val="38C55549"/>
    <w:rsid w:val="38C907D3"/>
    <w:rsid w:val="38CD161E"/>
    <w:rsid w:val="38CD4BC5"/>
    <w:rsid w:val="38EC5F48"/>
    <w:rsid w:val="38F92413"/>
    <w:rsid w:val="390414E4"/>
    <w:rsid w:val="391118FF"/>
    <w:rsid w:val="39213C0B"/>
    <w:rsid w:val="39382F3B"/>
    <w:rsid w:val="39394298"/>
    <w:rsid w:val="39422F35"/>
    <w:rsid w:val="394774DA"/>
    <w:rsid w:val="395C1320"/>
    <w:rsid w:val="39665CFB"/>
    <w:rsid w:val="39A24859"/>
    <w:rsid w:val="39A405D1"/>
    <w:rsid w:val="39A419DF"/>
    <w:rsid w:val="39AA0CBF"/>
    <w:rsid w:val="39BB2F17"/>
    <w:rsid w:val="39C33CA8"/>
    <w:rsid w:val="39C62F70"/>
    <w:rsid w:val="39EA54D1"/>
    <w:rsid w:val="39F06BFD"/>
    <w:rsid w:val="39FF1CFC"/>
    <w:rsid w:val="39FF3A59"/>
    <w:rsid w:val="3A0B0E25"/>
    <w:rsid w:val="3A176FF5"/>
    <w:rsid w:val="3A2F2590"/>
    <w:rsid w:val="3A331955"/>
    <w:rsid w:val="3A347BA7"/>
    <w:rsid w:val="3A3A72E1"/>
    <w:rsid w:val="3A3F02FA"/>
    <w:rsid w:val="3A406709"/>
    <w:rsid w:val="3A5169AB"/>
    <w:rsid w:val="3A7B3A28"/>
    <w:rsid w:val="3A887EF3"/>
    <w:rsid w:val="3A8B353F"/>
    <w:rsid w:val="3A970136"/>
    <w:rsid w:val="3A9E14C4"/>
    <w:rsid w:val="3AA30888"/>
    <w:rsid w:val="3AA34D2C"/>
    <w:rsid w:val="3AA60379"/>
    <w:rsid w:val="3AA731D1"/>
    <w:rsid w:val="3AB64A60"/>
    <w:rsid w:val="3AC32CD9"/>
    <w:rsid w:val="3AD969A0"/>
    <w:rsid w:val="3ADE02F2"/>
    <w:rsid w:val="3AE506FF"/>
    <w:rsid w:val="3AEB1466"/>
    <w:rsid w:val="3AF31AB1"/>
    <w:rsid w:val="3AF64E5C"/>
    <w:rsid w:val="3AFE0187"/>
    <w:rsid w:val="3B082DE1"/>
    <w:rsid w:val="3B0C4680"/>
    <w:rsid w:val="3B111C96"/>
    <w:rsid w:val="3B141786"/>
    <w:rsid w:val="3B2F036E"/>
    <w:rsid w:val="3B2F724E"/>
    <w:rsid w:val="3B374496"/>
    <w:rsid w:val="3B376713"/>
    <w:rsid w:val="3B385475"/>
    <w:rsid w:val="3B3B31B7"/>
    <w:rsid w:val="3B3D12FE"/>
    <w:rsid w:val="3B4007CD"/>
    <w:rsid w:val="3B512282"/>
    <w:rsid w:val="3B5129DA"/>
    <w:rsid w:val="3B6C15C2"/>
    <w:rsid w:val="3B9528C7"/>
    <w:rsid w:val="3B95679F"/>
    <w:rsid w:val="3B9F3746"/>
    <w:rsid w:val="3BAA03BD"/>
    <w:rsid w:val="3BB23479"/>
    <w:rsid w:val="3BBE1730"/>
    <w:rsid w:val="3BBE5A6D"/>
    <w:rsid w:val="3BC907C3"/>
    <w:rsid w:val="3BE86E9B"/>
    <w:rsid w:val="3BF75330"/>
    <w:rsid w:val="3BFD3069"/>
    <w:rsid w:val="3BFD756A"/>
    <w:rsid w:val="3C0417FB"/>
    <w:rsid w:val="3C125CC6"/>
    <w:rsid w:val="3C131089"/>
    <w:rsid w:val="3C1470EA"/>
    <w:rsid w:val="3C153A08"/>
    <w:rsid w:val="3C245D0D"/>
    <w:rsid w:val="3C2854E9"/>
    <w:rsid w:val="3C2D0D52"/>
    <w:rsid w:val="3C371BD0"/>
    <w:rsid w:val="3C3E4D0D"/>
    <w:rsid w:val="3C4105B4"/>
    <w:rsid w:val="3C4B742A"/>
    <w:rsid w:val="3C520A28"/>
    <w:rsid w:val="3C545D6D"/>
    <w:rsid w:val="3C551F47"/>
    <w:rsid w:val="3C5A766D"/>
    <w:rsid w:val="3C690AF6"/>
    <w:rsid w:val="3C6C50F3"/>
    <w:rsid w:val="3C6D313F"/>
    <w:rsid w:val="3C793F97"/>
    <w:rsid w:val="3C7C3A87"/>
    <w:rsid w:val="3C81109D"/>
    <w:rsid w:val="3C8A2F73"/>
    <w:rsid w:val="3C9F32D2"/>
    <w:rsid w:val="3CA51DF6"/>
    <w:rsid w:val="3CA553D5"/>
    <w:rsid w:val="3CAB7EC8"/>
    <w:rsid w:val="3CAD3C40"/>
    <w:rsid w:val="3CC73C28"/>
    <w:rsid w:val="3CD45671"/>
    <w:rsid w:val="3CD72A6B"/>
    <w:rsid w:val="3CDB07AE"/>
    <w:rsid w:val="3CE05DC4"/>
    <w:rsid w:val="3CF17FD1"/>
    <w:rsid w:val="3CFC1282"/>
    <w:rsid w:val="3D062ECF"/>
    <w:rsid w:val="3D0C527A"/>
    <w:rsid w:val="3D145A6E"/>
    <w:rsid w:val="3D16585F"/>
    <w:rsid w:val="3D207D88"/>
    <w:rsid w:val="3D254E4B"/>
    <w:rsid w:val="3D2832C7"/>
    <w:rsid w:val="3D2D6B2F"/>
    <w:rsid w:val="3D2E4D81"/>
    <w:rsid w:val="3D402A0A"/>
    <w:rsid w:val="3D41536A"/>
    <w:rsid w:val="3D453E79"/>
    <w:rsid w:val="3D475E43"/>
    <w:rsid w:val="3D4A32D0"/>
    <w:rsid w:val="3D4C7900"/>
    <w:rsid w:val="3D624A2B"/>
    <w:rsid w:val="3D6267D9"/>
    <w:rsid w:val="3D6407A3"/>
    <w:rsid w:val="3D762284"/>
    <w:rsid w:val="3D793B23"/>
    <w:rsid w:val="3D7A7FC6"/>
    <w:rsid w:val="3D840E45"/>
    <w:rsid w:val="3D884009"/>
    <w:rsid w:val="3D8F1598"/>
    <w:rsid w:val="3D9848F1"/>
    <w:rsid w:val="3D9F17DB"/>
    <w:rsid w:val="3DA93831"/>
    <w:rsid w:val="3DB1150E"/>
    <w:rsid w:val="3DBA6615"/>
    <w:rsid w:val="3DBE0755"/>
    <w:rsid w:val="3DC157EB"/>
    <w:rsid w:val="3DDD67A7"/>
    <w:rsid w:val="3DE16751"/>
    <w:rsid w:val="3DF24001"/>
    <w:rsid w:val="3DF338D5"/>
    <w:rsid w:val="3DFF227A"/>
    <w:rsid w:val="3E0B0C1F"/>
    <w:rsid w:val="3E1321C9"/>
    <w:rsid w:val="3E194CE3"/>
    <w:rsid w:val="3E1B3BD9"/>
    <w:rsid w:val="3E1C3315"/>
    <w:rsid w:val="3E1F0B6E"/>
    <w:rsid w:val="3E2241BA"/>
    <w:rsid w:val="3E2C6DE7"/>
    <w:rsid w:val="3E3B7F54"/>
    <w:rsid w:val="3E4B4F26"/>
    <w:rsid w:val="3E4E2A47"/>
    <w:rsid w:val="3E506528"/>
    <w:rsid w:val="3E545762"/>
    <w:rsid w:val="3E8162D7"/>
    <w:rsid w:val="3E8310FD"/>
    <w:rsid w:val="3E854E75"/>
    <w:rsid w:val="3E9E7CE5"/>
    <w:rsid w:val="3E9F5197"/>
    <w:rsid w:val="3EC11A53"/>
    <w:rsid w:val="3ECA2888"/>
    <w:rsid w:val="3ED41958"/>
    <w:rsid w:val="3EE020AB"/>
    <w:rsid w:val="3EE76296"/>
    <w:rsid w:val="3EE91A20"/>
    <w:rsid w:val="3EEF22EE"/>
    <w:rsid w:val="3EF40282"/>
    <w:rsid w:val="3EF67B21"/>
    <w:rsid w:val="3EFE4C27"/>
    <w:rsid w:val="3F0B2EA0"/>
    <w:rsid w:val="3F233B96"/>
    <w:rsid w:val="3F2F4E09"/>
    <w:rsid w:val="3F32667F"/>
    <w:rsid w:val="3F3725B4"/>
    <w:rsid w:val="3F400D9C"/>
    <w:rsid w:val="3F402B4A"/>
    <w:rsid w:val="3F4D34B9"/>
    <w:rsid w:val="3F56236D"/>
    <w:rsid w:val="3F6C0A59"/>
    <w:rsid w:val="3F7D3D9E"/>
    <w:rsid w:val="3F7D5B4C"/>
    <w:rsid w:val="3F870779"/>
    <w:rsid w:val="3F95537E"/>
    <w:rsid w:val="3F9A4950"/>
    <w:rsid w:val="3F9E60BF"/>
    <w:rsid w:val="3FA67F26"/>
    <w:rsid w:val="3FA806EF"/>
    <w:rsid w:val="3FA95FE4"/>
    <w:rsid w:val="3FB5178A"/>
    <w:rsid w:val="3FC007A0"/>
    <w:rsid w:val="3FC12995"/>
    <w:rsid w:val="3FC25C55"/>
    <w:rsid w:val="3FC4377B"/>
    <w:rsid w:val="3FDD6BAE"/>
    <w:rsid w:val="3FEB51AC"/>
    <w:rsid w:val="3FF102E8"/>
    <w:rsid w:val="3FF73B50"/>
    <w:rsid w:val="3FFB2F15"/>
    <w:rsid w:val="3FFC51C2"/>
    <w:rsid w:val="401144E6"/>
    <w:rsid w:val="4013025E"/>
    <w:rsid w:val="402C1320"/>
    <w:rsid w:val="403120FF"/>
    <w:rsid w:val="403C77B5"/>
    <w:rsid w:val="404B47FE"/>
    <w:rsid w:val="405577DE"/>
    <w:rsid w:val="40630701"/>
    <w:rsid w:val="40644F5E"/>
    <w:rsid w:val="406B3BF6"/>
    <w:rsid w:val="40721429"/>
    <w:rsid w:val="407E7DCE"/>
    <w:rsid w:val="40833636"/>
    <w:rsid w:val="40864ED4"/>
    <w:rsid w:val="408D6263"/>
    <w:rsid w:val="40905D53"/>
    <w:rsid w:val="40AC4066"/>
    <w:rsid w:val="40B7768A"/>
    <w:rsid w:val="40BE200B"/>
    <w:rsid w:val="40BE56B0"/>
    <w:rsid w:val="40C36896"/>
    <w:rsid w:val="40C652D1"/>
    <w:rsid w:val="40CA2514"/>
    <w:rsid w:val="40CD665F"/>
    <w:rsid w:val="40D1448E"/>
    <w:rsid w:val="40D635C1"/>
    <w:rsid w:val="40DC68A2"/>
    <w:rsid w:val="40EA7211"/>
    <w:rsid w:val="40EB4D37"/>
    <w:rsid w:val="40F652C3"/>
    <w:rsid w:val="40F77891"/>
    <w:rsid w:val="40FD4821"/>
    <w:rsid w:val="40FE0F0E"/>
    <w:rsid w:val="41022FD4"/>
    <w:rsid w:val="41033C84"/>
    <w:rsid w:val="41061F87"/>
    <w:rsid w:val="410C362B"/>
    <w:rsid w:val="41195D48"/>
    <w:rsid w:val="412344D1"/>
    <w:rsid w:val="413100E7"/>
    <w:rsid w:val="413B181B"/>
    <w:rsid w:val="414B5E66"/>
    <w:rsid w:val="41520403"/>
    <w:rsid w:val="41546F40"/>
    <w:rsid w:val="415B1EBD"/>
    <w:rsid w:val="416074D3"/>
    <w:rsid w:val="416D1BF0"/>
    <w:rsid w:val="416E7E42"/>
    <w:rsid w:val="41727207"/>
    <w:rsid w:val="417B60BB"/>
    <w:rsid w:val="417D1F3A"/>
    <w:rsid w:val="41810B95"/>
    <w:rsid w:val="41812459"/>
    <w:rsid w:val="41814EFC"/>
    <w:rsid w:val="418B7876"/>
    <w:rsid w:val="418B7A95"/>
    <w:rsid w:val="419D4283"/>
    <w:rsid w:val="41A75102"/>
    <w:rsid w:val="41B4781F"/>
    <w:rsid w:val="41B47B73"/>
    <w:rsid w:val="41B74E0B"/>
    <w:rsid w:val="41C57A34"/>
    <w:rsid w:val="41D03EDF"/>
    <w:rsid w:val="41DD21AB"/>
    <w:rsid w:val="41DF05F2"/>
    <w:rsid w:val="41DF2AEE"/>
    <w:rsid w:val="41E40104"/>
    <w:rsid w:val="41ED2829"/>
    <w:rsid w:val="41EF11BB"/>
    <w:rsid w:val="42044303"/>
    <w:rsid w:val="420936C7"/>
    <w:rsid w:val="42134546"/>
    <w:rsid w:val="42213C9E"/>
    <w:rsid w:val="422D6E5F"/>
    <w:rsid w:val="42310E70"/>
    <w:rsid w:val="423B584A"/>
    <w:rsid w:val="423C0475"/>
    <w:rsid w:val="423D7815"/>
    <w:rsid w:val="42415557"/>
    <w:rsid w:val="42621632"/>
    <w:rsid w:val="42640BF8"/>
    <w:rsid w:val="426D5585"/>
    <w:rsid w:val="426E20DC"/>
    <w:rsid w:val="426E3E72"/>
    <w:rsid w:val="42876CE2"/>
    <w:rsid w:val="428A1C02"/>
    <w:rsid w:val="42A15FF5"/>
    <w:rsid w:val="42AD6748"/>
    <w:rsid w:val="42B37AD7"/>
    <w:rsid w:val="42B775C7"/>
    <w:rsid w:val="42C35F6C"/>
    <w:rsid w:val="42C41CE4"/>
    <w:rsid w:val="42CD1860"/>
    <w:rsid w:val="42DC527F"/>
    <w:rsid w:val="42E86ADF"/>
    <w:rsid w:val="42F06635"/>
    <w:rsid w:val="42FC76D0"/>
    <w:rsid w:val="42FD28E1"/>
    <w:rsid w:val="43000F6E"/>
    <w:rsid w:val="43065E58"/>
    <w:rsid w:val="43104F29"/>
    <w:rsid w:val="43122A4F"/>
    <w:rsid w:val="43192953"/>
    <w:rsid w:val="43195B8C"/>
    <w:rsid w:val="431C6BAF"/>
    <w:rsid w:val="43244531"/>
    <w:rsid w:val="432B58BF"/>
    <w:rsid w:val="432E715D"/>
    <w:rsid w:val="43353AD2"/>
    <w:rsid w:val="43476889"/>
    <w:rsid w:val="43496F4C"/>
    <w:rsid w:val="434A043B"/>
    <w:rsid w:val="434D7F2B"/>
    <w:rsid w:val="43571B85"/>
    <w:rsid w:val="435968D0"/>
    <w:rsid w:val="435E039B"/>
    <w:rsid w:val="43632BEA"/>
    <w:rsid w:val="436639E6"/>
    <w:rsid w:val="43710847"/>
    <w:rsid w:val="43713C1A"/>
    <w:rsid w:val="437159C8"/>
    <w:rsid w:val="437454B8"/>
    <w:rsid w:val="437C436D"/>
    <w:rsid w:val="43917E18"/>
    <w:rsid w:val="43931DE2"/>
    <w:rsid w:val="439D67BD"/>
    <w:rsid w:val="43A044FF"/>
    <w:rsid w:val="43A35D9D"/>
    <w:rsid w:val="43A86F10"/>
    <w:rsid w:val="43B31195"/>
    <w:rsid w:val="43BB4E95"/>
    <w:rsid w:val="43BD6E5F"/>
    <w:rsid w:val="43CA697C"/>
    <w:rsid w:val="43CC2BFE"/>
    <w:rsid w:val="43D41282"/>
    <w:rsid w:val="43D83C99"/>
    <w:rsid w:val="43DB466A"/>
    <w:rsid w:val="43DB537C"/>
    <w:rsid w:val="43E11C52"/>
    <w:rsid w:val="43E50164"/>
    <w:rsid w:val="43F254A0"/>
    <w:rsid w:val="43FD7F0E"/>
    <w:rsid w:val="4403299E"/>
    <w:rsid w:val="44057FB9"/>
    <w:rsid w:val="440A3726"/>
    <w:rsid w:val="441A7E0D"/>
    <w:rsid w:val="44297C30"/>
    <w:rsid w:val="44307631"/>
    <w:rsid w:val="44315157"/>
    <w:rsid w:val="443208B7"/>
    <w:rsid w:val="4436276D"/>
    <w:rsid w:val="443A0618"/>
    <w:rsid w:val="44406B13"/>
    <w:rsid w:val="44446C38"/>
    <w:rsid w:val="444924A1"/>
    <w:rsid w:val="44511355"/>
    <w:rsid w:val="445D10F1"/>
    <w:rsid w:val="445E5172"/>
    <w:rsid w:val="445F1CC4"/>
    <w:rsid w:val="44613C8E"/>
    <w:rsid w:val="447421CC"/>
    <w:rsid w:val="44823C05"/>
    <w:rsid w:val="448434D9"/>
    <w:rsid w:val="4489737D"/>
    <w:rsid w:val="448B0D0B"/>
    <w:rsid w:val="448D4A83"/>
    <w:rsid w:val="448E315F"/>
    <w:rsid w:val="44935E12"/>
    <w:rsid w:val="44940934"/>
    <w:rsid w:val="449B0822"/>
    <w:rsid w:val="44B02520"/>
    <w:rsid w:val="44B32928"/>
    <w:rsid w:val="44B5507C"/>
    <w:rsid w:val="44B738AE"/>
    <w:rsid w:val="44C106F0"/>
    <w:rsid w:val="44C15105"/>
    <w:rsid w:val="44C2391C"/>
    <w:rsid w:val="44C333F6"/>
    <w:rsid w:val="44C46F12"/>
    <w:rsid w:val="44C77869"/>
    <w:rsid w:val="44CA3D5B"/>
    <w:rsid w:val="44DF1057"/>
    <w:rsid w:val="44F954C5"/>
    <w:rsid w:val="44FC5765"/>
    <w:rsid w:val="450D7972"/>
    <w:rsid w:val="45185304"/>
    <w:rsid w:val="451A208F"/>
    <w:rsid w:val="45264590"/>
    <w:rsid w:val="452834BD"/>
    <w:rsid w:val="452C6133"/>
    <w:rsid w:val="453432B6"/>
    <w:rsid w:val="453C0257"/>
    <w:rsid w:val="453E5D7D"/>
    <w:rsid w:val="454315E6"/>
    <w:rsid w:val="454A6A83"/>
    <w:rsid w:val="455425CB"/>
    <w:rsid w:val="455530C7"/>
    <w:rsid w:val="45605CF4"/>
    <w:rsid w:val="456730A2"/>
    <w:rsid w:val="45796DB6"/>
    <w:rsid w:val="457C2402"/>
    <w:rsid w:val="4580605C"/>
    <w:rsid w:val="458F482B"/>
    <w:rsid w:val="459478B0"/>
    <w:rsid w:val="4597548E"/>
    <w:rsid w:val="45991206"/>
    <w:rsid w:val="45AC0F39"/>
    <w:rsid w:val="45B147A1"/>
    <w:rsid w:val="45B54BC5"/>
    <w:rsid w:val="45C049E4"/>
    <w:rsid w:val="45C1250B"/>
    <w:rsid w:val="45D40490"/>
    <w:rsid w:val="45EE1C77"/>
    <w:rsid w:val="45F3537D"/>
    <w:rsid w:val="45F408EF"/>
    <w:rsid w:val="45F45AC2"/>
    <w:rsid w:val="45FB77CB"/>
    <w:rsid w:val="46016A17"/>
    <w:rsid w:val="461334A8"/>
    <w:rsid w:val="4618037D"/>
    <w:rsid w:val="461D1E37"/>
    <w:rsid w:val="461E3352"/>
    <w:rsid w:val="4629258A"/>
    <w:rsid w:val="46326F64"/>
    <w:rsid w:val="463D78A0"/>
    <w:rsid w:val="46535859"/>
    <w:rsid w:val="4654337F"/>
    <w:rsid w:val="465B64BB"/>
    <w:rsid w:val="46623CEE"/>
    <w:rsid w:val="4670640B"/>
    <w:rsid w:val="46761547"/>
    <w:rsid w:val="467B644C"/>
    <w:rsid w:val="467B6B5D"/>
    <w:rsid w:val="467F3F19"/>
    <w:rsid w:val="46853538"/>
    <w:rsid w:val="46855D68"/>
    <w:rsid w:val="468C2B19"/>
    <w:rsid w:val="468C3BE4"/>
    <w:rsid w:val="46916381"/>
    <w:rsid w:val="469D395B"/>
    <w:rsid w:val="46A33693"/>
    <w:rsid w:val="46AB0DA5"/>
    <w:rsid w:val="46B20DC2"/>
    <w:rsid w:val="46B300A5"/>
    <w:rsid w:val="46B61944"/>
    <w:rsid w:val="46BD0F24"/>
    <w:rsid w:val="46C16C66"/>
    <w:rsid w:val="46CC73B9"/>
    <w:rsid w:val="46CF2278"/>
    <w:rsid w:val="46DF533E"/>
    <w:rsid w:val="46E2098A"/>
    <w:rsid w:val="46E868D5"/>
    <w:rsid w:val="46EB5A91"/>
    <w:rsid w:val="46EF19FE"/>
    <w:rsid w:val="47017063"/>
    <w:rsid w:val="470F195D"/>
    <w:rsid w:val="47213261"/>
    <w:rsid w:val="472965B9"/>
    <w:rsid w:val="4740402F"/>
    <w:rsid w:val="4741387D"/>
    <w:rsid w:val="47413903"/>
    <w:rsid w:val="47486A40"/>
    <w:rsid w:val="474B2E49"/>
    <w:rsid w:val="47581E5A"/>
    <w:rsid w:val="47583AC0"/>
    <w:rsid w:val="475F1FDB"/>
    <w:rsid w:val="476B5446"/>
    <w:rsid w:val="477737C9"/>
    <w:rsid w:val="47777325"/>
    <w:rsid w:val="47835210"/>
    <w:rsid w:val="47876D4D"/>
    <w:rsid w:val="479003E6"/>
    <w:rsid w:val="47906638"/>
    <w:rsid w:val="479C02A8"/>
    <w:rsid w:val="479E48B1"/>
    <w:rsid w:val="47A53E92"/>
    <w:rsid w:val="47AA76FA"/>
    <w:rsid w:val="47B24801"/>
    <w:rsid w:val="47B728D4"/>
    <w:rsid w:val="47B73BC5"/>
    <w:rsid w:val="47BA0F69"/>
    <w:rsid w:val="47C07FA5"/>
    <w:rsid w:val="47CD0D99"/>
    <w:rsid w:val="47CD33E9"/>
    <w:rsid w:val="47DB3D58"/>
    <w:rsid w:val="47DF3BC2"/>
    <w:rsid w:val="47E0504E"/>
    <w:rsid w:val="47F16B76"/>
    <w:rsid w:val="47F5018E"/>
    <w:rsid w:val="47F6293F"/>
    <w:rsid w:val="47FF064F"/>
    <w:rsid w:val="47FF5B13"/>
    <w:rsid w:val="480037BE"/>
    <w:rsid w:val="480239D5"/>
    <w:rsid w:val="48030BB8"/>
    <w:rsid w:val="480B174B"/>
    <w:rsid w:val="480F1C53"/>
    <w:rsid w:val="48137ACE"/>
    <w:rsid w:val="48290548"/>
    <w:rsid w:val="482B4D77"/>
    <w:rsid w:val="482F5E51"/>
    <w:rsid w:val="48313978"/>
    <w:rsid w:val="48343AAA"/>
    <w:rsid w:val="48435459"/>
    <w:rsid w:val="484418FD"/>
    <w:rsid w:val="4847319B"/>
    <w:rsid w:val="48482A6F"/>
    <w:rsid w:val="48650FAE"/>
    <w:rsid w:val="486C0E54"/>
    <w:rsid w:val="487A531F"/>
    <w:rsid w:val="48904B42"/>
    <w:rsid w:val="48952158"/>
    <w:rsid w:val="48A44149"/>
    <w:rsid w:val="48A57EC2"/>
    <w:rsid w:val="48AC1250"/>
    <w:rsid w:val="48AE6D76"/>
    <w:rsid w:val="48B467B8"/>
    <w:rsid w:val="48B600F7"/>
    <w:rsid w:val="48BF71D5"/>
    <w:rsid w:val="48C20665"/>
    <w:rsid w:val="48C31585"/>
    <w:rsid w:val="48C5709F"/>
    <w:rsid w:val="48D11AB6"/>
    <w:rsid w:val="48DB1B35"/>
    <w:rsid w:val="48DC7D87"/>
    <w:rsid w:val="48DD3AFF"/>
    <w:rsid w:val="48E155A5"/>
    <w:rsid w:val="48E24C72"/>
    <w:rsid w:val="48F030A1"/>
    <w:rsid w:val="48FB6EA2"/>
    <w:rsid w:val="48FD1AAC"/>
    <w:rsid w:val="49001FC6"/>
    <w:rsid w:val="490B241B"/>
    <w:rsid w:val="491A08B0"/>
    <w:rsid w:val="49261002"/>
    <w:rsid w:val="49301E81"/>
    <w:rsid w:val="493D00FA"/>
    <w:rsid w:val="49431BB4"/>
    <w:rsid w:val="494A4670"/>
    <w:rsid w:val="49553696"/>
    <w:rsid w:val="495F4514"/>
    <w:rsid w:val="49623768"/>
    <w:rsid w:val="496E4757"/>
    <w:rsid w:val="49744D56"/>
    <w:rsid w:val="49757894"/>
    <w:rsid w:val="497F6965"/>
    <w:rsid w:val="49834BB3"/>
    <w:rsid w:val="4989333F"/>
    <w:rsid w:val="498F2D66"/>
    <w:rsid w:val="49972EE7"/>
    <w:rsid w:val="499E6DEB"/>
    <w:rsid w:val="499F2B63"/>
    <w:rsid w:val="49A6572F"/>
    <w:rsid w:val="49A66345"/>
    <w:rsid w:val="49AB2348"/>
    <w:rsid w:val="49B274AE"/>
    <w:rsid w:val="49CD5922"/>
    <w:rsid w:val="49CF169A"/>
    <w:rsid w:val="49EA5572"/>
    <w:rsid w:val="49ED38CE"/>
    <w:rsid w:val="49FA5FEB"/>
    <w:rsid w:val="49FE3C64"/>
    <w:rsid w:val="4A111CB3"/>
    <w:rsid w:val="4A334A6A"/>
    <w:rsid w:val="4A5256F6"/>
    <w:rsid w:val="4A606796"/>
    <w:rsid w:val="4A645093"/>
    <w:rsid w:val="4A67453C"/>
    <w:rsid w:val="4A6A13C3"/>
    <w:rsid w:val="4A791606"/>
    <w:rsid w:val="4A886F62"/>
    <w:rsid w:val="4A9B5A20"/>
    <w:rsid w:val="4AA05762"/>
    <w:rsid w:val="4AA541A9"/>
    <w:rsid w:val="4AAD7789"/>
    <w:rsid w:val="4AC5484B"/>
    <w:rsid w:val="4AC97E97"/>
    <w:rsid w:val="4ACE54AE"/>
    <w:rsid w:val="4AD056CA"/>
    <w:rsid w:val="4AD14F9E"/>
    <w:rsid w:val="4AE20F59"/>
    <w:rsid w:val="4AE944C6"/>
    <w:rsid w:val="4AF33166"/>
    <w:rsid w:val="4B045373"/>
    <w:rsid w:val="4B09298A"/>
    <w:rsid w:val="4B103D18"/>
    <w:rsid w:val="4B15132F"/>
    <w:rsid w:val="4B1530DD"/>
    <w:rsid w:val="4B1A4B97"/>
    <w:rsid w:val="4B1F03FF"/>
    <w:rsid w:val="4B1F3F5B"/>
    <w:rsid w:val="4B356647"/>
    <w:rsid w:val="4B386DCB"/>
    <w:rsid w:val="4B3C2D5F"/>
    <w:rsid w:val="4B410375"/>
    <w:rsid w:val="4B50680B"/>
    <w:rsid w:val="4B5151F0"/>
    <w:rsid w:val="4B655134"/>
    <w:rsid w:val="4B7342A7"/>
    <w:rsid w:val="4B7B3283"/>
    <w:rsid w:val="4B814C16"/>
    <w:rsid w:val="4B842010"/>
    <w:rsid w:val="4B8864A9"/>
    <w:rsid w:val="4B8B17DE"/>
    <w:rsid w:val="4B8F5831"/>
    <w:rsid w:val="4B9506C1"/>
    <w:rsid w:val="4B9657E5"/>
    <w:rsid w:val="4BA803F5"/>
    <w:rsid w:val="4BA97CC9"/>
    <w:rsid w:val="4BB727BD"/>
    <w:rsid w:val="4BB74194"/>
    <w:rsid w:val="4BC220E1"/>
    <w:rsid w:val="4BC62413"/>
    <w:rsid w:val="4BDA4326"/>
    <w:rsid w:val="4BE14B1D"/>
    <w:rsid w:val="4BEB3449"/>
    <w:rsid w:val="4BEE392E"/>
    <w:rsid w:val="4BFB6776"/>
    <w:rsid w:val="4C130973"/>
    <w:rsid w:val="4C1C66ED"/>
    <w:rsid w:val="4C243294"/>
    <w:rsid w:val="4C26756B"/>
    <w:rsid w:val="4C2B1113"/>
    <w:rsid w:val="4C303F46"/>
    <w:rsid w:val="4C39104D"/>
    <w:rsid w:val="4C455644"/>
    <w:rsid w:val="4C4A5008"/>
    <w:rsid w:val="4C577E12"/>
    <w:rsid w:val="4C596E89"/>
    <w:rsid w:val="4C5E4F57"/>
    <w:rsid w:val="4C6836E0"/>
    <w:rsid w:val="4C6D34AF"/>
    <w:rsid w:val="4C793B3F"/>
    <w:rsid w:val="4C983FC5"/>
    <w:rsid w:val="4C98791C"/>
    <w:rsid w:val="4C9E35A6"/>
    <w:rsid w:val="4C9F3366"/>
    <w:rsid w:val="4CA010CC"/>
    <w:rsid w:val="4CAC7A71"/>
    <w:rsid w:val="4CCB75B3"/>
    <w:rsid w:val="4CCE263F"/>
    <w:rsid w:val="4CD24250"/>
    <w:rsid w:val="4CD3324F"/>
    <w:rsid w:val="4CD62D3F"/>
    <w:rsid w:val="4CD83F4F"/>
    <w:rsid w:val="4CDD40CE"/>
    <w:rsid w:val="4CDE3246"/>
    <w:rsid w:val="4CEA2347"/>
    <w:rsid w:val="4CED6037"/>
    <w:rsid w:val="4CF3128E"/>
    <w:rsid w:val="4CFA4C80"/>
    <w:rsid w:val="4CFD207A"/>
    <w:rsid w:val="4CFD651E"/>
    <w:rsid w:val="4CFF4949"/>
    <w:rsid w:val="4D021D86"/>
    <w:rsid w:val="4D0C3FF0"/>
    <w:rsid w:val="4D0F1DAD"/>
    <w:rsid w:val="4D21045F"/>
    <w:rsid w:val="4D227D33"/>
    <w:rsid w:val="4D2E5C14"/>
    <w:rsid w:val="4D323F84"/>
    <w:rsid w:val="4D3B2BA3"/>
    <w:rsid w:val="4D553C64"/>
    <w:rsid w:val="4D597839"/>
    <w:rsid w:val="4D6E6456"/>
    <w:rsid w:val="4D6F438C"/>
    <w:rsid w:val="4D783DF7"/>
    <w:rsid w:val="4D7B7443"/>
    <w:rsid w:val="4D7D31BB"/>
    <w:rsid w:val="4D7D371C"/>
    <w:rsid w:val="4D7F0CE1"/>
    <w:rsid w:val="4D9C7AE5"/>
    <w:rsid w:val="4D9C7C8B"/>
    <w:rsid w:val="4D9E1A5E"/>
    <w:rsid w:val="4DA4718C"/>
    <w:rsid w:val="4DA70B8E"/>
    <w:rsid w:val="4DA9236E"/>
    <w:rsid w:val="4DB7491F"/>
    <w:rsid w:val="4DC302FB"/>
    <w:rsid w:val="4DCD4998"/>
    <w:rsid w:val="4DD219B6"/>
    <w:rsid w:val="4DDF0919"/>
    <w:rsid w:val="4DE53129"/>
    <w:rsid w:val="4DE82D2A"/>
    <w:rsid w:val="4DEB161E"/>
    <w:rsid w:val="4DEB45C9"/>
    <w:rsid w:val="4DED6593"/>
    <w:rsid w:val="4DF416CF"/>
    <w:rsid w:val="4DFF0074"/>
    <w:rsid w:val="4E0B55D1"/>
    <w:rsid w:val="4E0F5834"/>
    <w:rsid w:val="4E21448E"/>
    <w:rsid w:val="4E237FC0"/>
    <w:rsid w:val="4E2A252A"/>
    <w:rsid w:val="4E3553AE"/>
    <w:rsid w:val="4E4837C9"/>
    <w:rsid w:val="4E61488B"/>
    <w:rsid w:val="4E6D76D3"/>
    <w:rsid w:val="4E78439B"/>
    <w:rsid w:val="4E924245"/>
    <w:rsid w:val="4E944C60"/>
    <w:rsid w:val="4EA053B3"/>
    <w:rsid w:val="4EAD5D22"/>
    <w:rsid w:val="4EC2357B"/>
    <w:rsid w:val="4EC45545"/>
    <w:rsid w:val="4EC639BB"/>
    <w:rsid w:val="4ED41501"/>
    <w:rsid w:val="4EE47996"/>
    <w:rsid w:val="4EF60215"/>
    <w:rsid w:val="4F035942"/>
    <w:rsid w:val="4F0A09C7"/>
    <w:rsid w:val="4F132AE3"/>
    <w:rsid w:val="4F1F277C"/>
    <w:rsid w:val="4F247D92"/>
    <w:rsid w:val="4F302BDB"/>
    <w:rsid w:val="4F391364"/>
    <w:rsid w:val="4F4268D0"/>
    <w:rsid w:val="4F5148FF"/>
    <w:rsid w:val="4F5166AD"/>
    <w:rsid w:val="4F585C8E"/>
    <w:rsid w:val="4F62705B"/>
    <w:rsid w:val="4F672375"/>
    <w:rsid w:val="4F8236B7"/>
    <w:rsid w:val="4F844CD5"/>
    <w:rsid w:val="4F8B2111"/>
    <w:rsid w:val="4F9A2196"/>
    <w:rsid w:val="4F9D18F3"/>
    <w:rsid w:val="4F9F566B"/>
    <w:rsid w:val="4FB82BD0"/>
    <w:rsid w:val="4FBA6948"/>
    <w:rsid w:val="4FCC4D0B"/>
    <w:rsid w:val="4FCD2DAC"/>
    <w:rsid w:val="4FDC066D"/>
    <w:rsid w:val="4FDE456F"/>
    <w:rsid w:val="4FE77E8D"/>
    <w:rsid w:val="4FF260E2"/>
    <w:rsid w:val="4FFB3623"/>
    <w:rsid w:val="50055E16"/>
    <w:rsid w:val="500C6689"/>
    <w:rsid w:val="501D5CAD"/>
    <w:rsid w:val="502151DA"/>
    <w:rsid w:val="50287AA9"/>
    <w:rsid w:val="5038161B"/>
    <w:rsid w:val="5039786D"/>
    <w:rsid w:val="50414974"/>
    <w:rsid w:val="504948A0"/>
    <w:rsid w:val="504D156B"/>
    <w:rsid w:val="50591CBD"/>
    <w:rsid w:val="50680152"/>
    <w:rsid w:val="50770396"/>
    <w:rsid w:val="507D394A"/>
    <w:rsid w:val="50854860"/>
    <w:rsid w:val="508551C2"/>
    <w:rsid w:val="508807F5"/>
    <w:rsid w:val="509176A9"/>
    <w:rsid w:val="509B0963"/>
    <w:rsid w:val="50A92482"/>
    <w:rsid w:val="50B25872"/>
    <w:rsid w:val="50B6066B"/>
    <w:rsid w:val="50BB4EA3"/>
    <w:rsid w:val="50C03AEB"/>
    <w:rsid w:val="50C23D07"/>
    <w:rsid w:val="50CC248F"/>
    <w:rsid w:val="50D4718B"/>
    <w:rsid w:val="50D91050"/>
    <w:rsid w:val="50E07940"/>
    <w:rsid w:val="50E33C7D"/>
    <w:rsid w:val="50E61077"/>
    <w:rsid w:val="50E84DEF"/>
    <w:rsid w:val="50EA0B67"/>
    <w:rsid w:val="50EE4AFC"/>
    <w:rsid w:val="50F73284"/>
    <w:rsid w:val="50FD6AED"/>
    <w:rsid w:val="51050A24"/>
    <w:rsid w:val="510559A1"/>
    <w:rsid w:val="51137B08"/>
    <w:rsid w:val="5116195C"/>
    <w:rsid w:val="511856D5"/>
    <w:rsid w:val="511D0F3D"/>
    <w:rsid w:val="511D2CEB"/>
    <w:rsid w:val="511D718F"/>
    <w:rsid w:val="512A365A"/>
    <w:rsid w:val="51380D0A"/>
    <w:rsid w:val="514C537E"/>
    <w:rsid w:val="515F5F6D"/>
    <w:rsid w:val="51604411"/>
    <w:rsid w:val="516D1FD0"/>
    <w:rsid w:val="516E79EA"/>
    <w:rsid w:val="51711289"/>
    <w:rsid w:val="517A013D"/>
    <w:rsid w:val="517D3175"/>
    <w:rsid w:val="519B78A3"/>
    <w:rsid w:val="51A245F0"/>
    <w:rsid w:val="51A4340C"/>
    <w:rsid w:val="51A46F68"/>
    <w:rsid w:val="51AC406F"/>
    <w:rsid w:val="51B15B29"/>
    <w:rsid w:val="51C413B8"/>
    <w:rsid w:val="51C94C21"/>
    <w:rsid w:val="51CD48A6"/>
    <w:rsid w:val="51DA5080"/>
    <w:rsid w:val="520420FD"/>
    <w:rsid w:val="521A1920"/>
    <w:rsid w:val="521A2709"/>
    <w:rsid w:val="521D3AB2"/>
    <w:rsid w:val="52285DEB"/>
    <w:rsid w:val="522C6DA2"/>
    <w:rsid w:val="522E6070"/>
    <w:rsid w:val="522F38A0"/>
    <w:rsid w:val="52306A4E"/>
    <w:rsid w:val="52481FEA"/>
    <w:rsid w:val="5264494A"/>
    <w:rsid w:val="52675D8C"/>
    <w:rsid w:val="526D1A50"/>
    <w:rsid w:val="527F5B08"/>
    <w:rsid w:val="52816AD4"/>
    <w:rsid w:val="52866FBA"/>
    <w:rsid w:val="528B0128"/>
    <w:rsid w:val="52923265"/>
    <w:rsid w:val="52972F71"/>
    <w:rsid w:val="529D37A3"/>
    <w:rsid w:val="52A511EA"/>
    <w:rsid w:val="52C06024"/>
    <w:rsid w:val="52C53BE2"/>
    <w:rsid w:val="52CA1D4B"/>
    <w:rsid w:val="52DB2E5E"/>
    <w:rsid w:val="52DF278C"/>
    <w:rsid w:val="52E50E66"/>
    <w:rsid w:val="52EF06B7"/>
    <w:rsid w:val="52F3513C"/>
    <w:rsid w:val="52F703CB"/>
    <w:rsid w:val="52FE4D9E"/>
    <w:rsid w:val="53073F82"/>
    <w:rsid w:val="530A3743"/>
    <w:rsid w:val="530F0D59"/>
    <w:rsid w:val="530F2B07"/>
    <w:rsid w:val="531141EF"/>
    <w:rsid w:val="531D42B4"/>
    <w:rsid w:val="53274BC7"/>
    <w:rsid w:val="532F6D06"/>
    <w:rsid w:val="53385B3D"/>
    <w:rsid w:val="53426A39"/>
    <w:rsid w:val="534704F3"/>
    <w:rsid w:val="53542C10"/>
    <w:rsid w:val="53746E0E"/>
    <w:rsid w:val="537961D3"/>
    <w:rsid w:val="537E1A3B"/>
    <w:rsid w:val="538E1C7E"/>
    <w:rsid w:val="538F59F6"/>
    <w:rsid w:val="53A50578"/>
    <w:rsid w:val="53A8610F"/>
    <w:rsid w:val="53AF7E46"/>
    <w:rsid w:val="53C46641"/>
    <w:rsid w:val="53D17DBD"/>
    <w:rsid w:val="53D224B3"/>
    <w:rsid w:val="53D8114B"/>
    <w:rsid w:val="53DF24DA"/>
    <w:rsid w:val="53E67D0C"/>
    <w:rsid w:val="53EA0E7E"/>
    <w:rsid w:val="53EE6BC1"/>
    <w:rsid w:val="53F341D7"/>
    <w:rsid w:val="53F8359B"/>
    <w:rsid w:val="5400047A"/>
    <w:rsid w:val="54014B46"/>
    <w:rsid w:val="5406228E"/>
    <w:rsid w:val="54070A2C"/>
    <w:rsid w:val="540939FA"/>
    <w:rsid w:val="540A430E"/>
    <w:rsid w:val="5411465D"/>
    <w:rsid w:val="542E3461"/>
    <w:rsid w:val="54302D35"/>
    <w:rsid w:val="543C3DD0"/>
    <w:rsid w:val="544B7119"/>
    <w:rsid w:val="544B7B6F"/>
    <w:rsid w:val="5450731D"/>
    <w:rsid w:val="54524DF8"/>
    <w:rsid w:val="5452714F"/>
    <w:rsid w:val="54574766"/>
    <w:rsid w:val="54593CCD"/>
    <w:rsid w:val="545C5BBB"/>
    <w:rsid w:val="545E143A"/>
    <w:rsid w:val="545E3D46"/>
    <w:rsid w:val="54631B76"/>
    <w:rsid w:val="5476422F"/>
    <w:rsid w:val="547C241E"/>
    <w:rsid w:val="547E6196"/>
    <w:rsid w:val="54817A35"/>
    <w:rsid w:val="549332C4"/>
    <w:rsid w:val="549A28A4"/>
    <w:rsid w:val="549D4E7C"/>
    <w:rsid w:val="54A23E3E"/>
    <w:rsid w:val="54AA6632"/>
    <w:rsid w:val="54BC0A6D"/>
    <w:rsid w:val="54CD7062"/>
    <w:rsid w:val="54D1276A"/>
    <w:rsid w:val="54D51B2F"/>
    <w:rsid w:val="54DD60B5"/>
    <w:rsid w:val="54EC5A2D"/>
    <w:rsid w:val="54F753E0"/>
    <w:rsid w:val="54F9581D"/>
    <w:rsid w:val="54FE1085"/>
    <w:rsid w:val="55011829"/>
    <w:rsid w:val="55012924"/>
    <w:rsid w:val="55142657"/>
    <w:rsid w:val="55144405"/>
    <w:rsid w:val="55216B22"/>
    <w:rsid w:val="552934C1"/>
    <w:rsid w:val="55344AA7"/>
    <w:rsid w:val="553B4087"/>
    <w:rsid w:val="5540040B"/>
    <w:rsid w:val="55452810"/>
    <w:rsid w:val="554747DA"/>
    <w:rsid w:val="5552166B"/>
    <w:rsid w:val="55654C60"/>
    <w:rsid w:val="556C2493"/>
    <w:rsid w:val="55843CA3"/>
    <w:rsid w:val="55886BA1"/>
    <w:rsid w:val="558C6691"/>
    <w:rsid w:val="559612BE"/>
    <w:rsid w:val="559B68D4"/>
    <w:rsid w:val="55A7069A"/>
    <w:rsid w:val="55A75017"/>
    <w:rsid w:val="55AF412E"/>
    <w:rsid w:val="55BD66BB"/>
    <w:rsid w:val="55D60D95"/>
    <w:rsid w:val="55DD6EED"/>
    <w:rsid w:val="55EA66D0"/>
    <w:rsid w:val="55EB3AC8"/>
    <w:rsid w:val="55FA05AB"/>
    <w:rsid w:val="55FD133D"/>
    <w:rsid w:val="56060CDA"/>
    <w:rsid w:val="56073F6A"/>
    <w:rsid w:val="563F3703"/>
    <w:rsid w:val="56434258"/>
    <w:rsid w:val="565847C5"/>
    <w:rsid w:val="567A0BDF"/>
    <w:rsid w:val="567A298E"/>
    <w:rsid w:val="567A473C"/>
    <w:rsid w:val="56842344"/>
    <w:rsid w:val="56891030"/>
    <w:rsid w:val="568B6949"/>
    <w:rsid w:val="569519B2"/>
    <w:rsid w:val="56A60C81"/>
    <w:rsid w:val="56A97A8E"/>
    <w:rsid w:val="56B07C71"/>
    <w:rsid w:val="56B84917"/>
    <w:rsid w:val="56C63E25"/>
    <w:rsid w:val="56CB143B"/>
    <w:rsid w:val="56CD5BB8"/>
    <w:rsid w:val="56CF2CD9"/>
    <w:rsid w:val="56D3579C"/>
    <w:rsid w:val="56D77DE0"/>
    <w:rsid w:val="56DD5B4A"/>
    <w:rsid w:val="56DE2F1C"/>
    <w:rsid w:val="56ED315F"/>
    <w:rsid w:val="56EF512A"/>
    <w:rsid w:val="56FA587C"/>
    <w:rsid w:val="56FB2217"/>
    <w:rsid w:val="56FC34F3"/>
    <w:rsid w:val="57005E1B"/>
    <w:rsid w:val="570C5CDB"/>
    <w:rsid w:val="57225ED7"/>
    <w:rsid w:val="572349C1"/>
    <w:rsid w:val="572A4BF6"/>
    <w:rsid w:val="5730129E"/>
    <w:rsid w:val="5738773E"/>
    <w:rsid w:val="57390153"/>
    <w:rsid w:val="57393A40"/>
    <w:rsid w:val="575C02E5"/>
    <w:rsid w:val="576158FB"/>
    <w:rsid w:val="576553EC"/>
    <w:rsid w:val="5765719A"/>
    <w:rsid w:val="57711FE2"/>
    <w:rsid w:val="57715B3F"/>
    <w:rsid w:val="57723665"/>
    <w:rsid w:val="578D049F"/>
    <w:rsid w:val="578E4942"/>
    <w:rsid w:val="578F2469"/>
    <w:rsid w:val="57931F59"/>
    <w:rsid w:val="579B7164"/>
    <w:rsid w:val="579D1866"/>
    <w:rsid w:val="57A54AC2"/>
    <w:rsid w:val="57B739E7"/>
    <w:rsid w:val="57B974E6"/>
    <w:rsid w:val="57D63EB5"/>
    <w:rsid w:val="57D85BBE"/>
    <w:rsid w:val="57DC2A49"/>
    <w:rsid w:val="57EF1159"/>
    <w:rsid w:val="57F549C2"/>
    <w:rsid w:val="57F56770"/>
    <w:rsid w:val="57F86CD0"/>
    <w:rsid w:val="58005114"/>
    <w:rsid w:val="58044C05"/>
    <w:rsid w:val="58131835"/>
    <w:rsid w:val="58160494"/>
    <w:rsid w:val="58164938"/>
    <w:rsid w:val="581D1822"/>
    <w:rsid w:val="582232DD"/>
    <w:rsid w:val="58252088"/>
    <w:rsid w:val="582A02F6"/>
    <w:rsid w:val="582B03E3"/>
    <w:rsid w:val="583D0117"/>
    <w:rsid w:val="58501BF8"/>
    <w:rsid w:val="58592BC6"/>
    <w:rsid w:val="58670CF0"/>
    <w:rsid w:val="587C29ED"/>
    <w:rsid w:val="587D5711"/>
    <w:rsid w:val="588433B7"/>
    <w:rsid w:val="58893182"/>
    <w:rsid w:val="58893338"/>
    <w:rsid w:val="588B5408"/>
    <w:rsid w:val="58906B0C"/>
    <w:rsid w:val="589F492D"/>
    <w:rsid w:val="58B55EFF"/>
    <w:rsid w:val="58CD149A"/>
    <w:rsid w:val="58D00F8B"/>
    <w:rsid w:val="58D81BED"/>
    <w:rsid w:val="58DD0FB2"/>
    <w:rsid w:val="58E2444E"/>
    <w:rsid w:val="58E660B8"/>
    <w:rsid w:val="58FC6EB5"/>
    <w:rsid w:val="5901573D"/>
    <w:rsid w:val="59036C6A"/>
    <w:rsid w:val="5906675A"/>
    <w:rsid w:val="590D5D3B"/>
    <w:rsid w:val="59133F24"/>
    <w:rsid w:val="59166CEB"/>
    <w:rsid w:val="591A3FB4"/>
    <w:rsid w:val="5925316F"/>
    <w:rsid w:val="59262FCA"/>
    <w:rsid w:val="592F5CB1"/>
    <w:rsid w:val="592F7A5F"/>
    <w:rsid w:val="59362D4C"/>
    <w:rsid w:val="593C03CE"/>
    <w:rsid w:val="594C6863"/>
    <w:rsid w:val="594E00B6"/>
    <w:rsid w:val="594E0B5F"/>
    <w:rsid w:val="59590F80"/>
    <w:rsid w:val="59594ADC"/>
    <w:rsid w:val="595B6AA6"/>
    <w:rsid w:val="595C637A"/>
    <w:rsid w:val="59617EEA"/>
    <w:rsid w:val="598038B5"/>
    <w:rsid w:val="598B24A0"/>
    <w:rsid w:val="598C4EB2"/>
    <w:rsid w:val="59926240"/>
    <w:rsid w:val="59957DE9"/>
    <w:rsid w:val="59C12681"/>
    <w:rsid w:val="59C77C98"/>
    <w:rsid w:val="59D0626E"/>
    <w:rsid w:val="59DE3C09"/>
    <w:rsid w:val="59E30AA1"/>
    <w:rsid w:val="59F44805"/>
    <w:rsid w:val="59F842F5"/>
    <w:rsid w:val="5A01481F"/>
    <w:rsid w:val="5A0A227A"/>
    <w:rsid w:val="5A0B2B29"/>
    <w:rsid w:val="5A0E1D6B"/>
    <w:rsid w:val="5A0E7004"/>
    <w:rsid w:val="5A0F163F"/>
    <w:rsid w:val="5A2055FA"/>
    <w:rsid w:val="5A2F525A"/>
    <w:rsid w:val="5A3C15A0"/>
    <w:rsid w:val="5A5D3168"/>
    <w:rsid w:val="5A653A18"/>
    <w:rsid w:val="5A76409B"/>
    <w:rsid w:val="5A7D2A4C"/>
    <w:rsid w:val="5A7F0572"/>
    <w:rsid w:val="5A8056EE"/>
    <w:rsid w:val="5A8262B5"/>
    <w:rsid w:val="5A851901"/>
    <w:rsid w:val="5A875679"/>
    <w:rsid w:val="5A8D0913"/>
    <w:rsid w:val="5ABC580A"/>
    <w:rsid w:val="5ACD5782"/>
    <w:rsid w:val="5AD20FEA"/>
    <w:rsid w:val="5ADA39FB"/>
    <w:rsid w:val="5ADE0EE6"/>
    <w:rsid w:val="5AE66844"/>
    <w:rsid w:val="5AEB20AC"/>
    <w:rsid w:val="5AF50835"/>
    <w:rsid w:val="5AF65E5B"/>
    <w:rsid w:val="5AF820D3"/>
    <w:rsid w:val="5B0311A3"/>
    <w:rsid w:val="5B042249"/>
    <w:rsid w:val="5B111398"/>
    <w:rsid w:val="5B165C74"/>
    <w:rsid w:val="5B1F7FED"/>
    <w:rsid w:val="5B353327"/>
    <w:rsid w:val="5B464191"/>
    <w:rsid w:val="5B4779A9"/>
    <w:rsid w:val="5B4A3759"/>
    <w:rsid w:val="5B5C7058"/>
    <w:rsid w:val="5B8C73EB"/>
    <w:rsid w:val="5B8F47E5"/>
    <w:rsid w:val="5B9C33A6"/>
    <w:rsid w:val="5BA30291"/>
    <w:rsid w:val="5BAE6A59"/>
    <w:rsid w:val="5BAF30D9"/>
    <w:rsid w:val="5BBB1A7E"/>
    <w:rsid w:val="5BCA1CC1"/>
    <w:rsid w:val="5BCC5A39"/>
    <w:rsid w:val="5BD349E7"/>
    <w:rsid w:val="5BDE576D"/>
    <w:rsid w:val="5BE2700B"/>
    <w:rsid w:val="5C001B0C"/>
    <w:rsid w:val="5C0E559B"/>
    <w:rsid w:val="5C180C7F"/>
    <w:rsid w:val="5C1B782B"/>
    <w:rsid w:val="5C357108"/>
    <w:rsid w:val="5C480E38"/>
    <w:rsid w:val="5C4952DC"/>
    <w:rsid w:val="5C49708A"/>
    <w:rsid w:val="5C563555"/>
    <w:rsid w:val="5C5D138B"/>
    <w:rsid w:val="5C62014C"/>
    <w:rsid w:val="5C806824"/>
    <w:rsid w:val="5C891B7C"/>
    <w:rsid w:val="5CA02A22"/>
    <w:rsid w:val="5CA215AF"/>
    <w:rsid w:val="5CA56973"/>
    <w:rsid w:val="5CB0535B"/>
    <w:rsid w:val="5CD01559"/>
    <w:rsid w:val="5CD37946"/>
    <w:rsid w:val="5CDA4186"/>
    <w:rsid w:val="5CE648D9"/>
    <w:rsid w:val="5D015BB7"/>
    <w:rsid w:val="5D035EE1"/>
    <w:rsid w:val="5D047455"/>
    <w:rsid w:val="5D0B2591"/>
    <w:rsid w:val="5D170F36"/>
    <w:rsid w:val="5D1A4582"/>
    <w:rsid w:val="5D290C69"/>
    <w:rsid w:val="5D3A2E77"/>
    <w:rsid w:val="5D3C6BEF"/>
    <w:rsid w:val="5D445AA3"/>
    <w:rsid w:val="5D4F6922"/>
    <w:rsid w:val="5D527F72"/>
    <w:rsid w:val="5D59154F"/>
    <w:rsid w:val="5D5A7075"/>
    <w:rsid w:val="5D5C4B9B"/>
    <w:rsid w:val="5D5C7CEE"/>
    <w:rsid w:val="5D6A375C"/>
    <w:rsid w:val="5D6D6DA8"/>
    <w:rsid w:val="5D7774F0"/>
    <w:rsid w:val="5D7B2566"/>
    <w:rsid w:val="5D7F0889"/>
    <w:rsid w:val="5D8660BC"/>
    <w:rsid w:val="5D870900"/>
    <w:rsid w:val="5D983F46"/>
    <w:rsid w:val="5D9C58DF"/>
    <w:rsid w:val="5DA04F58"/>
    <w:rsid w:val="5DA327CA"/>
    <w:rsid w:val="5DA44D4E"/>
    <w:rsid w:val="5DA54437"/>
    <w:rsid w:val="5DA71512"/>
    <w:rsid w:val="5DAD3649"/>
    <w:rsid w:val="5DB316B0"/>
    <w:rsid w:val="5DC015CE"/>
    <w:rsid w:val="5DD1287B"/>
    <w:rsid w:val="5DD46E27"/>
    <w:rsid w:val="5DEA03F9"/>
    <w:rsid w:val="5DED613B"/>
    <w:rsid w:val="5E065BED"/>
    <w:rsid w:val="5E082F75"/>
    <w:rsid w:val="5E0E058B"/>
    <w:rsid w:val="5E1C04EC"/>
    <w:rsid w:val="5E2A42B7"/>
    <w:rsid w:val="5E2F0501"/>
    <w:rsid w:val="5E3B6EA6"/>
    <w:rsid w:val="5E437B09"/>
    <w:rsid w:val="5E4D2736"/>
    <w:rsid w:val="5E5107C6"/>
    <w:rsid w:val="5E564E88"/>
    <w:rsid w:val="5E587A58"/>
    <w:rsid w:val="5E5B4E53"/>
    <w:rsid w:val="5E5E5918"/>
    <w:rsid w:val="5E622685"/>
    <w:rsid w:val="5E693971"/>
    <w:rsid w:val="5E700A9F"/>
    <w:rsid w:val="5E747D47"/>
    <w:rsid w:val="5E84084D"/>
    <w:rsid w:val="5E884785"/>
    <w:rsid w:val="5E8D3555"/>
    <w:rsid w:val="5E93283E"/>
    <w:rsid w:val="5E985789"/>
    <w:rsid w:val="5EA34B3E"/>
    <w:rsid w:val="5EA44A4C"/>
    <w:rsid w:val="5EA467FA"/>
    <w:rsid w:val="5EAA0C9F"/>
    <w:rsid w:val="5EAC1B52"/>
    <w:rsid w:val="5EBD10B7"/>
    <w:rsid w:val="5EBF056E"/>
    <w:rsid w:val="5EC549C2"/>
    <w:rsid w:val="5ECB09AB"/>
    <w:rsid w:val="5EE906B0"/>
    <w:rsid w:val="5EF909FC"/>
    <w:rsid w:val="5EFA0B0F"/>
    <w:rsid w:val="5EFC5BB6"/>
    <w:rsid w:val="5F013C4C"/>
    <w:rsid w:val="5F047298"/>
    <w:rsid w:val="5F08322C"/>
    <w:rsid w:val="5F0B3AC4"/>
    <w:rsid w:val="5F156BA6"/>
    <w:rsid w:val="5F1C2834"/>
    <w:rsid w:val="5F2259FB"/>
    <w:rsid w:val="5F2913F5"/>
    <w:rsid w:val="5F2B0CC9"/>
    <w:rsid w:val="5F2B6F1B"/>
    <w:rsid w:val="5F340C0F"/>
    <w:rsid w:val="5F3B6A32"/>
    <w:rsid w:val="5F3C1473"/>
    <w:rsid w:val="5F3C2ED6"/>
    <w:rsid w:val="5F441643"/>
    <w:rsid w:val="5F464ED1"/>
    <w:rsid w:val="5F537774"/>
    <w:rsid w:val="5F557AF4"/>
    <w:rsid w:val="5F59482E"/>
    <w:rsid w:val="5F5A335C"/>
    <w:rsid w:val="5F5F43A5"/>
    <w:rsid w:val="5F6441DB"/>
    <w:rsid w:val="5F6B7EC2"/>
    <w:rsid w:val="5F781A34"/>
    <w:rsid w:val="5F830B05"/>
    <w:rsid w:val="5F9E3CF6"/>
    <w:rsid w:val="5FA97E40"/>
    <w:rsid w:val="5FAA6FAB"/>
    <w:rsid w:val="5FAD5B82"/>
    <w:rsid w:val="5FAE5456"/>
    <w:rsid w:val="5FD17AC2"/>
    <w:rsid w:val="5FDA624B"/>
    <w:rsid w:val="5FE1582B"/>
    <w:rsid w:val="5FE21F51"/>
    <w:rsid w:val="600357A2"/>
    <w:rsid w:val="60154DB6"/>
    <w:rsid w:val="60193217"/>
    <w:rsid w:val="60267B45"/>
    <w:rsid w:val="60326087"/>
    <w:rsid w:val="60337175"/>
    <w:rsid w:val="604069F6"/>
    <w:rsid w:val="60430294"/>
    <w:rsid w:val="604C539B"/>
    <w:rsid w:val="60536729"/>
    <w:rsid w:val="60567FC7"/>
    <w:rsid w:val="606303E1"/>
    <w:rsid w:val="60714E01"/>
    <w:rsid w:val="607A1A1C"/>
    <w:rsid w:val="60870181"/>
    <w:rsid w:val="608F24D5"/>
    <w:rsid w:val="609D79A4"/>
    <w:rsid w:val="60A132D7"/>
    <w:rsid w:val="60A32AE1"/>
    <w:rsid w:val="60A55600"/>
    <w:rsid w:val="60AA3E6F"/>
    <w:rsid w:val="60AE7E03"/>
    <w:rsid w:val="60B0501F"/>
    <w:rsid w:val="60B66CB8"/>
    <w:rsid w:val="60C70EC5"/>
    <w:rsid w:val="60C97029"/>
    <w:rsid w:val="60DB671F"/>
    <w:rsid w:val="60DF2EA0"/>
    <w:rsid w:val="60E27AAD"/>
    <w:rsid w:val="60E90302"/>
    <w:rsid w:val="6127021B"/>
    <w:rsid w:val="613100ED"/>
    <w:rsid w:val="6131633F"/>
    <w:rsid w:val="61412A26"/>
    <w:rsid w:val="6151078F"/>
    <w:rsid w:val="615A310C"/>
    <w:rsid w:val="616428F0"/>
    <w:rsid w:val="61695AD8"/>
    <w:rsid w:val="617050B9"/>
    <w:rsid w:val="61774699"/>
    <w:rsid w:val="61776447"/>
    <w:rsid w:val="618365D7"/>
    <w:rsid w:val="61857143"/>
    <w:rsid w:val="6192502F"/>
    <w:rsid w:val="61930DA7"/>
    <w:rsid w:val="6197793C"/>
    <w:rsid w:val="61B2122D"/>
    <w:rsid w:val="61BB05D4"/>
    <w:rsid w:val="61C03519"/>
    <w:rsid w:val="61D373F6"/>
    <w:rsid w:val="61E810F3"/>
    <w:rsid w:val="61EB473F"/>
    <w:rsid w:val="61FE7BB9"/>
    <w:rsid w:val="620E2702"/>
    <w:rsid w:val="621B3277"/>
    <w:rsid w:val="62350F17"/>
    <w:rsid w:val="62360695"/>
    <w:rsid w:val="623E236D"/>
    <w:rsid w:val="623F6839"/>
    <w:rsid w:val="62482F3A"/>
    <w:rsid w:val="625747FF"/>
    <w:rsid w:val="625D4F42"/>
    <w:rsid w:val="626D15F8"/>
    <w:rsid w:val="626E02DB"/>
    <w:rsid w:val="627209BD"/>
    <w:rsid w:val="62791D4B"/>
    <w:rsid w:val="62894684"/>
    <w:rsid w:val="628C1F87"/>
    <w:rsid w:val="628D57F7"/>
    <w:rsid w:val="629B43B7"/>
    <w:rsid w:val="62A20505"/>
    <w:rsid w:val="62B17737"/>
    <w:rsid w:val="62B334AF"/>
    <w:rsid w:val="62C25AB2"/>
    <w:rsid w:val="62C84A81"/>
    <w:rsid w:val="62D25A53"/>
    <w:rsid w:val="62D25C44"/>
    <w:rsid w:val="62DB47B4"/>
    <w:rsid w:val="62DD22DA"/>
    <w:rsid w:val="62E573E1"/>
    <w:rsid w:val="62EB355A"/>
    <w:rsid w:val="62EE6B0C"/>
    <w:rsid w:val="62F57A66"/>
    <w:rsid w:val="62F835B8"/>
    <w:rsid w:val="62FD472A"/>
    <w:rsid w:val="63041F6C"/>
    <w:rsid w:val="630E2DDB"/>
    <w:rsid w:val="630E4B89"/>
    <w:rsid w:val="630F445E"/>
    <w:rsid w:val="6315416A"/>
    <w:rsid w:val="631C7C05"/>
    <w:rsid w:val="631D4DCC"/>
    <w:rsid w:val="63245463"/>
    <w:rsid w:val="63352116"/>
    <w:rsid w:val="634945FC"/>
    <w:rsid w:val="6351550F"/>
    <w:rsid w:val="635A7DCF"/>
    <w:rsid w:val="635F3637"/>
    <w:rsid w:val="63626C83"/>
    <w:rsid w:val="63653A31"/>
    <w:rsid w:val="63732C3E"/>
    <w:rsid w:val="637D1D0F"/>
    <w:rsid w:val="638051AE"/>
    <w:rsid w:val="6384306D"/>
    <w:rsid w:val="63957059"/>
    <w:rsid w:val="63AA35F8"/>
    <w:rsid w:val="63BC6393"/>
    <w:rsid w:val="63BD3EBA"/>
    <w:rsid w:val="63C60FC0"/>
    <w:rsid w:val="63CA59B9"/>
    <w:rsid w:val="63CF256B"/>
    <w:rsid w:val="63D556A7"/>
    <w:rsid w:val="63D736B0"/>
    <w:rsid w:val="63FF0976"/>
    <w:rsid w:val="64045A64"/>
    <w:rsid w:val="64264155"/>
    <w:rsid w:val="64352732"/>
    <w:rsid w:val="64354398"/>
    <w:rsid w:val="64356146"/>
    <w:rsid w:val="64357EF4"/>
    <w:rsid w:val="64393E88"/>
    <w:rsid w:val="643E324C"/>
    <w:rsid w:val="644665A5"/>
    <w:rsid w:val="64502F80"/>
    <w:rsid w:val="645B55B4"/>
    <w:rsid w:val="646A18F8"/>
    <w:rsid w:val="647153D0"/>
    <w:rsid w:val="64722EF6"/>
    <w:rsid w:val="64833355"/>
    <w:rsid w:val="648A6492"/>
    <w:rsid w:val="64A15D85"/>
    <w:rsid w:val="64A94986"/>
    <w:rsid w:val="64AF5F9E"/>
    <w:rsid w:val="64B17823"/>
    <w:rsid w:val="64B435DD"/>
    <w:rsid w:val="64C40A84"/>
    <w:rsid w:val="64C574CA"/>
    <w:rsid w:val="64CB2716"/>
    <w:rsid w:val="64D60B38"/>
    <w:rsid w:val="64E262CE"/>
    <w:rsid w:val="64E77440"/>
    <w:rsid w:val="64F5104C"/>
    <w:rsid w:val="64F8164D"/>
    <w:rsid w:val="64F8789F"/>
    <w:rsid w:val="64F97173"/>
    <w:rsid w:val="65075D34"/>
    <w:rsid w:val="650C78D8"/>
    <w:rsid w:val="650F6997"/>
    <w:rsid w:val="652E1513"/>
    <w:rsid w:val="65303D1B"/>
    <w:rsid w:val="653528A1"/>
    <w:rsid w:val="65384140"/>
    <w:rsid w:val="65566374"/>
    <w:rsid w:val="655969BE"/>
    <w:rsid w:val="65705687"/>
    <w:rsid w:val="6578278E"/>
    <w:rsid w:val="6582360D"/>
    <w:rsid w:val="65841133"/>
    <w:rsid w:val="658603F7"/>
    <w:rsid w:val="658776AB"/>
    <w:rsid w:val="65882BBC"/>
    <w:rsid w:val="6589499B"/>
    <w:rsid w:val="658C7FE7"/>
    <w:rsid w:val="659770B8"/>
    <w:rsid w:val="659B647C"/>
    <w:rsid w:val="659D21F5"/>
    <w:rsid w:val="65A11CE5"/>
    <w:rsid w:val="65A65CF0"/>
    <w:rsid w:val="65B8122B"/>
    <w:rsid w:val="65DC690B"/>
    <w:rsid w:val="65E10333"/>
    <w:rsid w:val="65E240AB"/>
    <w:rsid w:val="65EE47FE"/>
    <w:rsid w:val="65F60CB8"/>
    <w:rsid w:val="65F77B57"/>
    <w:rsid w:val="65F8742B"/>
    <w:rsid w:val="65FF4C5D"/>
    <w:rsid w:val="660A5ADC"/>
    <w:rsid w:val="661324B7"/>
    <w:rsid w:val="6618429B"/>
    <w:rsid w:val="662201AE"/>
    <w:rsid w:val="662B5A52"/>
    <w:rsid w:val="663060F5"/>
    <w:rsid w:val="663B7D9D"/>
    <w:rsid w:val="663C00F6"/>
    <w:rsid w:val="663D12E2"/>
    <w:rsid w:val="664B1D6C"/>
    <w:rsid w:val="66627DF7"/>
    <w:rsid w:val="666C3A5C"/>
    <w:rsid w:val="66815672"/>
    <w:rsid w:val="66833198"/>
    <w:rsid w:val="66905070"/>
    <w:rsid w:val="66934D85"/>
    <w:rsid w:val="66A36AA9"/>
    <w:rsid w:val="66AF3F8D"/>
    <w:rsid w:val="66B23A7E"/>
    <w:rsid w:val="66B8258A"/>
    <w:rsid w:val="66BB1946"/>
    <w:rsid w:val="66C37A39"/>
    <w:rsid w:val="66C739CD"/>
    <w:rsid w:val="66D96AB9"/>
    <w:rsid w:val="66E04A8F"/>
    <w:rsid w:val="66E856F1"/>
    <w:rsid w:val="66EF082E"/>
    <w:rsid w:val="66F45E44"/>
    <w:rsid w:val="66F56119"/>
    <w:rsid w:val="66F6168A"/>
    <w:rsid w:val="66F7483B"/>
    <w:rsid w:val="66FA0968"/>
    <w:rsid w:val="6704344C"/>
    <w:rsid w:val="670562A3"/>
    <w:rsid w:val="670E32EB"/>
    <w:rsid w:val="67136ED0"/>
    <w:rsid w:val="67184229"/>
    <w:rsid w:val="67185FD7"/>
    <w:rsid w:val="671B7875"/>
    <w:rsid w:val="67395F4D"/>
    <w:rsid w:val="673D3C8F"/>
    <w:rsid w:val="674566A0"/>
    <w:rsid w:val="674725FB"/>
    <w:rsid w:val="6759039D"/>
    <w:rsid w:val="675A65F9"/>
    <w:rsid w:val="676667E4"/>
    <w:rsid w:val="676D5174"/>
    <w:rsid w:val="6773145F"/>
    <w:rsid w:val="67742C9A"/>
    <w:rsid w:val="67784CC7"/>
    <w:rsid w:val="67787159"/>
    <w:rsid w:val="677A0A3F"/>
    <w:rsid w:val="677B47B7"/>
    <w:rsid w:val="67896ED4"/>
    <w:rsid w:val="678B49FB"/>
    <w:rsid w:val="678C2521"/>
    <w:rsid w:val="678E0047"/>
    <w:rsid w:val="678E44EB"/>
    <w:rsid w:val="6793565D"/>
    <w:rsid w:val="67982E94"/>
    <w:rsid w:val="67A31772"/>
    <w:rsid w:val="67AC4971"/>
    <w:rsid w:val="67AC671F"/>
    <w:rsid w:val="67B850C4"/>
    <w:rsid w:val="67BB4BB4"/>
    <w:rsid w:val="67C01265"/>
    <w:rsid w:val="67C63C85"/>
    <w:rsid w:val="67D143D7"/>
    <w:rsid w:val="67D55C76"/>
    <w:rsid w:val="67DF6EC0"/>
    <w:rsid w:val="67F54E35"/>
    <w:rsid w:val="67F65BEC"/>
    <w:rsid w:val="67FB3202"/>
    <w:rsid w:val="67FC76A6"/>
    <w:rsid w:val="67FF3C0E"/>
    <w:rsid w:val="680B5B3B"/>
    <w:rsid w:val="681811A0"/>
    <w:rsid w:val="682269E1"/>
    <w:rsid w:val="682D5AB2"/>
    <w:rsid w:val="682E5386"/>
    <w:rsid w:val="68330BEE"/>
    <w:rsid w:val="68362022"/>
    <w:rsid w:val="6841155D"/>
    <w:rsid w:val="68442DFB"/>
    <w:rsid w:val="685A43CD"/>
    <w:rsid w:val="68684D3C"/>
    <w:rsid w:val="686E1C26"/>
    <w:rsid w:val="686F7E78"/>
    <w:rsid w:val="688D02FE"/>
    <w:rsid w:val="688E1073"/>
    <w:rsid w:val="68910DD6"/>
    <w:rsid w:val="689C2C37"/>
    <w:rsid w:val="68A37B22"/>
    <w:rsid w:val="68A64EF2"/>
    <w:rsid w:val="68AA78F2"/>
    <w:rsid w:val="68B63CF9"/>
    <w:rsid w:val="68BA67E5"/>
    <w:rsid w:val="68C1269E"/>
    <w:rsid w:val="68C301C4"/>
    <w:rsid w:val="68CD2DF1"/>
    <w:rsid w:val="68D96D76"/>
    <w:rsid w:val="68DB72BC"/>
    <w:rsid w:val="68FE2FAA"/>
    <w:rsid w:val="69014DF0"/>
    <w:rsid w:val="690E08C5"/>
    <w:rsid w:val="69126A56"/>
    <w:rsid w:val="691761E8"/>
    <w:rsid w:val="692E6EE4"/>
    <w:rsid w:val="693C36F0"/>
    <w:rsid w:val="694A61EF"/>
    <w:rsid w:val="694D7A8E"/>
    <w:rsid w:val="696848C8"/>
    <w:rsid w:val="69690D6B"/>
    <w:rsid w:val="696A0640"/>
    <w:rsid w:val="69780FAF"/>
    <w:rsid w:val="697A061D"/>
    <w:rsid w:val="697F233D"/>
    <w:rsid w:val="698A51BA"/>
    <w:rsid w:val="698F00A6"/>
    <w:rsid w:val="699A5DD0"/>
    <w:rsid w:val="69A63A94"/>
    <w:rsid w:val="69A71894"/>
    <w:rsid w:val="69BF098B"/>
    <w:rsid w:val="69C62A73"/>
    <w:rsid w:val="69CE5072"/>
    <w:rsid w:val="69D00DEB"/>
    <w:rsid w:val="69D33B54"/>
    <w:rsid w:val="69D65CD5"/>
    <w:rsid w:val="69DC778F"/>
    <w:rsid w:val="69DF102E"/>
    <w:rsid w:val="69E20F99"/>
    <w:rsid w:val="69E5594C"/>
    <w:rsid w:val="69EC72A7"/>
    <w:rsid w:val="69EF33C0"/>
    <w:rsid w:val="69F140F6"/>
    <w:rsid w:val="69F148BD"/>
    <w:rsid w:val="69F90EE8"/>
    <w:rsid w:val="6A010FA4"/>
    <w:rsid w:val="6A0516C0"/>
    <w:rsid w:val="6A0D5B9B"/>
    <w:rsid w:val="6A191A36"/>
    <w:rsid w:val="6A334ED5"/>
    <w:rsid w:val="6A3B3D8A"/>
    <w:rsid w:val="6A4936B6"/>
    <w:rsid w:val="6A5559C9"/>
    <w:rsid w:val="6A682DD1"/>
    <w:rsid w:val="6A6E4160"/>
    <w:rsid w:val="6A721BD2"/>
    <w:rsid w:val="6A752B16"/>
    <w:rsid w:val="6A7774B8"/>
    <w:rsid w:val="6A87551B"/>
    <w:rsid w:val="6A902328"/>
    <w:rsid w:val="6A955B90"/>
    <w:rsid w:val="6AAB53B4"/>
    <w:rsid w:val="6AAC43DF"/>
    <w:rsid w:val="6AAF6C52"/>
    <w:rsid w:val="6AB73D58"/>
    <w:rsid w:val="6ABF6769"/>
    <w:rsid w:val="6ACD0E86"/>
    <w:rsid w:val="6AD40467"/>
    <w:rsid w:val="6ADC731B"/>
    <w:rsid w:val="6ADF6E0B"/>
    <w:rsid w:val="6AE03628"/>
    <w:rsid w:val="6AE127F5"/>
    <w:rsid w:val="6AE52674"/>
    <w:rsid w:val="6AFB5005"/>
    <w:rsid w:val="6AFD120C"/>
    <w:rsid w:val="6B036F9E"/>
    <w:rsid w:val="6B1765A5"/>
    <w:rsid w:val="6B1A4D60"/>
    <w:rsid w:val="6B1A4FF8"/>
    <w:rsid w:val="6B1D005F"/>
    <w:rsid w:val="6B1D3AD2"/>
    <w:rsid w:val="6B1E33D8"/>
    <w:rsid w:val="6B234F4A"/>
    <w:rsid w:val="6B244F62"/>
    <w:rsid w:val="6B256F14"/>
    <w:rsid w:val="6B334BE0"/>
    <w:rsid w:val="6B3D24B0"/>
    <w:rsid w:val="6B413622"/>
    <w:rsid w:val="6B41581C"/>
    <w:rsid w:val="6B43383E"/>
    <w:rsid w:val="6B451364"/>
    <w:rsid w:val="6B4A697B"/>
    <w:rsid w:val="6B5251D7"/>
    <w:rsid w:val="6B584F6A"/>
    <w:rsid w:val="6B5A1FAD"/>
    <w:rsid w:val="6B5D66AE"/>
    <w:rsid w:val="6B637A3C"/>
    <w:rsid w:val="6B705659"/>
    <w:rsid w:val="6B8927BC"/>
    <w:rsid w:val="6B9876E6"/>
    <w:rsid w:val="6B9F6CC6"/>
    <w:rsid w:val="6BA240C1"/>
    <w:rsid w:val="6BA621A3"/>
    <w:rsid w:val="6BA82956"/>
    <w:rsid w:val="6BB107A8"/>
    <w:rsid w:val="6BBC5AE3"/>
    <w:rsid w:val="6BBD714D"/>
    <w:rsid w:val="6BC00787"/>
    <w:rsid w:val="6BC24763"/>
    <w:rsid w:val="6BC524A5"/>
    <w:rsid w:val="6BC907D3"/>
    <w:rsid w:val="6BD050D2"/>
    <w:rsid w:val="6BEA3CBA"/>
    <w:rsid w:val="6BF314CD"/>
    <w:rsid w:val="6BF3491C"/>
    <w:rsid w:val="6BF75464"/>
    <w:rsid w:val="6BFD5915"/>
    <w:rsid w:val="6BFF59B7"/>
    <w:rsid w:val="6C060AF4"/>
    <w:rsid w:val="6C0B610A"/>
    <w:rsid w:val="6C112E5A"/>
    <w:rsid w:val="6C3867D3"/>
    <w:rsid w:val="6C3A69EF"/>
    <w:rsid w:val="6C411B2C"/>
    <w:rsid w:val="6C4258A4"/>
    <w:rsid w:val="6C4E249B"/>
    <w:rsid w:val="6C537AB1"/>
    <w:rsid w:val="6C691082"/>
    <w:rsid w:val="6C6D2921"/>
    <w:rsid w:val="6C815254"/>
    <w:rsid w:val="6C844BE1"/>
    <w:rsid w:val="6C8B0FF9"/>
    <w:rsid w:val="6C8D4D71"/>
    <w:rsid w:val="6C982985"/>
    <w:rsid w:val="6C9A123C"/>
    <w:rsid w:val="6CAF1940"/>
    <w:rsid w:val="6CB22A29"/>
    <w:rsid w:val="6CB5251A"/>
    <w:rsid w:val="6CC14A1B"/>
    <w:rsid w:val="6CC91B21"/>
    <w:rsid w:val="6CDF2AE4"/>
    <w:rsid w:val="6CEF1588"/>
    <w:rsid w:val="6CF12F7B"/>
    <w:rsid w:val="6CF41962"/>
    <w:rsid w:val="6D0668D1"/>
    <w:rsid w:val="6D1234C8"/>
    <w:rsid w:val="6D142D9C"/>
    <w:rsid w:val="6D17775B"/>
    <w:rsid w:val="6D196605"/>
    <w:rsid w:val="6D321474"/>
    <w:rsid w:val="6D430BC1"/>
    <w:rsid w:val="6D4E360B"/>
    <w:rsid w:val="6D4F0278"/>
    <w:rsid w:val="6D567859"/>
    <w:rsid w:val="6D594C53"/>
    <w:rsid w:val="6D5A24FF"/>
    <w:rsid w:val="6D5B6C1D"/>
    <w:rsid w:val="6D741A8D"/>
    <w:rsid w:val="6D91263F"/>
    <w:rsid w:val="6DA00AD4"/>
    <w:rsid w:val="6DAF5006"/>
    <w:rsid w:val="6DC81022"/>
    <w:rsid w:val="6DD644F6"/>
    <w:rsid w:val="6DDC44C7"/>
    <w:rsid w:val="6DDD5884"/>
    <w:rsid w:val="6DE459AB"/>
    <w:rsid w:val="6DEE2C32"/>
    <w:rsid w:val="6DF27E1D"/>
    <w:rsid w:val="6DF80910"/>
    <w:rsid w:val="6E00531F"/>
    <w:rsid w:val="6E041063"/>
    <w:rsid w:val="6E0E7524"/>
    <w:rsid w:val="6E1F5E9D"/>
    <w:rsid w:val="6E2A4841"/>
    <w:rsid w:val="6E337B9A"/>
    <w:rsid w:val="6E3F653F"/>
    <w:rsid w:val="6E4546CF"/>
    <w:rsid w:val="6E4E22DE"/>
    <w:rsid w:val="6E4E649C"/>
    <w:rsid w:val="6E721177"/>
    <w:rsid w:val="6E9A146E"/>
    <w:rsid w:val="6EA953D8"/>
    <w:rsid w:val="6EB365E5"/>
    <w:rsid w:val="6EB81E4D"/>
    <w:rsid w:val="6EC827FB"/>
    <w:rsid w:val="6EC83B36"/>
    <w:rsid w:val="6EE175F6"/>
    <w:rsid w:val="6EE449F0"/>
    <w:rsid w:val="6EF235B1"/>
    <w:rsid w:val="6EF410D7"/>
    <w:rsid w:val="6EFC7F8C"/>
    <w:rsid w:val="6F062BB9"/>
    <w:rsid w:val="6F103C08"/>
    <w:rsid w:val="6F1F3C52"/>
    <w:rsid w:val="6F22735D"/>
    <w:rsid w:val="6F233817"/>
    <w:rsid w:val="6F265009"/>
    <w:rsid w:val="6F2825AD"/>
    <w:rsid w:val="6F321C00"/>
    <w:rsid w:val="6F3C482C"/>
    <w:rsid w:val="6F457B85"/>
    <w:rsid w:val="6F467459"/>
    <w:rsid w:val="6F490CF7"/>
    <w:rsid w:val="6F4B4A6F"/>
    <w:rsid w:val="6F685621"/>
    <w:rsid w:val="6F7246F2"/>
    <w:rsid w:val="6F7915DC"/>
    <w:rsid w:val="6F7B595E"/>
    <w:rsid w:val="6F854425"/>
    <w:rsid w:val="6F865AA7"/>
    <w:rsid w:val="6F884206"/>
    <w:rsid w:val="6F8A1A3C"/>
    <w:rsid w:val="6F907DED"/>
    <w:rsid w:val="6F915675"/>
    <w:rsid w:val="6F9957DB"/>
    <w:rsid w:val="6F9B77A5"/>
    <w:rsid w:val="6FB50225"/>
    <w:rsid w:val="6FB57710"/>
    <w:rsid w:val="6FB72105"/>
    <w:rsid w:val="6FBB7E47"/>
    <w:rsid w:val="6FD20CED"/>
    <w:rsid w:val="6FD46090"/>
    <w:rsid w:val="6FD827A7"/>
    <w:rsid w:val="6FE70C3C"/>
    <w:rsid w:val="6FEC0000"/>
    <w:rsid w:val="6FF4457F"/>
    <w:rsid w:val="6FF702F2"/>
    <w:rsid w:val="6FF81985"/>
    <w:rsid w:val="6FFB46E7"/>
    <w:rsid w:val="700370F8"/>
    <w:rsid w:val="70056E2B"/>
    <w:rsid w:val="700A492A"/>
    <w:rsid w:val="700C2451"/>
    <w:rsid w:val="70104859"/>
    <w:rsid w:val="70185150"/>
    <w:rsid w:val="702A0B29"/>
    <w:rsid w:val="7036571F"/>
    <w:rsid w:val="703674CE"/>
    <w:rsid w:val="703F6C75"/>
    <w:rsid w:val="70447E3C"/>
    <w:rsid w:val="705267FE"/>
    <w:rsid w:val="70567B70"/>
    <w:rsid w:val="705B5186"/>
    <w:rsid w:val="706978A3"/>
    <w:rsid w:val="706A0B2A"/>
    <w:rsid w:val="70710506"/>
    <w:rsid w:val="70710B04"/>
    <w:rsid w:val="7085526F"/>
    <w:rsid w:val="70A46B2D"/>
    <w:rsid w:val="70B01509"/>
    <w:rsid w:val="70B623BC"/>
    <w:rsid w:val="70C20D61"/>
    <w:rsid w:val="70C336B0"/>
    <w:rsid w:val="70CE7706"/>
    <w:rsid w:val="70DA254F"/>
    <w:rsid w:val="70F83917"/>
    <w:rsid w:val="71096990"/>
    <w:rsid w:val="710B095A"/>
    <w:rsid w:val="711A6DEF"/>
    <w:rsid w:val="71397CB0"/>
    <w:rsid w:val="713A4D9B"/>
    <w:rsid w:val="713C4FB8"/>
    <w:rsid w:val="7143661C"/>
    <w:rsid w:val="714E6366"/>
    <w:rsid w:val="71500A63"/>
    <w:rsid w:val="71600CA6"/>
    <w:rsid w:val="716B31A7"/>
    <w:rsid w:val="717464FF"/>
    <w:rsid w:val="71770BD0"/>
    <w:rsid w:val="71775FF0"/>
    <w:rsid w:val="717958C4"/>
    <w:rsid w:val="718B3849"/>
    <w:rsid w:val="71924BD7"/>
    <w:rsid w:val="71A21F3B"/>
    <w:rsid w:val="71A566B9"/>
    <w:rsid w:val="71B2527A"/>
    <w:rsid w:val="71BB412E"/>
    <w:rsid w:val="71C32FE3"/>
    <w:rsid w:val="71D83180"/>
    <w:rsid w:val="71E847F7"/>
    <w:rsid w:val="71EC42E8"/>
    <w:rsid w:val="71F20AED"/>
    <w:rsid w:val="71F96A05"/>
    <w:rsid w:val="72084E9A"/>
    <w:rsid w:val="720930EC"/>
    <w:rsid w:val="72127AC6"/>
    <w:rsid w:val="72130821"/>
    <w:rsid w:val="72135D18"/>
    <w:rsid w:val="72171985"/>
    <w:rsid w:val="721B2CFE"/>
    <w:rsid w:val="72236463"/>
    <w:rsid w:val="724265FE"/>
    <w:rsid w:val="724A4E92"/>
    <w:rsid w:val="72531BAF"/>
    <w:rsid w:val="725505D3"/>
    <w:rsid w:val="725A69E2"/>
    <w:rsid w:val="726227FC"/>
    <w:rsid w:val="726A345E"/>
    <w:rsid w:val="72701D1A"/>
    <w:rsid w:val="72710BA9"/>
    <w:rsid w:val="727A5D97"/>
    <w:rsid w:val="727A7B45"/>
    <w:rsid w:val="72822590"/>
    <w:rsid w:val="72895FDA"/>
    <w:rsid w:val="728C5ACB"/>
    <w:rsid w:val="728E539F"/>
    <w:rsid w:val="729053B3"/>
    <w:rsid w:val="72930C07"/>
    <w:rsid w:val="72972FDB"/>
    <w:rsid w:val="7298621E"/>
    <w:rsid w:val="72A9667D"/>
    <w:rsid w:val="72AF2EBE"/>
    <w:rsid w:val="72B15531"/>
    <w:rsid w:val="72B648F6"/>
    <w:rsid w:val="72CB77F1"/>
    <w:rsid w:val="72CD62E3"/>
    <w:rsid w:val="72DA6836"/>
    <w:rsid w:val="72FB055A"/>
    <w:rsid w:val="73044A8E"/>
    <w:rsid w:val="730613D9"/>
    <w:rsid w:val="73102258"/>
    <w:rsid w:val="73133AF6"/>
    <w:rsid w:val="732710B7"/>
    <w:rsid w:val="7329331A"/>
    <w:rsid w:val="73310C0A"/>
    <w:rsid w:val="733E072C"/>
    <w:rsid w:val="734A1917"/>
    <w:rsid w:val="734F0FD2"/>
    <w:rsid w:val="735E7A6A"/>
    <w:rsid w:val="73636712"/>
    <w:rsid w:val="736507F6"/>
    <w:rsid w:val="736973F3"/>
    <w:rsid w:val="73700F48"/>
    <w:rsid w:val="737C5B3F"/>
    <w:rsid w:val="738F7621"/>
    <w:rsid w:val="73940328"/>
    <w:rsid w:val="739719D5"/>
    <w:rsid w:val="73974727"/>
    <w:rsid w:val="73B24BE9"/>
    <w:rsid w:val="73B4726D"/>
    <w:rsid w:val="73CC79FC"/>
    <w:rsid w:val="73CF5C6F"/>
    <w:rsid w:val="73D059B5"/>
    <w:rsid w:val="73D974B4"/>
    <w:rsid w:val="73DE2356"/>
    <w:rsid w:val="73EB6821"/>
    <w:rsid w:val="73EF3187"/>
    <w:rsid w:val="73F05BE5"/>
    <w:rsid w:val="73F27BAF"/>
    <w:rsid w:val="73F456D6"/>
    <w:rsid w:val="73F6144E"/>
    <w:rsid w:val="74054476"/>
    <w:rsid w:val="74125AAA"/>
    <w:rsid w:val="741C3B1A"/>
    <w:rsid w:val="742452F2"/>
    <w:rsid w:val="7429626A"/>
    <w:rsid w:val="742B55EC"/>
    <w:rsid w:val="743508AF"/>
    <w:rsid w:val="743B50B2"/>
    <w:rsid w:val="74416441"/>
    <w:rsid w:val="745076AC"/>
    <w:rsid w:val="74512B28"/>
    <w:rsid w:val="74580488"/>
    <w:rsid w:val="745E5245"/>
    <w:rsid w:val="745E6FF3"/>
    <w:rsid w:val="745F712C"/>
    <w:rsid w:val="74650381"/>
    <w:rsid w:val="746639C2"/>
    <w:rsid w:val="746960C4"/>
    <w:rsid w:val="746A1E3C"/>
    <w:rsid w:val="746C5BB4"/>
    <w:rsid w:val="74714F78"/>
    <w:rsid w:val="747366CE"/>
    <w:rsid w:val="747405C4"/>
    <w:rsid w:val="7476433D"/>
    <w:rsid w:val="74794860"/>
    <w:rsid w:val="747E784D"/>
    <w:rsid w:val="74836A59"/>
    <w:rsid w:val="748F24AD"/>
    <w:rsid w:val="74987BA2"/>
    <w:rsid w:val="7499627D"/>
    <w:rsid w:val="749F1AE5"/>
    <w:rsid w:val="74A23383"/>
    <w:rsid w:val="74A569D0"/>
    <w:rsid w:val="74AB66DC"/>
    <w:rsid w:val="74AC042D"/>
    <w:rsid w:val="74AE7614"/>
    <w:rsid w:val="74D17A8B"/>
    <w:rsid w:val="74D45924"/>
    <w:rsid w:val="74DD616A"/>
    <w:rsid w:val="74E044A9"/>
    <w:rsid w:val="74E1190B"/>
    <w:rsid w:val="74E906D7"/>
    <w:rsid w:val="74EB5295"/>
    <w:rsid w:val="74F31E31"/>
    <w:rsid w:val="74F506C5"/>
    <w:rsid w:val="750D2EF3"/>
    <w:rsid w:val="751A5610"/>
    <w:rsid w:val="751A73BE"/>
    <w:rsid w:val="751E3E53"/>
    <w:rsid w:val="752079FA"/>
    <w:rsid w:val="75273889"/>
    <w:rsid w:val="75297601"/>
    <w:rsid w:val="7544268D"/>
    <w:rsid w:val="75475CD9"/>
    <w:rsid w:val="75502DDF"/>
    <w:rsid w:val="75541368"/>
    <w:rsid w:val="756248C1"/>
    <w:rsid w:val="756D3991"/>
    <w:rsid w:val="75742CA2"/>
    <w:rsid w:val="75762560"/>
    <w:rsid w:val="75823D9F"/>
    <w:rsid w:val="75840CDB"/>
    <w:rsid w:val="758807CB"/>
    <w:rsid w:val="758D5C48"/>
    <w:rsid w:val="75A10669"/>
    <w:rsid w:val="75A86778"/>
    <w:rsid w:val="75BC66C7"/>
    <w:rsid w:val="75C24386"/>
    <w:rsid w:val="75CA2B92"/>
    <w:rsid w:val="75CD61DE"/>
    <w:rsid w:val="75F145C2"/>
    <w:rsid w:val="75F41852"/>
    <w:rsid w:val="75FE6CDF"/>
    <w:rsid w:val="7610256F"/>
    <w:rsid w:val="76171689"/>
    <w:rsid w:val="76195649"/>
    <w:rsid w:val="762E3028"/>
    <w:rsid w:val="763149BF"/>
    <w:rsid w:val="763B4053"/>
    <w:rsid w:val="763E0E8A"/>
    <w:rsid w:val="764049D4"/>
    <w:rsid w:val="76411F3A"/>
    <w:rsid w:val="76487623"/>
    <w:rsid w:val="76516E00"/>
    <w:rsid w:val="76517B36"/>
    <w:rsid w:val="76544B51"/>
    <w:rsid w:val="765D34CA"/>
    <w:rsid w:val="765D7381"/>
    <w:rsid w:val="7662726E"/>
    <w:rsid w:val="76634D94"/>
    <w:rsid w:val="766926FD"/>
    <w:rsid w:val="767E1BCE"/>
    <w:rsid w:val="76816FC9"/>
    <w:rsid w:val="76832D41"/>
    <w:rsid w:val="76962A74"/>
    <w:rsid w:val="769D2054"/>
    <w:rsid w:val="76A333E3"/>
    <w:rsid w:val="76A742FA"/>
    <w:rsid w:val="76B33626"/>
    <w:rsid w:val="76C17E2E"/>
    <w:rsid w:val="76CA4E14"/>
    <w:rsid w:val="76D14B6E"/>
    <w:rsid w:val="76DE537C"/>
    <w:rsid w:val="76DF08BF"/>
    <w:rsid w:val="76E01F41"/>
    <w:rsid w:val="76E03F0E"/>
    <w:rsid w:val="76E71522"/>
    <w:rsid w:val="76E732D0"/>
    <w:rsid w:val="76F105F2"/>
    <w:rsid w:val="76F123A0"/>
    <w:rsid w:val="76F147F3"/>
    <w:rsid w:val="76FC7B81"/>
    <w:rsid w:val="7702635B"/>
    <w:rsid w:val="770E6AAE"/>
    <w:rsid w:val="771340C5"/>
    <w:rsid w:val="7718792D"/>
    <w:rsid w:val="771C566F"/>
    <w:rsid w:val="771D3195"/>
    <w:rsid w:val="771D4F43"/>
    <w:rsid w:val="772878A2"/>
    <w:rsid w:val="772938E8"/>
    <w:rsid w:val="7731279D"/>
    <w:rsid w:val="77356731"/>
    <w:rsid w:val="77361E52"/>
    <w:rsid w:val="7742590C"/>
    <w:rsid w:val="77441A7A"/>
    <w:rsid w:val="77516537"/>
    <w:rsid w:val="77586BA0"/>
    <w:rsid w:val="776112D4"/>
    <w:rsid w:val="77644159"/>
    <w:rsid w:val="776C0060"/>
    <w:rsid w:val="77770AF7"/>
    <w:rsid w:val="7778661E"/>
    <w:rsid w:val="77791A45"/>
    <w:rsid w:val="777C4360"/>
    <w:rsid w:val="77821B8F"/>
    <w:rsid w:val="778B1F3F"/>
    <w:rsid w:val="779F004E"/>
    <w:rsid w:val="77AD62C7"/>
    <w:rsid w:val="77B5517C"/>
    <w:rsid w:val="77D23F80"/>
    <w:rsid w:val="77D263BD"/>
    <w:rsid w:val="77D726AA"/>
    <w:rsid w:val="77E31CE9"/>
    <w:rsid w:val="77EC3DF5"/>
    <w:rsid w:val="77F2372E"/>
    <w:rsid w:val="77F959B0"/>
    <w:rsid w:val="77FA5285"/>
    <w:rsid w:val="78191BAF"/>
    <w:rsid w:val="781C169F"/>
    <w:rsid w:val="782026E9"/>
    <w:rsid w:val="78281DF2"/>
    <w:rsid w:val="782A0230"/>
    <w:rsid w:val="78414C61"/>
    <w:rsid w:val="784D20BC"/>
    <w:rsid w:val="785E3A65"/>
    <w:rsid w:val="786F5C73"/>
    <w:rsid w:val="78767001"/>
    <w:rsid w:val="78866B18"/>
    <w:rsid w:val="788A6608"/>
    <w:rsid w:val="788F1E71"/>
    <w:rsid w:val="78913571"/>
    <w:rsid w:val="78917997"/>
    <w:rsid w:val="7892370F"/>
    <w:rsid w:val="78A31478"/>
    <w:rsid w:val="78AC47D1"/>
    <w:rsid w:val="78B8273E"/>
    <w:rsid w:val="78BF7473"/>
    <w:rsid w:val="78D37FAF"/>
    <w:rsid w:val="78E26444"/>
    <w:rsid w:val="78E76881"/>
    <w:rsid w:val="78E9200A"/>
    <w:rsid w:val="78EE63CF"/>
    <w:rsid w:val="78EE6B97"/>
    <w:rsid w:val="78F062A1"/>
    <w:rsid w:val="78F671A8"/>
    <w:rsid w:val="78FB12B4"/>
    <w:rsid w:val="78FD327E"/>
    <w:rsid w:val="79050581"/>
    <w:rsid w:val="79156FC5"/>
    <w:rsid w:val="791B1956"/>
    <w:rsid w:val="792228BA"/>
    <w:rsid w:val="793E7479"/>
    <w:rsid w:val="7940316B"/>
    <w:rsid w:val="79425135"/>
    <w:rsid w:val="79426EE3"/>
    <w:rsid w:val="79556C16"/>
    <w:rsid w:val="79682D81"/>
    <w:rsid w:val="796D402F"/>
    <w:rsid w:val="796E1A86"/>
    <w:rsid w:val="797057FE"/>
    <w:rsid w:val="7975493E"/>
    <w:rsid w:val="79784955"/>
    <w:rsid w:val="797D1D3B"/>
    <w:rsid w:val="797F1EE5"/>
    <w:rsid w:val="798C53A1"/>
    <w:rsid w:val="79907A14"/>
    <w:rsid w:val="799356A1"/>
    <w:rsid w:val="79951709"/>
    <w:rsid w:val="799F60E4"/>
    <w:rsid w:val="79AB04FA"/>
    <w:rsid w:val="79B50AFD"/>
    <w:rsid w:val="79C421B0"/>
    <w:rsid w:val="79F32188"/>
    <w:rsid w:val="79F53F55"/>
    <w:rsid w:val="79F75F20"/>
    <w:rsid w:val="79FD2E0A"/>
    <w:rsid w:val="7A0423EA"/>
    <w:rsid w:val="7A0820D0"/>
    <w:rsid w:val="7A08517E"/>
    <w:rsid w:val="7A1940E8"/>
    <w:rsid w:val="7A1F0FD2"/>
    <w:rsid w:val="7A262361"/>
    <w:rsid w:val="7A2E1215"/>
    <w:rsid w:val="7A320D06"/>
    <w:rsid w:val="7A392094"/>
    <w:rsid w:val="7A3B22B0"/>
    <w:rsid w:val="7A3E76AA"/>
    <w:rsid w:val="7A456C8B"/>
    <w:rsid w:val="7A523156"/>
    <w:rsid w:val="7A536ED4"/>
    <w:rsid w:val="7A5E1AFB"/>
    <w:rsid w:val="7A603AC5"/>
    <w:rsid w:val="7A6115EB"/>
    <w:rsid w:val="7A6C06BC"/>
    <w:rsid w:val="7A821B87"/>
    <w:rsid w:val="7A832AC7"/>
    <w:rsid w:val="7A90018B"/>
    <w:rsid w:val="7AA5772A"/>
    <w:rsid w:val="7ABF4647"/>
    <w:rsid w:val="7AC83026"/>
    <w:rsid w:val="7AD54DF2"/>
    <w:rsid w:val="7AD93877"/>
    <w:rsid w:val="7ADC6EC3"/>
    <w:rsid w:val="7ADD3367"/>
    <w:rsid w:val="7AE244DA"/>
    <w:rsid w:val="7AF1296F"/>
    <w:rsid w:val="7AFB559C"/>
    <w:rsid w:val="7B1228E5"/>
    <w:rsid w:val="7B18439F"/>
    <w:rsid w:val="7B1C16A3"/>
    <w:rsid w:val="7B292109"/>
    <w:rsid w:val="7B33304D"/>
    <w:rsid w:val="7B363767"/>
    <w:rsid w:val="7B42766E"/>
    <w:rsid w:val="7B494A01"/>
    <w:rsid w:val="7B5353D8"/>
    <w:rsid w:val="7B5573A2"/>
    <w:rsid w:val="7B564EC8"/>
    <w:rsid w:val="7B59386F"/>
    <w:rsid w:val="7B60157D"/>
    <w:rsid w:val="7B607612"/>
    <w:rsid w:val="7B6273C9"/>
    <w:rsid w:val="7B6D6D9E"/>
    <w:rsid w:val="7B82502A"/>
    <w:rsid w:val="7B8C0FCC"/>
    <w:rsid w:val="7B9B4631"/>
    <w:rsid w:val="7B9F061D"/>
    <w:rsid w:val="7B9F23CB"/>
    <w:rsid w:val="7BA06143"/>
    <w:rsid w:val="7BA14395"/>
    <w:rsid w:val="7BA94FF8"/>
    <w:rsid w:val="7BB10350"/>
    <w:rsid w:val="7BB12DCE"/>
    <w:rsid w:val="7BB5399C"/>
    <w:rsid w:val="7BC575DC"/>
    <w:rsid w:val="7BC63DFB"/>
    <w:rsid w:val="7BCB7664"/>
    <w:rsid w:val="7BE95D3C"/>
    <w:rsid w:val="7BF73FB5"/>
    <w:rsid w:val="7C016BE2"/>
    <w:rsid w:val="7C08111C"/>
    <w:rsid w:val="7C1A5EF5"/>
    <w:rsid w:val="7C1A6CBD"/>
    <w:rsid w:val="7C2231F8"/>
    <w:rsid w:val="7C240B22"/>
    <w:rsid w:val="7C2B0102"/>
    <w:rsid w:val="7C374CF9"/>
    <w:rsid w:val="7C383451"/>
    <w:rsid w:val="7C383608"/>
    <w:rsid w:val="7C3F595C"/>
    <w:rsid w:val="7C464F3C"/>
    <w:rsid w:val="7C52743D"/>
    <w:rsid w:val="7C6B72B2"/>
    <w:rsid w:val="7C7F10AF"/>
    <w:rsid w:val="7C996B0F"/>
    <w:rsid w:val="7C9C690A"/>
    <w:rsid w:val="7CB2612E"/>
    <w:rsid w:val="7CB93960"/>
    <w:rsid w:val="7CC0164E"/>
    <w:rsid w:val="7CCD740C"/>
    <w:rsid w:val="7CDC31AB"/>
    <w:rsid w:val="7CE75D83"/>
    <w:rsid w:val="7CEF7382"/>
    <w:rsid w:val="7CF14EA8"/>
    <w:rsid w:val="7CF20C20"/>
    <w:rsid w:val="7CF76F37"/>
    <w:rsid w:val="7CFB3754"/>
    <w:rsid w:val="7D126BCC"/>
    <w:rsid w:val="7D1868D9"/>
    <w:rsid w:val="7D1D3049"/>
    <w:rsid w:val="7D1D4FBB"/>
    <w:rsid w:val="7D2804D8"/>
    <w:rsid w:val="7D3B25C7"/>
    <w:rsid w:val="7D3B2FF7"/>
    <w:rsid w:val="7D40198C"/>
    <w:rsid w:val="7D55011D"/>
    <w:rsid w:val="7D55188C"/>
    <w:rsid w:val="7D592A4D"/>
    <w:rsid w:val="7D5B0573"/>
    <w:rsid w:val="7D623C92"/>
    <w:rsid w:val="7D6A6A08"/>
    <w:rsid w:val="7D6F401F"/>
    <w:rsid w:val="7D7C30CE"/>
    <w:rsid w:val="7D7D498E"/>
    <w:rsid w:val="7D807FDA"/>
    <w:rsid w:val="7D872EEE"/>
    <w:rsid w:val="7D8C4BD1"/>
    <w:rsid w:val="7D9B4C7D"/>
    <w:rsid w:val="7DA169D8"/>
    <w:rsid w:val="7DB14637"/>
    <w:rsid w:val="7DC50CF4"/>
    <w:rsid w:val="7DC97BD3"/>
    <w:rsid w:val="7DCA74A7"/>
    <w:rsid w:val="7DD44179"/>
    <w:rsid w:val="7DD80736"/>
    <w:rsid w:val="7DDA3B8E"/>
    <w:rsid w:val="7DDD0EB8"/>
    <w:rsid w:val="7DE1316F"/>
    <w:rsid w:val="7DE574AE"/>
    <w:rsid w:val="7DE642E1"/>
    <w:rsid w:val="7DE93DD1"/>
    <w:rsid w:val="7DF32EA2"/>
    <w:rsid w:val="7DF77CA9"/>
    <w:rsid w:val="7DFB58B2"/>
    <w:rsid w:val="7E086911"/>
    <w:rsid w:val="7E0E2274"/>
    <w:rsid w:val="7E1150D6"/>
    <w:rsid w:val="7E2D5358"/>
    <w:rsid w:val="7E372D8F"/>
    <w:rsid w:val="7E38754F"/>
    <w:rsid w:val="7E4436FD"/>
    <w:rsid w:val="7E4D25B2"/>
    <w:rsid w:val="7E596D16"/>
    <w:rsid w:val="7E617E0B"/>
    <w:rsid w:val="7E627DC8"/>
    <w:rsid w:val="7E633B84"/>
    <w:rsid w:val="7E6C1962"/>
    <w:rsid w:val="7E7A711F"/>
    <w:rsid w:val="7E7D5243"/>
    <w:rsid w:val="7E7E6C0F"/>
    <w:rsid w:val="7E7E70A4"/>
    <w:rsid w:val="7E82486F"/>
    <w:rsid w:val="7E8A55B4"/>
    <w:rsid w:val="7E9755DB"/>
    <w:rsid w:val="7E9C7095"/>
    <w:rsid w:val="7EA45F4A"/>
    <w:rsid w:val="7EA8389D"/>
    <w:rsid w:val="7EAE0FB8"/>
    <w:rsid w:val="7EBD204E"/>
    <w:rsid w:val="7EBD7AF1"/>
    <w:rsid w:val="7EBE700C"/>
    <w:rsid w:val="7EC53AED"/>
    <w:rsid w:val="7EDC7492"/>
    <w:rsid w:val="7EF649F8"/>
    <w:rsid w:val="7EF742CC"/>
    <w:rsid w:val="7F0D6E67"/>
    <w:rsid w:val="7F0D7F93"/>
    <w:rsid w:val="7F110562"/>
    <w:rsid w:val="7F192494"/>
    <w:rsid w:val="7F221A33"/>
    <w:rsid w:val="7F2D7CEE"/>
    <w:rsid w:val="7F385010"/>
    <w:rsid w:val="7F3B240A"/>
    <w:rsid w:val="7F484B27"/>
    <w:rsid w:val="7F5042FB"/>
    <w:rsid w:val="7F581804"/>
    <w:rsid w:val="7F632070"/>
    <w:rsid w:val="7F701DD8"/>
    <w:rsid w:val="7F7818B1"/>
    <w:rsid w:val="7F7D0C75"/>
    <w:rsid w:val="7F8B0D48"/>
    <w:rsid w:val="7F9B734D"/>
    <w:rsid w:val="7F9F1199"/>
    <w:rsid w:val="7FAC2B0B"/>
    <w:rsid w:val="7FB14DC3"/>
    <w:rsid w:val="7FB977D3"/>
    <w:rsid w:val="7FC767CA"/>
    <w:rsid w:val="7FCA4B68"/>
    <w:rsid w:val="7FCB5E84"/>
    <w:rsid w:val="7FD13DE3"/>
    <w:rsid w:val="7FD96D02"/>
    <w:rsid w:val="7FE42AA2"/>
    <w:rsid w:val="7FEC43DA"/>
    <w:rsid w:val="7FF035EA"/>
    <w:rsid w:val="7FF052DE"/>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qFormat="1"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pPr>
    <w:rPr>
      <w:rFonts w:ascii="Calibri" w:hAnsi="Calibri" w:eastAsia="宋体" w:cs="Calibri"/>
      <w:color w:val="000000"/>
      <w:kern w:val="2"/>
      <w:sz w:val="24"/>
      <w:szCs w:val="22"/>
      <w:lang w:val="en-US" w:eastAsia="zh-CN" w:bidi="ar-SA"/>
    </w:rPr>
  </w:style>
  <w:style w:type="paragraph" w:styleId="2">
    <w:name w:val="heading 1"/>
    <w:basedOn w:val="1"/>
    <w:next w:val="1"/>
    <w:link w:val="56"/>
    <w:autoRedefine/>
    <w:qFormat/>
    <w:uiPriority w:val="9"/>
    <w:pPr>
      <w:keepNext/>
      <w:keepLines/>
      <w:spacing w:line="480" w:lineRule="auto"/>
      <w:jc w:val="center"/>
      <w:outlineLvl w:val="0"/>
    </w:pPr>
    <w:rPr>
      <w:rFonts w:ascii="黑体" w:hAnsi="黑体" w:cs="黑体"/>
      <w:b/>
      <w:sz w:val="36"/>
    </w:rPr>
  </w:style>
  <w:style w:type="paragraph" w:styleId="3">
    <w:name w:val="heading 2"/>
    <w:basedOn w:val="1"/>
    <w:next w:val="1"/>
    <w:link w:val="57"/>
    <w:autoRedefine/>
    <w:unhideWhenUsed/>
    <w:qFormat/>
    <w:uiPriority w:val="9"/>
    <w:pPr>
      <w:keepNext/>
      <w:keepLines/>
      <w:spacing w:after="172" w:line="265" w:lineRule="auto"/>
      <w:ind w:left="10" w:right="116" w:hanging="10"/>
      <w:jc w:val="center"/>
      <w:outlineLvl w:val="1"/>
    </w:pPr>
    <w:rPr>
      <w:rFonts w:ascii="黑体" w:hAnsi="黑体" w:cs="黑体"/>
      <w:b/>
      <w:sz w:val="32"/>
    </w:rPr>
  </w:style>
  <w:style w:type="paragraph" w:styleId="4">
    <w:name w:val="heading 3"/>
    <w:basedOn w:val="1"/>
    <w:next w:val="1"/>
    <w:link w:val="58"/>
    <w:autoRedefine/>
    <w:unhideWhenUsed/>
    <w:qFormat/>
    <w:uiPriority w:val="9"/>
    <w:pPr>
      <w:keepNext/>
      <w:keepLines/>
      <w:spacing w:after="172" w:line="265" w:lineRule="auto"/>
      <w:ind w:left="10" w:right="116" w:hanging="10"/>
      <w:jc w:val="center"/>
      <w:outlineLvl w:val="2"/>
    </w:pPr>
    <w:rPr>
      <w:rFonts w:ascii="黑体" w:hAnsi="黑体" w:eastAsia="黑体" w:cs="黑体"/>
      <w:color w:val="000000"/>
      <w:kern w:val="2"/>
      <w:sz w:val="28"/>
      <w:szCs w:val="22"/>
      <w:lang w:val="en-US" w:eastAsia="zh-CN" w:bidi="ar-SA"/>
    </w:rPr>
  </w:style>
  <w:style w:type="paragraph" w:styleId="5">
    <w:name w:val="heading 4"/>
    <w:basedOn w:val="1"/>
    <w:next w:val="1"/>
    <w:link w:val="52"/>
    <w:autoRedefine/>
    <w:unhideWhenUsed/>
    <w:qFormat/>
    <w:uiPriority w:val="9"/>
    <w:pPr>
      <w:keepNext/>
      <w:keepLines/>
      <w:spacing w:after="172" w:line="265" w:lineRule="auto"/>
      <w:ind w:left="10" w:right="116" w:hanging="10"/>
      <w:outlineLvl w:val="3"/>
    </w:pPr>
    <w:rPr>
      <w:rFonts w:ascii="黑体" w:hAnsi="黑体" w:eastAsia="黑体" w:cs="黑体"/>
      <w:sz w:val="28"/>
    </w:rPr>
  </w:style>
  <w:style w:type="paragraph" w:styleId="6">
    <w:name w:val="heading 5"/>
    <w:basedOn w:val="1"/>
    <w:next w:val="1"/>
    <w:link w:val="53"/>
    <w:autoRedefine/>
    <w:unhideWhenUsed/>
    <w:qFormat/>
    <w:uiPriority w:val="9"/>
    <w:pPr>
      <w:keepNext/>
      <w:keepLines/>
      <w:spacing w:after="172" w:line="265" w:lineRule="auto"/>
      <w:ind w:left="10" w:right="116" w:hanging="10"/>
      <w:outlineLvl w:val="4"/>
    </w:pPr>
    <w:rPr>
      <w:rFonts w:ascii="黑体" w:hAnsi="黑体" w:eastAsia="黑体" w:cs="黑体"/>
      <w:sz w:val="28"/>
    </w:rPr>
  </w:style>
  <w:style w:type="paragraph" w:styleId="7">
    <w:name w:val="heading 6"/>
    <w:basedOn w:val="1"/>
    <w:next w:val="1"/>
    <w:link w:val="54"/>
    <w:autoRedefine/>
    <w:semiHidden/>
    <w:unhideWhenUsed/>
    <w:qFormat/>
    <w:uiPriority w:val="9"/>
    <w:pPr>
      <w:keepNext/>
      <w:keepLines/>
      <w:spacing w:after="172" w:line="265" w:lineRule="auto"/>
      <w:ind w:left="10" w:right="116" w:hanging="10"/>
      <w:outlineLvl w:val="5"/>
    </w:pPr>
    <w:rPr>
      <w:rFonts w:ascii="黑体" w:hAnsi="黑体" w:eastAsia="黑体" w:cs="黑体"/>
      <w:sz w:val="28"/>
    </w:rPr>
  </w:style>
  <w:style w:type="paragraph" w:styleId="8">
    <w:name w:val="heading 7"/>
    <w:next w:val="1"/>
    <w:link w:val="55"/>
    <w:autoRedefine/>
    <w:unhideWhenUsed/>
    <w:qFormat/>
    <w:uiPriority w:val="9"/>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9">
    <w:name w:val="List 3"/>
    <w:basedOn w:val="1"/>
    <w:autoRedefine/>
    <w:qFormat/>
    <w:uiPriority w:val="0"/>
    <w:pPr>
      <w:adjustRightInd w:val="0"/>
      <w:snapToGrid w:val="0"/>
      <w:spacing w:line="360" w:lineRule="auto"/>
      <w:ind w:left="100" w:leftChars="400" w:hanging="200" w:hangingChars="200"/>
    </w:pPr>
    <w:rPr>
      <w:sz w:val="24"/>
    </w:rPr>
  </w:style>
  <w:style w:type="paragraph" w:styleId="10">
    <w:name w:val="table of authorities"/>
    <w:basedOn w:val="1"/>
    <w:next w:val="1"/>
    <w:autoRedefine/>
    <w:unhideWhenUsed/>
    <w:qFormat/>
    <w:uiPriority w:val="99"/>
    <w:pPr>
      <w:ind w:left="420" w:leftChars="200"/>
    </w:pPr>
  </w:style>
  <w:style w:type="paragraph" w:styleId="11">
    <w:name w:val="List Bullet 4"/>
    <w:basedOn w:val="1"/>
    <w:autoRedefine/>
    <w:semiHidden/>
    <w:unhideWhenUsed/>
    <w:qFormat/>
    <w:uiPriority w:val="99"/>
    <w:pPr>
      <w:numPr>
        <w:ilvl w:val="0"/>
        <w:numId w:val="1"/>
      </w:numPr>
    </w:pPr>
  </w:style>
  <w:style w:type="paragraph" w:styleId="12">
    <w:name w:val="Normal Indent"/>
    <w:basedOn w:val="1"/>
    <w:autoRedefine/>
    <w:qFormat/>
    <w:uiPriority w:val="0"/>
    <w:pPr>
      <w:ind w:firstLine="420"/>
    </w:pPr>
    <w:rPr>
      <w:sz w:val="21"/>
    </w:rPr>
  </w:style>
  <w:style w:type="paragraph" w:styleId="13">
    <w:name w:val="Body Text"/>
    <w:basedOn w:val="1"/>
    <w:next w:val="14"/>
    <w:link w:val="80"/>
    <w:autoRedefine/>
    <w:qFormat/>
    <w:uiPriority w:val="99"/>
  </w:style>
  <w:style w:type="paragraph" w:customStyle="1" w:styleId="14">
    <w:name w:val="style4"/>
    <w:basedOn w:val="15"/>
    <w:next w:val="17"/>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15">
    <w:name w:val="Normal"/>
    <w:next w:val="16"/>
    <w:autoRedefine/>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16">
    <w:name w:val="Body Text"/>
    <w:basedOn w:val="1"/>
    <w:next w:val="14"/>
    <w:autoRedefine/>
    <w:qFormat/>
    <w:uiPriority w:val="0"/>
    <w:pPr>
      <w:spacing w:after="120" w:afterLines="0"/>
    </w:pPr>
  </w:style>
  <w:style w:type="paragraph" w:customStyle="1" w:styleId="17">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8">
    <w:name w:val="Body Text Indent"/>
    <w:basedOn w:val="1"/>
    <w:next w:val="19"/>
    <w:autoRedefine/>
    <w:qFormat/>
    <w:uiPriority w:val="0"/>
    <w:pPr>
      <w:tabs>
        <w:tab w:val="left" w:pos="945"/>
        <w:tab w:val="left" w:pos="1155"/>
      </w:tabs>
      <w:ind w:firstLine="435"/>
    </w:pPr>
    <w:rPr>
      <w:rFonts w:ascii="宋体"/>
      <w:szCs w:val="20"/>
    </w:rPr>
  </w:style>
  <w:style w:type="paragraph" w:styleId="19">
    <w:name w:val="Body Text First Indent 2"/>
    <w:basedOn w:val="18"/>
    <w:next w:val="1"/>
    <w:autoRedefine/>
    <w:qFormat/>
    <w:uiPriority w:val="0"/>
    <w:pPr>
      <w:ind w:firstLine="420" w:firstLineChars="200"/>
    </w:pPr>
  </w:style>
  <w:style w:type="paragraph" w:styleId="20">
    <w:name w:val="toc 3"/>
    <w:next w:val="1"/>
    <w:autoRedefine/>
    <w:hidden/>
    <w:qFormat/>
    <w:uiPriority w:val="39"/>
    <w:pPr>
      <w:spacing w:after="7" w:line="257" w:lineRule="auto"/>
      <w:ind w:left="847" w:right="129" w:hanging="10"/>
      <w:jc w:val="both"/>
    </w:pPr>
    <w:rPr>
      <w:rFonts w:ascii="Calibri" w:hAnsi="Calibri" w:eastAsia="Calibri" w:cs="Calibri"/>
      <w:color w:val="000000"/>
      <w:kern w:val="2"/>
      <w:sz w:val="21"/>
      <w:szCs w:val="22"/>
      <w:lang w:val="en-US" w:eastAsia="zh-CN" w:bidi="ar-SA"/>
    </w:rPr>
  </w:style>
  <w:style w:type="paragraph" w:styleId="21">
    <w:name w:val="Plain Text"/>
    <w:basedOn w:val="1"/>
    <w:autoRedefine/>
    <w:qFormat/>
    <w:uiPriority w:val="99"/>
    <w:rPr>
      <w:rFonts w:ascii="宋体" w:hAnsi="Courier New" w:eastAsia="华文宋体"/>
      <w:kern w:val="0"/>
      <w:sz w:val="28"/>
      <w:szCs w:val="28"/>
    </w:rPr>
  </w:style>
  <w:style w:type="paragraph" w:styleId="22">
    <w:name w:val="Date"/>
    <w:basedOn w:val="1"/>
    <w:next w:val="1"/>
    <w:autoRedefine/>
    <w:qFormat/>
    <w:uiPriority w:val="0"/>
    <w:pPr>
      <w:ind w:left="100" w:leftChars="2500"/>
    </w:pPr>
    <w:rPr>
      <w:rFonts w:ascii="Times New Roman" w:hAnsi="Times New Roman"/>
      <w:kern w:val="0"/>
      <w:sz w:val="20"/>
    </w:rPr>
  </w:style>
  <w:style w:type="paragraph" w:styleId="23">
    <w:name w:val="Balloon Text"/>
    <w:basedOn w:val="1"/>
    <w:link w:val="76"/>
    <w:autoRedefine/>
    <w:semiHidden/>
    <w:unhideWhenUsed/>
    <w:qFormat/>
    <w:uiPriority w:val="99"/>
    <w:pPr>
      <w:spacing w:line="240" w:lineRule="auto"/>
    </w:pPr>
    <w:rPr>
      <w:sz w:val="18"/>
      <w:szCs w:val="18"/>
    </w:rPr>
  </w:style>
  <w:style w:type="paragraph" w:styleId="24">
    <w:name w:val="footer"/>
    <w:basedOn w:val="1"/>
    <w:link w:val="82"/>
    <w:autoRedefine/>
    <w:unhideWhenUsed/>
    <w:qFormat/>
    <w:uiPriority w:val="0"/>
    <w:pPr>
      <w:tabs>
        <w:tab w:val="center" w:pos="4153"/>
        <w:tab w:val="right" w:pos="8306"/>
      </w:tabs>
      <w:snapToGrid w:val="0"/>
    </w:pPr>
    <w:rPr>
      <w:sz w:val="18"/>
    </w:rPr>
  </w:style>
  <w:style w:type="paragraph" w:styleId="25">
    <w:name w:val="envelope return"/>
    <w:basedOn w:val="1"/>
    <w:autoRedefine/>
    <w:qFormat/>
    <w:uiPriority w:val="0"/>
    <w:pPr>
      <w:snapToGrid w:val="0"/>
    </w:pPr>
    <w:rPr>
      <w:rFonts w:ascii="Arial" w:hAnsi="Arial"/>
    </w:rPr>
  </w:style>
  <w:style w:type="paragraph" w:styleId="26">
    <w:name w:val="header"/>
    <w:basedOn w:val="1"/>
    <w:next w:val="1"/>
    <w:link w:val="8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27">
    <w:name w:val="toc 1"/>
    <w:basedOn w:val="1"/>
    <w:next w:val="1"/>
    <w:autoRedefine/>
    <w:hidden/>
    <w:qFormat/>
    <w:uiPriority w:val="39"/>
    <w:pPr>
      <w:spacing w:after="7" w:line="257" w:lineRule="auto"/>
      <w:ind w:left="15" w:right="134" w:firstLine="62"/>
      <w:jc w:val="both"/>
    </w:pPr>
    <w:rPr>
      <w:rFonts w:ascii="Calibri" w:hAnsi="Calibri" w:eastAsia="Calibri" w:cs="Calibri"/>
      <w:color w:val="000000"/>
      <w:kern w:val="2"/>
      <w:sz w:val="21"/>
      <w:szCs w:val="22"/>
      <w:lang w:val="en-US" w:eastAsia="zh-CN" w:bidi="ar-SA"/>
    </w:rPr>
  </w:style>
  <w:style w:type="paragraph" w:styleId="28">
    <w:name w:val="toc 2"/>
    <w:basedOn w:val="1"/>
    <w:next w:val="1"/>
    <w:autoRedefine/>
    <w:hidden/>
    <w:qFormat/>
    <w:uiPriority w:val="39"/>
    <w:pPr>
      <w:spacing w:after="7" w:line="257" w:lineRule="auto"/>
      <w:ind w:left="430" w:right="127" w:hanging="10"/>
      <w:jc w:val="both"/>
    </w:pPr>
    <w:rPr>
      <w:rFonts w:eastAsia="Calibri"/>
      <w:sz w:val="21"/>
    </w:rPr>
  </w:style>
  <w:style w:type="paragraph" w:styleId="29">
    <w:name w:val="Body Text 2"/>
    <w:basedOn w:val="1"/>
    <w:next w:val="13"/>
    <w:autoRedefine/>
    <w:qFormat/>
    <w:uiPriority w:val="99"/>
    <w:pPr>
      <w:spacing w:line="480" w:lineRule="auto"/>
    </w:pPr>
    <w:rPr>
      <w:rFonts w:ascii="Calibri" w:hAnsi="Calibri" w:eastAsia="宋体" w:cs="Times New Roman"/>
    </w:rPr>
  </w:style>
  <w:style w:type="paragraph" w:styleId="3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Normal (Web)"/>
    <w:basedOn w:val="1"/>
    <w:autoRedefine/>
    <w:qFormat/>
    <w:uiPriority w:val="0"/>
    <w:pPr>
      <w:spacing w:before="100" w:beforeAutospacing="1" w:after="100" w:afterAutospacing="1" w:line="320" w:lineRule="atLeast"/>
    </w:pPr>
    <w:rPr>
      <w:rFonts w:ascii="宋体" w:hAnsi="宋体"/>
      <w:kern w:val="0"/>
      <w:sz w:val="18"/>
      <w:szCs w:val="18"/>
    </w:rPr>
  </w:style>
  <w:style w:type="paragraph" w:styleId="32">
    <w:name w:val="Body Text First Indent"/>
    <w:basedOn w:val="13"/>
    <w:next w:val="1"/>
    <w:autoRedefine/>
    <w:qFormat/>
    <w:uiPriority w:val="0"/>
    <w:pPr>
      <w:ind w:firstLine="420" w:firstLineChars="100"/>
    </w:p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autoRedefine/>
    <w:qFormat/>
    <w:uiPriority w:val="0"/>
  </w:style>
  <w:style w:type="character" w:styleId="37">
    <w:name w:val="FollowedHyperlink"/>
    <w:basedOn w:val="35"/>
    <w:autoRedefine/>
    <w:semiHidden/>
    <w:unhideWhenUsed/>
    <w:qFormat/>
    <w:uiPriority w:val="99"/>
    <w:rPr>
      <w:color w:val="333333"/>
      <w:u w:val="none"/>
    </w:rPr>
  </w:style>
  <w:style w:type="character" w:styleId="38">
    <w:name w:val="HTML Definition"/>
    <w:basedOn w:val="35"/>
    <w:autoRedefine/>
    <w:semiHidden/>
    <w:unhideWhenUsed/>
    <w:qFormat/>
    <w:uiPriority w:val="99"/>
  </w:style>
  <w:style w:type="character" w:styleId="39">
    <w:name w:val="HTML Typewriter"/>
    <w:basedOn w:val="35"/>
    <w:autoRedefine/>
    <w:semiHidden/>
    <w:unhideWhenUsed/>
    <w:qFormat/>
    <w:uiPriority w:val="99"/>
    <w:rPr>
      <w:rFonts w:hint="default" w:ascii="monospace" w:hAnsi="monospace" w:eastAsia="monospace" w:cs="monospace"/>
      <w:sz w:val="20"/>
    </w:rPr>
  </w:style>
  <w:style w:type="character" w:styleId="40">
    <w:name w:val="HTML Acronym"/>
    <w:basedOn w:val="35"/>
    <w:autoRedefine/>
    <w:semiHidden/>
    <w:unhideWhenUsed/>
    <w:qFormat/>
    <w:uiPriority w:val="99"/>
  </w:style>
  <w:style w:type="character" w:styleId="41">
    <w:name w:val="HTML Variable"/>
    <w:basedOn w:val="35"/>
    <w:autoRedefine/>
    <w:semiHidden/>
    <w:unhideWhenUsed/>
    <w:qFormat/>
    <w:uiPriority w:val="99"/>
  </w:style>
  <w:style w:type="character" w:styleId="42">
    <w:name w:val="Hyperlink"/>
    <w:basedOn w:val="35"/>
    <w:autoRedefine/>
    <w:unhideWhenUsed/>
    <w:qFormat/>
    <w:uiPriority w:val="99"/>
    <w:rPr>
      <w:color w:val="333333"/>
      <w:u w:val="none"/>
    </w:rPr>
  </w:style>
  <w:style w:type="character" w:styleId="43">
    <w:name w:val="HTML Code"/>
    <w:basedOn w:val="35"/>
    <w:autoRedefine/>
    <w:semiHidden/>
    <w:unhideWhenUsed/>
    <w:qFormat/>
    <w:uiPriority w:val="99"/>
    <w:rPr>
      <w:rFonts w:hint="default" w:ascii="monospace" w:hAnsi="monospace" w:eastAsia="monospace" w:cs="monospace"/>
      <w:sz w:val="20"/>
    </w:rPr>
  </w:style>
  <w:style w:type="character" w:styleId="44">
    <w:name w:val="HTML Cite"/>
    <w:basedOn w:val="35"/>
    <w:autoRedefine/>
    <w:semiHidden/>
    <w:unhideWhenUsed/>
    <w:qFormat/>
    <w:uiPriority w:val="99"/>
  </w:style>
  <w:style w:type="character" w:styleId="45">
    <w:name w:val="HTML Keyboard"/>
    <w:basedOn w:val="35"/>
    <w:autoRedefine/>
    <w:semiHidden/>
    <w:unhideWhenUsed/>
    <w:qFormat/>
    <w:uiPriority w:val="99"/>
    <w:rPr>
      <w:rFonts w:ascii="monospace" w:hAnsi="monospace" w:eastAsia="monospace" w:cs="monospace"/>
      <w:sz w:val="20"/>
    </w:rPr>
  </w:style>
  <w:style w:type="character" w:styleId="46">
    <w:name w:val="HTML Sample"/>
    <w:basedOn w:val="35"/>
    <w:autoRedefine/>
    <w:semiHidden/>
    <w:unhideWhenUsed/>
    <w:qFormat/>
    <w:uiPriority w:val="99"/>
    <w:rPr>
      <w:rFonts w:hint="default" w:ascii="monospace" w:hAnsi="monospace" w:eastAsia="monospace" w:cs="monospace"/>
    </w:rPr>
  </w:style>
  <w:style w:type="paragraph" w:customStyle="1" w:styleId="47">
    <w:name w:val="Default"/>
    <w:next w:val="2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无间隔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表格文字"/>
    <w:basedOn w:val="1"/>
    <w:next w:val="13"/>
    <w:autoRedefine/>
    <w:qFormat/>
    <w:uiPriority w:val="0"/>
    <w:pPr>
      <w:keepNext w:val="0"/>
      <w:keepLines w:val="0"/>
      <w:widowControl w:val="0"/>
      <w:suppressLineNumbers w:val="0"/>
      <w:adjustRightInd w:val="0"/>
      <w:spacing w:before="0" w:beforeAutospacing="0" w:after="200" w:afterAutospacing="0" w:line="420" w:lineRule="atLeast"/>
      <w:ind w:left="0" w:right="0"/>
      <w:jc w:val="left"/>
    </w:pPr>
    <w:rPr>
      <w:rFonts w:hint="default" w:ascii="Calibri" w:hAnsi="Calibri" w:eastAsia="宋体" w:cs="Times New Roman"/>
      <w:kern w:val="0"/>
      <w:sz w:val="21"/>
      <w:szCs w:val="22"/>
      <w:lang w:val="en-US" w:eastAsia="zh-CN" w:bidi="ar"/>
    </w:rPr>
  </w:style>
  <w:style w:type="paragraph" w:customStyle="1" w:styleId="50">
    <w:name w:val="_Style 5"/>
    <w:basedOn w:val="1"/>
    <w:autoRedefine/>
    <w:qFormat/>
    <w:uiPriority w:val="0"/>
  </w:style>
  <w:style w:type="paragraph" w:customStyle="1" w:styleId="51">
    <w:name w:val="正文缩进1"/>
    <w:basedOn w:val="1"/>
    <w:autoRedefine/>
    <w:qFormat/>
    <w:uiPriority w:val="0"/>
    <w:pPr>
      <w:ind w:firstLine="420"/>
    </w:pPr>
  </w:style>
  <w:style w:type="character" w:customStyle="1" w:styleId="52">
    <w:name w:val="标题 4 Char"/>
    <w:link w:val="5"/>
    <w:autoRedefine/>
    <w:qFormat/>
    <w:uiPriority w:val="0"/>
    <w:rPr>
      <w:rFonts w:ascii="黑体" w:hAnsi="黑体" w:eastAsia="黑体" w:cs="黑体"/>
      <w:color w:val="000000"/>
      <w:sz w:val="28"/>
    </w:rPr>
  </w:style>
  <w:style w:type="character" w:customStyle="1" w:styleId="53">
    <w:name w:val="标题 5 Char"/>
    <w:link w:val="6"/>
    <w:autoRedefine/>
    <w:qFormat/>
    <w:uiPriority w:val="0"/>
    <w:rPr>
      <w:rFonts w:ascii="黑体" w:hAnsi="黑体" w:eastAsia="黑体" w:cs="黑体"/>
      <w:color w:val="000000"/>
      <w:sz w:val="28"/>
    </w:rPr>
  </w:style>
  <w:style w:type="character" w:customStyle="1" w:styleId="54">
    <w:name w:val="标题 6 Char"/>
    <w:link w:val="7"/>
    <w:autoRedefine/>
    <w:qFormat/>
    <w:uiPriority w:val="0"/>
    <w:rPr>
      <w:rFonts w:ascii="黑体" w:hAnsi="黑体" w:eastAsia="黑体" w:cs="黑体"/>
      <w:color w:val="000000"/>
      <w:sz w:val="28"/>
    </w:rPr>
  </w:style>
  <w:style w:type="character" w:customStyle="1" w:styleId="55">
    <w:name w:val="标题 7 Char"/>
    <w:link w:val="8"/>
    <w:autoRedefine/>
    <w:qFormat/>
    <w:uiPriority w:val="0"/>
    <w:rPr>
      <w:rFonts w:ascii="黑体" w:hAnsi="黑体" w:eastAsia="黑体" w:cs="黑体"/>
      <w:color w:val="000000"/>
      <w:sz w:val="28"/>
    </w:rPr>
  </w:style>
  <w:style w:type="character" w:customStyle="1" w:styleId="56">
    <w:name w:val="标题 1 Char"/>
    <w:link w:val="2"/>
    <w:autoRedefine/>
    <w:qFormat/>
    <w:uiPriority w:val="9"/>
    <w:rPr>
      <w:rFonts w:ascii="黑体" w:hAnsi="黑体" w:eastAsia="宋体" w:cs="黑体"/>
      <w:b/>
      <w:color w:val="000000"/>
      <w:kern w:val="2"/>
      <w:sz w:val="36"/>
      <w:szCs w:val="22"/>
    </w:rPr>
  </w:style>
  <w:style w:type="character" w:customStyle="1" w:styleId="57">
    <w:name w:val="标题 2 Char"/>
    <w:link w:val="3"/>
    <w:autoRedefine/>
    <w:qFormat/>
    <w:uiPriority w:val="9"/>
    <w:rPr>
      <w:rFonts w:ascii="黑体" w:hAnsi="黑体" w:eastAsia="宋体" w:cs="黑体"/>
      <w:b/>
      <w:color w:val="000000"/>
      <w:kern w:val="2"/>
      <w:sz w:val="32"/>
      <w:szCs w:val="22"/>
    </w:rPr>
  </w:style>
  <w:style w:type="character" w:customStyle="1" w:styleId="58">
    <w:name w:val="标题 3 Char"/>
    <w:link w:val="4"/>
    <w:autoRedefine/>
    <w:qFormat/>
    <w:uiPriority w:val="0"/>
    <w:rPr>
      <w:rFonts w:ascii="黑体" w:hAnsi="黑体" w:eastAsia="黑体" w:cs="黑体"/>
      <w:color w:val="000000"/>
      <w:sz w:val="28"/>
    </w:rPr>
  </w:style>
  <w:style w:type="table" w:customStyle="1" w:styleId="59">
    <w:name w:val="TableGrid"/>
    <w:autoRedefine/>
    <w:qFormat/>
    <w:uiPriority w:val="0"/>
    <w:tblPr>
      <w:tblCellMar>
        <w:top w:w="0" w:type="dxa"/>
        <w:left w:w="0" w:type="dxa"/>
        <w:bottom w:w="0" w:type="dxa"/>
        <w:right w:w="0" w:type="dxa"/>
      </w:tblCellMar>
    </w:tblPr>
  </w:style>
  <w:style w:type="paragraph" w:styleId="60">
    <w:name w:val="List Paragraph"/>
    <w:basedOn w:val="1"/>
    <w:autoRedefine/>
    <w:qFormat/>
    <w:uiPriority w:val="99"/>
    <w:pPr>
      <w:ind w:firstLine="420" w:firstLineChars="200"/>
    </w:pPr>
  </w:style>
  <w:style w:type="paragraph" w:customStyle="1" w:styleId="61">
    <w:name w:val="标题 2_0"/>
    <w:basedOn w:val="62"/>
    <w:next w:val="65"/>
    <w:autoRedefine/>
    <w:qFormat/>
    <w:uiPriority w:val="0"/>
    <w:pPr>
      <w:keepNext/>
      <w:keepLines/>
      <w:spacing w:before="260" w:after="260" w:line="413" w:lineRule="auto"/>
      <w:outlineLvl w:val="1"/>
    </w:pPr>
    <w:rPr>
      <w:rFonts w:ascii="Arial" w:hAnsi="Arial" w:eastAsia="黑体"/>
      <w:b/>
      <w:sz w:val="32"/>
      <w:szCs w:val="20"/>
    </w:rPr>
  </w:style>
  <w:style w:type="paragraph" w:customStyle="1" w:styleId="62">
    <w:name w:val="正文_2"/>
    <w:next w:val="6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文本_0"/>
    <w:basedOn w:val="64"/>
    <w:next w:val="62"/>
    <w:autoRedefine/>
    <w:unhideWhenUsed/>
    <w:qFormat/>
    <w:uiPriority w:val="99"/>
    <w:pPr>
      <w:spacing w:after="120"/>
    </w:pPr>
    <w:rPr>
      <w:kern w:val="0"/>
      <w:sz w:val="20"/>
    </w:rPr>
  </w:style>
  <w:style w:type="paragraph" w:customStyle="1" w:styleId="64">
    <w:name w:val="正文_0"/>
    <w:next w:val="6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正文文本缩进 2_0"/>
    <w:basedOn w:val="67"/>
    <w:autoRedefine/>
    <w:qFormat/>
    <w:uiPriority w:val="99"/>
    <w:pPr>
      <w:tabs>
        <w:tab w:val="left" w:pos="502"/>
      </w:tabs>
      <w:spacing w:line="360" w:lineRule="auto"/>
      <w:ind w:left="420" w:leftChars="200"/>
    </w:pPr>
    <w:rPr>
      <w:rFonts w:ascii="宋体" w:hAnsi="宋体"/>
    </w:rPr>
  </w:style>
  <w:style w:type="paragraph" w:customStyle="1" w:styleId="67">
    <w:name w:val="正文_1_2"/>
    <w:autoRedefine/>
    <w:qFormat/>
    <w:uiPriority w:val="0"/>
    <w:pPr>
      <w:widowControl w:val="0"/>
      <w:jc w:val="both"/>
    </w:pPr>
    <w:rPr>
      <w:rFonts w:ascii="Calibri" w:hAnsi="Calibri" w:eastAsia="宋体" w:cs="Times New Roman"/>
      <w:kern w:val="2"/>
      <w:sz w:val="21"/>
      <w:lang w:val="en-US" w:eastAsia="zh-CN" w:bidi="ar-SA"/>
    </w:rPr>
  </w:style>
  <w:style w:type="paragraph" w:customStyle="1" w:styleId="6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70">
    <w:name w:val="font01"/>
    <w:basedOn w:val="35"/>
    <w:autoRedefine/>
    <w:qFormat/>
    <w:uiPriority w:val="0"/>
    <w:rPr>
      <w:rFonts w:ascii="Symbol" w:hAnsi="Symbol" w:cs="Symbol"/>
      <w:color w:val="000000"/>
      <w:sz w:val="22"/>
      <w:szCs w:val="22"/>
      <w:u w:val="none"/>
    </w:rPr>
  </w:style>
  <w:style w:type="character" w:customStyle="1" w:styleId="71">
    <w:name w:val="font21"/>
    <w:basedOn w:val="35"/>
    <w:autoRedefine/>
    <w:qFormat/>
    <w:uiPriority w:val="0"/>
    <w:rPr>
      <w:rFonts w:hint="eastAsia" w:ascii="宋体" w:hAnsi="宋体" w:eastAsia="宋体" w:cs="宋体"/>
      <w:color w:val="000000"/>
      <w:sz w:val="22"/>
      <w:szCs w:val="22"/>
      <w:u w:val="none"/>
    </w:rPr>
  </w:style>
  <w:style w:type="character" w:customStyle="1" w:styleId="72">
    <w:name w:val="font11"/>
    <w:basedOn w:val="35"/>
    <w:autoRedefine/>
    <w:qFormat/>
    <w:uiPriority w:val="0"/>
    <w:rPr>
      <w:rFonts w:hint="default" w:ascii="Symbol" w:hAnsi="Symbol" w:cs="Symbol"/>
      <w:color w:val="000000"/>
      <w:sz w:val="22"/>
      <w:szCs w:val="22"/>
      <w:u w:val="none"/>
    </w:rPr>
  </w:style>
  <w:style w:type="character" w:customStyle="1" w:styleId="73">
    <w:name w:val="font31"/>
    <w:basedOn w:val="35"/>
    <w:autoRedefine/>
    <w:qFormat/>
    <w:uiPriority w:val="0"/>
    <w:rPr>
      <w:rFonts w:hint="eastAsia" w:ascii="宋体" w:hAnsi="宋体" w:eastAsia="宋体" w:cs="宋体"/>
      <w:color w:val="000000"/>
      <w:sz w:val="24"/>
      <w:szCs w:val="24"/>
      <w:u w:val="none"/>
    </w:rPr>
  </w:style>
  <w:style w:type="paragraph" w:customStyle="1" w:styleId="74">
    <w:name w:val="列出段落2"/>
    <w:basedOn w:val="1"/>
    <w:autoRedefine/>
    <w:qFormat/>
    <w:uiPriority w:val="99"/>
    <w:pPr>
      <w:ind w:firstLine="420" w:firstLineChars="200"/>
    </w:pPr>
  </w:style>
  <w:style w:type="paragraph" w:customStyle="1" w:styleId="75">
    <w:name w:val="列出段落1"/>
    <w:basedOn w:val="1"/>
    <w:next w:val="1"/>
    <w:autoRedefine/>
    <w:qFormat/>
    <w:uiPriority w:val="0"/>
    <w:pPr>
      <w:ind w:firstLine="420" w:firstLineChars="200"/>
    </w:pPr>
  </w:style>
  <w:style w:type="character" w:customStyle="1" w:styleId="76">
    <w:name w:val="批注框文本 Char"/>
    <w:basedOn w:val="35"/>
    <w:link w:val="23"/>
    <w:autoRedefine/>
    <w:semiHidden/>
    <w:qFormat/>
    <w:uiPriority w:val="99"/>
    <w:rPr>
      <w:rFonts w:ascii="Calibri" w:hAnsi="Calibri" w:cs="Calibri"/>
      <w:color w:val="000000"/>
      <w:kern w:val="2"/>
      <w:sz w:val="18"/>
      <w:szCs w:val="18"/>
    </w:rPr>
  </w:style>
  <w:style w:type="paragraph" w:customStyle="1" w:styleId="77">
    <w:name w:val="纯文本2"/>
    <w:basedOn w:val="1"/>
    <w:autoRedefine/>
    <w:qFormat/>
    <w:uiPriority w:val="0"/>
    <w:pPr>
      <w:adjustRightInd w:val="0"/>
    </w:pPr>
    <w:rPr>
      <w:rFonts w:hint="eastAsia" w:ascii="宋体" w:hAnsi="Courier New" w:eastAsia="楷体_GB2312"/>
      <w:sz w:val="28"/>
    </w:rPr>
  </w:style>
  <w:style w:type="paragraph" w:customStyle="1" w:styleId="78">
    <w:name w:val="Table Paragraph"/>
    <w:basedOn w:val="1"/>
    <w:autoRedefine/>
    <w:qFormat/>
    <w:uiPriority w:val="1"/>
    <w:rPr>
      <w:rFonts w:ascii="宋体" w:hAnsi="宋体" w:cs="宋体"/>
      <w:lang w:val="zh-CN" w:bidi="zh-CN"/>
    </w:rPr>
  </w:style>
  <w:style w:type="paragraph" w:customStyle="1" w:styleId="79">
    <w:name w:val="WPSOffice手动目录 1"/>
    <w:autoRedefine/>
    <w:qFormat/>
    <w:uiPriority w:val="0"/>
    <w:rPr>
      <w:rFonts w:asciiTheme="minorHAnsi" w:hAnsiTheme="minorHAnsi" w:eastAsiaTheme="minorHAnsi" w:cstheme="minorBidi"/>
      <w:lang w:val="en-US" w:eastAsia="zh-CN" w:bidi="ar-SA"/>
    </w:rPr>
  </w:style>
  <w:style w:type="character" w:customStyle="1" w:styleId="80">
    <w:name w:val="正文文本 Char"/>
    <w:basedOn w:val="35"/>
    <w:link w:val="13"/>
    <w:autoRedefine/>
    <w:qFormat/>
    <w:uiPriority w:val="99"/>
    <w:rPr>
      <w:rFonts w:ascii="Calibri" w:hAnsi="Calibri" w:eastAsia="宋体" w:cs="Calibri"/>
      <w:color w:val="000000"/>
      <w:kern w:val="2"/>
      <w:sz w:val="24"/>
      <w:szCs w:val="22"/>
    </w:rPr>
  </w:style>
  <w:style w:type="character" w:customStyle="1" w:styleId="81">
    <w:name w:val="页眉 Char"/>
    <w:basedOn w:val="35"/>
    <w:link w:val="26"/>
    <w:autoRedefine/>
    <w:qFormat/>
    <w:uiPriority w:val="0"/>
    <w:rPr>
      <w:rFonts w:ascii="Calibri" w:hAnsi="Calibri" w:eastAsia="宋体" w:cs="Calibri"/>
      <w:color w:val="000000"/>
      <w:kern w:val="2"/>
      <w:sz w:val="18"/>
      <w:szCs w:val="22"/>
    </w:rPr>
  </w:style>
  <w:style w:type="character" w:customStyle="1" w:styleId="82">
    <w:name w:val="页脚 Char"/>
    <w:basedOn w:val="35"/>
    <w:link w:val="24"/>
    <w:autoRedefine/>
    <w:qFormat/>
    <w:uiPriority w:val="0"/>
    <w:rPr>
      <w:rFonts w:ascii="Calibri" w:hAnsi="Calibri" w:eastAsia="宋体" w:cs="Calibri"/>
      <w:color w:val="000000"/>
      <w:kern w:val="2"/>
      <w:sz w:val="18"/>
      <w:szCs w:val="22"/>
    </w:rPr>
  </w:style>
  <w:style w:type="paragraph" w:customStyle="1" w:styleId="83">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标书正文:  0.74 厘米 Char1"/>
    <w:autoRedefine/>
    <w:qFormat/>
    <w:uiPriority w:val="0"/>
    <w:rPr>
      <w:rFonts w:eastAsia="宋体"/>
      <w:kern w:val="2"/>
      <w:sz w:val="24"/>
      <w:lang w:val="en-US" w:eastAsia="zh-CN"/>
    </w:rPr>
  </w:style>
  <w:style w:type="paragraph" w:customStyle="1" w:styleId="85">
    <w:name w:val="List Paragraph_dc3c42b3-c602-4c7c-9549-23a265890e6b"/>
    <w:basedOn w:val="1"/>
    <w:autoRedefine/>
    <w:qFormat/>
    <w:uiPriority w:val="34"/>
    <w:pPr>
      <w:ind w:firstLine="420" w:firstLineChars="200"/>
    </w:pPr>
  </w:style>
  <w:style w:type="paragraph" w:customStyle="1" w:styleId="86">
    <w:name w:val="正文_1"/>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标题 3_0"/>
    <w:basedOn w:val="88"/>
    <w:next w:val="88"/>
    <w:autoRedefine/>
    <w:qFormat/>
    <w:uiPriority w:val="0"/>
    <w:pPr>
      <w:keepNext/>
      <w:keepLines/>
      <w:spacing w:before="260" w:after="260" w:line="416" w:lineRule="auto"/>
      <w:outlineLvl w:val="2"/>
    </w:pPr>
    <w:rPr>
      <w:rFonts w:ascii="Calibri" w:hAnsi="Calibri"/>
      <w:b/>
      <w:bCs/>
      <w:sz w:val="32"/>
      <w:szCs w:val="32"/>
    </w:rPr>
  </w:style>
  <w:style w:type="paragraph" w:customStyle="1" w:styleId="88">
    <w:name w:val="正文_1_0"/>
    <w:next w:val="8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文本_1_0"/>
    <w:basedOn w:val="88"/>
    <w:autoRedefine/>
    <w:unhideWhenUsed/>
    <w:qFormat/>
    <w:uiPriority w:val="99"/>
    <w:pPr>
      <w:spacing w:after="120"/>
    </w:pPr>
    <w:rPr>
      <w:rFonts w:ascii="Calibri" w:hAnsi="Calibri"/>
      <w:kern w:val="0"/>
      <w:sz w:val="20"/>
    </w:rPr>
  </w:style>
  <w:style w:type="paragraph" w:customStyle="1" w:styleId="90">
    <w:name w:val="正文_4"/>
    <w:next w:val="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文本_1"/>
    <w:basedOn w:val="90"/>
    <w:autoRedefine/>
    <w:unhideWhenUsed/>
    <w:qFormat/>
    <w:uiPriority w:val="99"/>
    <w:pPr>
      <w:spacing w:after="120"/>
    </w:pPr>
  </w:style>
  <w:style w:type="paragraph" w:customStyle="1" w:styleId="92">
    <w:name w:val="1表格"/>
    <w:basedOn w:val="93"/>
    <w:autoRedefine/>
    <w:qFormat/>
    <w:uiPriority w:val="0"/>
    <w:pPr>
      <w:ind w:firstLine="0" w:firstLineChars="0"/>
    </w:pPr>
    <w:rPr>
      <w:sz w:val="21"/>
    </w:rPr>
  </w:style>
  <w:style w:type="paragraph" w:customStyle="1" w:styleId="93">
    <w:name w:val="1正文"/>
    <w:basedOn w:val="1"/>
    <w:autoRedefine/>
    <w:qFormat/>
    <w:uiPriority w:val="0"/>
    <w:pPr>
      <w:spacing w:line="360" w:lineRule="auto"/>
      <w:ind w:firstLine="200" w:firstLineChars="200"/>
    </w:pPr>
    <w:rPr>
      <w:sz w:val="24"/>
      <w:szCs w:val="24"/>
    </w:rPr>
  </w:style>
  <w:style w:type="paragraph" w:customStyle="1" w:styleId="94">
    <w:name w:val="页眉1"/>
    <w:basedOn w:val="1"/>
    <w:autoRedefine/>
    <w:qFormat/>
    <w:uiPriority w:val="0"/>
    <w:pPr>
      <w:pBdr>
        <w:bottom w:val="single" w:color="00000A" w:sz="6" w:space="1"/>
      </w:pBdr>
      <w:tabs>
        <w:tab w:val="center" w:pos="4153"/>
        <w:tab w:val="right" w:pos="8306"/>
      </w:tabs>
      <w:snapToGrid w:val="0"/>
      <w:jc w:val="center"/>
    </w:pPr>
    <w:rPr>
      <w:rFonts w:eastAsia="楷体_GB2312"/>
      <w:sz w:val="18"/>
      <w:szCs w:val="20"/>
    </w:rPr>
  </w:style>
  <w:style w:type="table" w:customStyle="1" w:styleId="9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B1DDD-A920-4F76-9BFC-C94AAD966AE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26170</Words>
  <Characters>27910</Characters>
  <Lines>453</Lines>
  <Paragraphs>127</Paragraphs>
  <TotalTime>114</TotalTime>
  <ScaleCrop>false</ScaleCrop>
  <LinksUpToDate>false</LinksUpToDate>
  <CharactersWithSpaces>29963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2019-08-20T10:02:00Z</dcterms:created>
  <dc:creator>袁静</dc:creator>
  <cp:lastModifiedBy>Administrator</cp:lastModifiedBy>
  <cp:lastPrinted>2023-12-05T02:10:00Z</cp:lastPrinted>
  <dcterms:modified xsi:type="dcterms:W3CDTF">2024-04-23T03:02:07Z</dcterms:modified>
  <dc:title>中华人民共和国</dc:title>
  <cp:revision>712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ADD16F8746DB400CB17F7E0ACBA5E1DB_13</vt:lpwstr>
  </property>
</Properties>
</file>