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heme="majorEastAsia"/>
          <w:b/>
          <w:bCs/>
          <w:sz w:val="44"/>
          <w:szCs w:val="44"/>
        </w:rPr>
      </w:pPr>
      <w:r>
        <w:rPr>
          <w:rFonts w:ascii="黑体" w:hAnsi="黑体" w:eastAsia="黑体" w:cstheme="majorEastAsia"/>
          <w:b/>
          <w:bCs/>
          <w:sz w:val="44"/>
          <w:szCs w:val="44"/>
        </w:rPr>
        <w:t>禹州市中等专业学校</w:t>
      </w:r>
    </w:p>
    <w:p>
      <w:pPr>
        <w:jc w:val="center"/>
        <w:rPr>
          <w:rFonts w:ascii="黑体" w:hAnsi="黑体" w:eastAsia="黑体" w:cstheme="majorEastAsia"/>
          <w:b/>
          <w:bCs/>
          <w:sz w:val="44"/>
          <w:szCs w:val="44"/>
        </w:rPr>
      </w:pPr>
      <w:r>
        <w:rPr>
          <w:rFonts w:ascii="黑体" w:hAnsi="黑体" w:eastAsia="黑体" w:cstheme="majorEastAsia"/>
          <w:b/>
          <w:bCs/>
          <w:sz w:val="44"/>
          <w:szCs w:val="44"/>
        </w:rPr>
        <w:t>新能源汽车运用与维修实训中心建设项目</w:t>
      </w:r>
    </w:p>
    <w:p>
      <w:pPr>
        <w:jc w:val="center"/>
        <w:rPr>
          <w:rFonts w:ascii="黑体" w:hAnsi="黑体" w:eastAsia="黑体" w:cstheme="majorEastAsia"/>
          <w:b/>
          <w:bCs/>
          <w:sz w:val="44"/>
          <w:szCs w:val="44"/>
        </w:rPr>
      </w:pPr>
      <w:r>
        <w:rPr>
          <w:rFonts w:hint="eastAsia" w:ascii="黑体" w:hAnsi="黑体" w:eastAsia="黑体" w:cstheme="majorEastAsia"/>
          <w:b/>
          <w:bCs/>
          <w:sz w:val="44"/>
          <w:szCs w:val="44"/>
        </w:rPr>
        <w:t>（不见面开标）</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pStyle w:val="2"/>
      </w:pPr>
    </w:p>
    <w:p>
      <w:pPr>
        <w:pStyle w:val="2"/>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采购编号：YZCG-T20230</w:t>
      </w:r>
      <w:r>
        <w:rPr>
          <w:rFonts w:hint="eastAsia" w:asciiTheme="majorEastAsia" w:hAnsiTheme="majorEastAsia" w:eastAsiaTheme="majorEastAsia" w:cstheme="majorEastAsia"/>
          <w:b/>
          <w:bCs/>
          <w:sz w:val="36"/>
          <w:szCs w:val="36"/>
          <w:lang w:val="en-US" w:eastAsia="zh-CN"/>
        </w:rPr>
        <w:t>44</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采购单位：禹州市中等专业学校</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二〇二三年十二月</w:t>
      </w:r>
    </w:p>
    <w:p>
      <w:pPr>
        <w:widowControl/>
        <w:jc w:val="left"/>
        <w:rPr>
          <w:rFonts w:cs="黑体" w:asciiTheme="minorEastAsia" w:hAnsiTheme="minorEastAsia"/>
          <w:b/>
          <w:bCs/>
          <w:sz w:val="44"/>
          <w:szCs w:val="44"/>
          <w:lang w:val="zh-CN"/>
        </w:r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widowControl/>
        <w:shd w:val="clear" w:color="auto" w:fill="FFFFFF"/>
        <w:spacing w:line="440" w:lineRule="exact"/>
        <w:ind w:firstLine="420" w:firstLineChars="200"/>
        <w:jc w:val="left"/>
        <w:rPr>
          <w:rFonts w:asciiTheme="minorEastAsia" w:hAnsiTheme="minorEastAsia" w:cstheme="majorEastAsia"/>
          <w:szCs w:val="21"/>
        </w:rPr>
      </w:pPr>
      <w:r>
        <w:rPr>
          <w:rFonts w:hint="eastAsia" w:asciiTheme="minorEastAsia" w:hAnsiTheme="minorEastAsia" w:cstheme="majorEastAsia"/>
          <w:szCs w:val="21"/>
        </w:rPr>
        <w:t>禹州市政府采购中心受禹州市中等专业学校的委托，就“</w:t>
      </w:r>
      <w:r>
        <w:rPr>
          <w:rFonts w:hint="eastAsia" w:asciiTheme="minorEastAsia" w:hAnsiTheme="minorEastAsia" w:cstheme="majorEastAsia"/>
          <w:szCs w:val="21"/>
          <w:lang w:val="zh-CN"/>
        </w:rPr>
        <w:t>禹州市中等专业学校新能源汽车运用与维修实训中心建设项目（不见面开标）</w:t>
      </w:r>
      <w:r>
        <w:rPr>
          <w:rFonts w:hint="eastAsia" w:asciiTheme="minorEastAsia" w:hAnsiTheme="minorEastAsia" w:cstheme="majorEastAsia"/>
          <w:szCs w:val="21"/>
        </w:rPr>
        <w:t>”进行竞争性谈判，欢迎合格的投标人前来投标。</w:t>
      </w:r>
    </w:p>
    <w:p>
      <w:pPr>
        <w:widowControl/>
        <w:shd w:val="clear" w:color="auto" w:fill="FFFFFF"/>
        <w:spacing w:line="440" w:lineRule="exact"/>
        <w:ind w:firstLine="354" w:firstLineChars="147"/>
        <w:jc w:val="left"/>
        <w:rPr>
          <w:rFonts w:cs="仿宋" w:asciiTheme="minorEastAsia" w:hAnsiTheme="minorEastAsia"/>
          <w:b/>
          <w:color w:val="000000"/>
          <w:kern w:val="0"/>
          <w:sz w:val="24"/>
          <w:szCs w:val="28"/>
        </w:rPr>
      </w:pPr>
      <w:r>
        <w:rPr>
          <w:rFonts w:hint="eastAsia" w:cs="仿宋" w:asciiTheme="minorEastAsia" w:hAnsiTheme="minorEastAsia"/>
          <w:b/>
          <w:color w:val="000000"/>
          <w:kern w:val="0"/>
          <w:sz w:val="24"/>
          <w:szCs w:val="28"/>
        </w:rPr>
        <w:t>一、项目基本情况</w:t>
      </w:r>
    </w:p>
    <w:p>
      <w:pPr>
        <w:widowControl/>
        <w:shd w:val="clear" w:color="auto" w:fill="FFFFFF"/>
        <w:spacing w:line="440" w:lineRule="exact"/>
        <w:ind w:firstLine="420" w:firstLineChars="200"/>
        <w:jc w:val="left"/>
        <w:rPr>
          <w:rFonts w:asciiTheme="minorEastAsia" w:hAnsiTheme="minorEastAsia" w:cstheme="majorEastAsia"/>
          <w:szCs w:val="21"/>
        </w:rPr>
      </w:pPr>
      <w:r>
        <w:rPr>
          <w:rFonts w:hint="eastAsia" w:asciiTheme="minorEastAsia" w:hAnsiTheme="minorEastAsia" w:cstheme="majorEastAsia"/>
          <w:szCs w:val="21"/>
        </w:rPr>
        <w:t>1、采购人：禹州市中等专业学校</w:t>
      </w:r>
    </w:p>
    <w:p>
      <w:pPr>
        <w:widowControl/>
        <w:shd w:val="clear" w:color="auto" w:fill="FFFFFF"/>
        <w:spacing w:line="440" w:lineRule="exact"/>
        <w:ind w:firstLine="420" w:firstLineChars="200"/>
        <w:jc w:val="left"/>
        <w:rPr>
          <w:rFonts w:asciiTheme="minorEastAsia" w:hAnsiTheme="minorEastAsia" w:cstheme="majorEastAsia"/>
          <w:szCs w:val="21"/>
        </w:rPr>
      </w:pPr>
      <w:r>
        <w:rPr>
          <w:rFonts w:hint="eastAsia" w:asciiTheme="minorEastAsia" w:hAnsiTheme="minorEastAsia" w:cstheme="majorEastAsia"/>
          <w:szCs w:val="21"/>
        </w:rPr>
        <w:t>2、项目名称：</w:t>
      </w:r>
      <w:r>
        <w:rPr>
          <w:rFonts w:hint="eastAsia" w:asciiTheme="minorEastAsia" w:hAnsiTheme="minorEastAsia" w:cstheme="majorEastAsia"/>
          <w:szCs w:val="21"/>
          <w:lang w:val="zh-CN"/>
        </w:rPr>
        <w:t>禹州市中等专业学校新能源汽车运用与维修实训中心建设项目（不见面开标）</w:t>
      </w:r>
    </w:p>
    <w:p>
      <w:pPr>
        <w:widowControl/>
        <w:shd w:val="clear" w:color="auto" w:fill="FFFFFF"/>
        <w:spacing w:line="440" w:lineRule="exact"/>
        <w:ind w:firstLine="420" w:firstLineChars="200"/>
        <w:jc w:val="left"/>
        <w:rPr>
          <w:rFonts w:asciiTheme="minorEastAsia" w:hAnsiTheme="minorEastAsia" w:cstheme="majorEastAsia"/>
          <w:szCs w:val="21"/>
        </w:rPr>
      </w:pPr>
      <w:r>
        <w:rPr>
          <w:rFonts w:hint="eastAsia" w:asciiTheme="minorEastAsia" w:hAnsiTheme="minorEastAsia" w:cstheme="majorEastAsia"/>
          <w:szCs w:val="21"/>
        </w:rPr>
        <w:t>3、采购编号：YZCG-T20230</w:t>
      </w:r>
      <w:r>
        <w:rPr>
          <w:rFonts w:hint="eastAsia" w:asciiTheme="minorEastAsia" w:hAnsiTheme="minorEastAsia" w:cstheme="majorEastAsia"/>
          <w:szCs w:val="21"/>
          <w:lang w:val="en-US" w:eastAsia="zh-CN"/>
        </w:rPr>
        <w:t>44</w:t>
      </w:r>
      <w:r>
        <w:rPr>
          <w:rFonts w:hint="eastAsia" w:asciiTheme="minorEastAsia" w:hAnsiTheme="minorEastAsia" w:cstheme="majorEastAsia"/>
          <w:szCs w:val="21"/>
        </w:rPr>
        <w:t xml:space="preserve">  </w:t>
      </w:r>
    </w:p>
    <w:p>
      <w:pPr>
        <w:widowControl/>
        <w:shd w:val="clear" w:color="auto" w:fill="FFFFFF"/>
        <w:spacing w:line="440" w:lineRule="exact"/>
        <w:ind w:firstLine="420" w:firstLineChars="200"/>
        <w:jc w:val="left"/>
        <w:rPr>
          <w:rFonts w:asciiTheme="minorEastAsia" w:hAnsiTheme="minorEastAsia" w:cstheme="majorEastAsia"/>
          <w:szCs w:val="21"/>
        </w:rPr>
      </w:pPr>
      <w:r>
        <w:rPr>
          <w:rFonts w:hint="eastAsia" w:asciiTheme="minorEastAsia" w:hAnsiTheme="minorEastAsia" w:cstheme="majorEastAsia"/>
          <w:szCs w:val="21"/>
        </w:rPr>
        <w:t>4、项目需求：</w:t>
      </w:r>
      <w:r>
        <w:rPr>
          <w:rFonts w:hint="eastAsia" w:ascii="宋体" w:hAnsi="宋体" w:eastAsia="宋体" w:cs="仿宋_GB2312"/>
          <w:szCs w:val="21"/>
          <w:lang w:val="zh-CN"/>
        </w:rPr>
        <w:t>禹州市中等专业学校新能源汽车运用与维修实训中心建设项目，建设一所新能源汽车整车故障诊断技术实训中心。</w:t>
      </w:r>
      <w:r>
        <w:rPr>
          <w:rFonts w:hint="eastAsia" w:asciiTheme="minorEastAsia" w:hAnsiTheme="minorEastAsia" w:cstheme="majorEastAsia"/>
          <w:szCs w:val="21"/>
        </w:rPr>
        <w:t>（详见谈判文件）</w:t>
      </w:r>
    </w:p>
    <w:p>
      <w:pPr>
        <w:widowControl/>
        <w:shd w:val="clear" w:color="auto" w:fill="FFFFFF"/>
        <w:spacing w:line="440" w:lineRule="exact"/>
        <w:ind w:firstLine="420" w:firstLineChars="200"/>
        <w:jc w:val="left"/>
        <w:rPr>
          <w:rFonts w:cs="仿宋" w:asciiTheme="minorEastAsia" w:hAnsiTheme="minorEastAsia"/>
          <w:kern w:val="0"/>
          <w:sz w:val="24"/>
        </w:rPr>
      </w:pPr>
      <w:r>
        <w:rPr>
          <w:rFonts w:hint="eastAsia" w:asciiTheme="minorEastAsia" w:hAnsiTheme="minorEastAsia" w:cstheme="majorEastAsia"/>
          <w:szCs w:val="21"/>
        </w:rPr>
        <w:t>5、合同履约期限</w:t>
      </w:r>
      <w:r>
        <w:rPr>
          <w:rFonts w:hint="eastAsia" w:asciiTheme="minorEastAsia" w:hAnsiTheme="minorEastAsia" w:cstheme="majorEastAsia"/>
          <w:szCs w:val="21"/>
          <w:lang w:val="zh-CN"/>
        </w:rPr>
        <w:t>：合同签订后30日历天内完成供货</w:t>
      </w:r>
    </w:p>
    <w:p>
      <w:pPr>
        <w:widowControl/>
        <w:shd w:val="clear" w:color="auto" w:fill="FFFFFF"/>
        <w:spacing w:line="440" w:lineRule="exact"/>
        <w:ind w:firstLine="420" w:firstLineChars="200"/>
        <w:jc w:val="left"/>
        <w:rPr>
          <w:rFonts w:asciiTheme="minorEastAsia" w:hAnsiTheme="minorEastAsia" w:cstheme="majorEastAsia"/>
          <w:szCs w:val="21"/>
        </w:rPr>
      </w:pPr>
      <w:r>
        <w:rPr>
          <w:rFonts w:hint="eastAsia" w:asciiTheme="minorEastAsia" w:hAnsiTheme="minorEastAsia" w:cstheme="majorEastAsia"/>
          <w:szCs w:val="21"/>
        </w:rPr>
        <w:t>6、采购预算：</w:t>
      </w:r>
      <w:r>
        <w:rPr>
          <w:rFonts w:asciiTheme="minorEastAsia" w:hAnsiTheme="minorEastAsia" w:cstheme="majorEastAsia"/>
          <w:szCs w:val="21"/>
        </w:rPr>
        <w:t>1420000.00</w:t>
      </w:r>
      <w:r>
        <w:rPr>
          <w:rFonts w:hint="eastAsia" w:asciiTheme="minorEastAsia" w:hAnsiTheme="minorEastAsia" w:cstheme="majorEastAsia"/>
          <w:szCs w:val="21"/>
        </w:rPr>
        <w:t>元</w:t>
      </w:r>
    </w:p>
    <w:p>
      <w:pPr>
        <w:widowControl/>
        <w:shd w:val="clear" w:color="auto" w:fill="FFFFFF"/>
        <w:spacing w:line="440" w:lineRule="exact"/>
        <w:ind w:firstLine="354" w:firstLineChars="147"/>
        <w:jc w:val="left"/>
        <w:rPr>
          <w:rFonts w:cs="仿宋" w:asciiTheme="minorEastAsia" w:hAnsiTheme="minorEastAsia"/>
          <w:b/>
          <w:color w:val="000000"/>
          <w:kern w:val="0"/>
          <w:sz w:val="24"/>
          <w:szCs w:val="28"/>
        </w:rPr>
      </w:pPr>
      <w:r>
        <w:rPr>
          <w:rFonts w:hint="eastAsia" w:cs="仿宋" w:asciiTheme="minorEastAsia" w:hAnsiTheme="minorEastAsia"/>
          <w:b/>
          <w:color w:val="000000"/>
          <w:kern w:val="0"/>
          <w:sz w:val="24"/>
          <w:szCs w:val="28"/>
        </w:rPr>
        <w:t>二、需要落实的政府采购政策</w:t>
      </w:r>
    </w:p>
    <w:p>
      <w:pPr>
        <w:widowControl/>
        <w:shd w:val="clear" w:color="auto" w:fill="FFFFFF"/>
        <w:spacing w:line="440" w:lineRule="exact"/>
        <w:ind w:firstLine="420" w:firstLineChars="200"/>
        <w:jc w:val="left"/>
        <w:rPr>
          <w:rFonts w:asciiTheme="minorEastAsia" w:hAnsiTheme="minorEastAsia" w:cstheme="majorEastAsia"/>
          <w:szCs w:val="21"/>
        </w:rPr>
      </w:pPr>
      <w:r>
        <w:rPr>
          <w:rFonts w:hint="eastAsia" w:asciiTheme="minorEastAsia" w:hAnsiTheme="minorEastAsia" w:cstheme="majorEastAsia"/>
          <w:szCs w:val="21"/>
        </w:rPr>
        <w:t>本项目落实节约能源、保护环境、扶持不发达地区和少数民族地区、促进中小企业、监狱企业发展等政府采购政策。</w:t>
      </w:r>
    </w:p>
    <w:p>
      <w:pPr>
        <w:widowControl/>
        <w:shd w:val="clear" w:color="auto" w:fill="FFFFFF"/>
        <w:spacing w:line="440" w:lineRule="exact"/>
        <w:ind w:firstLine="241" w:firstLineChars="100"/>
        <w:jc w:val="left"/>
        <w:rPr>
          <w:rFonts w:cs="仿宋" w:asciiTheme="minorEastAsia" w:hAnsiTheme="minorEastAsia"/>
          <w:b/>
          <w:color w:val="000000"/>
          <w:kern w:val="0"/>
          <w:sz w:val="24"/>
          <w:szCs w:val="28"/>
        </w:rPr>
      </w:pPr>
      <w:r>
        <w:rPr>
          <w:rFonts w:hint="eastAsia" w:cs="仿宋" w:asciiTheme="minorEastAsia" w:hAnsiTheme="minorEastAsia"/>
          <w:b/>
          <w:color w:val="000000"/>
          <w:kern w:val="0"/>
          <w:sz w:val="24"/>
          <w:szCs w:val="28"/>
        </w:rPr>
        <w:t>三、供应商资格要求</w:t>
      </w:r>
    </w:p>
    <w:p>
      <w:pPr>
        <w:widowControl/>
        <w:numPr>
          <w:ilvl w:val="0"/>
          <w:numId w:val="4"/>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w:t>
      </w:r>
      <w:r>
        <w:rPr>
          <w:rFonts w:hint="eastAsia" w:cs="仿宋_GB2312" w:asciiTheme="minorEastAsia" w:hAnsiTheme="minorEastAsia"/>
          <w:color w:val="000000"/>
          <w:szCs w:val="21"/>
          <w:shd w:val="clear" w:color="auto" w:fill="FFFFFF"/>
          <w:lang w:val="en-US" w:eastAsia="zh-CN"/>
        </w:rPr>
        <w:t>中华人民共和国</w:t>
      </w:r>
      <w:r>
        <w:rPr>
          <w:rFonts w:hint="eastAsia" w:cs="仿宋_GB2312" w:asciiTheme="minorEastAsia" w:hAnsiTheme="minorEastAsia"/>
          <w:color w:val="000000"/>
          <w:szCs w:val="21"/>
          <w:shd w:val="clear" w:color="auto" w:fill="FFFFFF"/>
        </w:rPr>
        <w:t>政府采购法》第二十二条之规定；</w:t>
      </w:r>
    </w:p>
    <w:p>
      <w:pPr>
        <w:widowControl/>
        <w:shd w:val="clear" w:color="auto" w:fill="FFFFFF"/>
        <w:spacing w:line="440" w:lineRule="exact"/>
        <w:ind w:left="42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2、本项目不接受联合体投标。</w:t>
      </w:r>
    </w:p>
    <w:p>
      <w:pPr>
        <w:widowControl/>
        <w:shd w:val="clear" w:color="auto" w:fill="FFFFFF"/>
        <w:spacing w:line="440" w:lineRule="exact"/>
        <w:ind w:firstLine="236" w:firstLineChars="98"/>
        <w:jc w:val="left"/>
        <w:rPr>
          <w:rFonts w:cs="仿宋" w:asciiTheme="minorEastAsia" w:hAnsiTheme="minorEastAsia"/>
          <w:b/>
          <w:color w:val="000000"/>
          <w:kern w:val="0"/>
          <w:sz w:val="24"/>
          <w:szCs w:val="28"/>
        </w:rPr>
      </w:pPr>
      <w:r>
        <w:rPr>
          <w:rFonts w:hint="eastAsia" w:cs="仿宋" w:asciiTheme="minorEastAsia" w:hAnsiTheme="minorEastAsia"/>
          <w:b/>
          <w:color w:val="000000"/>
          <w:kern w:val="0"/>
          <w:sz w:val="24"/>
          <w:szCs w:val="28"/>
        </w:rPr>
        <w:t>四、获取谈判文件的方式</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30"/>
          <w:rFonts w:hint="eastAsia" w:cs="仿宋_GB2312" w:asciiTheme="minorEastAsia" w:hAnsiTheme="minorEastAsia" w:eastAsiaTheme="minorEastAsia"/>
          <w:color w:val="000000"/>
          <w:sz w:val="21"/>
          <w:szCs w:val="21"/>
          <w:shd w:val="clear" w:color="auto" w:fill="FFFFFF"/>
        </w:rPr>
        <w:t>http://</w:t>
      </w:r>
      <w:r>
        <w:rPr>
          <w:rStyle w:val="30"/>
          <w:rFonts w:cs="仿宋_GB2312" w:asciiTheme="minorEastAsia" w:hAnsiTheme="minorEastAsia" w:eastAsiaTheme="minorEastAsia"/>
          <w:color w:val="000000"/>
          <w:sz w:val="21"/>
          <w:szCs w:val="21"/>
          <w:shd w:val="clear" w:color="auto" w:fill="FFFFFF"/>
        </w:rPr>
        <w:t>ggzy.xuchang.gov.cn:8088/ggzy/eps/public/RegistAllJcxx.html</w:t>
      </w:r>
      <w:r>
        <w:rPr>
          <w:rStyle w:val="30"/>
          <w:rFonts w:hint="eastAsia" w:cs="仿宋_GB2312" w:asciiTheme="minorEastAsia" w:hAnsiTheme="minorEastAsia" w:eastAsiaTheme="minorEastAsia"/>
          <w:color w:val="000000"/>
          <w:sz w:val="21"/>
          <w:szCs w:val="21"/>
          <w:shd w:val="clear" w:color="auto" w:fill="FFFFFF"/>
        </w:rPr>
        <w:t>）</w:t>
      </w:r>
      <w:r>
        <w:rPr>
          <w:rStyle w:val="30"/>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30"/>
          <w:rFonts w:hint="eastAsia" w:cs="仿宋_GB2312" w:asciiTheme="minorEastAsia" w:hAnsiTheme="minorEastAsia" w:eastAsiaTheme="minorEastAsia"/>
          <w:color w:val="000000"/>
          <w:sz w:val="21"/>
          <w:szCs w:val="21"/>
          <w:shd w:val="clear" w:color="auto" w:fill="FFFFFF"/>
        </w:rPr>
        <w:t>（http://</w:t>
      </w:r>
      <w:r>
        <w:rPr>
          <w:rStyle w:val="30"/>
          <w:rFonts w:cs="仿宋_GB2312" w:asciiTheme="minorEastAsia" w:hAnsiTheme="minorEastAsia" w:eastAsiaTheme="minorEastAsia"/>
          <w:color w:val="000000"/>
          <w:sz w:val="21"/>
          <w:szCs w:val="21"/>
          <w:shd w:val="clear" w:color="auto" w:fill="FFFFFF"/>
        </w:rPr>
        <w:t>ggzy.xuchang.gov.cn:8088/ggzy/</w:t>
      </w:r>
      <w:r>
        <w:rPr>
          <w:rStyle w:val="30"/>
          <w:rFonts w:hint="eastAsia" w:cs="仿宋_GB2312" w:asciiTheme="minorEastAsia" w:hAnsiTheme="minorEastAsia" w:eastAsiaTheme="minorEastAsia"/>
          <w:color w:val="000000"/>
          <w:sz w:val="21"/>
          <w:szCs w:val="21"/>
          <w:shd w:val="clear" w:color="auto" w:fill="FFFFFF"/>
        </w:rPr>
        <w:t>）</w:t>
      </w:r>
      <w:r>
        <w:rPr>
          <w:rStyle w:val="30"/>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pPr>
        <w:widowControl/>
        <w:shd w:val="clear" w:color="auto" w:fill="FFFFFF"/>
        <w:spacing w:line="440" w:lineRule="exact"/>
        <w:ind w:firstLine="482" w:firstLineChars="200"/>
        <w:jc w:val="left"/>
        <w:rPr>
          <w:rFonts w:cs="仿宋" w:asciiTheme="minorEastAsia" w:hAnsiTheme="minorEastAsia"/>
          <w:b/>
          <w:bCs/>
          <w:color w:val="000000"/>
          <w:kern w:val="0"/>
          <w:sz w:val="28"/>
          <w:szCs w:val="28"/>
        </w:rPr>
      </w:pPr>
      <w:r>
        <w:rPr>
          <w:rFonts w:hint="eastAsia" w:cs="仿宋" w:asciiTheme="minorEastAsia" w:hAnsiTheme="minorEastAsia"/>
          <w:b/>
          <w:bCs/>
          <w:color w:val="000000"/>
          <w:kern w:val="0"/>
          <w:sz w:val="24"/>
          <w:szCs w:val="28"/>
        </w:rPr>
        <w:t>五、响应文件提交截止时间及谈判响应截止时间、谈判时间</w:t>
      </w:r>
    </w:p>
    <w:p>
      <w:pPr>
        <w:spacing w:line="440" w:lineRule="exact"/>
        <w:ind w:firstLine="640"/>
        <w:rPr>
          <w:rFonts w:hint="eastAsia" w:cs="仿宋_GB2312" w:asciiTheme="minorEastAsia" w:hAnsiTheme="minorEastAsia"/>
          <w:color w:val="000000"/>
          <w:szCs w:val="21"/>
          <w:shd w:val="clear" w:color="auto" w:fill="FFFFFF"/>
        </w:rPr>
      </w:pPr>
      <w:bookmarkStart w:id="6" w:name="_GoBack"/>
      <w:r>
        <w:rPr>
          <w:rFonts w:hint="eastAsia" w:cs="仿宋_GB2312" w:asciiTheme="minorEastAsia" w:hAnsiTheme="minorEastAsia"/>
          <w:color w:val="000000"/>
          <w:szCs w:val="21"/>
          <w:shd w:val="clear" w:color="auto" w:fill="FFFFFF"/>
        </w:rPr>
        <w:t>1、响应文件提交截止时间及谈判响应截止时间、谈判时间：202</w:t>
      </w:r>
      <w:r>
        <w:rPr>
          <w:rFonts w:hint="eastAsia" w:cs="仿宋_GB2312" w:asciiTheme="minorEastAsia" w:hAnsiTheme="minorEastAsia"/>
          <w:color w:val="000000"/>
          <w:szCs w:val="21"/>
          <w:shd w:val="clear" w:color="auto" w:fill="FFFFFF"/>
          <w:lang w:val="en-US" w:eastAsia="zh-CN"/>
        </w:rPr>
        <w:t>4</w:t>
      </w:r>
      <w:r>
        <w:rPr>
          <w:rFonts w:hint="eastAsia" w:cs="仿宋_GB2312" w:asciiTheme="minorEastAsia" w:hAnsiTheme="minorEastAsia"/>
          <w:color w:val="000000"/>
          <w:szCs w:val="21"/>
          <w:shd w:val="clear" w:color="auto" w:fill="FFFFFF"/>
        </w:rPr>
        <w:t>年1月</w:t>
      </w:r>
      <w:r>
        <w:rPr>
          <w:rFonts w:hint="eastAsia" w:cs="仿宋_GB2312" w:asciiTheme="minorEastAsia" w:hAnsiTheme="minorEastAsia"/>
          <w:color w:val="000000"/>
          <w:szCs w:val="21"/>
          <w:shd w:val="clear" w:color="auto" w:fill="FFFFFF"/>
          <w:lang w:val="en-US" w:eastAsia="zh-CN"/>
        </w:rPr>
        <w:t>9</w:t>
      </w:r>
      <w:r>
        <w:rPr>
          <w:rFonts w:hint="eastAsia" w:cs="仿宋_GB2312" w:asciiTheme="minorEastAsia" w:hAnsiTheme="minorEastAsia"/>
          <w:color w:val="000000"/>
          <w:szCs w:val="21"/>
          <w:shd w:val="clear" w:color="auto" w:fill="FFFFFF"/>
        </w:rPr>
        <w:t>日08：30</w:t>
      </w:r>
      <w:r>
        <w:rPr>
          <w:rFonts w:hint="eastAsia" w:cs="仿宋_GB2312" w:asciiTheme="minorEastAsia" w:hAnsiTheme="minorEastAsia"/>
          <w:color w:val="000000"/>
          <w:szCs w:val="21"/>
          <w:shd w:val="clear" w:color="auto" w:fill="FFFFFF"/>
        </w:rPr>
        <w:t>（北京时间），逾期送达或不符合规定的响应文件恕不接受。</w:t>
      </w:r>
    </w:p>
    <w:p>
      <w:pPr>
        <w:spacing w:line="440" w:lineRule="exact"/>
        <w:ind w:firstLine="640"/>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bookmarkEnd w:id="6"/>
    <w:p>
      <w:pPr>
        <w:pStyle w:val="23"/>
        <w:widowControl/>
        <w:shd w:val="clear" w:color="auto" w:fill="FFFFFF"/>
        <w:spacing w:line="360" w:lineRule="auto"/>
        <w:ind w:firstLine="420"/>
        <w:contextualSpacing/>
        <w:jc w:val="left"/>
        <w:rPr>
          <w:rFonts w:cs="仿宋" w:asciiTheme="minorEastAsia" w:hAnsiTheme="minorEastAsia" w:eastAsiaTheme="minorEastAsia"/>
          <w:b/>
          <w:bCs/>
          <w:color w:val="000000"/>
          <w:szCs w:val="28"/>
          <w:shd w:val="clear" w:color="auto" w:fill="FFFFFF"/>
        </w:rPr>
      </w:pPr>
      <w:r>
        <w:rPr>
          <w:rFonts w:hint="eastAsia" w:cs="仿宋" w:asciiTheme="minorEastAsia" w:hAnsiTheme="minorEastAsia" w:eastAsiaTheme="minorEastAsia"/>
          <w:b/>
          <w:bCs/>
          <w:color w:val="000000"/>
          <w:szCs w:val="28"/>
          <w:shd w:val="clear" w:color="auto" w:fill="FFFFFF"/>
        </w:rPr>
        <w:t>六、谈判响应文件开启</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（一）谈判响应文件开启地点：禹州市公共资源交易中心九楼第二开标室。（本项目采用远程不见面谈判，供应商无需到达现场）。</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 本项目为全流程电子化交易项目，供应商须提交电子响应文件。</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641"/>
        <w:jc w:val="left"/>
        <w:rPr>
          <w:rFonts w:cs="仿宋" w:asciiTheme="minorEastAsia" w:hAnsiTheme="minorEastAsia"/>
          <w:b/>
          <w:bCs/>
          <w:color w:val="000000"/>
          <w:kern w:val="0"/>
          <w:sz w:val="24"/>
          <w:szCs w:val="28"/>
        </w:rPr>
      </w:pPr>
      <w:r>
        <w:rPr>
          <w:rFonts w:hint="eastAsia" w:cs="仿宋" w:asciiTheme="minorEastAsia" w:hAnsiTheme="minorEastAsia"/>
          <w:b/>
          <w:bCs/>
          <w:color w:val="000000"/>
          <w:kern w:val="0"/>
          <w:sz w:val="24"/>
          <w:szCs w:val="28"/>
        </w:rPr>
        <w:t>七、本次谈判公告同时在《中国政府采购网》《河南省政府采购网》《全国公共资源交易平台（河南省·许昌市）》发布等。</w:t>
      </w:r>
    </w:p>
    <w:p>
      <w:pPr>
        <w:widowControl/>
        <w:shd w:val="clear" w:color="auto" w:fill="FFFFFF"/>
        <w:spacing w:line="440" w:lineRule="exact"/>
        <w:ind w:firstLine="641"/>
        <w:jc w:val="left"/>
        <w:rPr>
          <w:rFonts w:cs="仿宋" w:asciiTheme="minorEastAsia" w:hAnsiTheme="minorEastAsia"/>
          <w:b/>
          <w:bCs/>
          <w:color w:val="000000"/>
          <w:kern w:val="0"/>
          <w:sz w:val="28"/>
          <w:szCs w:val="28"/>
        </w:rPr>
      </w:pPr>
      <w:r>
        <w:rPr>
          <w:rFonts w:hint="eastAsia" w:cs="仿宋" w:asciiTheme="minorEastAsia" w:hAnsiTheme="minorEastAsia"/>
          <w:b/>
          <w:bCs/>
          <w:color w:val="000000"/>
          <w:kern w:val="0"/>
          <w:sz w:val="24"/>
          <w:szCs w:val="28"/>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w:t>
      </w:r>
      <w:r>
        <w:rPr>
          <w:rFonts w:hint="eastAsia" w:cs="仿宋_GB2312" w:asciiTheme="minorEastAsia" w:hAnsiTheme="minorEastAsia"/>
          <w:color w:val="000000"/>
          <w:szCs w:val="21"/>
          <w:shd w:val="clear" w:color="auto" w:fill="FFFFFF"/>
          <w:lang w:val="en-US" w:eastAsia="zh-CN"/>
        </w:rPr>
        <w:t>820</w:t>
      </w:r>
      <w:r>
        <w:rPr>
          <w:rFonts w:hint="eastAsia" w:cs="仿宋_GB2312" w:asciiTheme="minorEastAsia" w:hAnsiTheme="minorEastAsia"/>
          <w:color w:val="000000"/>
          <w:szCs w:val="21"/>
          <w:shd w:val="clear" w:color="auto" w:fill="FFFFFF"/>
        </w:rPr>
        <w:t>房间</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numPr>
          <w:ilvl w:val="0"/>
          <w:numId w:val="5"/>
        </w:numPr>
        <w:shd w:val="clear" w:color="auto" w:fill="FFFFFF"/>
        <w:spacing w:line="440" w:lineRule="exact"/>
        <w:ind w:left="420" w:leftChars="200" w:firstLine="315" w:firstLineChars="150"/>
        <w:jc w:val="left"/>
        <w:rPr>
          <w:rFonts w:cs="宋体" w:asciiTheme="minorEastAsia" w:hAnsiTheme="minorEastAsia"/>
        </w:rPr>
      </w:pPr>
      <w:r>
        <w:rPr>
          <w:rFonts w:hint="eastAsia" w:cs="仿宋_GB2312" w:asciiTheme="minorEastAsia" w:hAnsiTheme="minorEastAsia"/>
          <w:color w:val="000000"/>
          <w:szCs w:val="21"/>
          <w:shd w:val="clear" w:color="auto" w:fill="FFFFFF"/>
        </w:rPr>
        <w:t>采购单位：禹州市中等专业学校</w:t>
      </w:r>
    </w:p>
    <w:p>
      <w:pPr>
        <w:widowControl/>
        <w:shd w:val="clear" w:color="auto" w:fill="FFFFFF"/>
        <w:spacing w:line="440" w:lineRule="exact"/>
        <w:ind w:left="735"/>
        <w:jc w:val="left"/>
        <w:rPr>
          <w:rFonts w:cs="宋体" w:asciiTheme="minorEastAsia" w:hAnsiTheme="minorEastAsia"/>
        </w:rPr>
      </w:pPr>
      <w:r>
        <w:rPr>
          <w:rFonts w:hint="eastAsia" w:cs="宋体" w:asciiTheme="minorEastAsia" w:hAnsiTheme="minorEastAsia"/>
        </w:rPr>
        <w:t>地址：禹州市药城路北段</w:t>
      </w:r>
    </w:p>
    <w:p>
      <w:pPr>
        <w:widowControl/>
        <w:shd w:val="clear" w:color="auto" w:fill="FFFFFF"/>
        <w:spacing w:line="440" w:lineRule="exact"/>
        <w:ind w:firstLine="735" w:firstLineChars="350"/>
        <w:jc w:val="left"/>
        <w:rPr>
          <w:rFonts w:cs="宋体" w:asciiTheme="minorEastAsia" w:hAnsiTheme="minorEastAsia"/>
        </w:rPr>
      </w:pPr>
      <w:r>
        <w:rPr>
          <w:rFonts w:hint="eastAsia" w:cs="宋体" w:asciiTheme="minorEastAsia" w:hAnsiTheme="minorEastAsia"/>
        </w:rPr>
        <w:t>联系人：王先生        联系电话：</w:t>
      </w:r>
      <w:r>
        <w:rPr>
          <w:rFonts w:cs="宋体" w:asciiTheme="minorEastAsia" w:hAnsiTheme="minorEastAsia"/>
        </w:rPr>
        <w:t>0374-8816982</w:t>
      </w:r>
    </w:p>
    <w:p>
      <w:pPr>
        <w:pStyle w:val="2"/>
      </w:pPr>
    </w:p>
    <w:p>
      <w:pPr>
        <w:pStyle w:val="2"/>
      </w:pPr>
    </w:p>
    <w:p>
      <w:pPr>
        <w:pStyle w:val="2"/>
      </w:pPr>
    </w:p>
    <w:p>
      <w:pPr>
        <w:pStyle w:val="2"/>
        <w:ind w:firstLine="0" w:firstLineChars="0"/>
      </w:pPr>
    </w:p>
    <w:p>
      <w:pPr>
        <w:spacing w:line="360" w:lineRule="auto"/>
        <w:rPr>
          <w:rFonts w:ascii="Calibri" w:hAnsi="宋体" w:eastAsia="宋体" w:cs="Times New Roman"/>
          <w:b/>
          <w:sz w:val="28"/>
          <w:szCs w:val="28"/>
        </w:rPr>
      </w:pPr>
    </w:p>
    <w:p>
      <w:pPr>
        <w:pStyle w:val="2"/>
      </w:pPr>
    </w:p>
    <w:p>
      <w:pPr>
        <w:spacing w:line="360" w:lineRule="auto"/>
        <w:rPr>
          <w:rFonts w:ascii="Calibri" w:hAnsi="宋体" w:eastAsia="宋体" w:cs="Times New Roman"/>
          <w:b/>
          <w:sz w:val="28"/>
          <w:szCs w:val="28"/>
        </w:rPr>
      </w:pPr>
    </w:p>
    <w:p>
      <w:pPr>
        <w:spacing w:line="360" w:lineRule="auto"/>
        <w:rPr>
          <w:rFonts w:ascii="Calibri" w:hAnsi="宋体" w:eastAsia="宋体" w:cs="Times New Roman"/>
          <w:b/>
          <w:sz w:val="28"/>
          <w:szCs w:val="28"/>
        </w:rPr>
      </w:pPr>
      <w:r>
        <w:rPr>
          <w:rFonts w:hint="eastAsia" w:ascii="Calibri" w:hAnsi="宋体" w:eastAsia="宋体" w:cs="Times New Roman"/>
          <w:b/>
          <w:sz w:val="28"/>
          <w:szCs w:val="28"/>
        </w:rPr>
        <w:t>温馨提示：</w:t>
      </w:r>
    </w:p>
    <w:p>
      <w:pPr>
        <w:tabs>
          <w:tab w:val="left" w:pos="7095"/>
        </w:tabs>
        <w:spacing w:line="360" w:lineRule="auto"/>
        <w:ind w:firstLine="562" w:firstLineChars="200"/>
        <w:contextualSpacing/>
        <w:rPr>
          <w:rFonts w:ascii="Calibri" w:hAnsi="宋体" w:eastAsia="宋体" w:cs="Times New Roman"/>
          <w:b/>
          <w:sz w:val="28"/>
          <w:szCs w:val="28"/>
        </w:rPr>
      </w:pPr>
      <w:r>
        <w:rPr>
          <w:rFonts w:hint="eastAsia" w:ascii="Calibri" w:hAnsi="宋体" w:eastAsia="宋体" w:cs="Times New Roman"/>
          <w:b/>
          <w:sz w:val="28"/>
          <w:szCs w:val="28"/>
        </w:rPr>
        <w:t>本项目为全流程电子化交易项目，请注意以下事项。</w:t>
      </w:r>
    </w:p>
    <w:p>
      <w:pPr>
        <w:numPr>
          <w:ilvl w:val="0"/>
          <w:numId w:val="6"/>
        </w:numPr>
        <w:tabs>
          <w:tab w:val="left" w:pos="7095"/>
        </w:tabs>
        <w:spacing w:line="360" w:lineRule="auto"/>
        <w:contextualSpacing/>
        <w:rPr>
          <w:rFonts w:ascii="宋体" w:hAnsi="宋体" w:eastAsia="宋体" w:cs="Times New Roman"/>
          <w:b/>
        </w:rPr>
      </w:pPr>
      <w:r>
        <w:rPr>
          <w:rFonts w:hint="eastAsia" w:ascii="Calibri" w:hAnsi="Calibri" w:eastAsia="宋体" w:cs="Helvetica"/>
        </w:rPr>
        <w:t>供应商参加本项目投标，需提前自行联系CA服务机构办理数字认证证书并进行电子签章。</w:t>
      </w:r>
    </w:p>
    <w:p>
      <w:pPr>
        <w:numPr>
          <w:ilvl w:val="0"/>
          <w:numId w:val="6"/>
        </w:numPr>
        <w:tabs>
          <w:tab w:val="left" w:pos="7095"/>
        </w:tabs>
        <w:spacing w:line="360" w:lineRule="auto"/>
        <w:contextualSpacing/>
        <w:rPr>
          <w:rFonts w:ascii="Calibri" w:hAnsi="宋体" w:eastAsia="宋体" w:cs="Times New Roman"/>
        </w:rPr>
      </w:pPr>
      <w:r>
        <w:rPr>
          <w:rFonts w:hint="eastAsia" w:ascii="Calibri" w:hAnsi="宋体" w:eastAsia="宋体" w:cs="Times New Roman"/>
        </w:rPr>
        <w:t>采购文件下载、响应文件制作、提交、远程不见面开标（电子投标文件的解密）环节，供应商须使用同一个</w:t>
      </w:r>
      <w:r>
        <w:rPr>
          <w:rFonts w:ascii="Calibri" w:hAnsi="宋体" w:eastAsia="宋体" w:cs="Times New Roman"/>
        </w:rPr>
        <w:t>CA数字证书</w:t>
      </w:r>
      <w:r>
        <w:rPr>
          <w:rFonts w:hint="eastAsia" w:ascii="Calibri" w:hAnsi="宋体" w:eastAsia="宋体" w:cs="Times New Roman"/>
        </w:rPr>
        <w:t>（证书须在有效期内并可正常使用）</w:t>
      </w:r>
      <w:r>
        <w:rPr>
          <w:rFonts w:ascii="Calibri" w:hAnsi="宋体" w:eastAsia="宋体" w:cs="Times New Roman"/>
        </w:rPr>
        <w:t>。</w:t>
      </w:r>
    </w:p>
    <w:p>
      <w:pPr>
        <w:tabs>
          <w:tab w:val="left" w:pos="7095"/>
        </w:tabs>
        <w:spacing w:line="360" w:lineRule="auto"/>
        <w:ind w:firstLine="422" w:firstLineChars="200"/>
        <w:contextualSpacing/>
        <w:rPr>
          <w:rFonts w:ascii="Calibri" w:hAnsi="宋体" w:eastAsia="宋体" w:cs="Times New Roman"/>
          <w:b/>
          <w:szCs w:val="21"/>
        </w:rPr>
      </w:pPr>
      <w:r>
        <w:rPr>
          <w:rFonts w:ascii="宋体" w:hAnsi="宋体" w:eastAsia="宋体" w:cs="Times New Roman"/>
          <w:b/>
          <w:szCs w:val="21"/>
        </w:rPr>
        <w:t>3</w:t>
      </w:r>
      <w:r>
        <w:rPr>
          <w:rFonts w:hint="eastAsia" w:ascii="宋体" w:hAnsi="宋体" w:eastAsia="宋体" w:cs="Times New Roman"/>
          <w:b/>
          <w:szCs w:val="21"/>
        </w:rPr>
        <w:t>.</w:t>
      </w:r>
      <w:r>
        <w:rPr>
          <w:rFonts w:hint="eastAsia" w:ascii="Calibri" w:hAnsi="宋体" w:eastAsia="宋体" w:cs="Times New Roman"/>
          <w:b/>
          <w:szCs w:val="21"/>
        </w:rPr>
        <w:t>电子响应文件的制作</w:t>
      </w:r>
    </w:p>
    <w:p>
      <w:pPr>
        <w:numPr>
          <w:ilvl w:val="1"/>
          <w:numId w:val="7"/>
        </w:numPr>
        <w:tabs>
          <w:tab w:val="left" w:pos="7095"/>
        </w:tabs>
        <w:spacing w:line="360" w:lineRule="auto"/>
        <w:ind w:left="420" w:leftChars="200"/>
        <w:contextualSpacing/>
        <w:rPr>
          <w:rFonts w:ascii="Calibri" w:hAnsi="宋体" w:eastAsia="宋体" w:cs="Times New Roman"/>
        </w:rPr>
      </w:pPr>
      <w:r>
        <w:rPr>
          <w:rFonts w:hint="eastAsia" w:ascii="Calibri" w:hAnsi="宋体" w:eastAsia="宋体" w:cs="Times New Roman"/>
        </w:rPr>
        <w:t>供应商登录《全国公共资源交易平台（河南省</w:t>
      </w:r>
      <w:r>
        <w:rPr>
          <w:rFonts w:hint="eastAsia" w:ascii="MS Mincho" w:hAnsi="MS Mincho" w:eastAsia="MS Mincho" w:cs="MS Mincho"/>
        </w:rPr>
        <w:t>▪</w:t>
      </w:r>
      <w:r>
        <w:rPr>
          <w:rFonts w:hint="eastAsia" w:ascii="宋体" w:hAnsi="宋体" w:eastAsia="宋体" w:cs="宋体"/>
        </w:rPr>
        <w:t>许昌市）</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）下载“许昌投标文件制作系统SEARUN 最新版本”，制作投标文件。</w:t>
      </w:r>
    </w:p>
    <w:p>
      <w:pPr>
        <w:numPr>
          <w:ilvl w:val="1"/>
          <w:numId w:val="8"/>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供应商对同一项目多个标段进行响应的，应分别下载所投标段的谈判文件，按标段制作响应文件。一个标段对应生成一个文件夹（xxxx项目xx标段），其中后缀名为“</w:t>
      </w:r>
      <w:r>
        <w:rPr>
          <w:rFonts w:ascii="Calibri" w:hAnsi="宋体" w:eastAsia="宋体" w:cs="Times New Roman"/>
        </w:rPr>
        <w:t>.file</w:t>
      </w:r>
      <w:r>
        <w:rPr>
          <w:rFonts w:hint="eastAsia" w:ascii="Calibri" w:hAnsi="宋体" w:eastAsia="宋体" w:cs="Times New Roman"/>
        </w:rPr>
        <w:t>”的文件用于投标。</w:t>
      </w:r>
    </w:p>
    <w:p>
      <w:pPr>
        <w:numPr>
          <w:ilvl w:val="0"/>
          <w:numId w:val="9"/>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加密</w:t>
      </w:r>
      <w:r>
        <w:rPr>
          <w:rFonts w:hint="eastAsia" w:ascii="Calibri" w:hAnsi="宋体" w:eastAsia="宋体" w:cs="Times New Roman"/>
          <w:b/>
        </w:rPr>
        <w:t>电子投标文件的提交</w:t>
      </w:r>
    </w:p>
    <w:p>
      <w:pPr>
        <w:numPr>
          <w:ilvl w:val="1"/>
          <w:numId w:val="7"/>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供应商对同一项目多个标段进行响应的，加密电子响应文件应按标段分别提交。</w:t>
      </w:r>
    </w:p>
    <w:p>
      <w:pPr>
        <w:numPr>
          <w:ilvl w:val="0"/>
          <w:numId w:val="10"/>
        </w:numPr>
        <w:tabs>
          <w:tab w:val="left" w:pos="7095"/>
        </w:tabs>
        <w:spacing w:line="360" w:lineRule="auto"/>
        <w:contextualSpacing/>
        <w:rPr>
          <w:rFonts w:ascii="Calibri" w:hAnsi="宋体" w:eastAsia="宋体" w:cs="Times New Roman"/>
        </w:rPr>
      </w:pPr>
      <w:r>
        <w:rPr>
          <w:rFonts w:hint="eastAsia" w:ascii="宋体" w:hAnsi="宋体" w:eastAsia="宋体" w:cs="Times New Roman"/>
        </w:rPr>
        <w:t>加密</w:t>
      </w:r>
      <w:r>
        <w:rPr>
          <w:rFonts w:hint="eastAsia" w:ascii="Calibri" w:hAnsi="宋体" w:eastAsia="宋体" w:cs="Times New Roman"/>
        </w:rPr>
        <w:t>电子响应文件成功提交后，《全国公共资源交易平台（河南省</w:t>
      </w:r>
      <w:r>
        <w:rPr>
          <w:rFonts w:hint="eastAsia" w:ascii="MS Mincho" w:hAnsi="MS Mincho" w:eastAsia="MS Mincho" w:cs="MS Mincho"/>
        </w:rPr>
        <w:t>▪</w:t>
      </w:r>
      <w:r>
        <w:rPr>
          <w:rFonts w:hint="eastAsia" w:ascii="宋体" w:hAnsi="宋体" w:eastAsia="宋体" w:cs="宋体"/>
        </w:rPr>
        <w:t>许昌市）</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w:t>
      </w:r>
      <w:r>
        <w:rPr>
          <w:rFonts w:hint="eastAsia" w:ascii="宋体" w:hAnsi="宋体" w:eastAsia="宋体" w:cs="仿宋_GB2312"/>
        </w:rPr>
        <w:t>生成“投标文件提交回执单”。</w:t>
      </w:r>
    </w:p>
    <w:p>
      <w:pPr>
        <w:numPr>
          <w:ilvl w:val="0"/>
          <w:numId w:val="9"/>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远程不见面开标（</w:t>
      </w:r>
      <w:r>
        <w:rPr>
          <w:rFonts w:hint="eastAsia" w:ascii="Calibri" w:hAnsi="宋体" w:eastAsia="宋体" w:cs="Times New Roman"/>
          <w:b/>
        </w:rPr>
        <w:t>电子响应文件的解密</w:t>
      </w:r>
      <w:r>
        <w:rPr>
          <w:rFonts w:hint="eastAsia" w:ascii="宋体" w:hAnsi="宋体" w:eastAsia="宋体" w:cs="Times New Roman"/>
          <w:b/>
        </w:rPr>
        <w:t>）</w:t>
      </w:r>
    </w:p>
    <w:p>
      <w:pPr>
        <w:numPr>
          <w:ilvl w:val="1"/>
          <w:numId w:val="7"/>
        </w:numPr>
        <w:tabs>
          <w:tab w:val="left" w:pos="7095"/>
        </w:tabs>
        <w:spacing w:line="360" w:lineRule="auto"/>
        <w:contextualSpacing/>
        <w:rPr>
          <w:rFonts w:ascii="Calibri" w:hAnsi="宋体" w:eastAsia="宋体" w:cs="Times New Roman"/>
        </w:rPr>
      </w:pPr>
      <w:r>
        <w:rPr>
          <w:rFonts w:hint="eastAsia" w:ascii="Calibri" w:hAnsi="宋体" w:eastAsia="宋体" w:cs="Times New Roman"/>
        </w:rPr>
        <w:t>本项目采用远程“不见面”开标方式，投标前请详细阅读全国公共资源交易平台（河南省·许昌市）首页“资料下载”栏目的《</w:t>
      </w:r>
      <w:r>
        <w:rPr>
          <w:rFonts w:hint="eastAsia" w:hAnsi="宋体"/>
        </w:rPr>
        <w:t>许昌市不见面操作手册</w:t>
      </w:r>
      <w:r>
        <w:rPr>
          <w:rFonts w:ascii="微软雅黑" w:hAnsi="微软雅黑"/>
        </w:rPr>
        <w:t>（代理机构/投标人）</w:t>
      </w:r>
      <w:r>
        <w:rPr>
          <w:rFonts w:hint="eastAsia" w:ascii="Calibri" w:hAnsi="宋体" w:eastAsia="宋体" w:cs="Times New Roman"/>
        </w:rPr>
        <w:t>》。</w:t>
      </w:r>
    </w:p>
    <w:p>
      <w:pPr>
        <w:numPr>
          <w:ilvl w:val="0"/>
          <w:numId w:val="11"/>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供应商提前设置不见面开标浏览器，并于开标时间前登录本项目不见面开标大厅，按照规定的开标时间准时参加网上开标。</w:t>
      </w:r>
    </w:p>
    <w:p>
      <w:pPr>
        <w:numPr>
          <w:ilvl w:val="0"/>
          <w:numId w:val="12"/>
        </w:numPr>
        <w:tabs>
          <w:tab w:val="left" w:pos="7095"/>
        </w:tabs>
        <w:spacing w:line="360" w:lineRule="auto"/>
        <w:contextualSpacing/>
        <w:rPr>
          <w:rFonts w:ascii="Calibri" w:hAnsi="宋体" w:eastAsia="宋体" w:cs="Times New Roman"/>
        </w:rPr>
      </w:pPr>
      <w:r>
        <w:rPr>
          <w:rFonts w:hint="eastAsia" w:ascii="Calibri" w:hAnsi="宋体" w:eastAsia="宋体" w:cs="Times New Roman"/>
        </w:rPr>
        <w:t>根据采购代理机构在“文字互动”对话框的通知，投标人选择功能栏“解密环节”按钮进行电子响应文件解密（投标人解密应自采购代理机构点击“开标开始”按钮后120分钟内完成）。供应商未解密或因供应商原因解密失败的，其响应文件将被拒绝。</w:t>
      </w:r>
    </w:p>
    <w:p>
      <w:pPr>
        <w:numPr>
          <w:ilvl w:val="0"/>
          <w:numId w:val="13"/>
        </w:numPr>
        <w:tabs>
          <w:tab w:val="left" w:pos="7095"/>
        </w:tabs>
        <w:spacing w:line="360" w:lineRule="auto"/>
        <w:contextualSpacing/>
        <w:rPr>
          <w:rFonts w:ascii="Calibri" w:hAnsi="宋体" w:eastAsia="宋体" w:cs="Times New Roman"/>
        </w:rPr>
      </w:pPr>
      <w:r>
        <w:rPr>
          <w:rFonts w:hint="eastAsia" w:ascii="Calibri" w:hAnsi="宋体" w:eastAsia="宋体" w:cs="Times New Roman"/>
        </w:rPr>
        <w:t>开标活动结束时，供应商应在《开标记录表》上进行电子签章。供应商未签章的，视同认可开标结果。</w:t>
      </w:r>
    </w:p>
    <w:p>
      <w:pPr>
        <w:numPr>
          <w:ilvl w:val="0"/>
          <w:numId w:val="14"/>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供应商对开标过程和开标记录如有疑义，可在本项目不见面开标大厅“文字互动”对话框或“新增质疑”处在线提出询问。</w:t>
      </w:r>
    </w:p>
    <w:p>
      <w:pPr>
        <w:numPr>
          <w:ilvl w:val="0"/>
          <w:numId w:val="15"/>
        </w:numPr>
        <w:tabs>
          <w:tab w:val="left" w:pos="7095"/>
        </w:tabs>
        <w:spacing w:line="360" w:lineRule="auto"/>
        <w:contextualSpacing/>
        <w:rPr>
          <w:rFonts w:ascii="Calibri" w:hAnsi="宋体" w:eastAsia="宋体" w:cs="Times New Roman"/>
          <w:b/>
        </w:rPr>
      </w:pPr>
      <w:r>
        <w:rPr>
          <w:rFonts w:hint="eastAsia" w:ascii="Calibri" w:hAnsi="宋体" w:eastAsia="宋体" w:cs="Times New Roman"/>
          <w:b/>
        </w:rPr>
        <w:t>评标依据</w:t>
      </w:r>
    </w:p>
    <w:p>
      <w:pPr>
        <w:numPr>
          <w:ilvl w:val="1"/>
          <w:numId w:val="7"/>
        </w:numPr>
        <w:tabs>
          <w:tab w:val="left" w:pos="7095"/>
        </w:tabs>
        <w:spacing w:line="360" w:lineRule="auto"/>
        <w:contextualSpacing/>
        <w:rPr>
          <w:rFonts w:ascii="Calibri" w:hAnsi="宋体" w:eastAsia="宋体" w:cs="Times New Roman"/>
        </w:rPr>
      </w:pPr>
      <w:r>
        <w:rPr>
          <w:rFonts w:hint="eastAsia" w:ascii="Calibri" w:hAnsi="宋体" w:eastAsia="宋体" w:cs="Times New Roman"/>
        </w:rPr>
        <w:t>全流程电子化交易（不见面开标）项目，</w:t>
      </w:r>
      <w:r>
        <w:rPr>
          <w:rFonts w:hint="eastAsia" w:ascii="宋体" w:hAnsi="宋体" w:eastAsia="宋体" w:cs="Times New Roman"/>
          <w:szCs w:val="21"/>
        </w:rPr>
        <w:t>谈判小组</w:t>
      </w:r>
      <w:r>
        <w:rPr>
          <w:rFonts w:hint="eastAsia" w:ascii="Calibri" w:hAnsi="宋体" w:eastAsia="宋体" w:cs="Times New Roman"/>
        </w:rPr>
        <w:t>以成功上传、解密的电子响应文件为依据评审。</w:t>
      </w:r>
    </w:p>
    <w:p>
      <w:pPr>
        <w:numPr>
          <w:ilvl w:val="0"/>
          <w:numId w:val="16"/>
        </w:numPr>
        <w:tabs>
          <w:tab w:val="left" w:pos="7095"/>
        </w:tabs>
        <w:spacing w:line="360" w:lineRule="auto"/>
        <w:contextualSpacing/>
        <w:rPr>
          <w:rFonts w:ascii="Calibri" w:hAnsi="宋体" w:eastAsia="宋体" w:cs="Times New Roman"/>
        </w:rPr>
      </w:pPr>
      <w:r>
        <w:rPr>
          <w:rFonts w:hint="eastAsia" w:asciiTheme="minorEastAsia" w:hAnsiTheme="minorEastAsia"/>
          <w:szCs w:val="21"/>
        </w:rPr>
        <w:t>评审期间，供应商（参加谈判的法定代表人或其授权代表）应保持通讯手机畅通，并根据谈判小组要求在规定时间内提供：</w:t>
      </w:r>
    </w:p>
    <w:p>
      <w:pPr>
        <w:tabs>
          <w:tab w:val="left" w:pos="7095"/>
        </w:tabs>
        <w:spacing w:line="360" w:lineRule="auto"/>
        <w:ind w:firstLine="709"/>
        <w:contextualSpacing/>
        <w:rPr>
          <w:rFonts w:asciiTheme="minorEastAsia" w:hAnsiTheme="minorEastAsia"/>
          <w:szCs w:val="21"/>
        </w:rPr>
      </w:pPr>
      <w:r>
        <w:rPr>
          <w:rFonts w:hint="eastAsia" w:asciiTheme="minorEastAsia" w:hAnsiTheme="minorEastAsia"/>
          <w:szCs w:val="21"/>
        </w:rPr>
        <w:t>（1）最后报价（加盖公章，或者由法定代表人或其授权的代表签字）；</w:t>
      </w:r>
    </w:p>
    <w:p>
      <w:pPr>
        <w:autoSpaceDE w:val="0"/>
        <w:autoSpaceDN w:val="0"/>
        <w:spacing w:line="360" w:lineRule="auto"/>
        <w:ind w:left="1275" w:leftChars="607"/>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szCs w:val="21"/>
        </w:rPr>
        <w:t>《全国公共资源交易平台（河南省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t>http://ggzy.xuchang.gov.cn:8088/ggzy/</w:t>
      </w:r>
      <w:r>
        <w:rPr>
          <w:rFonts w:hint="eastAsia" w:hAnsi="宋体"/>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left="1275" w:leftChars="607"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left="1275" w:leftChars="607" w:right="-11" w:firstLine="1"/>
        <w:contextualSpacing/>
        <w:rPr>
          <w:rFonts w:ascii="楷体" w:hAnsi="楷体" w:eastAsia="楷体"/>
          <w:sz w:val="24"/>
          <w:szCs w:val="24"/>
        </w:rPr>
      </w:pPr>
      <w:r>
        <w:rPr>
          <w:rFonts w:hint="eastAsia" w:ascii="楷体" w:hAnsi="楷体" w:eastAsia="楷体"/>
          <w:sz w:val="24"/>
          <w:szCs w:val="24"/>
        </w:rPr>
        <w:t>②谈判文件第二章“采购需求”中“采购清单”以工程量清单提供的，供应商应以工程量清单方式提交最后报价。</w:t>
      </w:r>
    </w:p>
    <w:p>
      <w:pPr>
        <w:tabs>
          <w:tab w:val="left" w:pos="7095"/>
        </w:tabs>
        <w:spacing w:line="360" w:lineRule="auto"/>
        <w:ind w:left="1275" w:leftChars="607" w:firstLine="1"/>
        <w:contextualSpacing/>
        <w:rPr>
          <w:rFonts w:asciiTheme="minorEastAsia" w:hAnsiTheme="minorEastAsia"/>
          <w:szCs w:val="21"/>
        </w:rPr>
      </w:pPr>
      <w:r>
        <w:rPr>
          <w:rFonts w:hint="eastAsia" w:ascii="楷体" w:hAnsi="楷体" w:eastAsia="楷体"/>
          <w:sz w:val="24"/>
          <w:szCs w:val="24"/>
        </w:rPr>
        <w:t>③请供应商根据项目情况，可提前准备分项报价。</w:t>
      </w:r>
    </w:p>
    <w:p>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hint="eastAsia" w:asciiTheme="minorEastAsia" w:hAnsiTheme="minorEastAsia"/>
          <w:szCs w:val="21"/>
        </w:rPr>
        <w:t>”的，供应商提供的书面材料应加盖公章，或者由法定代表人或其授权的代表签字后通过电子邮件形式提供。</w:t>
      </w:r>
    </w:p>
    <w:p>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pPr>
        <w:widowControl/>
        <w:jc w:val="center"/>
        <w:rPr>
          <w:rFonts w:cs="宋体" w:asciiTheme="majorEastAsia" w:hAnsiTheme="majorEastAsia" w:eastAsiaTheme="majorEastAsia"/>
          <w:b/>
          <w:kern w:val="0"/>
          <w:sz w:val="32"/>
          <w:szCs w:val="32"/>
        </w:rPr>
      </w:pPr>
    </w:p>
    <w:p>
      <w:pPr>
        <w:pStyle w:val="50"/>
        <w:widowControl/>
        <w:ind w:left="359" w:leftChars="171" w:firstLine="2554" w:firstLineChars="795"/>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shd w:val="clear" w:color="auto" w:fill="FFFFFF"/>
        <w:spacing w:line="580" w:lineRule="exact"/>
        <w:jc w:val="left"/>
        <w:rPr>
          <w:rFonts w:hint="eastAsia" w:asciiTheme="minorEastAsia" w:hAnsiTheme="minorEastAsia"/>
          <w:szCs w:val="21"/>
        </w:rPr>
      </w:pPr>
      <w:r>
        <w:rPr>
          <w:rFonts w:hint="eastAsia" w:ascii="宋体" w:hAnsi="宋体" w:eastAsia="宋体" w:cs="黑体"/>
          <w:b/>
          <w:bCs/>
          <w:sz w:val="24"/>
          <w:szCs w:val="24"/>
          <w:shd w:val="clear" w:color="auto" w:fill="FFFFFF"/>
        </w:rPr>
        <w:t>一、本项目需实现的功能或者目标：</w:t>
      </w:r>
      <w:r>
        <w:rPr>
          <w:rFonts w:hint="eastAsia" w:asciiTheme="minorEastAsia" w:hAnsiTheme="minorEastAsia"/>
          <w:szCs w:val="21"/>
        </w:rPr>
        <w:t>禹州市中等专业学校新能源汽车运用与维修实训中心建设项目，建设一所新能源汽车整车故障诊断技术实训中心。</w:t>
      </w:r>
    </w:p>
    <w:p>
      <w:pPr>
        <w:widowControl/>
        <w:shd w:val="clear" w:color="auto" w:fill="FFFFFF"/>
        <w:spacing w:line="580" w:lineRule="exact"/>
        <w:jc w:val="lef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二、采购清单：</w:t>
      </w:r>
    </w:p>
    <w:tbl>
      <w:tblPr>
        <w:tblStyle w:val="25"/>
        <w:tblW w:w="521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900"/>
        <w:gridCol w:w="5809"/>
        <w:gridCol w:w="600"/>
        <w:gridCol w:w="76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73" w:type="pct"/>
            <w:noWrap/>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序号</w:t>
            </w:r>
          </w:p>
        </w:tc>
        <w:tc>
          <w:tcPr>
            <w:tcW w:w="476" w:type="pct"/>
            <w:noWrap/>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名称</w:t>
            </w:r>
          </w:p>
        </w:tc>
        <w:tc>
          <w:tcPr>
            <w:tcW w:w="3074" w:type="pct"/>
            <w:noWrap/>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技术参数</w:t>
            </w:r>
          </w:p>
        </w:tc>
        <w:tc>
          <w:tcPr>
            <w:tcW w:w="317" w:type="pct"/>
            <w:noWrap/>
            <w:vAlign w:val="center"/>
          </w:tcPr>
          <w:p>
            <w:pPr>
              <w:widowControl/>
              <w:shd w:val="clear" w:color="auto" w:fill="FFFFFF"/>
              <w:spacing w:line="580" w:lineRule="exact"/>
              <w:jc w:val="left"/>
              <w:rPr>
                <w:rFonts w:hint="eastAsia" w:asciiTheme="minorEastAsia" w:hAnsiTheme="minorEastAsia"/>
                <w:szCs w:val="21"/>
                <w:lang w:val="en-US" w:eastAsia="zh-CN"/>
              </w:rPr>
            </w:pPr>
            <w:r>
              <w:rPr>
                <w:rFonts w:hint="eastAsia" w:asciiTheme="minorEastAsia" w:hAnsiTheme="minorEastAsia"/>
                <w:szCs w:val="21"/>
              </w:rPr>
              <w:t>单位</w:t>
            </w:r>
          </w:p>
        </w:tc>
        <w:tc>
          <w:tcPr>
            <w:tcW w:w="404" w:type="pct"/>
            <w:noWrap/>
            <w:vAlign w:val="center"/>
          </w:tcPr>
          <w:p>
            <w:pPr>
              <w:widowControl/>
              <w:shd w:val="clear" w:color="auto" w:fill="FFFFFF"/>
              <w:spacing w:line="580" w:lineRule="exact"/>
              <w:jc w:val="left"/>
              <w:rPr>
                <w:rFonts w:hint="eastAsia" w:asciiTheme="minorEastAsia" w:hAnsiTheme="minorEastAsia"/>
                <w:szCs w:val="21"/>
                <w:lang w:val="en-US" w:eastAsia="zh-CN"/>
              </w:rPr>
            </w:pPr>
            <w:r>
              <w:rPr>
                <w:rFonts w:hint="eastAsia" w:asciiTheme="minorEastAsia" w:hAnsiTheme="minorEastAsia"/>
                <w:szCs w:val="21"/>
              </w:rPr>
              <w:t>数量</w:t>
            </w:r>
          </w:p>
        </w:tc>
        <w:tc>
          <w:tcPr>
            <w:tcW w:w="452" w:type="pct"/>
            <w:noWrap/>
            <w:vAlign w:val="center"/>
          </w:tcPr>
          <w:p>
            <w:pPr>
              <w:widowControl/>
              <w:shd w:val="clear" w:color="auto" w:fill="FFFFFF"/>
              <w:spacing w:line="580" w:lineRule="exact"/>
              <w:jc w:val="left"/>
              <w:rPr>
                <w:rFonts w:hint="eastAsia" w:asciiTheme="minorEastAsia" w:hAnsiTheme="minorEastAsia"/>
                <w:szCs w:val="21"/>
                <w:lang w:val="en-US" w:eastAsia="zh-CN"/>
              </w:rPr>
            </w:pPr>
            <w:r>
              <w:rPr>
                <w:rFonts w:hint="eastAsia" w:asciiTheme="minorEastAsia" w:hAnsiTheme="minorEastAsia"/>
                <w:szCs w:val="21"/>
                <w:lang w:val="en-US" w:eastAsia="zh-CN"/>
              </w:rPr>
              <w:t>采购标的</w:t>
            </w:r>
            <w:r>
              <w:rPr>
                <w:rFonts w:hint="eastAsia" w:asciiTheme="minorEastAsia" w:hAnsiTheme="minorEastAsia"/>
                <w:szCs w:val="21"/>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73" w:type="pct"/>
            <w:noWrap/>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w:t>
            </w:r>
          </w:p>
        </w:tc>
        <w:tc>
          <w:tcPr>
            <w:tcW w:w="476" w:type="pct"/>
            <w:noWrap/>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整车检测实训平台</w:t>
            </w:r>
          </w:p>
        </w:tc>
        <w:tc>
          <w:tcPr>
            <w:tcW w:w="3074" w:type="pct"/>
            <w:noWrap/>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能源类型：汽油+48V轻混系统</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发动机： ≥2.0T237马力L4</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长*宽*高：≥5238*1878mm*1800mm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轴距： ≥3088mm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电动天窗、定速巡航、并线辅助、后排侧隐私玻璃</w:t>
            </w:r>
          </w:p>
        </w:tc>
        <w:tc>
          <w:tcPr>
            <w:tcW w:w="317" w:type="pct"/>
            <w:noWrap/>
            <w:vAlign w:val="center"/>
          </w:tcPr>
          <w:p>
            <w:pPr>
              <w:widowControl/>
              <w:shd w:val="clear" w:color="auto" w:fill="FFFFFF"/>
              <w:spacing w:line="580" w:lineRule="exact"/>
              <w:jc w:val="left"/>
              <w:rPr>
                <w:rFonts w:hint="eastAsia" w:asciiTheme="minorEastAsia" w:hAnsiTheme="minorEastAsia"/>
                <w:szCs w:val="21"/>
                <w:lang w:val="en-US" w:eastAsia="zh-CN"/>
              </w:rPr>
            </w:pPr>
            <w:r>
              <w:rPr>
                <w:rFonts w:hint="eastAsia" w:asciiTheme="minorEastAsia" w:hAnsiTheme="minorEastAsia"/>
                <w:szCs w:val="21"/>
              </w:rPr>
              <w:t>台</w:t>
            </w:r>
          </w:p>
        </w:tc>
        <w:tc>
          <w:tcPr>
            <w:tcW w:w="404" w:type="pct"/>
            <w:noWrap/>
            <w:vAlign w:val="center"/>
          </w:tcPr>
          <w:p>
            <w:pPr>
              <w:widowControl/>
              <w:shd w:val="clear" w:color="auto" w:fill="FFFFFF"/>
              <w:spacing w:line="580" w:lineRule="exact"/>
              <w:jc w:val="left"/>
              <w:rPr>
                <w:rFonts w:hint="eastAsia" w:asciiTheme="minorEastAsia" w:hAnsiTheme="minorEastAsia"/>
                <w:szCs w:val="21"/>
                <w:lang w:val="en-US" w:eastAsia="zh-CN"/>
              </w:rPr>
            </w:pPr>
            <w:r>
              <w:rPr>
                <w:rFonts w:hint="eastAsia" w:asciiTheme="minorEastAsia" w:hAnsiTheme="minorEastAsia"/>
                <w:szCs w:val="21"/>
              </w:rPr>
              <w:t>1</w:t>
            </w:r>
          </w:p>
        </w:tc>
        <w:tc>
          <w:tcPr>
            <w:tcW w:w="452" w:type="pct"/>
            <w:noWrap/>
            <w:vAlign w:val="center"/>
          </w:tcPr>
          <w:p>
            <w:pPr>
              <w:widowControl/>
              <w:shd w:val="clear" w:color="auto" w:fill="FFFFFF"/>
              <w:spacing w:line="580" w:lineRule="exact"/>
              <w:jc w:val="left"/>
              <w:rPr>
                <w:rFonts w:hint="eastAsia" w:asciiTheme="minorEastAsia" w:hAnsiTheme="minorEastAsia"/>
                <w:szCs w:val="21"/>
                <w:lang w:val="en-US" w:eastAsia="zh-CN"/>
              </w:rPr>
            </w:pPr>
            <w:r>
              <w:rPr>
                <w:rFonts w:hint="eastAsia" w:asciiTheme="minorEastAsia" w:hAnsiTheme="minorEastAsia"/>
                <w:szCs w:val="21"/>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8" w:hRule="atLeast"/>
        </w:trPr>
        <w:tc>
          <w:tcPr>
            <w:tcW w:w="273" w:type="pct"/>
            <w:noWrap/>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2</w:t>
            </w:r>
          </w:p>
        </w:tc>
        <w:tc>
          <w:tcPr>
            <w:tcW w:w="476" w:type="pct"/>
            <w:noWrap/>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电驱动总成装调与检修工作平台</w:t>
            </w:r>
          </w:p>
        </w:tc>
        <w:tc>
          <w:tcPr>
            <w:tcW w:w="3074" w:type="pct"/>
            <w:noWrap/>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功能要求</w:t>
            </w:r>
            <w:r>
              <w:rPr>
                <w:rFonts w:hint="eastAsia" w:asciiTheme="minorEastAsia" w:hAnsiTheme="minorEastAsia"/>
                <w:szCs w:val="21"/>
              </w:rPr>
              <w:br w:type="textWrapping"/>
            </w:r>
            <w:r>
              <w:rPr>
                <w:rFonts w:hint="eastAsia" w:asciiTheme="minorEastAsia" w:hAnsiTheme="minorEastAsia"/>
                <w:szCs w:val="21"/>
              </w:rPr>
              <w:t>1）主要由电驱动总成装调与检修工作平台金属台体、驱动电机、驱动电机合装机、减速器、减速器翻转机构、永磁同步电机控制器、高配电脑主机及显示器、故障盒、减速器壳体工装、减速器齿轮组工装、高精度测量平台、故障设置、直流电源、桌面开关、驱动电机控制器上位机系统（软件）等组成。围绕新能源车用电机及控制系统定向开发，配套电机控制器及动力电源箱。在实现动力总成拆装实训的同时又可实现车用永磁同步电机运行状态演示及常规信号检测。具有新能源汽车动力总成拆装检测、维修考核的功能。</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电机装调区应由电机合装机、驱动电机、电机控制器、减速器、减速器翻转机构、手摇轮等部件组成，可用于驱动电机总成拆装、检修、调试作业，减速器装调、检修、测量作业。驱动电机应选用新能源汽车原车驱动电机，应主要包含转子总成、定子总成、三相转接板、三相接线柱、后端盖、温度传感器、旋变传感器等，配和合装机能够满足用户对驱动电机的拆装调试需求。驱动电机合装机应包含长顶针、短顶针、定子固定板、丝杠螺母机构、锁止滑块、手摇轮合装机底座等部件。合装机控制方式应采用手摇控制，通过配置的手摇轮控制电机拆装过程中的部件移动，以达到合理合装分离电机定子总成与转子总成的目的，同时在拆装过程中应满足转子磁感应强度、三相绕组冷态直流电阻、三相绕组对温度传感器绝缘电阻等数据的测量。</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3）故障盒应由盒体机加工铝制组件、支撑杆、磁吸、机械锁、橡胶脚垫、合页、UV转印铝制测量面板、测量电路板、测量电路板护板、故障设置面板、故障设置板内衬、故障设置电路板、故障设置电路板垫板、点火开关、档位开关、制动开关、加速开关等部件组成。测量面板应采用印制铝氧化，同时外覆绝缘膜处理，在保证绝缘的基础上同时保护印制电路图，防止划伤、刮增。通过测量面板电路原理图也可进行故障诊断及数据测量，测量电路板应焊有2mm测量端子（带绝缘套），可与万用表表笔配套测量。</w:t>
            </w:r>
            <w:r>
              <w:rPr>
                <w:rFonts w:hint="eastAsia" w:asciiTheme="minorEastAsia" w:hAnsiTheme="minorEastAsia"/>
                <w:szCs w:val="21"/>
              </w:rPr>
              <w:br w:type="textWrapping"/>
            </w:r>
            <w:r>
              <w:rPr>
                <w:rFonts w:hint="eastAsia" w:asciiTheme="minorEastAsia" w:hAnsiTheme="minorEastAsia"/>
                <w:szCs w:val="21"/>
              </w:rPr>
              <w:t>故障设置板及数据测量板应采用一体化电路板设计，并采用机械贴片焊接，设备采用电弧灭弧保护电路与多重安全保护，内置一体化4层PCBA无铅环保电路整体封装。故障设置板设计最大路数不少于80路，并设有口字型故障设置区域及12V正负极电源线路接口，可通过故障设置模块与故障设置线束以及短路插件、断路插件设置断路、短路、虚接、交叉故障。故障盒配套故障设置模块，种类规格应不少于短接模块、60Ω电阻、100Ω电阻、500Ω电阻、1K电位计、5K电位计、10K电位计；同时应搭配故障设置线束，红色，黑色各不少于3根，以及短路插件不少于20个和断路插件不少于5个，用以设置驱动系统线路故障，故障类型包含断路、短路、虚接、交叉故障。</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2、技术参数：</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1）电驱动总成装调与检修工作平台金属台体（单位：毫米）</w:t>
            </w:r>
            <w:r>
              <w:rPr>
                <w:rFonts w:hint="eastAsia" w:asciiTheme="minorEastAsia" w:hAnsiTheme="minorEastAsia"/>
                <w:szCs w:val="21"/>
              </w:rPr>
              <w:br w:type="textWrapping"/>
            </w:r>
            <w:r>
              <w:rPr>
                <w:rFonts w:hint="eastAsia" w:asciiTheme="minorEastAsia" w:hAnsiTheme="minorEastAsia"/>
                <w:szCs w:val="21"/>
              </w:rPr>
              <w:t>设备整体设计尺寸：≥1650*820*1600mm   （长*宽*高）</w:t>
            </w:r>
            <w:r>
              <w:rPr>
                <w:rFonts w:hint="eastAsia" w:asciiTheme="minorEastAsia" w:hAnsiTheme="minorEastAsia"/>
                <w:szCs w:val="21"/>
              </w:rPr>
              <w:br w:type="textWrapping"/>
            </w:r>
            <w:bookmarkStart w:id="0" w:name="_Hlk140527149"/>
            <w:r>
              <w:rPr>
                <w:rFonts w:hint="eastAsia" w:asciiTheme="minorEastAsia" w:hAnsiTheme="minorEastAsia"/>
                <w:szCs w:val="21"/>
              </w:rPr>
              <w:t>2）永磁同步电机</w:t>
            </w:r>
            <w:bookmarkEnd w:id="0"/>
            <w:r>
              <w:rPr>
                <w:rFonts w:hint="eastAsia" w:asciiTheme="minorEastAsia" w:hAnsiTheme="minorEastAsia"/>
                <w:szCs w:val="21"/>
              </w:rPr>
              <w:br w:type="textWrapping"/>
            </w:r>
            <w:r>
              <w:rPr>
                <w:rFonts w:hint="eastAsia" w:asciiTheme="minorEastAsia" w:hAnsiTheme="minorEastAsia"/>
                <w:szCs w:val="21"/>
              </w:rPr>
              <w:t>整体尺寸：≥400*370*320mm  （长*宽*高）</w:t>
            </w:r>
            <w:r>
              <w:rPr>
                <w:rFonts w:hint="eastAsia" w:asciiTheme="minorEastAsia" w:hAnsiTheme="minorEastAsia"/>
                <w:szCs w:val="21"/>
              </w:rPr>
              <w:br w:type="textWrapping"/>
            </w:r>
            <w:r>
              <w:rPr>
                <w:rFonts w:hint="eastAsia" w:asciiTheme="minorEastAsia" w:hAnsiTheme="minorEastAsia"/>
                <w:szCs w:val="21"/>
              </w:rPr>
              <w:t>驱动电压：≤80V DC</w:t>
            </w:r>
            <w:r>
              <w:rPr>
                <w:rFonts w:hint="eastAsia" w:asciiTheme="minorEastAsia" w:hAnsiTheme="minorEastAsia"/>
                <w:szCs w:val="21"/>
              </w:rPr>
              <w:br w:type="textWrapping"/>
            </w:r>
            <w:bookmarkStart w:id="1" w:name="_Hlk140527170"/>
            <w:r>
              <w:rPr>
                <w:rFonts w:hint="eastAsia" w:asciiTheme="minorEastAsia" w:hAnsiTheme="minorEastAsia"/>
                <w:szCs w:val="21"/>
              </w:rPr>
              <w:t>额定功率：≥80KW</w:t>
            </w:r>
            <w:r>
              <w:rPr>
                <w:rFonts w:hint="eastAsia" w:asciiTheme="minorEastAsia" w:hAnsiTheme="minorEastAsia"/>
                <w:szCs w:val="21"/>
              </w:rPr>
              <w:br w:type="textWrapping"/>
            </w:r>
            <w:bookmarkStart w:id="2" w:name="_Hlk140527270"/>
            <w:r>
              <w:rPr>
                <w:rFonts w:hint="eastAsia" w:asciiTheme="minorEastAsia" w:hAnsiTheme="minorEastAsia"/>
                <w:szCs w:val="21"/>
              </w:rPr>
              <w:t>额定转速：≥5100r/min</w:t>
            </w:r>
            <w:bookmarkEnd w:id="2"/>
            <w:r>
              <w:rPr>
                <w:rFonts w:hint="eastAsia" w:asciiTheme="minorEastAsia" w:hAnsiTheme="minorEastAsia"/>
                <w:szCs w:val="21"/>
              </w:rPr>
              <w:br w:type="textWrapping"/>
            </w:r>
            <w:r>
              <w:rPr>
                <w:rFonts w:hint="eastAsia" w:asciiTheme="minorEastAsia" w:hAnsiTheme="minorEastAsia"/>
                <w:szCs w:val="21"/>
              </w:rPr>
              <w:t>最大输出扭矩：≥300N.m</w:t>
            </w:r>
            <w:bookmarkEnd w:id="1"/>
            <w:r>
              <w:rPr>
                <w:rFonts w:hint="eastAsia" w:asciiTheme="minorEastAsia" w:hAnsiTheme="minorEastAsia"/>
                <w:szCs w:val="21"/>
              </w:rPr>
              <w:br w:type="textWrapping"/>
            </w:r>
            <w:r>
              <w:rPr>
                <w:rFonts w:hint="eastAsia" w:asciiTheme="minorEastAsia" w:hAnsiTheme="minorEastAsia"/>
                <w:szCs w:val="21"/>
              </w:rPr>
              <w:t>极对数：≥4</w:t>
            </w:r>
            <w:r>
              <w:rPr>
                <w:rFonts w:hint="eastAsia" w:asciiTheme="minorEastAsia" w:hAnsiTheme="minorEastAsia"/>
                <w:szCs w:val="21"/>
              </w:rPr>
              <w:br w:type="textWrapping"/>
            </w:r>
            <w:r>
              <w:rPr>
                <w:rFonts w:hint="eastAsia" w:asciiTheme="minorEastAsia" w:hAnsiTheme="minorEastAsia"/>
                <w:szCs w:val="21"/>
              </w:rPr>
              <w:t>绝缘等级：H</w:t>
            </w:r>
            <w:r>
              <w:rPr>
                <w:rFonts w:hint="eastAsia" w:asciiTheme="minorEastAsia" w:hAnsiTheme="minorEastAsia"/>
                <w:szCs w:val="21"/>
              </w:rPr>
              <w:br w:type="textWrapping"/>
            </w:r>
            <w:bookmarkStart w:id="3" w:name="_Hlk140527247"/>
            <w:r>
              <w:rPr>
                <w:rFonts w:hint="eastAsia" w:asciiTheme="minorEastAsia" w:hAnsiTheme="minorEastAsia"/>
                <w:szCs w:val="21"/>
              </w:rPr>
              <w:t>冷却方式：液冷</w:t>
            </w:r>
            <w:bookmarkEnd w:id="3"/>
            <w:r>
              <w:rPr>
                <w:rFonts w:hint="eastAsia" w:asciiTheme="minorEastAsia" w:hAnsiTheme="minorEastAsia"/>
                <w:szCs w:val="21"/>
              </w:rPr>
              <w:br w:type="textWrapping"/>
            </w:r>
            <w:r>
              <w:rPr>
                <w:rFonts w:hint="eastAsia" w:asciiTheme="minorEastAsia" w:hAnsiTheme="minorEastAsia"/>
                <w:szCs w:val="21"/>
              </w:rPr>
              <w:t>重量：≥50Kg</w:t>
            </w:r>
            <w:r>
              <w:rPr>
                <w:rFonts w:hint="eastAsia" w:asciiTheme="minorEastAsia" w:hAnsiTheme="minorEastAsia"/>
                <w:szCs w:val="21"/>
              </w:rPr>
              <w:br w:type="textWrapping"/>
            </w:r>
            <w:r>
              <w:rPr>
                <w:rFonts w:hint="eastAsia" w:asciiTheme="minorEastAsia" w:hAnsiTheme="minorEastAsia"/>
                <w:szCs w:val="21"/>
              </w:rPr>
              <w:t>3）驱动电机合装机</w:t>
            </w:r>
            <w:r>
              <w:rPr>
                <w:rFonts w:hint="eastAsia" w:asciiTheme="minorEastAsia" w:hAnsiTheme="minorEastAsia"/>
                <w:szCs w:val="21"/>
              </w:rPr>
              <w:br w:type="textWrapping"/>
            </w:r>
            <w:r>
              <w:rPr>
                <w:rFonts w:hint="eastAsia" w:asciiTheme="minorEastAsia" w:hAnsiTheme="minorEastAsia"/>
                <w:szCs w:val="21"/>
              </w:rPr>
              <w:t>整体尺寸：≥1050*340*325mm  （长*宽*高）</w:t>
            </w:r>
            <w:r>
              <w:rPr>
                <w:rFonts w:hint="eastAsia" w:asciiTheme="minorEastAsia" w:hAnsiTheme="minorEastAsia"/>
                <w:szCs w:val="21"/>
              </w:rPr>
              <w:br w:type="textWrapping"/>
            </w:r>
            <w:r>
              <w:rPr>
                <w:rFonts w:hint="eastAsia" w:asciiTheme="minorEastAsia" w:hAnsiTheme="minorEastAsia"/>
                <w:szCs w:val="21"/>
              </w:rPr>
              <w:t>丝杠螺母机构：≥2路</w:t>
            </w:r>
            <w:r>
              <w:rPr>
                <w:rFonts w:hint="eastAsia" w:asciiTheme="minorEastAsia" w:hAnsiTheme="minorEastAsia"/>
                <w:szCs w:val="21"/>
              </w:rPr>
              <w:br w:type="textWrapping"/>
            </w:r>
            <w:r>
              <w:rPr>
                <w:rFonts w:hint="eastAsia" w:asciiTheme="minorEastAsia" w:hAnsiTheme="minorEastAsia"/>
                <w:szCs w:val="21"/>
              </w:rPr>
              <w:t>丝杠有效行程：≥800mm</w:t>
            </w:r>
            <w:r>
              <w:rPr>
                <w:rFonts w:hint="eastAsia" w:asciiTheme="minorEastAsia" w:hAnsiTheme="minorEastAsia"/>
                <w:szCs w:val="21"/>
              </w:rPr>
              <w:br w:type="textWrapping"/>
            </w:r>
            <w:r>
              <w:rPr>
                <w:rFonts w:hint="eastAsia" w:asciiTheme="minorEastAsia" w:hAnsiTheme="minorEastAsia"/>
                <w:szCs w:val="21"/>
              </w:rPr>
              <w:t>顶针中心高度：≤285mm</w:t>
            </w:r>
            <w:r>
              <w:rPr>
                <w:rFonts w:hint="eastAsia" w:asciiTheme="minorEastAsia" w:hAnsiTheme="minorEastAsia"/>
                <w:szCs w:val="21"/>
              </w:rPr>
              <w:br w:type="textWrapping"/>
            </w:r>
            <w:r>
              <w:rPr>
                <w:rFonts w:hint="eastAsia" w:asciiTheme="minorEastAsia" w:hAnsiTheme="minorEastAsia"/>
                <w:szCs w:val="21"/>
              </w:rPr>
              <w:t>手摇轮：≥2个</w:t>
            </w:r>
            <w:r>
              <w:rPr>
                <w:rFonts w:hint="eastAsia" w:asciiTheme="minorEastAsia" w:hAnsiTheme="minorEastAsia"/>
                <w:szCs w:val="21"/>
              </w:rPr>
              <w:br w:type="textWrapping"/>
            </w:r>
            <w:r>
              <w:rPr>
                <w:rFonts w:hint="eastAsia" w:asciiTheme="minorEastAsia" w:hAnsiTheme="minorEastAsia"/>
                <w:szCs w:val="21"/>
              </w:rPr>
              <w:t>4）减速器</w:t>
            </w:r>
            <w:r>
              <w:rPr>
                <w:rFonts w:hint="eastAsia" w:asciiTheme="minorEastAsia" w:hAnsiTheme="minorEastAsia"/>
                <w:szCs w:val="21"/>
              </w:rPr>
              <w:br w:type="textWrapping"/>
            </w:r>
            <w:r>
              <w:rPr>
                <w:rFonts w:hint="eastAsia" w:asciiTheme="minorEastAsia" w:hAnsiTheme="minorEastAsia"/>
                <w:szCs w:val="21"/>
              </w:rPr>
              <w:t>整体尺寸：≥470*320*210mm  （长*宽*高）</w:t>
            </w:r>
            <w:r>
              <w:rPr>
                <w:rFonts w:hint="eastAsia" w:asciiTheme="minorEastAsia" w:hAnsiTheme="minorEastAsia"/>
                <w:szCs w:val="21"/>
              </w:rPr>
              <w:br w:type="textWrapping"/>
            </w:r>
            <w:r>
              <w:rPr>
                <w:rFonts w:hint="eastAsia" w:asciiTheme="minorEastAsia" w:hAnsiTheme="minorEastAsia"/>
                <w:szCs w:val="21"/>
              </w:rPr>
              <w:t>类型：固定齿比变速器</w:t>
            </w:r>
            <w:r>
              <w:rPr>
                <w:rFonts w:hint="eastAsia" w:asciiTheme="minorEastAsia" w:hAnsiTheme="minorEastAsia"/>
                <w:szCs w:val="21"/>
              </w:rPr>
              <w:br w:type="textWrapping"/>
            </w:r>
            <w:r>
              <w:rPr>
                <w:rFonts w:hint="eastAsia" w:asciiTheme="minorEastAsia" w:hAnsiTheme="minorEastAsia"/>
                <w:szCs w:val="21"/>
              </w:rPr>
              <w:t>5）减速器翻转机构</w:t>
            </w:r>
            <w:r>
              <w:rPr>
                <w:rFonts w:hint="eastAsia" w:asciiTheme="minorEastAsia" w:hAnsiTheme="minorEastAsia"/>
                <w:szCs w:val="21"/>
              </w:rPr>
              <w:br w:type="textWrapping"/>
            </w:r>
            <w:r>
              <w:rPr>
                <w:rFonts w:hint="eastAsia" w:asciiTheme="minorEastAsia" w:hAnsiTheme="minorEastAsia"/>
                <w:szCs w:val="21"/>
              </w:rPr>
              <w:t>整体尺寸：≥575*75*250mm  （长*宽*高）</w:t>
            </w:r>
            <w:r>
              <w:rPr>
                <w:rFonts w:hint="eastAsia" w:asciiTheme="minorEastAsia" w:hAnsiTheme="minorEastAsia"/>
                <w:szCs w:val="21"/>
              </w:rPr>
              <w:br w:type="textWrapping"/>
            </w:r>
            <w:r>
              <w:rPr>
                <w:rFonts w:hint="eastAsia" w:asciiTheme="minorEastAsia" w:hAnsiTheme="minorEastAsia"/>
                <w:szCs w:val="21"/>
              </w:rPr>
              <w:t>翻转角度：≥270°</w:t>
            </w:r>
            <w:r>
              <w:rPr>
                <w:rFonts w:hint="eastAsia" w:asciiTheme="minorEastAsia" w:hAnsiTheme="minorEastAsia"/>
                <w:szCs w:val="21"/>
              </w:rPr>
              <w:br w:type="textWrapping"/>
            </w:r>
            <w:r>
              <w:rPr>
                <w:rFonts w:hint="eastAsia" w:asciiTheme="minorEastAsia" w:hAnsiTheme="minorEastAsia"/>
                <w:szCs w:val="21"/>
              </w:rPr>
              <w:t>配套减速机</w:t>
            </w:r>
            <w:r>
              <w:rPr>
                <w:rFonts w:hint="eastAsia" w:asciiTheme="minorEastAsia" w:hAnsiTheme="minorEastAsia"/>
                <w:szCs w:val="21"/>
              </w:rPr>
              <w:br w:type="textWrapping"/>
            </w:r>
            <w:r>
              <w:rPr>
                <w:rFonts w:hint="eastAsia" w:asciiTheme="minorEastAsia" w:hAnsiTheme="minorEastAsia"/>
                <w:szCs w:val="21"/>
              </w:rPr>
              <w:t>减速比：≥40</w:t>
            </w:r>
            <w:r>
              <w:rPr>
                <w:rFonts w:hint="eastAsia" w:asciiTheme="minorEastAsia" w:hAnsiTheme="minorEastAsia"/>
                <w:szCs w:val="21"/>
              </w:rPr>
              <w:br w:type="textWrapping"/>
            </w:r>
            <w:r>
              <w:rPr>
                <w:rFonts w:hint="eastAsia" w:asciiTheme="minorEastAsia" w:hAnsiTheme="minorEastAsia"/>
                <w:szCs w:val="21"/>
              </w:rPr>
              <w:t>输入轴：≥10mm</w:t>
            </w:r>
            <w:r>
              <w:rPr>
                <w:rFonts w:hint="eastAsia" w:asciiTheme="minorEastAsia" w:hAnsiTheme="minorEastAsia"/>
                <w:szCs w:val="21"/>
              </w:rPr>
              <w:br w:type="textWrapping"/>
            </w:r>
            <w:r>
              <w:rPr>
                <w:rFonts w:hint="eastAsia" w:asciiTheme="minorEastAsia" w:hAnsiTheme="minorEastAsia"/>
                <w:szCs w:val="21"/>
              </w:rPr>
              <w:t>输出孔：≥14mm</w:t>
            </w:r>
            <w:r>
              <w:rPr>
                <w:rFonts w:hint="eastAsia" w:asciiTheme="minorEastAsia" w:hAnsiTheme="minorEastAsia"/>
                <w:szCs w:val="21"/>
              </w:rPr>
              <w:br w:type="textWrapping"/>
            </w:r>
            <w:r>
              <w:rPr>
                <w:rFonts w:hint="eastAsia" w:asciiTheme="minorEastAsia" w:hAnsiTheme="minorEastAsia"/>
                <w:szCs w:val="21"/>
              </w:rPr>
              <w:t>手摇轮外径：≥100mm</w:t>
            </w:r>
            <w:r>
              <w:rPr>
                <w:rFonts w:hint="eastAsia" w:asciiTheme="minorEastAsia" w:hAnsiTheme="minorEastAsia"/>
                <w:szCs w:val="21"/>
              </w:rPr>
              <w:br w:type="textWrapping"/>
            </w:r>
            <w:r>
              <w:rPr>
                <w:rFonts w:hint="eastAsia" w:asciiTheme="minorEastAsia" w:hAnsiTheme="minorEastAsia"/>
                <w:szCs w:val="21"/>
              </w:rPr>
              <w:t>6）</w:t>
            </w:r>
            <w:bookmarkStart w:id="4" w:name="_Hlk140527478"/>
            <w:r>
              <w:rPr>
                <w:rFonts w:hint="eastAsia" w:asciiTheme="minorEastAsia" w:hAnsiTheme="minorEastAsia"/>
                <w:szCs w:val="21"/>
              </w:rPr>
              <w:t>永磁同步电机驱动器</w:t>
            </w:r>
            <w:r>
              <w:rPr>
                <w:rFonts w:hint="eastAsia" w:asciiTheme="minorEastAsia" w:hAnsiTheme="minorEastAsia"/>
                <w:szCs w:val="21"/>
              </w:rPr>
              <w:br w:type="textWrapping"/>
            </w:r>
            <w:r>
              <w:rPr>
                <w:rFonts w:hint="eastAsia" w:asciiTheme="minorEastAsia" w:hAnsiTheme="minorEastAsia"/>
                <w:szCs w:val="21"/>
              </w:rPr>
              <w:t>整体尺寸：≥255*240*130mm  （长*宽*高）</w:t>
            </w:r>
            <w:r>
              <w:rPr>
                <w:rFonts w:hint="eastAsia" w:asciiTheme="minorEastAsia" w:hAnsiTheme="minorEastAsia"/>
                <w:szCs w:val="21"/>
              </w:rPr>
              <w:br w:type="textWrapping"/>
            </w:r>
            <w:r>
              <w:rPr>
                <w:rFonts w:hint="eastAsia" w:asciiTheme="minorEastAsia" w:hAnsiTheme="minorEastAsia"/>
                <w:szCs w:val="21"/>
              </w:rPr>
              <w:t>额定电压：80—360V DC</w:t>
            </w:r>
            <w:r>
              <w:rPr>
                <w:rFonts w:hint="eastAsia" w:asciiTheme="minorEastAsia" w:hAnsiTheme="minorEastAsia"/>
                <w:szCs w:val="21"/>
              </w:rPr>
              <w:br w:type="textWrapping"/>
            </w:r>
            <w:r>
              <w:rPr>
                <w:rFonts w:hint="eastAsia" w:asciiTheme="minorEastAsia" w:hAnsiTheme="minorEastAsia"/>
                <w:szCs w:val="21"/>
              </w:rPr>
              <w:t>额定电流：≥53A</w:t>
            </w:r>
            <w:r>
              <w:rPr>
                <w:rFonts w:hint="eastAsia" w:asciiTheme="minorEastAsia" w:hAnsiTheme="minorEastAsia"/>
                <w:szCs w:val="21"/>
              </w:rPr>
              <w:br w:type="textWrapping"/>
            </w:r>
            <w:r>
              <w:rPr>
                <w:rFonts w:hint="eastAsia" w:asciiTheme="minorEastAsia" w:hAnsiTheme="minorEastAsia"/>
                <w:szCs w:val="21"/>
              </w:rPr>
              <w:t>控制电压：10.5—30V DC</w:t>
            </w:r>
            <w:r>
              <w:rPr>
                <w:rFonts w:hint="eastAsia" w:asciiTheme="minorEastAsia" w:hAnsiTheme="minorEastAsia"/>
                <w:szCs w:val="21"/>
              </w:rPr>
              <w:br w:type="textWrapping"/>
            </w:r>
            <w:r>
              <w:rPr>
                <w:rFonts w:hint="eastAsia" w:asciiTheme="minorEastAsia" w:hAnsiTheme="minorEastAsia"/>
                <w:szCs w:val="21"/>
              </w:rPr>
              <w:t>额定功率：≤12KW</w:t>
            </w:r>
            <w:r>
              <w:rPr>
                <w:rFonts w:hint="eastAsia" w:asciiTheme="minorEastAsia" w:hAnsiTheme="minorEastAsia"/>
                <w:szCs w:val="21"/>
              </w:rPr>
              <w:br w:type="textWrapping"/>
            </w:r>
            <w:r>
              <w:rPr>
                <w:rFonts w:hint="eastAsia" w:asciiTheme="minorEastAsia" w:hAnsiTheme="minorEastAsia"/>
                <w:szCs w:val="21"/>
              </w:rPr>
              <w:t>通讯方式：CAN</w:t>
            </w:r>
            <w:bookmarkEnd w:id="4"/>
            <w:r>
              <w:rPr>
                <w:rFonts w:hint="eastAsia" w:asciiTheme="minorEastAsia" w:hAnsiTheme="minorEastAsia"/>
                <w:szCs w:val="21"/>
              </w:rPr>
              <w:br w:type="textWrapping"/>
            </w:r>
            <w:r>
              <w:rPr>
                <w:rFonts w:hint="eastAsia" w:asciiTheme="minorEastAsia" w:hAnsiTheme="minorEastAsia"/>
                <w:szCs w:val="21"/>
              </w:rPr>
              <w:t>重量：≥5.4kg</w:t>
            </w:r>
            <w:r>
              <w:rPr>
                <w:rFonts w:hint="eastAsia" w:asciiTheme="minorEastAsia" w:hAnsiTheme="minorEastAsia"/>
                <w:szCs w:val="21"/>
              </w:rPr>
              <w:br w:type="textWrapping"/>
            </w:r>
            <w:r>
              <w:rPr>
                <w:rFonts w:hint="eastAsia" w:asciiTheme="minorEastAsia" w:hAnsiTheme="minorEastAsia"/>
                <w:szCs w:val="21"/>
              </w:rPr>
              <w:t>冷却方式：自然冷却</w:t>
            </w:r>
            <w:r>
              <w:rPr>
                <w:rFonts w:hint="eastAsia" w:asciiTheme="minorEastAsia" w:hAnsiTheme="minorEastAsia"/>
                <w:szCs w:val="21"/>
              </w:rPr>
              <w:br w:type="textWrapping"/>
            </w:r>
            <w:r>
              <w:rPr>
                <w:rFonts w:hint="eastAsia" w:asciiTheme="minorEastAsia" w:hAnsiTheme="minorEastAsia"/>
                <w:szCs w:val="21"/>
              </w:rPr>
              <w:t>最高效率（不含电机）：≥93%</w:t>
            </w:r>
            <w:r>
              <w:rPr>
                <w:rFonts w:hint="eastAsia" w:asciiTheme="minorEastAsia" w:hAnsiTheme="minorEastAsia"/>
                <w:szCs w:val="21"/>
              </w:rPr>
              <w:br w:type="textWrapping"/>
            </w:r>
            <w:r>
              <w:rPr>
                <w:rFonts w:hint="eastAsia" w:asciiTheme="minorEastAsia" w:hAnsiTheme="minorEastAsia"/>
                <w:szCs w:val="21"/>
              </w:rPr>
              <w:t>7）主机</w:t>
            </w:r>
            <w:r>
              <w:rPr>
                <w:rFonts w:hint="eastAsia" w:asciiTheme="minorEastAsia" w:hAnsiTheme="minorEastAsia"/>
                <w:szCs w:val="21"/>
              </w:rPr>
              <w:br w:type="textWrapping"/>
            </w:r>
            <w:r>
              <w:rPr>
                <w:rFonts w:hint="eastAsia" w:asciiTheme="minorEastAsia" w:hAnsiTheme="minorEastAsia"/>
                <w:szCs w:val="21"/>
              </w:rPr>
              <w:t>工作电压：220V AC</w:t>
            </w:r>
            <w:r>
              <w:rPr>
                <w:rFonts w:hint="eastAsia" w:asciiTheme="minorEastAsia" w:hAnsiTheme="minorEastAsia"/>
                <w:szCs w:val="21"/>
              </w:rPr>
              <w:br w:type="textWrapping"/>
            </w:r>
            <w:r>
              <w:rPr>
                <w:rFonts w:hint="eastAsia" w:asciiTheme="minorEastAsia" w:hAnsiTheme="minorEastAsia"/>
                <w:szCs w:val="21"/>
              </w:rPr>
              <w:t>系统：Windows</w:t>
            </w:r>
            <w:r>
              <w:rPr>
                <w:rFonts w:hint="eastAsia" w:asciiTheme="minorEastAsia" w:hAnsiTheme="minorEastAsia"/>
                <w:szCs w:val="21"/>
              </w:rPr>
              <w:br w:type="textWrapping"/>
            </w:r>
            <w:r>
              <w:rPr>
                <w:rFonts w:hint="eastAsia" w:asciiTheme="minorEastAsia" w:hAnsiTheme="minorEastAsia"/>
                <w:szCs w:val="21"/>
              </w:rPr>
              <w:t>显卡：RTX2060及以上</w:t>
            </w:r>
            <w:r>
              <w:rPr>
                <w:rFonts w:hint="eastAsia" w:asciiTheme="minorEastAsia" w:hAnsiTheme="minorEastAsia"/>
                <w:szCs w:val="21"/>
              </w:rPr>
              <w:br w:type="textWrapping"/>
            </w:r>
            <w:r>
              <w:rPr>
                <w:rFonts w:hint="eastAsia" w:asciiTheme="minorEastAsia" w:hAnsiTheme="minorEastAsia"/>
                <w:szCs w:val="21"/>
              </w:rPr>
              <w:t>内存：≥16G</w:t>
            </w:r>
            <w:r>
              <w:rPr>
                <w:rFonts w:hint="eastAsia" w:asciiTheme="minorEastAsia" w:hAnsiTheme="minorEastAsia"/>
                <w:szCs w:val="21"/>
              </w:rPr>
              <w:br w:type="textWrapping"/>
            </w:r>
            <w:r>
              <w:rPr>
                <w:rFonts w:hint="eastAsia" w:asciiTheme="minorEastAsia" w:hAnsiTheme="minorEastAsia"/>
                <w:szCs w:val="21"/>
              </w:rPr>
              <w:t>硬盘：≥256G</w:t>
            </w:r>
            <w:r>
              <w:rPr>
                <w:rFonts w:hint="eastAsia" w:asciiTheme="minorEastAsia" w:hAnsiTheme="minorEastAsia"/>
                <w:szCs w:val="21"/>
              </w:rPr>
              <w:br w:type="textWrapping"/>
            </w:r>
            <w:r>
              <w:rPr>
                <w:rFonts w:hint="eastAsia" w:asciiTheme="minorEastAsia" w:hAnsiTheme="minorEastAsia"/>
                <w:szCs w:val="21"/>
              </w:rPr>
              <w:t>处理器：≥i5 十代</w:t>
            </w:r>
            <w:r>
              <w:rPr>
                <w:rFonts w:hint="eastAsia" w:asciiTheme="minorEastAsia" w:hAnsiTheme="minorEastAsia"/>
                <w:szCs w:val="21"/>
              </w:rPr>
              <w:br w:type="textWrapping"/>
            </w:r>
            <w:r>
              <w:rPr>
                <w:rFonts w:hint="eastAsia" w:asciiTheme="minorEastAsia" w:hAnsiTheme="minorEastAsia"/>
                <w:szCs w:val="21"/>
              </w:rPr>
              <w:t>8）故障盒</w:t>
            </w:r>
            <w:r>
              <w:rPr>
                <w:rFonts w:hint="eastAsia" w:asciiTheme="minorEastAsia" w:hAnsiTheme="minorEastAsia"/>
                <w:szCs w:val="21"/>
              </w:rPr>
              <w:br w:type="textWrapping"/>
            </w:r>
            <w:r>
              <w:rPr>
                <w:rFonts w:hint="eastAsia" w:asciiTheme="minorEastAsia" w:hAnsiTheme="minorEastAsia"/>
                <w:szCs w:val="21"/>
              </w:rPr>
              <w:t>整体尺寸：≥560*355*110mm  （长*宽*高）</w:t>
            </w:r>
            <w:r>
              <w:rPr>
                <w:rFonts w:hint="eastAsia" w:asciiTheme="minorEastAsia" w:hAnsiTheme="minorEastAsia"/>
                <w:szCs w:val="21"/>
              </w:rPr>
              <w:br w:type="textWrapping"/>
            </w:r>
            <w:r>
              <w:rPr>
                <w:rFonts w:hint="eastAsia" w:asciiTheme="minorEastAsia" w:hAnsiTheme="minorEastAsia"/>
                <w:szCs w:val="21"/>
              </w:rPr>
              <w:t>可满足故障设计线路数：≥80路</w:t>
            </w:r>
            <w:r>
              <w:rPr>
                <w:rFonts w:hint="eastAsia" w:asciiTheme="minorEastAsia" w:hAnsiTheme="minorEastAsia"/>
                <w:szCs w:val="21"/>
              </w:rPr>
              <w:br w:type="textWrapping"/>
            </w:r>
            <w:r>
              <w:rPr>
                <w:rFonts w:hint="eastAsia" w:asciiTheme="minorEastAsia" w:hAnsiTheme="minorEastAsia"/>
                <w:szCs w:val="21"/>
              </w:rPr>
              <w:t>面板数据测量孔：≥40个</w:t>
            </w:r>
            <w:r>
              <w:rPr>
                <w:rFonts w:hint="eastAsia" w:asciiTheme="minorEastAsia" w:hAnsiTheme="minorEastAsia"/>
                <w:szCs w:val="21"/>
              </w:rPr>
              <w:br w:type="textWrapping"/>
            </w:r>
            <w:r>
              <w:rPr>
                <w:rFonts w:hint="eastAsia" w:asciiTheme="minorEastAsia" w:hAnsiTheme="minorEastAsia"/>
                <w:szCs w:val="21"/>
              </w:rPr>
              <w:t>点火开关：≥1个</w:t>
            </w:r>
            <w:r>
              <w:rPr>
                <w:rFonts w:hint="eastAsia" w:asciiTheme="minorEastAsia" w:hAnsiTheme="minorEastAsia"/>
                <w:szCs w:val="21"/>
              </w:rPr>
              <w:br w:type="textWrapping"/>
            </w:r>
            <w:r>
              <w:rPr>
                <w:rFonts w:hint="eastAsia" w:asciiTheme="minorEastAsia" w:hAnsiTheme="minorEastAsia"/>
                <w:szCs w:val="21"/>
              </w:rPr>
              <w:t>档位开关：≥1个</w:t>
            </w:r>
            <w:r>
              <w:rPr>
                <w:rFonts w:hint="eastAsia" w:asciiTheme="minorEastAsia" w:hAnsiTheme="minorEastAsia"/>
                <w:szCs w:val="21"/>
              </w:rPr>
              <w:br w:type="textWrapping"/>
            </w:r>
            <w:r>
              <w:rPr>
                <w:rFonts w:hint="eastAsia" w:asciiTheme="minorEastAsia" w:hAnsiTheme="minorEastAsia"/>
                <w:szCs w:val="21"/>
              </w:rPr>
              <w:t>制动开关：≥1个</w:t>
            </w:r>
            <w:r>
              <w:rPr>
                <w:rFonts w:hint="eastAsia" w:asciiTheme="minorEastAsia" w:hAnsiTheme="minorEastAsia"/>
                <w:szCs w:val="21"/>
              </w:rPr>
              <w:br w:type="textWrapping"/>
            </w:r>
            <w:r>
              <w:rPr>
                <w:rFonts w:hint="eastAsia" w:asciiTheme="minorEastAsia" w:hAnsiTheme="minorEastAsia"/>
                <w:szCs w:val="21"/>
              </w:rPr>
              <w:t>加速开关：≥1个</w:t>
            </w:r>
            <w:r>
              <w:rPr>
                <w:rFonts w:hint="eastAsia" w:asciiTheme="minorEastAsia" w:hAnsiTheme="minorEastAsia"/>
                <w:szCs w:val="21"/>
              </w:rPr>
              <w:br w:type="textWrapping"/>
            </w:r>
            <w:r>
              <w:rPr>
                <w:rFonts w:hint="eastAsia" w:asciiTheme="minorEastAsia" w:hAnsiTheme="minorEastAsia"/>
                <w:szCs w:val="21"/>
              </w:rPr>
              <w:t>9）高精度测量平台</w:t>
            </w:r>
            <w:r>
              <w:rPr>
                <w:rFonts w:hint="eastAsia" w:asciiTheme="minorEastAsia" w:hAnsiTheme="minorEastAsia"/>
                <w:szCs w:val="21"/>
              </w:rPr>
              <w:br w:type="textWrapping"/>
            </w:r>
            <w:r>
              <w:rPr>
                <w:rFonts w:hint="eastAsia" w:asciiTheme="minorEastAsia" w:hAnsiTheme="minorEastAsia"/>
                <w:szCs w:val="21"/>
              </w:rPr>
              <w:t>整体尺寸：≥530*145mm  （长*宽）</w:t>
            </w:r>
            <w:r>
              <w:rPr>
                <w:rFonts w:hint="eastAsia" w:asciiTheme="minorEastAsia" w:hAnsiTheme="minorEastAsia"/>
                <w:szCs w:val="21"/>
              </w:rPr>
              <w:br w:type="textWrapping"/>
            </w:r>
            <w:r>
              <w:rPr>
                <w:rFonts w:hint="eastAsia" w:asciiTheme="minorEastAsia" w:hAnsiTheme="minorEastAsia"/>
                <w:szCs w:val="21"/>
              </w:rPr>
              <w:t>精度等级：≥国标00级</w:t>
            </w:r>
            <w:r>
              <w:rPr>
                <w:rFonts w:hint="eastAsia" w:asciiTheme="minorEastAsia" w:hAnsiTheme="minorEastAsia"/>
                <w:szCs w:val="21"/>
              </w:rPr>
              <w:br w:type="textWrapping"/>
            </w:r>
            <w:r>
              <w:rPr>
                <w:rFonts w:hint="eastAsia" w:asciiTheme="minorEastAsia" w:hAnsiTheme="minorEastAsia"/>
                <w:szCs w:val="21"/>
              </w:rPr>
              <w:t>抗压强度：≥240—245N/M</w:t>
            </w:r>
            <w:r>
              <w:rPr>
                <w:rFonts w:hint="eastAsia" w:asciiTheme="minorEastAsia" w:hAnsiTheme="minorEastAsia"/>
                <w:szCs w:val="21"/>
              </w:rPr>
              <w:br w:type="textWrapping"/>
            </w:r>
            <w:r>
              <w:rPr>
                <w:rFonts w:hint="eastAsia" w:asciiTheme="minorEastAsia" w:hAnsiTheme="minorEastAsia"/>
                <w:szCs w:val="21"/>
              </w:rPr>
              <w:t>吸水率：＜0.13%</w:t>
            </w:r>
            <w:r>
              <w:rPr>
                <w:rFonts w:hint="eastAsia" w:asciiTheme="minorEastAsia" w:hAnsiTheme="minorEastAsia"/>
                <w:szCs w:val="21"/>
              </w:rPr>
              <w:br w:type="textWrapping"/>
            </w:r>
            <w:r>
              <w:rPr>
                <w:rFonts w:hint="eastAsia" w:asciiTheme="minorEastAsia" w:hAnsiTheme="minorEastAsia"/>
                <w:szCs w:val="21"/>
              </w:rPr>
              <w:t>肖氏硬度：＞HS70</w:t>
            </w:r>
            <w:r>
              <w:rPr>
                <w:rFonts w:hint="eastAsia" w:asciiTheme="minorEastAsia" w:hAnsiTheme="minorEastAsia"/>
                <w:szCs w:val="21"/>
              </w:rPr>
              <w:br w:type="textWrapping"/>
            </w:r>
            <w:r>
              <w:rPr>
                <w:rFonts w:hint="eastAsia" w:asciiTheme="minorEastAsia" w:hAnsiTheme="minorEastAsia"/>
                <w:szCs w:val="21"/>
              </w:rPr>
              <w:t>10）直流电源</w:t>
            </w:r>
            <w:r>
              <w:rPr>
                <w:rFonts w:hint="eastAsia" w:asciiTheme="minorEastAsia" w:hAnsiTheme="minorEastAsia"/>
                <w:szCs w:val="21"/>
              </w:rPr>
              <w:br w:type="textWrapping"/>
            </w:r>
            <w:r>
              <w:rPr>
                <w:rFonts w:hint="eastAsia" w:asciiTheme="minorEastAsia" w:hAnsiTheme="minorEastAsia"/>
                <w:szCs w:val="21"/>
              </w:rPr>
              <w:t>输入功率：≥2.2KW</w:t>
            </w:r>
            <w:r>
              <w:rPr>
                <w:rFonts w:hint="eastAsia" w:asciiTheme="minorEastAsia" w:hAnsiTheme="minorEastAsia"/>
                <w:szCs w:val="21"/>
              </w:rPr>
              <w:br w:type="textWrapping"/>
            </w:r>
            <w:r>
              <w:rPr>
                <w:rFonts w:hint="eastAsia" w:asciiTheme="minorEastAsia" w:hAnsiTheme="minorEastAsia"/>
                <w:szCs w:val="21"/>
              </w:rPr>
              <w:t>输入电压：220V AC</w:t>
            </w:r>
            <w:r>
              <w:rPr>
                <w:rFonts w:hint="eastAsia" w:asciiTheme="minorEastAsia" w:hAnsiTheme="minorEastAsia"/>
                <w:szCs w:val="21"/>
              </w:rPr>
              <w:br w:type="textWrapping"/>
            </w:r>
            <w:r>
              <w:rPr>
                <w:rFonts w:hint="eastAsia" w:asciiTheme="minorEastAsia" w:hAnsiTheme="minorEastAsia"/>
                <w:szCs w:val="21"/>
              </w:rPr>
              <w:t>输出电压：0-345V DC</w:t>
            </w:r>
            <w:r>
              <w:rPr>
                <w:rFonts w:hint="eastAsia" w:asciiTheme="minorEastAsia" w:hAnsiTheme="minorEastAsia"/>
                <w:szCs w:val="21"/>
              </w:rPr>
              <w:br w:type="textWrapping"/>
            </w:r>
            <w:r>
              <w:rPr>
                <w:rFonts w:hint="eastAsia" w:asciiTheme="minorEastAsia" w:hAnsiTheme="minorEastAsia"/>
                <w:szCs w:val="21"/>
              </w:rPr>
              <w:t>电压显示精度：0.1V</w:t>
            </w:r>
            <w:r>
              <w:rPr>
                <w:rFonts w:hint="eastAsia" w:asciiTheme="minorEastAsia" w:hAnsiTheme="minorEastAsia"/>
                <w:szCs w:val="21"/>
              </w:rPr>
              <w:br w:type="textWrapping"/>
            </w:r>
            <w:r>
              <w:rPr>
                <w:rFonts w:hint="eastAsia" w:asciiTheme="minorEastAsia" w:hAnsiTheme="minorEastAsia"/>
                <w:szCs w:val="21"/>
              </w:rPr>
              <w:t>电流显示精度：0.1A</w:t>
            </w:r>
          </w:p>
          <w:p>
            <w:pPr>
              <w:widowControl/>
              <w:shd w:val="clear" w:color="auto" w:fill="FFFFFF"/>
              <w:spacing w:line="580" w:lineRule="exact"/>
              <w:jc w:val="left"/>
              <w:rPr>
                <w:rFonts w:hint="eastAsia" w:asciiTheme="minorEastAsia" w:hAnsiTheme="minorEastAsia"/>
                <w:szCs w:val="21"/>
              </w:rPr>
            </w:pPr>
          </w:p>
        </w:tc>
        <w:tc>
          <w:tcPr>
            <w:tcW w:w="317" w:type="pct"/>
            <w:noWrap/>
            <w:vAlign w:val="center"/>
          </w:tcPr>
          <w:p>
            <w:pPr>
              <w:widowControl/>
              <w:shd w:val="clear" w:color="auto" w:fill="FFFFFF"/>
              <w:spacing w:line="580" w:lineRule="exact"/>
              <w:jc w:val="left"/>
              <w:rPr>
                <w:rFonts w:hint="eastAsia" w:asciiTheme="minorEastAsia" w:hAnsiTheme="minorEastAsia"/>
                <w:szCs w:val="21"/>
                <w:lang w:val="en-US" w:eastAsia="zh-CN"/>
              </w:rPr>
            </w:pPr>
            <w:r>
              <w:rPr>
                <w:rFonts w:hint="eastAsia" w:asciiTheme="minorEastAsia" w:hAnsiTheme="minorEastAsia"/>
                <w:szCs w:val="21"/>
              </w:rPr>
              <w:t>台</w:t>
            </w:r>
          </w:p>
        </w:tc>
        <w:tc>
          <w:tcPr>
            <w:tcW w:w="404" w:type="pct"/>
            <w:noWrap/>
            <w:vAlign w:val="center"/>
          </w:tcPr>
          <w:p>
            <w:pPr>
              <w:widowControl/>
              <w:shd w:val="clear" w:color="auto" w:fill="FFFFFF"/>
              <w:spacing w:line="580" w:lineRule="exact"/>
              <w:jc w:val="left"/>
              <w:rPr>
                <w:rFonts w:hint="eastAsia" w:asciiTheme="minorEastAsia" w:hAnsiTheme="minorEastAsia"/>
                <w:szCs w:val="21"/>
                <w:lang w:val="en-US" w:eastAsia="zh-CN"/>
              </w:rPr>
            </w:pPr>
            <w:r>
              <w:rPr>
                <w:rFonts w:hint="eastAsia" w:asciiTheme="minorEastAsia" w:hAnsiTheme="minorEastAsia"/>
                <w:szCs w:val="21"/>
              </w:rPr>
              <w:t>1</w:t>
            </w:r>
          </w:p>
        </w:tc>
        <w:tc>
          <w:tcPr>
            <w:tcW w:w="452" w:type="pct"/>
            <w:noWrap/>
            <w:vAlign w:val="center"/>
          </w:tcPr>
          <w:p>
            <w:pPr>
              <w:widowControl/>
              <w:shd w:val="clear" w:color="auto" w:fill="FFFFFF"/>
              <w:spacing w:line="580" w:lineRule="exact"/>
              <w:jc w:val="left"/>
              <w:rPr>
                <w:rFonts w:hint="eastAsia" w:asciiTheme="minorEastAsia" w:hAnsiTheme="minorEastAsia"/>
                <w:szCs w:val="21"/>
                <w:lang w:val="en-US" w:eastAsia="zh-CN"/>
              </w:rPr>
            </w:pPr>
            <w:r>
              <w:rPr>
                <w:rFonts w:hint="eastAsia" w:asciiTheme="minorEastAsia" w:hAnsiTheme="minorEastAsia"/>
                <w:szCs w:val="21"/>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73" w:type="pct"/>
            <w:noWrap/>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3</w:t>
            </w:r>
          </w:p>
        </w:tc>
        <w:tc>
          <w:tcPr>
            <w:tcW w:w="476" w:type="pct"/>
            <w:noWrap/>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新能源实训整车</w:t>
            </w:r>
          </w:p>
        </w:tc>
        <w:tc>
          <w:tcPr>
            <w:tcW w:w="3074" w:type="pct"/>
            <w:noWrap/>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一、产品要求</w:t>
            </w:r>
            <w:r>
              <w:rPr>
                <w:rFonts w:hint="eastAsia" w:asciiTheme="minorEastAsia" w:hAnsiTheme="minorEastAsia"/>
                <w:szCs w:val="21"/>
              </w:rPr>
              <w:br w:type="textWrapping"/>
            </w:r>
            <w:r>
              <w:rPr>
                <w:rFonts w:hint="eastAsia" w:asciiTheme="minorEastAsia" w:hAnsiTheme="minorEastAsia"/>
                <w:szCs w:val="21"/>
              </w:rPr>
              <w:t>新能源汽车整车为大赛定制版车型，作为大赛专用车型满足竞赛规程和赛题要求。车辆应满足新能源汽车专业教学要求，可完成新能源汽车维护与动力蓄电池检测、新能源汽车简单故障诊断与排除等实训项目，车辆应包含低压电源系统、高压控制系统、车身电气系统，驾驶辅助系统等。</w:t>
            </w:r>
            <w:r>
              <w:rPr>
                <w:rFonts w:hint="eastAsia" w:asciiTheme="minorEastAsia" w:hAnsiTheme="minorEastAsia"/>
                <w:szCs w:val="21"/>
              </w:rPr>
              <w:br w:type="textWrapping"/>
            </w:r>
            <w:r>
              <w:rPr>
                <w:rFonts w:hint="eastAsia" w:asciiTheme="minorEastAsia" w:hAnsiTheme="minorEastAsia"/>
                <w:szCs w:val="21"/>
              </w:rPr>
              <w:t>二、产品配置要求</w:t>
            </w:r>
            <w:r>
              <w:rPr>
                <w:rFonts w:hint="eastAsia" w:asciiTheme="minorEastAsia" w:hAnsiTheme="minorEastAsia"/>
                <w:szCs w:val="21"/>
              </w:rPr>
              <w:br w:type="textWrapping"/>
            </w:r>
            <w:r>
              <w:rPr>
                <w:rFonts w:hint="eastAsia" w:asciiTheme="minorEastAsia" w:hAnsiTheme="minorEastAsia"/>
                <w:szCs w:val="21"/>
              </w:rPr>
              <w:t>能源类型：纯电动</w:t>
            </w:r>
            <w:r>
              <w:rPr>
                <w:rFonts w:hint="eastAsia" w:asciiTheme="minorEastAsia" w:hAnsiTheme="minorEastAsia"/>
                <w:szCs w:val="21"/>
              </w:rPr>
              <w:br w:type="textWrapping"/>
            </w:r>
            <w:r>
              <w:rPr>
                <w:rFonts w:hint="eastAsia" w:asciiTheme="minorEastAsia" w:hAnsiTheme="minorEastAsia"/>
                <w:szCs w:val="21"/>
              </w:rPr>
              <w:t>快充电量百分比 ：80</w:t>
            </w:r>
            <w:r>
              <w:rPr>
                <w:rFonts w:hint="eastAsia" w:asciiTheme="minorEastAsia" w:hAnsiTheme="minorEastAsia"/>
                <w:szCs w:val="21"/>
              </w:rPr>
              <w:br w:type="textWrapping"/>
            </w:r>
            <w:r>
              <w:rPr>
                <w:rFonts w:hint="eastAsia" w:asciiTheme="minorEastAsia" w:hAnsiTheme="minorEastAsia"/>
                <w:szCs w:val="21"/>
              </w:rPr>
              <w:t>最大功率：≥150KW</w:t>
            </w:r>
            <w:r>
              <w:rPr>
                <w:rFonts w:hint="eastAsia" w:asciiTheme="minorEastAsia" w:hAnsiTheme="minorEastAsia"/>
                <w:szCs w:val="21"/>
              </w:rPr>
              <w:br w:type="textWrapping"/>
            </w:r>
            <w:r>
              <w:rPr>
                <w:rFonts w:hint="eastAsia" w:asciiTheme="minorEastAsia" w:hAnsiTheme="minorEastAsia"/>
                <w:szCs w:val="21"/>
              </w:rPr>
              <w:t>最大扭矩：≥310N.m</w:t>
            </w:r>
            <w:r>
              <w:rPr>
                <w:rFonts w:hint="eastAsia" w:asciiTheme="minorEastAsia" w:hAnsiTheme="minorEastAsia"/>
                <w:szCs w:val="21"/>
              </w:rPr>
              <w:br w:type="textWrapping"/>
            </w:r>
            <w:r>
              <w:rPr>
                <w:rFonts w:hint="eastAsia" w:asciiTheme="minorEastAsia" w:hAnsiTheme="minorEastAsia"/>
                <w:szCs w:val="21"/>
              </w:rPr>
              <w:t>长*宽*高：≥4752*1804*1503mm</w:t>
            </w:r>
            <w:r>
              <w:rPr>
                <w:rFonts w:hint="eastAsia" w:asciiTheme="minorEastAsia" w:hAnsiTheme="minorEastAsia"/>
                <w:szCs w:val="21"/>
              </w:rPr>
              <w:br w:type="textWrapping"/>
            </w:r>
            <w:r>
              <w:rPr>
                <w:rFonts w:hint="eastAsia" w:asciiTheme="minorEastAsia" w:hAnsiTheme="minorEastAsia"/>
                <w:szCs w:val="21"/>
              </w:rPr>
              <w:t>车身结构 ：4门5座三厢车</w:t>
            </w:r>
            <w:r>
              <w:rPr>
                <w:rFonts w:hint="eastAsia" w:asciiTheme="minorEastAsia" w:hAnsiTheme="minorEastAsia"/>
                <w:szCs w:val="21"/>
              </w:rPr>
              <w:br w:type="textWrapping"/>
            </w:r>
            <w:r>
              <w:rPr>
                <w:rFonts w:hint="eastAsia" w:asciiTheme="minorEastAsia" w:hAnsiTheme="minorEastAsia"/>
                <w:szCs w:val="21"/>
              </w:rPr>
              <w:t>电动机类型：永磁同步电机</w:t>
            </w:r>
            <w:r>
              <w:rPr>
                <w:rFonts w:hint="eastAsia" w:asciiTheme="minorEastAsia" w:hAnsiTheme="minorEastAsia"/>
                <w:szCs w:val="21"/>
              </w:rPr>
              <w:br w:type="textWrapping"/>
            </w:r>
            <w:r>
              <w:rPr>
                <w:rFonts w:hint="eastAsia" w:asciiTheme="minorEastAsia" w:hAnsiTheme="minorEastAsia"/>
                <w:szCs w:val="21"/>
              </w:rPr>
              <w:t>电池类型：定制版三元锂电池</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电池电量≥52.8KWh</w:t>
            </w:r>
            <w:r>
              <w:rPr>
                <w:rFonts w:hint="eastAsia" w:asciiTheme="minorEastAsia" w:hAnsiTheme="minorEastAsia"/>
                <w:szCs w:val="21"/>
              </w:rPr>
              <w:br w:type="textWrapping"/>
            </w:r>
            <w:r>
              <w:rPr>
                <w:rFonts w:hint="eastAsia" w:asciiTheme="minorEastAsia" w:hAnsiTheme="minorEastAsia"/>
                <w:szCs w:val="21"/>
              </w:rPr>
              <w:t>电池额定电压：≥352V</w:t>
            </w:r>
            <w:r>
              <w:rPr>
                <w:rFonts w:hint="eastAsia" w:asciiTheme="minorEastAsia" w:hAnsiTheme="minorEastAsia"/>
                <w:szCs w:val="21"/>
              </w:rPr>
              <w:br w:type="textWrapping"/>
            </w:r>
            <w:r>
              <w:rPr>
                <w:rFonts w:hint="eastAsia" w:asciiTheme="minorEastAsia" w:hAnsiTheme="minorEastAsia"/>
                <w:szCs w:val="21"/>
              </w:rPr>
              <w:t>电池冷却方式：液冷</w:t>
            </w:r>
            <w:r>
              <w:rPr>
                <w:rFonts w:hint="eastAsia" w:asciiTheme="minorEastAsia" w:hAnsiTheme="minorEastAsia"/>
                <w:szCs w:val="21"/>
              </w:rPr>
              <w:br w:type="textWrapping"/>
            </w:r>
            <w:r>
              <w:rPr>
                <w:rFonts w:hint="eastAsia" w:asciiTheme="minorEastAsia" w:hAnsiTheme="minorEastAsia"/>
                <w:szCs w:val="21"/>
              </w:rPr>
              <w:t>变速箱类型：固定齿比变速箱</w:t>
            </w:r>
          </w:p>
        </w:tc>
        <w:tc>
          <w:tcPr>
            <w:tcW w:w="317" w:type="pct"/>
            <w:noWrap/>
            <w:vAlign w:val="center"/>
          </w:tcPr>
          <w:p>
            <w:pPr>
              <w:widowControl/>
              <w:shd w:val="clear" w:color="auto" w:fill="FFFFFF"/>
              <w:spacing w:line="580" w:lineRule="exact"/>
              <w:jc w:val="left"/>
              <w:rPr>
                <w:rFonts w:hint="eastAsia" w:asciiTheme="minorEastAsia" w:hAnsiTheme="minorEastAsia"/>
                <w:szCs w:val="21"/>
                <w:lang w:val="en-US" w:eastAsia="zh-CN"/>
              </w:rPr>
            </w:pPr>
            <w:r>
              <w:rPr>
                <w:rFonts w:hint="eastAsia" w:asciiTheme="minorEastAsia" w:hAnsiTheme="minorEastAsia"/>
                <w:szCs w:val="21"/>
              </w:rPr>
              <w:t>台</w:t>
            </w:r>
          </w:p>
        </w:tc>
        <w:tc>
          <w:tcPr>
            <w:tcW w:w="404" w:type="pct"/>
            <w:noWrap/>
            <w:vAlign w:val="center"/>
          </w:tcPr>
          <w:p>
            <w:pPr>
              <w:widowControl/>
              <w:shd w:val="clear" w:color="auto" w:fill="FFFFFF"/>
              <w:spacing w:line="580" w:lineRule="exact"/>
              <w:jc w:val="left"/>
              <w:rPr>
                <w:rFonts w:hint="eastAsia" w:asciiTheme="minorEastAsia" w:hAnsiTheme="minorEastAsia"/>
                <w:szCs w:val="21"/>
                <w:lang w:val="en-US" w:eastAsia="zh-CN"/>
              </w:rPr>
            </w:pPr>
            <w:r>
              <w:rPr>
                <w:rFonts w:hint="eastAsia" w:asciiTheme="minorEastAsia" w:hAnsiTheme="minorEastAsia"/>
                <w:szCs w:val="21"/>
              </w:rPr>
              <w:t>1</w:t>
            </w:r>
          </w:p>
        </w:tc>
        <w:tc>
          <w:tcPr>
            <w:tcW w:w="452" w:type="pct"/>
            <w:noWrap/>
            <w:vAlign w:val="center"/>
          </w:tcPr>
          <w:p>
            <w:pPr>
              <w:widowControl/>
              <w:shd w:val="clear" w:color="auto" w:fill="FFFFFF"/>
              <w:spacing w:line="580" w:lineRule="exact"/>
              <w:jc w:val="left"/>
              <w:rPr>
                <w:rFonts w:hint="eastAsia" w:asciiTheme="minorEastAsia" w:hAnsiTheme="minorEastAsia"/>
                <w:szCs w:val="21"/>
                <w:lang w:val="en-US" w:eastAsia="zh-CN"/>
              </w:rPr>
            </w:pPr>
            <w:r>
              <w:rPr>
                <w:rFonts w:hint="eastAsia" w:asciiTheme="minorEastAsia" w:hAnsiTheme="minorEastAsia"/>
                <w:szCs w:val="21"/>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73" w:type="pct"/>
            <w:noWrap/>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4</w:t>
            </w:r>
          </w:p>
        </w:tc>
        <w:tc>
          <w:tcPr>
            <w:tcW w:w="476" w:type="pct"/>
            <w:noWrap/>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电机控制器调试软件</w:t>
            </w:r>
          </w:p>
        </w:tc>
        <w:tc>
          <w:tcPr>
            <w:tcW w:w="3074" w:type="pct"/>
            <w:noWrap/>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1、功能要求：</w:t>
            </w:r>
            <w:r>
              <w:rPr>
                <w:rFonts w:hint="eastAsia" w:asciiTheme="minorEastAsia" w:hAnsiTheme="minorEastAsia"/>
                <w:szCs w:val="21"/>
              </w:rPr>
              <w:br w:type="textWrapping"/>
            </w:r>
            <w:r>
              <w:rPr>
                <w:rFonts w:hint="eastAsia" w:asciiTheme="minorEastAsia" w:hAnsiTheme="minorEastAsia"/>
                <w:szCs w:val="21"/>
              </w:rPr>
              <w:t>配有不小于23英寸高清显示器，并与设备下方的教学主机相连接，教学主机内配套设备用户手册、电驱动维修手册、减速器维修手册等资源，可满足师生教学使用需求。显示器应与电脑主机相连，主机应满足十代I5处理器及以上，显卡应满足RTX2060及以上，可流畅运行虚拟仿真教学软件系统。</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2、技术要求：</w:t>
            </w:r>
            <w:r>
              <w:rPr>
                <w:rFonts w:hint="eastAsia" w:asciiTheme="minorEastAsia" w:hAnsiTheme="minorEastAsia"/>
                <w:szCs w:val="21"/>
              </w:rPr>
              <w:br w:type="textWrapping"/>
            </w:r>
            <w:r>
              <w:rPr>
                <w:rFonts w:hint="eastAsia" w:asciiTheme="minorEastAsia" w:hAnsiTheme="minorEastAsia"/>
                <w:szCs w:val="21"/>
              </w:rPr>
              <w:t>1）学员可通过调试软件进行电机控制器旋变调零、相序判定、控制参数修改、运转状态监控等功能。</w:t>
            </w:r>
            <w:r>
              <w:rPr>
                <w:rFonts w:hint="eastAsia" w:asciiTheme="minorEastAsia" w:hAnsiTheme="minorEastAsia"/>
                <w:szCs w:val="21"/>
              </w:rPr>
              <w:br w:type="textWrapping"/>
            </w:r>
            <w:r>
              <w:rPr>
                <w:rFonts w:hint="eastAsia" w:asciiTheme="minorEastAsia" w:hAnsiTheme="minorEastAsia"/>
                <w:szCs w:val="21"/>
              </w:rPr>
              <w:t>驱动电机控制器连接方式应为CAN-H、CAN-L两路线束连接。</w:t>
            </w:r>
            <w:r>
              <w:rPr>
                <w:rFonts w:hint="eastAsia" w:asciiTheme="minorEastAsia" w:hAnsiTheme="minorEastAsia"/>
                <w:szCs w:val="21"/>
              </w:rPr>
              <w:br w:type="textWrapping"/>
            </w:r>
            <w:r>
              <w:rPr>
                <w:rFonts w:hint="eastAsia" w:asciiTheme="minorEastAsia" w:hAnsiTheme="minorEastAsia"/>
                <w:szCs w:val="21"/>
              </w:rPr>
              <w:t>2）上位机软件点击“参数编辑器”图标，可在线修改、上传、下载、保存功能码参数，主要功能包括打开参数文件、保存参数、下载数据、读取控制器数据。</w:t>
            </w:r>
            <w:r>
              <w:rPr>
                <w:rFonts w:hint="eastAsia" w:asciiTheme="minorEastAsia" w:hAnsiTheme="minorEastAsia"/>
                <w:szCs w:val="21"/>
              </w:rPr>
              <w:br w:type="textWrapping"/>
            </w:r>
            <w:r>
              <w:rPr>
                <w:rFonts w:hint="eastAsia" w:asciiTheme="minorEastAsia" w:hAnsiTheme="minorEastAsia"/>
                <w:szCs w:val="21"/>
              </w:rPr>
              <w:t>3）点击“虚拟示波器”图标，可用来查看服驱动系统在工作过程中的动态特性，也可监控伺服运行的工作状态。</w:t>
            </w:r>
            <w:r>
              <w:rPr>
                <w:rFonts w:hint="eastAsia" w:asciiTheme="minorEastAsia" w:hAnsiTheme="minorEastAsia"/>
                <w:szCs w:val="21"/>
              </w:rPr>
              <w:br w:type="textWrapping"/>
            </w:r>
            <w:r>
              <w:rPr>
                <w:rFonts w:hint="eastAsia" w:asciiTheme="minorEastAsia" w:hAnsiTheme="minorEastAsia"/>
                <w:szCs w:val="21"/>
              </w:rPr>
              <w:t>4）应配置定制化桌面开关，功能包含电脑主机开机、重启、标准耳机孔、USB3.0、USB2.0、Type-C口等多种便捷功能。</w:t>
            </w:r>
          </w:p>
          <w:p>
            <w:pPr>
              <w:widowControl/>
              <w:shd w:val="clear" w:color="auto" w:fill="FFFFFF"/>
              <w:spacing w:line="580" w:lineRule="exact"/>
              <w:jc w:val="left"/>
              <w:rPr>
                <w:rFonts w:hint="eastAsia" w:asciiTheme="minorEastAsia" w:hAnsiTheme="minorEastAsia"/>
                <w:szCs w:val="21"/>
              </w:rPr>
            </w:pPr>
          </w:p>
        </w:tc>
        <w:tc>
          <w:tcPr>
            <w:tcW w:w="317" w:type="pct"/>
            <w:noWrap/>
            <w:vAlign w:val="center"/>
          </w:tcPr>
          <w:p>
            <w:pPr>
              <w:widowControl/>
              <w:shd w:val="clear" w:color="auto" w:fill="FFFFFF"/>
              <w:spacing w:line="580" w:lineRule="exact"/>
              <w:jc w:val="left"/>
              <w:rPr>
                <w:rFonts w:hint="eastAsia" w:asciiTheme="minorEastAsia" w:hAnsiTheme="minorEastAsia"/>
                <w:szCs w:val="21"/>
                <w:lang w:val="en-US" w:eastAsia="zh-CN"/>
              </w:rPr>
            </w:pPr>
            <w:r>
              <w:rPr>
                <w:rFonts w:hint="eastAsia" w:asciiTheme="minorEastAsia" w:hAnsiTheme="minorEastAsia"/>
                <w:szCs w:val="21"/>
              </w:rPr>
              <w:t>套</w:t>
            </w:r>
          </w:p>
        </w:tc>
        <w:tc>
          <w:tcPr>
            <w:tcW w:w="404" w:type="pct"/>
            <w:noWrap/>
            <w:vAlign w:val="center"/>
          </w:tcPr>
          <w:p>
            <w:pPr>
              <w:widowControl/>
              <w:shd w:val="clear" w:color="auto" w:fill="FFFFFF"/>
              <w:spacing w:line="580" w:lineRule="exact"/>
              <w:jc w:val="left"/>
              <w:rPr>
                <w:rFonts w:hint="eastAsia" w:asciiTheme="minorEastAsia" w:hAnsiTheme="minorEastAsia"/>
                <w:szCs w:val="21"/>
                <w:lang w:val="en-US" w:eastAsia="zh-CN"/>
              </w:rPr>
            </w:pPr>
            <w:r>
              <w:rPr>
                <w:rFonts w:hint="eastAsia" w:asciiTheme="minorEastAsia" w:hAnsiTheme="minorEastAsia"/>
                <w:szCs w:val="21"/>
              </w:rPr>
              <w:t>1</w:t>
            </w:r>
          </w:p>
        </w:tc>
        <w:tc>
          <w:tcPr>
            <w:tcW w:w="452" w:type="pct"/>
            <w:noWrap/>
            <w:vAlign w:val="center"/>
          </w:tcPr>
          <w:p>
            <w:pPr>
              <w:widowControl/>
              <w:shd w:val="clear" w:color="auto" w:fill="FFFFFF"/>
              <w:spacing w:line="580" w:lineRule="exact"/>
              <w:jc w:val="left"/>
              <w:rPr>
                <w:rFonts w:hint="eastAsia" w:asciiTheme="minorEastAsia" w:hAnsiTheme="minorEastAsia"/>
                <w:szCs w:val="21"/>
                <w:lang w:val="en-US" w:eastAsia="zh-CN"/>
              </w:rPr>
            </w:pPr>
            <w:r>
              <w:rPr>
                <w:rFonts w:hint="eastAsia" w:asciiTheme="minorEastAsia" w:hAnsiTheme="minorEastAsia"/>
                <w:szCs w:val="21"/>
              </w:rPr>
              <w:t>软件和信息技术</w:t>
            </w:r>
            <w:r>
              <w:rPr>
                <w:rFonts w:hint="eastAsia" w:asciiTheme="minorEastAsia" w:hAnsiTheme="minorEastAsia"/>
                <w:szCs w:val="21"/>
                <w:lang w:val="en-US" w:eastAsia="zh-CN"/>
              </w:rPr>
              <w:t>传输</w:t>
            </w:r>
            <w:r>
              <w:rPr>
                <w:rFonts w:hint="eastAsia" w:asciiTheme="minorEastAsia" w:hAnsiTheme="minorEastAsia"/>
                <w:szCs w:val="21"/>
              </w:rPr>
              <w:t>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73" w:type="pct"/>
            <w:noWrap/>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5</w:t>
            </w:r>
          </w:p>
        </w:tc>
        <w:tc>
          <w:tcPr>
            <w:tcW w:w="476" w:type="pct"/>
            <w:noWrap/>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故障设置与检测连接平台</w:t>
            </w:r>
          </w:p>
        </w:tc>
        <w:tc>
          <w:tcPr>
            <w:tcW w:w="3074" w:type="pct"/>
            <w:noWrap/>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产品基本要求</w:t>
            </w:r>
            <w:r>
              <w:rPr>
                <w:rFonts w:hint="eastAsia" w:asciiTheme="minorEastAsia" w:hAnsiTheme="minorEastAsia"/>
                <w:szCs w:val="21"/>
              </w:rPr>
              <w:br w:type="textWrapping"/>
            </w:r>
            <w:r>
              <w:rPr>
                <w:rFonts w:hint="eastAsia" w:asciiTheme="minorEastAsia" w:hAnsiTheme="minorEastAsia"/>
                <w:szCs w:val="21"/>
              </w:rPr>
              <w:t>故障设置与检测连接平台配套整车操作使用。该平台可与整车进行无损连接，可对汽车电池管理系统BMS、整车控制器VCU、集成动力控制器PEU、高低压充电系统ODP、车身控制模块BCM、前单目摄像头、网关进行故障设置、检测与诊断。故障设置与检测连接平台应便于教师设故教学和学生数据测量学习。有利于提升学生的新能源汽车简单故障诊断与排除基本能力、新能源汽车常用工量具和专业检测仪器使用能力、高压上下电操作能力。</w:t>
            </w:r>
            <w:r>
              <w:rPr>
                <w:rFonts w:hint="eastAsia" w:asciiTheme="minorEastAsia" w:hAnsiTheme="minorEastAsia"/>
                <w:szCs w:val="21"/>
              </w:rPr>
              <w:br w:type="textWrapping"/>
            </w:r>
            <w:r>
              <w:rPr>
                <w:rFonts w:hint="eastAsia" w:asciiTheme="minorEastAsia" w:hAnsiTheme="minorEastAsia"/>
                <w:szCs w:val="21"/>
              </w:rPr>
              <w:t>二、产品配置要求</w:t>
            </w:r>
            <w:r>
              <w:rPr>
                <w:rFonts w:hint="eastAsia" w:asciiTheme="minorEastAsia" w:hAnsiTheme="minorEastAsia"/>
                <w:szCs w:val="21"/>
              </w:rPr>
              <w:br w:type="textWrapping"/>
            </w:r>
            <w:r>
              <w:rPr>
                <w:rFonts w:hint="eastAsia" w:asciiTheme="minorEastAsia" w:hAnsiTheme="minorEastAsia"/>
                <w:szCs w:val="21"/>
              </w:rPr>
              <w:t>产品应由故障设置与检测连接平台金属台体、教学显示屏、电脑主机、测量面板、测量电路板、故障面板、故障电路板、故障配套器件、故障连接线束、桌面开关等组成。</w:t>
            </w:r>
            <w:r>
              <w:rPr>
                <w:rFonts w:hint="eastAsia" w:asciiTheme="minorEastAsia" w:hAnsiTheme="minorEastAsia"/>
                <w:szCs w:val="21"/>
              </w:rPr>
              <w:br w:type="textWrapping"/>
            </w:r>
            <w:r>
              <w:rPr>
                <w:rFonts w:hint="eastAsia" w:asciiTheme="minorEastAsia" w:hAnsiTheme="minorEastAsia"/>
                <w:szCs w:val="21"/>
              </w:rPr>
              <w:t>（1）故障设置与检测连接平台金属台体（单位：毫米）</w:t>
            </w:r>
            <w:r>
              <w:rPr>
                <w:rFonts w:hint="eastAsia" w:asciiTheme="minorEastAsia" w:hAnsiTheme="minorEastAsia"/>
                <w:szCs w:val="21"/>
              </w:rPr>
              <w:br w:type="textWrapping"/>
            </w:r>
            <w:r>
              <w:rPr>
                <w:rFonts w:hint="eastAsia" w:asciiTheme="minorEastAsia" w:hAnsiTheme="minorEastAsia"/>
                <w:szCs w:val="21"/>
              </w:rPr>
              <w:t>设备整体设计尺寸：≥1650*820*1830mm   （长*宽*高）</w:t>
            </w:r>
            <w:r>
              <w:rPr>
                <w:rFonts w:hint="eastAsia" w:asciiTheme="minorEastAsia" w:hAnsiTheme="minorEastAsia"/>
                <w:szCs w:val="21"/>
              </w:rPr>
              <w:br w:type="textWrapping"/>
            </w:r>
            <w:r>
              <w:rPr>
                <w:rFonts w:hint="eastAsia" w:asciiTheme="minorEastAsia" w:hAnsiTheme="minorEastAsia"/>
                <w:szCs w:val="21"/>
              </w:rPr>
              <w:t>（2）测量面板</w:t>
            </w:r>
            <w:r>
              <w:rPr>
                <w:rFonts w:hint="eastAsia" w:asciiTheme="minorEastAsia" w:hAnsiTheme="minorEastAsia"/>
                <w:szCs w:val="21"/>
              </w:rPr>
              <w:br w:type="textWrapping"/>
            </w:r>
            <w:r>
              <w:rPr>
                <w:rFonts w:hint="eastAsia" w:asciiTheme="minorEastAsia" w:hAnsiTheme="minorEastAsia"/>
                <w:szCs w:val="21"/>
              </w:rPr>
              <w:t>整体尺寸： ≥1160*520mm  （长*宽）</w:t>
            </w:r>
            <w:r>
              <w:rPr>
                <w:rFonts w:hint="eastAsia" w:asciiTheme="minorEastAsia" w:hAnsiTheme="minorEastAsia"/>
                <w:szCs w:val="21"/>
              </w:rPr>
              <w:br w:type="textWrapping"/>
            </w:r>
            <w:r>
              <w:rPr>
                <w:rFonts w:hint="eastAsia" w:asciiTheme="minorEastAsia" w:hAnsiTheme="minorEastAsia"/>
                <w:szCs w:val="21"/>
              </w:rPr>
              <w:t>（3）故障面板</w:t>
            </w:r>
            <w:r>
              <w:rPr>
                <w:rFonts w:hint="eastAsia" w:asciiTheme="minorEastAsia" w:hAnsiTheme="minorEastAsia"/>
                <w:szCs w:val="21"/>
              </w:rPr>
              <w:br w:type="textWrapping"/>
            </w:r>
            <w:r>
              <w:rPr>
                <w:rFonts w:hint="eastAsia" w:asciiTheme="minorEastAsia" w:hAnsiTheme="minorEastAsia"/>
                <w:szCs w:val="21"/>
              </w:rPr>
              <w:t>整体尺寸：≥760*470mm  （长*宽）</w:t>
            </w:r>
            <w:r>
              <w:rPr>
                <w:rFonts w:hint="eastAsia" w:asciiTheme="minorEastAsia" w:hAnsiTheme="minorEastAsia"/>
                <w:szCs w:val="21"/>
              </w:rPr>
              <w:br w:type="textWrapping"/>
            </w:r>
            <w:r>
              <w:rPr>
                <w:rFonts w:hint="eastAsia" w:asciiTheme="minorEastAsia" w:hAnsiTheme="minorEastAsia"/>
                <w:szCs w:val="21"/>
              </w:rPr>
              <w:t>（4）教学显示屏</w:t>
            </w:r>
            <w:r>
              <w:rPr>
                <w:rFonts w:hint="eastAsia" w:asciiTheme="minorEastAsia" w:hAnsiTheme="minorEastAsia"/>
                <w:szCs w:val="21"/>
              </w:rPr>
              <w:br w:type="textWrapping"/>
            </w:r>
            <w:r>
              <w:rPr>
                <w:rFonts w:hint="eastAsia" w:asciiTheme="minorEastAsia" w:hAnsiTheme="minorEastAsia"/>
                <w:szCs w:val="21"/>
              </w:rPr>
              <w:t>工作电压：220VAC</w:t>
            </w:r>
            <w:r>
              <w:rPr>
                <w:rFonts w:hint="eastAsia" w:asciiTheme="minorEastAsia" w:hAnsiTheme="minorEastAsia"/>
                <w:szCs w:val="21"/>
              </w:rPr>
              <w:br w:type="textWrapping"/>
            </w:r>
            <w:r>
              <w:rPr>
                <w:rFonts w:hint="eastAsia" w:asciiTheme="minorEastAsia" w:hAnsiTheme="minorEastAsia"/>
                <w:szCs w:val="21"/>
              </w:rPr>
              <w:t>待机功率：≤0.5W</w:t>
            </w:r>
            <w:r>
              <w:rPr>
                <w:rFonts w:hint="eastAsia" w:asciiTheme="minorEastAsia" w:hAnsiTheme="minorEastAsia"/>
                <w:szCs w:val="21"/>
              </w:rPr>
              <w:br w:type="textWrapping"/>
            </w:r>
            <w:r>
              <w:rPr>
                <w:rFonts w:hint="eastAsia" w:asciiTheme="minorEastAsia" w:hAnsiTheme="minorEastAsia"/>
                <w:szCs w:val="21"/>
              </w:rPr>
              <w:t>屏占比：≥97%</w:t>
            </w:r>
            <w:r>
              <w:rPr>
                <w:rFonts w:hint="eastAsia" w:asciiTheme="minorEastAsia" w:hAnsiTheme="minorEastAsia"/>
                <w:szCs w:val="21"/>
              </w:rPr>
              <w:br w:type="textWrapping"/>
            </w:r>
            <w:r>
              <w:rPr>
                <w:rFonts w:hint="eastAsia" w:asciiTheme="minorEastAsia" w:hAnsiTheme="minorEastAsia"/>
                <w:szCs w:val="21"/>
              </w:rPr>
              <w:t>底座材质：塑料</w:t>
            </w:r>
            <w:r>
              <w:rPr>
                <w:rFonts w:hint="eastAsia" w:asciiTheme="minorEastAsia" w:hAnsiTheme="minorEastAsia"/>
                <w:szCs w:val="21"/>
              </w:rPr>
              <w:br w:type="textWrapping"/>
            </w:r>
            <w:r>
              <w:rPr>
                <w:rFonts w:hint="eastAsia" w:asciiTheme="minorEastAsia" w:hAnsiTheme="minorEastAsia"/>
                <w:szCs w:val="21"/>
              </w:rPr>
              <w:t>安装孔距：≤300*200mm</w:t>
            </w:r>
            <w:r>
              <w:rPr>
                <w:rFonts w:hint="eastAsia" w:asciiTheme="minorEastAsia" w:hAnsiTheme="minorEastAsia"/>
                <w:szCs w:val="21"/>
              </w:rPr>
              <w:br w:type="textWrapping"/>
            </w:r>
            <w:r>
              <w:rPr>
                <w:rFonts w:hint="eastAsia" w:asciiTheme="minorEastAsia" w:hAnsiTheme="minorEastAsia"/>
                <w:szCs w:val="21"/>
              </w:rPr>
              <w:t>单屏重量：≤10.9kg</w:t>
            </w:r>
            <w:r>
              <w:rPr>
                <w:rFonts w:hint="eastAsia" w:asciiTheme="minorEastAsia" w:hAnsiTheme="minorEastAsia"/>
                <w:szCs w:val="21"/>
              </w:rPr>
              <w:br w:type="textWrapping"/>
            </w:r>
            <w:r>
              <w:rPr>
                <w:rFonts w:hint="eastAsia" w:asciiTheme="minorEastAsia" w:hAnsiTheme="minorEastAsia"/>
                <w:szCs w:val="21"/>
              </w:rPr>
              <w:t>亮度：200-300尼特</w:t>
            </w:r>
            <w:r>
              <w:rPr>
                <w:rFonts w:hint="eastAsia" w:asciiTheme="minorEastAsia" w:hAnsiTheme="minorEastAsia"/>
                <w:szCs w:val="21"/>
              </w:rPr>
              <w:br w:type="textWrapping"/>
            </w:r>
            <w:r>
              <w:rPr>
                <w:rFonts w:hint="eastAsia" w:asciiTheme="minorEastAsia" w:hAnsiTheme="minorEastAsia"/>
                <w:szCs w:val="21"/>
              </w:rPr>
              <w:t>屏幕比例：16:9</w:t>
            </w:r>
            <w:r>
              <w:rPr>
                <w:rFonts w:hint="eastAsia" w:asciiTheme="minorEastAsia" w:hAnsiTheme="minorEastAsia"/>
                <w:szCs w:val="21"/>
              </w:rPr>
              <w:br w:type="textWrapping"/>
            </w:r>
            <w:r>
              <w:rPr>
                <w:rFonts w:hint="eastAsia" w:asciiTheme="minorEastAsia" w:hAnsiTheme="minorEastAsia"/>
                <w:szCs w:val="21"/>
              </w:rPr>
              <w:t>屏幕尺寸：≥55英寸</w:t>
            </w:r>
            <w:r>
              <w:rPr>
                <w:rFonts w:hint="eastAsia" w:asciiTheme="minorEastAsia" w:hAnsiTheme="minorEastAsia"/>
                <w:szCs w:val="21"/>
              </w:rPr>
              <w:br w:type="textWrapping"/>
            </w:r>
            <w:r>
              <w:rPr>
                <w:rFonts w:hint="eastAsia" w:asciiTheme="minorEastAsia" w:hAnsiTheme="minorEastAsia"/>
                <w:szCs w:val="21"/>
              </w:rPr>
              <w:t>屏幕分辨率：超高清4K</w:t>
            </w:r>
            <w:r>
              <w:rPr>
                <w:rFonts w:hint="eastAsia" w:asciiTheme="minorEastAsia" w:hAnsiTheme="minorEastAsia"/>
                <w:szCs w:val="21"/>
              </w:rPr>
              <w:br w:type="textWrapping"/>
            </w:r>
            <w:r>
              <w:rPr>
                <w:rFonts w:hint="eastAsia" w:asciiTheme="minorEastAsia" w:hAnsiTheme="minorEastAsia"/>
                <w:szCs w:val="21"/>
              </w:rPr>
              <w:t>色域标准：DCI-P3</w:t>
            </w:r>
            <w:r>
              <w:rPr>
                <w:rFonts w:hint="eastAsia" w:asciiTheme="minorEastAsia" w:hAnsiTheme="minorEastAsia"/>
                <w:szCs w:val="21"/>
              </w:rPr>
              <w:br w:type="textWrapping"/>
            </w:r>
            <w:r>
              <w:rPr>
                <w:rFonts w:hint="eastAsia" w:asciiTheme="minorEastAsia" w:hAnsiTheme="minorEastAsia"/>
                <w:szCs w:val="21"/>
              </w:rPr>
              <w:t>色域值：≥78%</w:t>
            </w:r>
            <w:r>
              <w:rPr>
                <w:rFonts w:hint="eastAsia" w:asciiTheme="minorEastAsia" w:hAnsiTheme="minorEastAsia"/>
                <w:szCs w:val="21"/>
              </w:rPr>
              <w:br w:type="textWrapping"/>
            </w:r>
            <w:r>
              <w:rPr>
                <w:rFonts w:hint="eastAsia" w:asciiTheme="minorEastAsia" w:hAnsiTheme="minorEastAsia"/>
                <w:szCs w:val="21"/>
              </w:rPr>
              <w:t>（5）电脑主机</w:t>
            </w:r>
            <w:r>
              <w:rPr>
                <w:rFonts w:hint="eastAsia" w:asciiTheme="minorEastAsia" w:hAnsiTheme="minorEastAsia"/>
                <w:szCs w:val="21"/>
              </w:rPr>
              <w:br w:type="textWrapping"/>
            </w:r>
            <w:r>
              <w:rPr>
                <w:rFonts w:hint="eastAsia" w:asciiTheme="minorEastAsia" w:hAnsiTheme="minorEastAsia"/>
                <w:szCs w:val="21"/>
              </w:rPr>
              <w:t>工作电压：220V AC</w:t>
            </w:r>
            <w:r>
              <w:rPr>
                <w:rFonts w:hint="eastAsia" w:asciiTheme="minorEastAsia" w:hAnsiTheme="minorEastAsia"/>
                <w:szCs w:val="21"/>
              </w:rPr>
              <w:br w:type="textWrapping"/>
            </w:r>
            <w:r>
              <w:rPr>
                <w:rFonts w:hint="eastAsia" w:asciiTheme="minorEastAsia" w:hAnsiTheme="minorEastAsia"/>
                <w:szCs w:val="21"/>
              </w:rPr>
              <w:t>系统：Windows</w:t>
            </w:r>
            <w:r>
              <w:rPr>
                <w:rFonts w:hint="eastAsia" w:asciiTheme="minorEastAsia" w:hAnsiTheme="minorEastAsia"/>
                <w:szCs w:val="21"/>
              </w:rPr>
              <w:br w:type="textWrapping"/>
            </w:r>
            <w:r>
              <w:rPr>
                <w:rFonts w:hint="eastAsia" w:asciiTheme="minorEastAsia" w:hAnsiTheme="minorEastAsia"/>
                <w:szCs w:val="21"/>
              </w:rPr>
              <w:t>显卡：RTX2060及以上</w:t>
            </w:r>
            <w:r>
              <w:rPr>
                <w:rFonts w:hint="eastAsia" w:asciiTheme="minorEastAsia" w:hAnsiTheme="minorEastAsia"/>
                <w:szCs w:val="21"/>
              </w:rPr>
              <w:br w:type="textWrapping"/>
            </w:r>
            <w:r>
              <w:rPr>
                <w:rFonts w:hint="eastAsia" w:asciiTheme="minorEastAsia" w:hAnsiTheme="minorEastAsia"/>
                <w:szCs w:val="21"/>
              </w:rPr>
              <w:t>内存：≥16G</w:t>
            </w:r>
            <w:r>
              <w:rPr>
                <w:rFonts w:hint="eastAsia" w:asciiTheme="minorEastAsia" w:hAnsiTheme="minorEastAsia"/>
                <w:szCs w:val="21"/>
              </w:rPr>
              <w:br w:type="textWrapping"/>
            </w:r>
            <w:r>
              <w:rPr>
                <w:rFonts w:hint="eastAsia" w:asciiTheme="minorEastAsia" w:hAnsiTheme="minorEastAsia"/>
                <w:szCs w:val="21"/>
              </w:rPr>
              <w:t>硬盘：≥256G</w:t>
            </w:r>
            <w:r>
              <w:rPr>
                <w:rFonts w:hint="eastAsia" w:asciiTheme="minorEastAsia" w:hAnsiTheme="minorEastAsia"/>
                <w:szCs w:val="21"/>
              </w:rPr>
              <w:br w:type="textWrapping"/>
            </w:r>
            <w:r>
              <w:rPr>
                <w:rFonts w:hint="eastAsia" w:asciiTheme="minorEastAsia" w:hAnsiTheme="minorEastAsia"/>
                <w:szCs w:val="21"/>
              </w:rPr>
              <w:t>处理器：≥i5 十代及以上</w:t>
            </w:r>
            <w:r>
              <w:rPr>
                <w:rFonts w:hint="eastAsia" w:asciiTheme="minorEastAsia" w:hAnsiTheme="minorEastAsia"/>
                <w:szCs w:val="21"/>
              </w:rPr>
              <w:br w:type="textWrapping"/>
            </w:r>
            <w:r>
              <w:rPr>
                <w:rFonts w:hint="eastAsia" w:asciiTheme="minorEastAsia" w:hAnsiTheme="minorEastAsia"/>
                <w:szCs w:val="21"/>
              </w:rPr>
              <w:t>三、产品功能要求</w:t>
            </w:r>
            <w:r>
              <w:rPr>
                <w:rFonts w:hint="eastAsia" w:asciiTheme="minorEastAsia" w:hAnsiTheme="minorEastAsia"/>
                <w:szCs w:val="21"/>
              </w:rPr>
              <w:br w:type="textWrapping"/>
            </w:r>
            <w:r>
              <w:rPr>
                <w:rFonts w:hint="eastAsia" w:asciiTheme="minorEastAsia" w:hAnsiTheme="minorEastAsia"/>
                <w:szCs w:val="21"/>
              </w:rPr>
              <w:t>设备应由故障检测区、故障设置区、信息查询区、操作测量区、零部件收纳区五大功能区组成。</w:t>
            </w:r>
            <w:r>
              <w:rPr>
                <w:rFonts w:hint="eastAsia" w:asciiTheme="minorEastAsia" w:hAnsiTheme="minorEastAsia"/>
                <w:szCs w:val="21"/>
              </w:rPr>
              <w:br w:type="textWrapping"/>
            </w:r>
            <w:r>
              <w:rPr>
                <w:rFonts w:hint="eastAsia" w:asciiTheme="minorEastAsia" w:hAnsiTheme="minorEastAsia"/>
                <w:szCs w:val="21"/>
              </w:rPr>
              <w:t>设备主体应采用整体结构设计，主体外壳需采用≥1.5mm厚冷轧板，严格按钣金加工工艺操作，经酸洗、喷塑、丝印；主体框架采用钢结构焊接，表面采用防静电喷涂工艺处理，系统部件通过激光切割和数控加工结构件，配置带锁止功能的万向静音脚轮。</w:t>
            </w:r>
            <w:r>
              <w:rPr>
                <w:rFonts w:hint="eastAsia" w:asciiTheme="minorEastAsia" w:hAnsiTheme="minorEastAsia"/>
                <w:szCs w:val="21"/>
              </w:rPr>
              <w:br w:type="textWrapping"/>
            </w:r>
            <w:r>
              <w:rPr>
                <w:rFonts w:hint="eastAsia" w:asciiTheme="minorEastAsia" w:hAnsiTheme="minorEastAsia"/>
                <w:szCs w:val="21"/>
              </w:rPr>
              <w:t>（1）故障检测区</w:t>
            </w:r>
            <w:r>
              <w:rPr>
                <w:rFonts w:hint="eastAsia" w:asciiTheme="minorEastAsia" w:hAnsiTheme="minorEastAsia"/>
                <w:szCs w:val="21"/>
              </w:rPr>
              <w:br w:type="textWrapping"/>
            </w:r>
            <w:r>
              <w:rPr>
                <w:rFonts w:hint="eastAsia" w:asciiTheme="minorEastAsia" w:hAnsiTheme="minorEastAsia"/>
                <w:szCs w:val="21"/>
              </w:rPr>
              <w:t>故障检测区应由测量面板、测量电路板、测量电路板亚克力护板、测量排线等组成。</w:t>
            </w:r>
            <w:r>
              <w:rPr>
                <w:rFonts w:hint="eastAsia" w:asciiTheme="minorEastAsia" w:hAnsiTheme="minorEastAsia"/>
                <w:szCs w:val="21"/>
              </w:rPr>
              <w:br w:type="textWrapping"/>
            </w:r>
            <w:r>
              <w:rPr>
                <w:rFonts w:hint="eastAsia" w:asciiTheme="minorEastAsia" w:hAnsiTheme="minorEastAsia"/>
                <w:szCs w:val="21"/>
              </w:rPr>
              <w:t>测量电路板需采用PCB一体设计，板上需丝印有原车插头轮廓图，测量针脚需焊接有2mm铜柱用于配合测量面板测量数据，数据测量孔应不少于323个，应采用测量排线与故障设置板连接，保证采集电压等数据准确，并可考核学生对电路图的识图能力。</w:t>
            </w:r>
            <w:r>
              <w:rPr>
                <w:rFonts w:hint="eastAsia" w:asciiTheme="minorEastAsia" w:hAnsiTheme="minorEastAsia"/>
                <w:szCs w:val="21"/>
              </w:rPr>
              <w:br w:type="textWrapping"/>
            </w:r>
            <w:r>
              <w:rPr>
                <w:rFonts w:hint="eastAsia" w:asciiTheme="minorEastAsia" w:hAnsiTheme="minorEastAsia"/>
                <w:szCs w:val="21"/>
              </w:rPr>
              <w:t>故障检测区为学生测量部分，应可直接使用万用表、示波器在面板上实时测量电压、电阻、频率或波形信号等。</w:t>
            </w:r>
            <w:r>
              <w:rPr>
                <w:rFonts w:hint="eastAsia" w:asciiTheme="minorEastAsia" w:hAnsiTheme="minorEastAsia"/>
                <w:szCs w:val="21"/>
              </w:rPr>
              <w:br w:type="textWrapping"/>
            </w:r>
            <w:r>
              <w:rPr>
                <w:rFonts w:hint="eastAsia" w:asciiTheme="minorEastAsia" w:hAnsiTheme="minorEastAsia"/>
                <w:szCs w:val="21"/>
              </w:rPr>
              <w:t>（2）故障设置区</w:t>
            </w:r>
            <w:r>
              <w:rPr>
                <w:rFonts w:hint="eastAsia" w:asciiTheme="minorEastAsia" w:hAnsiTheme="minorEastAsia"/>
                <w:szCs w:val="21"/>
              </w:rPr>
              <w:br w:type="textWrapping"/>
            </w:r>
            <w:r>
              <w:rPr>
                <w:rFonts w:hint="eastAsia" w:asciiTheme="minorEastAsia" w:hAnsiTheme="minorEastAsia"/>
                <w:szCs w:val="21"/>
              </w:rPr>
              <w:t>故障设置区应包含故障面板、故障内衬、故障电路板、故障电路板亚克力绝缘底板等组成。</w:t>
            </w:r>
            <w:r>
              <w:rPr>
                <w:rFonts w:hint="eastAsia" w:asciiTheme="minorEastAsia" w:hAnsiTheme="minorEastAsia"/>
                <w:szCs w:val="21"/>
              </w:rPr>
              <w:br w:type="textWrapping"/>
            </w:r>
            <w:r>
              <w:rPr>
                <w:rFonts w:hint="eastAsia" w:asciiTheme="minorEastAsia" w:hAnsiTheme="minorEastAsia"/>
                <w:szCs w:val="21"/>
              </w:rPr>
              <w:t>故障设置板应采用一体化电路板设计，采用机械贴片焊接，故障设备采用电弧灭弧保护电路与多重安全保护，内置一体化不少于4层PCBA无铅环保电路整体封装，PCB板电路封装达到车规级技术标准，PCB板内部采用4盎司铜箔布线，耐流等级为10A。</w:t>
            </w:r>
            <w:r>
              <w:rPr>
                <w:rFonts w:hint="eastAsia" w:asciiTheme="minorEastAsia" w:hAnsiTheme="minorEastAsia"/>
                <w:szCs w:val="21"/>
              </w:rPr>
              <w:br w:type="textWrapping"/>
            </w:r>
            <w:r>
              <w:rPr>
                <w:rFonts w:hint="eastAsia" w:asciiTheme="minorEastAsia" w:hAnsiTheme="minorEastAsia"/>
                <w:szCs w:val="21"/>
              </w:rPr>
              <w:t>故障设置与检测连接平台背面抽屉应可用于手动设置故障，采用隐藏式机械故障设置系统，能有效的模拟系统发生故障时的各种现象，在不破坏原车电路情况下，可以轻松的串联在控制模块和原车线束之间。整车各控制系统、传感器、执行器功能齐全，可正常运行。</w:t>
            </w:r>
            <w:r>
              <w:rPr>
                <w:rFonts w:hint="eastAsia" w:asciiTheme="minorEastAsia" w:hAnsiTheme="minorEastAsia"/>
                <w:szCs w:val="21"/>
              </w:rPr>
              <w:br w:type="textWrapping"/>
            </w:r>
            <w:r>
              <w:rPr>
                <w:rFonts w:hint="eastAsia" w:asciiTheme="minorEastAsia" w:hAnsiTheme="minorEastAsia"/>
                <w:szCs w:val="21"/>
              </w:rPr>
              <w:t>故障设置板故障设计路数最大可支持不少于256路，板上设有口字型故障设置区域及12V正负极电源接口，可通过故障设置模块与故障设置线束，以及配置的短接插件数量不少于181个，断路插接件数量不少于15个，用来设置断路、短路、虚接、交叉故障。故障范围应包含电池管理系统、整车控制器、电机控制器、交流充电系统、车身控制模块、驾驶辅助系统在内的多个系统不少于161个故障线路与不少于20个测量线路。</w:t>
            </w:r>
            <w:r>
              <w:rPr>
                <w:rFonts w:hint="eastAsia" w:asciiTheme="minorEastAsia" w:hAnsiTheme="minorEastAsia"/>
                <w:szCs w:val="21"/>
              </w:rPr>
              <w:br w:type="textWrapping"/>
            </w:r>
            <w:r>
              <w:rPr>
                <w:rFonts w:hint="eastAsia" w:asciiTheme="minorEastAsia" w:hAnsiTheme="minorEastAsia"/>
                <w:szCs w:val="21"/>
              </w:rPr>
              <w:t>（3）信息查询区</w:t>
            </w:r>
            <w:r>
              <w:rPr>
                <w:rFonts w:hint="eastAsia" w:asciiTheme="minorEastAsia" w:hAnsiTheme="minorEastAsia"/>
                <w:szCs w:val="21"/>
              </w:rPr>
              <w:br w:type="textWrapping"/>
            </w:r>
            <w:r>
              <w:rPr>
                <w:rFonts w:hint="eastAsia" w:asciiTheme="minorEastAsia" w:hAnsiTheme="minorEastAsia"/>
                <w:szCs w:val="21"/>
              </w:rPr>
              <w:t>显示屏内配套电子版设备用户手册及主机厂授权的车型用户手册、电路图、维修手册等资料，满足教学、学习使用需求。</w:t>
            </w:r>
            <w:r>
              <w:rPr>
                <w:rFonts w:hint="eastAsia" w:asciiTheme="minorEastAsia" w:hAnsiTheme="minorEastAsia"/>
                <w:szCs w:val="21"/>
              </w:rPr>
              <w:br w:type="textWrapping"/>
            </w:r>
            <w:r>
              <w:rPr>
                <w:rFonts w:hint="eastAsia" w:asciiTheme="minorEastAsia" w:hAnsiTheme="minorEastAsia"/>
                <w:szCs w:val="21"/>
              </w:rPr>
              <w:t>信息查询区应与独立电脑主机相连，主机应满足十代I5处理器及以上，显卡应满足RTX2060及以上可流畅运行虚拟仿真教学软件系统。</w:t>
            </w:r>
            <w:r>
              <w:rPr>
                <w:rFonts w:hint="eastAsia" w:asciiTheme="minorEastAsia" w:hAnsiTheme="minorEastAsia"/>
                <w:szCs w:val="21"/>
              </w:rPr>
              <w:br w:type="textWrapping"/>
            </w:r>
            <w:r>
              <w:rPr>
                <w:rFonts w:hint="eastAsia" w:asciiTheme="minorEastAsia" w:hAnsiTheme="minorEastAsia"/>
                <w:szCs w:val="21"/>
              </w:rPr>
              <w:t>（4）操作测量区</w:t>
            </w:r>
            <w:r>
              <w:rPr>
                <w:rFonts w:hint="eastAsia" w:asciiTheme="minorEastAsia" w:hAnsiTheme="minorEastAsia"/>
                <w:szCs w:val="21"/>
              </w:rPr>
              <w:br w:type="textWrapping"/>
            </w:r>
            <w:r>
              <w:rPr>
                <w:rFonts w:hint="eastAsia" w:asciiTheme="minorEastAsia" w:hAnsiTheme="minorEastAsia"/>
                <w:szCs w:val="21"/>
              </w:rPr>
              <w:t>操作测量区尺寸应不小于520*300mm，可用于放置万用表、示波器、故障诊断仪、维修资料、教材等设备资料，用于整车故障诊断与排除作业，并且操作测量区需配有鼠标垫、键盘、鼠标，在此区域可操作教学主机用于维修资料的查询，教学课件播放等。</w:t>
            </w:r>
            <w:r>
              <w:rPr>
                <w:rFonts w:hint="eastAsia" w:asciiTheme="minorEastAsia" w:hAnsiTheme="minorEastAsia"/>
                <w:szCs w:val="21"/>
              </w:rPr>
              <w:br w:type="textWrapping"/>
            </w:r>
            <w:r>
              <w:rPr>
                <w:rFonts w:hint="eastAsia" w:asciiTheme="minorEastAsia" w:hAnsiTheme="minorEastAsia"/>
                <w:szCs w:val="21"/>
              </w:rPr>
              <w:t>需配置定制化桌面开关，功能应包含电脑主机开机、重启、标准耳机孔、USB3.0、USB2.0、Type-C口等多种便捷功能。</w:t>
            </w:r>
            <w:r>
              <w:rPr>
                <w:rFonts w:hint="eastAsia" w:asciiTheme="minorEastAsia" w:hAnsiTheme="minorEastAsia"/>
                <w:szCs w:val="21"/>
              </w:rPr>
              <w:br w:type="textWrapping"/>
            </w:r>
            <w:r>
              <w:rPr>
                <w:rFonts w:hint="eastAsia" w:asciiTheme="minorEastAsia" w:hAnsiTheme="minorEastAsia"/>
                <w:szCs w:val="21"/>
              </w:rPr>
              <w:t>（5）零部件收纳区</w:t>
            </w:r>
            <w:r>
              <w:rPr>
                <w:rFonts w:hint="eastAsia" w:asciiTheme="minorEastAsia" w:hAnsiTheme="minorEastAsia"/>
                <w:szCs w:val="21"/>
              </w:rPr>
              <w:br w:type="textWrapping"/>
            </w:r>
            <w:r>
              <w:rPr>
                <w:rFonts w:hint="eastAsia" w:asciiTheme="minorEastAsia" w:hAnsiTheme="minorEastAsia"/>
                <w:szCs w:val="21"/>
              </w:rPr>
              <w:t>设备下半部分应设有自吸抽屉且根据零部件设计的内衬卡槽。抽屉内应配备了遥控器、收纳盒、键盘、鼠标、故障设置线束应包含红色线束、黑色线束各5根，故障设置模块种类应包含5Ω电阻、10Ω电阻、50Ω电阻、100Ω电阻、500Ω电阻、1000Ω电阻、100K电阻、1K电位计、5K电位计、20K电位计，汽车保险规格应包括5A、7.5A、10A、15A、20A、30A多种保险丝，汽车继电器应包含12VDC-10A  5爪、12VDC-30A  4爪、12VDC-70A、12VDC-40A、12VDC-20A多种线圈及触点故障继电器。</w:t>
            </w:r>
            <w:r>
              <w:rPr>
                <w:rFonts w:hint="eastAsia" w:asciiTheme="minorEastAsia" w:hAnsiTheme="minorEastAsia"/>
                <w:szCs w:val="21"/>
              </w:rPr>
              <w:br w:type="textWrapping"/>
            </w:r>
            <w:r>
              <w:rPr>
                <w:rFonts w:hint="eastAsia" w:asciiTheme="minorEastAsia" w:hAnsiTheme="minorEastAsia"/>
                <w:szCs w:val="21"/>
              </w:rPr>
              <w:t>抽屉内也应放置与整车连接的故障线束便于零配件收纳，与整车连接的线束上应套有线标，标有其连接插头的名称。</w:t>
            </w:r>
            <w:r>
              <w:rPr>
                <w:rFonts w:hint="eastAsia" w:asciiTheme="minorEastAsia" w:hAnsiTheme="minorEastAsia"/>
                <w:szCs w:val="21"/>
              </w:rPr>
              <w:br w:type="textWrapping"/>
            </w:r>
            <w:r>
              <w:rPr>
                <w:rFonts w:hint="eastAsia" w:asciiTheme="minorEastAsia" w:hAnsiTheme="minorEastAsia"/>
                <w:szCs w:val="21"/>
              </w:rPr>
              <w:t>四、实训项目</w:t>
            </w:r>
            <w:r>
              <w:rPr>
                <w:rFonts w:hint="eastAsia" w:asciiTheme="minorEastAsia" w:hAnsiTheme="minorEastAsia"/>
                <w:szCs w:val="21"/>
              </w:rPr>
              <w:br w:type="textWrapping"/>
            </w:r>
            <w:r>
              <w:rPr>
                <w:rFonts w:hint="eastAsia" w:asciiTheme="minorEastAsia" w:hAnsiTheme="minorEastAsia"/>
                <w:szCs w:val="21"/>
              </w:rPr>
              <w:t>（1）车身控制模块（BCM）</w:t>
            </w:r>
            <w:r>
              <w:rPr>
                <w:rFonts w:hint="eastAsia" w:asciiTheme="minorEastAsia" w:hAnsiTheme="minorEastAsia"/>
                <w:szCs w:val="21"/>
              </w:rPr>
              <w:br w:type="textWrapping"/>
            </w:r>
            <w:r>
              <w:rPr>
                <w:rFonts w:hint="eastAsia" w:asciiTheme="minorEastAsia" w:hAnsiTheme="minorEastAsia"/>
                <w:szCs w:val="21"/>
              </w:rPr>
              <w:t>启动信号故障诊断与测量</w:t>
            </w:r>
            <w:r>
              <w:rPr>
                <w:rFonts w:hint="eastAsia" w:asciiTheme="minorEastAsia" w:hAnsiTheme="minorEastAsia"/>
                <w:szCs w:val="21"/>
              </w:rPr>
              <w:br w:type="textWrapping"/>
            </w:r>
            <w:r>
              <w:rPr>
                <w:rFonts w:hint="eastAsia" w:asciiTheme="minorEastAsia" w:hAnsiTheme="minorEastAsia"/>
                <w:szCs w:val="21"/>
              </w:rPr>
              <w:t>IG1电源故障诊断与测量</w:t>
            </w:r>
            <w:r>
              <w:rPr>
                <w:rFonts w:hint="eastAsia" w:asciiTheme="minorEastAsia" w:hAnsiTheme="minorEastAsia"/>
                <w:szCs w:val="21"/>
              </w:rPr>
              <w:br w:type="textWrapping"/>
            </w:r>
            <w:r>
              <w:rPr>
                <w:rFonts w:hint="eastAsia" w:asciiTheme="minorEastAsia" w:hAnsiTheme="minorEastAsia"/>
                <w:szCs w:val="21"/>
              </w:rPr>
              <w:t>制动灯故障诊断与测量</w:t>
            </w:r>
            <w:r>
              <w:rPr>
                <w:rFonts w:hint="eastAsia" w:asciiTheme="minorEastAsia" w:hAnsiTheme="minorEastAsia"/>
                <w:szCs w:val="21"/>
              </w:rPr>
              <w:br w:type="textWrapping"/>
            </w:r>
            <w:r>
              <w:rPr>
                <w:rFonts w:hint="eastAsia" w:asciiTheme="minorEastAsia" w:hAnsiTheme="minorEastAsia"/>
                <w:szCs w:val="21"/>
              </w:rPr>
              <w:t>左前、右前转向灯故障反馈信号故障诊断与测量</w:t>
            </w:r>
            <w:r>
              <w:rPr>
                <w:rFonts w:hint="eastAsia" w:asciiTheme="minorEastAsia" w:hAnsiTheme="minorEastAsia"/>
                <w:szCs w:val="21"/>
              </w:rPr>
              <w:br w:type="textWrapping"/>
            </w:r>
            <w:r>
              <w:rPr>
                <w:rFonts w:hint="eastAsia" w:asciiTheme="minorEastAsia" w:hAnsiTheme="minorEastAsia"/>
                <w:szCs w:val="21"/>
              </w:rPr>
              <w:t>前舱盖接触开关信号故障诊断与测量</w:t>
            </w:r>
            <w:r>
              <w:rPr>
                <w:rFonts w:hint="eastAsia" w:asciiTheme="minorEastAsia" w:hAnsiTheme="minorEastAsia"/>
                <w:szCs w:val="21"/>
              </w:rPr>
              <w:br w:type="textWrapping"/>
            </w:r>
            <w:r>
              <w:rPr>
                <w:rFonts w:hint="eastAsia" w:asciiTheme="minorEastAsia" w:hAnsiTheme="minorEastAsia"/>
                <w:szCs w:val="21"/>
              </w:rPr>
              <w:t>前雨刮停止位开关输入故障诊断与测量</w:t>
            </w:r>
            <w:r>
              <w:rPr>
                <w:rFonts w:hint="eastAsia" w:asciiTheme="minorEastAsia" w:hAnsiTheme="minorEastAsia"/>
                <w:szCs w:val="21"/>
              </w:rPr>
              <w:br w:type="textWrapping"/>
            </w:r>
            <w:r>
              <w:rPr>
                <w:rFonts w:hint="eastAsia" w:asciiTheme="minorEastAsia" w:hAnsiTheme="minorEastAsia"/>
                <w:szCs w:val="21"/>
              </w:rPr>
              <w:t>危险警告灯开关信号故障诊断与测量</w:t>
            </w:r>
            <w:r>
              <w:rPr>
                <w:rFonts w:hint="eastAsia" w:asciiTheme="minorEastAsia" w:hAnsiTheme="minorEastAsia"/>
                <w:szCs w:val="21"/>
              </w:rPr>
              <w:br w:type="textWrapping"/>
            </w:r>
            <w:r>
              <w:rPr>
                <w:rFonts w:hint="eastAsia" w:asciiTheme="minorEastAsia" w:hAnsiTheme="minorEastAsia"/>
                <w:szCs w:val="21"/>
              </w:rPr>
              <w:t>转向灯点亮信号输出故障诊断与测量</w:t>
            </w:r>
            <w:r>
              <w:rPr>
                <w:rFonts w:hint="eastAsia" w:asciiTheme="minorEastAsia" w:hAnsiTheme="minorEastAsia"/>
                <w:szCs w:val="21"/>
              </w:rPr>
              <w:br w:type="textWrapping"/>
            </w:r>
            <w:r>
              <w:rPr>
                <w:rFonts w:hint="eastAsia" w:asciiTheme="minorEastAsia" w:hAnsiTheme="minorEastAsia"/>
                <w:szCs w:val="21"/>
              </w:rPr>
              <w:t>雨刮低速继电器控制故障诊断与测量</w:t>
            </w:r>
            <w:r>
              <w:rPr>
                <w:rFonts w:hint="eastAsia" w:asciiTheme="minorEastAsia" w:hAnsiTheme="minorEastAsia"/>
                <w:szCs w:val="21"/>
              </w:rPr>
              <w:br w:type="textWrapping"/>
            </w:r>
            <w:r>
              <w:rPr>
                <w:rFonts w:hint="eastAsia" w:asciiTheme="minorEastAsia" w:hAnsiTheme="minorEastAsia"/>
                <w:szCs w:val="21"/>
              </w:rPr>
              <w:t>雨刮高速继电器控制故障诊断与测量</w:t>
            </w:r>
            <w:r>
              <w:rPr>
                <w:rFonts w:hint="eastAsia" w:asciiTheme="minorEastAsia" w:hAnsiTheme="minorEastAsia"/>
                <w:szCs w:val="21"/>
              </w:rPr>
              <w:br w:type="textWrapping"/>
            </w:r>
            <w:r>
              <w:rPr>
                <w:rFonts w:hint="eastAsia" w:asciiTheme="minorEastAsia" w:hAnsiTheme="minorEastAsia"/>
                <w:szCs w:val="21"/>
              </w:rPr>
              <w:t>喇叭继电器控制故障诊断与测量</w:t>
            </w:r>
            <w:r>
              <w:rPr>
                <w:rFonts w:hint="eastAsia" w:asciiTheme="minorEastAsia" w:hAnsiTheme="minorEastAsia"/>
                <w:szCs w:val="21"/>
              </w:rPr>
              <w:br w:type="textWrapping"/>
            </w:r>
            <w:r>
              <w:rPr>
                <w:rFonts w:hint="eastAsia" w:asciiTheme="minorEastAsia" w:hAnsiTheme="minorEastAsia"/>
                <w:szCs w:val="21"/>
              </w:rPr>
              <w:t>后除霜继电器控制故障诊断与测量</w:t>
            </w:r>
            <w:r>
              <w:rPr>
                <w:rFonts w:hint="eastAsia" w:asciiTheme="minorEastAsia" w:hAnsiTheme="minorEastAsia"/>
                <w:szCs w:val="21"/>
              </w:rPr>
              <w:br w:type="textWrapping"/>
            </w:r>
            <w:r>
              <w:rPr>
                <w:rFonts w:hint="eastAsia" w:asciiTheme="minorEastAsia" w:hAnsiTheme="minorEastAsia"/>
                <w:szCs w:val="21"/>
              </w:rPr>
              <w:t>驾驶员侧门锁电机解锁信号故障诊断与测量</w:t>
            </w:r>
            <w:r>
              <w:rPr>
                <w:rFonts w:hint="eastAsia" w:asciiTheme="minorEastAsia" w:hAnsiTheme="minorEastAsia"/>
                <w:szCs w:val="21"/>
              </w:rPr>
              <w:br w:type="textWrapping"/>
            </w:r>
            <w:r>
              <w:rPr>
                <w:rFonts w:hint="eastAsia" w:asciiTheme="minorEastAsia" w:hAnsiTheme="minorEastAsia"/>
                <w:szCs w:val="21"/>
              </w:rPr>
              <w:t>中控门锁电源故障诊断与测量</w:t>
            </w:r>
            <w:r>
              <w:rPr>
                <w:rFonts w:hint="eastAsia" w:asciiTheme="minorEastAsia" w:hAnsiTheme="minorEastAsia"/>
                <w:szCs w:val="21"/>
              </w:rPr>
              <w:br w:type="textWrapping"/>
            </w:r>
            <w:r>
              <w:rPr>
                <w:rFonts w:hint="eastAsia" w:asciiTheme="minorEastAsia" w:hAnsiTheme="minorEastAsia"/>
                <w:szCs w:val="21"/>
              </w:rPr>
              <w:t>中控解锁信号（除驾驶员门）故障诊断与测量</w:t>
            </w:r>
            <w:r>
              <w:rPr>
                <w:rFonts w:hint="eastAsia" w:asciiTheme="minorEastAsia" w:hAnsiTheme="minorEastAsia"/>
                <w:szCs w:val="21"/>
              </w:rPr>
              <w:br w:type="textWrapping"/>
            </w:r>
            <w:r>
              <w:rPr>
                <w:rFonts w:hint="eastAsia" w:asciiTheme="minorEastAsia" w:hAnsiTheme="minorEastAsia"/>
                <w:szCs w:val="21"/>
              </w:rPr>
              <w:t>车身控制模块接地2故障诊断与测量</w:t>
            </w:r>
            <w:r>
              <w:rPr>
                <w:rFonts w:hint="eastAsia" w:asciiTheme="minorEastAsia" w:hAnsiTheme="minorEastAsia"/>
                <w:szCs w:val="21"/>
              </w:rPr>
              <w:br w:type="textWrapping"/>
            </w:r>
            <w:r>
              <w:rPr>
                <w:rFonts w:hint="eastAsia" w:asciiTheme="minorEastAsia" w:hAnsiTheme="minorEastAsia"/>
                <w:szCs w:val="21"/>
              </w:rPr>
              <w:t>左近光灯信号输出故障诊断与测量</w:t>
            </w:r>
            <w:r>
              <w:rPr>
                <w:rFonts w:hint="eastAsia" w:asciiTheme="minorEastAsia" w:hAnsiTheme="minorEastAsia"/>
                <w:szCs w:val="21"/>
              </w:rPr>
              <w:br w:type="textWrapping"/>
            </w:r>
            <w:r>
              <w:rPr>
                <w:rFonts w:hint="eastAsia" w:asciiTheme="minorEastAsia" w:hAnsiTheme="minorEastAsia"/>
                <w:szCs w:val="21"/>
              </w:rPr>
              <w:t>中控闭锁信号故障诊断与测量</w:t>
            </w:r>
            <w:r>
              <w:rPr>
                <w:rFonts w:hint="eastAsia" w:asciiTheme="minorEastAsia" w:hAnsiTheme="minorEastAsia"/>
                <w:szCs w:val="21"/>
              </w:rPr>
              <w:br w:type="textWrapping"/>
            </w:r>
            <w:r>
              <w:rPr>
                <w:rFonts w:hint="eastAsia" w:asciiTheme="minorEastAsia" w:hAnsiTheme="minorEastAsia"/>
                <w:szCs w:val="21"/>
              </w:rPr>
              <w:t>前洗涤电源故障诊断与测量</w:t>
            </w:r>
            <w:r>
              <w:rPr>
                <w:rFonts w:hint="eastAsia" w:asciiTheme="minorEastAsia" w:hAnsiTheme="minorEastAsia"/>
                <w:szCs w:val="21"/>
              </w:rPr>
              <w:br w:type="textWrapping"/>
            </w:r>
            <w:r>
              <w:rPr>
                <w:rFonts w:hint="eastAsia" w:asciiTheme="minorEastAsia" w:hAnsiTheme="minorEastAsia"/>
                <w:szCs w:val="21"/>
              </w:rPr>
              <w:t>前洗涤电机电源故障诊断与测量</w:t>
            </w:r>
            <w:r>
              <w:rPr>
                <w:rFonts w:hint="eastAsia" w:asciiTheme="minorEastAsia" w:hAnsiTheme="minorEastAsia"/>
                <w:szCs w:val="21"/>
              </w:rPr>
              <w:br w:type="textWrapping"/>
            </w:r>
            <w:r>
              <w:rPr>
                <w:rFonts w:hint="eastAsia" w:asciiTheme="minorEastAsia" w:hAnsiTheme="minorEastAsia"/>
                <w:szCs w:val="21"/>
              </w:rPr>
              <w:t>室外灯电源2故障诊断与测量</w:t>
            </w:r>
            <w:r>
              <w:rPr>
                <w:rFonts w:hint="eastAsia" w:asciiTheme="minorEastAsia" w:hAnsiTheme="minorEastAsia"/>
                <w:szCs w:val="21"/>
              </w:rPr>
              <w:br w:type="textWrapping"/>
            </w:r>
            <w:r>
              <w:rPr>
                <w:rFonts w:hint="eastAsia" w:asciiTheme="minorEastAsia" w:hAnsiTheme="minorEastAsia"/>
                <w:szCs w:val="21"/>
              </w:rPr>
              <w:t>右远光灯信号输出故障诊断与测量</w:t>
            </w:r>
            <w:r>
              <w:rPr>
                <w:rFonts w:hint="eastAsia" w:asciiTheme="minorEastAsia" w:hAnsiTheme="minorEastAsia"/>
                <w:szCs w:val="21"/>
              </w:rPr>
              <w:br w:type="textWrapping"/>
            </w:r>
            <w:r>
              <w:rPr>
                <w:rFonts w:hint="eastAsia" w:asciiTheme="minorEastAsia" w:hAnsiTheme="minorEastAsia"/>
                <w:szCs w:val="21"/>
              </w:rPr>
              <w:t>左日间行车灯信号输出故障诊断与测量</w:t>
            </w:r>
            <w:r>
              <w:rPr>
                <w:rFonts w:hint="eastAsia" w:asciiTheme="minorEastAsia" w:hAnsiTheme="minorEastAsia"/>
                <w:szCs w:val="21"/>
              </w:rPr>
              <w:br w:type="textWrapping"/>
            </w:r>
            <w:r>
              <w:rPr>
                <w:rFonts w:hint="eastAsia" w:asciiTheme="minorEastAsia" w:hAnsiTheme="minorEastAsia"/>
                <w:szCs w:val="21"/>
              </w:rPr>
              <w:t>行李箱门锁电机解锁故障诊断与测量</w:t>
            </w:r>
            <w:r>
              <w:rPr>
                <w:rFonts w:hint="eastAsia" w:asciiTheme="minorEastAsia" w:hAnsiTheme="minorEastAsia"/>
                <w:szCs w:val="21"/>
              </w:rPr>
              <w:br w:type="textWrapping"/>
            </w:r>
            <w:r>
              <w:rPr>
                <w:rFonts w:hint="eastAsia" w:asciiTheme="minorEastAsia" w:hAnsiTheme="minorEastAsia"/>
                <w:szCs w:val="21"/>
              </w:rPr>
              <w:t>高位制动灯信号输出故障诊断与测量</w:t>
            </w:r>
            <w:r>
              <w:rPr>
                <w:rFonts w:hint="eastAsia" w:asciiTheme="minorEastAsia" w:hAnsiTheme="minorEastAsia"/>
                <w:szCs w:val="21"/>
              </w:rPr>
              <w:br w:type="textWrapping"/>
            </w:r>
            <w:r>
              <w:rPr>
                <w:rFonts w:hint="eastAsia" w:asciiTheme="minorEastAsia" w:hAnsiTheme="minorEastAsia"/>
                <w:szCs w:val="21"/>
              </w:rPr>
              <w:t>节电继电器输出故障诊断与测量</w:t>
            </w:r>
            <w:r>
              <w:rPr>
                <w:rFonts w:hint="eastAsia" w:asciiTheme="minorEastAsia" w:hAnsiTheme="minorEastAsia"/>
                <w:szCs w:val="21"/>
              </w:rPr>
              <w:br w:type="textWrapping"/>
            </w:r>
            <w:r>
              <w:rPr>
                <w:rFonts w:hint="eastAsia" w:asciiTheme="minorEastAsia" w:hAnsiTheme="minorEastAsia"/>
                <w:szCs w:val="21"/>
              </w:rPr>
              <w:t>后雾灯信号输出故障诊断与测量</w:t>
            </w:r>
            <w:r>
              <w:rPr>
                <w:rFonts w:hint="eastAsia" w:asciiTheme="minorEastAsia" w:hAnsiTheme="minorEastAsia"/>
                <w:szCs w:val="21"/>
              </w:rPr>
              <w:br w:type="textWrapping"/>
            </w:r>
            <w:r>
              <w:rPr>
                <w:rFonts w:hint="eastAsia" w:asciiTheme="minorEastAsia" w:hAnsiTheme="minorEastAsia"/>
                <w:szCs w:val="21"/>
              </w:rPr>
              <w:t>制动灯信号输出故障诊断与测量</w:t>
            </w:r>
            <w:r>
              <w:rPr>
                <w:rFonts w:hint="eastAsia" w:asciiTheme="minorEastAsia" w:hAnsiTheme="minorEastAsia"/>
                <w:szCs w:val="21"/>
              </w:rPr>
              <w:br w:type="textWrapping"/>
            </w:r>
            <w:r>
              <w:rPr>
                <w:rFonts w:hint="eastAsia" w:asciiTheme="minorEastAsia" w:hAnsiTheme="minorEastAsia"/>
                <w:szCs w:val="21"/>
              </w:rPr>
              <w:t>倒车灯信号输出故障诊断与测量</w:t>
            </w:r>
            <w:r>
              <w:rPr>
                <w:rFonts w:hint="eastAsia" w:asciiTheme="minorEastAsia" w:hAnsiTheme="minorEastAsia"/>
                <w:szCs w:val="21"/>
              </w:rPr>
              <w:br w:type="textWrapping"/>
            </w:r>
            <w:r>
              <w:rPr>
                <w:rFonts w:hint="eastAsia" w:asciiTheme="minorEastAsia" w:hAnsiTheme="minorEastAsia"/>
                <w:szCs w:val="21"/>
              </w:rPr>
              <w:t>左远光灯信号输出故障诊断与测量</w:t>
            </w:r>
            <w:r>
              <w:rPr>
                <w:rFonts w:hint="eastAsia" w:asciiTheme="minorEastAsia" w:hAnsiTheme="minorEastAsia"/>
                <w:szCs w:val="21"/>
              </w:rPr>
              <w:br w:type="textWrapping"/>
            </w:r>
            <w:r>
              <w:rPr>
                <w:rFonts w:hint="eastAsia" w:asciiTheme="minorEastAsia" w:hAnsiTheme="minorEastAsia"/>
                <w:szCs w:val="21"/>
              </w:rPr>
              <w:t>阅读灯门控档故障诊断与测量</w:t>
            </w:r>
            <w:r>
              <w:rPr>
                <w:rFonts w:hint="eastAsia" w:asciiTheme="minorEastAsia" w:hAnsiTheme="minorEastAsia"/>
                <w:szCs w:val="21"/>
              </w:rPr>
              <w:br w:type="textWrapping"/>
            </w:r>
            <w:r>
              <w:rPr>
                <w:rFonts w:hint="eastAsia" w:asciiTheme="minorEastAsia" w:hAnsiTheme="minorEastAsia"/>
                <w:szCs w:val="21"/>
              </w:rPr>
              <w:t>右位置灯信号输出故障诊断与测量</w:t>
            </w:r>
            <w:r>
              <w:rPr>
                <w:rFonts w:hint="eastAsia" w:asciiTheme="minorEastAsia" w:hAnsiTheme="minorEastAsia"/>
                <w:szCs w:val="21"/>
              </w:rPr>
              <w:br w:type="textWrapping"/>
            </w:r>
            <w:r>
              <w:rPr>
                <w:rFonts w:hint="eastAsia" w:asciiTheme="minorEastAsia" w:hAnsiTheme="minorEastAsia"/>
                <w:szCs w:val="21"/>
              </w:rPr>
              <w:t>背光灯信号输出故障诊断与测量</w:t>
            </w:r>
            <w:r>
              <w:rPr>
                <w:rFonts w:hint="eastAsia" w:asciiTheme="minorEastAsia" w:hAnsiTheme="minorEastAsia"/>
                <w:szCs w:val="21"/>
              </w:rPr>
              <w:br w:type="textWrapping"/>
            </w:r>
            <w:r>
              <w:rPr>
                <w:rFonts w:hint="eastAsia" w:asciiTheme="minorEastAsia" w:hAnsiTheme="minorEastAsia"/>
                <w:szCs w:val="21"/>
              </w:rPr>
              <w:t>右转向灯信号输出故障诊断与测量</w:t>
            </w:r>
            <w:r>
              <w:rPr>
                <w:rFonts w:hint="eastAsia" w:asciiTheme="minorEastAsia" w:hAnsiTheme="minorEastAsia"/>
                <w:szCs w:val="21"/>
              </w:rPr>
              <w:br w:type="textWrapping"/>
            </w:r>
            <w:r>
              <w:rPr>
                <w:rFonts w:hint="eastAsia" w:asciiTheme="minorEastAsia" w:hAnsiTheme="minorEastAsia"/>
                <w:szCs w:val="21"/>
              </w:rPr>
              <w:t>左转向灯信号输出故障诊断与测量</w:t>
            </w:r>
            <w:r>
              <w:rPr>
                <w:rFonts w:hint="eastAsia" w:asciiTheme="minorEastAsia" w:hAnsiTheme="minorEastAsia"/>
                <w:szCs w:val="21"/>
              </w:rPr>
              <w:br w:type="textWrapping"/>
            </w:r>
            <w:r>
              <w:rPr>
                <w:rFonts w:hint="eastAsia" w:asciiTheme="minorEastAsia" w:hAnsiTheme="minorEastAsia"/>
                <w:szCs w:val="21"/>
              </w:rPr>
              <w:t>右日间行车灯信号输出故障诊断与测量</w:t>
            </w:r>
            <w:r>
              <w:rPr>
                <w:rFonts w:hint="eastAsia" w:asciiTheme="minorEastAsia" w:hAnsiTheme="minorEastAsia"/>
                <w:szCs w:val="21"/>
              </w:rPr>
              <w:br w:type="textWrapping"/>
            </w:r>
            <w:r>
              <w:rPr>
                <w:rFonts w:hint="eastAsia" w:asciiTheme="minorEastAsia" w:hAnsiTheme="minorEastAsia"/>
                <w:szCs w:val="21"/>
              </w:rPr>
              <w:t>左位置灯信号输出故障诊断与测量</w:t>
            </w:r>
            <w:r>
              <w:rPr>
                <w:rFonts w:hint="eastAsia" w:asciiTheme="minorEastAsia" w:hAnsiTheme="minorEastAsia"/>
                <w:szCs w:val="21"/>
              </w:rPr>
              <w:br w:type="textWrapping"/>
            </w:r>
            <w:r>
              <w:rPr>
                <w:rFonts w:hint="eastAsia" w:asciiTheme="minorEastAsia" w:hAnsiTheme="minorEastAsia"/>
                <w:szCs w:val="21"/>
              </w:rPr>
              <w:t>车身控制模块接地1故障诊断与测量</w:t>
            </w:r>
            <w:r>
              <w:rPr>
                <w:rFonts w:hint="eastAsia" w:asciiTheme="minorEastAsia" w:hAnsiTheme="minorEastAsia"/>
                <w:szCs w:val="21"/>
              </w:rPr>
              <w:br w:type="textWrapping"/>
            </w:r>
            <w:r>
              <w:rPr>
                <w:rFonts w:hint="eastAsia" w:asciiTheme="minorEastAsia" w:hAnsiTheme="minorEastAsia"/>
                <w:szCs w:val="21"/>
              </w:rPr>
              <w:t>右近光灯信号输出故障诊断与测量</w:t>
            </w:r>
            <w:r>
              <w:rPr>
                <w:rFonts w:hint="eastAsia" w:asciiTheme="minorEastAsia" w:hAnsiTheme="minorEastAsia"/>
                <w:szCs w:val="21"/>
              </w:rPr>
              <w:br w:type="textWrapping"/>
            </w:r>
            <w:r>
              <w:rPr>
                <w:rFonts w:hint="eastAsia" w:asciiTheme="minorEastAsia" w:hAnsiTheme="minorEastAsia"/>
                <w:szCs w:val="21"/>
              </w:rPr>
              <w:t>室外灯电源1故障诊断与测量</w:t>
            </w:r>
            <w:r>
              <w:rPr>
                <w:rFonts w:hint="eastAsia" w:asciiTheme="minorEastAsia" w:hAnsiTheme="minorEastAsia"/>
                <w:szCs w:val="21"/>
              </w:rPr>
              <w:br w:type="textWrapping"/>
            </w:r>
            <w:r>
              <w:rPr>
                <w:rFonts w:hint="eastAsia" w:asciiTheme="minorEastAsia" w:hAnsiTheme="minorEastAsia"/>
                <w:szCs w:val="21"/>
              </w:rPr>
              <w:t>B+电源故障诊断与测量</w:t>
            </w:r>
            <w:r>
              <w:rPr>
                <w:rFonts w:hint="eastAsia" w:asciiTheme="minorEastAsia" w:hAnsiTheme="minorEastAsia"/>
                <w:szCs w:val="21"/>
              </w:rPr>
              <w:br w:type="textWrapping"/>
            </w:r>
            <w:r>
              <w:rPr>
                <w:rFonts w:hint="eastAsia" w:asciiTheme="minorEastAsia" w:hAnsiTheme="minorEastAsia"/>
                <w:szCs w:val="21"/>
              </w:rPr>
              <w:t>转向灯电源故障诊断与测量</w:t>
            </w:r>
            <w:r>
              <w:rPr>
                <w:rFonts w:hint="eastAsia" w:asciiTheme="minorEastAsia" w:hAnsiTheme="minorEastAsia"/>
                <w:szCs w:val="21"/>
              </w:rPr>
              <w:br w:type="textWrapping"/>
            </w:r>
            <w:r>
              <w:rPr>
                <w:rFonts w:hint="eastAsia" w:asciiTheme="minorEastAsia" w:hAnsiTheme="minorEastAsia"/>
                <w:szCs w:val="21"/>
              </w:rPr>
              <w:t>危险报警灯开关故障诊断与测量</w:t>
            </w:r>
            <w:r>
              <w:rPr>
                <w:rFonts w:hint="eastAsia" w:asciiTheme="minorEastAsia" w:hAnsiTheme="minorEastAsia"/>
                <w:szCs w:val="21"/>
              </w:rPr>
              <w:br w:type="textWrapping"/>
            </w:r>
            <w:r>
              <w:rPr>
                <w:rFonts w:hint="eastAsia" w:asciiTheme="minorEastAsia" w:hAnsiTheme="minorEastAsia"/>
                <w:szCs w:val="21"/>
              </w:rPr>
              <w:t>左右前组合灯故障诊断与测量</w:t>
            </w:r>
            <w:r>
              <w:rPr>
                <w:rFonts w:hint="eastAsia" w:asciiTheme="minorEastAsia" w:hAnsiTheme="minorEastAsia"/>
                <w:szCs w:val="21"/>
              </w:rPr>
              <w:br w:type="textWrapping"/>
            </w:r>
            <w:r>
              <w:rPr>
                <w:rFonts w:hint="eastAsia" w:asciiTheme="minorEastAsia" w:hAnsiTheme="minorEastAsia"/>
                <w:szCs w:val="21"/>
              </w:rPr>
              <w:t>驾驶员侧门玻璃升降器开关故障诊断与测量</w:t>
            </w:r>
            <w:r>
              <w:rPr>
                <w:rFonts w:hint="eastAsia" w:asciiTheme="minorEastAsia" w:hAnsiTheme="minorEastAsia"/>
                <w:szCs w:val="21"/>
              </w:rPr>
              <w:br w:type="textWrapping"/>
            </w:r>
            <w:r>
              <w:rPr>
                <w:rFonts w:hint="eastAsia" w:asciiTheme="minorEastAsia" w:hAnsiTheme="minorEastAsia"/>
                <w:szCs w:val="21"/>
              </w:rPr>
              <w:t>行李箱灯故障诊断与测量</w:t>
            </w:r>
            <w:r>
              <w:rPr>
                <w:rFonts w:hint="eastAsia" w:asciiTheme="minorEastAsia" w:hAnsiTheme="minorEastAsia"/>
                <w:szCs w:val="21"/>
              </w:rPr>
              <w:br w:type="textWrapping"/>
            </w:r>
            <w:r>
              <w:rPr>
                <w:rFonts w:hint="eastAsia" w:asciiTheme="minorEastAsia" w:hAnsiTheme="minorEastAsia"/>
                <w:szCs w:val="21"/>
              </w:rPr>
              <w:t>环境光传感器信号故障诊断与测量</w:t>
            </w:r>
            <w:r>
              <w:rPr>
                <w:rFonts w:hint="eastAsia" w:asciiTheme="minorEastAsia" w:hAnsiTheme="minorEastAsia"/>
                <w:szCs w:val="21"/>
              </w:rPr>
              <w:br w:type="textWrapping"/>
            </w:r>
            <w:r>
              <w:rPr>
                <w:rFonts w:hint="eastAsia" w:asciiTheme="minorEastAsia" w:hAnsiTheme="minorEastAsia"/>
                <w:szCs w:val="21"/>
              </w:rPr>
              <w:t>室内保险丝继电器盒CF19（10A）故障诊断与测量</w:t>
            </w:r>
            <w:r>
              <w:rPr>
                <w:rFonts w:hint="eastAsia" w:asciiTheme="minorEastAsia" w:hAnsiTheme="minorEastAsia"/>
                <w:szCs w:val="21"/>
              </w:rPr>
              <w:br w:type="textWrapping"/>
            </w:r>
            <w:r>
              <w:rPr>
                <w:rFonts w:hint="eastAsia" w:asciiTheme="minorEastAsia" w:hAnsiTheme="minorEastAsia"/>
                <w:szCs w:val="21"/>
              </w:rPr>
              <w:t>室内保险丝继电器盒CF15（10A）故障诊断与测量</w:t>
            </w:r>
            <w:r>
              <w:rPr>
                <w:rFonts w:hint="eastAsia" w:asciiTheme="minorEastAsia" w:hAnsiTheme="minorEastAsia"/>
                <w:szCs w:val="21"/>
              </w:rPr>
              <w:br w:type="textWrapping"/>
            </w:r>
            <w:r>
              <w:rPr>
                <w:rFonts w:hint="eastAsia" w:asciiTheme="minorEastAsia" w:hAnsiTheme="minorEastAsia"/>
                <w:szCs w:val="21"/>
              </w:rPr>
              <w:t>安全气囊控制模块故障诊断与测量</w:t>
            </w:r>
            <w:r>
              <w:rPr>
                <w:rFonts w:hint="eastAsia" w:asciiTheme="minorEastAsia" w:hAnsiTheme="minorEastAsia"/>
                <w:szCs w:val="21"/>
              </w:rPr>
              <w:br w:type="textWrapping"/>
            </w:r>
            <w:r>
              <w:rPr>
                <w:rFonts w:hint="eastAsia" w:asciiTheme="minorEastAsia" w:hAnsiTheme="minorEastAsia"/>
                <w:szCs w:val="21"/>
              </w:rPr>
              <w:t>室内保险丝继电器盒IG2继电器CR14故障诊断与测量</w:t>
            </w:r>
            <w:r>
              <w:rPr>
                <w:rFonts w:hint="eastAsia" w:asciiTheme="minorEastAsia" w:hAnsiTheme="minorEastAsia"/>
                <w:szCs w:val="21"/>
              </w:rPr>
              <w:br w:type="textWrapping"/>
            </w:r>
            <w:r>
              <w:rPr>
                <w:rFonts w:hint="eastAsia" w:asciiTheme="minorEastAsia" w:hAnsiTheme="minorEastAsia"/>
                <w:szCs w:val="21"/>
              </w:rPr>
              <w:t>室内保险丝继电器盒ACC继电器CR03故障诊断与测量</w:t>
            </w:r>
            <w:r>
              <w:rPr>
                <w:rFonts w:hint="eastAsia" w:asciiTheme="minorEastAsia" w:hAnsiTheme="minorEastAsia"/>
                <w:szCs w:val="21"/>
              </w:rPr>
              <w:br w:type="textWrapping"/>
            </w:r>
            <w:r>
              <w:rPr>
                <w:rFonts w:hint="eastAsia" w:asciiTheme="minorEastAsia" w:hAnsiTheme="minorEastAsia"/>
                <w:szCs w:val="21"/>
              </w:rPr>
              <w:t>雨量传感器故障诊断与测量</w:t>
            </w:r>
            <w:r>
              <w:rPr>
                <w:rFonts w:hint="eastAsia" w:asciiTheme="minorEastAsia" w:hAnsiTheme="minorEastAsia"/>
                <w:szCs w:val="21"/>
              </w:rPr>
              <w:br w:type="textWrapping"/>
            </w:r>
            <w:r>
              <w:rPr>
                <w:rFonts w:hint="eastAsia" w:asciiTheme="minorEastAsia" w:hAnsiTheme="minorEastAsia"/>
                <w:szCs w:val="21"/>
              </w:rPr>
              <w:t>室内保险丝继电器盒IG1继电器CR02故障诊断与测量</w:t>
            </w:r>
            <w:r>
              <w:rPr>
                <w:rFonts w:hint="eastAsia" w:asciiTheme="minorEastAsia" w:hAnsiTheme="minorEastAsia"/>
                <w:szCs w:val="21"/>
              </w:rPr>
              <w:br w:type="textWrapping"/>
            </w:r>
            <w:r>
              <w:rPr>
                <w:rFonts w:hint="eastAsia" w:asciiTheme="minorEastAsia" w:hAnsiTheme="minorEastAsia"/>
                <w:szCs w:val="21"/>
              </w:rPr>
              <w:t>驾驶员侧门玻璃升降器开关故障诊断与测量</w:t>
            </w:r>
            <w:r>
              <w:rPr>
                <w:rFonts w:hint="eastAsia" w:asciiTheme="minorEastAsia" w:hAnsiTheme="minorEastAsia"/>
                <w:szCs w:val="21"/>
              </w:rPr>
              <w:br w:type="textWrapping"/>
            </w:r>
            <w:r>
              <w:rPr>
                <w:rFonts w:hint="eastAsia" w:asciiTheme="minorEastAsia" w:hAnsiTheme="minorEastAsia"/>
                <w:szCs w:val="21"/>
              </w:rPr>
              <w:t>网关故障诊断与测量</w:t>
            </w:r>
            <w:r>
              <w:rPr>
                <w:rFonts w:hint="eastAsia" w:asciiTheme="minorEastAsia" w:hAnsiTheme="minorEastAsia"/>
                <w:szCs w:val="21"/>
              </w:rPr>
              <w:br w:type="textWrapping"/>
            </w:r>
            <w:r>
              <w:rPr>
                <w:rFonts w:hint="eastAsia" w:asciiTheme="minorEastAsia" w:hAnsiTheme="minorEastAsia"/>
                <w:szCs w:val="21"/>
              </w:rPr>
              <w:t>射频接收模块故障诊断与测量</w:t>
            </w:r>
            <w:r>
              <w:rPr>
                <w:rFonts w:hint="eastAsia" w:asciiTheme="minorEastAsia" w:hAnsiTheme="minorEastAsia"/>
                <w:szCs w:val="21"/>
              </w:rPr>
              <w:br w:type="textWrapping"/>
            </w:r>
            <w:r>
              <w:rPr>
                <w:rFonts w:hint="eastAsia" w:asciiTheme="minorEastAsia" w:hAnsiTheme="minorEastAsia"/>
                <w:szCs w:val="21"/>
              </w:rPr>
              <w:t>前雨刮电机故障诊断与测量</w:t>
            </w:r>
            <w:r>
              <w:rPr>
                <w:rFonts w:hint="eastAsia" w:asciiTheme="minorEastAsia" w:hAnsiTheme="minorEastAsia"/>
                <w:szCs w:val="21"/>
              </w:rPr>
              <w:br w:type="textWrapping"/>
            </w:r>
            <w:r>
              <w:rPr>
                <w:rFonts w:hint="eastAsia" w:asciiTheme="minorEastAsia" w:hAnsiTheme="minorEastAsia"/>
                <w:szCs w:val="21"/>
              </w:rPr>
              <w:t>行李箱门控状态开关信号故障诊断与测量</w:t>
            </w:r>
            <w:r>
              <w:rPr>
                <w:rFonts w:hint="eastAsia" w:asciiTheme="minorEastAsia" w:hAnsiTheme="minorEastAsia"/>
                <w:szCs w:val="21"/>
              </w:rPr>
              <w:br w:type="textWrapping"/>
            </w:r>
            <w:r>
              <w:rPr>
                <w:rFonts w:hint="eastAsia" w:asciiTheme="minorEastAsia" w:hAnsiTheme="minorEastAsia"/>
                <w:szCs w:val="21"/>
              </w:rPr>
              <w:t>转向灯故障反馈（车身侧后组合灯）故障诊断与测量</w:t>
            </w:r>
            <w:r>
              <w:rPr>
                <w:rFonts w:hint="eastAsia" w:asciiTheme="minorEastAsia" w:hAnsiTheme="minorEastAsia"/>
                <w:szCs w:val="21"/>
              </w:rPr>
              <w:br w:type="textWrapping"/>
            </w:r>
            <w:r>
              <w:rPr>
                <w:rFonts w:hint="eastAsia" w:asciiTheme="minorEastAsia" w:hAnsiTheme="minorEastAsia"/>
                <w:szCs w:val="21"/>
              </w:rPr>
              <w:t>门锁状态开关（除驾驶员侧）故障诊断与测量</w:t>
            </w:r>
            <w:r>
              <w:rPr>
                <w:rFonts w:hint="eastAsia" w:asciiTheme="minorEastAsia" w:hAnsiTheme="minorEastAsia"/>
                <w:szCs w:val="21"/>
              </w:rPr>
              <w:br w:type="textWrapping"/>
            </w:r>
            <w:r>
              <w:rPr>
                <w:rFonts w:hint="eastAsia" w:asciiTheme="minorEastAsia" w:hAnsiTheme="minorEastAsia"/>
                <w:szCs w:val="21"/>
              </w:rPr>
              <w:t>中部天线负故障诊断与测量</w:t>
            </w:r>
            <w:r>
              <w:rPr>
                <w:rFonts w:hint="eastAsia" w:asciiTheme="minorEastAsia" w:hAnsiTheme="minorEastAsia"/>
                <w:szCs w:val="21"/>
              </w:rPr>
              <w:br w:type="textWrapping"/>
            </w:r>
            <w:r>
              <w:rPr>
                <w:rFonts w:hint="eastAsia" w:asciiTheme="minorEastAsia" w:hAnsiTheme="minorEastAsia"/>
                <w:szCs w:val="21"/>
              </w:rPr>
              <w:t>尾部天线负故障诊断与测量</w:t>
            </w:r>
            <w:r>
              <w:rPr>
                <w:rFonts w:hint="eastAsia" w:asciiTheme="minorEastAsia" w:hAnsiTheme="minorEastAsia"/>
                <w:szCs w:val="21"/>
              </w:rPr>
              <w:br w:type="textWrapping"/>
            </w:r>
            <w:r>
              <w:rPr>
                <w:rFonts w:hint="eastAsia" w:asciiTheme="minorEastAsia" w:hAnsiTheme="minorEastAsia"/>
                <w:szCs w:val="21"/>
              </w:rPr>
              <w:t>前乘员玻璃升降信号故障诊断与测量</w:t>
            </w:r>
            <w:r>
              <w:rPr>
                <w:rFonts w:hint="eastAsia" w:asciiTheme="minorEastAsia" w:hAnsiTheme="minorEastAsia"/>
                <w:szCs w:val="21"/>
              </w:rPr>
              <w:br w:type="textWrapping"/>
            </w:r>
            <w:r>
              <w:rPr>
                <w:rFonts w:hint="eastAsia" w:asciiTheme="minorEastAsia" w:hAnsiTheme="minorEastAsia"/>
                <w:szCs w:val="21"/>
              </w:rPr>
              <w:t>右后玻璃升降信号故障诊断与测量</w:t>
            </w:r>
            <w:r>
              <w:rPr>
                <w:rFonts w:hint="eastAsia" w:asciiTheme="minorEastAsia" w:hAnsiTheme="minorEastAsia"/>
                <w:szCs w:val="21"/>
              </w:rPr>
              <w:br w:type="textWrapping"/>
            </w:r>
            <w:r>
              <w:rPr>
                <w:rFonts w:hint="eastAsia" w:asciiTheme="minorEastAsia" w:hAnsiTheme="minorEastAsia"/>
                <w:szCs w:val="21"/>
              </w:rPr>
              <w:t>右后门门控开关信号故障诊断与测量</w:t>
            </w:r>
            <w:r>
              <w:rPr>
                <w:rFonts w:hint="eastAsia" w:asciiTheme="minorEastAsia" w:hAnsiTheme="minorEastAsia"/>
                <w:szCs w:val="21"/>
              </w:rPr>
              <w:br w:type="textWrapping"/>
            </w:r>
            <w:r>
              <w:rPr>
                <w:rFonts w:hint="eastAsia" w:asciiTheme="minorEastAsia" w:hAnsiTheme="minorEastAsia"/>
                <w:szCs w:val="21"/>
              </w:rPr>
              <w:t>驾驶员门锁状态开关故障诊断与测量</w:t>
            </w:r>
            <w:r>
              <w:rPr>
                <w:rFonts w:hint="eastAsia" w:asciiTheme="minorEastAsia" w:hAnsiTheme="minorEastAsia"/>
                <w:szCs w:val="21"/>
              </w:rPr>
              <w:br w:type="textWrapping"/>
            </w:r>
            <w:r>
              <w:rPr>
                <w:rFonts w:hint="eastAsia" w:asciiTheme="minorEastAsia" w:hAnsiTheme="minorEastAsia"/>
                <w:szCs w:val="21"/>
              </w:rPr>
              <w:t>转向灯故障反馈（行李箱侧后组合灯）故障诊断与测量</w:t>
            </w:r>
            <w:r>
              <w:rPr>
                <w:rFonts w:hint="eastAsia" w:asciiTheme="minorEastAsia" w:hAnsiTheme="minorEastAsia"/>
                <w:szCs w:val="21"/>
              </w:rPr>
              <w:br w:type="textWrapping"/>
            </w:r>
            <w:r>
              <w:rPr>
                <w:rFonts w:hint="eastAsia" w:asciiTheme="minorEastAsia" w:hAnsiTheme="minorEastAsia"/>
                <w:szCs w:val="21"/>
              </w:rPr>
              <w:t>左后门门控开关信号故障诊断与测量</w:t>
            </w:r>
            <w:r>
              <w:rPr>
                <w:rFonts w:hint="eastAsia" w:asciiTheme="minorEastAsia" w:hAnsiTheme="minorEastAsia"/>
                <w:szCs w:val="21"/>
              </w:rPr>
              <w:br w:type="textWrapping"/>
            </w:r>
            <w:r>
              <w:rPr>
                <w:rFonts w:hint="eastAsia" w:asciiTheme="minorEastAsia" w:hAnsiTheme="minorEastAsia"/>
                <w:szCs w:val="21"/>
              </w:rPr>
              <w:t>中部天线正故障诊断与测量</w:t>
            </w:r>
            <w:r>
              <w:rPr>
                <w:rFonts w:hint="eastAsia" w:asciiTheme="minorEastAsia" w:hAnsiTheme="minorEastAsia"/>
                <w:szCs w:val="21"/>
              </w:rPr>
              <w:br w:type="textWrapping"/>
            </w:r>
            <w:r>
              <w:rPr>
                <w:rFonts w:hint="eastAsia" w:asciiTheme="minorEastAsia" w:hAnsiTheme="minorEastAsia"/>
                <w:szCs w:val="21"/>
              </w:rPr>
              <w:t>尾部天线正故障诊断与测量</w:t>
            </w:r>
            <w:r>
              <w:rPr>
                <w:rFonts w:hint="eastAsia" w:asciiTheme="minorEastAsia" w:hAnsiTheme="minorEastAsia"/>
                <w:szCs w:val="21"/>
              </w:rPr>
              <w:br w:type="textWrapping"/>
            </w:r>
            <w:r>
              <w:rPr>
                <w:rFonts w:hint="eastAsia" w:asciiTheme="minorEastAsia" w:hAnsiTheme="minorEastAsia"/>
                <w:szCs w:val="21"/>
              </w:rPr>
              <w:t>驾驶员检测开关信号故障诊断与测量</w:t>
            </w:r>
            <w:r>
              <w:rPr>
                <w:rFonts w:hint="eastAsia" w:asciiTheme="minorEastAsia" w:hAnsiTheme="minorEastAsia"/>
                <w:szCs w:val="21"/>
              </w:rPr>
              <w:br w:type="textWrapping"/>
            </w:r>
            <w:r>
              <w:rPr>
                <w:rFonts w:hint="eastAsia" w:asciiTheme="minorEastAsia" w:hAnsiTheme="minorEastAsia"/>
                <w:szCs w:val="21"/>
              </w:rPr>
              <w:t>巡航开关信号2故障诊断与测量</w:t>
            </w:r>
            <w:r>
              <w:rPr>
                <w:rFonts w:hint="eastAsia" w:asciiTheme="minorEastAsia" w:hAnsiTheme="minorEastAsia"/>
                <w:szCs w:val="21"/>
              </w:rPr>
              <w:br w:type="textWrapping"/>
            </w:r>
            <w:r>
              <w:rPr>
                <w:rFonts w:hint="eastAsia" w:asciiTheme="minorEastAsia" w:hAnsiTheme="minorEastAsia"/>
                <w:szCs w:val="21"/>
              </w:rPr>
              <w:t>行李箱外部释放开关信号故障诊断与测量</w:t>
            </w:r>
            <w:r>
              <w:rPr>
                <w:rFonts w:hint="eastAsia" w:asciiTheme="minorEastAsia" w:hAnsiTheme="minorEastAsia"/>
                <w:szCs w:val="21"/>
              </w:rPr>
              <w:br w:type="textWrapping"/>
            </w:r>
            <w:r>
              <w:rPr>
                <w:rFonts w:hint="eastAsia" w:asciiTheme="minorEastAsia" w:hAnsiTheme="minorEastAsia"/>
                <w:szCs w:val="21"/>
              </w:rPr>
              <w:t>中控解闭锁开关信号故障诊断与测量</w:t>
            </w:r>
            <w:r>
              <w:rPr>
                <w:rFonts w:hint="eastAsia" w:asciiTheme="minorEastAsia" w:hAnsiTheme="minorEastAsia"/>
                <w:szCs w:val="21"/>
              </w:rPr>
              <w:br w:type="textWrapping"/>
            </w:r>
            <w:r>
              <w:rPr>
                <w:rFonts w:hint="eastAsia" w:asciiTheme="minorEastAsia" w:hAnsiTheme="minorEastAsia"/>
                <w:szCs w:val="21"/>
              </w:rPr>
              <w:t>开关公共地故障诊断与测量</w:t>
            </w:r>
            <w:r>
              <w:rPr>
                <w:rFonts w:hint="eastAsia" w:asciiTheme="minorEastAsia" w:hAnsiTheme="minorEastAsia"/>
                <w:szCs w:val="21"/>
              </w:rPr>
              <w:br w:type="textWrapping"/>
            </w:r>
            <w:r>
              <w:rPr>
                <w:rFonts w:hint="eastAsia" w:asciiTheme="minorEastAsia" w:hAnsiTheme="minorEastAsia"/>
                <w:szCs w:val="21"/>
              </w:rPr>
              <w:t>左后玻璃升降信号故障诊断与测量</w:t>
            </w:r>
            <w:r>
              <w:rPr>
                <w:rFonts w:hint="eastAsia" w:asciiTheme="minorEastAsia" w:hAnsiTheme="minorEastAsia"/>
                <w:szCs w:val="21"/>
              </w:rPr>
              <w:br w:type="textWrapping"/>
            </w:r>
            <w:r>
              <w:rPr>
                <w:rFonts w:hint="eastAsia" w:asciiTheme="minorEastAsia" w:hAnsiTheme="minorEastAsia"/>
                <w:szCs w:val="21"/>
              </w:rPr>
              <w:t>驾驶员侧门锁电机故障诊断与测量</w:t>
            </w:r>
            <w:r>
              <w:rPr>
                <w:rFonts w:hint="eastAsia" w:asciiTheme="minorEastAsia" w:hAnsiTheme="minorEastAsia"/>
                <w:szCs w:val="21"/>
              </w:rPr>
              <w:br w:type="textWrapping"/>
            </w:r>
            <w:r>
              <w:rPr>
                <w:rFonts w:hint="eastAsia" w:asciiTheme="minorEastAsia" w:hAnsiTheme="minorEastAsia"/>
                <w:szCs w:val="21"/>
              </w:rPr>
              <w:t>车窗锁止开关信号故障诊断与测量</w:t>
            </w:r>
            <w:r>
              <w:rPr>
                <w:rFonts w:hint="eastAsia" w:asciiTheme="minorEastAsia" w:hAnsiTheme="minorEastAsia"/>
                <w:szCs w:val="21"/>
              </w:rPr>
              <w:br w:type="textWrapping"/>
            </w:r>
            <w:r>
              <w:rPr>
                <w:rFonts w:hint="eastAsia" w:asciiTheme="minorEastAsia" w:hAnsiTheme="minorEastAsia"/>
                <w:szCs w:val="21"/>
              </w:rPr>
              <w:t>后部天线正故障诊断与测量</w:t>
            </w:r>
            <w:r>
              <w:rPr>
                <w:rFonts w:hint="eastAsia" w:asciiTheme="minorEastAsia" w:hAnsiTheme="minorEastAsia"/>
                <w:szCs w:val="21"/>
              </w:rPr>
              <w:br w:type="textWrapping"/>
            </w:r>
            <w:r>
              <w:rPr>
                <w:rFonts w:hint="eastAsia" w:asciiTheme="minorEastAsia" w:hAnsiTheme="minorEastAsia"/>
                <w:szCs w:val="21"/>
              </w:rPr>
              <w:t>左前部天线正故障诊断与测量</w:t>
            </w:r>
            <w:r>
              <w:rPr>
                <w:rFonts w:hint="eastAsia" w:asciiTheme="minorEastAsia" w:hAnsiTheme="minorEastAsia"/>
                <w:szCs w:val="21"/>
              </w:rPr>
              <w:br w:type="textWrapping"/>
            </w:r>
            <w:r>
              <w:rPr>
                <w:rFonts w:hint="eastAsia" w:asciiTheme="minorEastAsia" w:hAnsiTheme="minorEastAsia"/>
                <w:szCs w:val="21"/>
              </w:rPr>
              <w:t>巡航开关信号1故障诊断与测量</w:t>
            </w:r>
            <w:r>
              <w:rPr>
                <w:rFonts w:hint="eastAsia" w:asciiTheme="minorEastAsia" w:hAnsiTheme="minorEastAsia"/>
                <w:szCs w:val="21"/>
              </w:rPr>
              <w:br w:type="textWrapping"/>
            </w:r>
            <w:r>
              <w:rPr>
                <w:rFonts w:hint="eastAsia" w:asciiTheme="minorEastAsia" w:hAnsiTheme="minorEastAsia"/>
                <w:szCs w:val="21"/>
              </w:rPr>
              <w:t>前乘员门控开关信号故障诊断与测量</w:t>
            </w:r>
            <w:r>
              <w:rPr>
                <w:rFonts w:hint="eastAsia" w:asciiTheme="minorEastAsia" w:hAnsiTheme="minorEastAsia"/>
                <w:szCs w:val="21"/>
              </w:rPr>
              <w:br w:type="textWrapping"/>
            </w:r>
            <w:r>
              <w:rPr>
                <w:rFonts w:hint="eastAsia" w:asciiTheme="minorEastAsia" w:hAnsiTheme="minorEastAsia"/>
                <w:szCs w:val="21"/>
              </w:rPr>
              <w:t>后部天线负故障诊断与测量</w:t>
            </w:r>
            <w:r>
              <w:rPr>
                <w:rFonts w:hint="eastAsia" w:asciiTheme="minorEastAsia" w:hAnsiTheme="minorEastAsia"/>
                <w:szCs w:val="21"/>
              </w:rPr>
              <w:br w:type="textWrapping"/>
            </w:r>
            <w:r>
              <w:rPr>
                <w:rFonts w:hint="eastAsia" w:asciiTheme="minorEastAsia" w:hAnsiTheme="minorEastAsia"/>
                <w:szCs w:val="21"/>
              </w:rPr>
              <w:t>左前部天线负故障诊断与测量</w:t>
            </w:r>
            <w:r>
              <w:rPr>
                <w:rFonts w:hint="eastAsia" w:asciiTheme="minorEastAsia" w:hAnsiTheme="minorEastAsia"/>
                <w:szCs w:val="21"/>
              </w:rPr>
              <w:br w:type="textWrapping"/>
            </w:r>
            <w:r>
              <w:rPr>
                <w:rFonts w:hint="eastAsia" w:asciiTheme="minorEastAsia" w:hAnsiTheme="minorEastAsia"/>
                <w:szCs w:val="21"/>
              </w:rPr>
              <w:t>（2）网关</w:t>
            </w:r>
            <w:r>
              <w:rPr>
                <w:rFonts w:hint="eastAsia" w:asciiTheme="minorEastAsia" w:hAnsiTheme="minorEastAsia"/>
                <w:szCs w:val="21"/>
              </w:rPr>
              <w:br w:type="textWrapping"/>
            </w:r>
            <w:r>
              <w:rPr>
                <w:rFonts w:hint="eastAsia" w:asciiTheme="minorEastAsia" w:hAnsiTheme="minorEastAsia"/>
                <w:szCs w:val="21"/>
              </w:rPr>
              <w:t>HB-CAN-L故障诊断与测量</w:t>
            </w:r>
            <w:r>
              <w:rPr>
                <w:rFonts w:hint="eastAsia" w:asciiTheme="minorEastAsia" w:hAnsiTheme="minorEastAsia"/>
                <w:szCs w:val="21"/>
              </w:rPr>
              <w:br w:type="textWrapping"/>
            </w:r>
            <w:r>
              <w:rPr>
                <w:rFonts w:hint="eastAsia" w:asciiTheme="minorEastAsia" w:hAnsiTheme="minorEastAsia"/>
                <w:szCs w:val="21"/>
              </w:rPr>
              <w:t>HB-CAN-H故障诊断与测量</w:t>
            </w:r>
            <w:r>
              <w:rPr>
                <w:rFonts w:hint="eastAsia" w:asciiTheme="minorEastAsia" w:hAnsiTheme="minorEastAsia"/>
                <w:szCs w:val="21"/>
              </w:rPr>
              <w:br w:type="textWrapping"/>
            </w:r>
            <w:r>
              <w:rPr>
                <w:rFonts w:hint="eastAsia" w:asciiTheme="minorEastAsia" w:hAnsiTheme="minorEastAsia"/>
                <w:szCs w:val="21"/>
              </w:rPr>
              <w:t>IF-CAN-L故障诊断与测量</w:t>
            </w:r>
            <w:r>
              <w:rPr>
                <w:rFonts w:hint="eastAsia" w:asciiTheme="minorEastAsia" w:hAnsiTheme="minorEastAsia"/>
                <w:szCs w:val="21"/>
              </w:rPr>
              <w:br w:type="textWrapping"/>
            </w:r>
            <w:r>
              <w:rPr>
                <w:rFonts w:hint="eastAsia" w:asciiTheme="minorEastAsia" w:hAnsiTheme="minorEastAsia"/>
                <w:szCs w:val="21"/>
              </w:rPr>
              <w:t>IF-CAN-H故障诊断与测量</w:t>
            </w:r>
            <w:r>
              <w:rPr>
                <w:rFonts w:hint="eastAsia" w:asciiTheme="minorEastAsia" w:hAnsiTheme="minorEastAsia"/>
                <w:szCs w:val="21"/>
              </w:rPr>
              <w:br w:type="textWrapping"/>
            </w:r>
            <w:r>
              <w:rPr>
                <w:rFonts w:hint="eastAsia" w:asciiTheme="minorEastAsia" w:hAnsiTheme="minorEastAsia"/>
                <w:szCs w:val="21"/>
              </w:rPr>
              <w:t>CF-CAN-L故障诊断与测量</w:t>
            </w:r>
            <w:r>
              <w:rPr>
                <w:rFonts w:hint="eastAsia" w:asciiTheme="minorEastAsia" w:hAnsiTheme="minorEastAsia"/>
                <w:szCs w:val="21"/>
              </w:rPr>
              <w:br w:type="textWrapping"/>
            </w:r>
            <w:r>
              <w:rPr>
                <w:rFonts w:hint="eastAsia" w:asciiTheme="minorEastAsia" w:hAnsiTheme="minorEastAsia"/>
                <w:szCs w:val="21"/>
              </w:rPr>
              <w:t>CF-CAN-H故障诊断与测量</w:t>
            </w:r>
            <w:r>
              <w:rPr>
                <w:rFonts w:hint="eastAsia" w:asciiTheme="minorEastAsia" w:hAnsiTheme="minorEastAsia"/>
                <w:szCs w:val="21"/>
              </w:rPr>
              <w:br w:type="textWrapping"/>
            </w:r>
            <w:r>
              <w:rPr>
                <w:rFonts w:hint="eastAsia" w:asciiTheme="minorEastAsia" w:hAnsiTheme="minorEastAsia"/>
                <w:szCs w:val="21"/>
              </w:rPr>
              <w:t>CS-CAN-L故障诊断与测量</w:t>
            </w:r>
            <w:r>
              <w:rPr>
                <w:rFonts w:hint="eastAsia" w:asciiTheme="minorEastAsia" w:hAnsiTheme="minorEastAsia"/>
                <w:szCs w:val="21"/>
              </w:rPr>
              <w:br w:type="textWrapping"/>
            </w:r>
            <w:r>
              <w:rPr>
                <w:rFonts w:hint="eastAsia" w:asciiTheme="minorEastAsia" w:hAnsiTheme="minorEastAsia"/>
                <w:szCs w:val="21"/>
              </w:rPr>
              <w:t>CS-CAN-H故障诊断与测量</w:t>
            </w:r>
            <w:r>
              <w:rPr>
                <w:rFonts w:hint="eastAsia" w:asciiTheme="minorEastAsia" w:hAnsiTheme="minorEastAsia"/>
                <w:szCs w:val="21"/>
              </w:rPr>
              <w:br w:type="textWrapping"/>
            </w:r>
            <w:r>
              <w:rPr>
                <w:rFonts w:hint="eastAsia" w:asciiTheme="minorEastAsia" w:hAnsiTheme="minorEastAsia"/>
                <w:szCs w:val="21"/>
              </w:rPr>
              <w:t>室内保险丝继电器盒（CF26 10A）故障诊断与测量</w:t>
            </w:r>
            <w:r>
              <w:rPr>
                <w:rFonts w:hint="eastAsia" w:asciiTheme="minorEastAsia" w:hAnsiTheme="minorEastAsia"/>
                <w:szCs w:val="21"/>
              </w:rPr>
              <w:br w:type="textWrapping"/>
            </w:r>
            <w:r>
              <w:rPr>
                <w:rFonts w:hint="eastAsia" w:asciiTheme="minorEastAsia" w:hAnsiTheme="minorEastAsia"/>
                <w:szCs w:val="21"/>
              </w:rPr>
              <w:t>室内保险丝继电器盒（CF08 5A）故障诊断与测量</w:t>
            </w:r>
            <w:r>
              <w:rPr>
                <w:rFonts w:hint="eastAsia" w:asciiTheme="minorEastAsia" w:hAnsiTheme="minorEastAsia"/>
                <w:szCs w:val="21"/>
              </w:rPr>
              <w:br w:type="textWrapping"/>
            </w:r>
            <w:r>
              <w:rPr>
                <w:rFonts w:hint="eastAsia" w:asciiTheme="minorEastAsia" w:hAnsiTheme="minorEastAsia"/>
                <w:szCs w:val="21"/>
              </w:rPr>
              <w:t>G07故障诊断与测量</w:t>
            </w:r>
            <w:r>
              <w:rPr>
                <w:rFonts w:hint="eastAsia" w:asciiTheme="minorEastAsia" w:hAnsiTheme="minorEastAsia"/>
                <w:szCs w:val="21"/>
              </w:rPr>
              <w:br w:type="textWrapping"/>
            </w:r>
            <w:r>
              <w:rPr>
                <w:rFonts w:hint="eastAsia" w:asciiTheme="minorEastAsia" w:hAnsiTheme="minorEastAsia"/>
                <w:szCs w:val="21"/>
              </w:rPr>
              <w:t>（3）前单目摄像头</w:t>
            </w:r>
            <w:r>
              <w:rPr>
                <w:rFonts w:hint="eastAsia" w:asciiTheme="minorEastAsia" w:hAnsiTheme="minorEastAsia"/>
                <w:szCs w:val="21"/>
              </w:rPr>
              <w:br w:type="textWrapping"/>
            </w:r>
            <w:r>
              <w:rPr>
                <w:rFonts w:hint="eastAsia" w:asciiTheme="minorEastAsia" w:hAnsiTheme="minorEastAsia"/>
                <w:szCs w:val="21"/>
              </w:rPr>
              <w:t>GND故障诊断与测量</w:t>
            </w:r>
            <w:r>
              <w:rPr>
                <w:rFonts w:hint="eastAsia" w:asciiTheme="minorEastAsia" w:hAnsiTheme="minorEastAsia"/>
                <w:szCs w:val="21"/>
              </w:rPr>
              <w:br w:type="textWrapping"/>
            </w:r>
            <w:r>
              <w:rPr>
                <w:rFonts w:hint="eastAsia" w:asciiTheme="minorEastAsia" w:hAnsiTheme="minorEastAsia"/>
                <w:szCs w:val="21"/>
              </w:rPr>
              <w:t>CS CAN-L故障诊断与测量</w:t>
            </w:r>
            <w:r>
              <w:rPr>
                <w:rFonts w:hint="eastAsia" w:asciiTheme="minorEastAsia" w:hAnsiTheme="minorEastAsia"/>
                <w:szCs w:val="21"/>
              </w:rPr>
              <w:br w:type="textWrapping"/>
            </w:r>
            <w:r>
              <w:rPr>
                <w:rFonts w:hint="eastAsia" w:asciiTheme="minorEastAsia" w:hAnsiTheme="minorEastAsia"/>
                <w:szCs w:val="21"/>
              </w:rPr>
              <w:t>室内保险丝继电器盒CF06（10A）故障诊断与测量</w:t>
            </w:r>
            <w:r>
              <w:rPr>
                <w:rFonts w:hint="eastAsia" w:asciiTheme="minorEastAsia" w:hAnsiTheme="minorEastAsia"/>
                <w:szCs w:val="21"/>
              </w:rPr>
              <w:br w:type="textWrapping"/>
            </w:r>
            <w:r>
              <w:rPr>
                <w:rFonts w:hint="eastAsia" w:asciiTheme="minorEastAsia" w:hAnsiTheme="minorEastAsia"/>
                <w:szCs w:val="21"/>
              </w:rPr>
              <w:t>CS CAN-H故障诊断与测量</w:t>
            </w:r>
            <w:r>
              <w:rPr>
                <w:rFonts w:hint="eastAsia" w:asciiTheme="minorEastAsia" w:hAnsiTheme="minorEastAsia"/>
                <w:szCs w:val="21"/>
              </w:rPr>
              <w:br w:type="textWrapping"/>
            </w:r>
            <w:r>
              <w:rPr>
                <w:rFonts w:hint="eastAsia" w:asciiTheme="minorEastAsia" w:hAnsiTheme="minorEastAsia"/>
                <w:szCs w:val="21"/>
              </w:rPr>
              <w:t>室内保险丝继电器盒CF25（10A）故障诊断与测量</w:t>
            </w:r>
            <w:r>
              <w:rPr>
                <w:rFonts w:hint="eastAsia" w:asciiTheme="minorEastAsia" w:hAnsiTheme="minorEastAsia"/>
                <w:szCs w:val="21"/>
              </w:rPr>
              <w:br w:type="textWrapping"/>
            </w:r>
            <w:r>
              <w:rPr>
                <w:rFonts w:hint="eastAsia" w:asciiTheme="minorEastAsia" w:hAnsiTheme="minorEastAsia"/>
                <w:szCs w:val="21"/>
              </w:rPr>
              <w:t>（4）电池管理系统（BMS）</w:t>
            </w:r>
            <w:r>
              <w:rPr>
                <w:rFonts w:hint="eastAsia" w:asciiTheme="minorEastAsia" w:hAnsiTheme="minorEastAsia"/>
                <w:szCs w:val="21"/>
              </w:rPr>
              <w:br w:type="textWrapping"/>
            </w:r>
            <w:r>
              <w:rPr>
                <w:rFonts w:hint="eastAsia" w:asciiTheme="minorEastAsia" w:hAnsiTheme="minorEastAsia"/>
                <w:szCs w:val="21"/>
              </w:rPr>
              <w:t>前机舱保险丝继电器盒EF04（15A）故障诊断与测量</w:t>
            </w:r>
            <w:r>
              <w:rPr>
                <w:rFonts w:hint="eastAsia" w:asciiTheme="minorEastAsia" w:hAnsiTheme="minorEastAsia"/>
                <w:szCs w:val="21"/>
              </w:rPr>
              <w:br w:type="textWrapping"/>
            </w:r>
            <w:r>
              <w:rPr>
                <w:rFonts w:hint="eastAsia" w:asciiTheme="minorEastAsia" w:hAnsiTheme="minorEastAsia"/>
                <w:szCs w:val="21"/>
              </w:rPr>
              <w:t>G07故障诊断与测量</w:t>
            </w:r>
            <w:r>
              <w:rPr>
                <w:rFonts w:hint="eastAsia" w:asciiTheme="minorEastAsia" w:hAnsiTheme="minorEastAsia"/>
                <w:szCs w:val="21"/>
              </w:rPr>
              <w:br w:type="textWrapping"/>
            </w:r>
            <w:r>
              <w:rPr>
                <w:rFonts w:hint="eastAsia" w:asciiTheme="minorEastAsia" w:hAnsiTheme="minorEastAsia"/>
                <w:szCs w:val="21"/>
              </w:rPr>
              <w:t>机舱线束接动力线束连接器故障诊断与测量</w:t>
            </w:r>
            <w:r>
              <w:rPr>
                <w:rFonts w:hint="eastAsia" w:asciiTheme="minorEastAsia" w:hAnsiTheme="minorEastAsia"/>
                <w:szCs w:val="21"/>
              </w:rPr>
              <w:br w:type="textWrapping"/>
            </w:r>
            <w:r>
              <w:rPr>
                <w:rFonts w:hint="eastAsia" w:asciiTheme="minorEastAsia" w:hAnsiTheme="minorEastAsia"/>
                <w:szCs w:val="21"/>
              </w:rPr>
              <w:t>G07故障诊断与测量</w:t>
            </w:r>
            <w:r>
              <w:rPr>
                <w:rFonts w:hint="eastAsia" w:asciiTheme="minorEastAsia" w:hAnsiTheme="minorEastAsia"/>
                <w:szCs w:val="21"/>
              </w:rPr>
              <w:br w:type="textWrapping"/>
            </w:r>
            <w:r>
              <w:rPr>
                <w:rFonts w:hint="eastAsia" w:asciiTheme="minorEastAsia" w:hAnsiTheme="minorEastAsia"/>
                <w:szCs w:val="21"/>
              </w:rPr>
              <w:t>BCM故障诊断与测量</w:t>
            </w:r>
            <w:r>
              <w:rPr>
                <w:rFonts w:hint="eastAsia" w:asciiTheme="minorEastAsia" w:hAnsiTheme="minorEastAsia"/>
                <w:szCs w:val="21"/>
              </w:rPr>
              <w:br w:type="textWrapping"/>
            </w:r>
            <w:r>
              <w:rPr>
                <w:rFonts w:hint="eastAsia" w:asciiTheme="minorEastAsia" w:hAnsiTheme="minorEastAsia"/>
                <w:szCs w:val="21"/>
              </w:rPr>
              <w:t>安全气囊控制模块故障诊断与测量</w:t>
            </w:r>
            <w:r>
              <w:rPr>
                <w:rFonts w:hint="eastAsia" w:asciiTheme="minorEastAsia" w:hAnsiTheme="minorEastAsia"/>
                <w:szCs w:val="21"/>
              </w:rPr>
              <w:br w:type="textWrapping"/>
            </w:r>
            <w:r>
              <w:rPr>
                <w:rFonts w:hint="eastAsia" w:asciiTheme="minorEastAsia" w:hAnsiTheme="minorEastAsia"/>
                <w:szCs w:val="21"/>
              </w:rPr>
              <w:t>室内保险丝继电器盒CF15（10A）故障诊断与测量</w:t>
            </w:r>
            <w:r>
              <w:rPr>
                <w:rFonts w:hint="eastAsia" w:asciiTheme="minorEastAsia" w:hAnsiTheme="minorEastAsia"/>
                <w:szCs w:val="21"/>
              </w:rPr>
              <w:br w:type="textWrapping"/>
            </w:r>
            <w:r>
              <w:rPr>
                <w:rFonts w:hint="eastAsia" w:asciiTheme="minorEastAsia" w:hAnsiTheme="minorEastAsia"/>
                <w:szCs w:val="21"/>
              </w:rPr>
              <w:t>直流充电座（快充插座负极柱温度正）故障诊断与测量</w:t>
            </w:r>
            <w:r>
              <w:rPr>
                <w:rFonts w:hint="eastAsia" w:asciiTheme="minorEastAsia" w:hAnsiTheme="minorEastAsia"/>
                <w:szCs w:val="21"/>
              </w:rPr>
              <w:br w:type="textWrapping"/>
            </w:r>
            <w:r>
              <w:rPr>
                <w:rFonts w:hint="eastAsia" w:asciiTheme="minorEastAsia" w:hAnsiTheme="minorEastAsia"/>
                <w:szCs w:val="21"/>
              </w:rPr>
              <w:t>直流充电座（快充插座负极柱温度负）故障诊断与测量</w:t>
            </w:r>
            <w:r>
              <w:rPr>
                <w:rFonts w:hint="eastAsia" w:asciiTheme="minorEastAsia" w:hAnsiTheme="minorEastAsia"/>
                <w:szCs w:val="21"/>
              </w:rPr>
              <w:br w:type="textWrapping"/>
            </w:r>
            <w:r>
              <w:rPr>
                <w:rFonts w:hint="eastAsia" w:asciiTheme="minorEastAsia" w:hAnsiTheme="minorEastAsia"/>
                <w:szCs w:val="21"/>
              </w:rPr>
              <w:t>快充CAN-H故障诊断与测量</w:t>
            </w:r>
            <w:r>
              <w:rPr>
                <w:rFonts w:hint="eastAsia" w:asciiTheme="minorEastAsia" w:hAnsiTheme="minorEastAsia"/>
                <w:szCs w:val="21"/>
              </w:rPr>
              <w:br w:type="textWrapping"/>
            </w:r>
            <w:r>
              <w:rPr>
                <w:rFonts w:hint="eastAsia" w:asciiTheme="minorEastAsia" w:hAnsiTheme="minorEastAsia"/>
                <w:szCs w:val="21"/>
              </w:rPr>
              <w:t>快充CAN-L故障诊断与测量</w:t>
            </w:r>
            <w:r>
              <w:rPr>
                <w:rFonts w:hint="eastAsia" w:asciiTheme="minorEastAsia" w:hAnsiTheme="minorEastAsia"/>
                <w:szCs w:val="21"/>
              </w:rPr>
              <w:br w:type="textWrapping"/>
            </w:r>
            <w:r>
              <w:rPr>
                <w:rFonts w:hint="eastAsia" w:asciiTheme="minorEastAsia" w:hAnsiTheme="minorEastAsia"/>
                <w:szCs w:val="21"/>
              </w:rPr>
              <w:t>快充CC2信号故障诊断与测量</w:t>
            </w:r>
            <w:r>
              <w:rPr>
                <w:rFonts w:hint="eastAsia" w:asciiTheme="minorEastAsia" w:hAnsiTheme="minorEastAsia"/>
                <w:szCs w:val="21"/>
              </w:rPr>
              <w:br w:type="textWrapping"/>
            </w:r>
            <w:r>
              <w:rPr>
                <w:rFonts w:hint="eastAsia" w:asciiTheme="minorEastAsia" w:hAnsiTheme="minorEastAsia"/>
                <w:szCs w:val="21"/>
              </w:rPr>
              <w:t>快充唤醒故障诊断与测量</w:t>
            </w:r>
            <w:r>
              <w:rPr>
                <w:rFonts w:hint="eastAsia" w:asciiTheme="minorEastAsia" w:hAnsiTheme="minorEastAsia"/>
                <w:szCs w:val="21"/>
              </w:rPr>
              <w:br w:type="textWrapping"/>
            </w:r>
            <w:r>
              <w:rPr>
                <w:rFonts w:hint="eastAsia" w:asciiTheme="minorEastAsia" w:hAnsiTheme="minorEastAsia"/>
                <w:szCs w:val="21"/>
              </w:rPr>
              <w:t>快充唤醒</w:t>
            </w:r>
            <w:r>
              <w:rPr>
                <w:rFonts w:hint="eastAsia" w:asciiTheme="minorEastAsia" w:hAnsiTheme="minorEastAsia"/>
                <w:szCs w:val="21"/>
                <w:lang w:eastAsia="zh-CN"/>
              </w:rPr>
              <w:t>的</w:t>
            </w:r>
            <w:r>
              <w:rPr>
                <w:rFonts w:hint="eastAsia" w:asciiTheme="minorEastAsia" w:hAnsiTheme="minorEastAsia"/>
                <w:szCs w:val="21"/>
              </w:rPr>
              <w:t>故障诊断与测量</w:t>
            </w:r>
            <w:r>
              <w:rPr>
                <w:rFonts w:hint="eastAsia" w:asciiTheme="minorEastAsia" w:hAnsiTheme="minorEastAsia"/>
                <w:szCs w:val="21"/>
              </w:rPr>
              <w:br w:type="textWrapping"/>
            </w:r>
            <w:r>
              <w:rPr>
                <w:rFonts w:hint="eastAsia" w:asciiTheme="minorEastAsia" w:hAnsiTheme="minorEastAsia"/>
                <w:szCs w:val="21"/>
              </w:rPr>
              <w:t>快充插座负极柱温度正故障诊断与测量</w:t>
            </w:r>
            <w:r>
              <w:rPr>
                <w:rFonts w:hint="eastAsia" w:asciiTheme="minorEastAsia" w:hAnsiTheme="minorEastAsia"/>
                <w:szCs w:val="21"/>
              </w:rPr>
              <w:br w:type="textWrapping"/>
            </w:r>
            <w:r>
              <w:rPr>
                <w:rFonts w:hint="eastAsia" w:asciiTheme="minorEastAsia" w:hAnsiTheme="minorEastAsia"/>
                <w:szCs w:val="21"/>
              </w:rPr>
              <w:t>快充插座负极柱温度负故障诊断与测</w:t>
            </w:r>
            <w:r>
              <w:rPr>
                <w:rFonts w:hint="eastAsia" w:asciiTheme="minorEastAsia" w:hAnsiTheme="minorEastAsia"/>
                <w:szCs w:val="21"/>
              </w:rPr>
              <w:br w:type="textWrapping"/>
            </w:r>
            <w:r>
              <w:rPr>
                <w:rFonts w:hint="eastAsia" w:asciiTheme="minorEastAsia" w:hAnsiTheme="minorEastAsia"/>
                <w:szCs w:val="21"/>
              </w:rPr>
              <w:t>（5）高低压充电系统（ODP）</w:t>
            </w:r>
            <w:r>
              <w:rPr>
                <w:rFonts w:hint="eastAsia" w:asciiTheme="minorEastAsia" w:hAnsiTheme="minorEastAsia"/>
                <w:szCs w:val="21"/>
              </w:rPr>
              <w:br w:type="textWrapping"/>
            </w:r>
            <w:r>
              <w:rPr>
                <w:rFonts w:hint="eastAsia" w:asciiTheme="minorEastAsia" w:hAnsiTheme="minorEastAsia"/>
                <w:szCs w:val="21"/>
              </w:rPr>
              <w:t>交流充电确认CP信号故障诊断与测量</w:t>
            </w:r>
            <w:r>
              <w:rPr>
                <w:rFonts w:hint="eastAsia" w:asciiTheme="minorEastAsia" w:hAnsiTheme="minorEastAsia"/>
                <w:szCs w:val="21"/>
              </w:rPr>
              <w:br w:type="textWrapping"/>
            </w:r>
            <w:r>
              <w:rPr>
                <w:rFonts w:hint="eastAsia" w:asciiTheme="minorEastAsia" w:hAnsiTheme="minorEastAsia"/>
                <w:szCs w:val="21"/>
              </w:rPr>
              <w:t>HB CAN-H故障诊断与测量</w:t>
            </w:r>
            <w:r>
              <w:rPr>
                <w:rFonts w:hint="eastAsia" w:asciiTheme="minorEastAsia" w:hAnsiTheme="minorEastAsia"/>
                <w:szCs w:val="21"/>
              </w:rPr>
              <w:br w:type="textWrapping"/>
            </w:r>
            <w:r>
              <w:rPr>
                <w:rFonts w:hint="eastAsia" w:asciiTheme="minorEastAsia" w:hAnsiTheme="minorEastAsia"/>
                <w:szCs w:val="21"/>
              </w:rPr>
              <w:t>交流充电插座温度传感器1正故障诊断与测量</w:t>
            </w:r>
            <w:r>
              <w:rPr>
                <w:rFonts w:hint="eastAsia" w:asciiTheme="minorEastAsia" w:hAnsiTheme="minorEastAsia"/>
                <w:szCs w:val="21"/>
              </w:rPr>
              <w:br w:type="textWrapping"/>
            </w:r>
            <w:r>
              <w:rPr>
                <w:rFonts w:hint="eastAsia" w:asciiTheme="minorEastAsia" w:hAnsiTheme="minorEastAsia"/>
                <w:szCs w:val="21"/>
              </w:rPr>
              <w:t>交流充电确认CC信号故障诊断与测量</w:t>
            </w:r>
            <w:r>
              <w:rPr>
                <w:rFonts w:hint="eastAsia" w:asciiTheme="minorEastAsia" w:hAnsiTheme="minorEastAsia"/>
                <w:szCs w:val="21"/>
              </w:rPr>
              <w:br w:type="textWrapping"/>
            </w:r>
            <w:r>
              <w:rPr>
                <w:rFonts w:hint="eastAsia" w:asciiTheme="minorEastAsia" w:hAnsiTheme="minorEastAsia"/>
                <w:szCs w:val="21"/>
              </w:rPr>
              <w:t>HB CAN-L故障诊断与测量</w:t>
            </w:r>
            <w:r>
              <w:rPr>
                <w:rFonts w:hint="eastAsia" w:asciiTheme="minorEastAsia" w:hAnsiTheme="minorEastAsia"/>
                <w:szCs w:val="21"/>
              </w:rPr>
              <w:br w:type="textWrapping"/>
            </w:r>
            <w:r>
              <w:rPr>
                <w:rFonts w:hint="eastAsia" w:asciiTheme="minorEastAsia" w:hAnsiTheme="minorEastAsia"/>
                <w:szCs w:val="21"/>
              </w:rPr>
              <w:t>交流充电插座温度传感器2正故障诊断与测量</w:t>
            </w:r>
            <w:r>
              <w:rPr>
                <w:rFonts w:hint="eastAsia" w:asciiTheme="minorEastAsia" w:hAnsiTheme="minorEastAsia"/>
                <w:szCs w:val="21"/>
              </w:rPr>
              <w:br w:type="textWrapping"/>
            </w:r>
            <w:r>
              <w:rPr>
                <w:rFonts w:hint="eastAsia" w:asciiTheme="minorEastAsia" w:hAnsiTheme="minorEastAsia"/>
                <w:szCs w:val="21"/>
              </w:rPr>
              <w:t>高压互锁输入信号故障诊断与测量</w:t>
            </w:r>
            <w:r>
              <w:rPr>
                <w:rFonts w:hint="eastAsia" w:asciiTheme="minorEastAsia" w:hAnsiTheme="minorEastAsia"/>
                <w:szCs w:val="21"/>
              </w:rPr>
              <w:br w:type="textWrapping"/>
            </w:r>
            <w:r>
              <w:rPr>
                <w:rFonts w:hint="eastAsia" w:asciiTheme="minorEastAsia" w:hAnsiTheme="minorEastAsia"/>
                <w:szCs w:val="21"/>
              </w:rPr>
              <w:t>交流充电插座温度传感器1负故障诊断与测量</w:t>
            </w:r>
            <w:r>
              <w:rPr>
                <w:rFonts w:hint="eastAsia" w:asciiTheme="minorEastAsia" w:hAnsiTheme="minorEastAsia"/>
                <w:szCs w:val="21"/>
              </w:rPr>
              <w:br w:type="textWrapping"/>
            </w:r>
            <w:r>
              <w:rPr>
                <w:rFonts w:hint="eastAsia" w:asciiTheme="minorEastAsia" w:hAnsiTheme="minorEastAsia"/>
                <w:szCs w:val="21"/>
              </w:rPr>
              <w:t>IG1电源故障诊断与测量</w:t>
            </w:r>
            <w:r>
              <w:rPr>
                <w:rFonts w:hint="eastAsia" w:asciiTheme="minorEastAsia" w:hAnsiTheme="minorEastAsia"/>
                <w:szCs w:val="21"/>
              </w:rPr>
              <w:br w:type="textWrapping"/>
            </w:r>
            <w:r>
              <w:rPr>
                <w:rFonts w:hint="eastAsia" w:asciiTheme="minorEastAsia" w:hAnsiTheme="minorEastAsia"/>
                <w:szCs w:val="21"/>
              </w:rPr>
              <w:t>高压互锁输出信号故障诊断与测量</w:t>
            </w:r>
            <w:r>
              <w:rPr>
                <w:rFonts w:hint="eastAsia" w:asciiTheme="minorEastAsia" w:hAnsiTheme="minorEastAsia"/>
                <w:szCs w:val="21"/>
              </w:rPr>
              <w:br w:type="textWrapping"/>
            </w:r>
            <w:r>
              <w:rPr>
                <w:rFonts w:hint="eastAsia" w:asciiTheme="minorEastAsia" w:hAnsiTheme="minorEastAsia"/>
                <w:szCs w:val="21"/>
              </w:rPr>
              <w:t>交流充电插座温度传感器2负故障诊断与测量</w:t>
            </w:r>
            <w:r>
              <w:rPr>
                <w:rFonts w:hint="eastAsia" w:asciiTheme="minorEastAsia" w:hAnsiTheme="minorEastAsia"/>
                <w:szCs w:val="21"/>
              </w:rPr>
              <w:br w:type="textWrapping"/>
            </w:r>
            <w:r>
              <w:rPr>
                <w:rFonts w:hint="eastAsia" w:asciiTheme="minorEastAsia" w:hAnsiTheme="minorEastAsia"/>
                <w:szCs w:val="21"/>
              </w:rPr>
              <w:t>电锁状态监测故障诊断与测量</w:t>
            </w:r>
            <w:r>
              <w:rPr>
                <w:rFonts w:hint="eastAsia" w:asciiTheme="minorEastAsia" w:hAnsiTheme="minorEastAsia"/>
                <w:szCs w:val="21"/>
              </w:rPr>
              <w:br w:type="textWrapping"/>
            </w:r>
            <w:r>
              <w:rPr>
                <w:rFonts w:hint="eastAsia" w:asciiTheme="minorEastAsia" w:hAnsiTheme="minorEastAsia"/>
                <w:szCs w:val="21"/>
              </w:rPr>
              <w:t>接地故障诊断与测量</w:t>
            </w:r>
            <w:r>
              <w:rPr>
                <w:rFonts w:hint="eastAsia" w:asciiTheme="minorEastAsia" w:hAnsiTheme="minorEastAsia"/>
                <w:szCs w:val="21"/>
              </w:rPr>
              <w:br w:type="textWrapping"/>
            </w:r>
            <w:r>
              <w:rPr>
                <w:rFonts w:hint="eastAsia" w:asciiTheme="minorEastAsia" w:hAnsiTheme="minorEastAsia"/>
                <w:szCs w:val="21"/>
              </w:rPr>
              <w:t>电源故障诊断与测量</w:t>
            </w:r>
            <w:r>
              <w:rPr>
                <w:rFonts w:hint="eastAsia" w:asciiTheme="minorEastAsia" w:hAnsiTheme="minorEastAsia"/>
                <w:szCs w:val="21"/>
              </w:rPr>
              <w:br w:type="textWrapping"/>
            </w:r>
            <w:r>
              <w:rPr>
                <w:rFonts w:hint="eastAsia" w:asciiTheme="minorEastAsia" w:hAnsiTheme="minorEastAsia"/>
                <w:szCs w:val="21"/>
              </w:rPr>
              <w:t>电锁闭锁正故障诊断与测量</w:t>
            </w:r>
            <w:r>
              <w:rPr>
                <w:rFonts w:hint="eastAsia" w:asciiTheme="minorEastAsia" w:hAnsiTheme="minorEastAsia"/>
                <w:szCs w:val="21"/>
              </w:rPr>
              <w:br w:type="textWrapping"/>
            </w:r>
            <w:r>
              <w:rPr>
                <w:rFonts w:hint="eastAsia" w:asciiTheme="minorEastAsia" w:hAnsiTheme="minorEastAsia"/>
                <w:szCs w:val="21"/>
              </w:rPr>
              <w:t>电锁闭锁负故障诊断与测量</w:t>
            </w:r>
            <w:r>
              <w:rPr>
                <w:rFonts w:hint="eastAsia" w:asciiTheme="minorEastAsia" w:hAnsiTheme="minorEastAsia"/>
                <w:szCs w:val="21"/>
              </w:rPr>
              <w:br w:type="textWrapping"/>
            </w:r>
            <w:r>
              <w:rPr>
                <w:rFonts w:hint="eastAsia" w:asciiTheme="minorEastAsia" w:hAnsiTheme="minorEastAsia"/>
                <w:szCs w:val="21"/>
              </w:rPr>
              <w:t>（6）整车控制（VCU</w:t>
            </w:r>
            <w:r>
              <w:rPr>
                <w:rFonts w:hint="eastAsia" w:asciiTheme="minorEastAsia" w:hAnsiTheme="minorEastAsia"/>
                <w:szCs w:val="21"/>
                <w:lang w:eastAsia="zh-CN"/>
              </w:rPr>
              <w:t>）</w:t>
            </w:r>
            <w:r>
              <w:rPr>
                <w:rFonts w:hint="eastAsia" w:asciiTheme="minorEastAsia" w:hAnsiTheme="minorEastAsia"/>
                <w:szCs w:val="21"/>
              </w:rPr>
              <w:br w:type="textWrapping"/>
            </w:r>
            <w:r>
              <w:rPr>
                <w:rFonts w:hint="eastAsia" w:asciiTheme="minorEastAsia" w:hAnsiTheme="minorEastAsia"/>
                <w:szCs w:val="21"/>
              </w:rPr>
              <w:t>G04故障诊断与测量</w:t>
            </w:r>
            <w:r>
              <w:rPr>
                <w:rFonts w:hint="eastAsia" w:asciiTheme="minorEastAsia" w:hAnsiTheme="minorEastAsia"/>
                <w:szCs w:val="21"/>
              </w:rPr>
              <w:br w:type="textWrapping"/>
            </w:r>
            <w:r>
              <w:rPr>
                <w:rFonts w:hint="eastAsia" w:asciiTheme="minorEastAsia" w:hAnsiTheme="minorEastAsia"/>
                <w:szCs w:val="21"/>
              </w:rPr>
              <w:t>维修隔离开关故障诊断与测量</w:t>
            </w:r>
            <w:r>
              <w:rPr>
                <w:rFonts w:hint="eastAsia" w:asciiTheme="minorEastAsia" w:hAnsiTheme="minorEastAsia"/>
                <w:szCs w:val="21"/>
              </w:rPr>
              <w:br w:type="textWrapping"/>
            </w:r>
            <w:r>
              <w:rPr>
                <w:rFonts w:hint="eastAsia" w:asciiTheme="minorEastAsia" w:hAnsiTheme="minorEastAsia"/>
                <w:szCs w:val="21"/>
              </w:rPr>
              <w:t>机舱线束接仪表线束连接器故障诊断与测量</w:t>
            </w:r>
            <w:r>
              <w:rPr>
                <w:rFonts w:hint="eastAsia" w:asciiTheme="minorEastAsia" w:hAnsiTheme="minorEastAsia"/>
                <w:szCs w:val="21"/>
              </w:rPr>
              <w:br w:type="textWrapping"/>
            </w:r>
            <w:r>
              <w:rPr>
                <w:rFonts w:hint="eastAsia" w:asciiTheme="minorEastAsia" w:hAnsiTheme="minorEastAsia"/>
                <w:szCs w:val="21"/>
              </w:rPr>
              <w:t>机舱线束接仪表线束连接器故障诊断与测量</w:t>
            </w:r>
            <w:r>
              <w:rPr>
                <w:rFonts w:hint="eastAsia" w:asciiTheme="minorEastAsia" w:hAnsiTheme="minorEastAsia"/>
                <w:szCs w:val="21"/>
              </w:rPr>
              <w:br w:type="textWrapping"/>
            </w:r>
            <w:r>
              <w:rPr>
                <w:rFonts w:hint="eastAsia" w:asciiTheme="minorEastAsia" w:hAnsiTheme="minorEastAsia"/>
                <w:szCs w:val="21"/>
              </w:rPr>
              <w:t>网关故障诊断与测量</w:t>
            </w:r>
            <w:r>
              <w:rPr>
                <w:rFonts w:hint="eastAsia" w:asciiTheme="minorEastAsia" w:hAnsiTheme="minorEastAsia"/>
                <w:szCs w:val="21"/>
              </w:rPr>
              <w:br w:type="textWrapping"/>
            </w:r>
            <w:r>
              <w:rPr>
                <w:rFonts w:hint="eastAsia" w:asciiTheme="minorEastAsia" w:hAnsiTheme="minorEastAsia"/>
                <w:szCs w:val="21"/>
              </w:rPr>
              <w:t>ONE BOX模块故障诊断与测量</w:t>
            </w:r>
            <w:r>
              <w:rPr>
                <w:rFonts w:hint="eastAsia" w:asciiTheme="minorEastAsia" w:hAnsiTheme="minorEastAsia"/>
                <w:szCs w:val="21"/>
              </w:rPr>
              <w:br w:type="textWrapping"/>
            </w:r>
            <w:r>
              <w:rPr>
                <w:rFonts w:hint="eastAsia" w:asciiTheme="minorEastAsia" w:hAnsiTheme="minorEastAsia"/>
                <w:szCs w:val="21"/>
              </w:rPr>
              <w:t>高速风扇继电器反馈故障诊断与测量</w:t>
            </w:r>
            <w:r>
              <w:rPr>
                <w:rFonts w:hint="eastAsia" w:asciiTheme="minorEastAsia" w:hAnsiTheme="minorEastAsia"/>
                <w:szCs w:val="21"/>
              </w:rPr>
              <w:br w:type="textWrapping"/>
            </w:r>
            <w:r>
              <w:rPr>
                <w:rFonts w:hint="eastAsia" w:asciiTheme="minorEastAsia" w:hAnsiTheme="minorEastAsia"/>
                <w:szCs w:val="21"/>
              </w:rPr>
              <w:t>前机舱保险丝继电器盒EF19（7.5A）故障诊断与测量</w:t>
            </w:r>
            <w:r>
              <w:rPr>
                <w:rFonts w:hint="eastAsia" w:asciiTheme="minorEastAsia" w:hAnsiTheme="minorEastAsia"/>
                <w:szCs w:val="21"/>
              </w:rPr>
              <w:br w:type="textWrapping"/>
            </w:r>
            <w:r>
              <w:rPr>
                <w:rFonts w:hint="eastAsia" w:asciiTheme="minorEastAsia" w:hAnsiTheme="minorEastAsia"/>
                <w:szCs w:val="21"/>
              </w:rPr>
              <w:t>机舱线束接仪表线束连接器故障诊断与测量</w:t>
            </w:r>
            <w:r>
              <w:rPr>
                <w:rFonts w:hint="eastAsia" w:asciiTheme="minorEastAsia" w:hAnsiTheme="minorEastAsia"/>
                <w:szCs w:val="21"/>
              </w:rPr>
              <w:br w:type="textWrapping"/>
            </w:r>
            <w:r>
              <w:rPr>
                <w:rFonts w:hint="eastAsia" w:asciiTheme="minorEastAsia" w:hAnsiTheme="minorEastAsia"/>
                <w:szCs w:val="21"/>
              </w:rPr>
              <w:t>低速风扇继电器反馈故障诊断与测量</w:t>
            </w:r>
            <w:r>
              <w:rPr>
                <w:rFonts w:hint="eastAsia" w:asciiTheme="minorEastAsia" w:hAnsiTheme="minorEastAsia"/>
                <w:szCs w:val="21"/>
              </w:rPr>
              <w:br w:type="textWrapping"/>
            </w:r>
            <w:r>
              <w:rPr>
                <w:rFonts w:hint="eastAsia" w:asciiTheme="minorEastAsia" w:hAnsiTheme="minorEastAsia"/>
                <w:szCs w:val="21"/>
              </w:rPr>
              <w:t>主继电器ER05故障诊断与测量</w:t>
            </w:r>
            <w:r>
              <w:rPr>
                <w:rFonts w:hint="eastAsia" w:asciiTheme="minorEastAsia" w:hAnsiTheme="minorEastAsia"/>
                <w:szCs w:val="21"/>
              </w:rPr>
              <w:br w:type="textWrapping"/>
            </w:r>
            <w:r>
              <w:rPr>
                <w:rFonts w:hint="eastAsia" w:asciiTheme="minorEastAsia" w:hAnsiTheme="minorEastAsia"/>
                <w:szCs w:val="21"/>
              </w:rPr>
              <w:t>前机舱保险丝继电器盒EF14（10A）故障诊断与测量</w:t>
            </w:r>
            <w:r>
              <w:rPr>
                <w:rFonts w:hint="eastAsia" w:asciiTheme="minorEastAsia" w:hAnsiTheme="minorEastAsia"/>
                <w:szCs w:val="21"/>
              </w:rPr>
              <w:br w:type="textWrapping"/>
            </w:r>
            <w:r>
              <w:rPr>
                <w:rFonts w:hint="eastAsia" w:asciiTheme="minorEastAsia" w:hAnsiTheme="minorEastAsia"/>
                <w:szCs w:val="21"/>
              </w:rPr>
              <w:t>前机舱保险丝继电器盒EF02（10A）故障诊断与测量</w:t>
            </w:r>
            <w:r>
              <w:rPr>
                <w:rFonts w:hint="eastAsia" w:asciiTheme="minorEastAsia" w:hAnsiTheme="minorEastAsia"/>
                <w:szCs w:val="21"/>
              </w:rPr>
              <w:br w:type="textWrapping"/>
            </w:r>
            <w:r>
              <w:rPr>
                <w:rFonts w:hint="eastAsia" w:asciiTheme="minorEastAsia" w:hAnsiTheme="minorEastAsia"/>
                <w:szCs w:val="21"/>
              </w:rPr>
              <w:t>前机舱保险丝继电器盒EF15（20A）故障诊断与测量</w:t>
            </w:r>
            <w:r>
              <w:rPr>
                <w:rFonts w:hint="eastAsia" w:asciiTheme="minorEastAsia" w:hAnsiTheme="minorEastAsia"/>
                <w:szCs w:val="21"/>
              </w:rPr>
              <w:br w:type="textWrapping"/>
            </w:r>
            <w:r>
              <w:rPr>
                <w:rFonts w:hint="eastAsia" w:asciiTheme="minorEastAsia" w:hAnsiTheme="minorEastAsia"/>
                <w:szCs w:val="21"/>
              </w:rPr>
              <w:t>前机舱保险丝继电器盒EF15（20A）故障诊断与测量</w:t>
            </w:r>
            <w:r>
              <w:rPr>
                <w:rFonts w:hint="eastAsia" w:asciiTheme="minorEastAsia" w:hAnsiTheme="minorEastAsia"/>
                <w:szCs w:val="21"/>
              </w:rPr>
              <w:br w:type="textWrapping"/>
            </w:r>
            <w:r>
              <w:rPr>
                <w:rFonts w:hint="eastAsia" w:asciiTheme="minorEastAsia" w:hAnsiTheme="minorEastAsia"/>
                <w:szCs w:val="21"/>
              </w:rPr>
              <w:t>G04故障诊断与测量</w:t>
            </w:r>
            <w:r>
              <w:rPr>
                <w:rFonts w:hint="eastAsia" w:asciiTheme="minorEastAsia" w:hAnsiTheme="minorEastAsia"/>
                <w:szCs w:val="21"/>
              </w:rPr>
              <w:br w:type="textWrapping"/>
            </w:r>
            <w:r>
              <w:rPr>
                <w:rFonts w:hint="eastAsia" w:asciiTheme="minorEastAsia" w:hAnsiTheme="minorEastAsia"/>
                <w:szCs w:val="21"/>
              </w:rPr>
              <w:t>ODP故障诊断与测量</w:t>
            </w:r>
            <w:r>
              <w:rPr>
                <w:rFonts w:hint="eastAsia" w:asciiTheme="minorEastAsia" w:hAnsiTheme="minorEastAsia"/>
                <w:szCs w:val="21"/>
              </w:rPr>
              <w:br w:type="textWrapping"/>
            </w:r>
            <w:r>
              <w:rPr>
                <w:rFonts w:hint="eastAsia" w:asciiTheme="minorEastAsia" w:hAnsiTheme="minorEastAsia"/>
                <w:szCs w:val="21"/>
              </w:rPr>
              <w:t>冷却风扇故障诊断与测量</w:t>
            </w:r>
            <w:r>
              <w:rPr>
                <w:rFonts w:hint="eastAsia" w:asciiTheme="minorEastAsia" w:hAnsiTheme="minorEastAsia"/>
                <w:szCs w:val="21"/>
              </w:rPr>
              <w:br w:type="textWrapping"/>
            </w:r>
            <w:r>
              <w:rPr>
                <w:rFonts w:hint="eastAsia" w:asciiTheme="minorEastAsia" w:hAnsiTheme="minorEastAsia"/>
                <w:szCs w:val="21"/>
              </w:rPr>
              <w:t>电子水泵继电器ER17故障诊断与测量</w:t>
            </w:r>
            <w:r>
              <w:rPr>
                <w:rFonts w:hint="eastAsia" w:asciiTheme="minorEastAsia" w:hAnsiTheme="minorEastAsia"/>
                <w:szCs w:val="21"/>
              </w:rPr>
              <w:br w:type="textWrapping"/>
            </w:r>
            <w:r>
              <w:rPr>
                <w:rFonts w:hint="eastAsia" w:asciiTheme="minorEastAsia" w:hAnsiTheme="minorEastAsia"/>
                <w:szCs w:val="21"/>
              </w:rPr>
              <w:t>机舱线束接动力线束连接器故障诊断与测量</w:t>
            </w:r>
            <w:r>
              <w:rPr>
                <w:rFonts w:hint="eastAsia" w:asciiTheme="minorEastAsia" w:hAnsiTheme="minorEastAsia"/>
                <w:szCs w:val="21"/>
              </w:rPr>
              <w:br w:type="textWrapping"/>
            </w:r>
            <w:r>
              <w:rPr>
                <w:rFonts w:hint="eastAsia" w:asciiTheme="minorEastAsia" w:hAnsiTheme="minorEastAsia"/>
                <w:szCs w:val="21"/>
              </w:rPr>
              <w:t>PWM继电器ER09故障诊断与测量</w:t>
            </w:r>
            <w:r>
              <w:rPr>
                <w:rFonts w:hint="eastAsia" w:asciiTheme="minorEastAsia" w:hAnsiTheme="minorEastAsia"/>
                <w:szCs w:val="21"/>
              </w:rPr>
              <w:br w:type="textWrapping"/>
            </w:r>
            <w:r>
              <w:rPr>
                <w:rFonts w:hint="eastAsia" w:asciiTheme="minorEastAsia" w:hAnsiTheme="minorEastAsia"/>
                <w:szCs w:val="21"/>
              </w:rPr>
              <w:t>电子油门踏板故障诊断与测量</w:t>
            </w:r>
            <w:r>
              <w:rPr>
                <w:rFonts w:hint="eastAsia" w:asciiTheme="minorEastAsia" w:hAnsiTheme="minorEastAsia"/>
                <w:szCs w:val="21"/>
              </w:rPr>
              <w:br w:type="textWrapping"/>
            </w:r>
            <w:r>
              <w:rPr>
                <w:rFonts w:hint="eastAsia" w:asciiTheme="minorEastAsia" w:hAnsiTheme="minorEastAsia"/>
                <w:szCs w:val="21"/>
              </w:rPr>
              <w:t>制动开关故障诊断与测量</w:t>
            </w:r>
            <w:r>
              <w:rPr>
                <w:rFonts w:hint="eastAsia" w:asciiTheme="minorEastAsia" w:hAnsiTheme="minorEastAsia"/>
                <w:szCs w:val="21"/>
              </w:rPr>
              <w:br w:type="textWrapping"/>
            </w:r>
            <w:r>
              <w:rPr>
                <w:rFonts w:hint="eastAsia" w:asciiTheme="minorEastAsia" w:hAnsiTheme="minorEastAsia"/>
                <w:szCs w:val="21"/>
              </w:rPr>
              <w:t>电子油门踏板故障诊断与测量</w:t>
            </w:r>
            <w:r>
              <w:rPr>
                <w:rFonts w:hint="eastAsia" w:asciiTheme="minorEastAsia" w:hAnsiTheme="minorEastAsia"/>
                <w:szCs w:val="21"/>
              </w:rPr>
              <w:br w:type="textWrapping"/>
            </w:r>
            <w:r>
              <w:rPr>
                <w:rFonts w:hint="eastAsia" w:asciiTheme="minorEastAsia" w:hAnsiTheme="minorEastAsia"/>
                <w:szCs w:val="21"/>
              </w:rPr>
              <w:t>PWM继电器EF09</w:t>
            </w:r>
            <w:r>
              <w:rPr>
                <w:rFonts w:hint="eastAsia" w:asciiTheme="minorEastAsia" w:hAnsiTheme="minorEastAsia"/>
                <w:szCs w:val="21"/>
                <w:lang w:eastAsia="zh-CN"/>
              </w:rPr>
              <w:t>（</w:t>
            </w:r>
            <w:r>
              <w:rPr>
                <w:rFonts w:hint="eastAsia" w:asciiTheme="minorEastAsia" w:hAnsiTheme="minorEastAsia"/>
                <w:szCs w:val="21"/>
              </w:rPr>
              <w:t>10A</w:t>
            </w:r>
            <w:r>
              <w:rPr>
                <w:rFonts w:hint="eastAsia" w:asciiTheme="minorEastAsia" w:hAnsiTheme="minorEastAsia"/>
                <w:szCs w:val="21"/>
                <w:lang w:eastAsia="zh-CN"/>
              </w:rPr>
              <w:t>）</w:t>
            </w:r>
            <w:r>
              <w:rPr>
                <w:rFonts w:hint="eastAsia" w:asciiTheme="minorEastAsia" w:hAnsiTheme="minorEastAsia"/>
                <w:szCs w:val="21"/>
              </w:rPr>
              <w:t>故障诊断与测量</w:t>
            </w:r>
            <w:r>
              <w:rPr>
                <w:rFonts w:hint="eastAsia" w:asciiTheme="minorEastAsia" w:hAnsiTheme="minorEastAsia"/>
                <w:szCs w:val="21"/>
              </w:rPr>
              <w:br w:type="textWrapping"/>
            </w:r>
            <w:r>
              <w:rPr>
                <w:rFonts w:hint="eastAsia" w:asciiTheme="minorEastAsia" w:hAnsiTheme="minorEastAsia"/>
                <w:szCs w:val="21"/>
              </w:rPr>
              <w:t>电子油门踏板故障诊断与测量</w:t>
            </w:r>
            <w:r>
              <w:rPr>
                <w:rFonts w:hint="eastAsia" w:asciiTheme="minorEastAsia" w:hAnsiTheme="minorEastAsia"/>
                <w:szCs w:val="21"/>
              </w:rPr>
              <w:br w:type="textWrapping"/>
            </w:r>
            <w:r>
              <w:rPr>
                <w:rFonts w:hint="eastAsia" w:asciiTheme="minorEastAsia" w:hAnsiTheme="minorEastAsia"/>
                <w:szCs w:val="21"/>
              </w:rPr>
              <w:t>前机舱保险丝继电器盒EF10（7.5A）故障诊断与测量</w:t>
            </w:r>
            <w:r>
              <w:rPr>
                <w:rFonts w:hint="eastAsia" w:asciiTheme="minorEastAsia" w:hAnsiTheme="minorEastAsia"/>
                <w:szCs w:val="21"/>
              </w:rPr>
              <w:br w:type="textWrapping"/>
            </w:r>
            <w:r>
              <w:rPr>
                <w:rFonts w:hint="eastAsia" w:asciiTheme="minorEastAsia" w:hAnsiTheme="minorEastAsia"/>
                <w:szCs w:val="21"/>
              </w:rPr>
              <w:t>制动开关故障诊断与测量</w:t>
            </w:r>
            <w:r>
              <w:rPr>
                <w:rFonts w:hint="eastAsia" w:asciiTheme="minorEastAsia" w:hAnsiTheme="minorEastAsia"/>
                <w:szCs w:val="21"/>
              </w:rPr>
              <w:br w:type="textWrapping"/>
            </w:r>
            <w:r>
              <w:rPr>
                <w:rFonts w:hint="eastAsia" w:asciiTheme="minorEastAsia" w:hAnsiTheme="minorEastAsia"/>
                <w:szCs w:val="21"/>
              </w:rPr>
              <w:t>采暖三通水阀</w:t>
            </w:r>
            <w:r>
              <w:rPr>
                <w:rFonts w:hint="eastAsia" w:asciiTheme="minorEastAsia" w:hAnsiTheme="minorEastAsia"/>
                <w:szCs w:val="21"/>
              </w:rPr>
              <w:br w:type="textWrapping"/>
            </w:r>
            <w:r>
              <w:rPr>
                <w:rFonts w:hint="eastAsia" w:asciiTheme="minorEastAsia" w:hAnsiTheme="minorEastAsia"/>
                <w:szCs w:val="21"/>
              </w:rPr>
              <w:t>机舱线束接动力线束连接器故障诊断与测量</w:t>
            </w:r>
            <w:r>
              <w:rPr>
                <w:rFonts w:hint="eastAsia" w:asciiTheme="minorEastAsia" w:hAnsiTheme="minorEastAsia"/>
                <w:szCs w:val="21"/>
              </w:rPr>
              <w:br w:type="textWrapping"/>
            </w:r>
            <w:r>
              <w:rPr>
                <w:rFonts w:hint="eastAsia" w:asciiTheme="minorEastAsia" w:hAnsiTheme="minorEastAsia"/>
                <w:szCs w:val="21"/>
              </w:rPr>
              <w:t>（7）集成动力控制系统（PEU）</w:t>
            </w:r>
            <w:r>
              <w:rPr>
                <w:rFonts w:hint="eastAsia" w:asciiTheme="minorEastAsia" w:hAnsiTheme="minorEastAsia"/>
                <w:szCs w:val="21"/>
              </w:rPr>
              <w:br w:type="textWrapping"/>
            </w:r>
            <w:r>
              <w:rPr>
                <w:rFonts w:hint="eastAsia" w:asciiTheme="minorEastAsia" w:hAnsiTheme="minorEastAsia"/>
                <w:szCs w:val="21"/>
              </w:rPr>
              <w:t>前机舱保险丝继电器盒EF03(15A）故障诊断与测量</w:t>
            </w:r>
            <w:r>
              <w:rPr>
                <w:rFonts w:hint="eastAsia" w:asciiTheme="minorEastAsia" w:hAnsiTheme="minorEastAsia"/>
                <w:szCs w:val="21"/>
              </w:rPr>
              <w:br w:type="textWrapping"/>
            </w:r>
            <w:r>
              <w:rPr>
                <w:rFonts w:hint="eastAsia" w:asciiTheme="minorEastAsia" w:hAnsiTheme="minorEastAsia"/>
                <w:szCs w:val="21"/>
              </w:rPr>
              <w:t>私有CAN-H故障诊断与测量</w:t>
            </w:r>
            <w:r>
              <w:rPr>
                <w:rFonts w:hint="eastAsia" w:asciiTheme="minorEastAsia" w:hAnsiTheme="minorEastAsia"/>
                <w:szCs w:val="21"/>
              </w:rPr>
              <w:br w:type="textWrapping"/>
            </w:r>
            <w:r>
              <w:rPr>
                <w:rFonts w:hint="eastAsia" w:asciiTheme="minorEastAsia" w:hAnsiTheme="minorEastAsia"/>
                <w:szCs w:val="21"/>
              </w:rPr>
              <w:t>HB CAN-H故障诊断与测量</w:t>
            </w:r>
            <w:r>
              <w:rPr>
                <w:rFonts w:hint="eastAsia" w:asciiTheme="minorEastAsia" w:hAnsiTheme="minorEastAsia"/>
                <w:szCs w:val="21"/>
              </w:rPr>
              <w:br w:type="textWrapping"/>
            </w:r>
            <w:r>
              <w:rPr>
                <w:rFonts w:hint="eastAsia" w:asciiTheme="minorEastAsia" w:hAnsiTheme="minorEastAsia"/>
                <w:szCs w:val="21"/>
              </w:rPr>
              <w:t>前机舱保险丝继电器盒EF03(15A）故障诊断与测量</w:t>
            </w:r>
            <w:r>
              <w:rPr>
                <w:rFonts w:hint="eastAsia" w:asciiTheme="minorEastAsia" w:hAnsiTheme="minorEastAsia"/>
                <w:szCs w:val="21"/>
              </w:rPr>
              <w:br w:type="textWrapping"/>
            </w:r>
            <w:r>
              <w:rPr>
                <w:rFonts w:hint="eastAsia" w:asciiTheme="minorEastAsia" w:hAnsiTheme="minorEastAsia"/>
                <w:szCs w:val="21"/>
              </w:rPr>
              <w:t>G04故障诊断与测量</w:t>
            </w:r>
            <w:r>
              <w:rPr>
                <w:rFonts w:hint="eastAsia" w:asciiTheme="minorEastAsia" w:hAnsiTheme="minorEastAsia"/>
                <w:szCs w:val="21"/>
              </w:rPr>
              <w:br w:type="textWrapping"/>
            </w:r>
            <w:r>
              <w:rPr>
                <w:rFonts w:hint="eastAsia" w:asciiTheme="minorEastAsia" w:hAnsiTheme="minorEastAsia"/>
                <w:szCs w:val="21"/>
              </w:rPr>
              <w:t>前机舱保险丝继电器盒EF18（7.5A）故障诊断与测量</w:t>
            </w:r>
            <w:r>
              <w:rPr>
                <w:rFonts w:hint="eastAsia" w:asciiTheme="minorEastAsia" w:hAnsiTheme="minorEastAsia"/>
                <w:szCs w:val="21"/>
              </w:rPr>
              <w:br w:type="textWrapping"/>
            </w:r>
            <w:r>
              <w:rPr>
                <w:rFonts w:hint="eastAsia" w:asciiTheme="minorEastAsia" w:hAnsiTheme="minorEastAsia"/>
                <w:szCs w:val="21"/>
              </w:rPr>
              <w:t>私有CAN-L故障诊断与测量</w:t>
            </w:r>
            <w:r>
              <w:rPr>
                <w:rFonts w:hint="eastAsia" w:asciiTheme="minorEastAsia" w:hAnsiTheme="minorEastAsia"/>
                <w:szCs w:val="21"/>
              </w:rPr>
              <w:br w:type="textWrapping"/>
            </w:r>
            <w:r>
              <w:rPr>
                <w:rFonts w:hint="eastAsia" w:asciiTheme="minorEastAsia" w:hAnsiTheme="minorEastAsia"/>
                <w:szCs w:val="21"/>
              </w:rPr>
              <w:t>HB CAN-L故障诊断与测量</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提供“故障设置与检测连接平台”软件著作权的原件扫描件或图片。</w:t>
            </w:r>
          </w:p>
        </w:tc>
        <w:tc>
          <w:tcPr>
            <w:tcW w:w="317" w:type="pct"/>
            <w:noWrap/>
            <w:vAlign w:val="center"/>
          </w:tcPr>
          <w:p>
            <w:pPr>
              <w:widowControl/>
              <w:shd w:val="clear" w:color="auto" w:fill="FFFFFF"/>
              <w:spacing w:line="580" w:lineRule="exact"/>
              <w:jc w:val="left"/>
              <w:rPr>
                <w:rFonts w:hint="eastAsia" w:asciiTheme="minorEastAsia" w:hAnsiTheme="minorEastAsia"/>
                <w:szCs w:val="21"/>
                <w:lang w:val="en-US" w:eastAsia="zh-CN"/>
              </w:rPr>
            </w:pPr>
            <w:r>
              <w:rPr>
                <w:rFonts w:hint="eastAsia" w:asciiTheme="minorEastAsia" w:hAnsiTheme="minorEastAsia"/>
                <w:szCs w:val="21"/>
              </w:rPr>
              <w:t>套</w:t>
            </w:r>
          </w:p>
        </w:tc>
        <w:tc>
          <w:tcPr>
            <w:tcW w:w="404" w:type="pct"/>
            <w:noWrap/>
            <w:vAlign w:val="center"/>
          </w:tcPr>
          <w:p>
            <w:pPr>
              <w:widowControl/>
              <w:shd w:val="clear" w:color="auto" w:fill="FFFFFF"/>
              <w:spacing w:line="580" w:lineRule="exact"/>
              <w:jc w:val="left"/>
              <w:rPr>
                <w:rFonts w:hint="eastAsia" w:asciiTheme="minorEastAsia" w:hAnsiTheme="minorEastAsia"/>
                <w:szCs w:val="21"/>
                <w:lang w:val="en-US" w:eastAsia="zh-CN"/>
              </w:rPr>
            </w:pPr>
            <w:r>
              <w:rPr>
                <w:rFonts w:hint="eastAsia" w:asciiTheme="minorEastAsia" w:hAnsiTheme="minorEastAsia"/>
                <w:szCs w:val="21"/>
              </w:rPr>
              <w:t>1</w:t>
            </w:r>
          </w:p>
        </w:tc>
        <w:tc>
          <w:tcPr>
            <w:tcW w:w="452" w:type="pct"/>
            <w:noWrap/>
            <w:vAlign w:val="center"/>
          </w:tcPr>
          <w:p>
            <w:pPr>
              <w:widowControl/>
              <w:shd w:val="clear" w:color="auto" w:fill="FFFFFF"/>
              <w:spacing w:line="580" w:lineRule="exact"/>
              <w:jc w:val="left"/>
              <w:rPr>
                <w:rFonts w:hint="eastAsia" w:asciiTheme="minorEastAsia" w:hAnsiTheme="minorEastAsia"/>
                <w:szCs w:val="21"/>
                <w:lang w:val="en-US" w:eastAsia="zh-CN"/>
              </w:rPr>
            </w:pPr>
            <w:r>
              <w:rPr>
                <w:rFonts w:hint="eastAsia" w:asciiTheme="minorEastAsia" w:hAnsiTheme="minorEastAsia"/>
                <w:szCs w:val="21"/>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73" w:type="pct"/>
            <w:noWrap/>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6</w:t>
            </w:r>
          </w:p>
        </w:tc>
        <w:tc>
          <w:tcPr>
            <w:tcW w:w="476" w:type="pct"/>
            <w:noWrap/>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检测仪器工具套装</w:t>
            </w:r>
          </w:p>
        </w:tc>
        <w:tc>
          <w:tcPr>
            <w:tcW w:w="3074" w:type="pct"/>
            <w:noWrap/>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产品包含接线盒、专用诊断仪、专用示波器208接线盒有多种型号的探针、接头以及接线，宽窄厚薄不一的片状、圆形接头或探针以及凸凹配对的连接器，可以满足各型汽车接插头引 线的需求，而且可以很好的配合万用表以及示波器等测量工具使用。</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 汽车信号测量套线</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2 套线类型：79种型号共计100个探针，接头和接线</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3 接头形状：宽窄不一的片状，圆形接头</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一、包含ECU诊断</w:t>
            </w:r>
            <w:r>
              <w:rPr>
                <w:rFonts w:hint="eastAsia" w:asciiTheme="minorEastAsia" w:hAnsiTheme="minorEastAsia"/>
                <w:szCs w:val="21"/>
                <w:lang w:eastAsia="zh-CN"/>
              </w:rPr>
              <w:t>：</w:t>
            </w:r>
            <w:r>
              <w:rPr>
                <w:rFonts w:hint="eastAsia" w:asciiTheme="minorEastAsia" w:hAnsiTheme="minorEastAsia"/>
                <w:szCs w:val="21"/>
              </w:rPr>
              <w:t>读写车辆信息、读写软硬件版本号、读取清除故障码、读取冻结帧、读取故障录波、故障码屏蔽、读取数据流、数据流波形显示、数据流比较、数据流录制、数据流回放、动作测试等。</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二、基础设备参数</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·处理器ARM Cortex-A9双核/1GHZ</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·操作系统Linux</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·DDR内存1GBDDR3</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·Flash 8GB eMMC</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·防护等级IP52</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·诊断接口标准OBDII接头，兼容12/24V</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·供电方式OBDII诊断座供电</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·输入电压7~32VDC</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·功率&lt;2.5W</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·USBMicro USB-B</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·WIFI802.11B/G/N，Up to 72.2Mbps with</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802.11n</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·尺寸</w:t>
            </w:r>
            <w:r>
              <w:rPr>
                <w:rFonts w:hint="eastAsia" w:asciiTheme="minorEastAsia" w:hAnsiTheme="minorEastAsia"/>
                <w:szCs w:val="21"/>
                <w:lang w:eastAsia="zh-CN"/>
              </w:rPr>
              <w:t>（</w:t>
            </w:r>
            <w:r>
              <w:rPr>
                <w:rFonts w:hint="eastAsia" w:asciiTheme="minorEastAsia" w:hAnsiTheme="minorEastAsia"/>
                <w:szCs w:val="21"/>
              </w:rPr>
              <w:t>mm</w:t>
            </w:r>
            <w:r>
              <w:rPr>
                <w:rFonts w:hint="eastAsia" w:asciiTheme="minorEastAsia" w:hAnsiTheme="minorEastAsia"/>
                <w:szCs w:val="21"/>
                <w:lang w:eastAsia="zh-CN"/>
              </w:rPr>
              <w:t>）：</w:t>
            </w:r>
            <w:r>
              <w:rPr>
                <w:rFonts w:hint="eastAsia" w:asciiTheme="minorEastAsia" w:hAnsiTheme="minorEastAsia"/>
                <w:szCs w:val="21"/>
              </w:rPr>
              <w:t>124.9x53.0 x29.4</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三、车辆支持接口</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CAN----1路高速信道</w:t>
            </w:r>
            <w:r>
              <w:rPr>
                <w:rFonts w:hint="eastAsia" w:asciiTheme="minorEastAsia" w:hAnsiTheme="minorEastAsia"/>
                <w:szCs w:val="21"/>
                <w:lang w:eastAsia="zh-CN"/>
              </w:rPr>
              <w:t>（</w:t>
            </w:r>
            <w:r>
              <w:rPr>
                <w:rFonts w:hint="eastAsia" w:asciiTheme="minorEastAsia" w:hAnsiTheme="minorEastAsia"/>
                <w:szCs w:val="21"/>
              </w:rPr>
              <w:t>最高支持1Mbps</w:t>
            </w:r>
            <w:r>
              <w:rPr>
                <w:rFonts w:hint="eastAsia" w:asciiTheme="minorEastAsia" w:hAnsiTheme="minorEastAsia"/>
                <w:szCs w:val="21"/>
                <w:lang w:eastAsia="zh-CN"/>
              </w:rPr>
              <w:t>）</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CAN----1路容错信道</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CAN----1路单线信道</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1路Kline……兼容5V/12V/24V</w:t>
            </w:r>
            <w:r>
              <w:rPr>
                <w:rFonts w:hint="eastAsia" w:asciiTheme="minorEastAsia" w:hAnsiTheme="minorEastAsia"/>
                <w:szCs w:val="21"/>
                <w:lang w:eastAsia="zh-CN"/>
              </w:rPr>
              <w:t>（</w:t>
            </w:r>
            <w:r>
              <w:rPr>
                <w:rFonts w:hint="eastAsia" w:asciiTheme="minorEastAsia" w:hAnsiTheme="minorEastAsia"/>
                <w:szCs w:val="21"/>
              </w:rPr>
              <w:t>最高支持250Kbps</w:t>
            </w:r>
            <w:r>
              <w:rPr>
                <w:rFonts w:hint="eastAsia" w:asciiTheme="minorEastAsia" w:hAnsiTheme="minorEastAsia"/>
                <w:szCs w:val="21"/>
                <w:lang w:eastAsia="zh-CN"/>
              </w:rPr>
              <w:t>）</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J1850 PWM</w:t>
            </w:r>
            <w:r>
              <w:rPr>
                <w:rFonts w:hint="eastAsia" w:asciiTheme="minorEastAsia" w:hAnsiTheme="minorEastAsia"/>
                <w:szCs w:val="21"/>
                <w:lang w:eastAsia="zh-CN"/>
              </w:rPr>
              <w:t>（</w:t>
            </w:r>
            <w:r>
              <w:rPr>
                <w:rFonts w:hint="eastAsia" w:asciiTheme="minorEastAsia" w:hAnsiTheme="minorEastAsia"/>
                <w:szCs w:val="21"/>
              </w:rPr>
              <w:t>脉宽调制</w:t>
            </w:r>
            <w:r>
              <w:rPr>
                <w:rFonts w:hint="eastAsia" w:asciiTheme="minorEastAsia" w:hAnsiTheme="minorEastAsia"/>
                <w:szCs w:val="21"/>
                <w:lang w:eastAsia="zh-CN"/>
              </w:rPr>
              <w:t>）</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J1850_VPW</w:t>
            </w:r>
            <w:r>
              <w:rPr>
                <w:rFonts w:hint="eastAsia" w:asciiTheme="minorEastAsia" w:hAnsiTheme="minorEastAsia"/>
                <w:szCs w:val="21"/>
                <w:lang w:eastAsia="zh-CN"/>
              </w:rPr>
              <w:t>（</w:t>
            </w:r>
            <w:r>
              <w:rPr>
                <w:rFonts w:hint="eastAsia" w:asciiTheme="minorEastAsia" w:hAnsiTheme="minorEastAsia"/>
                <w:szCs w:val="21"/>
              </w:rPr>
              <w:t>可调脉宽</w:t>
            </w:r>
            <w:r>
              <w:rPr>
                <w:rFonts w:hint="eastAsia" w:asciiTheme="minorEastAsia" w:hAnsiTheme="minorEastAsia"/>
                <w:szCs w:val="21"/>
                <w:lang w:eastAsia="zh-CN"/>
              </w:rPr>
              <w:t>）</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DolP</w:t>
            </w:r>
            <w:r>
              <w:rPr>
                <w:rFonts w:hint="eastAsia" w:asciiTheme="minorEastAsia" w:hAnsiTheme="minorEastAsia"/>
                <w:szCs w:val="21"/>
                <w:lang w:eastAsia="zh-CN"/>
              </w:rPr>
              <w:t>（</w:t>
            </w:r>
            <w:r>
              <w:rPr>
                <w:rFonts w:hint="eastAsia" w:asciiTheme="minorEastAsia" w:hAnsiTheme="minorEastAsia"/>
                <w:szCs w:val="21"/>
              </w:rPr>
              <w:t>硬件接口预留</w:t>
            </w:r>
            <w:r>
              <w:rPr>
                <w:rFonts w:hint="eastAsia" w:asciiTheme="minorEastAsia" w:hAnsiTheme="minorEastAsia"/>
                <w:szCs w:val="21"/>
                <w:lang w:eastAsia="zh-CN"/>
              </w:rPr>
              <w:t>）</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1、CAN总线：ISO11898/ISO15765/GMLAN/ISO14230(KWP2000)/ISO14229(UDS)/TP1.6(VW)/TP2.0(VW)/D2(Volvo)/SAE J1939</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2、Kline：SAE J1708(for diesel)/RS232(for diesel)/ISO9141/ISO14230(KWP2000)/ISO14229(UDS)</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3、J1850：SAE J1850-PWM/SAE J1850-VPW</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4、OBD：ISO15031</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5、以太网：DOIP</w:t>
            </w:r>
            <w:r>
              <w:rPr>
                <w:rFonts w:hint="eastAsia" w:asciiTheme="minorEastAsia" w:hAnsiTheme="minorEastAsia"/>
                <w:szCs w:val="21"/>
                <w:lang w:eastAsia="zh-CN"/>
              </w:rPr>
              <w:t>（</w:t>
            </w:r>
            <w:r>
              <w:rPr>
                <w:rFonts w:hint="eastAsia" w:asciiTheme="minorEastAsia" w:hAnsiTheme="minorEastAsia"/>
                <w:szCs w:val="21"/>
              </w:rPr>
              <w:t>未来通信协议</w:t>
            </w:r>
            <w:r>
              <w:rPr>
                <w:rFonts w:hint="eastAsia" w:asciiTheme="minorEastAsia" w:hAnsiTheme="minorEastAsia"/>
                <w:szCs w:val="21"/>
                <w:lang w:eastAsia="zh-CN"/>
              </w:rPr>
              <w:t>）</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四、配备液晶输出设备，可无线或有线通讯。</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外观尺寸Size：     310.92*189.17*36.21MM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电池Battery：      4.2V13000mAh</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内存MEMORY：    4GB DDR3 存储器64GB</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WIFI：             配置两组物理Wifi模块，为2.4G和2.4G/5G，一个支持与VDI连接，可以建立稳定的无线通讯。</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DC 电源接口：     输入设备 Input device DC 12/24VInput</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环境参数：        操作温度</w:t>
            </w:r>
            <w:r>
              <w:rPr>
                <w:rFonts w:hint="eastAsia" w:asciiTheme="minorEastAsia" w:hAnsiTheme="minorEastAsia"/>
                <w:szCs w:val="21"/>
                <w:lang w:eastAsia="zh-CN"/>
              </w:rPr>
              <w:t>：</w:t>
            </w:r>
            <w:r>
              <w:rPr>
                <w:rFonts w:hint="eastAsia" w:asciiTheme="minorEastAsia" w:hAnsiTheme="minorEastAsia"/>
                <w:szCs w:val="21"/>
              </w:rPr>
              <w:t>-20~60℃</w:t>
            </w:r>
            <w:r>
              <w:rPr>
                <w:rFonts w:hint="eastAsia" w:asciiTheme="minorEastAsia" w:hAnsiTheme="minorEastAsia"/>
                <w:szCs w:val="21"/>
                <w:lang w:eastAsia="zh-CN"/>
              </w:rPr>
              <w:t>；</w:t>
            </w:r>
            <w:r>
              <w:rPr>
                <w:rFonts w:hint="eastAsia" w:asciiTheme="minorEastAsia" w:hAnsiTheme="minorEastAsia"/>
                <w:szCs w:val="21"/>
              </w:rPr>
              <w:t>存储温度</w:t>
            </w:r>
            <w:r>
              <w:rPr>
                <w:rFonts w:hint="eastAsia" w:asciiTheme="minorEastAsia" w:hAnsiTheme="minorEastAsia"/>
                <w:szCs w:val="21"/>
                <w:lang w:eastAsia="zh-CN"/>
              </w:rPr>
              <w:t>：</w:t>
            </w:r>
            <w:r>
              <w:rPr>
                <w:rFonts w:hint="eastAsia" w:asciiTheme="minorEastAsia" w:hAnsiTheme="minorEastAsia"/>
                <w:szCs w:val="21"/>
              </w:rPr>
              <w:t>-40~85℃</w:t>
            </w:r>
            <w:r>
              <w:rPr>
                <w:rFonts w:hint="eastAsia" w:asciiTheme="minorEastAsia" w:hAnsiTheme="minorEastAsia"/>
                <w:szCs w:val="21"/>
                <w:lang w:eastAsia="zh-CN"/>
              </w:rPr>
              <w:t>：</w:t>
            </w:r>
            <w:r>
              <w:rPr>
                <w:rFonts w:hint="eastAsia" w:asciiTheme="minorEastAsia" w:hAnsiTheme="minorEastAsia"/>
                <w:szCs w:val="21"/>
              </w:rPr>
              <w:t>湿度</w:t>
            </w:r>
            <w:r>
              <w:rPr>
                <w:rFonts w:hint="eastAsia" w:asciiTheme="minorEastAsia" w:hAnsiTheme="minorEastAsia"/>
                <w:szCs w:val="21"/>
                <w:lang w:eastAsia="zh-CN"/>
              </w:rPr>
              <w:t>：〈</w:t>
            </w:r>
            <w:r>
              <w:rPr>
                <w:rFonts w:hint="eastAsia" w:asciiTheme="minorEastAsia" w:hAnsiTheme="minorEastAsia"/>
                <w:szCs w:val="21"/>
              </w:rPr>
              <w:t>=95%</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提供售后服务承诺函</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此设备需满足2023年全国职业院校技能大赛新能源汽车维修赛项的设备技术要求，提供设备企业入库证明的原件扫描件或图片。</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此设备需满足全国职业院校技能大赛，中职汽车机电维修设备技术要求，提供设备能满足大赛设备的证明文件的原件扫描件或图片。</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包含：装备、工作量、SIS/CAS（中央镜闭装置、使用仪表、制动系统、发动机控制系统、变速箱控制系统、安全气囊、导航系统、座椅调节机构、无线电系统、暖气/空调、汽车联网、照明、电源供应、舒适系统控制总成、车身维修、车载诊断系统、转向盘电子系统、防抱死系统、防滑转控制装置、音响系统、驾驶安全系统）、厂牌信息、公共信息、内部说明号码、诊断器、汽车上的接口、周期服务、易碎件、机械维修、工作卡、特点、安全措施、检测前提、检测仪器和工具、查找用户提出的错误、自诊断概况（分析的可能性）、CAS（CAS 描述、自诊断</w:t>
            </w:r>
            <w:r>
              <w:rPr>
                <w:rFonts w:hint="eastAsia" w:asciiTheme="minorEastAsia" w:hAnsiTheme="minorEastAsia"/>
                <w:szCs w:val="21"/>
                <w:lang w:eastAsia="zh-CN"/>
              </w:rPr>
              <w:t>描述</w:t>
            </w:r>
            <w:r>
              <w:rPr>
                <w:rFonts w:hint="eastAsia" w:asciiTheme="minorEastAsia" w:hAnsiTheme="minorEastAsia"/>
                <w:szCs w:val="21"/>
              </w:rPr>
              <w:t>、PC连接、故障存储读取、误码表、量除储存故障、实际值表）制动器诊断、自诊断检测仪（自诊断描述、连接测试仪、误码表、实际值表、</w:t>
            </w:r>
            <w:r>
              <w:rPr>
                <w:rFonts w:hint="eastAsia" w:asciiTheme="minorEastAsia" w:hAnsiTheme="minorEastAsia"/>
                <w:szCs w:val="21"/>
                <w:lang w:eastAsia="zh-CN"/>
              </w:rPr>
              <w:t>制动器</w:t>
            </w:r>
            <w:r>
              <w:rPr>
                <w:rFonts w:hint="eastAsia" w:asciiTheme="minorEastAsia" w:hAnsiTheme="minorEastAsia"/>
                <w:szCs w:val="21"/>
              </w:rPr>
              <w:t>诊断）、组件检测/额定值概述、电路图表、位置组件安装表。</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部件的安装位置</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发动机舱概貌</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1=氧传感器1插塞连接器</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2=爆震传感器1插塞连接器</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3=发动机温度传感器</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4=节气门控制装置</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5=进气温度传感器</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6=进气管切换阀装置电磁阀</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7=燃油压力调节器</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拆卸与安装说明</w:t>
            </w:r>
            <w:r>
              <w:rPr>
                <w:rFonts w:hint="eastAsia" w:asciiTheme="minorEastAsia" w:hAnsiTheme="minorEastAsia"/>
                <w:szCs w:val="21"/>
                <w:lang w:eastAsia="zh-CN"/>
              </w:rPr>
              <w:t>：</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8=电子盒中的Motronic控制总成</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拆卸与安装说明</w:t>
            </w:r>
            <w:r>
              <w:rPr>
                <w:rFonts w:hint="eastAsia" w:asciiTheme="minorEastAsia" w:hAnsiTheme="minorEastAsia"/>
                <w:szCs w:val="21"/>
                <w:lang w:eastAsia="zh-CN"/>
              </w:rPr>
              <w:t>：</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9=氧传感器2插塞连接器</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10=发动机转速传感器插塞连接器</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11=爆震传感器2插塞连接器双通道汽车专用示波器，25MHza超高采样频率，快速，精确；直接选择测试部件类型，更有针对性；次级点火可同时显示波形、火花电压、燃烧时间及燃烧电压等；“杂波捕捉”功能可快速捕捉、显示并可保存非常态信号波形；图表式万用表测试速度和精度远远超越普通万用表，测试结果以数字和波形同屏显示；嵌入的参考信息库提供操作步骤、参考波形、工作原理及故障诊断提示等；可与电脑联机并同步显示，适时抓取和打印波形图强大的帮助系统可帮助您快速找到答案；USB接口支持仪器实现快速升级。</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 次级点火可同时显示波形、火花电压、燃烧时间及燃烧电压等； 可快速捕捉、显示并可保存非常态信号波形；测试结果以数字和波形同屏显示</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2 可与电脑联机并同步显示，适时抓取和打印波形图；强大的帮助系统可帮助您快速找到答案； USB接口支持仪器实现快速升级；内置电池；该仪器通过CE认证</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3 横向：</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3.1 采样速率：25M/秒</w:t>
            </w:r>
            <w:r>
              <w:rPr>
                <w:rFonts w:hint="eastAsia" w:asciiTheme="minorEastAsia" w:hAnsiTheme="minorEastAsia"/>
                <w:szCs w:val="21"/>
                <w:lang w:eastAsia="zh-CN"/>
              </w:rPr>
              <w:t>，</w:t>
            </w:r>
            <w:r>
              <w:rPr>
                <w:rFonts w:hint="eastAsia" w:asciiTheme="minorEastAsia" w:hAnsiTheme="minorEastAsia"/>
                <w:szCs w:val="21"/>
              </w:rPr>
              <w:t>记录长度：1000点</w:t>
            </w:r>
            <w:r>
              <w:rPr>
                <w:rFonts w:hint="eastAsia" w:asciiTheme="minorEastAsia" w:hAnsiTheme="minorEastAsia"/>
                <w:szCs w:val="21"/>
                <w:lang w:eastAsia="zh-CN"/>
              </w:rPr>
              <w:t>，</w:t>
            </w:r>
            <w:r>
              <w:rPr>
                <w:rFonts w:hint="eastAsia" w:asciiTheme="minorEastAsia" w:hAnsiTheme="minorEastAsia"/>
                <w:szCs w:val="21"/>
              </w:rPr>
              <w:t>刷新速率：实时，滚动</w:t>
            </w:r>
            <w:r>
              <w:rPr>
                <w:rFonts w:hint="eastAsia" w:asciiTheme="minorEastAsia" w:hAnsiTheme="minorEastAsia"/>
                <w:szCs w:val="21"/>
                <w:lang w:eastAsia="zh-CN"/>
              </w:rPr>
              <w:t>，</w:t>
            </w:r>
            <w:r>
              <w:rPr>
                <w:rFonts w:hint="eastAsia" w:asciiTheme="minorEastAsia" w:hAnsiTheme="minorEastAsia"/>
                <w:szCs w:val="21"/>
              </w:rPr>
              <w:t>准确度：±（0.1%+1像点）</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3.2 扫描速率：1μs至50s</w:t>
            </w:r>
            <w:r>
              <w:rPr>
                <w:rFonts w:hint="eastAsia" w:asciiTheme="minorEastAsia" w:hAnsiTheme="minorEastAsia"/>
                <w:szCs w:val="21"/>
                <w:lang w:eastAsia="zh-CN"/>
              </w:rPr>
              <w:t>，</w:t>
            </w:r>
            <w:r>
              <w:rPr>
                <w:rFonts w:hint="eastAsia" w:asciiTheme="minorEastAsia" w:hAnsiTheme="minorEastAsia"/>
                <w:szCs w:val="21"/>
              </w:rPr>
              <w:t>在1、2、5序列（示波器模式）5s至24小时，在1、2、5序列（万用表模式）</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4纵向</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4.1 带宽：直流 至5MHz；-3dB</w:t>
            </w:r>
            <w:r>
              <w:rPr>
                <w:rFonts w:hint="eastAsia" w:asciiTheme="minorEastAsia" w:hAnsiTheme="minorEastAsia"/>
                <w:szCs w:val="21"/>
                <w:lang w:eastAsia="zh-CN"/>
              </w:rPr>
              <w:t>，</w:t>
            </w:r>
            <w:r>
              <w:rPr>
                <w:rFonts w:hint="eastAsia" w:asciiTheme="minorEastAsia" w:hAnsiTheme="minorEastAsia"/>
                <w:szCs w:val="21"/>
              </w:rPr>
              <w:t>分辨率：8位</w:t>
            </w:r>
            <w:r>
              <w:rPr>
                <w:rFonts w:hint="eastAsia" w:asciiTheme="minorEastAsia" w:hAnsiTheme="minorEastAsia"/>
                <w:szCs w:val="21"/>
                <w:lang w:eastAsia="zh-CN"/>
              </w:rPr>
              <w:t>，</w:t>
            </w:r>
            <w:r>
              <w:rPr>
                <w:rFonts w:hint="eastAsia" w:asciiTheme="minorEastAsia" w:hAnsiTheme="minorEastAsia"/>
                <w:szCs w:val="21"/>
              </w:rPr>
              <w:t>耦合：交流、直流、GND</w:t>
            </w:r>
            <w:r>
              <w:rPr>
                <w:rFonts w:hint="eastAsia" w:asciiTheme="minorEastAsia" w:hAnsiTheme="minorEastAsia"/>
                <w:szCs w:val="21"/>
                <w:lang w:eastAsia="zh-CN"/>
              </w:rPr>
              <w:t>，</w:t>
            </w:r>
            <w:r>
              <w:rPr>
                <w:rFonts w:hint="eastAsia" w:asciiTheme="minorEastAsia" w:hAnsiTheme="minorEastAsia"/>
                <w:szCs w:val="21"/>
              </w:rPr>
              <w:t>输入阻抗：1MΩ/70pF</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5 最大输入电压：300V,V/DIV</w:t>
            </w:r>
            <w:r>
              <w:rPr>
                <w:rFonts w:hint="eastAsia" w:asciiTheme="minorEastAsia" w:hAnsiTheme="minorEastAsia"/>
                <w:szCs w:val="21"/>
                <w:lang w:eastAsia="zh-CN"/>
              </w:rPr>
              <w:t>（</w:t>
            </w:r>
            <w:r>
              <w:rPr>
                <w:rFonts w:hint="eastAsia" w:asciiTheme="minorEastAsia" w:hAnsiTheme="minorEastAsia"/>
                <w:szCs w:val="21"/>
              </w:rPr>
              <w:t>伏/格</w:t>
            </w:r>
            <w:r>
              <w:rPr>
                <w:rFonts w:hint="eastAsia" w:asciiTheme="minorEastAsia" w:hAnsiTheme="minorEastAsia"/>
                <w:szCs w:val="21"/>
                <w:lang w:eastAsia="zh-CN"/>
              </w:rPr>
              <w:t>）</w:t>
            </w:r>
            <w:r>
              <w:rPr>
                <w:rFonts w:hint="eastAsia" w:asciiTheme="minorEastAsia" w:hAnsiTheme="minorEastAsia"/>
                <w:szCs w:val="21"/>
              </w:rPr>
              <w:t>：50mV至100V，在1、2、5序列</w:t>
            </w:r>
            <w:r>
              <w:rPr>
                <w:rFonts w:hint="eastAsia" w:asciiTheme="minorEastAsia" w:hAnsiTheme="minorEastAsia"/>
                <w:szCs w:val="21"/>
                <w:lang w:eastAsia="zh-CN"/>
              </w:rPr>
              <w:t>，</w:t>
            </w:r>
            <w:r>
              <w:rPr>
                <w:rFonts w:hint="eastAsia" w:asciiTheme="minorEastAsia" w:hAnsiTheme="minorEastAsia"/>
                <w:szCs w:val="21"/>
              </w:rPr>
              <w:t>准确度：±3%</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6  触发：触发源 ：CH A,CH B</w:t>
            </w:r>
            <w:r>
              <w:rPr>
                <w:rFonts w:hint="eastAsia" w:asciiTheme="minorEastAsia" w:hAnsiTheme="minorEastAsia"/>
                <w:szCs w:val="21"/>
                <w:lang w:eastAsia="zh-CN"/>
              </w:rPr>
              <w:t>，</w:t>
            </w:r>
            <w:r>
              <w:rPr>
                <w:rFonts w:hint="eastAsia" w:asciiTheme="minorEastAsia" w:hAnsiTheme="minorEastAsia"/>
                <w:szCs w:val="21"/>
              </w:rPr>
              <w:t>触发器（外部触发）</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7 灵敏度</w:t>
            </w:r>
            <w:r>
              <w:rPr>
                <w:rFonts w:hint="eastAsia" w:asciiTheme="minorEastAsia" w:hAnsiTheme="minorEastAsia"/>
                <w:szCs w:val="21"/>
                <w:lang w:eastAsia="zh-CN"/>
              </w:rPr>
              <w:t>（</w:t>
            </w:r>
            <w:r>
              <w:rPr>
                <w:rFonts w:hint="eastAsia" w:asciiTheme="minorEastAsia" w:hAnsiTheme="minorEastAsia"/>
                <w:szCs w:val="21"/>
              </w:rPr>
              <w:t>CH A</w:t>
            </w:r>
            <w:r>
              <w:rPr>
                <w:rFonts w:hint="eastAsia" w:asciiTheme="minorEastAsia" w:hAnsiTheme="minorEastAsia"/>
                <w:szCs w:val="21"/>
                <w:lang w:eastAsia="zh-CN"/>
              </w:rPr>
              <w:t>）</w:t>
            </w:r>
            <w:r>
              <w:rPr>
                <w:rFonts w:hint="eastAsia" w:asciiTheme="minorEastAsia" w:hAnsiTheme="minorEastAsia"/>
                <w:szCs w:val="21"/>
              </w:rPr>
              <w:t xml:space="preserve"> ：&lt;1.0div</w:t>
            </w:r>
            <w:r>
              <w:rPr>
                <w:rFonts w:hint="eastAsia" w:asciiTheme="minorEastAsia" w:hAnsiTheme="minorEastAsia"/>
                <w:szCs w:val="21"/>
                <w:lang w:eastAsia="zh-CN"/>
              </w:rPr>
              <w:t>（</w:t>
            </w:r>
            <w:r>
              <w:rPr>
                <w:rFonts w:hint="eastAsia" w:asciiTheme="minorEastAsia" w:hAnsiTheme="minorEastAsia"/>
                <w:szCs w:val="21"/>
              </w:rPr>
              <w:t>信号输入组电压</w:t>
            </w:r>
            <w:r>
              <w:rPr>
                <w:rFonts w:hint="eastAsia" w:asciiTheme="minorEastAsia" w:hAnsiTheme="minorEastAsia"/>
                <w:szCs w:val="21"/>
                <w:lang w:eastAsia="zh-CN"/>
              </w:rPr>
              <w:t>）</w:t>
            </w:r>
            <w:r>
              <w:rPr>
                <w:rFonts w:hint="eastAsia" w:asciiTheme="minorEastAsia" w:hAnsiTheme="minorEastAsia"/>
                <w:szCs w:val="21"/>
              </w:rPr>
              <w:t>至5MHz</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8 灵敏度（触发）：0.2Vp-p（峰值至峰值电压）</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9 模式：单次脉冲，普通，自动本套装主要应用于新能源汽车的三电系统的检测和维修，</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含8抽屉柜形多功能工具手推车、主要包括：</w:t>
            </w:r>
          </w:p>
          <w:p>
            <w:pPr>
              <w:widowControl/>
              <w:shd w:val="clear" w:color="auto" w:fill="FFFFFF"/>
              <w:spacing w:line="580" w:lineRule="exact"/>
              <w:jc w:val="left"/>
              <w:rPr>
                <w:rFonts w:hint="eastAsia" w:asciiTheme="minorEastAsia" w:hAnsiTheme="minorEastAsia"/>
                <w:szCs w:val="21"/>
              </w:rPr>
            </w:pP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 xml:space="preserve"> 6.3MM系列VDE绝缘快速脱落棘轮扳手145MM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 xml:space="preserve"> 6.3MM系列VDE绝缘转向接杆75MM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 xml:space="preserve"> 6.3MM系列VDE绝缘6角套筒7MM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 xml:space="preserve"> 6.3MM系列VDE绝缘6角套筒8MM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 xml:space="preserve"> 6.3MM系列VDE绝缘6角套筒10MM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 xml:space="preserve"> 6.3MM系列VDE绝缘六角旋具套筒3MM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 xml:space="preserve"> 6.3MM系列VDE绝缘六角旋具套筒5MM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 xml:space="preserve"> 6.3MM系列VDE绝缘六角旋具套筒6MM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 xml:space="preserve"> 6.3MM系列VDE绝缘六角旋具套筒8MM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 xml:space="preserve"> 6.3MM系列VDE绝缘花型旋具套筒T20</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 xml:space="preserve"> 6.3MM系列VDE绝缘花型旋具套筒T25</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 xml:space="preserve"> 6.3MM系列VDE绝缘花型旋具套筒T27</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 xml:space="preserve"> 6.3MM系列VDE绝缘花型旋具套筒T30</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10MM系列VDE绝缘快速脱落棘轮扳手200MM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10MM系列VDE绝缘转向接杆125MM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10MM系列VDE绝缘6角套筒8MM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10MM系列VDE绝缘6角套筒10MM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10MM系列VDE绝缘6角套筒12MM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10MM系列VDE绝缘6角套筒13MM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10MM系列VDE绝缘6角套筒14MM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10MM系列VDE绝缘6角旋具套筒4MM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10MM系列VDE绝缘6角旋具套筒5MM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10MM系列VDE绝缘6角旋具套筒6MM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10MM系列VDE绝缘6角旋具套筒8MM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10MM系列VDE绝缘花型旋具套筒T20</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10MM系列VDE绝缘花型旋具套筒T25</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10MM系列VDE绝缘花型旋具套筒T27</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10MM系列VDE绝缘花型旋具套筒T30</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T系列双色柄十字绝缘螺丝批#2x100MM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T系列双色柄一字绝缘螺丝批5.5x125MM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VDE绝缘耐压斜嘴钳7"</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直刃式VDE电缆剥线刀</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绝缘磁性捡拾器</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3/8"系列VDE绝缘扭力扳手10</w:t>
            </w:r>
            <w:r>
              <w:rPr>
                <w:rFonts w:hint="eastAsia" w:asciiTheme="minorEastAsia" w:hAnsiTheme="minorEastAsia"/>
                <w:szCs w:val="21"/>
                <w:lang w:eastAsia="zh-CN"/>
              </w:rPr>
              <w:t>—</w:t>
            </w:r>
            <w:r>
              <w:rPr>
                <w:rFonts w:hint="eastAsia" w:asciiTheme="minorEastAsia" w:hAnsiTheme="minorEastAsia"/>
                <w:szCs w:val="21"/>
              </w:rPr>
              <w:t>50N.m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VDE绝缘安装锤</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尼龙撬板</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12.5MM系列VDE绝缘转向接杆</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12.5MM系列VDE绝缘快速脱落棘轮扳手250MM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10MM系列VDE绝缘6角套筒15MM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10MM系列VDE绝缘6角旋具套筒10MM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10MM系列VDE绝缘花型旋具套筒T40</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12.5MM系列VDE绝缘六角旋具套筒16MM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12.5MM系列VDE绝缘六角旋具套筒17MM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12.5MM系列VDE绝缘六角旋具套筒18MM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12.5MM系列VDE绝缘六角旋具套筒19MM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12.5MM系列VDE绝缘六角旋具套筒21MM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VDE绝缘开口扳手8MM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VDE绝缘开口扳手10MM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VDE绝缘开口扳手12MM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VDE绝缘开口扳手13MM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VDE绝缘开口扳手14MM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VDE绝缘开口扳手15MM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全抛光两用扳手8MM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全抛光两用扳手9MM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全抛光两用扳手10MM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全抛光两用扳手11MM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全抛光两用扳手12MM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全抛光两用扳手13MM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全抛光两用扳手14MM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全抛光两用扳手15MM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全抛光两用扳手16MM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全抛光两用扳手17MM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全抛光两用扳手18MM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全抛光两用扳手19MM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水泵钳10"</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鲤鱼钳8"</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省力型尖嘴钳6"</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轻便型铝合金专业头灯140LM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万用剥线钳6.5"</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A系列一字形螺丝批8x300MM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穴用直口卡簧钳7"</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穴用曲口卡簧钳7"</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数显深度尺0-150MM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3/8"系列专业级可调式扭力扳手5</w:t>
            </w:r>
            <w:r>
              <w:rPr>
                <w:rFonts w:hint="eastAsia" w:asciiTheme="minorEastAsia" w:hAnsiTheme="minorEastAsia"/>
                <w:szCs w:val="21"/>
                <w:lang w:eastAsia="zh-CN"/>
              </w:rPr>
              <w:t>—</w:t>
            </w:r>
            <w:r>
              <w:rPr>
                <w:rFonts w:hint="eastAsia" w:asciiTheme="minorEastAsia" w:hAnsiTheme="minorEastAsia"/>
                <w:szCs w:val="21"/>
              </w:rPr>
              <w:t>25N·m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1/2"系列专业级可调式扭力扳手68</w:t>
            </w:r>
            <w:r>
              <w:rPr>
                <w:rFonts w:hint="eastAsia" w:asciiTheme="minorEastAsia" w:hAnsiTheme="minorEastAsia"/>
                <w:szCs w:val="21"/>
                <w:lang w:eastAsia="zh-CN"/>
              </w:rPr>
              <w:t>—</w:t>
            </w:r>
            <w:r>
              <w:rPr>
                <w:rFonts w:hint="eastAsia" w:asciiTheme="minorEastAsia" w:hAnsiTheme="minorEastAsia"/>
                <w:szCs w:val="21"/>
              </w:rPr>
              <w:t>340N·m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工作灯220LM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直型喉式管束钳（卡箍钳）</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指针式公斤扳手0-300N·m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钢直尺300MM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数显式游标卡尺0-300MM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胎纹深度尺</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冰点折射仪</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异形钳</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油壶</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数显高度尺0-200MM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百分表0-5MM 分度0.01MM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万向磁力底座60KGF</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外径千分尺0-25MM ，外千分尺25</w:t>
            </w:r>
            <w:r>
              <w:rPr>
                <w:rFonts w:hint="eastAsia" w:asciiTheme="minorEastAsia" w:hAnsiTheme="minorEastAsia"/>
                <w:szCs w:val="21"/>
                <w:lang w:eastAsia="zh-CN"/>
              </w:rPr>
              <w:t>—</w:t>
            </w:r>
            <w:r>
              <w:rPr>
                <w:rFonts w:hint="eastAsia" w:asciiTheme="minorEastAsia" w:hAnsiTheme="minorEastAsia"/>
                <w:szCs w:val="21"/>
              </w:rPr>
              <w:t>50mm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5件密封圈挑钩组套（油封起子）</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真有效值交直流钳形表</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电压测试笔</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手持式绝缘电阻测试仪</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高斯计</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推拉力计</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胎压表</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十字轮胎扳手</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量块300mm"</w:t>
            </w:r>
          </w:p>
        </w:tc>
        <w:tc>
          <w:tcPr>
            <w:tcW w:w="317" w:type="pct"/>
            <w:noWrap/>
            <w:vAlign w:val="center"/>
          </w:tcPr>
          <w:p>
            <w:pPr>
              <w:widowControl/>
              <w:shd w:val="clear" w:color="auto" w:fill="FFFFFF"/>
              <w:spacing w:line="580" w:lineRule="exact"/>
              <w:jc w:val="left"/>
              <w:rPr>
                <w:rFonts w:hint="eastAsia" w:asciiTheme="minorEastAsia" w:hAnsiTheme="minorEastAsia"/>
                <w:szCs w:val="21"/>
                <w:lang w:val="en-US" w:eastAsia="zh-CN"/>
              </w:rPr>
            </w:pPr>
            <w:r>
              <w:rPr>
                <w:rFonts w:hint="eastAsia" w:asciiTheme="minorEastAsia" w:hAnsiTheme="minorEastAsia"/>
                <w:szCs w:val="21"/>
              </w:rPr>
              <w:t>套</w:t>
            </w:r>
          </w:p>
        </w:tc>
        <w:tc>
          <w:tcPr>
            <w:tcW w:w="404" w:type="pct"/>
            <w:noWrap/>
            <w:vAlign w:val="center"/>
          </w:tcPr>
          <w:p>
            <w:pPr>
              <w:widowControl/>
              <w:shd w:val="clear" w:color="auto" w:fill="FFFFFF"/>
              <w:spacing w:line="580" w:lineRule="exact"/>
              <w:jc w:val="left"/>
              <w:rPr>
                <w:rFonts w:hint="eastAsia" w:asciiTheme="minorEastAsia" w:hAnsiTheme="minorEastAsia"/>
                <w:szCs w:val="21"/>
                <w:lang w:val="en-US" w:eastAsia="zh-CN"/>
              </w:rPr>
            </w:pPr>
            <w:r>
              <w:rPr>
                <w:rFonts w:hint="eastAsia" w:asciiTheme="minorEastAsia" w:hAnsiTheme="minorEastAsia"/>
                <w:szCs w:val="21"/>
              </w:rPr>
              <w:t>1</w:t>
            </w:r>
          </w:p>
        </w:tc>
        <w:tc>
          <w:tcPr>
            <w:tcW w:w="452" w:type="pct"/>
            <w:noWrap/>
            <w:vAlign w:val="center"/>
          </w:tcPr>
          <w:p>
            <w:pPr>
              <w:widowControl/>
              <w:shd w:val="clear" w:color="auto" w:fill="FFFFFF"/>
              <w:spacing w:line="580" w:lineRule="exact"/>
              <w:jc w:val="left"/>
              <w:rPr>
                <w:rFonts w:hint="eastAsia" w:asciiTheme="minorEastAsia" w:hAnsiTheme="minorEastAsia"/>
                <w:szCs w:val="21"/>
                <w:lang w:val="en-US" w:eastAsia="zh-CN"/>
              </w:rPr>
            </w:pPr>
            <w:r>
              <w:rPr>
                <w:rFonts w:hint="eastAsia" w:asciiTheme="minorEastAsia" w:hAnsiTheme="minorEastAsia"/>
                <w:szCs w:val="21"/>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73" w:type="pct"/>
            <w:noWrap/>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7</w:t>
            </w:r>
          </w:p>
        </w:tc>
        <w:tc>
          <w:tcPr>
            <w:tcW w:w="476" w:type="pct"/>
            <w:noWrap/>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汽车美容工具套装</w:t>
            </w:r>
          </w:p>
        </w:tc>
        <w:tc>
          <w:tcPr>
            <w:tcW w:w="3074" w:type="pct"/>
            <w:noWrap/>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P-003脱脂清洗剂（10L）</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P-002万能清洁浓缩液（10L）</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P-005发动机清洗液（10L）</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P-006A泡沫型强力洗车香波（10L</w:t>
            </w:r>
            <w:r>
              <w:rPr>
                <w:rFonts w:hint="eastAsia" w:asciiTheme="minorEastAsia" w:hAnsiTheme="minorEastAsia"/>
                <w:szCs w:val="21"/>
                <w:lang w:eastAsia="zh-CN"/>
              </w:rPr>
              <w:t>）</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P-007高浓缩镀膜闪光剂（10L</w:t>
            </w:r>
            <w:r>
              <w:rPr>
                <w:rFonts w:hint="eastAsia" w:asciiTheme="minorEastAsia" w:hAnsiTheme="minorEastAsia"/>
                <w:szCs w:val="21"/>
                <w:lang w:eastAsia="zh-CN"/>
              </w:rPr>
              <w:t>）</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P-008多功能上光保护剂（10L</w:t>
            </w:r>
            <w:r>
              <w:rPr>
                <w:rFonts w:hint="eastAsia" w:asciiTheme="minorEastAsia" w:hAnsiTheme="minorEastAsia"/>
                <w:szCs w:val="21"/>
                <w:lang w:eastAsia="zh-CN"/>
              </w:rPr>
              <w:t>）</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P-004铁粉去除剂（10L</w:t>
            </w:r>
            <w:r>
              <w:rPr>
                <w:rFonts w:hint="eastAsia" w:asciiTheme="minorEastAsia" w:hAnsiTheme="minorEastAsia"/>
                <w:szCs w:val="21"/>
                <w:lang w:eastAsia="zh-CN"/>
              </w:rPr>
              <w:t>）</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P-400柏油清洗剂（4L</w:t>
            </w:r>
            <w:r>
              <w:rPr>
                <w:rFonts w:hint="eastAsia" w:asciiTheme="minorEastAsia" w:hAnsiTheme="minorEastAsia"/>
                <w:szCs w:val="21"/>
                <w:lang w:eastAsia="zh-CN"/>
              </w:rPr>
              <w:t>）</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P-001内饰万能清洗剂（10L）</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P-009玻璃清洁剂（10L</w:t>
            </w:r>
            <w:r>
              <w:rPr>
                <w:rFonts w:hint="eastAsia" w:asciiTheme="minorEastAsia" w:hAnsiTheme="minorEastAsia"/>
                <w:szCs w:val="21"/>
                <w:lang w:eastAsia="zh-CN"/>
              </w:rPr>
              <w:t>）</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P-100轮毂清洁液（10L）</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P-200蚊虫分解专用清洁剂（10L</w:t>
            </w:r>
            <w:r>
              <w:rPr>
                <w:rFonts w:hint="eastAsia" w:asciiTheme="minorEastAsia" w:hAnsiTheme="minorEastAsia"/>
                <w:szCs w:val="21"/>
                <w:lang w:eastAsia="zh-CN"/>
              </w:rPr>
              <w:t>）</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P-300高效内饰上光清洁剂（10L</w:t>
            </w:r>
            <w:r>
              <w:rPr>
                <w:rFonts w:hint="eastAsia" w:asciiTheme="minorEastAsia" w:hAnsiTheme="minorEastAsia"/>
                <w:szCs w:val="21"/>
                <w:lang w:eastAsia="zh-CN"/>
              </w:rPr>
              <w:t>）</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P-500轮胎持久保养乳（10L）</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G-T001内部吹尘枪</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T002泡沫枪</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T025木柄风口刷</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G-T003清洗枪</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外接式发动机清洗枪</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G-T005发动机清洗枪</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G-T008顶棚清洗枪</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G-T007推拉镀膜枪</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G-T010外部吹水枪</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G-T056吸尘清洗枪</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PA壶</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RO-2200悬抛机</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G-4006短羊毛盘</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G-1006红色抛光盘粗</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G-2006黄色抛光盘</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G-3006黑色抛光盘</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80100专业智能整理釉</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80101专业微米级抛光剂</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80102专业中抛光剂</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80103专业强力研磨剂</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DA-21随机轨道振抛机（900W）</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DA-1+3全效修复剂（500ml）</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DA-2+镜面修复剂（500ml）</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DA-406羊毛盘</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DA-206海绵盘</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DA-106超细纤维收蜡盘</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去污美容粘土</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内饰清洗震抛机</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内饰清洗垫片</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内饰去油膜盘</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内饰打蜡盘</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皮革镀膜剂</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G2镀膜蜡（圆蜡）</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UFO海绵</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G-T037纤维手套</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G-T036羊毛手套</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G-T028轮胎上光刷</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G-T022轮胎清洗刷</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脚垫清洗刷</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多功能橡胶马毛刷</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G-T030多功能木柄马毛刷</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G-T026木质猪鬃毛刷（大）</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G-T026木质猪鬃毛刷（中）</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G-T026木质猪鬃毛刷（小）</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G-T023轮圈清洗刷大号</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G-T023-1轮圈清洗刷中号</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G-T024多功能细节刷全鬃</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G-T041工具篮</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美容折叠凳</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G-T009美容工具车</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工具挂板</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G-T033喷壶</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G-T035A压力泡沫壶</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玻璃清洗剂</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去污手套</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内饰塑料上光剂</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气动打蜡机</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G-T038洗车海绵</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G-T054塑料量杯</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美纹纸</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抛光机挂板</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一次性手套</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手持补纹灯</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遮蔽膜</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大毛巾160*60cm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60*40cm毛巾</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40*60cm毛巾</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玻璃毛巾</w:t>
            </w:r>
          </w:p>
        </w:tc>
        <w:tc>
          <w:tcPr>
            <w:tcW w:w="317" w:type="pct"/>
            <w:noWrap/>
            <w:vAlign w:val="center"/>
          </w:tcPr>
          <w:p>
            <w:pPr>
              <w:widowControl/>
              <w:shd w:val="clear" w:color="auto" w:fill="FFFFFF"/>
              <w:spacing w:line="580" w:lineRule="exact"/>
              <w:jc w:val="left"/>
              <w:rPr>
                <w:rFonts w:hint="eastAsia" w:asciiTheme="minorEastAsia" w:hAnsiTheme="minorEastAsia"/>
                <w:szCs w:val="21"/>
                <w:lang w:val="en-US" w:eastAsia="zh-CN"/>
              </w:rPr>
            </w:pPr>
            <w:r>
              <w:rPr>
                <w:rFonts w:hint="eastAsia" w:asciiTheme="minorEastAsia" w:hAnsiTheme="minorEastAsia"/>
                <w:szCs w:val="21"/>
              </w:rPr>
              <w:t>套</w:t>
            </w:r>
          </w:p>
        </w:tc>
        <w:tc>
          <w:tcPr>
            <w:tcW w:w="404" w:type="pct"/>
            <w:noWrap/>
            <w:vAlign w:val="center"/>
          </w:tcPr>
          <w:p>
            <w:pPr>
              <w:widowControl/>
              <w:shd w:val="clear" w:color="auto" w:fill="FFFFFF"/>
              <w:spacing w:line="580" w:lineRule="exact"/>
              <w:jc w:val="left"/>
              <w:rPr>
                <w:rFonts w:hint="eastAsia" w:asciiTheme="minorEastAsia" w:hAnsiTheme="minorEastAsia"/>
                <w:szCs w:val="21"/>
                <w:lang w:val="en-US" w:eastAsia="zh-CN"/>
              </w:rPr>
            </w:pPr>
            <w:r>
              <w:rPr>
                <w:rFonts w:hint="eastAsia" w:asciiTheme="minorEastAsia" w:hAnsiTheme="minorEastAsia"/>
                <w:szCs w:val="21"/>
              </w:rPr>
              <w:t>1</w:t>
            </w:r>
          </w:p>
        </w:tc>
        <w:tc>
          <w:tcPr>
            <w:tcW w:w="452" w:type="pct"/>
            <w:noWrap/>
            <w:vAlign w:val="center"/>
          </w:tcPr>
          <w:p>
            <w:pPr>
              <w:widowControl/>
              <w:shd w:val="clear" w:color="auto" w:fill="FFFFFF"/>
              <w:spacing w:line="580" w:lineRule="exact"/>
              <w:jc w:val="left"/>
              <w:rPr>
                <w:rFonts w:hint="eastAsia" w:asciiTheme="minorEastAsia" w:hAnsiTheme="minorEastAsia"/>
                <w:szCs w:val="21"/>
                <w:lang w:val="en-US" w:eastAsia="zh-CN"/>
              </w:rPr>
            </w:pPr>
            <w:r>
              <w:rPr>
                <w:rFonts w:hint="eastAsia" w:asciiTheme="minorEastAsia" w:hAnsiTheme="minorEastAsia"/>
                <w:szCs w:val="21"/>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73" w:type="pct"/>
            <w:noWrap/>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8</w:t>
            </w:r>
          </w:p>
        </w:tc>
        <w:tc>
          <w:tcPr>
            <w:tcW w:w="476" w:type="pct"/>
            <w:noWrap/>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美容设备套装</w:t>
            </w:r>
          </w:p>
        </w:tc>
        <w:tc>
          <w:tcPr>
            <w:tcW w:w="3074" w:type="pct"/>
            <w:noWrap/>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豪华5组合（  软水 软水 气 电   电）</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箱体端盖</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多功能豪华4组合（  气 气 电 电    ）</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全自动洗车机  泵头</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花洒头</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静音气泵800w 四个电机 120升储气罐 +油水分离器</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塑钢短咀吹尘枪</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精洗间地面格栅3公分  150平方</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上车边条</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 xml:space="preserve">无影平板灯  80块 </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恒水箱</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药液自动配比泵</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双电机吸尘器</w:t>
            </w:r>
          </w:p>
        </w:tc>
        <w:tc>
          <w:tcPr>
            <w:tcW w:w="317" w:type="pct"/>
            <w:noWrap/>
            <w:vAlign w:val="center"/>
          </w:tcPr>
          <w:p>
            <w:pPr>
              <w:widowControl/>
              <w:shd w:val="clear" w:color="auto" w:fill="FFFFFF"/>
              <w:spacing w:line="580" w:lineRule="exact"/>
              <w:jc w:val="left"/>
              <w:rPr>
                <w:rFonts w:hint="eastAsia" w:asciiTheme="minorEastAsia" w:hAnsiTheme="minorEastAsia"/>
                <w:szCs w:val="21"/>
                <w:lang w:val="en-US" w:eastAsia="zh-CN"/>
              </w:rPr>
            </w:pPr>
            <w:r>
              <w:rPr>
                <w:rFonts w:hint="eastAsia" w:asciiTheme="minorEastAsia" w:hAnsiTheme="minorEastAsia"/>
                <w:szCs w:val="21"/>
              </w:rPr>
              <w:t>套</w:t>
            </w:r>
          </w:p>
        </w:tc>
        <w:tc>
          <w:tcPr>
            <w:tcW w:w="404" w:type="pct"/>
            <w:noWrap/>
            <w:vAlign w:val="center"/>
          </w:tcPr>
          <w:p>
            <w:pPr>
              <w:widowControl/>
              <w:shd w:val="clear" w:color="auto" w:fill="FFFFFF"/>
              <w:spacing w:line="580" w:lineRule="exact"/>
              <w:jc w:val="left"/>
              <w:rPr>
                <w:rFonts w:hint="eastAsia" w:asciiTheme="minorEastAsia" w:hAnsiTheme="minorEastAsia"/>
                <w:szCs w:val="21"/>
                <w:lang w:val="en-US" w:eastAsia="zh-CN"/>
              </w:rPr>
            </w:pPr>
            <w:r>
              <w:rPr>
                <w:rFonts w:hint="eastAsia" w:asciiTheme="minorEastAsia" w:hAnsiTheme="minorEastAsia"/>
                <w:szCs w:val="21"/>
              </w:rPr>
              <w:t>1</w:t>
            </w:r>
          </w:p>
        </w:tc>
        <w:tc>
          <w:tcPr>
            <w:tcW w:w="452" w:type="pct"/>
            <w:noWrap/>
            <w:vAlign w:val="center"/>
          </w:tcPr>
          <w:p>
            <w:pPr>
              <w:widowControl/>
              <w:shd w:val="clear" w:color="auto" w:fill="FFFFFF"/>
              <w:spacing w:line="580" w:lineRule="exact"/>
              <w:jc w:val="left"/>
              <w:rPr>
                <w:rFonts w:hint="eastAsia" w:asciiTheme="minorEastAsia" w:hAnsiTheme="minorEastAsia"/>
                <w:szCs w:val="21"/>
                <w:lang w:val="en-US" w:eastAsia="zh-CN"/>
              </w:rPr>
            </w:pPr>
            <w:r>
              <w:rPr>
                <w:rFonts w:hint="eastAsia" w:asciiTheme="minorEastAsia" w:hAnsiTheme="minorEastAsia"/>
                <w:szCs w:val="21"/>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73" w:type="pct"/>
            <w:noWrap/>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9</w:t>
            </w:r>
          </w:p>
        </w:tc>
        <w:tc>
          <w:tcPr>
            <w:tcW w:w="476" w:type="pct"/>
            <w:noWrap/>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美容车间布置与车间文化</w:t>
            </w:r>
          </w:p>
        </w:tc>
        <w:tc>
          <w:tcPr>
            <w:tcW w:w="3074" w:type="pct"/>
            <w:noWrap/>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地面开槽，UV平板无影灯架子、设备组合鼓架子、水路、气路、电路；玻璃门，移动玻璃隔断、隔断；贴膜车间断桥铝折叠门；抽水泵；无塔供水罐；墙面护板。实训室墙面、柱面文化。工位分类垃圾桶、钥匙盒；急救箱。实训室文化：包含、窗帘文化 、文化挂图、墙面造型文化。</w:t>
            </w:r>
          </w:p>
          <w:p>
            <w:pPr>
              <w:widowControl/>
              <w:shd w:val="clear" w:color="auto" w:fill="FFFFFF"/>
              <w:spacing w:line="580" w:lineRule="exact"/>
              <w:jc w:val="left"/>
              <w:rPr>
                <w:rFonts w:hint="eastAsia" w:asciiTheme="minorEastAsia" w:hAnsiTheme="minorEastAsia"/>
                <w:szCs w:val="21"/>
              </w:rPr>
            </w:pPr>
          </w:p>
        </w:tc>
        <w:tc>
          <w:tcPr>
            <w:tcW w:w="317" w:type="pct"/>
            <w:noWrap/>
            <w:vAlign w:val="center"/>
          </w:tcPr>
          <w:p>
            <w:pPr>
              <w:widowControl/>
              <w:shd w:val="clear" w:color="auto" w:fill="FFFFFF"/>
              <w:spacing w:line="580" w:lineRule="exact"/>
              <w:jc w:val="left"/>
              <w:rPr>
                <w:rFonts w:hint="eastAsia" w:asciiTheme="minorEastAsia" w:hAnsiTheme="minorEastAsia"/>
                <w:szCs w:val="21"/>
                <w:lang w:val="en-US" w:eastAsia="zh-CN"/>
              </w:rPr>
            </w:pPr>
            <w:r>
              <w:rPr>
                <w:rFonts w:hint="eastAsia" w:asciiTheme="minorEastAsia" w:hAnsiTheme="minorEastAsia"/>
                <w:szCs w:val="21"/>
              </w:rPr>
              <w:t>套</w:t>
            </w:r>
          </w:p>
        </w:tc>
        <w:tc>
          <w:tcPr>
            <w:tcW w:w="404" w:type="pct"/>
            <w:noWrap/>
            <w:vAlign w:val="center"/>
          </w:tcPr>
          <w:p>
            <w:pPr>
              <w:widowControl/>
              <w:shd w:val="clear" w:color="auto" w:fill="FFFFFF"/>
              <w:spacing w:line="580" w:lineRule="exact"/>
              <w:jc w:val="left"/>
              <w:rPr>
                <w:rFonts w:hint="eastAsia" w:asciiTheme="minorEastAsia" w:hAnsiTheme="minorEastAsia"/>
                <w:szCs w:val="21"/>
                <w:lang w:val="en-US" w:eastAsia="zh-CN"/>
              </w:rPr>
            </w:pPr>
            <w:r>
              <w:rPr>
                <w:rFonts w:hint="eastAsia" w:asciiTheme="minorEastAsia" w:hAnsiTheme="minorEastAsia"/>
                <w:szCs w:val="21"/>
              </w:rPr>
              <w:t>1</w:t>
            </w:r>
          </w:p>
        </w:tc>
        <w:tc>
          <w:tcPr>
            <w:tcW w:w="452" w:type="pct"/>
            <w:noWrap/>
            <w:vAlign w:val="center"/>
          </w:tcPr>
          <w:p>
            <w:pPr>
              <w:widowControl/>
              <w:shd w:val="clear" w:color="auto" w:fill="FFFFFF"/>
              <w:spacing w:line="580" w:lineRule="exact"/>
              <w:jc w:val="left"/>
              <w:rPr>
                <w:rFonts w:hint="eastAsia" w:asciiTheme="minorEastAsia" w:hAnsiTheme="minorEastAsia"/>
                <w:szCs w:val="21"/>
                <w:lang w:val="en-US" w:eastAsia="zh-CN"/>
              </w:rPr>
            </w:pPr>
            <w:r>
              <w:rPr>
                <w:rFonts w:hint="eastAsia" w:asciiTheme="minorEastAsia" w:hAnsiTheme="minorEastAsia"/>
                <w:szCs w:val="21"/>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73" w:type="pct"/>
            <w:noWrap/>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10</w:t>
            </w:r>
          </w:p>
        </w:tc>
        <w:tc>
          <w:tcPr>
            <w:tcW w:w="476" w:type="pct"/>
            <w:noWrap/>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维修工具套装</w:t>
            </w:r>
          </w:p>
        </w:tc>
        <w:tc>
          <w:tcPr>
            <w:tcW w:w="3074" w:type="pct"/>
            <w:noWrap/>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包含6抽屉柜形多功能工具车及配套工具：</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1/2"手动短六角套筒；</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1/2"DR.短气短套筒；</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1/2"手动长12角套筒；</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1/2"手动延长接杆；</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胶柄棘轮</w:t>
            </w:r>
            <w:r>
              <w:rPr>
                <w:rFonts w:hint="eastAsia" w:asciiTheme="minorEastAsia" w:hAnsiTheme="minorEastAsia"/>
                <w:szCs w:val="21"/>
                <w:lang w:eastAsia="zh-CN"/>
              </w:rPr>
              <w:t>扳手</w:t>
            </w:r>
            <w:r>
              <w:rPr>
                <w:rFonts w:hint="eastAsia" w:asciiTheme="minorEastAsia" w:hAnsiTheme="minorEastAsia"/>
                <w:szCs w:val="21"/>
              </w:rPr>
              <w:t>；</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手动万向接头；</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滑接杆头；</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转接头；</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10MM起子头；</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齿轮型起子头；</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3/8"手动短六角套筒；</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3/8" E型星形套筒；</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 xml:space="preserve">3/8"火星塞套筒 </w:t>
            </w:r>
            <w:r>
              <w:rPr>
                <w:rFonts w:hint="eastAsia" w:asciiTheme="minorEastAsia" w:hAnsiTheme="minorEastAsia"/>
                <w:szCs w:val="21"/>
                <w:lang w:eastAsia="zh-CN"/>
              </w:rPr>
              <w:t>（</w:t>
            </w:r>
            <w:r>
              <w:rPr>
                <w:rFonts w:hint="eastAsia" w:asciiTheme="minorEastAsia" w:hAnsiTheme="minorEastAsia"/>
                <w:szCs w:val="21"/>
              </w:rPr>
              <w:t>胶套</w:t>
            </w:r>
            <w:r>
              <w:rPr>
                <w:rFonts w:hint="eastAsia" w:asciiTheme="minorEastAsia" w:hAnsiTheme="minorEastAsia"/>
                <w:szCs w:val="21"/>
                <w:lang w:eastAsia="zh-CN"/>
              </w:rPr>
              <w:t>）</w:t>
            </w:r>
            <w:r>
              <w:rPr>
                <w:rFonts w:hint="eastAsia" w:asciiTheme="minorEastAsia" w:hAnsiTheme="minorEastAsia"/>
                <w:szCs w:val="21"/>
              </w:rPr>
              <w:t>；</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3/8"手动延长接杆；</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雾面薄型梅开扳手；</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1/4" E型套筒；</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1/4"手动短六角套筒；</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1/4"手动长六角套筒；</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L型短星型扳手</w:t>
            </w:r>
            <w:r>
              <w:rPr>
                <w:rFonts w:hint="eastAsia" w:asciiTheme="minorEastAsia" w:hAnsiTheme="minorEastAsia"/>
                <w:szCs w:val="21"/>
                <w:lang w:eastAsia="zh-CN"/>
              </w:rPr>
              <w:t>组</w:t>
            </w:r>
            <w:r>
              <w:rPr>
                <w:rFonts w:hint="eastAsia" w:asciiTheme="minorEastAsia" w:hAnsiTheme="minorEastAsia"/>
                <w:szCs w:val="21"/>
              </w:rPr>
              <w:t>；</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起子头；</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8"鲤鱼钳；</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7"重力型斜口钳</w:t>
            </w:r>
            <w:r>
              <w:rPr>
                <w:rFonts w:hint="eastAsia" w:asciiTheme="minorEastAsia" w:hAnsiTheme="minorEastAsia"/>
                <w:szCs w:val="21"/>
                <w:lang w:eastAsia="zh-CN"/>
              </w:rPr>
              <w:t>（</w:t>
            </w:r>
            <w:r>
              <w:rPr>
                <w:rFonts w:hint="eastAsia" w:asciiTheme="minorEastAsia" w:hAnsiTheme="minorEastAsia"/>
                <w:szCs w:val="21"/>
              </w:rPr>
              <w:t>双色柄</w:t>
            </w:r>
            <w:r>
              <w:rPr>
                <w:rFonts w:hint="eastAsia" w:asciiTheme="minorEastAsia" w:hAnsiTheme="minorEastAsia"/>
                <w:szCs w:val="21"/>
                <w:lang w:eastAsia="zh-CN"/>
              </w:rPr>
              <w:t>）</w:t>
            </w:r>
            <w:r>
              <w:rPr>
                <w:rFonts w:hint="eastAsia" w:asciiTheme="minorEastAsia" w:hAnsiTheme="minorEastAsia"/>
                <w:szCs w:val="21"/>
              </w:rPr>
              <w:t>；</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正负极验电笔；</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1/2"转 3/8"更换头等共计158件。</w:t>
            </w:r>
          </w:p>
        </w:tc>
        <w:tc>
          <w:tcPr>
            <w:tcW w:w="317" w:type="pct"/>
            <w:noWrap/>
            <w:vAlign w:val="center"/>
          </w:tcPr>
          <w:p>
            <w:pPr>
              <w:widowControl/>
              <w:shd w:val="clear" w:color="auto" w:fill="FFFFFF"/>
              <w:spacing w:line="580" w:lineRule="exact"/>
              <w:jc w:val="left"/>
              <w:rPr>
                <w:rFonts w:hint="eastAsia" w:asciiTheme="minorEastAsia" w:hAnsiTheme="minorEastAsia"/>
                <w:szCs w:val="21"/>
                <w:lang w:val="en-US" w:eastAsia="zh-CN"/>
              </w:rPr>
            </w:pPr>
            <w:r>
              <w:rPr>
                <w:rFonts w:hint="eastAsia" w:asciiTheme="minorEastAsia" w:hAnsiTheme="minorEastAsia"/>
                <w:szCs w:val="21"/>
              </w:rPr>
              <w:t>套</w:t>
            </w:r>
          </w:p>
        </w:tc>
        <w:tc>
          <w:tcPr>
            <w:tcW w:w="404" w:type="pct"/>
            <w:noWrap/>
            <w:vAlign w:val="center"/>
          </w:tcPr>
          <w:p>
            <w:pPr>
              <w:widowControl/>
              <w:shd w:val="clear" w:color="auto" w:fill="FFFFFF"/>
              <w:spacing w:line="580" w:lineRule="exact"/>
              <w:jc w:val="left"/>
              <w:rPr>
                <w:rFonts w:hint="eastAsia" w:asciiTheme="minorEastAsia" w:hAnsiTheme="minorEastAsia"/>
                <w:szCs w:val="21"/>
                <w:lang w:val="en-US" w:eastAsia="zh-CN"/>
              </w:rPr>
            </w:pPr>
            <w:r>
              <w:rPr>
                <w:rFonts w:hint="eastAsia" w:asciiTheme="minorEastAsia" w:hAnsiTheme="minorEastAsia"/>
                <w:szCs w:val="21"/>
              </w:rPr>
              <w:t>15</w:t>
            </w:r>
          </w:p>
        </w:tc>
        <w:tc>
          <w:tcPr>
            <w:tcW w:w="452" w:type="pct"/>
            <w:noWrap/>
            <w:vAlign w:val="center"/>
          </w:tcPr>
          <w:p>
            <w:pPr>
              <w:widowControl/>
              <w:shd w:val="clear" w:color="auto" w:fill="FFFFFF"/>
              <w:spacing w:line="580" w:lineRule="exact"/>
              <w:jc w:val="left"/>
              <w:rPr>
                <w:rFonts w:hint="eastAsia" w:asciiTheme="minorEastAsia" w:hAnsiTheme="minorEastAsia"/>
                <w:szCs w:val="21"/>
                <w:lang w:val="en-US" w:eastAsia="zh-CN"/>
              </w:rPr>
            </w:pPr>
            <w:r>
              <w:rPr>
                <w:rFonts w:hint="eastAsia" w:asciiTheme="minorEastAsia" w:hAnsiTheme="minorEastAsia"/>
                <w:szCs w:val="21"/>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73" w:type="pct"/>
            <w:noWrap/>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11</w:t>
            </w:r>
          </w:p>
        </w:tc>
        <w:tc>
          <w:tcPr>
            <w:tcW w:w="476" w:type="pct"/>
            <w:noWrap/>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比赛</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工装</w:t>
            </w:r>
          </w:p>
        </w:tc>
        <w:tc>
          <w:tcPr>
            <w:tcW w:w="3074" w:type="pct"/>
            <w:noWrap/>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人员防护套装包括绝缘手套、耐磨手套、绝缘鞋、护目镜、安全帽等各1套。</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1、绝缘手套：天然橡胶制成，耐压等级1KV。</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2、耐磨手套：符合人体工程学设计；可降低潜在的危险，如：刀割等；可清洗。</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3、绝缘鞋：防砸电绝缘；双密度聚氨酯（PU）一次成型鞋底，大底致密耐磨，中底柔软舒适配合防滑设计穿着舒适安全。柔软型全封闭鞋舌，有效防止飞溅液体进入。</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4、护目镜：防冲击物，如打磨，研磨等。防化学物，如电镀，喷漆等。防光辐射，如红外线、紫外线等。防热辐射，如电火花，热辐射等。</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5、安全帽：绝缘，防撞减震，防喷溅，抗撕裂， 安全帽采用 ABS 硬质材质，无毒、无味、无任何刺激。</w:t>
            </w:r>
          </w:p>
        </w:tc>
        <w:tc>
          <w:tcPr>
            <w:tcW w:w="317" w:type="pct"/>
            <w:noWrap/>
            <w:vAlign w:val="center"/>
          </w:tcPr>
          <w:p>
            <w:pPr>
              <w:widowControl/>
              <w:shd w:val="clear" w:color="auto" w:fill="FFFFFF"/>
              <w:spacing w:line="580" w:lineRule="exact"/>
              <w:jc w:val="left"/>
              <w:rPr>
                <w:rFonts w:hint="eastAsia" w:asciiTheme="minorEastAsia" w:hAnsiTheme="minorEastAsia"/>
                <w:szCs w:val="21"/>
                <w:lang w:val="en-US" w:eastAsia="zh-CN"/>
              </w:rPr>
            </w:pPr>
            <w:r>
              <w:rPr>
                <w:rFonts w:hint="eastAsia" w:asciiTheme="minorEastAsia" w:hAnsiTheme="minorEastAsia"/>
                <w:szCs w:val="21"/>
              </w:rPr>
              <w:t>套</w:t>
            </w:r>
          </w:p>
        </w:tc>
        <w:tc>
          <w:tcPr>
            <w:tcW w:w="404" w:type="pct"/>
            <w:noWrap/>
            <w:vAlign w:val="center"/>
          </w:tcPr>
          <w:p>
            <w:pPr>
              <w:widowControl/>
              <w:shd w:val="clear" w:color="auto" w:fill="FFFFFF"/>
              <w:spacing w:line="580" w:lineRule="exact"/>
              <w:jc w:val="left"/>
              <w:rPr>
                <w:rFonts w:hint="eastAsia" w:asciiTheme="minorEastAsia" w:hAnsiTheme="minorEastAsia"/>
                <w:szCs w:val="21"/>
                <w:lang w:val="en-US" w:eastAsia="zh-CN"/>
              </w:rPr>
            </w:pPr>
            <w:r>
              <w:rPr>
                <w:rFonts w:hint="eastAsia" w:asciiTheme="minorEastAsia" w:hAnsiTheme="minorEastAsia"/>
                <w:szCs w:val="21"/>
              </w:rPr>
              <w:t>10</w:t>
            </w:r>
          </w:p>
        </w:tc>
        <w:tc>
          <w:tcPr>
            <w:tcW w:w="452" w:type="pct"/>
            <w:noWrap/>
            <w:vAlign w:val="center"/>
          </w:tcPr>
          <w:p>
            <w:pPr>
              <w:widowControl/>
              <w:shd w:val="clear" w:color="auto" w:fill="FFFFFF"/>
              <w:spacing w:line="580" w:lineRule="exact"/>
              <w:jc w:val="left"/>
              <w:rPr>
                <w:rFonts w:hint="eastAsia" w:asciiTheme="minorEastAsia" w:hAnsiTheme="minorEastAsia"/>
                <w:szCs w:val="21"/>
                <w:lang w:val="en-US" w:eastAsia="zh-CN"/>
              </w:rPr>
            </w:pPr>
            <w:r>
              <w:rPr>
                <w:rFonts w:hint="eastAsia" w:asciiTheme="minorEastAsia" w:hAnsiTheme="minorEastAsia"/>
                <w:szCs w:val="21"/>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73" w:type="pct"/>
            <w:noWrap/>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12</w:t>
            </w:r>
          </w:p>
        </w:tc>
        <w:tc>
          <w:tcPr>
            <w:tcW w:w="476" w:type="pct"/>
            <w:noWrap/>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技术</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培训</w:t>
            </w:r>
          </w:p>
        </w:tc>
        <w:tc>
          <w:tcPr>
            <w:tcW w:w="3074" w:type="pct"/>
            <w:noWrap/>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包含师生去大赛承办方培训以及专家来我校培训1.邀请省赛专家组成员辅导不少于5次，每次不少于3天，</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2.承诺提供5名参赛师生外出交流学习不少于3次。</w:t>
            </w:r>
          </w:p>
        </w:tc>
        <w:tc>
          <w:tcPr>
            <w:tcW w:w="317" w:type="pct"/>
            <w:noWrap/>
            <w:vAlign w:val="center"/>
          </w:tcPr>
          <w:p>
            <w:pPr>
              <w:widowControl/>
              <w:shd w:val="clear" w:color="auto" w:fill="FFFFFF"/>
              <w:spacing w:line="580" w:lineRule="exact"/>
              <w:jc w:val="left"/>
              <w:rPr>
                <w:rFonts w:hint="eastAsia" w:asciiTheme="minorEastAsia" w:hAnsiTheme="minorEastAsia"/>
                <w:szCs w:val="21"/>
                <w:lang w:val="en-US" w:eastAsia="zh-CN"/>
              </w:rPr>
            </w:pPr>
            <w:r>
              <w:rPr>
                <w:rFonts w:hint="eastAsia" w:asciiTheme="minorEastAsia" w:hAnsiTheme="minorEastAsia"/>
                <w:szCs w:val="21"/>
              </w:rPr>
              <w:t>项</w:t>
            </w:r>
          </w:p>
        </w:tc>
        <w:tc>
          <w:tcPr>
            <w:tcW w:w="404" w:type="pct"/>
            <w:noWrap/>
            <w:vAlign w:val="center"/>
          </w:tcPr>
          <w:p>
            <w:pPr>
              <w:widowControl/>
              <w:shd w:val="clear" w:color="auto" w:fill="FFFFFF"/>
              <w:spacing w:line="580" w:lineRule="exact"/>
              <w:jc w:val="left"/>
              <w:rPr>
                <w:rFonts w:hint="eastAsia" w:asciiTheme="minorEastAsia" w:hAnsiTheme="minorEastAsia"/>
                <w:szCs w:val="21"/>
                <w:lang w:val="en-US" w:eastAsia="zh-CN"/>
              </w:rPr>
            </w:pPr>
            <w:r>
              <w:rPr>
                <w:rFonts w:hint="eastAsia" w:asciiTheme="minorEastAsia" w:hAnsiTheme="minorEastAsia"/>
                <w:szCs w:val="21"/>
              </w:rPr>
              <w:t>1</w:t>
            </w:r>
          </w:p>
        </w:tc>
        <w:tc>
          <w:tcPr>
            <w:tcW w:w="452" w:type="pct"/>
            <w:noWrap/>
            <w:vAlign w:val="center"/>
          </w:tcPr>
          <w:p>
            <w:pPr>
              <w:widowControl/>
              <w:shd w:val="clear" w:color="auto" w:fill="FFFFFF"/>
              <w:spacing w:line="580" w:lineRule="exact"/>
              <w:jc w:val="left"/>
              <w:rPr>
                <w:rFonts w:hint="eastAsia" w:asciiTheme="minorEastAsia" w:hAnsiTheme="minorEastAsia"/>
                <w:szCs w:val="21"/>
                <w:lang w:val="en-US" w:eastAsia="zh-CN"/>
              </w:rPr>
            </w:pPr>
            <w:r>
              <w:rPr>
                <w:rFonts w:hint="eastAsia" w:asciiTheme="minorEastAsia" w:hAnsiTheme="minorEastAsia"/>
                <w:szCs w:val="21"/>
                <w:lang w:val="en-US" w:eastAsia="zh-CN"/>
              </w:rPr>
              <w:t>软件</w:t>
            </w:r>
            <w:r>
              <w:rPr>
                <w:rFonts w:hint="eastAsia" w:asciiTheme="minorEastAsia" w:hAnsiTheme="minorEastAsia"/>
                <w:szCs w:val="21"/>
              </w:rPr>
              <w:t>和信息技术传输业</w:t>
            </w:r>
          </w:p>
        </w:tc>
      </w:tr>
    </w:tbl>
    <w:p>
      <w:pPr>
        <w:pStyle w:val="16"/>
        <w:ind w:left="0" w:leftChars="0"/>
      </w:pPr>
    </w:p>
    <w:p>
      <w:pPr>
        <w:widowControl/>
        <w:shd w:val="clear" w:color="auto" w:fill="FFFFFF"/>
        <w:spacing w:line="440" w:lineRule="exact"/>
        <w:jc w:val="left"/>
        <w:rPr>
          <w:rFonts w:ascii="宋体" w:hAnsi="宋体" w:eastAsia="宋体"/>
        </w:rPr>
      </w:pPr>
      <w:r>
        <w:rPr>
          <w:rFonts w:hint="eastAsia" w:ascii="宋体" w:hAnsi="宋体" w:eastAsia="宋体" w:cs="微软雅黑"/>
          <w:b/>
          <w:sz w:val="24"/>
          <w:szCs w:val="24"/>
        </w:rPr>
        <w:t>注：本采购清单中所列技术规格或主要参数为最低要求，不允许负偏离，否则为无效响应。</w:t>
      </w:r>
    </w:p>
    <w:p>
      <w:pPr>
        <w:widowControl/>
        <w:shd w:val="clear" w:color="auto" w:fill="FFFFFF"/>
        <w:spacing w:line="440" w:lineRule="exact"/>
        <w:jc w:val="left"/>
        <w:rPr>
          <w:rFonts w:ascii="宋体" w:hAnsi="宋体" w:eastAsia="宋体"/>
          <w:szCs w:val="21"/>
        </w:rPr>
      </w:pPr>
      <w:r>
        <w:rPr>
          <w:rFonts w:hint="eastAsia" w:ascii="宋体" w:hAnsi="宋体" w:eastAsia="宋体" w:cs="黑体"/>
          <w:b/>
          <w:bCs/>
          <w:sz w:val="24"/>
          <w:szCs w:val="24"/>
          <w:shd w:val="clear" w:color="auto" w:fill="FFFFFF"/>
        </w:rPr>
        <w:t>三、采购标的执行标准：</w:t>
      </w:r>
      <w:r>
        <w:rPr>
          <w:rFonts w:hint="eastAsia" w:ascii="宋体" w:hAnsi="宋体" w:eastAsia="宋体"/>
          <w:szCs w:val="21"/>
        </w:rPr>
        <w:t>执行国家相关标准。</w:t>
      </w:r>
    </w:p>
    <w:p>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四、服务标准、期限、效率等要求：</w:t>
      </w:r>
    </w:p>
    <w:p>
      <w:pPr>
        <w:tabs>
          <w:tab w:val="left" w:pos="7095"/>
        </w:tabs>
        <w:spacing w:line="440" w:lineRule="exact"/>
        <w:ind w:firstLine="420" w:firstLineChars="200"/>
        <w:rPr>
          <w:rFonts w:ascii="宋体" w:hAnsi="宋体" w:eastAsia="宋体"/>
          <w:szCs w:val="21"/>
        </w:rPr>
      </w:pPr>
      <w:r>
        <w:rPr>
          <w:rFonts w:ascii="宋体" w:hAnsi="宋体" w:eastAsia="宋体"/>
          <w:szCs w:val="21"/>
        </w:rPr>
        <w:t>质保期为1年，质保期内发生故障或质量问题，卖方在接到通知后2小时进行响应，4小时到达，24小时内处理问题。</w:t>
      </w:r>
    </w:p>
    <w:p>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五、采购标的的其他技术、服务等要求：</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1、供应商须明确投标产品的厂家、产地、品牌、型号等参数（除6、7、8、9、11、12项外），否则为无效响应文件 。</w:t>
      </w:r>
    </w:p>
    <w:p>
      <w:pPr>
        <w:tabs>
          <w:tab w:val="left" w:pos="7095"/>
        </w:tabs>
        <w:spacing w:line="440" w:lineRule="exact"/>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、供应商应就该项目完整投标（报价含税费等），否则为无效响应文件。</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3、所投产品必须符合谈判文件规定标准的全新正品现货，否则为无效响应文件 。</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val="en-US" w:eastAsia="zh-CN"/>
        </w:rPr>
        <w:t>4</w:t>
      </w:r>
      <w:r>
        <w:rPr>
          <w:rFonts w:hint="eastAsia" w:ascii="宋体" w:hAnsi="宋体" w:eastAsia="宋体"/>
          <w:szCs w:val="21"/>
        </w:rPr>
        <w:t>、响应文件中具有完整可行的实施（技术）方案，须明确售后负责人、联系人和联系电话</w:t>
      </w:r>
      <w:r>
        <w:rPr>
          <w:rFonts w:hint="eastAsia" w:ascii="宋体" w:hAnsi="宋体" w:eastAsia="宋体"/>
          <w:szCs w:val="21"/>
          <w:lang w:eastAsia="zh-CN"/>
        </w:rPr>
        <w:t>，</w:t>
      </w:r>
      <w:r>
        <w:rPr>
          <w:rFonts w:hint="eastAsia" w:ascii="宋体" w:hAnsi="宋体" w:eastAsia="宋体"/>
          <w:szCs w:val="21"/>
        </w:rPr>
        <w:t>否则为无效响应文件。</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val="en-US" w:eastAsia="zh-CN"/>
        </w:rPr>
        <w:t>5</w:t>
      </w:r>
      <w:r>
        <w:rPr>
          <w:rFonts w:ascii="宋体" w:hAnsi="宋体" w:eastAsia="宋体"/>
          <w:szCs w:val="21"/>
        </w:rPr>
        <w:t>、中标企业于中标后第</w:t>
      </w:r>
      <w:r>
        <w:rPr>
          <w:rFonts w:hint="eastAsia" w:ascii="宋体" w:hAnsi="宋体" w:eastAsia="宋体"/>
          <w:szCs w:val="21"/>
        </w:rPr>
        <w:t>二</w:t>
      </w:r>
      <w:r>
        <w:rPr>
          <w:rFonts w:ascii="宋体" w:hAnsi="宋体" w:eastAsia="宋体"/>
          <w:szCs w:val="21"/>
        </w:rPr>
        <w:t>日上午09：00向</w:t>
      </w:r>
      <w:r>
        <w:rPr>
          <w:rFonts w:hint="eastAsia" w:ascii="宋体" w:hAnsi="宋体" w:eastAsia="宋体"/>
          <w:szCs w:val="21"/>
        </w:rPr>
        <w:t>禹州市中等专业学校</w:t>
      </w:r>
      <w:r>
        <w:rPr>
          <w:rFonts w:ascii="宋体" w:hAnsi="宋体" w:eastAsia="宋体"/>
          <w:szCs w:val="21"/>
        </w:rPr>
        <w:t>提供投标文件中所有</w:t>
      </w:r>
      <w:r>
        <w:rPr>
          <w:rFonts w:hint="eastAsia" w:ascii="宋体" w:hAnsi="宋体" w:eastAsia="宋体"/>
          <w:szCs w:val="21"/>
        </w:rPr>
        <w:t>证件</w:t>
      </w:r>
      <w:r>
        <w:rPr>
          <w:rFonts w:ascii="宋体" w:hAnsi="宋体" w:eastAsia="宋体"/>
          <w:szCs w:val="21"/>
        </w:rPr>
        <w:t>原件，不符合或不能提供的，取消其中标资格并列入不良记录及信用中国。</w:t>
      </w:r>
    </w:p>
    <w:p>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六、验收标准：</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1、按照国家相关标准、行业标准、地方标准或者其他标准、规范验收（与采购标的执行标准一致，选填）；</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2、按照谈判文件要求、响应文件响应和承诺验收；</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3、本项目验收如需要第三方验收，中标方将承担所有产生的费用；</w:t>
      </w:r>
    </w:p>
    <w:p>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七、采购资金支付</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（一）支付方式：双方签订合同约定。</w:t>
      </w:r>
    </w:p>
    <w:p>
      <w:pPr>
        <w:tabs>
          <w:tab w:val="left" w:pos="7095"/>
        </w:tabs>
        <w:spacing w:line="440" w:lineRule="exact"/>
        <w:ind w:firstLine="420" w:firstLineChars="200"/>
      </w:pPr>
      <w:r>
        <w:rPr>
          <w:rFonts w:hint="eastAsia" w:ascii="宋体" w:hAnsi="宋体" w:eastAsia="宋体"/>
          <w:szCs w:val="21"/>
        </w:rPr>
        <w:t>（二）支付时间及条件：双方签订合同约定。</w:t>
      </w: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谈判文件中凡标有</w:t>
      </w:r>
      <w:r>
        <w:rPr>
          <w:rFonts w:hint="eastAsia" w:cs="微软雅黑" w:asciiTheme="minorEastAsia" w:hAnsiTheme="minorEastAsia"/>
          <w:b/>
          <w:szCs w:val="21"/>
        </w:rPr>
        <w:t>★（技术参数中的除外）</w:t>
      </w:r>
      <w:r>
        <w:rPr>
          <w:rFonts w:hint="eastAsia" w:cs="微软雅黑"/>
          <w:b/>
          <w:szCs w:val="21"/>
        </w:rPr>
        <w:t>条款均为实质性要求条款，响应文件须完全响应，未实质响应的，按照无效响应处理。</w:t>
      </w:r>
    </w:p>
    <w:tbl>
      <w:tblPr>
        <w:tblStyle w:val="2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rPr>
                <w:rFonts w:cs="仿宋_GB2312" w:asciiTheme="minorEastAsia" w:hAnsiTheme="minorEastAsia"/>
                <w:szCs w:val="21"/>
              </w:rPr>
            </w:pPr>
            <w:r>
              <w:rPr>
                <w:rFonts w:hint="eastAsia" w:cs="仿宋_GB2312" w:asciiTheme="minorEastAsia" w:hAnsiTheme="minorEastAsia"/>
                <w:szCs w:val="21"/>
              </w:rPr>
              <w:t>项目名称：</w:t>
            </w:r>
            <w:r>
              <w:rPr>
                <w:rFonts w:hint="eastAsia" w:asciiTheme="majorEastAsia" w:hAnsiTheme="majorEastAsia" w:eastAsiaTheme="majorEastAsia" w:cstheme="majorEastAsia"/>
                <w:szCs w:val="21"/>
                <w:lang w:val="zh-CN"/>
              </w:rPr>
              <w:t>禹州市中等专业学校新能源汽车运用与维修实训中心建设项目</w:t>
            </w:r>
            <w:r>
              <w:rPr>
                <w:rFonts w:hint="eastAsia" w:cs="仿宋_GB2312" w:asciiTheme="minorEastAsia" w:hAnsiTheme="minorEastAsia"/>
                <w:color w:val="000000"/>
                <w:szCs w:val="21"/>
                <w:shd w:val="clear" w:color="auto" w:fill="FFFFFF"/>
              </w:rPr>
              <w:t>（不见面开标）</w:t>
            </w:r>
          </w:p>
          <w:p>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采购编号：YZCG-T2023</w:t>
            </w:r>
            <w:r>
              <w:rPr>
                <w:rFonts w:hint="eastAsia" w:cs="仿宋_GB2312" w:asciiTheme="minorEastAsia" w:hAnsiTheme="minorEastAsia"/>
                <w:szCs w:val="21"/>
                <w:lang w:val="en-US" w:eastAsia="zh-CN"/>
              </w:rPr>
              <w:t>044</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交付（服务、完工）时间：合同签订后30日历天内完成供货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ascii="宋体" w:hAnsi="宋体" w:eastAsia="宋体" w:cs="仿宋_GB2312"/>
                <w:szCs w:val="21"/>
                <w:shd w:val="clear" w:color="auto" w:fill="FFFFFF"/>
              </w:rPr>
            </w:pPr>
            <w:r>
              <w:rPr>
                <w:rFonts w:hint="eastAsia" w:ascii="宋体" w:hAnsi="宋体" w:eastAsia="宋体" w:cs="仿宋_GB2312"/>
                <w:szCs w:val="21"/>
                <w:shd w:val="clear" w:color="auto" w:fill="FFFFFF"/>
              </w:rPr>
              <w:t>采购单位：禹州市中等专业学校</w:t>
            </w:r>
          </w:p>
          <w:p>
            <w:pPr>
              <w:widowControl/>
              <w:shd w:val="clear" w:color="auto" w:fill="FFFFFF"/>
              <w:spacing w:line="440" w:lineRule="exact"/>
              <w:jc w:val="left"/>
              <w:rPr>
                <w:rFonts w:ascii="宋体" w:hAnsi="宋体" w:eastAsia="宋体" w:cs="仿宋_GB2312"/>
                <w:szCs w:val="21"/>
                <w:shd w:val="clear" w:color="auto" w:fill="FFFFFF"/>
              </w:rPr>
            </w:pPr>
            <w:r>
              <w:rPr>
                <w:rFonts w:hint="eastAsia" w:ascii="宋体" w:hAnsi="宋体" w:eastAsia="宋体" w:cs="仿宋_GB2312"/>
                <w:szCs w:val="21"/>
                <w:shd w:val="clear" w:color="auto" w:fill="FFFFFF"/>
              </w:rPr>
              <w:t>地  址：禹州市药城路北段</w:t>
            </w:r>
          </w:p>
          <w:p>
            <w:pPr>
              <w:widowControl/>
              <w:shd w:val="clear" w:color="auto" w:fill="FFFFFF"/>
              <w:spacing w:line="440" w:lineRule="exact"/>
              <w:jc w:val="left"/>
              <w:rPr>
                <w:rFonts w:ascii="宋体" w:hAnsi="宋体" w:eastAsia="宋体" w:cs="仿宋_GB2312"/>
                <w:szCs w:val="21"/>
                <w:shd w:val="clear" w:color="auto" w:fill="FFFFFF"/>
              </w:rPr>
            </w:pPr>
            <w:r>
              <w:rPr>
                <w:rFonts w:hint="eastAsia" w:ascii="宋体" w:hAnsi="宋体" w:eastAsia="宋体" w:cs="仿宋_GB2312"/>
                <w:szCs w:val="21"/>
                <w:shd w:val="clear" w:color="auto" w:fill="FFFFFF"/>
              </w:rPr>
              <w:t>联系人：王先生</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ascii="宋体" w:hAnsi="宋体" w:eastAsia="宋体" w:cs="仿宋_GB2312"/>
                <w:szCs w:val="21"/>
                <w:shd w:val="clear" w:color="auto" w:fill="FFFFFF"/>
              </w:rPr>
              <w:t>联系电话：0374-8816982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806" w:type="dxa"/>
            <w:vMerge w:val="restart"/>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4</w:t>
            </w:r>
          </w:p>
        </w:tc>
        <w:tc>
          <w:tcPr>
            <w:tcW w:w="2268" w:type="dxa"/>
            <w:vMerge w:val="restart"/>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供应商资格</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符合《政府采购法》第二十二条规定</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1．具有独立承担民事责任的能力；</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2．具有良好的商业信誉和健全的财务会计制度；</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3．具有履行合同所必需的设备和专业技术能力；</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4．具有依法缴纳税收和社会保障资金的良好记录；</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注：1、供应商在投标时，提供《禹州市政府采购供应商信用承诺函》（详见谈判文件第八章3.5格式），无需再提交上述证明材料。</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2、采购人有权在签订合同前要求成交供应商提供相关证明材料以核实成交供应商承诺事项的真实性。</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cs="宋体" w:asciiTheme="minorEastAsia" w:hAnsiTheme="minorEastAsia"/>
                <w:bCs/>
                <w:szCs w:val="21"/>
              </w:rPr>
              <w:t>1420000.00</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w:t>
            </w:r>
            <w:r>
              <w:rPr>
                <w:rFonts w:hint="eastAsia" w:cs="宋体" w:asciiTheme="minorEastAsia" w:hAnsiTheme="minorEastAsia"/>
                <w:bCs/>
                <w:szCs w:val="21"/>
                <w:lang w:val="en-US" w:eastAsia="zh-CN"/>
              </w:rPr>
              <w:t>4</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 xml:space="preserve"> 日08时30分（北京时间）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1、根据工信部等部委发布的《关于印发中小企业划型标准规定的通知》（工信部联企业〔2011〕300号），按照本次采购标的所属行业的划型标准，符合条件的中小企业应按照谈判文件格式要求提供《中小企业声明函》，</w:t>
            </w:r>
            <w:r>
              <w:rPr>
                <w:rFonts w:ascii="ˎ̥" w:hAnsi="ˎ̥"/>
              </w:rPr>
              <w:t>否则不得享受相关中小企业扶持政策。</w:t>
            </w:r>
          </w:p>
          <w:p>
            <w:pPr>
              <w:autoSpaceDE w:val="0"/>
              <w:autoSpaceDN w:val="0"/>
              <w:adjustRightInd w:val="0"/>
              <w:spacing w:line="360" w:lineRule="auto"/>
              <w:contextualSpacing/>
              <w:rPr>
                <w:rFonts w:ascii="ˎ̥" w:hAnsi="ˎ̥"/>
              </w:rPr>
            </w:pPr>
            <w:r>
              <w:rPr>
                <w:rFonts w:hint="eastAsia" w:ascii="ˎ̥" w:hAnsi="ˎ̥"/>
              </w:rPr>
              <w:t>2、根据财政部、工业和信息化部发布的《政府采购促进中小企业发展管理办法》（财库〔2020〕46号）、</w:t>
            </w:r>
            <w:r>
              <w:rPr>
                <w:rFonts w:hint="eastAsia" w:ascii="ˎ̥" w:hAnsi="ˎ̥"/>
                <w:color w:val="FF0000"/>
              </w:rPr>
              <w:t>《关于进一步加大政府采购支持中小企业力度的通知》（财库〔2022〕19号）规定，对小型和微型企业投标价格给予20%（10%—20%）</w:t>
            </w:r>
            <w:r>
              <w:rPr>
                <w:rFonts w:hint="eastAsia" w:ascii="ˎ̥" w:hAnsi="ˎ̥"/>
              </w:rPr>
              <w:t>的扣除，用扣除后的价格参与评审。</w:t>
            </w:r>
          </w:p>
          <w:p>
            <w:pPr>
              <w:spacing w:line="360" w:lineRule="auto"/>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rPr>
              <w:t>6</w:t>
            </w:r>
            <w:r>
              <w:rPr>
                <w:rFonts w:ascii="ˎ̥" w:hAnsi="ˎ̥"/>
                <w:color w:val="FF0000"/>
              </w:rPr>
              <w:t>%（</w:t>
            </w:r>
            <w:r>
              <w:rPr>
                <w:rFonts w:hint="eastAsia" w:ascii="ˎ̥" w:hAnsi="ˎ̥"/>
                <w:color w:val="FF0000"/>
              </w:rPr>
              <w:t>4%—6%</w:t>
            </w:r>
            <w:r>
              <w:rPr>
                <w:rFonts w:ascii="ˎ̥" w:hAnsi="ˎ̥"/>
                <w:color w:val="FF0000"/>
              </w:rPr>
              <w:t>）</w:t>
            </w:r>
            <w:r>
              <w:rPr>
                <w:rFonts w:ascii="ˎ̥" w:hAnsi="ˎ̥"/>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rPr>
            </w:pPr>
            <w:r>
              <w:rPr>
                <w:rFonts w:hint="eastAsia" w:ascii="ˎ̥" w:hAnsi="ˎ̥"/>
              </w:rPr>
              <w:t>5、提供由省级以上监狱管理局、戒毒管理局（含新疆生产建设兵团）出具的属于监狱企业证明文件的，视同为小型和微型企业。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6、符合享受政府采购支持政策的残疾人福利性单位条件且提供《残疾人福利性单位声明函》的，视同为小型和微型企业。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pPr>
              <w:autoSpaceDE w:val="0"/>
              <w:autoSpaceDN w:val="0"/>
              <w:adjustRightInd w:val="0"/>
              <w:spacing w:line="360" w:lineRule="auto"/>
              <w:rPr>
                <w:rFonts w:eastAsia="宋体"/>
              </w:rPr>
            </w:pPr>
            <w:r>
              <w:rPr>
                <w:rFonts w:hint="eastAsia"/>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供应商投标时须成功上传、解密电子投标文件。供应商资质、业绩、荣誉及相关人员证明材料等资料原件不再提交（本谈判文件第六章另有要求提供原件的除外）。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登录《全国公共资源交易平台（河南省▪许昌市）》公共资源交易系统（</w:t>
            </w:r>
            <w:r>
              <w:rPr>
                <w:rFonts w:ascii="ˎ̥" w:hAnsi="ˎ̥"/>
              </w:rPr>
              <w:t>http://ggzy.xuchang.gov.cn:8088/ggzy/</w:t>
            </w:r>
            <w:r>
              <w:rPr>
                <w:rFonts w:hint="eastAsia" w:ascii="ˎ̥" w:hAnsi="ˎ̥"/>
              </w:rPr>
              <w:t>）进行最后报价，最后报价应包括：①总报价②分项报价。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ascii="ˎ̥" w:hAnsi="ˎ̥"/>
                <w:color w:val="FF0000"/>
              </w:rPr>
            </w:pPr>
            <w:r>
              <w:rPr>
                <w:rFonts w:hint="eastAsia" w:ascii="ˎ̥" w:hAnsi="ˎ̥"/>
                <w:color w:val="FF0000"/>
              </w:rPr>
              <w:t>供应商在成交后，应将由《禹州市政府采购供应商信用承诺函》替代的证明材料提交采购人核验，经核验无误后，禹州市政府采购中心发出成交通知书。</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①2022年度经审计的财务报告，包括资产负债表、利润表、现金流量表、所有者权益变动表及其附注；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①2022年度经审计的财务报告，包括资产负债表、利润表、现金流量表、所有者权益变动表及其附注；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五、履行合同所必需的设备和专业技术能力的证明材料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②供应商具备履行合同所必需的设备和专业技术能力承诺函或声明（承诺函或声明格式自拟）。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www.creditchina.gov.cn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www.ccgp.gov.cn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kern w:val="0"/>
                <w:szCs w:val="21"/>
              </w:rPr>
              <w:t>3、信用信息的使用原则：经采购人认定的被列入失信被执行人、税收违法黑名单、政府采购严重违法失信行为记录名单的投标人、严重违法失信社会组织，将拒绝其参与本次政府采购活动。</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firstLine="0" w:firstLineChars="0"/>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50"/>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50"/>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50"/>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50"/>
        <w:autoSpaceDE w:val="0"/>
        <w:autoSpaceDN w:val="0"/>
        <w:spacing w:line="360" w:lineRule="auto"/>
        <w:ind w:left="780" w:firstLine="0" w:firstLineChars="0"/>
        <w:contextualSpacing/>
        <w:rPr>
          <w:rFonts w:cs="宋体" w:asciiTheme="minorEastAsia" w:hAnsiTheme="minorEastAsia"/>
          <w:kern w:val="0"/>
          <w:szCs w:val="21"/>
        </w:rPr>
      </w:pPr>
    </w:p>
    <w:p>
      <w:pPr>
        <w:pStyle w:val="50"/>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50"/>
        <w:numPr>
          <w:ilvl w:val="0"/>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50"/>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50"/>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50"/>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50"/>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pPr>
        <w:pStyle w:val="50"/>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50"/>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50"/>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2008〕</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50"/>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50"/>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50"/>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50"/>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50"/>
        <w:numPr>
          <w:ilvl w:val="0"/>
          <w:numId w:val="2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30"/>
          <w:rFonts w:cs="宋体" w:asciiTheme="minorEastAsia" w:hAnsiTheme="minorEastAsia"/>
          <w:color w:val="auto"/>
          <w:szCs w:val="21"/>
        </w:rPr>
        <w:t>https://chinanpo.mca.gov.cn</w:t>
      </w:r>
      <w:r>
        <w:rPr>
          <w:rStyle w:val="30"/>
          <w:rFonts w:cs="宋体" w:asciiTheme="minorEastAsia" w:hAnsiTheme="minorEastAsia"/>
          <w:color w:val="auto"/>
          <w:szCs w:val="21"/>
        </w:rPr>
        <w:fldChar w:fldCharType="end"/>
      </w:r>
      <w:r>
        <w:rPr>
          <w:rFonts w:hint="eastAsia" w:cs="宋体" w:asciiTheme="minorEastAsia" w:hAnsiTheme="minorEastAsia"/>
          <w:kern w:val="0"/>
          <w:szCs w:val="21"/>
        </w:rPr>
        <w:t>）；</w:t>
      </w:r>
    </w:p>
    <w:p>
      <w:pPr>
        <w:pStyle w:val="50"/>
        <w:numPr>
          <w:ilvl w:val="0"/>
          <w:numId w:val="2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50"/>
        <w:numPr>
          <w:ilvl w:val="0"/>
          <w:numId w:val="2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50"/>
        <w:numPr>
          <w:ilvl w:val="0"/>
          <w:numId w:val="2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50"/>
        <w:numPr>
          <w:ilvl w:val="0"/>
          <w:numId w:val="2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50"/>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50"/>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50"/>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50"/>
        <w:numPr>
          <w:ilvl w:val="0"/>
          <w:numId w:val="2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50"/>
        <w:numPr>
          <w:ilvl w:val="0"/>
          <w:numId w:val="2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50"/>
        <w:numPr>
          <w:ilvl w:val="0"/>
          <w:numId w:val="2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50"/>
        <w:numPr>
          <w:ilvl w:val="0"/>
          <w:numId w:val="2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50"/>
        <w:numPr>
          <w:ilvl w:val="0"/>
          <w:numId w:val="25"/>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50"/>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50"/>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0"/>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5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50"/>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50"/>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0"/>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50"/>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50"/>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0"/>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50"/>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50"/>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50"/>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最低报价不能作为成交的保证。</w:t>
      </w:r>
    </w:p>
    <w:p>
      <w:pPr>
        <w:autoSpaceDE w:val="0"/>
        <w:autoSpaceDN w:val="0"/>
        <w:spacing w:line="360" w:lineRule="auto"/>
        <w:ind w:left="420"/>
        <w:contextualSpacing/>
        <w:rPr>
          <w:rFonts w:cs="宋体" w:asciiTheme="minorEastAsia" w:hAnsiTheme="minorEastAsia"/>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响应文件由资格证明材料、符合性证明材料、其他材料等组成。</w:t>
      </w:r>
    </w:p>
    <w:p>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50"/>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50"/>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50"/>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50"/>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50"/>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采购人、集中采购机构</w:t>
      </w:r>
      <w:r>
        <w:rPr>
          <w:rFonts w:hint="eastAsia" w:cs="微软雅黑"/>
        </w:rPr>
        <w:t>将予以拒绝。</w:t>
      </w:r>
    </w:p>
    <w:p>
      <w:pPr>
        <w:pStyle w:val="50"/>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50"/>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50"/>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50"/>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pPr>
        <w:autoSpaceDE w:val="0"/>
        <w:autoSpaceDN w:val="0"/>
        <w:spacing w:line="360" w:lineRule="auto"/>
        <w:ind w:left="420"/>
        <w:contextualSpacing/>
        <w:rPr>
          <w:rFonts w:cs="宋体" w:asciiTheme="minorEastAsia" w:hAnsiTheme="minorEastAsia"/>
          <w:kern w:val="0"/>
          <w:szCs w:val="21"/>
        </w:rPr>
      </w:pPr>
    </w:p>
    <w:p>
      <w:pPr>
        <w:pStyle w:val="50"/>
        <w:numPr>
          <w:ilvl w:val="0"/>
          <w:numId w:val="22"/>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50"/>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和地点解密电子响应文件。由代理机构主持，供应商无需到现场。</w:t>
      </w:r>
    </w:p>
    <w:p>
      <w:pPr>
        <w:pStyle w:val="50"/>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50"/>
        <w:numPr>
          <w:ilvl w:val="0"/>
          <w:numId w:val="4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50"/>
        <w:numPr>
          <w:ilvl w:val="0"/>
          <w:numId w:val="4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50"/>
        <w:numPr>
          <w:ilvl w:val="0"/>
          <w:numId w:val="4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50"/>
        <w:numPr>
          <w:ilvl w:val="0"/>
          <w:numId w:val="4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pPr>
        <w:pStyle w:val="50"/>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pStyle w:val="50"/>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50"/>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50"/>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pPr>
        <w:pStyle w:val="50"/>
        <w:autoSpaceDE w:val="0"/>
        <w:autoSpaceDN w:val="0"/>
        <w:spacing w:line="360" w:lineRule="auto"/>
        <w:ind w:left="420" w:firstLine="0" w:firstLineChars="0"/>
        <w:contextualSpacing/>
        <w:rPr>
          <w:rFonts w:cs="宋体" w:asciiTheme="minorEastAsia" w:hAnsiTheme="minorEastAsia"/>
          <w:kern w:val="0"/>
          <w:szCs w:val="21"/>
        </w:rPr>
      </w:pP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50"/>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50"/>
        <w:numPr>
          <w:ilvl w:val="0"/>
          <w:numId w:val="44"/>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50"/>
        <w:numPr>
          <w:ilvl w:val="0"/>
          <w:numId w:val="44"/>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50"/>
        <w:numPr>
          <w:ilvl w:val="1"/>
          <w:numId w:val="42"/>
        </w:numPr>
        <w:autoSpaceDE w:val="0"/>
        <w:autoSpaceDN w:val="0"/>
        <w:spacing w:line="360" w:lineRule="auto"/>
        <w:ind w:firstLineChars="0"/>
        <w:contextualSpacing/>
        <w:rPr>
          <w:rFonts w:ascii="ˎ̥" w:hAnsi="ˎ̥"/>
          <w:vanish/>
        </w:rPr>
      </w:pPr>
    </w:p>
    <w:p>
      <w:pPr>
        <w:pStyle w:val="50"/>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50"/>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50"/>
        <w:numPr>
          <w:ilvl w:val="0"/>
          <w:numId w:val="45"/>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50"/>
        <w:numPr>
          <w:ilvl w:val="0"/>
          <w:numId w:val="45"/>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50"/>
        <w:numPr>
          <w:ilvl w:val="0"/>
          <w:numId w:val="45"/>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50"/>
        <w:numPr>
          <w:ilvl w:val="0"/>
          <w:numId w:val="46"/>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50"/>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50"/>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50"/>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50"/>
        <w:numPr>
          <w:ilvl w:val="0"/>
          <w:numId w:val="4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50"/>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50"/>
        <w:numPr>
          <w:ilvl w:val="0"/>
          <w:numId w:val="22"/>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vanish/>
          <w:kern w:val="0"/>
          <w:szCs w:val="21"/>
        </w:rPr>
      </w:pPr>
    </w:p>
    <w:p>
      <w:pPr>
        <w:pStyle w:val="50"/>
        <w:numPr>
          <w:ilvl w:val="1"/>
          <w:numId w:val="22"/>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4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50"/>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50"/>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50"/>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50"/>
        <w:numPr>
          <w:ilvl w:val="1"/>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50"/>
        <w:numPr>
          <w:ilvl w:val="1"/>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50"/>
        <w:numPr>
          <w:ilvl w:val="1"/>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50"/>
        <w:numPr>
          <w:ilvl w:val="0"/>
          <w:numId w:val="5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2"/>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pPr>
        <w:pStyle w:val="50"/>
        <w:numPr>
          <w:ilvl w:val="0"/>
          <w:numId w:val="52"/>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pPr>
        <w:pStyle w:val="50"/>
        <w:numPr>
          <w:ilvl w:val="0"/>
          <w:numId w:val="5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50"/>
        <w:numPr>
          <w:ilvl w:val="0"/>
          <w:numId w:val="5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50"/>
        <w:numPr>
          <w:ilvl w:val="0"/>
          <w:numId w:val="5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pPr>
        <w:pStyle w:val="50"/>
        <w:numPr>
          <w:ilvl w:val="0"/>
          <w:numId w:val="5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pPr>
        <w:pStyle w:val="50"/>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pPr>
        <w:pStyle w:val="50"/>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pPr>
        <w:pStyle w:val="50"/>
        <w:numPr>
          <w:ilvl w:val="0"/>
          <w:numId w:val="5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pPr>
        <w:pStyle w:val="50"/>
        <w:numPr>
          <w:ilvl w:val="0"/>
          <w:numId w:val="5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pPr>
        <w:pStyle w:val="50"/>
        <w:numPr>
          <w:ilvl w:val="0"/>
          <w:numId w:val="5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pPr>
        <w:pStyle w:val="50"/>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pPr>
        <w:pStyle w:val="50"/>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pPr>
        <w:pStyle w:val="50"/>
        <w:numPr>
          <w:ilvl w:val="0"/>
          <w:numId w:val="6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pPr>
        <w:pStyle w:val="50"/>
        <w:numPr>
          <w:ilvl w:val="0"/>
          <w:numId w:val="5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50"/>
        <w:numPr>
          <w:ilvl w:val="0"/>
          <w:numId w:val="6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50"/>
        <w:numPr>
          <w:ilvl w:val="0"/>
          <w:numId w:val="6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50"/>
        <w:numPr>
          <w:ilvl w:val="0"/>
          <w:numId w:val="6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50"/>
        <w:numPr>
          <w:ilvl w:val="0"/>
          <w:numId w:val="6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50"/>
        <w:numPr>
          <w:ilvl w:val="0"/>
          <w:numId w:val="6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50"/>
        <w:numPr>
          <w:ilvl w:val="0"/>
          <w:numId w:val="50"/>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50"/>
        <w:numPr>
          <w:ilvl w:val="0"/>
          <w:numId w:val="5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pPr>
        <w:pStyle w:val="50"/>
        <w:numPr>
          <w:ilvl w:val="0"/>
          <w:numId w:val="5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50"/>
        <w:numPr>
          <w:ilvl w:val="0"/>
          <w:numId w:val="67"/>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50"/>
        <w:numPr>
          <w:ilvl w:val="0"/>
          <w:numId w:val="67"/>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0"/>
          <w:numId w:val="6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pPr>
        <w:pStyle w:val="50"/>
        <w:numPr>
          <w:ilvl w:val="0"/>
          <w:numId w:val="67"/>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pPr>
        <w:pStyle w:val="50"/>
        <w:numPr>
          <w:ilvl w:val="0"/>
          <w:numId w:val="67"/>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50"/>
        <w:numPr>
          <w:ilvl w:val="0"/>
          <w:numId w:val="67"/>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50"/>
        <w:numPr>
          <w:ilvl w:val="0"/>
          <w:numId w:val="67"/>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50"/>
        <w:numPr>
          <w:ilvl w:val="0"/>
          <w:numId w:val="67"/>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50"/>
        <w:numPr>
          <w:ilvl w:val="0"/>
          <w:numId w:val="67"/>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按照《关于推进全流程电子化交易和在线监管工作有关问题的通知》（许公管办〔2019〕3号）规定，评审专家应严格按照要求查看“硬件特征码相”关信息并进行评审。</w:t>
      </w:r>
    </w:p>
    <w:p>
      <w:pPr>
        <w:pStyle w:val="50"/>
        <w:autoSpaceDE w:val="0"/>
        <w:autoSpaceDN w:val="0"/>
        <w:spacing w:line="360" w:lineRule="auto"/>
        <w:ind w:left="964" w:firstLine="0" w:firstLineChars="0"/>
        <w:contextualSpacing/>
        <w:rPr>
          <w:rFonts w:ascii="ˎ̥" w:hAnsi="ˎ̥"/>
        </w:rPr>
      </w:pPr>
    </w:p>
    <w:p>
      <w:pPr>
        <w:pStyle w:val="50"/>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50"/>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50"/>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50"/>
        <w:numPr>
          <w:ilvl w:val="0"/>
          <w:numId w:val="68"/>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hint="eastAsia" w:cs="宋体" w:asciiTheme="minorEastAsia" w:hAnsiTheme="minorEastAsia"/>
          <w:color w:val="FF0000"/>
          <w:kern w:val="0"/>
          <w:szCs w:val="21"/>
        </w:rPr>
        <w:t>（核验成交供应商由《禹州市政府采购供应商信用承诺函》替代的证明材料）</w:t>
      </w:r>
      <w:r>
        <w:rPr>
          <w:rFonts w:hint="eastAsia" w:cs="宋体" w:asciiTheme="minorEastAsia" w:hAnsiTheme="minorEastAsia"/>
          <w:kern w:val="0"/>
          <w:szCs w:val="21"/>
        </w:rPr>
        <w:t>。</w:t>
      </w:r>
    </w:p>
    <w:p>
      <w:pPr>
        <w:pStyle w:val="50"/>
        <w:numPr>
          <w:ilvl w:val="0"/>
          <w:numId w:val="6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采购人在收到评标报告1个工作日内未按评标报告推荐的成交候选人顺序确定中标人，又不能说明合法理由的，视同按评标报告推荐的顺序确定排名第一的成交候选人为中标人。</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50"/>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50"/>
        <w:numPr>
          <w:ilvl w:val="0"/>
          <w:numId w:val="49"/>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69"/>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50"/>
        <w:numPr>
          <w:ilvl w:val="0"/>
          <w:numId w:val="69"/>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50"/>
        <w:numPr>
          <w:ilvl w:val="0"/>
          <w:numId w:val="69"/>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50"/>
        <w:autoSpaceDE w:val="0"/>
        <w:autoSpaceDN w:val="0"/>
        <w:spacing w:line="360" w:lineRule="auto"/>
        <w:ind w:left="964" w:firstLine="0" w:firstLineChars="0"/>
        <w:contextualSpacing/>
        <w:rPr>
          <w:rFonts w:ascii="ˎ̥" w:hAnsi="ˎ̥"/>
        </w:rPr>
      </w:pPr>
    </w:p>
    <w:p>
      <w:pPr>
        <w:pStyle w:val="50"/>
        <w:numPr>
          <w:ilvl w:val="0"/>
          <w:numId w:val="7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50"/>
        <w:numPr>
          <w:ilvl w:val="0"/>
          <w:numId w:val="71"/>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采购人确认成交人后公告成交结果的同时，禹州市政府采购中心向成交人发出成交通知书。</w:t>
      </w:r>
    </w:p>
    <w:p>
      <w:pPr>
        <w:pStyle w:val="50"/>
        <w:numPr>
          <w:ilvl w:val="0"/>
          <w:numId w:val="7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7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50"/>
        <w:numPr>
          <w:ilvl w:val="0"/>
          <w:numId w:val="7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pPr>
        <w:pStyle w:val="50"/>
        <w:numPr>
          <w:ilvl w:val="0"/>
          <w:numId w:val="7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w:t>
      </w:r>
    </w:p>
    <w:p>
      <w:pPr>
        <w:pStyle w:val="50"/>
        <w:numPr>
          <w:ilvl w:val="0"/>
          <w:numId w:val="75"/>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50"/>
        <w:numPr>
          <w:ilvl w:val="0"/>
          <w:numId w:val="75"/>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50"/>
        <w:numPr>
          <w:ilvl w:val="0"/>
          <w:numId w:val="73"/>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pPr>
        <w:pStyle w:val="50"/>
        <w:numPr>
          <w:ilvl w:val="0"/>
          <w:numId w:val="76"/>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50"/>
        <w:numPr>
          <w:ilvl w:val="0"/>
          <w:numId w:val="76"/>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7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rPr>
        <w:t>2</w:t>
      </w:r>
      <w:r>
        <w:rPr>
          <w:rFonts w:cs="宋体" w:asciiTheme="minorEastAsia" w:hAnsiTheme="minorEastAsia"/>
          <w:kern w:val="0"/>
          <w:szCs w:val="21"/>
        </w:rPr>
        <w:t>日内，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供应商须对此项做出响应，否则有可能导致响应被拒绝，其风险由供应商自行承担。</w:t>
      </w:r>
    </w:p>
    <w:p>
      <w:pPr>
        <w:pStyle w:val="2"/>
      </w:pP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7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contextualSpacing/>
        <w:rPr>
          <w:rFonts w:ascii="宋体" w:hAnsi="宋体" w:eastAsia="宋体" w:cs="宋体"/>
          <w:sz w:val="24"/>
          <w:szCs w:val="24"/>
        </w:rPr>
      </w:pPr>
    </w:p>
    <w:p>
      <w:pPr>
        <w:pStyle w:val="50"/>
        <w:numPr>
          <w:ilvl w:val="0"/>
          <w:numId w:val="7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政府采购合同融资</w:t>
      </w:r>
    </w:p>
    <w:p>
      <w:pPr>
        <w:pStyle w:val="50"/>
        <w:numPr>
          <w:ilvl w:val="1"/>
          <w:numId w:val="77"/>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jc w:val="left"/>
        <w:rPr>
          <w:rFonts w:ascii="宋体" w:hAnsi="宋体"/>
          <w:szCs w:val="21"/>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r>
        <w:rPr>
          <w:rFonts w:hint="eastAsia" w:ascii="ˎ̥" w:hAnsi="ˎ̥" w:eastAsia="宋体"/>
          <w:szCs w:val="21"/>
        </w:rPr>
        <w:t>对小型和微型企业报价</w:t>
      </w: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5" w:name="OLE_LINK6"/>
      <w:r>
        <w:rPr>
          <w:rFonts w:hint="eastAsia" w:cs="仿宋_GB2312" w:asciiTheme="minorEastAsia" w:hAnsiTheme="minorEastAsia"/>
          <w:szCs w:val="21"/>
          <w:lang w:val="zh-CN"/>
        </w:rPr>
        <w:t>财库[2014]68号</w:t>
      </w:r>
      <w:bookmarkEnd w:id="5"/>
      <w:r>
        <w:rPr>
          <w:rFonts w:hint="eastAsia" w:cs="仿宋_GB2312" w:asciiTheme="minorEastAsia" w:hAnsiTheme="minorEastAsia"/>
          <w:szCs w:val="21"/>
          <w:lang w:val="zh-CN"/>
        </w:rPr>
        <w:t>）规定，在政府采购活动中，监狱企业视同小型、微型企业，享受评审中价格扣除的政府采购政策，</w:t>
      </w: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spacing w:line="360" w:lineRule="auto"/>
        <w:ind w:firstLine="420" w:firstLineChars="200"/>
        <w:rPr>
          <w:rFonts w:ascii="宋体" w:hAnsi="宋体"/>
          <w:szCs w:val="21"/>
          <w:lang w:val="en-GB"/>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w:t>
      </w:r>
      <w:r>
        <w:rPr>
          <w:rFonts w:hint="eastAsia" w:asciiTheme="minorEastAsia" w:hAnsiTheme="minorEastAsia"/>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cs="仿宋_GB2312" w:asciiTheme="minorEastAsia" w:hAnsiTheme="minorEastAsia"/>
          <w:szCs w:val="21"/>
          <w:lang w:val="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jc w:val="center"/>
              <w:rPr>
                <w:rFonts w:asciiTheme="minorEastAsia" w:hAnsiTheme="minorEastAsia"/>
                <w:b/>
                <w:color w:val="FF0000"/>
                <w:szCs w:val="21"/>
              </w:rPr>
            </w:pPr>
            <w:r>
              <w:rPr>
                <w:rFonts w:hint="eastAsia" w:asciiTheme="minorEastAsia" w:hAnsiTheme="minorEastAsia"/>
                <w:b/>
                <w:color w:val="FF0000"/>
                <w:szCs w:val="21"/>
              </w:rPr>
              <w:t>禹</w:t>
            </w:r>
            <w:r>
              <w:rPr>
                <w:rFonts w:asciiTheme="minorEastAsia" w:hAnsiTheme="minorEastAsia"/>
                <w:b/>
                <w:color w:val="FF0000"/>
                <w:szCs w:val="21"/>
              </w:rPr>
              <w:t>州市政府采购</w:t>
            </w:r>
          </w:p>
          <w:p>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pPr>
              <w:spacing w:line="360" w:lineRule="auto"/>
              <w:jc w:val="left"/>
              <w:rPr>
                <w:rFonts w:asciiTheme="minorEastAsia" w:hAnsiTheme="minorEastAsia"/>
                <w:b/>
                <w:bCs/>
                <w:color w:val="FF0000"/>
                <w:szCs w:val="21"/>
              </w:rPr>
            </w:pPr>
            <w:r>
              <w:rPr>
                <w:rFonts w:hint="eastAsia" w:ascii="宋体" w:hAnsi="宋体" w:cs="微软雅黑"/>
                <w:bCs/>
                <w:color w:val="FF0000"/>
                <w:szCs w:val="21"/>
              </w:rPr>
              <w:t>按照谈判文件第八章3.5格式填写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谈判文件接收联合体响应且供应商为联合体的，供应商应提供本协议；否则无须提供。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5"/>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注：审查中所涉及的证书及材料，均应在电子响应文件中提供原件扫描件（或图片）。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5）法律法规</w:t>
      </w:r>
      <w:r>
        <w:rPr>
          <w:rFonts w:cs="仿宋_GB2312" w:asciiTheme="minorEastAsia" w:hAnsiTheme="minorEastAsia"/>
          <w:szCs w:val="21"/>
          <w:lang w:val="zh-CN"/>
        </w:rPr>
        <w:t>和招标文件规定的其他无效情形。</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三、评审方法</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名成交候选人。根据规定，采购人按照成交候选人排名顺序确定成交供应商。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四、谈判小组编写评审报告。</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5"/>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（此合同仅供参考。以最终采购人与中标人签订的合同条款为准进行公示，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最终签订合同的主要条款不能与谈判文件有冲突）</w:t>
      </w:r>
    </w:p>
    <w:p>
      <w:pPr>
        <w:spacing w:line="360" w:lineRule="auto"/>
        <w:ind w:firstLine="5400" w:firstLineChars="3000"/>
        <w:rPr>
          <w:rFonts w:ascii="宋体" w:hAnsi="宋体" w:eastAsia="宋体"/>
          <w:sz w:val="18"/>
          <w:szCs w:val="18"/>
        </w:rPr>
      </w:pPr>
      <w:r>
        <w:rPr>
          <w:rFonts w:hint="eastAsia" w:ascii="宋体" w:hAnsi="宋体" w:eastAsia="宋体"/>
          <w:sz w:val="18"/>
          <w:szCs w:val="18"/>
        </w:rPr>
        <w:t>本合同口是/口否中小企业预留合同</w:t>
      </w:r>
    </w:p>
    <w:p>
      <w:pPr>
        <w:spacing w:line="360" w:lineRule="auto"/>
        <w:ind w:firstLine="2250" w:firstLineChars="750"/>
        <w:jc w:val="left"/>
        <w:rPr>
          <w:rFonts w:ascii="宋体" w:hAnsi="宋体" w:eastAsia="宋体"/>
          <w:sz w:val="30"/>
          <w:szCs w:val="30"/>
        </w:rPr>
      </w:pPr>
      <w:r>
        <w:rPr>
          <w:rFonts w:hint="eastAsia" w:ascii="宋体" w:hAnsi="宋体" w:eastAsia="宋体"/>
          <w:sz w:val="30"/>
          <w:szCs w:val="30"/>
        </w:rPr>
        <w:t>政府采购货物合同（范本）</w:t>
      </w:r>
    </w:p>
    <w:p>
      <w:pPr>
        <w:spacing w:line="360" w:lineRule="auto"/>
        <w:rPr>
          <w:rFonts w:ascii="宋体" w:hAnsi="宋体" w:eastAsia="宋体"/>
          <w:szCs w:val="21"/>
          <w:u w:val="single"/>
        </w:rPr>
      </w:pPr>
      <w:r>
        <w:rPr>
          <w:rFonts w:hint="eastAsia" w:ascii="宋体" w:hAnsi="宋体" w:eastAsia="宋体"/>
          <w:szCs w:val="21"/>
        </w:rPr>
        <w:t>合同编号：</w:t>
      </w:r>
    </w:p>
    <w:p>
      <w:pPr>
        <w:spacing w:line="360" w:lineRule="auto"/>
        <w:rPr>
          <w:rFonts w:ascii="宋体" w:hAnsi="宋体" w:eastAsia="宋体"/>
          <w:szCs w:val="21"/>
          <w:u w:val="single"/>
        </w:rPr>
      </w:pPr>
      <w:r>
        <w:rPr>
          <w:rFonts w:hint="eastAsia" w:ascii="宋体" w:hAnsi="宋体" w:eastAsia="宋体"/>
          <w:szCs w:val="21"/>
        </w:rPr>
        <w:t>签 订 地：</w:t>
      </w:r>
    </w:p>
    <w:p>
      <w:pPr>
        <w:spacing w:line="360" w:lineRule="auto"/>
        <w:rPr>
          <w:rFonts w:ascii="宋体" w:hAnsi="宋体" w:eastAsia="宋体"/>
          <w:szCs w:val="21"/>
          <w:u w:val="single"/>
        </w:rPr>
      </w:pPr>
      <w:r>
        <w:rPr>
          <w:rFonts w:hint="eastAsia" w:ascii="宋体" w:hAnsi="宋体" w:eastAsia="宋体"/>
          <w:szCs w:val="21"/>
        </w:rPr>
        <w:t>甲方（采购人）：</w:t>
      </w:r>
    </w:p>
    <w:p>
      <w:pPr>
        <w:spacing w:line="360" w:lineRule="auto"/>
        <w:rPr>
          <w:rFonts w:ascii="宋体" w:hAnsi="宋体" w:eastAsia="宋体"/>
          <w:szCs w:val="21"/>
          <w:u w:val="single"/>
        </w:rPr>
      </w:pPr>
      <w:r>
        <w:rPr>
          <w:rFonts w:hint="eastAsia" w:ascii="宋体" w:hAnsi="宋体" w:eastAsia="宋体"/>
          <w:szCs w:val="21"/>
        </w:rPr>
        <w:t>住所地：</w:t>
      </w:r>
    </w:p>
    <w:p>
      <w:pPr>
        <w:spacing w:line="360" w:lineRule="auto"/>
        <w:rPr>
          <w:rFonts w:ascii="宋体" w:hAnsi="宋体" w:eastAsia="宋体"/>
          <w:szCs w:val="21"/>
          <w:u w:val="single"/>
        </w:rPr>
      </w:pPr>
      <w:r>
        <w:rPr>
          <w:rFonts w:hint="eastAsia" w:ascii="宋体" w:hAnsi="宋体" w:eastAsia="宋体"/>
          <w:szCs w:val="21"/>
        </w:rPr>
        <w:t>乙方（中标人）：</w:t>
      </w:r>
    </w:p>
    <w:p>
      <w:pPr>
        <w:spacing w:line="360" w:lineRule="auto"/>
        <w:rPr>
          <w:rFonts w:ascii="宋体" w:hAnsi="宋体" w:eastAsia="宋体"/>
          <w:szCs w:val="21"/>
          <w:u w:val="single"/>
        </w:rPr>
      </w:pPr>
      <w:r>
        <w:rPr>
          <w:rFonts w:hint="eastAsia" w:ascii="宋体" w:hAnsi="宋体" w:eastAsia="宋体"/>
          <w:szCs w:val="21"/>
        </w:rPr>
        <w:t>住所地：</w:t>
      </w:r>
    </w:p>
    <w:p>
      <w:pPr>
        <w:spacing w:line="360" w:lineRule="auto"/>
        <w:rPr>
          <w:rFonts w:ascii="宋体" w:hAnsi="宋体" w:eastAsia="宋体"/>
          <w:szCs w:val="21"/>
          <w:u w:val="single"/>
        </w:rPr>
      </w:pPr>
      <w:r>
        <w:rPr>
          <w:rFonts w:hint="eastAsia" w:ascii="宋体" w:hAnsi="宋体" w:eastAsia="宋体"/>
          <w:szCs w:val="21"/>
        </w:rPr>
        <w:t>乙方于年月日参加了（</w:t>
      </w:r>
      <w:r>
        <w:rPr>
          <w:rFonts w:hint="eastAsia" w:ascii="宋体" w:hAnsi="宋体" w:eastAsia="宋体"/>
          <w:szCs w:val="21"/>
          <w:u w:val="single"/>
        </w:rPr>
        <w:t>采购代理机构）</w:t>
      </w:r>
      <w:r>
        <w:rPr>
          <w:rFonts w:hint="eastAsia" w:ascii="宋体" w:hAnsi="宋体" w:eastAsia="宋体"/>
          <w:szCs w:val="21"/>
        </w:rPr>
        <w:t>组织的“（</w:t>
      </w:r>
      <w:r>
        <w:rPr>
          <w:rFonts w:hint="eastAsia" w:ascii="宋体" w:hAnsi="宋体" w:eastAsia="宋体"/>
          <w:szCs w:val="21"/>
          <w:u w:val="single"/>
        </w:rPr>
        <w:t>项目名称及项目编号）</w:t>
      </w:r>
      <w:r>
        <w:rPr>
          <w:rFonts w:hint="eastAsia" w:ascii="宋体" w:hAnsi="宋体" w:eastAsia="宋体"/>
          <w:szCs w:val="21"/>
        </w:rPr>
        <w:t>” 政府采购活动，经评标委员会评审确定乙方为（</w:t>
      </w:r>
      <w:r>
        <w:rPr>
          <w:rFonts w:hint="eastAsia" w:ascii="宋体" w:hAnsi="宋体" w:eastAsia="宋体"/>
          <w:szCs w:val="21"/>
          <w:u w:val="single"/>
        </w:rPr>
        <w:t>包及包名称）</w:t>
      </w:r>
      <w:r>
        <w:rPr>
          <w:rFonts w:hint="eastAsia" w:ascii="宋体" w:hAnsi="宋体" w:eastAsia="宋体"/>
          <w:szCs w:val="21"/>
        </w:rPr>
        <w:t>中标人，按照《中华人民共和国民法典》《中华人民共和国政府采购法》和相关的法律法规规定，以及招标文件规定，经甲乙双方协商一致，签订本政府采购合同。</w:t>
      </w:r>
    </w:p>
    <w:p>
      <w:pPr>
        <w:pStyle w:val="50"/>
        <w:numPr>
          <w:ilvl w:val="0"/>
          <w:numId w:val="78"/>
        </w:numPr>
        <w:spacing w:line="360" w:lineRule="auto"/>
        <w:ind w:left="420" w:firstLineChars="0"/>
        <w:rPr>
          <w:rFonts w:ascii="宋体" w:hAnsi="宋体" w:eastAsia="宋体"/>
          <w:szCs w:val="21"/>
        </w:rPr>
      </w:pPr>
      <w:r>
        <w:rPr>
          <w:rFonts w:hint="eastAsia" w:ascii="宋体" w:hAnsi="宋体" w:eastAsia="宋体"/>
          <w:szCs w:val="21"/>
        </w:rPr>
        <w:t xml:space="preserve"> 货物条款</w:t>
      </w:r>
    </w:p>
    <w:p>
      <w:pPr>
        <w:spacing w:line="360" w:lineRule="auto"/>
        <w:rPr>
          <w:rFonts w:ascii="宋体" w:hAnsi="宋体" w:eastAsia="宋体"/>
          <w:szCs w:val="21"/>
        </w:rPr>
      </w:pPr>
      <w:r>
        <w:rPr>
          <w:rFonts w:hint="eastAsia" w:ascii="宋体" w:hAnsi="宋体" w:eastAsia="宋体"/>
          <w:szCs w:val="21"/>
        </w:rPr>
        <w:t>乙方向甲方提供以下货物</w:t>
      </w:r>
    </w:p>
    <w:tbl>
      <w:tblPr>
        <w:tblStyle w:val="2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szCs w:val="21"/>
              </w:rPr>
            </w:pPr>
            <w:r>
              <w:rPr>
                <w:rFonts w:hint="eastAsia" w:ascii="宋体" w:hAnsi="宋体" w:eastAsia="宋体"/>
                <w:szCs w:val="21"/>
              </w:rPr>
              <w:t>货物名称</w:t>
            </w:r>
          </w:p>
        </w:tc>
        <w:tc>
          <w:tcPr>
            <w:tcW w:w="4253" w:type="dxa"/>
          </w:tcPr>
          <w:p>
            <w:pPr>
              <w:spacing w:line="360" w:lineRule="auto"/>
              <w:jc w:val="center"/>
              <w:rPr>
                <w:rFonts w:ascii="宋体" w:hAnsi="宋体" w:eastAsia="宋体"/>
                <w:szCs w:val="21"/>
              </w:rPr>
            </w:pPr>
            <w:r>
              <w:rPr>
                <w:rFonts w:hint="eastAsia" w:ascii="宋体" w:hAnsi="宋体" w:eastAsia="宋体"/>
                <w:szCs w:val="21"/>
              </w:rPr>
              <w:t>品牌、规格型号（技术参数）</w:t>
            </w:r>
          </w:p>
        </w:tc>
        <w:tc>
          <w:tcPr>
            <w:tcW w:w="709" w:type="dxa"/>
            <w:tcBorders>
              <w:right w:val="single" w:color="auto" w:sz="4" w:space="0"/>
            </w:tcBorders>
          </w:tcPr>
          <w:p>
            <w:pPr>
              <w:spacing w:line="360" w:lineRule="auto"/>
              <w:rPr>
                <w:rFonts w:ascii="宋体" w:hAnsi="宋体" w:eastAsia="宋体"/>
                <w:szCs w:val="21"/>
              </w:rPr>
            </w:pPr>
            <w:r>
              <w:rPr>
                <w:rFonts w:hint="eastAsia" w:ascii="宋体" w:hAnsi="宋体" w:eastAsia="宋体"/>
                <w:szCs w:val="21"/>
              </w:rPr>
              <w:t>单价</w:t>
            </w:r>
          </w:p>
        </w:tc>
        <w:tc>
          <w:tcPr>
            <w:tcW w:w="708" w:type="dxa"/>
            <w:tcBorders>
              <w:left w:val="single" w:color="auto" w:sz="4" w:space="0"/>
              <w:right w:val="single" w:color="auto" w:sz="4" w:space="0"/>
            </w:tcBorders>
          </w:tcPr>
          <w:p>
            <w:pPr>
              <w:spacing w:line="360" w:lineRule="auto"/>
              <w:rPr>
                <w:rFonts w:ascii="宋体" w:hAnsi="宋体" w:eastAsia="宋体"/>
                <w:szCs w:val="21"/>
              </w:rPr>
            </w:pPr>
            <w:r>
              <w:rPr>
                <w:rFonts w:hint="eastAsia" w:ascii="宋体" w:hAnsi="宋体" w:eastAsia="宋体"/>
                <w:szCs w:val="21"/>
              </w:rPr>
              <w:t>数量</w:t>
            </w:r>
          </w:p>
        </w:tc>
        <w:tc>
          <w:tcPr>
            <w:tcW w:w="749" w:type="dxa"/>
            <w:tcBorders>
              <w:left w:val="single" w:color="auto" w:sz="4" w:space="0"/>
              <w:right w:val="single" w:color="auto" w:sz="4" w:space="0"/>
            </w:tcBorders>
          </w:tcPr>
          <w:p>
            <w:pPr>
              <w:spacing w:line="360" w:lineRule="auto"/>
              <w:rPr>
                <w:rFonts w:ascii="宋体" w:hAnsi="宋体" w:eastAsia="宋体"/>
                <w:szCs w:val="21"/>
              </w:rPr>
            </w:pPr>
            <w:r>
              <w:rPr>
                <w:rFonts w:hint="eastAsia" w:ascii="宋体" w:hAnsi="宋体" w:eastAsia="宋体"/>
                <w:szCs w:val="21"/>
              </w:rPr>
              <w:t>小计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szCs w:val="21"/>
              </w:rPr>
            </w:pPr>
          </w:p>
        </w:tc>
        <w:tc>
          <w:tcPr>
            <w:tcW w:w="4253" w:type="dxa"/>
          </w:tcPr>
          <w:p>
            <w:pPr>
              <w:spacing w:line="360" w:lineRule="auto"/>
              <w:rPr>
                <w:rFonts w:ascii="宋体" w:hAnsi="宋体" w:eastAsia="宋体"/>
                <w:szCs w:val="21"/>
              </w:rPr>
            </w:pPr>
          </w:p>
        </w:tc>
        <w:tc>
          <w:tcPr>
            <w:tcW w:w="709" w:type="dxa"/>
            <w:tcBorders>
              <w:right w:val="single" w:color="auto" w:sz="4" w:space="0"/>
            </w:tcBorders>
          </w:tcPr>
          <w:p>
            <w:pPr>
              <w:spacing w:line="360" w:lineRule="auto"/>
              <w:rPr>
                <w:rFonts w:ascii="宋体" w:hAnsi="宋体" w:eastAsia="宋体"/>
                <w:szCs w:val="21"/>
              </w:rPr>
            </w:pPr>
          </w:p>
        </w:tc>
        <w:tc>
          <w:tcPr>
            <w:tcW w:w="708" w:type="dxa"/>
            <w:tcBorders>
              <w:left w:val="single" w:color="auto" w:sz="4" w:space="0"/>
              <w:right w:val="single" w:color="auto" w:sz="4" w:space="0"/>
            </w:tcBorders>
          </w:tcPr>
          <w:p>
            <w:pPr>
              <w:spacing w:line="360" w:lineRule="auto"/>
              <w:rPr>
                <w:rFonts w:ascii="宋体" w:hAnsi="宋体" w:eastAsia="宋体"/>
                <w:szCs w:val="21"/>
              </w:rPr>
            </w:pPr>
          </w:p>
        </w:tc>
        <w:tc>
          <w:tcPr>
            <w:tcW w:w="749" w:type="dxa"/>
            <w:tcBorders>
              <w:left w:val="single" w:color="auto" w:sz="4" w:space="0"/>
              <w:right w:val="single" w:color="auto" w:sz="4" w:space="0"/>
            </w:tcBorders>
          </w:tcPr>
          <w:p>
            <w:pPr>
              <w:spacing w:line="360" w:lineRule="auto"/>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szCs w:val="21"/>
              </w:rPr>
            </w:pPr>
          </w:p>
        </w:tc>
        <w:tc>
          <w:tcPr>
            <w:tcW w:w="4253" w:type="dxa"/>
          </w:tcPr>
          <w:p>
            <w:pPr>
              <w:spacing w:line="360" w:lineRule="auto"/>
              <w:rPr>
                <w:rFonts w:ascii="宋体" w:hAnsi="宋体" w:eastAsia="宋体"/>
                <w:szCs w:val="21"/>
              </w:rPr>
            </w:pPr>
          </w:p>
        </w:tc>
        <w:tc>
          <w:tcPr>
            <w:tcW w:w="709" w:type="dxa"/>
            <w:tcBorders>
              <w:right w:val="single" w:color="auto" w:sz="4" w:space="0"/>
            </w:tcBorders>
          </w:tcPr>
          <w:p>
            <w:pPr>
              <w:spacing w:line="360" w:lineRule="auto"/>
              <w:rPr>
                <w:rFonts w:ascii="宋体" w:hAnsi="宋体" w:eastAsia="宋体"/>
                <w:szCs w:val="21"/>
              </w:rPr>
            </w:pPr>
          </w:p>
        </w:tc>
        <w:tc>
          <w:tcPr>
            <w:tcW w:w="708" w:type="dxa"/>
            <w:tcBorders>
              <w:left w:val="single" w:color="auto" w:sz="4" w:space="0"/>
              <w:right w:val="single" w:color="auto" w:sz="4" w:space="0"/>
            </w:tcBorders>
          </w:tcPr>
          <w:p>
            <w:pPr>
              <w:spacing w:line="360" w:lineRule="auto"/>
              <w:rPr>
                <w:rFonts w:ascii="宋体" w:hAnsi="宋体" w:eastAsia="宋体"/>
                <w:szCs w:val="21"/>
              </w:rPr>
            </w:pPr>
          </w:p>
        </w:tc>
        <w:tc>
          <w:tcPr>
            <w:tcW w:w="749" w:type="dxa"/>
            <w:tcBorders>
              <w:left w:val="single" w:color="auto" w:sz="4" w:space="0"/>
              <w:right w:val="single" w:color="auto" w:sz="4" w:space="0"/>
            </w:tcBorders>
          </w:tcPr>
          <w:p>
            <w:pPr>
              <w:spacing w:line="360" w:lineRule="auto"/>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szCs w:val="21"/>
              </w:rPr>
            </w:pPr>
          </w:p>
        </w:tc>
        <w:tc>
          <w:tcPr>
            <w:tcW w:w="4253" w:type="dxa"/>
          </w:tcPr>
          <w:p>
            <w:pPr>
              <w:spacing w:line="360" w:lineRule="auto"/>
              <w:rPr>
                <w:rFonts w:ascii="宋体" w:hAnsi="宋体" w:eastAsia="宋体"/>
                <w:szCs w:val="21"/>
              </w:rPr>
            </w:pPr>
          </w:p>
        </w:tc>
        <w:tc>
          <w:tcPr>
            <w:tcW w:w="709" w:type="dxa"/>
            <w:tcBorders>
              <w:right w:val="single" w:color="auto" w:sz="4" w:space="0"/>
            </w:tcBorders>
          </w:tcPr>
          <w:p>
            <w:pPr>
              <w:spacing w:line="360" w:lineRule="auto"/>
              <w:rPr>
                <w:rFonts w:ascii="宋体" w:hAnsi="宋体" w:eastAsia="宋体"/>
                <w:szCs w:val="21"/>
              </w:rPr>
            </w:pPr>
          </w:p>
        </w:tc>
        <w:tc>
          <w:tcPr>
            <w:tcW w:w="708" w:type="dxa"/>
            <w:tcBorders>
              <w:left w:val="single" w:color="auto" w:sz="4" w:space="0"/>
              <w:right w:val="single" w:color="auto" w:sz="4" w:space="0"/>
            </w:tcBorders>
          </w:tcPr>
          <w:p>
            <w:pPr>
              <w:spacing w:line="360" w:lineRule="auto"/>
              <w:rPr>
                <w:rFonts w:ascii="宋体" w:hAnsi="宋体" w:eastAsia="宋体"/>
                <w:szCs w:val="21"/>
              </w:rPr>
            </w:pPr>
          </w:p>
        </w:tc>
        <w:tc>
          <w:tcPr>
            <w:tcW w:w="749" w:type="dxa"/>
            <w:tcBorders>
              <w:left w:val="single" w:color="auto" w:sz="4" w:space="0"/>
              <w:right w:val="single" w:color="auto" w:sz="4" w:space="0"/>
            </w:tcBorders>
          </w:tcPr>
          <w:p>
            <w:pPr>
              <w:spacing w:line="360" w:lineRule="auto"/>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pPr>
              <w:spacing w:line="360" w:lineRule="auto"/>
              <w:jc w:val="center"/>
              <w:rPr>
                <w:rFonts w:ascii="宋体" w:hAnsi="宋体" w:eastAsia="宋体"/>
                <w:szCs w:val="21"/>
              </w:rPr>
            </w:pPr>
            <w:r>
              <w:rPr>
                <w:rFonts w:hint="eastAsia" w:ascii="宋体" w:hAnsi="宋体" w:eastAsia="宋体"/>
                <w:szCs w:val="21"/>
              </w:rPr>
              <w:t>合计</w:t>
            </w:r>
          </w:p>
        </w:tc>
        <w:tc>
          <w:tcPr>
            <w:tcW w:w="2166" w:type="dxa"/>
            <w:gridSpan w:val="3"/>
            <w:tcBorders>
              <w:right w:val="single" w:color="auto" w:sz="4" w:space="0"/>
            </w:tcBorders>
          </w:tcPr>
          <w:p>
            <w:pPr>
              <w:spacing w:line="360" w:lineRule="auto"/>
              <w:rPr>
                <w:rFonts w:ascii="宋体" w:hAnsi="宋体" w:eastAsia="宋体"/>
                <w:szCs w:val="21"/>
              </w:rPr>
            </w:pPr>
          </w:p>
        </w:tc>
      </w:tr>
    </w:tbl>
    <w:p>
      <w:pPr>
        <w:spacing w:line="360" w:lineRule="auto"/>
        <w:ind w:firstLine="105" w:firstLineChars="50"/>
        <w:rPr>
          <w:rFonts w:ascii="宋体" w:hAnsi="宋体" w:eastAsia="宋体"/>
          <w:szCs w:val="21"/>
        </w:rPr>
      </w:pPr>
      <w:r>
        <w:rPr>
          <w:rFonts w:hint="eastAsia" w:ascii="宋体" w:hAnsi="宋体" w:eastAsia="宋体"/>
          <w:szCs w:val="21"/>
        </w:rPr>
        <w:t>注：如上述表格不适用相关货物的，具体品牌、数量、规格型号（技术参数）及质保期等可用附件形式列明，作为本合同组成部分。</w:t>
      </w:r>
    </w:p>
    <w:p>
      <w:pPr>
        <w:spacing w:line="360" w:lineRule="auto"/>
        <w:rPr>
          <w:rFonts w:ascii="宋体" w:hAnsi="宋体" w:eastAsia="宋体"/>
          <w:szCs w:val="21"/>
        </w:rPr>
      </w:pPr>
      <w:r>
        <w:rPr>
          <w:rFonts w:hint="eastAsia" w:ascii="宋体" w:hAnsi="宋体" w:eastAsia="宋体"/>
          <w:szCs w:val="21"/>
        </w:rPr>
        <w:t>第二条  合同总金额</w:t>
      </w:r>
    </w:p>
    <w:p>
      <w:pPr>
        <w:spacing w:line="360" w:lineRule="auto"/>
        <w:ind w:firstLine="315" w:firstLineChars="150"/>
        <w:rPr>
          <w:rFonts w:ascii="宋体" w:hAnsi="宋体" w:eastAsia="宋体"/>
          <w:szCs w:val="21"/>
          <w:u w:val="single"/>
        </w:rPr>
      </w:pPr>
      <w:r>
        <w:rPr>
          <w:rFonts w:hint="eastAsia" w:ascii="宋体" w:hAnsi="宋体" w:eastAsia="宋体"/>
          <w:szCs w:val="21"/>
        </w:rPr>
        <w:t>合同总金额为人民币（大写）：￥</w:t>
      </w:r>
    </w:p>
    <w:p>
      <w:pPr>
        <w:spacing w:line="360" w:lineRule="auto"/>
        <w:ind w:firstLine="315" w:firstLineChars="150"/>
        <w:rPr>
          <w:rFonts w:ascii="宋体" w:hAnsi="宋体" w:eastAsia="宋体"/>
          <w:szCs w:val="21"/>
        </w:rPr>
      </w:pPr>
      <w:r>
        <w:rPr>
          <w:rFonts w:hint="eastAsia" w:ascii="宋体" w:hAnsi="宋体" w:eastAsia="宋体"/>
          <w:szCs w:val="21"/>
        </w:rPr>
        <w:t>此价格为合同执行不变价，不因国家政策变化面变化，该价款包括了货物及与之配套的设计、制造、正版软件、检验、包装、运输、保险、税费以及安装、组织验收、培训，技术服务（包括技术资料、团纸提供等）.质保期服务等全部价款，除此之外，甲方不再向乙方支付其他任何费用。</w:t>
      </w:r>
    </w:p>
    <w:p>
      <w:pPr>
        <w:spacing w:line="360" w:lineRule="auto"/>
        <w:rPr>
          <w:rFonts w:ascii="宋体" w:hAnsi="宋体" w:eastAsia="宋体"/>
          <w:szCs w:val="21"/>
        </w:rPr>
      </w:pPr>
      <w:r>
        <w:rPr>
          <w:rFonts w:hint="eastAsia" w:ascii="宋体" w:hAnsi="宋体" w:eastAsia="宋体"/>
          <w:szCs w:val="21"/>
        </w:rPr>
        <w:t>第三条   质量要求及技术标准</w:t>
      </w:r>
    </w:p>
    <w:p>
      <w:pPr>
        <w:spacing w:line="360" w:lineRule="auto"/>
        <w:ind w:firstLine="315" w:firstLineChars="150"/>
        <w:rPr>
          <w:rFonts w:ascii="宋体" w:hAnsi="宋体" w:eastAsia="宋体"/>
          <w:szCs w:val="21"/>
        </w:rPr>
      </w:pPr>
      <w:r>
        <w:rPr>
          <w:rFonts w:hint="eastAsia" w:ascii="宋体" w:hAnsi="宋体" w:eastAsia="宋体"/>
          <w:szCs w:val="21"/>
        </w:rPr>
        <w:t>1.货物原产地：</w:t>
      </w:r>
    </w:p>
    <w:p>
      <w:pPr>
        <w:spacing w:line="360" w:lineRule="auto"/>
        <w:ind w:firstLine="315" w:firstLineChars="150"/>
        <w:rPr>
          <w:rFonts w:ascii="宋体" w:hAnsi="宋体" w:eastAsia="宋体"/>
          <w:szCs w:val="21"/>
        </w:rPr>
      </w:pPr>
      <w:r>
        <w:rPr>
          <w:rFonts w:hint="eastAsia" w:ascii="宋体" w:hAnsi="宋体" w:eastAsia="宋体"/>
          <w:szCs w:val="21"/>
        </w:rPr>
        <w:t>2.货物的 质量要求：</w:t>
      </w:r>
    </w:p>
    <w:p>
      <w:pPr>
        <w:spacing w:line="360" w:lineRule="auto"/>
        <w:ind w:firstLine="315" w:firstLineChars="150"/>
        <w:rPr>
          <w:rFonts w:ascii="宋体" w:hAnsi="宋体" w:eastAsia="宋体"/>
          <w:szCs w:val="21"/>
        </w:rPr>
      </w:pPr>
      <w:r>
        <w:rPr>
          <w:rFonts w:hint="eastAsia" w:ascii="宋体" w:hAnsi="宋体" w:eastAsia="宋体"/>
          <w:szCs w:val="21"/>
        </w:rPr>
        <w:t>3.货物的技术标准：</w:t>
      </w:r>
    </w:p>
    <w:p>
      <w:pPr>
        <w:spacing w:line="360" w:lineRule="auto"/>
        <w:rPr>
          <w:rFonts w:ascii="宋体" w:hAnsi="宋体" w:eastAsia="宋体"/>
          <w:szCs w:val="21"/>
        </w:rPr>
      </w:pPr>
      <w:r>
        <w:rPr>
          <w:rFonts w:hint="eastAsia" w:ascii="宋体" w:hAnsi="宋体" w:eastAsia="宋体"/>
          <w:szCs w:val="21"/>
        </w:rPr>
        <w:t>第四条   交货</w:t>
      </w:r>
    </w:p>
    <w:p>
      <w:pPr>
        <w:spacing w:line="360" w:lineRule="auto"/>
        <w:ind w:firstLine="315" w:firstLineChars="150"/>
        <w:rPr>
          <w:rFonts w:ascii="宋体" w:hAnsi="宋体" w:eastAsia="宋体"/>
          <w:szCs w:val="21"/>
        </w:rPr>
      </w:pPr>
      <w:r>
        <w:rPr>
          <w:rFonts w:hint="eastAsia" w:ascii="宋体" w:hAnsi="宋体" w:eastAsia="宋体"/>
          <w:szCs w:val="21"/>
        </w:rPr>
        <w:t>1.交货日期：</w:t>
      </w:r>
    </w:p>
    <w:p>
      <w:pPr>
        <w:spacing w:line="360" w:lineRule="auto"/>
        <w:ind w:firstLine="315" w:firstLineChars="150"/>
        <w:rPr>
          <w:rFonts w:ascii="宋体" w:hAnsi="宋体" w:eastAsia="宋体"/>
          <w:szCs w:val="21"/>
        </w:rPr>
      </w:pPr>
      <w:r>
        <w:rPr>
          <w:rFonts w:hint="eastAsia" w:ascii="宋体" w:hAnsi="宋体" w:eastAsia="宋体"/>
          <w:szCs w:val="21"/>
        </w:rPr>
        <w:t>2.交货地点：</w:t>
      </w:r>
    </w:p>
    <w:p>
      <w:pPr>
        <w:spacing w:line="360" w:lineRule="auto"/>
        <w:rPr>
          <w:rFonts w:ascii="宋体" w:hAnsi="宋体" w:eastAsia="宋体"/>
          <w:szCs w:val="21"/>
        </w:rPr>
      </w:pPr>
      <w:r>
        <w:rPr>
          <w:rFonts w:hint="eastAsia" w:ascii="宋体" w:hAnsi="宋体" w:eastAsia="宋体"/>
          <w:szCs w:val="21"/>
        </w:rPr>
        <w:t>第五条   包装、 装运及运输</w:t>
      </w:r>
    </w:p>
    <w:p>
      <w:pPr>
        <w:spacing w:line="360" w:lineRule="auto"/>
        <w:ind w:firstLine="315" w:firstLineChars="150"/>
        <w:rPr>
          <w:rFonts w:ascii="宋体" w:hAnsi="宋体" w:eastAsia="宋体"/>
          <w:szCs w:val="21"/>
        </w:rPr>
      </w:pPr>
      <w:r>
        <w:rPr>
          <w:rFonts w:hint="eastAsia" w:ascii="宋体" w:hAnsi="宋体" w:eastAsia="宋体"/>
          <w:szCs w:val="21"/>
        </w:rPr>
        <w:t>1.乙方负责包装、装运和运输，由于不适当的包装、装运和运输造成货物有任何损坏均由乙方负责。</w:t>
      </w:r>
    </w:p>
    <w:p>
      <w:pPr>
        <w:spacing w:line="360" w:lineRule="auto"/>
        <w:ind w:firstLine="315" w:firstLineChars="150"/>
        <w:rPr>
          <w:rFonts w:ascii="宋体" w:hAnsi="宋体" w:eastAsia="宋体"/>
          <w:szCs w:val="21"/>
        </w:rPr>
      </w:pPr>
      <w:r>
        <w:rPr>
          <w:rFonts w:hint="eastAsia" w:ascii="宋体" w:hAnsi="宋体" w:eastAsia="宋体"/>
          <w:szCs w:val="21"/>
        </w:rPr>
        <w:t>2.包装费、运费及相关费用已包含在合同总金额内。</w:t>
      </w:r>
    </w:p>
    <w:p>
      <w:pPr>
        <w:spacing w:line="360" w:lineRule="auto"/>
        <w:ind w:firstLine="315" w:firstLineChars="150"/>
        <w:rPr>
          <w:rFonts w:ascii="宋体" w:hAnsi="宋体" w:eastAsia="宋体"/>
          <w:szCs w:val="21"/>
        </w:rPr>
      </w:pPr>
      <w:r>
        <w:rPr>
          <w:rFonts w:hint="eastAsia" w:ascii="宋体" w:hAnsi="宋体" w:eastAsia="宋体"/>
          <w:szCs w:val="21"/>
        </w:rPr>
        <w:t>3.根据财政部等三部门《关于印发〈商品包装政府采购需求标准（试行）〉〈快递包装政府采购需求标准（试行）的通知》规定，对乙方提出的具体包装要求：</w:t>
      </w:r>
    </w:p>
    <w:p>
      <w:pPr>
        <w:spacing w:line="360" w:lineRule="auto"/>
        <w:rPr>
          <w:rFonts w:ascii="宋体" w:hAnsi="宋体" w:eastAsia="宋体"/>
          <w:szCs w:val="21"/>
        </w:rPr>
      </w:pPr>
      <w:r>
        <w:rPr>
          <w:rFonts w:hint="eastAsia" w:ascii="宋体" w:hAnsi="宋体" w:eastAsia="宋体"/>
          <w:szCs w:val="21"/>
        </w:rPr>
        <w:t>第六条    货款支付</w:t>
      </w:r>
    </w:p>
    <w:p>
      <w:pPr>
        <w:spacing w:line="360" w:lineRule="auto"/>
        <w:ind w:firstLine="420" w:firstLineChars="200"/>
        <w:rPr>
          <w:rFonts w:ascii="宋体" w:hAnsi="宋体" w:eastAsia="宋体"/>
          <w:szCs w:val="21"/>
        </w:rPr>
      </w:pPr>
      <w:r>
        <w:rPr>
          <w:rFonts w:hint="eastAsia" w:ascii="宋体" w:hAnsi="宋体" w:eastAsia="宋体"/>
          <w:szCs w:val="21"/>
        </w:rPr>
        <w:t>1.货物运到交货地点，经甲乙双方共同验收合格后由甲方负责办理贷款支付手续。</w:t>
      </w:r>
    </w:p>
    <w:p>
      <w:pPr>
        <w:spacing w:line="360" w:lineRule="auto"/>
        <w:ind w:firstLine="420" w:firstLineChars="200"/>
        <w:rPr>
          <w:rFonts w:ascii="宋体" w:hAnsi="宋体" w:eastAsia="宋体"/>
          <w:szCs w:val="21"/>
        </w:rPr>
      </w:pPr>
      <w:r>
        <w:rPr>
          <w:rFonts w:hint="eastAsia" w:ascii="宋体" w:hAnsi="宋体" w:eastAsia="宋体"/>
          <w:szCs w:val="21"/>
        </w:rPr>
        <w:t>2.允许并鼓励乙方提供电子发票，甲方自收到发票之日起2个工作日内支付资金，并不得附加未经约定的其他条件。</w:t>
      </w:r>
    </w:p>
    <w:p>
      <w:pPr>
        <w:spacing w:line="360" w:lineRule="auto"/>
        <w:ind w:firstLine="210" w:firstLineChars="100"/>
        <w:rPr>
          <w:rFonts w:ascii="宋体" w:hAnsi="宋体" w:eastAsia="宋体"/>
          <w:szCs w:val="21"/>
        </w:rPr>
      </w:pPr>
      <w:r>
        <w:rPr>
          <w:rFonts w:hint="eastAsia" w:ascii="宋体" w:hAnsi="宋体" w:eastAsia="宋体"/>
          <w:szCs w:val="21"/>
        </w:rPr>
        <w:t>3.付款方式</w:t>
      </w:r>
    </w:p>
    <w:p>
      <w:pPr>
        <w:spacing w:line="360" w:lineRule="auto"/>
        <w:ind w:firstLine="210" w:firstLineChars="100"/>
        <w:rPr>
          <w:rFonts w:ascii="宋体" w:hAnsi="宋体" w:eastAsia="宋体"/>
          <w:szCs w:val="21"/>
        </w:rPr>
      </w:pPr>
      <w:r>
        <w:rPr>
          <w:rFonts w:hint="eastAsia" w:ascii="宋体" w:hAnsi="宋体" w:eastAsia="宋体"/>
          <w:szCs w:val="21"/>
        </w:rPr>
        <w:t>3.1预付款比例： _ %， 于政府采购合同签订生效并具备实施条件后2个工作日内支付。</w:t>
      </w:r>
    </w:p>
    <w:p>
      <w:pPr>
        <w:spacing w:line="360" w:lineRule="auto"/>
        <w:rPr>
          <w:rFonts w:ascii="宋体" w:hAnsi="宋体" w:eastAsia="宋体"/>
          <w:szCs w:val="21"/>
        </w:rPr>
      </w:pPr>
      <w:r>
        <w:rPr>
          <w:rFonts w:hint="eastAsia" w:ascii="宋体" w:hAnsi="宋体" w:eastAsia="宋体"/>
          <w:szCs w:val="21"/>
        </w:rPr>
        <w:t>第七条   履约保证金</w:t>
      </w:r>
    </w:p>
    <w:p>
      <w:pPr>
        <w:spacing w:line="360" w:lineRule="auto"/>
        <w:ind w:firstLine="105" w:firstLineChars="50"/>
        <w:rPr>
          <w:rFonts w:ascii="宋体" w:hAnsi="宋体" w:eastAsia="宋体"/>
          <w:szCs w:val="21"/>
        </w:rPr>
      </w:pPr>
      <w:r>
        <w:rPr>
          <w:rFonts w:hint="eastAsia" w:ascii="宋体" w:hAnsi="宋体" w:eastAsia="宋体"/>
          <w:szCs w:val="21"/>
        </w:rPr>
        <w:t>根据许昌市优化政府采购营商环境要求，项目不收取履约保证金。</w:t>
      </w:r>
    </w:p>
    <w:p>
      <w:pPr>
        <w:spacing w:line="360" w:lineRule="auto"/>
        <w:rPr>
          <w:rFonts w:ascii="宋体" w:hAnsi="宋体" w:eastAsia="宋体"/>
          <w:szCs w:val="21"/>
        </w:rPr>
      </w:pPr>
      <w:r>
        <w:rPr>
          <w:rFonts w:hint="eastAsia" w:ascii="宋体" w:hAnsi="宋体" w:eastAsia="宋体"/>
          <w:szCs w:val="21"/>
        </w:rPr>
        <w:t>第八条   售后服务及承诺</w:t>
      </w:r>
    </w:p>
    <w:p>
      <w:pPr>
        <w:spacing w:line="360" w:lineRule="auto"/>
        <w:ind w:firstLine="315" w:firstLineChars="150"/>
        <w:rPr>
          <w:rFonts w:ascii="宋体" w:hAnsi="宋体" w:eastAsia="宋体"/>
          <w:szCs w:val="21"/>
        </w:rPr>
      </w:pPr>
      <w:r>
        <w:rPr>
          <w:rFonts w:hint="eastAsia" w:ascii="宋体" w:hAnsi="宋体" w:eastAsia="宋体"/>
          <w:szCs w:val="21"/>
        </w:rPr>
        <w:t>1.乙方有完善的服务体系，有能力提供持续的、本地化售后服务。</w:t>
      </w:r>
    </w:p>
    <w:p>
      <w:pPr>
        <w:spacing w:line="360" w:lineRule="auto"/>
        <w:ind w:firstLine="315" w:firstLineChars="150"/>
        <w:rPr>
          <w:rFonts w:ascii="宋体" w:hAnsi="宋体" w:eastAsia="宋体"/>
          <w:szCs w:val="21"/>
        </w:rPr>
      </w:pPr>
      <w:r>
        <w:rPr>
          <w:rFonts w:hint="eastAsia" w:ascii="宋体" w:hAnsi="宋体" w:eastAsia="宋体"/>
          <w:szCs w:val="21"/>
        </w:rPr>
        <w:t>2.乙方负责系统安装和调试以及操作人员培训，并制定详细的培训计划，使操作人员能独立进行管理、操作、维护和故障处理等工作，做好相关记录及技术文档收集整理，待验收合格后移交给甲方。</w:t>
      </w:r>
    </w:p>
    <w:p>
      <w:pPr>
        <w:spacing w:line="360" w:lineRule="auto"/>
        <w:ind w:firstLine="315" w:firstLineChars="150"/>
        <w:rPr>
          <w:rFonts w:ascii="宋体" w:hAnsi="宋体" w:eastAsia="宋体"/>
          <w:szCs w:val="21"/>
        </w:rPr>
      </w:pPr>
      <w:r>
        <w:rPr>
          <w:rFonts w:hint="eastAsia" w:ascii="宋体" w:hAnsi="宋体" w:eastAsia="宋体"/>
          <w:szCs w:val="21"/>
        </w:rPr>
        <w:t>3.供货及服务范围：乙方负责货物的侯应、运输、安装调试。免费培训、售后服务。</w:t>
      </w:r>
    </w:p>
    <w:p>
      <w:pPr>
        <w:spacing w:line="360" w:lineRule="auto"/>
        <w:rPr>
          <w:rFonts w:ascii="宋体" w:hAnsi="宋体" w:eastAsia="宋体"/>
          <w:szCs w:val="21"/>
        </w:rPr>
      </w:pPr>
      <w:r>
        <w:rPr>
          <w:rFonts w:hint="eastAsia" w:ascii="宋体" w:hAnsi="宋体" w:eastAsia="宋体"/>
          <w:szCs w:val="21"/>
        </w:rPr>
        <w:t>第九条   验收</w:t>
      </w:r>
    </w:p>
    <w:p>
      <w:pPr>
        <w:spacing w:line="360" w:lineRule="auto"/>
        <w:ind w:firstLine="315" w:firstLineChars="150"/>
        <w:rPr>
          <w:rFonts w:ascii="宋体" w:hAnsi="宋体" w:eastAsia="宋体"/>
          <w:szCs w:val="21"/>
        </w:rPr>
      </w:pPr>
      <w:r>
        <w:rPr>
          <w:rFonts w:hint="eastAsia" w:ascii="宋体" w:hAnsi="宋体" w:eastAsia="宋体"/>
          <w:szCs w:val="21"/>
        </w:rPr>
        <w:t>1.货物运抵现场后，采购人将对货物数量、质量、规格等进行检验。如发现货物和规格或者两者都与合同不符，采购人有权根据检验结果要求中标人立即更换或者提出索赔要求。</w:t>
      </w:r>
    </w:p>
    <w:p>
      <w:pPr>
        <w:spacing w:line="360" w:lineRule="auto"/>
        <w:ind w:firstLine="315" w:firstLineChars="150"/>
        <w:rPr>
          <w:rFonts w:ascii="宋体" w:hAnsi="宋体" w:eastAsia="宋体"/>
          <w:szCs w:val="21"/>
        </w:rPr>
      </w:pPr>
      <w:r>
        <w:rPr>
          <w:rFonts w:hint="eastAsia" w:ascii="宋体" w:hAnsi="宋体" w:eastAsia="宋体"/>
          <w:szCs w:val="21"/>
        </w:rPr>
        <w:t>2.开箱检查设备外观，如有损伤或质量缺陷，乙方应及时更换。</w:t>
      </w:r>
    </w:p>
    <w:p>
      <w:pPr>
        <w:spacing w:line="360" w:lineRule="auto"/>
        <w:ind w:firstLine="315" w:firstLineChars="150"/>
        <w:rPr>
          <w:rFonts w:ascii="宋体" w:hAnsi="宋体" w:eastAsia="宋体"/>
          <w:szCs w:val="21"/>
        </w:rPr>
      </w:pPr>
      <w:r>
        <w:rPr>
          <w:rFonts w:hint="eastAsia" w:ascii="宋体" w:hAnsi="宋体" w:eastAsia="宋体"/>
          <w:szCs w:val="21"/>
        </w:rPr>
        <w:t>3.依据合同设备清单，对设备品牌、规格型号（技术参数）、数量、质保书等必备附件进行检查。</w:t>
      </w:r>
    </w:p>
    <w:p>
      <w:pPr>
        <w:spacing w:line="360" w:lineRule="auto"/>
        <w:ind w:firstLine="315" w:firstLineChars="150"/>
        <w:rPr>
          <w:rFonts w:ascii="宋体" w:hAnsi="宋体" w:eastAsia="宋体"/>
          <w:szCs w:val="21"/>
        </w:rPr>
      </w:pPr>
      <w:r>
        <w:rPr>
          <w:rFonts w:hint="eastAsia" w:ascii="宋体" w:hAnsi="宋体" w:eastAsia="宋体"/>
          <w:szCs w:val="21"/>
        </w:rPr>
        <w:t>4.货物由中标人进行安装。完毕后，采购人应对货物的数量、质量、规格、性能等进行详细全面地检验。在收到乙方项目验收建议之日起7个工作日内，对采购项目进行实质性验收（验收建议有明显不当的除外）。</w:t>
      </w:r>
    </w:p>
    <w:p>
      <w:pPr>
        <w:spacing w:line="360" w:lineRule="auto"/>
        <w:ind w:firstLine="315" w:firstLineChars="150"/>
        <w:rPr>
          <w:rFonts w:ascii="宋体" w:hAnsi="宋体" w:eastAsia="宋体"/>
          <w:szCs w:val="21"/>
        </w:rPr>
      </w:pPr>
      <w:r>
        <w:rPr>
          <w:rFonts w:hint="eastAsia" w:ascii="宋体" w:hAnsi="宋体" w:eastAsia="宋体"/>
          <w:szCs w:val="21"/>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pPr>
        <w:spacing w:line="360" w:lineRule="auto"/>
        <w:ind w:firstLine="315" w:firstLineChars="150"/>
        <w:rPr>
          <w:rFonts w:ascii="宋体" w:hAnsi="宋体" w:eastAsia="宋体"/>
          <w:szCs w:val="21"/>
        </w:rPr>
      </w:pPr>
      <w:r>
        <w:rPr>
          <w:rFonts w:hint="eastAsia" w:ascii="宋体" w:hAnsi="宋体" w:eastAsia="宋体"/>
          <w:szCs w:val="21"/>
        </w:rPr>
        <w:t>6.根据财政部等三部门《关于印发〈商品包装政府采购需求标准（试行）〉〈快遇包装政府采购需求标准（试行）〉的通知》规定，采购文件对商品包装和快递包装提出具体要求的，对乙方所提供包装的履约验收要求（必要时要求乙方在履约验收环节出具检测报告）：</w:t>
      </w:r>
    </w:p>
    <w:p>
      <w:pPr>
        <w:spacing w:line="360" w:lineRule="auto"/>
        <w:rPr>
          <w:rFonts w:ascii="宋体" w:hAnsi="宋体" w:eastAsia="宋体"/>
          <w:szCs w:val="21"/>
        </w:rPr>
      </w:pPr>
      <w:r>
        <w:rPr>
          <w:rFonts w:hint="eastAsia" w:ascii="宋体" w:hAnsi="宋体" w:eastAsia="宋体"/>
          <w:szCs w:val="21"/>
        </w:rPr>
        <w:t>第十条   权利瑕疵担当</w:t>
      </w:r>
    </w:p>
    <w:p>
      <w:pPr>
        <w:spacing w:line="360" w:lineRule="auto"/>
        <w:ind w:firstLine="315" w:firstLineChars="150"/>
        <w:rPr>
          <w:rFonts w:ascii="宋体" w:hAnsi="宋体" w:eastAsia="宋体"/>
          <w:szCs w:val="21"/>
        </w:rPr>
      </w:pPr>
      <w:r>
        <w:rPr>
          <w:rFonts w:hint="eastAsia" w:ascii="宋体" w:hAnsi="宋体" w:eastAsia="宋体"/>
          <w:szCs w:val="21"/>
        </w:rPr>
        <w:t>1.乙方保证对其出售的标的物享有合法的权利：</w:t>
      </w:r>
    </w:p>
    <w:p>
      <w:pPr>
        <w:spacing w:line="360" w:lineRule="auto"/>
        <w:ind w:firstLine="315" w:firstLineChars="150"/>
        <w:rPr>
          <w:rFonts w:ascii="宋体" w:hAnsi="宋体" w:eastAsia="宋体"/>
          <w:szCs w:val="21"/>
        </w:rPr>
      </w:pPr>
      <w:r>
        <w:rPr>
          <w:rFonts w:hint="eastAsia" w:ascii="宋体" w:hAnsi="宋体" w:eastAsia="宋体"/>
          <w:szCs w:val="21"/>
        </w:rPr>
        <w:t>2.乙方应保证在其出售的标的物上不存在任何未曾向甲方边露的担保物权，如抵押权、质押权、留置权等：</w:t>
      </w:r>
    </w:p>
    <w:p>
      <w:pPr>
        <w:spacing w:line="360" w:lineRule="auto"/>
        <w:ind w:firstLine="315" w:firstLineChars="150"/>
        <w:rPr>
          <w:rFonts w:ascii="宋体" w:hAnsi="宋体" w:eastAsia="宋体"/>
          <w:szCs w:val="21"/>
        </w:rPr>
      </w:pPr>
      <w:r>
        <w:rPr>
          <w:rFonts w:hint="eastAsia" w:ascii="宋体" w:hAnsi="宋体" w:eastAsia="宋体"/>
          <w:szCs w:val="21"/>
        </w:rPr>
        <w:t>3.乙方应保证其所出售的标的物没有侵害任何第三人的知识产权和商业秘密等权利：</w:t>
      </w:r>
    </w:p>
    <w:p>
      <w:pPr>
        <w:spacing w:line="360" w:lineRule="auto"/>
        <w:ind w:firstLine="315" w:firstLineChars="150"/>
        <w:rPr>
          <w:rFonts w:ascii="宋体" w:hAnsi="宋体" w:eastAsia="宋体"/>
          <w:szCs w:val="21"/>
        </w:rPr>
      </w:pPr>
      <w:r>
        <w:rPr>
          <w:rFonts w:hint="eastAsia" w:ascii="宋体" w:hAnsi="宋体" w:eastAsia="宋体"/>
          <w:szCs w:val="21"/>
        </w:rPr>
        <w:t>4.如甲方使用该标的物构成上述侵权的，则由乙方承担全部责任。</w:t>
      </w:r>
    </w:p>
    <w:p>
      <w:pPr>
        <w:spacing w:line="360" w:lineRule="auto"/>
        <w:rPr>
          <w:rFonts w:ascii="宋体" w:hAnsi="宋体" w:eastAsia="宋体"/>
          <w:szCs w:val="21"/>
        </w:rPr>
      </w:pPr>
      <w:r>
        <w:rPr>
          <w:rFonts w:hint="eastAsia" w:ascii="宋体" w:hAnsi="宋体" w:eastAsia="宋体"/>
          <w:szCs w:val="21"/>
        </w:rPr>
        <w:t>第十一条   知识产权</w:t>
      </w:r>
    </w:p>
    <w:p>
      <w:pPr>
        <w:spacing w:line="360" w:lineRule="auto"/>
        <w:ind w:firstLine="315" w:firstLineChars="150"/>
        <w:rPr>
          <w:rFonts w:ascii="宋体" w:hAnsi="宋体" w:eastAsia="宋体"/>
          <w:szCs w:val="21"/>
        </w:rPr>
      </w:pPr>
      <w:r>
        <w:rPr>
          <w:rFonts w:hint="eastAsia" w:ascii="宋体" w:hAnsi="宋体" w:eastAsia="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pPr>
        <w:spacing w:line="360" w:lineRule="auto"/>
        <w:ind w:firstLine="315" w:firstLineChars="150"/>
        <w:rPr>
          <w:rFonts w:ascii="宋体" w:hAnsi="宋体" w:eastAsia="宋体"/>
          <w:szCs w:val="21"/>
        </w:rPr>
      </w:pPr>
      <w:r>
        <w:rPr>
          <w:rFonts w:hint="eastAsia" w:ascii="宋体" w:hAnsi="宋体" w:eastAsia="宋体"/>
          <w:szCs w:val="21"/>
        </w:rPr>
        <w:t>2.乙方为执行本合同而提供的技术资料或者其他相关资料、软件等由甲方永久免费使用。</w:t>
      </w:r>
    </w:p>
    <w:p>
      <w:pPr>
        <w:spacing w:line="360" w:lineRule="auto"/>
        <w:rPr>
          <w:rFonts w:ascii="宋体" w:hAnsi="宋体" w:eastAsia="宋体"/>
          <w:szCs w:val="21"/>
        </w:rPr>
      </w:pPr>
      <w:r>
        <w:rPr>
          <w:rFonts w:hint="eastAsia" w:ascii="宋体" w:hAnsi="宋体" w:eastAsia="宋体"/>
          <w:szCs w:val="21"/>
        </w:rPr>
        <w:t>第十二条    甲方责任</w:t>
      </w:r>
    </w:p>
    <w:p>
      <w:pPr>
        <w:spacing w:line="360" w:lineRule="auto"/>
        <w:ind w:firstLine="315" w:firstLineChars="150"/>
        <w:rPr>
          <w:rFonts w:ascii="宋体" w:hAnsi="宋体" w:eastAsia="宋体"/>
          <w:szCs w:val="21"/>
        </w:rPr>
      </w:pPr>
      <w:r>
        <w:rPr>
          <w:rFonts w:hint="eastAsia" w:ascii="宋体" w:hAnsi="宋体" w:eastAsia="宋体"/>
          <w:szCs w:val="21"/>
        </w:rPr>
        <w:t>1.及时办理付款手续。</w:t>
      </w:r>
    </w:p>
    <w:p>
      <w:pPr>
        <w:spacing w:line="360" w:lineRule="auto"/>
        <w:ind w:firstLine="315" w:firstLineChars="150"/>
        <w:rPr>
          <w:rFonts w:ascii="宋体" w:hAnsi="宋体" w:eastAsia="宋体"/>
          <w:szCs w:val="21"/>
        </w:rPr>
      </w:pPr>
      <w:r>
        <w:rPr>
          <w:rFonts w:hint="eastAsia" w:ascii="宋体" w:hAnsi="宋体" w:eastAsia="宋体"/>
          <w:szCs w:val="21"/>
        </w:rPr>
        <w:t>2.负责提供工作场地，协助乙方办理有关事宜。</w:t>
      </w:r>
    </w:p>
    <w:p>
      <w:pPr>
        <w:spacing w:line="360" w:lineRule="auto"/>
        <w:ind w:firstLine="315" w:firstLineChars="150"/>
        <w:rPr>
          <w:rFonts w:ascii="宋体" w:hAnsi="宋体" w:eastAsia="宋体"/>
          <w:szCs w:val="21"/>
        </w:rPr>
      </w:pPr>
      <w:r>
        <w:rPr>
          <w:rFonts w:hint="eastAsia" w:ascii="宋体" w:hAnsi="宋体" w:eastAsia="宋体"/>
          <w:szCs w:val="21"/>
        </w:rPr>
        <w:t>3.对合同条款及所知悉的乙方商业秘密负有保密义务。</w:t>
      </w:r>
    </w:p>
    <w:p>
      <w:pPr>
        <w:spacing w:line="360" w:lineRule="auto"/>
        <w:rPr>
          <w:rFonts w:ascii="宋体" w:hAnsi="宋体" w:eastAsia="宋体"/>
          <w:szCs w:val="21"/>
        </w:rPr>
      </w:pPr>
      <w:r>
        <w:rPr>
          <w:rFonts w:hint="eastAsia" w:ascii="宋体" w:hAnsi="宋体" w:eastAsia="宋体"/>
          <w:szCs w:val="21"/>
        </w:rPr>
        <w:t>第十三条    乙方责任</w:t>
      </w:r>
    </w:p>
    <w:p>
      <w:pPr>
        <w:spacing w:line="360" w:lineRule="auto"/>
        <w:ind w:firstLine="315" w:firstLineChars="150"/>
        <w:rPr>
          <w:rFonts w:ascii="宋体" w:hAnsi="宋体" w:eastAsia="宋体"/>
          <w:szCs w:val="21"/>
        </w:rPr>
      </w:pPr>
      <w:r>
        <w:rPr>
          <w:rFonts w:hint="eastAsia" w:ascii="宋体" w:hAnsi="宋体" w:eastAsia="宋体"/>
          <w:szCs w:val="21"/>
        </w:rPr>
        <w:t>1.保证所供货物均为投标文件承诺的货物，符合相关质量检测标准， 具有该产品的出厂标准或国家鉴定证书。保证其全部部件为全新的未使用的且符合相关质量要求。</w:t>
      </w:r>
    </w:p>
    <w:p>
      <w:pPr>
        <w:spacing w:line="360" w:lineRule="auto"/>
        <w:ind w:firstLine="315" w:firstLineChars="150"/>
        <w:rPr>
          <w:rFonts w:ascii="宋体" w:hAnsi="宋体" w:eastAsia="宋体"/>
          <w:szCs w:val="21"/>
        </w:rPr>
      </w:pPr>
      <w:r>
        <w:rPr>
          <w:rFonts w:hint="eastAsia" w:ascii="宋体" w:hAnsi="宋体" w:eastAsia="宋体"/>
          <w:szCs w:val="21"/>
        </w:rPr>
        <w:t>2.保证货物的售后服务，严格依据投标文件及相关承诺，对货物及系统进行保修、维护等服务。</w:t>
      </w:r>
    </w:p>
    <w:p>
      <w:pPr>
        <w:spacing w:line="360" w:lineRule="auto"/>
        <w:ind w:firstLine="315" w:firstLineChars="150"/>
        <w:rPr>
          <w:rFonts w:ascii="宋体" w:hAnsi="宋体" w:eastAsia="宋体"/>
          <w:szCs w:val="21"/>
        </w:rPr>
      </w:pPr>
      <w:r>
        <w:rPr>
          <w:rFonts w:hint="eastAsia" w:ascii="宋体" w:hAnsi="宋体" w:eastAsia="宋体"/>
          <w:szCs w:val="21"/>
        </w:rPr>
        <w:t>3.保证其所供货物不存在侵犯第三方知识产权的行为，否则由此产生的损失由己方承担。</w:t>
      </w:r>
    </w:p>
    <w:p>
      <w:pPr>
        <w:spacing w:line="360" w:lineRule="auto"/>
        <w:rPr>
          <w:rFonts w:ascii="宋体" w:hAnsi="宋体" w:eastAsia="宋体"/>
          <w:szCs w:val="21"/>
        </w:rPr>
      </w:pPr>
      <w:r>
        <w:rPr>
          <w:rFonts w:hint="eastAsia" w:ascii="宋体" w:hAnsi="宋体" w:eastAsia="宋体"/>
          <w:szCs w:val="21"/>
        </w:rPr>
        <w:t>第十四条   违约责任</w:t>
      </w:r>
    </w:p>
    <w:p>
      <w:pPr>
        <w:spacing w:line="360" w:lineRule="auto"/>
        <w:ind w:firstLine="315" w:firstLineChars="150"/>
        <w:rPr>
          <w:rFonts w:ascii="宋体" w:hAnsi="宋体" w:eastAsia="宋体"/>
          <w:szCs w:val="21"/>
        </w:rPr>
      </w:pPr>
      <w:r>
        <w:rPr>
          <w:rFonts w:hint="eastAsia" w:ascii="宋体" w:hAnsi="宋体" w:eastAsia="宋体"/>
          <w:szCs w:val="21"/>
        </w:rPr>
        <w:t>1.甲乙双方任意一方无故终止合同的，造约方应当按照合同总金额的_ %向守约方支付违约金。</w:t>
      </w:r>
    </w:p>
    <w:p>
      <w:pPr>
        <w:spacing w:line="360" w:lineRule="auto"/>
        <w:ind w:firstLine="315" w:firstLineChars="150"/>
        <w:rPr>
          <w:rFonts w:ascii="宋体" w:hAnsi="宋体" w:eastAsia="宋体"/>
          <w:szCs w:val="21"/>
        </w:rPr>
      </w:pPr>
      <w:r>
        <w:rPr>
          <w:rFonts w:hint="eastAsia" w:ascii="宋体" w:hAnsi="宋体" w:eastAsia="宋体"/>
          <w:szCs w:val="21"/>
        </w:rPr>
        <w:t>2.乙方逾期交付货物时，每逾_日乙方向甲方支付合同总金 额%的潜纳金。逾期交货超过__日的， 甲方有权决定是否继续履行合同，如甲方决定终止履行合同的，乙方应按照第1款的规定赔偿甲方违约金。</w:t>
      </w:r>
    </w:p>
    <w:p>
      <w:pPr>
        <w:spacing w:line="360" w:lineRule="auto"/>
        <w:ind w:firstLine="315" w:firstLineChars="150"/>
        <w:rPr>
          <w:rFonts w:ascii="宋体" w:hAnsi="宋体" w:eastAsia="宋体"/>
          <w:szCs w:val="21"/>
        </w:rPr>
      </w:pPr>
      <w:r>
        <w:rPr>
          <w:rFonts w:hint="eastAsia" w:ascii="宋体" w:hAnsi="宋体" w:eastAsia="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pPr>
        <w:spacing w:line="360" w:lineRule="auto"/>
        <w:ind w:firstLine="315" w:firstLineChars="150"/>
        <w:rPr>
          <w:rFonts w:ascii="宋体" w:hAnsi="宋体" w:eastAsia="宋体"/>
          <w:szCs w:val="21"/>
        </w:rPr>
      </w:pPr>
      <w:r>
        <w:rPr>
          <w:rFonts w:hint="eastAsia" w:ascii="宋体" w:hAnsi="宋体" w:eastAsia="宋体"/>
          <w:szCs w:val="21"/>
        </w:rPr>
        <w:t>4.在质保期内产品出现质量问题，乙方必须在接到甲方通知后_小时内到达现场解决，否则甲方有权另请单位解决，由此产生的费用由乙方承担，产生的损失由乙方赔偿。</w:t>
      </w:r>
    </w:p>
    <w:p>
      <w:pPr>
        <w:spacing w:line="360" w:lineRule="auto"/>
        <w:ind w:firstLine="315" w:firstLineChars="150"/>
        <w:rPr>
          <w:rFonts w:ascii="宋体" w:hAnsi="宋体" w:eastAsia="宋体"/>
          <w:szCs w:val="21"/>
        </w:rPr>
      </w:pPr>
      <w:r>
        <w:rPr>
          <w:rFonts w:hint="eastAsia" w:ascii="宋体" w:hAnsi="宋体" w:eastAsia="宋体"/>
          <w:szCs w:val="21"/>
        </w:rPr>
        <w:t>5.甲方逾期支付资金的违约责任：</w:t>
      </w:r>
    </w:p>
    <w:p>
      <w:pPr>
        <w:spacing w:line="360" w:lineRule="auto"/>
        <w:ind w:firstLine="315" w:firstLineChars="150"/>
        <w:rPr>
          <w:rFonts w:ascii="宋体" w:hAnsi="宋体" w:eastAsia="宋体"/>
          <w:szCs w:val="21"/>
        </w:rPr>
      </w:pPr>
      <w:r>
        <w:rPr>
          <w:rFonts w:hint="eastAsia" w:ascii="宋体" w:hAnsi="宋体" w:eastAsia="宋体"/>
          <w:szCs w:val="21"/>
        </w:rPr>
        <w:t>6.因甲方原因导致变更，中止或者终止政府采购合同的，甲方对供应商受到的损失予以赔借或者补偿：</w:t>
      </w:r>
    </w:p>
    <w:p>
      <w:pPr>
        <w:spacing w:line="360" w:lineRule="auto"/>
        <w:ind w:firstLine="315" w:firstLineChars="150"/>
        <w:rPr>
          <w:rFonts w:ascii="宋体" w:hAnsi="宋体" w:eastAsia="宋体"/>
          <w:szCs w:val="21"/>
        </w:rPr>
      </w:pPr>
      <w:r>
        <w:rPr>
          <w:rFonts w:hint="eastAsia" w:ascii="宋体" w:hAnsi="宋体" w:eastAsia="宋体"/>
          <w:szCs w:val="21"/>
        </w:rPr>
        <w:t>7.甲乙双方违背其他合间条款。违约方赔偿对方损失。</w:t>
      </w:r>
    </w:p>
    <w:p>
      <w:pPr>
        <w:spacing w:line="360" w:lineRule="auto"/>
        <w:rPr>
          <w:rFonts w:ascii="宋体" w:hAnsi="宋体" w:eastAsia="宋体"/>
          <w:szCs w:val="21"/>
        </w:rPr>
      </w:pPr>
      <w:r>
        <w:rPr>
          <w:rFonts w:hint="eastAsia" w:ascii="宋体" w:hAnsi="宋体" w:eastAsia="宋体"/>
          <w:szCs w:val="21"/>
        </w:rPr>
        <w:t>第十五条   不可抗力</w:t>
      </w:r>
    </w:p>
    <w:p>
      <w:pPr>
        <w:spacing w:line="360" w:lineRule="auto"/>
        <w:ind w:firstLine="315" w:firstLineChars="150"/>
        <w:rPr>
          <w:rFonts w:ascii="宋体" w:hAnsi="宋体" w:eastAsia="宋体"/>
          <w:szCs w:val="21"/>
        </w:rPr>
      </w:pPr>
      <w:r>
        <w:rPr>
          <w:rFonts w:hint="eastAsia" w:ascii="宋体" w:hAnsi="宋体" w:eastAsia="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pPr>
        <w:spacing w:line="360" w:lineRule="auto"/>
        <w:rPr>
          <w:rFonts w:ascii="宋体" w:hAnsi="宋体" w:eastAsia="宋体"/>
          <w:szCs w:val="21"/>
        </w:rPr>
      </w:pPr>
      <w:r>
        <w:rPr>
          <w:rFonts w:hint="eastAsia" w:ascii="宋体" w:hAnsi="宋体" w:eastAsia="宋体"/>
          <w:szCs w:val="21"/>
        </w:rPr>
        <w:t>第十六条   保密</w:t>
      </w:r>
    </w:p>
    <w:p>
      <w:pPr>
        <w:spacing w:line="360" w:lineRule="auto"/>
        <w:ind w:firstLine="315" w:firstLineChars="150"/>
        <w:rPr>
          <w:rFonts w:ascii="宋体" w:hAnsi="宋体" w:eastAsia="宋体"/>
          <w:szCs w:val="21"/>
        </w:rPr>
      </w:pPr>
      <w:r>
        <w:rPr>
          <w:rFonts w:hint="eastAsia" w:ascii="宋体" w:hAnsi="宋体" w:eastAsia="宋体"/>
          <w:szCs w:val="21"/>
        </w:rPr>
        <w:t>乙方在合同履行期间知悉甲方的工作秘密（包括相关业务信息），不得透露或以其他方式提供给合同双方以外的其他方（包括乙方内部与本合同无关的任何人员）。乙方的保密责任不因本合同的终止面终止。</w:t>
      </w:r>
    </w:p>
    <w:p>
      <w:pPr>
        <w:spacing w:line="360" w:lineRule="auto"/>
        <w:ind w:firstLine="315" w:firstLineChars="150"/>
        <w:rPr>
          <w:rFonts w:ascii="宋体" w:hAnsi="宋体" w:eastAsia="宋体"/>
          <w:szCs w:val="21"/>
        </w:rPr>
      </w:pPr>
      <w:r>
        <w:rPr>
          <w:rFonts w:hint="eastAsia" w:ascii="宋体" w:hAnsi="宋体" w:eastAsia="宋体"/>
          <w:szCs w:val="21"/>
        </w:rPr>
        <w:t>乙方违反本合同所规定的保害义务，应按照本合同总金额的_ %支付违约金。</w:t>
      </w:r>
    </w:p>
    <w:p>
      <w:pPr>
        <w:spacing w:line="360" w:lineRule="auto"/>
        <w:rPr>
          <w:rFonts w:ascii="宋体" w:hAnsi="宋体" w:eastAsia="宋体"/>
          <w:szCs w:val="21"/>
        </w:rPr>
      </w:pPr>
      <w:r>
        <w:rPr>
          <w:rFonts w:hint="eastAsia" w:ascii="宋体" w:hAnsi="宋体" w:eastAsia="宋体"/>
          <w:szCs w:val="21"/>
        </w:rPr>
        <w:t>第十七条   争议解决</w:t>
      </w:r>
    </w:p>
    <w:p>
      <w:pPr>
        <w:spacing w:line="360" w:lineRule="auto"/>
        <w:ind w:firstLine="315" w:firstLineChars="150"/>
        <w:rPr>
          <w:rFonts w:ascii="宋体" w:hAnsi="宋体" w:eastAsia="宋体"/>
          <w:szCs w:val="21"/>
        </w:rPr>
      </w:pPr>
      <w:r>
        <w:rPr>
          <w:rFonts w:hint="eastAsia" w:ascii="宋体" w:hAnsi="宋体" w:eastAsia="宋体"/>
          <w:szCs w:val="21"/>
        </w:rPr>
        <w:t>甲乙双方在合同履行中发生争议，应通过协商解决。如协商不成，可以向合同签订地法院提起诉论。</w:t>
      </w:r>
    </w:p>
    <w:p>
      <w:pPr>
        <w:spacing w:line="360" w:lineRule="auto"/>
        <w:rPr>
          <w:rFonts w:ascii="宋体" w:hAnsi="宋体" w:eastAsia="宋体"/>
          <w:szCs w:val="21"/>
        </w:rPr>
      </w:pPr>
      <w:r>
        <w:rPr>
          <w:rFonts w:hint="eastAsia" w:ascii="宋体" w:hAnsi="宋体" w:eastAsia="宋体"/>
          <w:szCs w:val="21"/>
        </w:rPr>
        <w:t>第十八条   合同生效及其他</w:t>
      </w:r>
    </w:p>
    <w:p>
      <w:pPr>
        <w:spacing w:line="360" w:lineRule="auto"/>
        <w:ind w:firstLine="315" w:firstLineChars="150"/>
        <w:rPr>
          <w:rFonts w:ascii="宋体" w:hAnsi="宋体" w:eastAsia="宋体"/>
          <w:szCs w:val="21"/>
        </w:rPr>
      </w:pPr>
      <w:r>
        <w:rPr>
          <w:rFonts w:hint="eastAsia" w:ascii="宋体" w:hAnsi="宋体" w:eastAsia="宋体"/>
          <w:szCs w:val="21"/>
        </w:rPr>
        <w:t>1.除招标文件规定且甲方事先书面同意外，乙方不得部分或者全部转让、分包履行其应履行的合同项下的义务。</w:t>
      </w:r>
    </w:p>
    <w:p>
      <w:pPr>
        <w:spacing w:line="360" w:lineRule="auto"/>
        <w:ind w:firstLine="315" w:firstLineChars="150"/>
        <w:rPr>
          <w:rFonts w:ascii="宋体" w:hAnsi="宋体" w:eastAsia="宋体"/>
          <w:szCs w:val="21"/>
        </w:rPr>
      </w:pPr>
      <w:r>
        <w:rPr>
          <w:rFonts w:hint="eastAsia" w:ascii="宋体" w:hAnsi="宋体" w:eastAsia="宋体"/>
          <w:szCs w:val="21"/>
        </w:rPr>
        <w:t>2.合同由甲，乙双方法定代表人（或者授权代表）签字并加盖单位公章，以最后一方签字日期为合同生效日期。</w:t>
      </w:r>
    </w:p>
    <w:p>
      <w:pPr>
        <w:spacing w:line="360" w:lineRule="auto"/>
        <w:ind w:firstLine="315" w:firstLineChars="150"/>
        <w:rPr>
          <w:rFonts w:ascii="宋体" w:hAnsi="宋体" w:eastAsia="宋体"/>
          <w:szCs w:val="21"/>
        </w:rPr>
      </w:pPr>
      <w:r>
        <w:rPr>
          <w:rFonts w:hint="eastAsia" w:ascii="宋体" w:hAnsi="宋体" w:eastAsia="宋体"/>
          <w:szCs w:val="21"/>
        </w:rPr>
        <w:t>3.本合同一式份，甲方份，乙方份。</w:t>
      </w:r>
    </w:p>
    <w:p>
      <w:pPr>
        <w:spacing w:line="360" w:lineRule="auto"/>
        <w:rPr>
          <w:rFonts w:ascii="宋体" w:hAnsi="宋体" w:eastAsia="宋体"/>
          <w:szCs w:val="21"/>
        </w:rPr>
      </w:pPr>
      <w:r>
        <w:rPr>
          <w:rFonts w:hint="eastAsia" w:ascii="宋体" w:hAnsi="宋体" w:eastAsia="宋体"/>
          <w:szCs w:val="21"/>
        </w:rPr>
        <w:t>第十九条   政府采购合间融资</w:t>
      </w:r>
    </w:p>
    <w:p>
      <w:pPr>
        <w:spacing w:line="360" w:lineRule="auto"/>
        <w:ind w:firstLine="315" w:firstLineChars="150"/>
        <w:rPr>
          <w:rFonts w:ascii="宋体" w:hAnsi="宋体" w:eastAsia="宋体"/>
          <w:szCs w:val="21"/>
        </w:rPr>
      </w:pPr>
      <w:r>
        <w:rPr>
          <w:rFonts w:hint="eastAsia" w:ascii="宋体" w:hAnsi="宋体" w:eastAsia="宋体"/>
          <w:szCs w:val="21"/>
        </w:rPr>
        <w:t>1.政府采购合同签订前开展融资业务的。中标（成交）供应商持政府采购中标（成交）通知书提前与金融机构进行合同融资商治，双方达成融资意向后，中标（成交）供应商与采购人签订政府采购合同，合同中供应商的银行账户要与合同融资的回救账户一致。中标（成交）供应商和贷款金融机构应及时将政府采购合同作为融资质押的信息告知采购人。采购人要从严加强合同付款账户管理，未经贷款银行同意，不随意更改合同付软账户。</w:t>
      </w:r>
    </w:p>
    <w:p>
      <w:pPr>
        <w:spacing w:line="360" w:lineRule="auto"/>
        <w:ind w:firstLine="315" w:firstLineChars="150"/>
        <w:rPr>
          <w:rFonts w:ascii="宋体" w:hAnsi="宋体" w:eastAsia="宋体"/>
          <w:szCs w:val="21"/>
        </w:rPr>
      </w:pPr>
      <w:r>
        <w:rPr>
          <w:rFonts w:hint="eastAsia" w:ascii="宋体" w:hAnsi="宋体" w:eastAsia="宋体"/>
          <w:szCs w:val="21"/>
        </w:rPr>
        <w:t>2.政府采购合网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pPr>
        <w:spacing w:line="360" w:lineRule="auto"/>
        <w:ind w:firstLine="315" w:firstLineChars="150"/>
        <w:rPr>
          <w:rFonts w:ascii="宋体" w:hAnsi="宋体" w:eastAsia="宋体"/>
          <w:szCs w:val="21"/>
        </w:rPr>
      </w:pPr>
      <w:r>
        <w:rPr>
          <w:rFonts w:hint="eastAsia" w:ascii="宋体" w:hAnsi="宋体" w:eastAsia="宋体"/>
          <w:szCs w:val="21"/>
        </w:rPr>
        <w:t>3.当中标（成交）供应商成功获取银行贷款后，采购人还应根据信息公开要求，加强合同账户及资金支付管理，确保合网资金准确支付到贷款银行确认的回款账户。采购人不得不经贷款银行同意擅自更改合同账户。非法支付项目资金，造成不良后果的，将承担相应法律责任。</w:t>
      </w:r>
    </w:p>
    <w:p>
      <w:pPr>
        <w:spacing w:line="360" w:lineRule="auto"/>
        <w:rPr>
          <w:rFonts w:ascii="宋体" w:hAnsi="宋体" w:eastAsia="宋体"/>
          <w:szCs w:val="21"/>
        </w:rPr>
      </w:pPr>
      <w:r>
        <w:rPr>
          <w:rFonts w:hint="eastAsia" w:ascii="宋体" w:hAnsi="宋体" w:eastAsia="宋体"/>
          <w:szCs w:val="21"/>
        </w:rPr>
        <w:t>第二十条        本合同附件</w:t>
      </w:r>
    </w:p>
    <w:p>
      <w:pPr>
        <w:spacing w:line="360" w:lineRule="auto"/>
        <w:ind w:firstLine="315" w:firstLineChars="150"/>
        <w:rPr>
          <w:rFonts w:ascii="宋体" w:hAnsi="宋体" w:eastAsia="宋体"/>
          <w:szCs w:val="21"/>
        </w:rPr>
      </w:pPr>
      <w:r>
        <w:rPr>
          <w:rFonts w:hint="eastAsia" w:ascii="宋体" w:hAnsi="宋体" w:eastAsia="宋体"/>
          <w:szCs w:val="21"/>
        </w:rPr>
        <w:t>1.中标通知书：</w:t>
      </w:r>
    </w:p>
    <w:p>
      <w:pPr>
        <w:spacing w:line="360" w:lineRule="auto"/>
        <w:ind w:firstLine="315" w:firstLineChars="150"/>
        <w:rPr>
          <w:rFonts w:ascii="宋体" w:hAnsi="宋体" w:eastAsia="宋体"/>
          <w:szCs w:val="21"/>
        </w:rPr>
      </w:pPr>
      <w:r>
        <w:rPr>
          <w:rFonts w:hint="eastAsia" w:ascii="宋体" w:hAnsi="宋体" w:eastAsia="宋体"/>
          <w:szCs w:val="21"/>
        </w:rPr>
        <w:t>2.政府采购招标文件（含招标文件的澄清，修改等）：</w:t>
      </w:r>
    </w:p>
    <w:p>
      <w:pPr>
        <w:spacing w:line="360" w:lineRule="auto"/>
        <w:ind w:firstLine="315" w:firstLineChars="150"/>
        <w:rPr>
          <w:rFonts w:ascii="宋体" w:hAnsi="宋体" w:eastAsia="宋体"/>
          <w:szCs w:val="21"/>
        </w:rPr>
      </w:pPr>
      <w:r>
        <w:rPr>
          <w:rFonts w:hint="eastAsia" w:ascii="宋体" w:hAnsi="宋体" w:eastAsia="宋体"/>
          <w:szCs w:val="21"/>
        </w:rPr>
        <w:t>3.乙方投标文件：</w:t>
      </w:r>
    </w:p>
    <w:p>
      <w:pPr>
        <w:spacing w:line="360" w:lineRule="auto"/>
        <w:ind w:firstLine="315" w:firstLineChars="150"/>
        <w:rPr>
          <w:rFonts w:ascii="宋体" w:hAnsi="宋体" w:eastAsia="宋体"/>
          <w:szCs w:val="21"/>
        </w:rPr>
      </w:pPr>
      <w:r>
        <w:rPr>
          <w:rFonts w:hint="eastAsia" w:ascii="宋体" w:hAnsi="宋体" w:eastAsia="宋体"/>
          <w:szCs w:val="21"/>
        </w:rPr>
        <w:t>4.中标人在评标过程中作出的有关澄清、说明，承诺或者补正文件（材料）。</w:t>
      </w:r>
    </w:p>
    <w:p>
      <w:pPr>
        <w:spacing w:line="360" w:lineRule="auto"/>
        <w:rPr>
          <w:rFonts w:ascii="宋体" w:hAnsi="宋体" w:eastAsia="宋体"/>
          <w:szCs w:val="21"/>
        </w:rPr>
      </w:pPr>
      <w:r>
        <w:rPr>
          <w:rFonts w:hint="eastAsia" w:ascii="宋体" w:hAnsi="宋体" w:eastAsia="宋体"/>
          <w:szCs w:val="21"/>
        </w:rPr>
        <w:t>甲  方：                                      乙  方：</w:t>
      </w:r>
    </w:p>
    <w:p>
      <w:pPr>
        <w:spacing w:line="360" w:lineRule="auto"/>
        <w:rPr>
          <w:rFonts w:ascii="宋体" w:hAnsi="宋体" w:eastAsia="宋体"/>
          <w:szCs w:val="21"/>
        </w:rPr>
      </w:pPr>
      <w:r>
        <w:rPr>
          <w:rFonts w:hint="eastAsia" w:ascii="宋体" w:hAnsi="宋体" w:eastAsia="宋体"/>
          <w:szCs w:val="21"/>
        </w:rPr>
        <w:t>单位名称（公章）：                              单位名称（公章）：</w:t>
      </w:r>
    </w:p>
    <w:p>
      <w:pPr>
        <w:spacing w:line="360" w:lineRule="auto"/>
        <w:rPr>
          <w:rFonts w:ascii="宋体" w:hAnsi="宋体" w:eastAsia="宋体"/>
          <w:szCs w:val="21"/>
        </w:rPr>
      </w:pPr>
      <w:r>
        <w:rPr>
          <w:rFonts w:hint="eastAsia" w:ascii="宋体" w:hAnsi="宋体" w:eastAsia="宋体"/>
          <w:szCs w:val="21"/>
        </w:rPr>
        <w:t>法定代表人（授权代表）签字：                    法定代表人（授权代表）签字：</w:t>
      </w:r>
    </w:p>
    <w:p>
      <w:pPr>
        <w:tabs>
          <w:tab w:val="left" w:pos="4587"/>
        </w:tabs>
        <w:spacing w:line="360" w:lineRule="auto"/>
        <w:rPr>
          <w:rFonts w:ascii="宋体" w:hAnsi="宋体" w:eastAsia="宋体"/>
          <w:szCs w:val="21"/>
        </w:rPr>
      </w:pPr>
      <w:r>
        <w:rPr>
          <w:rFonts w:hint="eastAsia" w:ascii="宋体" w:hAnsi="宋体" w:eastAsia="宋体"/>
          <w:szCs w:val="21"/>
        </w:rPr>
        <w:t xml:space="preserve">  电  话：                                    </w:t>
      </w:r>
      <w:r>
        <w:rPr>
          <w:rFonts w:ascii="宋体" w:hAnsi="宋体" w:eastAsia="宋体"/>
          <w:szCs w:val="21"/>
        </w:rPr>
        <w:t>电话：</w:t>
      </w:r>
      <w:r>
        <w:rPr>
          <w:rFonts w:ascii="宋体" w:hAnsi="宋体" w:eastAsia="宋体"/>
          <w:szCs w:val="21"/>
        </w:rPr>
        <w:tab/>
      </w:r>
    </w:p>
    <w:p>
      <w:pPr>
        <w:spacing w:line="360" w:lineRule="auto"/>
        <w:rPr>
          <w:rFonts w:ascii="宋体" w:hAnsi="宋体" w:eastAsia="宋体"/>
          <w:szCs w:val="21"/>
        </w:rPr>
      </w:pPr>
      <w:r>
        <w:rPr>
          <w:rFonts w:hint="eastAsia" w:ascii="宋体" w:hAnsi="宋体" w:eastAsia="宋体"/>
          <w:szCs w:val="21"/>
        </w:rPr>
        <w:t>年     月    日                                年   月   日</w:t>
      </w:r>
    </w:p>
    <w:p>
      <w:pPr>
        <w:tabs>
          <w:tab w:val="left" w:pos="1260"/>
        </w:tabs>
        <w:autoSpaceDE w:val="0"/>
        <w:autoSpaceDN w:val="0"/>
        <w:adjustRightInd w:val="0"/>
        <w:spacing w:line="360" w:lineRule="auto"/>
        <w:rPr>
          <w:rFonts w:ascii="宋体" w:hAnsi="宋体" w:eastAsia="宋体" w:cs="宋体"/>
          <w:b/>
          <w:kern w:val="0"/>
          <w:sz w:val="32"/>
          <w:szCs w:val="32"/>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pStyle w:val="6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pPr>
              <w:pStyle w:val="15"/>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pPr>
              <w:pStyle w:val="15"/>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pPr>
              <w:pStyle w:val="15"/>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谈判承诺函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pStyle w:val="2"/>
        <w:rPr>
          <w:lang w:val="zh-CN"/>
        </w:rPr>
      </w:pPr>
    </w:p>
    <w:p>
      <w:pPr>
        <w:pStyle w:val="2"/>
        <w:rPr>
          <w:lang w:val="zh-CN"/>
        </w:rPr>
      </w:pPr>
    </w:p>
    <w:p>
      <w:pPr>
        <w:pStyle w:val="2"/>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四、我方同意按照贵方可能提出的要求而提供与谈判响应有关的任何其他数据、信息或资料。</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3"/>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我方作无效投标处理，我方愿意承担相应的法律责任。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址：邮政编码：</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手    机： 固定电话：</w:t>
      </w:r>
    </w:p>
    <w:p>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注：</w:t>
      </w:r>
    </w:p>
    <w:p>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52"/>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52"/>
        <w:spacing w:line="480" w:lineRule="auto"/>
        <w:ind w:firstLine="472" w:firstLineChars="225"/>
        <w:jc w:val="left"/>
        <w:rPr>
          <w:rFonts w:asciiTheme="minorEastAsia" w:hAnsiTheme="minorEastAsia"/>
          <w:sz w:val="21"/>
          <w:szCs w:val="21"/>
        </w:rPr>
      </w:pPr>
    </w:p>
    <w:p>
      <w:pPr>
        <w:pStyle w:val="52"/>
        <w:spacing w:line="480" w:lineRule="auto"/>
        <w:ind w:firstLine="472" w:firstLineChars="225"/>
        <w:jc w:val="left"/>
        <w:rPr>
          <w:rFonts w:asciiTheme="minorEastAsia" w:hAnsiTheme="minorEastAsia"/>
          <w:sz w:val="21"/>
          <w:szCs w:val="21"/>
        </w:rPr>
      </w:pPr>
    </w:p>
    <w:p>
      <w:pPr>
        <w:pStyle w:val="52"/>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52"/>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pStyle w:val="55"/>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54"/>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320" w:lineRule="exact"/>
        <w:ind w:firstLine="420" w:firstLineChars="200"/>
        <w:rPr>
          <w:rFonts w:asciiTheme="minorEastAsia" w:hAnsiTheme="minorEastAsia"/>
          <w:bCs/>
          <w:kern w:val="12"/>
          <w:szCs w:val="21"/>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3.4谈判承诺函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sz w:val="24"/>
          <w:szCs w:val="24"/>
        </w:rPr>
      </w:pPr>
      <w:r>
        <w:rPr>
          <w:rFonts w:hint="eastAsia" w:ascii="宋体" w:hAnsi="宋体"/>
          <w:b/>
          <w:bCs/>
          <w:sz w:val="24"/>
          <w:szCs w:val="24"/>
        </w:rPr>
        <w:t>3.5  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r>
        <w:rPr>
          <w:rFonts w:hint="eastAsia" w:cs="宋体" w:asciiTheme="minorEastAsia" w:hAnsiTheme="minorEastAsia"/>
          <w:szCs w:val="21"/>
          <w:lang w:val="zh-CN"/>
        </w:rPr>
        <w:t>：</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r>
        <w:rPr>
          <w:rFonts w:hint="eastAsia" w:cs="宋体" w:asciiTheme="minorEastAsia" w:hAnsiTheme="minorEastAsia"/>
          <w:szCs w:val="21"/>
          <w:lang w:val="zh-CN"/>
        </w:rPr>
        <w:t>：</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r>
        <w:rPr>
          <w:rFonts w:hint="eastAsia" w:cs="宋体" w:asciiTheme="minorEastAsia" w:hAnsiTheme="minorEastAsia"/>
          <w:szCs w:val="21"/>
          <w:lang w:val="zh-CN"/>
        </w:rPr>
        <w:t>：</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r>
        <w:rPr>
          <w:rFonts w:hint="eastAsia" w:cs="宋体" w:asciiTheme="minorEastAsia" w:hAnsiTheme="minorEastAsia"/>
          <w:szCs w:val="21"/>
          <w:lang w:val="zh-CN"/>
        </w:rPr>
        <w:t>：</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w:t>
      </w:r>
      <w:r>
        <w:rPr>
          <w:rFonts w:hint="eastAsia" w:cs="宋体" w:asciiTheme="minorEastAsia" w:hAnsiTheme="minorEastAsia"/>
          <w:szCs w:val="21"/>
          <w:lang w:val="zh-CN"/>
        </w:rPr>
        <w:t>或</w:t>
      </w:r>
      <w:r>
        <w:rPr>
          <w:rFonts w:cs="宋体" w:asciiTheme="minorEastAsia" w:hAnsiTheme="minorEastAsia"/>
          <w:szCs w:val="21"/>
          <w:lang w:val="zh-CN"/>
        </w:rPr>
        <w:t>授权代表（签字或电子印章）</w:t>
      </w:r>
      <w:r>
        <w:rPr>
          <w:rFonts w:hint="eastAsia" w:cs="宋体" w:asciiTheme="minorEastAsia" w:hAnsiTheme="minorEastAsia"/>
          <w:szCs w:val="21"/>
          <w:lang w:val="zh-CN"/>
        </w:rPr>
        <w:t>：</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widowControl/>
        <w:ind w:firstLine="2389" w:firstLineChars="850"/>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asciiTheme="minorEastAsia" w:hAnsiTheme="minorEastAsia"/>
          <w:szCs w:val="21"/>
        </w:rPr>
      </w:pPr>
      <w:r>
        <w:rPr>
          <w:rFonts w:hint="eastAsia" w:asciiTheme="minorEastAsia" w:hAnsiTheme="minorEastAsia"/>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pPr>
        <w:snapToGrid w:val="0"/>
        <w:spacing w:line="360" w:lineRule="auto"/>
        <w:rPr>
          <w:rFonts w:hAnsi="宋体" w:eastAsia="宋体"/>
          <w:b/>
          <w:snapToGrid w:val="0"/>
          <w:kern w:val="0"/>
          <w:szCs w:val="21"/>
        </w:rPr>
      </w:pP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Theme="minorEastAsia" w:hAnsiTheme="minorEastAsia"/>
          <w:szCs w:val="21"/>
        </w:rPr>
      </w:pPr>
    </w:p>
    <w:tbl>
      <w:tblPr>
        <w:tblStyle w:val="2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pPr>
        <w:spacing w:line="360" w:lineRule="auto"/>
        <w:jc w:val="center"/>
        <w:rPr>
          <w:rFonts w:ascii="宋体" w:hAnsi="宋体"/>
          <w:b/>
          <w:bCs/>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cs="Arial" w:asciiTheme="minorEastAsia" w:hAnsiTheme="minorEastAsia"/>
          <w:szCs w:val="21"/>
        </w:rPr>
      </w:pPr>
      <w:r>
        <w:t>日期：</w:t>
      </w:r>
    </w:p>
    <w:p>
      <w:pPr>
        <w:spacing w:line="480" w:lineRule="auto"/>
        <w:ind w:left="4358" w:leftChars="2075"/>
        <w:rPr>
          <w:rFonts w:cs="Arial" w:asciiTheme="minorEastAsia" w:hAnsiTheme="minorEastAsia"/>
          <w:szCs w:val="21"/>
        </w:rPr>
      </w:pP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pPr>
        <w:widowControl/>
        <w:spacing w:before="100" w:beforeAutospacing="1" w:after="100" w:afterAutospacing="1" w:line="360" w:lineRule="auto"/>
        <w:contextualSpacing/>
        <w:jc w:val="left"/>
        <w:rPr>
          <w:rFonts w:ascii="宋体" w:hAnsi="宋体" w:cs="Arial"/>
          <w:kern w:val="0"/>
          <w:szCs w:val="21"/>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pPr>
        <w:spacing w:line="480" w:lineRule="auto"/>
        <w:ind w:left="4358" w:leftChars="2075"/>
        <w:rPr>
          <w:rFonts w:cs="Arial" w:asciiTheme="minorEastAsia" w:hAnsiTheme="minorEastAsia"/>
          <w:szCs w:val="21"/>
        </w:rPr>
      </w:pPr>
    </w:p>
    <w:p/>
    <w:p/>
    <w:p/>
    <w:p/>
    <w:p/>
    <w:p/>
    <w:p/>
    <w:p/>
    <w:p/>
    <w:p/>
    <w:p/>
    <w:p/>
    <w:p/>
    <w:p/>
    <w:p/>
    <w:p/>
    <w:p/>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widowControl/>
        <w:jc w:val="left"/>
        <w:rPr>
          <w:rFonts w:ascii="宋体" w:hAnsi="宋体"/>
          <w:b/>
          <w:bCs/>
          <w:sz w:val="24"/>
          <w:szCs w:val="24"/>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0" w:usb3="00000000" w:csb0="4002009F" w:csb1="DFD7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文本框 1" o:spid="_x0000_s4097" o:spt="202" type="#_x0000_t202" style="position:absolute;left:0pt;margin-top:0pt;height:11pt;width:9.1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">
          <v:path arrowok="t"/>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28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lang w:val="en-US"/>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4">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0">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1">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2">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6">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7">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0">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4">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8">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3">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5">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0">
    <w:nsid w:val="47ED0DC8"/>
    <w:multiLevelType w:val="multilevel"/>
    <w:tmpl w:val="47ED0DC8"/>
    <w:lvl w:ilvl="0" w:tentative="0">
      <w:start w:val="3"/>
      <w:numFmt w:val="decimal"/>
      <w:lvlText w:val="%1"/>
      <w:lvlJc w:val="left"/>
      <w:pPr>
        <w:ind w:left="360" w:hanging="360"/>
      </w:pPr>
      <w:rPr>
        <w:rFonts w:hint="default"/>
      </w:rPr>
    </w:lvl>
    <w:lvl w:ilvl="1" w:tentative="0">
      <w:start w:val="2"/>
      <w:numFmt w:val="decimal"/>
      <w:lvlText w:val="%1.%2"/>
      <w:lvlJc w:val="left"/>
      <w:pPr>
        <w:ind w:left="1200" w:hanging="360"/>
      </w:pPr>
      <w:rPr>
        <w:rFonts w:hint="default"/>
      </w:rPr>
    </w:lvl>
    <w:lvl w:ilvl="2" w:tentative="0">
      <w:start w:val="1"/>
      <w:numFmt w:val="decimal"/>
      <w:lvlText w:val="%1.%2.%3"/>
      <w:lvlJc w:val="left"/>
      <w:pPr>
        <w:ind w:left="2400" w:hanging="720"/>
      </w:pPr>
      <w:rPr>
        <w:rFonts w:hint="default"/>
      </w:rPr>
    </w:lvl>
    <w:lvl w:ilvl="3" w:tentative="0">
      <w:start w:val="1"/>
      <w:numFmt w:val="decimal"/>
      <w:lvlText w:val="%1.%2.%3.%4"/>
      <w:lvlJc w:val="left"/>
      <w:pPr>
        <w:ind w:left="3240" w:hanging="720"/>
      </w:pPr>
      <w:rPr>
        <w:rFonts w:hint="default"/>
      </w:rPr>
    </w:lvl>
    <w:lvl w:ilvl="4" w:tentative="0">
      <w:start w:val="1"/>
      <w:numFmt w:val="decimal"/>
      <w:lvlText w:val="%1.%2.%3.%4.%5"/>
      <w:lvlJc w:val="left"/>
      <w:pPr>
        <w:ind w:left="4440" w:hanging="1080"/>
      </w:pPr>
      <w:rPr>
        <w:rFonts w:hint="default"/>
      </w:rPr>
    </w:lvl>
    <w:lvl w:ilvl="5" w:tentative="0">
      <w:start w:val="1"/>
      <w:numFmt w:val="decimal"/>
      <w:lvlText w:val="%1.%2.%3.%4.%5.%6"/>
      <w:lvlJc w:val="left"/>
      <w:pPr>
        <w:ind w:left="5280" w:hanging="1080"/>
      </w:pPr>
      <w:rPr>
        <w:rFonts w:hint="default"/>
      </w:rPr>
    </w:lvl>
    <w:lvl w:ilvl="6" w:tentative="0">
      <w:start w:val="1"/>
      <w:numFmt w:val="decimal"/>
      <w:lvlText w:val="%1.%2.%3.%4.%5.%6.%7"/>
      <w:lvlJc w:val="left"/>
      <w:pPr>
        <w:ind w:left="6120" w:hanging="1080"/>
      </w:pPr>
      <w:rPr>
        <w:rFonts w:hint="default"/>
      </w:rPr>
    </w:lvl>
    <w:lvl w:ilvl="7" w:tentative="0">
      <w:start w:val="1"/>
      <w:numFmt w:val="decimal"/>
      <w:lvlText w:val="%1.%2.%3.%4.%5.%6.%7.%8"/>
      <w:lvlJc w:val="left"/>
      <w:pPr>
        <w:ind w:left="7320" w:hanging="1440"/>
      </w:pPr>
      <w:rPr>
        <w:rFonts w:hint="default"/>
      </w:rPr>
    </w:lvl>
    <w:lvl w:ilvl="8" w:tentative="0">
      <w:start w:val="1"/>
      <w:numFmt w:val="decimal"/>
      <w:lvlText w:val="%1.%2.%3.%4.%5.%6.%7.%8.%9"/>
      <w:lvlJc w:val="left"/>
      <w:pPr>
        <w:ind w:left="8160" w:hanging="1440"/>
      </w:pPr>
      <w:rPr>
        <w:rFonts w:hint="default"/>
      </w:rPr>
    </w:lvl>
  </w:abstractNum>
  <w:abstractNum w:abstractNumId="41">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42">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3">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6">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47">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9">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51">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9F817E8"/>
    <w:multiLevelType w:val="singleLevel"/>
    <w:tmpl w:val="59F817E8"/>
    <w:lvl w:ilvl="0" w:tentative="0">
      <w:start w:val="1"/>
      <w:numFmt w:val="chineseCounting"/>
      <w:pStyle w:val="60"/>
      <w:suff w:val="nothing"/>
      <w:lvlText w:val="%1、"/>
      <w:lvlJc w:val="left"/>
    </w:lvl>
  </w:abstractNum>
  <w:abstractNum w:abstractNumId="53">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4">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7">
    <w:nsid w:val="654E26F6"/>
    <w:multiLevelType w:val="singleLevel"/>
    <w:tmpl w:val="654E26F6"/>
    <w:lvl w:ilvl="0" w:tentative="0">
      <w:start w:val="1"/>
      <w:numFmt w:val="decimal"/>
      <w:suff w:val="nothing"/>
      <w:lvlText w:val="%1、"/>
      <w:lvlJc w:val="left"/>
    </w:lvl>
  </w:abstractNum>
  <w:abstractNum w:abstractNumId="58">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9">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0">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1">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3">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4">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6">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7">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8">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69">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2">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4">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2"/>
  </w:num>
  <w:num w:numId="3">
    <w:abstractNumId w:val="52"/>
  </w:num>
  <w:num w:numId="4">
    <w:abstractNumId w:val="57"/>
  </w:num>
  <w:num w:numId="5">
    <w:abstractNumId w:val="0"/>
  </w:num>
  <w:num w:numId="6">
    <w:abstractNumId w:val="10"/>
  </w:num>
  <w:num w:numId="7">
    <w:abstractNumId w:val="8"/>
  </w:num>
  <w:num w:numId="8">
    <w:abstractNumId w:val="40"/>
  </w:num>
  <w:num w:numId="9">
    <w:abstractNumId w:val="54"/>
  </w:num>
  <w:num w:numId="10">
    <w:abstractNumId w:val="69"/>
  </w:num>
  <w:num w:numId="11">
    <w:abstractNumId w:val="74"/>
  </w:num>
  <w:num w:numId="12">
    <w:abstractNumId w:val="37"/>
  </w:num>
  <w:num w:numId="13">
    <w:abstractNumId w:val="47"/>
  </w:num>
  <w:num w:numId="14">
    <w:abstractNumId w:val="49"/>
  </w:num>
  <w:num w:numId="15">
    <w:abstractNumId w:val="64"/>
  </w:num>
  <w:num w:numId="16">
    <w:abstractNumId w:val="31"/>
  </w:num>
  <w:num w:numId="17">
    <w:abstractNumId w:val="18"/>
  </w:num>
  <w:num w:numId="18">
    <w:abstractNumId w:val="19"/>
  </w:num>
  <w:num w:numId="19">
    <w:abstractNumId w:val="60"/>
  </w:num>
  <w:num w:numId="20">
    <w:abstractNumId w:val="73"/>
  </w:num>
  <w:num w:numId="21">
    <w:abstractNumId w:val="71"/>
  </w:num>
  <w:num w:numId="22">
    <w:abstractNumId w:val="59"/>
  </w:num>
  <w:num w:numId="23">
    <w:abstractNumId w:val="27"/>
  </w:num>
  <w:num w:numId="24">
    <w:abstractNumId w:val="20"/>
  </w:num>
  <w:num w:numId="25">
    <w:abstractNumId w:val="62"/>
  </w:num>
  <w:num w:numId="26">
    <w:abstractNumId w:val="55"/>
  </w:num>
  <w:num w:numId="27">
    <w:abstractNumId w:val="70"/>
  </w:num>
  <w:num w:numId="28">
    <w:abstractNumId w:val="42"/>
  </w:num>
  <w:num w:numId="29">
    <w:abstractNumId w:val="15"/>
  </w:num>
  <w:num w:numId="30">
    <w:abstractNumId w:val="48"/>
  </w:num>
  <w:num w:numId="31">
    <w:abstractNumId w:val="6"/>
  </w:num>
  <w:num w:numId="32">
    <w:abstractNumId w:val="25"/>
  </w:num>
  <w:num w:numId="33">
    <w:abstractNumId w:val="44"/>
  </w:num>
  <w:num w:numId="34">
    <w:abstractNumId w:val="5"/>
  </w:num>
  <w:num w:numId="35">
    <w:abstractNumId w:val="66"/>
  </w:num>
  <w:num w:numId="36">
    <w:abstractNumId w:val="14"/>
  </w:num>
  <w:num w:numId="37">
    <w:abstractNumId w:val="30"/>
  </w:num>
  <w:num w:numId="38">
    <w:abstractNumId w:val="35"/>
  </w:num>
  <w:num w:numId="39">
    <w:abstractNumId w:val="21"/>
  </w:num>
  <w:num w:numId="40">
    <w:abstractNumId w:val="53"/>
  </w:num>
  <w:num w:numId="41">
    <w:abstractNumId w:val="28"/>
  </w:num>
  <w:num w:numId="42">
    <w:abstractNumId w:val="65"/>
  </w:num>
  <w:num w:numId="43">
    <w:abstractNumId w:val="36"/>
  </w:num>
  <w:num w:numId="44">
    <w:abstractNumId w:val="68"/>
  </w:num>
  <w:num w:numId="45">
    <w:abstractNumId w:val="16"/>
  </w:num>
  <w:num w:numId="46">
    <w:abstractNumId w:val="4"/>
  </w:num>
  <w:num w:numId="47">
    <w:abstractNumId w:val="12"/>
  </w:num>
  <w:num w:numId="48">
    <w:abstractNumId w:val="7"/>
  </w:num>
  <w:num w:numId="49">
    <w:abstractNumId w:val="33"/>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num>
  <w:num w:numId="63">
    <w:abstractNumId w:val="45"/>
  </w:num>
  <w:num w:numId="64">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num>
  <w:num w:numId="68">
    <w:abstractNumId w:val="67"/>
  </w:num>
  <w:num w:numId="69">
    <w:abstractNumId w:val="46"/>
  </w:num>
  <w:num w:numId="70">
    <w:abstractNumId w:val="22"/>
  </w:num>
  <w:num w:numId="71">
    <w:abstractNumId w:val="29"/>
  </w:num>
  <w:num w:numId="72">
    <w:abstractNumId w:val="39"/>
  </w:num>
  <w:num w:numId="73">
    <w:abstractNumId w:val="58"/>
  </w:num>
  <w:num w:numId="74">
    <w:abstractNumId w:val="76"/>
  </w:num>
  <w:num w:numId="75">
    <w:abstractNumId w:val="13"/>
  </w:num>
  <w:num w:numId="76">
    <w:abstractNumId w:val="41"/>
  </w:num>
  <w:num w:numId="77">
    <w:abstractNumId w:val="23"/>
  </w:num>
  <w:num w:numId="7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IyNGVjMTQ1ZmQxOTBjZTdjMTIyMGJiZWQ2NTkwZGUifQ=="/>
  </w:docVars>
  <w:rsids>
    <w:rsidRoot w:val="00D51569"/>
    <w:rsid w:val="0000061B"/>
    <w:rsid w:val="000017BD"/>
    <w:rsid w:val="000069EC"/>
    <w:rsid w:val="00007470"/>
    <w:rsid w:val="000112AC"/>
    <w:rsid w:val="0001195E"/>
    <w:rsid w:val="00011D2B"/>
    <w:rsid w:val="0001598A"/>
    <w:rsid w:val="000173D4"/>
    <w:rsid w:val="000227BF"/>
    <w:rsid w:val="00024D13"/>
    <w:rsid w:val="0002758D"/>
    <w:rsid w:val="00030B34"/>
    <w:rsid w:val="00031CF4"/>
    <w:rsid w:val="000418F9"/>
    <w:rsid w:val="00044305"/>
    <w:rsid w:val="00046E42"/>
    <w:rsid w:val="00054BAB"/>
    <w:rsid w:val="00067226"/>
    <w:rsid w:val="0007027E"/>
    <w:rsid w:val="00072339"/>
    <w:rsid w:val="000800D2"/>
    <w:rsid w:val="00080389"/>
    <w:rsid w:val="00083387"/>
    <w:rsid w:val="00083980"/>
    <w:rsid w:val="0008414A"/>
    <w:rsid w:val="00085343"/>
    <w:rsid w:val="0008729E"/>
    <w:rsid w:val="00087510"/>
    <w:rsid w:val="00091C9C"/>
    <w:rsid w:val="00095387"/>
    <w:rsid w:val="00095D9A"/>
    <w:rsid w:val="00096224"/>
    <w:rsid w:val="0009640F"/>
    <w:rsid w:val="0009646E"/>
    <w:rsid w:val="000A02BB"/>
    <w:rsid w:val="000A3F18"/>
    <w:rsid w:val="000A73BC"/>
    <w:rsid w:val="000B10C2"/>
    <w:rsid w:val="000B3383"/>
    <w:rsid w:val="000B4057"/>
    <w:rsid w:val="000B4BAC"/>
    <w:rsid w:val="000B7263"/>
    <w:rsid w:val="000C0D70"/>
    <w:rsid w:val="000C0F8B"/>
    <w:rsid w:val="000C2A7B"/>
    <w:rsid w:val="000C6111"/>
    <w:rsid w:val="000D15F5"/>
    <w:rsid w:val="000D1CF1"/>
    <w:rsid w:val="000D30B8"/>
    <w:rsid w:val="000D6633"/>
    <w:rsid w:val="000D798A"/>
    <w:rsid w:val="000E2FFC"/>
    <w:rsid w:val="000E4C07"/>
    <w:rsid w:val="000E57E7"/>
    <w:rsid w:val="000F1E89"/>
    <w:rsid w:val="0010014D"/>
    <w:rsid w:val="001145D4"/>
    <w:rsid w:val="001223EF"/>
    <w:rsid w:val="001236A3"/>
    <w:rsid w:val="001341A1"/>
    <w:rsid w:val="00134561"/>
    <w:rsid w:val="0013796A"/>
    <w:rsid w:val="001408F1"/>
    <w:rsid w:val="001415B4"/>
    <w:rsid w:val="00152541"/>
    <w:rsid w:val="00152DB4"/>
    <w:rsid w:val="00154EA8"/>
    <w:rsid w:val="0016405F"/>
    <w:rsid w:val="00165E49"/>
    <w:rsid w:val="00165F8E"/>
    <w:rsid w:val="0016779A"/>
    <w:rsid w:val="00167F93"/>
    <w:rsid w:val="00170DCF"/>
    <w:rsid w:val="00170EDE"/>
    <w:rsid w:val="0017154C"/>
    <w:rsid w:val="001749D2"/>
    <w:rsid w:val="00174C63"/>
    <w:rsid w:val="0017584B"/>
    <w:rsid w:val="00176E55"/>
    <w:rsid w:val="00177319"/>
    <w:rsid w:val="00177379"/>
    <w:rsid w:val="00181BE6"/>
    <w:rsid w:val="00183B7D"/>
    <w:rsid w:val="001855AB"/>
    <w:rsid w:val="00186162"/>
    <w:rsid w:val="00186268"/>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1FE4"/>
    <w:rsid w:val="002523CB"/>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409C"/>
    <w:rsid w:val="002C6520"/>
    <w:rsid w:val="002D082A"/>
    <w:rsid w:val="002D1053"/>
    <w:rsid w:val="002D1F99"/>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52B95"/>
    <w:rsid w:val="00357CCD"/>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04FCB"/>
    <w:rsid w:val="00410495"/>
    <w:rsid w:val="004104F8"/>
    <w:rsid w:val="00410B19"/>
    <w:rsid w:val="00416591"/>
    <w:rsid w:val="00430563"/>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74BDD"/>
    <w:rsid w:val="00475412"/>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0AF0"/>
    <w:rsid w:val="004D3082"/>
    <w:rsid w:val="004D4B04"/>
    <w:rsid w:val="004D595F"/>
    <w:rsid w:val="004D7BED"/>
    <w:rsid w:val="004E0DFB"/>
    <w:rsid w:val="004E450C"/>
    <w:rsid w:val="004E547A"/>
    <w:rsid w:val="004E5E79"/>
    <w:rsid w:val="004F1683"/>
    <w:rsid w:val="004F3C45"/>
    <w:rsid w:val="00501F13"/>
    <w:rsid w:val="0050316F"/>
    <w:rsid w:val="00506193"/>
    <w:rsid w:val="00510B61"/>
    <w:rsid w:val="00513C6A"/>
    <w:rsid w:val="005167FC"/>
    <w:rsid w:val="00520164"/>
    <w:rsid w:val="005222C3"/>
    <w:rsid w:val="005229DC"/>
    <w:rsid w:val="005254AD"/>
    <w:rsid w:val="00527604"/>
    <w:rsid w:val="00532D1B"/>
    <w:rsid w:val="00532FA1"/>
    <w:rsid w:val="00535B8D"/>
    <w:rsid w:val="00536DD2"/>
    <w:rsid w:val="005411DE"/>
    <w:rsid w:val="00546251"/>
    <w:rsid w:val="005508EC"/>
    <w:rsid w:val="0055181A"/>
    <w:rsid w:val="0055332A"/>
    <w:rsid w:val="00555EDE"/>
    <w:rsid w:val="005711DE"/>
    <w:rsid w:val="00573241"/>
    <w:rsid w:val="00574E98"/>
    <w:rsid w:val="00575C9D"/>
    <w:rsid w:val="005775B7"/>
    <w:rsid w:val="005779B2"/>
    <w:rsid w:val="00581F58"/>
    <w:rsid w:val="00586CD2"/>
    <w:rsid w:val="005872CC"/>
    <w:rsid w:val="005940FF"/>
    <w:rsid w:val="00595ECF"/>
    <w:rsid w:val="00596914"/>
    <w:rsid w:val="005A33DA"/>
    <w:rsid w:val="005A49BE"/>
    <w:rsid w:val="005A7E7E"/>
    <w:rsid w:val="005B01E4"/>
    <w:rsid w:val="005B1144"/>
    <w:rsid w:val="005B14F6"/>
    <w:rsid w:val="005B180E"/>
    <w:rsid w:val="005B4048"/>
    <w:rsid w:val="005B5550"/>
    <w:rsid w:val="005C09F8"/>
    <w:rsid w:val="005D1597"/>
    <w:rsid w:val="005D4EBE"/>
    <w:rsid w:val="005D51C3"/>
    <w:rsid w:val="005D5C1A"/>
    <w:rsid w:val="005D6674"/>
    <w:rsid w:val="005F690F"/>
    <w:rsid w:val="005F6B82"/>
    <w:rsid w:val="00600324"/>
    <w:rsid w:val="00601A21"/>
    <w:rsid w:val="00605FD5"/>
    <w:rsid w:val="00606700"/>
    <w:rsid w:val="0061063F"/>
    <w:rsid w:val="00622142"/>
    <w:rsid w:val="0062372C"/>
    <w:rsid w:val="00630932"/>
    <w:rsid w:val="00631795"/>
    <w:rsid w:val="00632AB7"/>
    <w:rsid w:val="00633C14"/>
    <w:rsid w:val="00636AAD"/>
    <w:rsid w:val="006375E0"/>
    <w:rsid w:val="00637A19"/>
    <w:rsid w:val="0064072E"/>
    <w:rsid w:val="0064175E"/>
    <w:rsid w:val="00645D68"/>
    <w:rsid w:val="00651710"/>
    <w:rsid w:val="00652F79"/>
    <w:rsid w:val="006533B0"/>
    <w:rsid w:val="00654154"/>
    <w:rsid w:val="00654267"/>
    <w:rsid w:val="006560E7"/>
    <w:rsid w:val="0065614C"/>
    <w:rsid w:val="006616D3"/>
    <w:rsid w:val="0066238D"/>
    <w:rsid w:val="00664D37"/>
    <w:rsid w:val="0066706E"/>
    <w:rsid w:val="00667837"/>
    <w:rsid w:val="00667D06"/>
    <w:rsid w:val="006717A9"/>
    <w:rsid w:val="0067327E"/>
    <w:rsid w:val="00675A3C"/>
    <w:rsid w:val="00676DDA"/>
    <w:rsid w:val="006778F4"/>
    <w:rsid w:val="00680364"/>
    <w:rsid w:val="00687327"/>
    <w:rsid w:val="0069574E"/>
    <w:rsid w:val="00695B12"/>
    <w:rsid w:val="006A1483"/>
    <w:rsid w:val="006A29B6"/>
    <w:rsid w:val="006A4956"/>
    <w:rsid w:val="006A6187"/>
    <w:rsid w:val="006A6D68"/>
    <w:rsid w:val="006A6E3E"/>
    <w:rsid w:val="006B25F5"/>
    <w:rsid w:val="006B34C4"/>
    <w:rsid w:val="006C76C0"/>
    <w:rsid w:val="006D0369"/>
    <w:rsid w:val="006D05AC"/>
    <w:rsid w:val="006D2D95"/>
    <w:rsid w:val="006D71B0"/>
    <w:rsid w:val="006D71DF"/>
    <w:rsid w:val="006E10AE"/>
    <w:rsid w:val="006E21C6"/>
    <w:rsid w:val="006E42E5"/>
    <w:rsid w:val="006F1019"/>
    <w:rsid w:val="006F15D2"/>
    <w:rsid w:val="006F7C4F"/>
    <w:rsid w:val="00705AA8"/>
    <w:rsid w:val="007105AC"/>
    <w:rsid w:val="00714D78"/>
    <w:rsid w:val="00724498"/>
    <w:rsid w:val="0072694A"/>
    <w:rsid w:val="007303E5"/>
    <w:rsid w:val="00746403"/>
    <w:rsid w:val="00747598"/>
    <w:rsid w:val="007500E2"/>
    <w:rsid w:val="00752B33"/>
    <w:rsid w:val="00752DA3"/>
    <w:rsid w:val="00763CD2"/>
    <w:rsid w:val="0076522A"/>
    <w:rsid w:val="007707E3"/>
    <w:rsid w:val="00772353"/>
    <w:rsid w:val="0077399E"/>
    <w:rsid w:val="00775B86"/>
    <w:rsid w:val="0078097A"/>
    <w:rsid w:val="00783715"/>
    <w:rsid w:val="0078489C"/>
    <w:rsid w:val="007873DE"/>
    <w:rsid w:val="0078798E"/>
    <w:rsid w:val="00791B7A"/>
    <w:rsid w:val="007A1051"/>
    <w:rsid w:val="007A2AB5"/>
    <w:rsid w:val="007B7261"/>
    <w:rsid w:val="007C0625"/>
    <w:rsid w:val="007C5494"/>
    <w:rsid w:val="007C74CE"/>
    <w:rsid w:val="007D4BF7"/>
    <w:rsid w:val="007D5E56"/>
    <w:rsid w:val="007D72D5"/>
    <w:rsid w:val="007D77E0"/>
    <w:rsid w:val="007E5B97"/>
    <w:rsid w:val="007E6BFA"/>
    <w:rsid w:val="007E6FAA"/>
    <w:rsid w:val="007F042C"/>
    <w:rsid w:val="007F216A"/>
    <w:rsid w:val="007F4688"/>
    <w:rsid w:val="007F6AAE"/>
    <w:rsid w:val="0080123B"/>
    <w:rsid w:val="00802785"/>
    <w:rsid w:val="00811E28"/>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3CDB"/>
    <w:rsid w:val="008953B0"/>
    <w:rsid w:val="008953C5"/>
    <w:rsid w:val="008A2C19"/>
    <w:rsid w:val="008A6416"/>
    <w:rsid w:val="008B04E0"/>
    <w:rsid w:val="008B110D"/>
    <w:rsid w:val="008B3378"/>
    <w:rsid w:val="008B618F"/>
    <w:rsid w:val="008C02EA"/>
    <w:rsid w:val="008C64CC"/>
    <w:rsid w:val="008C728F"/>
    <w:rsid w:val="008D05C1"/>
    <w:rsid w:val="008D2E1A"/>
    <w:rsid w:val="008D3675"/>
    <w:rsid w:val="008E168B"/>
    <w:rsid w:val="008E16F1"/>
    <w:rsid w:val="008E4CA2"/>
    <w:rsid w:val="008E7FBF"/>
    <w:rsid w:val="008F2C11"/>
    <w:rsid w:val="008F4729"/>
    <w:rsid w:val="008F52FA"/>
    <w:rsid w:val="008F67AC"/>
    <w:rsid w:val="008F7EDB"/>
    <w:rsid w:val="00900545"/>
    <w:rsid w:val="00900F1C"/>
    <w:rsid w:val="00902C0B"/>
    <w:rsid w:val="00905B70"/>
    <w:rsid w:val="00910752"/>
    <w:rsid w:val="00910928"/>
    <w:rsid w:val="00914A10"/>
    <w:rsid w:val="00916BA6"/>
    <w:rsid w:val="00923781"/>
    <w:rsid w:val="009302C2"/>
    <w:rsid w:val="0093043A"/>
    <w:rsid w:val="009316AE"/>
    <w:rsid w:val="0093555D"/>
    <w:rsid w:val="009378B5"/>
    <w:rsid w:val="009420C2"/>
    <w:rsid w:val="00942743"/>
    <w:rsid w:val="00946F0D"/>
    <w:rsid w:val="00951D5E"/>
    <w:rsid w:val="00952465"/>
    <w:rsid w:val="009528D4"/>
    <w:rsid w:val="009564F5"/>
    <w:rsid w:val="0096341B"/>
    <w:rsid w:val="00964DC0"/>
    <w:rsid w:val="00965EE4"/>
    <w:rsid w:val="00970028"/>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A6496"/>
    <w:rsid w:val="009B2566"/>
    <w:rsid w:val="009B77DF"/>
    <w:rsid w:val="009C12AB"/>
    <w:rsid w:val="009C20C0"/>
    <w:rsid w:val="009C29B9"/>
    <w:rsid w:val="009C302F"/>
    <w:rsid w:val="009C6DAB"/>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27567"/>
    <w:rsid w:val="00A306ED"/>
    <w:rsid w:val="00A31B5F"/>
    <w:rsid w:val="00A31F71"/>
    <w:rsid w:val="00A371D3"/>
    <w:rsid w:val="00A37751"/>
    <w:rsid w:val="00A37B75"/>
    <w:rsid w:val="00A4184B"/>
    <w:rsid w:val="00A46EDA"/>
    <w:rsid w:val="00A522B6"/>
    <w:rsid w:val="00A52E66"/>
    <w:rsid w:val="00A541CC"/>
    <w:rsid w:val="00A54462"/>
    <w:rsid w:val="00A60670"/>
    <w:rsid w:val="00A62928"/>
    <w:rsid w:val="00A640DD"/>
    <w:rsid w:val="00A641CD"/>
    <w:rsid w:val="00A67B16"/>
    <w:rsid w:val="00A706A0"/>
    <w:rsid w:val="00A74B92"/>
    <w:rsid w:val="00A74F81"/>
    <w:rsid w:val="00A77D07"/>
    <w:rsid w:val="00A80478"/>
    <w:rsid w:val="00A84714"/>
    <w:rsid w:val="00A94D7E"/>
    <w:rsid w:val="00A95C8D"/>
    <w:rsid w:val="00A95EA0"/>
    <w:rsid w:val="00A96F5A"/>
    <w:rsid w:val="00AA0B3A"/>
    <w:rsid w:val="00AA23BA"/>
    <w:rsid w:val="00AA5726"/>
    <w:rsid w:val="00AA6558"/>
    <w:rsid w:val="00AA6F4A"/>
    <w:rsid w:val="00AB11F6"/>
    <w:rsid w:val="00AB37ED"/>
    <w:rsid w:val="00AC081D"/>
    <w:rsid w:val="00AC5733"/>
    <w:rsid w:val="00AC5A33"/>
    <w:rsid w:val="00AC766D"/>
    <w:rsid w:val="00AC7F46"/>
    <w:rsid w:val="00AD442D"/>
    <w:rsid w:val="00AD77A9"/>
    <w:rsid w:val="00AE3026"/>
    <w:rsid w:val="00AE3F48"/>
    <w:rsid w:val="00AE7D35"/>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0BC6"/>
    <w:rsid w:val="00B3357A"/>
    <w:rsid w:val="00B33C7F"/>
    <w:rsid w:val="00B3585D"/>
    <w:rsid w:val="00B35F15"/>
    <w:rsid w:val="00B37264"/>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0B6D"/>
    <w:rsid w:val="00B94DFB"/>
    <w:rsid w:val="00BA029B"/>
    <w:rsid w:val="00BA4CBF"/>
    <w:rsid w:val="00BA6F2D"/>
    <w:rsid w:val="00BA703E"/>
    <w:rsid w:val="00BB0837"/>
    <w:rsid w:val="00BB0BAC"/>
    <w:rsid w:val="00BB1626"/>
    <w:rsid w:val="00BB60EF"/>
    <w:rsid w:val="00BB6478"/>
    <w:rsid w:val="00BB6D0A"/>
    <w:rsid w:val="00BC5E0B"/>
    <w:rsid w:val="00BC6C68"/>
    <w:rsid w:val="00BD1274"/>
    <w:rsid w:val="00BD35E0"/>
    <w:rsid w:val="00BD4E8C"/>
    <w:rsid w:val="00BE0803"/>
    <w:rsid w:val="00BF3437"/>
    <w:rsid w:val="00BF45BD"/>
    <w:rsid w:val="00BF6206"/>
    <w:rsid w:val="00BF6B3B"/>
    <w:rsid w:val="00C02173"/>
    <w:rsid w:val="00C13A29"/>
    <w:rsid w:val="00C14BFB"/>
    <w:rsid w:val="00C202BF"/>
    <w:rsid w:val="00C21771"/>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2945"/>
    <w:rsid w:val="00C52FA0"/>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02B4"/>
    <w:rsid w:val="00CA3DC9"/>
    <w:rsid w:val="00CA7D39"/>
    <w:rsid w:val="00CB62E0"/>
    <w:rsid w:val="00CC1310"/>
    <w:rsid w:val="00CC1F2F"/>
    <w:rsid w:val="00CD4B44"/>
    <w:rsid w:val="00CD50EC"/>
    <w:rsid w:val="00CD7E1E"/>
    <w:rsid w:val="00CE67CF"/>
    <w:rsid w:val="00CF1B6F"/>
    <w:rsid w:val="00CF35E8"/>
    <w:rsid w:val="00D01882"/>
    <w:rsid w:val="00D02114"/>
    <w:rsid w:val="00D03A94"/>
    <w:rsid w:val="00D04D29"/>
    <w:rsid w:val="00D06F35"/>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5B1F"/>
    <w:rsid w:val="00D75FD1"/>
    <w:rsid w:val="00D8051F"/>
    <w:rsid w:val="00D80C5E"/>
    <w:rsid w:val="00D82261"/>
    <w:rsid w:val="00D82300"/>
    <w:rsid w:val="00D82E65"/>
    <w:rsid w:val="00D900A4"/>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7755"/>
    <w:rsid w:val="00E13097"/>
    <w:rsid w:val="00E13877"/>
    <w:rsid w:val="00E20592"/>
    <w:rsid w:val="00E218F5"/>
    <w:rsid w:val="00E225D8"/>
    <w:rsid w:val="00E33652"/>
    <w:rsid w:val="00E410FF"/>
    <w:rsid w:val="00E43598"/>
    <w:rsid w:val="00E52555"/>
    <w:rsid w:val="00E52CC2"/>
    <w:rsid w:val="00E53ED4"/>
    <w:rsid w:val="00E5529D"/>
    <w:rsid w:val="00E635CF"/>
    <w:rsid w:val="00E65115"/>
    <w:rsid w:val="00E660D6"/>
    <w:rsid w:val="00E7046A"/>
    <w:rsid w:val="00E7064E"/>
    <w:rsid w:val="00E73C1D"/>
    <w:rsid w:val="00E77ABE"/>
    <w:rsid w:val="00E817AC"/>
    <w:rsid w:val="00E83FE3"/>
    <w:rsid w:val="00E909DB"/>
    <w:rsid w:val="00E911AA"/>
    <w:rsid w:val="00E923D8"/>
    <w:rsid w:val="00E971A0"/>
    <w:rsid w:val="00EA0AC6"/>
    <w:rsid w:val="00EA2482"/>
    <w:rsid w:val="00EA2C50"/>
    <w:rsid w:val="00EB129D"/>
    <w:rsid w:val="00EB28B0"/>
    <w:rsid w:val="00EC484B"/>
    <w:rsid w:val="00EC4B87"/>
    <w:rsid w:val="00EC5194"/>
    <w:rsid w:val="00EC600B"/>
    <w:rsid w:val="00ED5C44"/>
    <w:rsid w:val="00ED72AF"/>
    <w:rsid w:val="00ED78FF"/>
    <w:rsid w:val="00EE03C4"/>
    <w:rsid w:val="00EE07D8"/>
    <w:rsid w:val="00EE1DCB"/>
    <w:rsid w:val="00EF17B6"/>
    <w:rsid w:val="00F00D0C"/>
    <w:rsid w:val="00F016A5"/>
    <w:rsid w:val="00F02D15"/>
    <w:rsid w:val="00F03E1C"/>
    <w:rsid w:val="00F06294"/>
    <w:rsid w:val="00F16292"/>
    <w:rsid w:val="00F25F89"/>
    <w:rsid w:val="00F2770F"/>
    <w:rsid w:val="00F32609"/>
    <w:rsid w:val="00F363B0"/>
    <w:rsid w:val="00F37ED1"/>
    <w:rsid w:val="00F42763"/>
    <w:rsid w:val="00F4380C"/>
    <w:rsid w:val="00F44C16"/>
    <w:rsid w:val="00F45E08"/>
    <w:rsid w:val="00F509A1"/>
    <w:rsid w:val="00F55560"/>
    <w:rsid w:val="00F55770"/>
    <w:rsid w:val="00F6313F"/>
    <w:rsid w:val="00F64A3F"/>
    <w:rsid w:val="00F67C47"/>
    <w:rsid w:val="00F70F0E"/>
    <w:rsid w:val="00F7465D"/>
    <w:rsid w:val="00F77BE2"/>
    <w:rsid w:val="00F80181"/>
    <w:rsid w:val="00F80C67"/>
    <w:rsid w:val="00F82BA2"/>
    <w:rsid w:val="00F905FD"/>
    <w:rsid w:val="00F90F17"/>
    <w:rsid w:val="00F948B8"/>
    <w:rsid w:val="00FA2DAC"/>
    <w:rsid w:val="00FA44E8"/>
    <w:rsid w:val="00FA6EDD"/>
    <w:rsid w:val="00FB2E22"/>
    <w:rsid w:val="00FB5348"/>
    <w:rsid w:val="00FB5796"/>
    <w:rsid w:val="00FB5FBC"/>
    <w:rsid w:val="00FB6F1A"/>
    <w:rsid w:val="00FC04EC"/>
    <w:rsid w:val="00FC0DF8"/>
    <w:rsid w:val="00FC302B"/>
    <w:rsid w:val="00FC4B8B"/>
    <w:rsid w:val="00FC5DCD"/>
    <w:rsid w:val="00FE5AD6"/>
    <w:rsid w:val="00FF04A6"/>
    <w:rsid w:val="013A1508"/>
    <w:rsid w:val="020044B1"/>
    <w:rsid w:val="06EF1CE5"/>
    <w:rsid w:val="0C4F2BA9"/>
    <w:rsid w:val="19C71013"/>
    <w:rsid w:val="1D7403AC"/>
    <w:rsid w:val="1E7352C5"/>
    <w:rsid w:val="24897DDB"/>
    <w:rsid w:val="27CB1FDF"/>
    <w:rsid w:val="2C02237E"/>
    <w:rsid w:val="2CF25D23"/>
    <w:rsid w:val="307A7AF5"/>
    <w:rsid w:val="38AB7314"/>
    <w:rsid w:val="392D778D"/>
    <w:rsid w:val="41007D0B"/>
    <w:rsid w:val="41A24945"/>
    <w:rsid w:val="423053ED"/>
    <w:rsid w:val="44C91833"/>
    <w:rsid w:val="4A56483B"/>
    <w:rsid w:val="4D1473C4"/>
    <w:rsid w:val="4D9036ED"/>
    <w:rsid w:val="5E3E6996"/>
    <w:rsid w:val="60E3062F"/>
    <w:rsid w:val="64AA11F4"/>
    <w:rsid w:val="65965B7A"/>
    <w:rsid w:val="65DF45BB"/>
    <w:rsid w:val="661C136B"/>
    <w:rsid w:val="67423054"/>
    <w:rsid w:val="679E5E52"/>
    <w:rsid w:val="6BB42046"/>
    <w:rsid w:val="7202032D"/>
    <w:rsid w:val="745F1E4B"/>
    <w:rsid w:val="799823A3"/>
    <w:rsid w:val="7AB9773A"/>
    <w:rsid w:val="7EF464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qFormat="1"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3"/>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4"/>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customStyle="1" w:styleId="2">
    <w:name w:val="列出段落1"/>
    <w:basedOn w:val="1"/>
    <w:autoRedefine/>
    <w:qFormat/>
    <w:uiPriority w:val="99"/>
    <w:pPr>
      <w:ind w:firstLine="420" w:firstLineChars="200"/>
    </w:pPr>
  </w:style>
  <w:style w:type="paragraph" w:styleId="7">
    <w:name w:val="Normal Indent"/>
    <w:basedOn w:val="1"/>
    <w:autoRedefine/>
    <w:qFormat/>
    <w:uiPriority w:val="0"/>
    <w:pPr>
      <w:ind w:firstLine="425"/>
    </w:pPr>
    <w:rPr>
      <w:rFonts w:ascii="Times New Roman" w:hAnsi="Times New Roman" w:eastAsia="宋体" w:cs="Times New Roman"/>
      <w:szCs w:val="20"/>
    </w:rPr>
  </w:style>
  <w:style w:type="paragraph" w:styleId="8">
    <w:name w:val="caption"/>
    <w:basedOn w:val="1"/>
    <w:next w:val="1"/>
    <w:autoRedefine/>
    <w:qFormat/>
    <w:uiPriority w:val="0"/>
    <w:rPr>
      <w:rFonts w:ascii="Arial" w:hAnsi="Arial" w:eastAsia="黑体" w:cs="Arial"/>
      <w:sz w:val="20"/>
      <w:szCs w:val="20"/>
    </w:rPr>
  </w:style>
  <w:style w:type="paragraph" w:styleId="9">
    <w:name w:val="index 5"/>
    <w:basedOn w:val="1"/>
    <w:next w:val="1"/>
    <w:autoRedefine/>
    <w:unhideWhenUsed/>
    <w:qFormat/>
    <w:uiPriority w:val="99"/>
    <w:pPr>
      <w:ind w:left="800" w:leftChars="800"/>
    </w:pPr>
  </w:style>
  <w:style w:type="paragraph" w:styleId="10">
    <w:name w:val="Body Text 3"/>
    <w:basedOn w:val="1"/>
    <w:link w:val="35"/>
    <w:autoRedefine/>
    <w:qFormat/>
    <w:uiPriority w:val="0"/>
    <w:rPr>
      <w:rFonts w:ascii="Times New Roman" w:hAnsi="Times New Roman" w:eastAsia="宋体" w:cs="Times New Roman"/>
      <w:color w:val="FF0000"/>
      <w:sz w:val="24"/>
      <w:szCs w:val="24"/>
    </w:rPr>
  </w:style>
  <w:style w:type="paragraph" w:styleId="11">
    <w:name w:val="Body Text"/>
    <w:basedOn w:val="1"/>
    <w:link w:val="36"/>
    <w:autoRedefine/>
    <w:unhideWhenUsed/>
    <w:qFormat/>
    <w:uiPriority w:val="99"/>
    <w:pPr>
      <w:spacing w:after="120"/>
    </w:pPr>
  </w:style>
  <w:style w:type="paragraph" w:styleId="12">
    <w:name w:val="Body Text Indent"/>
    <w:basedOn w:val="1"/>
    <w:link w:val="38"/>
    <w:autoRedefine/>
    <w:qFormat/>
    <w:uiPriority w:val="0"/>
    <w:pPr>
      <w:adjustRightInd w:val="0"/>
      <w:spacing w:after="120" w:line="360" w:lineRule="atLeast"/>
      <w:ind w:left="420" w:leftChars="200"/>
      <w:jc w:val="left"/>
      <w:textAlignment w:val="baseline"/>
    </w:pPr>
    <w:rPr>
      <w:kern w:val="0"/>
      <w:sz w:val="24"/>
      <w:szCs w:val="20"/>
    </w:rPr>
  </w:style>
  <w:style w:type="paragraph" w:styleId="13">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9"/>
    <w:autoRedefine/>
    <w:qFormat/>
    <w:uiPriority w:val="0"/>
    <w:rPr>
      <w:rFonts w:eastAsia="宋体"/>
      <w:sz w:val="24"/>
    </w:rPr>
  </w:style>
  <w:style w:type="paragraph" w:styleId="16">
    <w:name w:val="Date"/>
    <w:basedOn w:val="1"/>
    <w:next w:val="1"/>
    <w:link w:val="40"/>
    <w:autoRedefine/>
    <w:unhideWhenUsed/>
    <w:qFormat/>
    <w:uiPriority w:val="99"/>
    <w:pPr>
      <w:ind w:left="100" w:leftChars="2500"/>
    </w:pPr>
  </w:style>
  <w:style w:type="paragraph" w:styleId="17">
    <w:name w:val="Balloon Text"/>
    <w:basedOn w:val="1"/>
    <w:link w:val="42"/>
    <w:autoRedefine/>
    <w:semiHidden/>
    <w:unhideWhenUsed/>
    <w:qFormat/>
    <w:uiPriority w:val="99"/>
    <w:rPr>
      <w:sz w:val="18"/>
      <w:szCs w:val="18"/>
    </w:rPr>
  </w:style>
  <w:style w:type="paragraph" w:styleId="18">
    <w:name w:val="footer"/>
    <w:basedOn w:val="1"/>
    <w:link w:val="43"/>
    <w:autoRedefine/>
    <w:unhideWhenUsed/>
    <w:qFormat/>
    <w:uiPriority w:val="0"/>
    <w:pPr>
      <w:tabs>
        <w:tab w:val="center" w:pos="4153"/>
        <w:tab w:val="right" w:pos="8306"/>
      </w:tabs>
      <w:snapToGrid w:val="0"/>
      <w:jc w:val="left"/>
    </w:pPr>
    <w:rPr>
      <w:sz w:val="18"/>
      <w:szCs w:val="18"/>
    </w:rPr>
  </w:style>
  <w:style w:type="paragraph" w:styleId="19">
    <w:name w:val="header"/>
    <w:basedOn w:val="1"/>
    <w:link w:val="4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Body Text 2"/>
    <w:basedOn w:val="1"/>
    <w:link w:val="61"/>
    <w:autoRedefine/>
    <w:semiHidden/>
    <w:unhideWhenUsed/>
    <w:qFormat/>
    <w:uiPriority w:val="99"/>
    <w:pPr>
      <w:spacing w:after="120" w:line="480" w:lineRule="auto"/>
    </w:pPr>
  </w:style>
  <w:style w:type="paragraph" w:styleId="22">
    <w:name w:val="HTML Preformatted"/>
    <w:basedOn w:val="1"/>
    <w:link w:val="46"/>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autoRedefine/>
    <w:qFormat/>
    <w:uiPriority w:val="99"/>
    <w:rPr>
      <w:rFonts w:ascii="Calibri" w:hAnsi="Calibri" w:eastAsia="宋体" w:cs="Times New Roman"/>
      <w:sz w:val="24"/>
      <w:szCs w:val="24"/>
    </w:rPr>
  </w:style>
  <w:style w:type="paragraph" w:styleId="24">
    <w:name w:val="Body Text First Indent"/>
    <w:basedOn w:val="11"/>
    <w:link w:val="47"/>
    <w:autoRedefine/>
    <w:qFormat/>
    <w:uiPriority w:val="0"/>
    <w:pPr>
      <w:ind w:firstLine="420" w:firstLineChars="100"/>
    </w:pPr>
    <w:rPr>
      <w:rFonts w:ascii="宋体" w:hAnsi="Times New Roman" w:eastAsia="宋体" w:cs="Times New Roman"/>
      <w:kern w:val="0"/>
      <w:sz w:val="34"/>
      <w:szCs w:val="20"/>
    </w:rPr>
  </w:style>
  <w:style w:type="table" w:styleId="26">
    <w:name w:val="Table Grid"/>
    <w:basedOn w:val="25"/>
    <w:autoRedefine/>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Strong"/>
    <w:basedOn w:val="27"/>
    <w:autoRedefine/>
    <w:qFormat/>
    <w:uiPriority w:val="22"/>
    <w:rPr>
      <w:b/>
      <w:bCs/>
    </w:rPr>
  </w:style>
  <w:style w:type="character" w:styleId="29">
    <w:name w:val="Emphasis"/>
    <w:basedOn w:val="27"/>
    <w:autoRedefine/>
    <w:qFormat/>
    <w:uiPriority w:val="20"/>
    <w:rPr>
      <w:i/>
      <w:iCs/>
    </w:rPr>
  </w:style>
  <w:style w:type="character" w:styleId="30">
    <w:name w:val="Hyperlink"/>
    <w:basedOn w:val="27"/>
    <w:autoRedefine/>
    <w:unhideWhenUsed/>
    <w:qFormat/>
    <w:uiPriority w:val="0"/>
    <w:rPr>
      <w:color w:val="0000FF"/>
      <w:u w:val="single"/>
    </w:rPr>
  </w:style>
  <w:style w:type="character" w:customStyle="1" w:styleId="31">
    <w:name w:val="标题 1 Char"/>
    <w:basedOn w:val="27"/>
    <w:link w:val="3"/>
    <w:autoRedefine/>
    <w:qFormat/>
    <w:uiPriority w:val="0"/>
    <w:rPr>
      <w:rFonts w:ascii="Calibri" w:hAnsi="Calibri" w:eastAsia="宋体" w:cs="Times New Roman"/>
      <w:b/>
      <w:bCs/>
      <w:kern w:val="44"/>
      <w:sz w:val="44"/>
      <w:szCs w:val="44"/>
    </w:rPr>
  </w:style>
  <w:style w:type="character" w:customStyle="1" w:styleId="32">
    <w:name w:val="标题 2 Char"/>
    <w:basedOn w:val="27"/>
    <w:link w:val="4"/>
    <w:autoRedefine/>
    <w:qFormat/>
    <w:uiPriority w:val="0"/>
    <w:rPr>
      <w:rFonts w:ascii="Arial" w:hAnsi="Arial" w:eastAsia="黑体" w:cs="Times New Roman"/>
      <w:b/>
      <w:bCs/>
      <w:sz w:val="32"/>
      <w:szCs w:val="32"/>
    </w:rPr>
  </w:style>
  <w:style w:type="character" w:customStyle="1" w:styleId="33">
    <w:name w:val="标题 3 Char"/>
    <w:basedOn w:val="27"/>
    <w:link w:val="5"/>
    <w:autoRedefine/>
    <w:qFormat/>
    <w:uiPriority w:val="0"/>
    <w:rPr>
      <w:rFonts w:ascii="宋体" w:hAnsi="宋体" w:eastAsia="宋体" w:cs="Times New Roman"/>
      <w:b/>
      <w:color w:val="000000"/>
      <w:kern w:val="0"/>
      <w:sz w:val="24"/>
      <w:szCs w:val="20"/>
      <w:lang w:val="en-GB"/>
    </w:rPr>
  </w:style>
  <w:style w:type="character" w:customStyle="1" w:styleId="34">
    <w:name w:val="标题 4 Char"/>
    <w:basedOn w:val="27"/>
    <w:link w:val="6"/>
    <w:autoRedefine/>
    <w:qFormat/>
    <w:uiPriority w:val="0"/>
    <w:rPr>
      <w:rFonts w:ascii="Arial" w:hAnsi="Arial" w:eastAsia="黑体" w:cs="Times New Roman"/>
      <w:b/>
      <w:bCs/>
      <w:sz w:val="28"/>
      <w:szCs w:val="28"/>
    </w:rPr>
  </w:style>
  <w:style w:type="character" w:customStyle="1" w:styleId="35">
    <w:name w:val="正文文本 3 Char"/>
    <w:basedOn w:val="27"/>
    <w:link w:val="10"/>
    <w:autoRedefine/>
    <w:qFormat/>
    <w:uiPriority w:val="0"/>
    <w:rPr>
      <w:rFonts w:ascii="Times New Roman" w:hAnsi="Times New Roman" w:eastAsia="宋体" w:cs="Times New Roman"/>
      <w:color w:val="FF0000"/>
      <w:sz w:val="24"/>
      <w:szCs w:val="24"/>
    </w:rPr>
  </w:style>
  <w:style w:type="character" w:customStyle="1" w:styleId="36">
    <w:name w:val="正文文本 Char"/>
    <w:basedOn w:val="27"/>
    <w:link w:val="11"/>
    <w:autoRedefine/>
    <w:qFormat/>
    <w:uiPriority w:val="99"/>
  </w:style>
  <w:style w:type="character" w:customStyle="1" w:styleId="37">
    <w:name w:val="正文文本缩进 Char"/>
    <w:basedOn w:val="27"/>
    <w:autoRedefine/>
    <w:qFormat/>
    <w:uiPriority w:val="0"/>
  </w:style>
  <w:style w:type="character" w:customStyle="1" w:styleId="38">
    <w:name w:val="正文文本缩进 Char1"/>
    <w:basedOn w:val="27"/>
    <w:link w:val="12"/>
    <w:autoRedefine/>
    <w:qFormat/>
    <w:uiPriority w:val="0"/>
    <w:rPr>
      <w:kern w:val="0"/>
      <w:sz w:val="24"/>
      <w:szCs w:val="20"/>
    </w:rPr>
  </w:style>
  <w:style w:type="character" w:customStyle="1" w:styleId="39">
    <w:name w:val="纯文本 Char"/>
    <w:basedOn w:val="27"/>
    <w:link w:val="15"/>
    <w:autoRedefine/>
    <w:qFormat/>
    <w:uiPriority w:val="0"/>
    <w:rPr>
      <w:rFonts w:eastAsia="宋体"/>
      <w:sz w:val="24"/>
    </w:rPr>
  </w:style>
  <w:style w:type="character" w:customStyle="1" w:styleId="40">
    <w:name w:val="日期 Char"/>
    <w:basedOn w:val="27"/>
    <w:link w:val="16"/>
    <w:autoRedefine/>
    <w:qFormat/>
    <w:uiPriority w:val="99"/>
  </w:style>
  <w:style w:type="character" w:customStyle="1" w:styleId="41">
    <w:name w:val="批注框文本 Char"/>
    <w:basedOn w:val="27"/>
    <w:autoRedefine/>
    <w:semiHidden/>
    <w:qFormat/>
    <w:uiPriority w:val="99"/>
    <w:rPr>
      <w:sz w:val="18"/>
      <w:szCs w:val="18"/>
    </w:rPr>
  </w:style>
  <w:style w:type="character" w:customStyle="1" w:styleId="42">
    <w:name w:val="批注框文本 Char1"/>
    <w:basedOn w:val="27"/>
    <w:link w:val="17"/>
    <w:autoRedefine/>
    <w:semiHidden/>
    <w:qFormat/>
    <w:uiPriority w:val="99"/>
    <w:rPr>
      <w:sz w:val="18"/>
      <w:szCs w:val="18"/>
    </w:rPr>
  </w:style>
  <w:style w:type="character" w:customStyle="1" w:styleId="43">
    <w:name w:val="页脚 Char"/>
    <w:basedOn w:val="27"/>
    <w:link w:val="18"/>
    <w:autoRedefine/>
    <w:qFormat/>
    <w:uiPriority w:val="0"/>
    <w:rPr>
      <w:sz w:val="18"/>
      <w:szCs w:val="18"/>
    </w:rPr>
  </w:style>
  <w:style w:type="character" w:customStyle="1" w:styleId="44">
    <w:name w:val="页眉 Char"/>
    <w:basedOn w:val="27"/>
    <w:link w:val="19"/>
    <w:autoRedefine/>
    <w:qFormat/>
    <w:uiPriority w:val="99"/>
    <w:rPr>
      <w:sz w:val="18"/>
      <w:szCs w:val="18"/>
    </w:rPr>
  </w:style>
  <w:style w:type="character" w:customStyle="1" w:styleId="45">
    <w:name w:val="HTML 预设格式 Char"/>
    <w:basedOn w:val="27"/>
    <w:autoRedefine/>
    <w:semiHidden/>
    <w:qFormat/>
    <w:uiPriority w:val="99"/>
    <w:rPr>
      <w:rFonts w:ascii="宋体" w:hAnsi="宋体" w:eastAsia="宋体" w:cs="宋体"/>
      <w:kern w:val="0"/>
      <w:sz w:val="24"/>
      <w:szCs w:val="24"/>
    </w:rPr>
  </w:style>
  <w:style w:type="character" w:customStyle="1" w:styleId="46">
    <w:name w:val="HTML 预设格式 Char1"/>
    <w:basedOn w:val="27"/>
    <w:link w:val="22"/>
    <w:autoRedefine/>
    <w:semiHidden/>
    <w:qFormat/>
    <w:uiPriority w:val="99"/>
    <w:rPr>
      <w:rFonts w:ascii="Courier New" w:hAnsi="Courier New" w:cs="Courier New"/>
      <w:sz w:val="20"/>
      <w:szCs w:val="20"/>
    </w:rPr>
  </w:style>
  <w:style w:type="character" w:customStyle="1" w:styleId="47">
    <w:name w:val="正文首行缩进 Char"/>
    <w:basedOn w:val="36"/>
    <w:link w:val="24"/>
    <w:autoRedefine/>
    <w:qFormat/>
    <w:uiPriority w:val="0"/>
    <w:rPr>
      <w:rFonts w:ascii="宋体" w:hAnsi="Times New Roman" w:eastAsia="宋体" w:cs="Times New Roman"/>
      <w:kern w:val="0"/>
      <w:sz w:val="34"/>
      <w:szCs w:val="20"/>
    </w:rPr>
  </w:style>
  <w:style w:type="character" w:customStyle="1" w:styleId="48">
    <w:name w:val="纯文本 Char1"/>
    <w:autoRedefine/>
    <w:qFormat/>
    <w:uiPriority w:val="0"/>
    <w:rPr>
      <w:rFonts w:eastAsia="宋体"/>
      <w:sz w:val="24"/>
    </w:rPr>
  </w:style>
  <w:style w:type="paragraph" w:customStyle="1" w:styleId="49">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0">
    <w:name w:val="List Paragraph"/>
    <w:basedOn w:val="1"/>
    <w:unhideWhenUsed/>
    <w:qFormat/>
    <w:uiPriority w:val="34"/>
    <w:pPr>
      <w:ind w:firstLine="420" w:firstLineChars="200"/>
    </w:pPr>
  </w:style>
  <w:style w:type="character" w:customStyle="1" w:styleId="51">
    <w:name w:val="正文文本缩进 Char Char"/>
    <w:link w:val="52"/>
    <w:autoRedefine/>
    <w:qFormat/>
    <w:uiPriority w:val="0"/>
    <w:rPr>
      <w:rFonts w:ascii="宋体"/>
      <w:sz w:val="24"/>
    </w:rPr>
  </w:style>
  <w:style w:type="paragraph" w:customStyle="1" w:styleId="52">
    <w:name w:val="正文文本缩进1"/>
    <w:basedOn w:val="1"/>
    <w:link w:val="51"/>
    <w:autoRedefine/>
    <w:qFormat/>
    <w:uiPriority w:val="0"/>
    <w:pPr>
      <w:spacing w:line="360" w:lineRule="auto"/>
      <w:ind w:firstLine="480" w:firstLineChars="200"/>
    </w:pPr>
    <w:rPr>
      <w:rFonts w:ascii="宋体"/>
      <w:sz w:val="24"/>
    </w:rPr>
  </w:style>
  <w:style w:type="character" w:customStyle="1" w:styleId="53">
    <w:name w:val="日期 Char Char"/>
    <w:link w:val="54"/>
    <w:autoRedefine/>
    <w:qFormat/>
    <w:uiPriority w:val="0"/>
    <w:rPr>
      <w:sz w:val="24"/>
    </w:rPr>
  </w:style>
  <w:style w:type="paragraph" w:customStyle="1" w:styleId="54">
    <w:name w:val="日期1"/>
    <w:basedOn w:val="1"/>
    <w:next w:val="1"/>
    <w:link w:val="53"/>
    <w:autoRedefine/>
    <w:qFormat/>
    <w:uiPriority w:val="0"/>
    <w:rPr>
      <w:sz w:val="24"/>
    </w:rPr>
  </w:style>
  <w:style w:type="paragraph" w:customStyle="1" w:styleId="55">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6">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7">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8">
    <w:name w:val="edittexttarea"/>
    <w:basedOn w:val="27"/>
    <w:autoRedefine/>
    <w:qFormat/>
    <w:uiPriority w:val="0"/>
  </w:style>
  <w:style w:type="paragraph" w:customStyle="1" w:styleId="59">
    <w:name w:val="样式 标题 1 + 四号 居中 段前: 12 磅 段后: 12 磅 行距: 单倍行距"/>
    <w:basedOn w:val="3"/>
    <w:autoRedefine/>
    <w:qFormat/>
    <w:uiPriority w:val="0"/>
    <w:pPr>
      <w:spacing w:before="240" w:after="240" w:line="240" w:lineRule="auto"/>
      <w:ind w:left="-288"/>
      <w:jc w:val="center"/>
    </w:pPr>
    <w:rPr>
      <w:rFonts w:cs="宋体"/>
      <w:sz w:val="28"/>
      <w:szCs w:val="20"/>
    </w:rPr>
  </w:style>
  <w:style w:type="paragraph" w:customStyle="1" w:styleId="60">
    <w:name w:val="样式 样式 样式 样式 标题 2 + 宋体 五号 非加粗 黑色 + 段前: 6 磅 段后: 0 磅 行距: 单倍行距 + 段前:..."/>
    <w:basedOn w:val="1"/>
    <w:autoRedefine/>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1">
    <w:name w:val="正文文本 2 Char"/>
    <w:basedOn w:val="27"/>
    <w:link w:val="21"/>
    <w:autoRedefine/>
    <w:semiHidden/>
    <w:qFormat/>
    <w:uiPriority w:val="99"/>
    <w:rPr>
      <w:kern w:val="2"/>
      <w:sz w:val="21"/>
      <w:szCs w:val="22"/>
    </w:rPr>
  </w:style>
  <w:style w:type="character" w:customStyle="1" w:styleId="62">
    <w:name w:val="font122"/>
    <w:basedOn w:val="27"/>
    <w:autoRedefine/>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6B3DD-3969-44D6-B8C9-935BD8E0F3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88</Pages>
  <Words>7294</Words>
  <Characters>41582</Characters>
  <Lines>346</Lines>
  <Paragraphs>97</Paragraphs>
  <TotalTime>7</TotalTime>
  <ScaleCrop>false</ScaleCrop>
  <LinksUpToDate>false</LinksUpToDate>
  <CharactersWithSpaces>48779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2021-10-25T09:31:00Z</dcterms:created>
  <dc:creator>许昌市公共资源交易中心:孟莉</dc:creator>
  <cp:lastModifiedBy>song</cp:lastModifiedBy>
  <cp:lastPrinted>2021-05-12T07:15:00Z</cp:lastPrinted>
  <dcterms:modified xsi:type="dcterms:W3CDTF">2023-12-29T01:37:46Z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5880AFD1B7C5407DAC1A471E794A0553</vt:lpwstr>
  </property>
</Properties>
</file>