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bCs/>
          <w:color w:val="auto"/>
          <w:sz w:val="44"/>
          <w:szCs w:val="44"/>
        </w:rPr>
      </w:pPr>
    </w:p>
    <w:p>
      <w:pPr>
        <w:spacing w:line="600" w:lineRule="exact"/>
        <w:jc w:val="center"/>
        <w:rPr>
          <w:rFonts w:asciiTheme="minorEastAsia" w:hAnsiTheme="minorEastAsia"/>
          <w:b/>
          <w:bCs/>
          <w:color w:val="auto"/>
          <w:sz w:val="44"/>
          <w:szCs w:val="44"/>
        </w:rPr>
      </w:pPr>
    </w:p>
    <w:p>
      <w:pPr>
        <w:spacing w:line="600" w:lineRule="exact"/>
        <w:jc w:val="center"/>
        <w:rPr>
          <w:rFonts w:asciiTheme="minorEastAsia" w:hAnsiTheme="minorEastAsia"/>
          <w:b/>
          <w:bCs/>
          <w:color w:val="auto"/>
          <w:sz w:val="44"/>
          <w:szCs w:val="44"/>
        </w:rPr>
      </w:pPr>
      <w:r>
        <w:rPr>
          <w:rFonts w:hint="eastAsia" w:asciiTheme="minorEastAsia" w:hAnsiTheme="minorEastAsia"/>
          <w:b/>
          <w:bCs/>
          <w:color w:val="auto"/>
          <w:sz w:val="44"/>
          <w:szCs w:val="44"/>
        </w:rPr>
        <w:t>禹州市自然资源和规划局</w:t>
      </w:r>
    </w:p>
    <w:p>
      <w:pPr>
        <w:spacing w:line="600" w:lineRule="exact"/>
        <w:jc w:val="center"/>
        <w:rPr>
          <w:b/>
          <w:bCs/>
          <w:color w:val="auto"/>
          <w:sz w:val="44"/>
          <w:szCs w:val="44"/>
        </w:rPr>
      </w:pPr>
      <w:r>
        <w:rPr>
          <w:rFonts w:hint="eastAsia" w:asciiTheme="minorEastAsia" w:hAnsiTheme="minorEastAsia"/>
          <w:b/>
          <w:bCs/>
          <w:color w:val="auto"/>
          <w:sz w:val="44"/>
          <w:szCs w:val="44"/>
        </w:rPr>
        <w:t>禹州市地质灾害隐患点监测预警项目</w:t>
      </w:r>
    </w:p>
    <w:p>
      <w:pPr>
        <w:spacing w:line="600" w:lineRule="exact"/>
        <w:jc w:val="center"/>
        <w:rPr>
          <w:b/>
          <w:bCs/>
          <w:color w:val="auto"/>
          <w:sz w:val="44"/>
          <w:szCs w:val="44"/>
        </w:rPr>
      </w:pPr>
    </w:p>
    <w:p>
      <w:pPr>
        <w:rPr>
          <w:rFonts w:ascii="微软简隶书" w:eastAsia="微软简隶书"/>
          <w:color w:val="auto"/>
        </w:rPr>
      </w:pPr>
    </w:p>
    <w:p>
      <w:pPr>
        <w:pStyle w:val="28"/>
        <w:ind w:left="420" w:firstLine="480"/>
        <w:rPr>
          <w:rFonts w:hint="default"/>
          <w:color w:val="auto"/>
          <w:lang w:eastAsia="zh-CN"/>
        </w:rPr>
      </w:pPr>
    </w:p>
    <w:p>
      <w:pPr>
        <w:rPr>
          <w:color w:val="auto"/>
        </w:rPr>
      </w:pPr>
    </w:p>
    <w:p>
      <w:pPr>
        <w:pStyle w:val="26"/>
        <w:ind w:firstLine="0" w:firstLineChars="0"/>
        <w:rPr>
          <w:color w:val="auto"/>
        </w:rPr>
      </w:pPr>
      <w:bookmarkStart w:id="83" w:name="_GoBack"/>
      <w:bookmarkEnd w:id="83"/>
    </w:p>
    <w:p>
      <w:pPr>
        <w:rPr>
          <w:rFonts w:ascii="华文隶书" w:eastAsia="华文隶书"/>
          <w:bCs/>
          <w:color w:val="auto"/>
          <w:w w:val="90"/>
          <w:sz w:val="44"/>
          <w:szCs w:val="44"/>
        </w:rPr>
      </w:pPr>
    </w:p>
    <w:p>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7"/>
        <w:ind w:firstLine="0" w:firstLineChars="0"/>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DLT</w:t>
      </w:r>
      <w:r>
        <w:rPr>
          <w:rFonts w:hint="eastAsia" w:ascii="宋体" w:hAnsi="宋体" w:eastAsia="宋体" w:cstheme="majorEastAsia"/>
          <w:b/>
          <w:bCs/>
          <w:color w:val="auto"/>
          <w:sz w:val="36"/>
          <w:szCs w:val="36"/>
        </w:rPr>
        <w:t>2024</w:t>
      </w:r>
      <w:r>
        <w:rPr>
          <w:rFonts w:hint="eastAsia" w:ascii="宋体" w:hAnsi="宋体" w:eastAsia="宋体" w:cstheme="majorEastAsia"/>
          <w:b/>
          <w:bCs/>
          <w:color w:val="auto"/>
          <w:sz w:val="36"/>
          <w:szCs w:val="36"/>
          <w:lang w:val="en-US" w:eastAsia="zh-CN"/>
        </w:rPr>
        <w:t>020</w:t>
      </w:r>
      <w:r>
        <w:rPr>
          <w:rFonts w:hint="eastAsia" w:ascii="宋体" w:hAnsi="宋体" w:eastAsia="宋体" w:cstheme="majorEastAsia"/>
          <w:b/>
          <w:bCs/>
          <w:color w:val="auto"/>
          <w:sz w:val="36"/>
          <w:szCs w:val="36"/>
        </w:rPr>
        <w:t xml:space="preserve"> </w:t>
      </w:r>
    </w:p>
    <w:p>
      <w:pPr>
        <w:spacing w:line="720" w:lineRule="auto"/>
        <w:ind w:firstLine="1446" w:firstLineChars="400"/>
        <w:jc w:val="left"/>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采购单位：禹州市自然资源和规划局</w:t>
      </w:r>
    </w:p>
    <w:p>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代理机构：河南天欧工程管理有限公司</w:t>
      </w:r>
      <w:r>
        <w:rPr>
          <w:rFonts w:ascii="宋体" w:hAnsi="宋体" w:eastAsia="宋体" w:cstheme="majorEastAsia"/>
          <w:b/>
          <w:bCs/>
          <w:color w:val="auto"/>
          <w:sz w:val="36"/>
          <w:szCs w:val="36"/>
        </w:rPr>
        <w:tab/>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二〇二四年四月</w:t>
      </w:r>
    </w:p>
    <w:p>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pStyle w:val="39"/>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 xml:space="preserve">禹州市自然资源和规划局禹州市地质灾害隐患点监测预警项目的潜在投标人应在谈判响应截止时间前均可登录《全国公共资源交易平台（河南省·许昌市）》“投标人/供应商登录”入口（http://ggzy.xuchang.gov.cn:8088/ggzy/）自行免费下载获取招标文件，并于2024年05月  </w:t>
      </w:r>
      <w:r>
        <w:rPr>
          <w:rFonts w:hint="eastAsia" w:hAnsi="宋体"/>
          <w:color w:val="auto"/>
          <w:szCs w:val="21"/>
          <w:lang w:val="en-US" w:eastAsia="zh-CN"/>
        </w:rPr>
        <w:t>09</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w:t>
      </w:r>
      <w:r>
        <w:rPr>
          <w:rFonts w:hint="eastAsia" w:hAnsi="宋体"/>
          <w:color w:val="auto"/>
          <w:szCs w:val="21"/>
          <w:lang w:val="en-US" w:eastAsia="zh-CN"/>
        </w:rPr>
        <w:t>30</w:t>
      </w:r>
      <w:r>
        <w:rPr>
          <w:rFonts w:hint="eastAsia" w:hAnsi="宋体"/>
          <w:color w:val="auto"/>
          <w:szCs w:val="21"/>
        </w:rPr>
        <w:t>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1.项目编号：YZCG-DLT20240</w:t>
      </w:r>
      <w:r>
        <w:rPr>
          <w:rFonts w:hint="eastAsia" w:hAnsi="宋体"/>
          <w:color w:val="auto"/>
          <w:szCs w:val="21"/>
          <w:lang w:val="en-US" w:eastAsia="zh-CN"/>
        </w:rPr>
        <w:t>20</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2.项目名称：禹州市自然资源和规划局禹州市地质灾害隐患点监测预警项目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4.预算金额：182.52万元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 xml:space="preserve">最高限价：182.52万元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60" w:lineRule="auto"/>
        <w:ind w:firstLine="420" w:firstLineChars="200"/>
        <w:contextualSpacing/>
        <w:rPr>
          <w:rFonts w:hAnsi="宋体"/>
          <w:color w:val="auto"/>
          <w:szCs w:val="21"/>
        </w:rPr>
      </w:pPr>
      <w:r>
        <w:rPr>
          <w:rFonts w:hint="eastAsia" w:hAnsi="宋体" w:eastAsia="宋体"/>
          <w:color w:val="auto"/>
          <w:szCs w:val="21"/>
        </w:rPr>
        <w:t>禹州市自然资源和规划局禹州市地质灾害隐患点监测预警项目</w:t>
      </w:r>
      <w:r>
        <w:rPr>
          <w:rFonts w:hint="eastAsia" w:ascii="宋体" w:hAnsi="宋体" w:eastAsia="宋体" w:cs="宋体"/>
          <w:color w:val="auto"/>
          <w:kern w:val="0"/>
          <w:szCs w:val="21"/>
          <w:lang w:bidi="ar"/>
        </w:rPr>
        <w:t>，共划分一个标段（详见谈判文件）</w:t>
      </w:r>
      <w:r>
        <w:rPr>
          <w:rFonts w:hint="eastAsia" w:hAnsi="宋体"/>
          <w:color w:val="auto"/>
          <w:szCs w:val="21"/>
        </w:rPr>
        <w:t>。</w:t>
      </w:r>
    </w:p>
    <w:p>
      <w:pPr>
        <w:tabs>
          <w:tab w:val="left" w:pos="7095"/>
        </w:tabs>
        <w:spacing w:line="360" w:lineRule="auto"/>
        <w:ind w:firstLine="420" w:firstLineChars="200"/>
        <w:contextualSpacing/>
        <w:rPr>
          <w:rFonts w:ascii="宋体" w:hAnsi="宋体" w:eastAsia="宋体" w:cs="宋体"/>
          <w:color w:val="auto"/>
          <w:szCs w:val="21"/>
          <w:shd w:val="clear" w:color="auto" w:fill="FFFFFF"/>
        </w:rPr>
      </w:pPr>
      <w:r>
        <w:rPr>
          <w:rFonts w:hint="eastAsia" w:hAnsi="宋体"/>
          <w:color w:val="auto"/>
          <w:szCs w:val="21"/>
        </w:rPr>
        <w:t>6.合同履行期限：</w:t>
      </w:r>
      <w:r>
        <w:rPr>
          <w:rFonts w:hint="eastAsia" w:hAnsi="宋体"/>
          <w:color w:val="auto"/>
          <w:szCs w:val="21"/>
        </w:rPr>
        <w:t>合同签订后20日历天内完成</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w:t>
      </w:r>
      <w:r>
        <w:rPr>
          <w:rFonts w:hint="eastAsia" w:hAnsi="宋体"/>
          <w:color w:val="auto"/>
          <w:szCs w:val="21"/>
        </w:rPr>
        <w:t>本项目是否接受联合体投标：</w:t>
      </w:r>
      <w:r>
        <w:rPr>
          <w:rFonts w:hint="eastAsia" w:hAnsi="宋体"/>
          <w:color w:val="auto"/>
          <w:szCs w:val="21"/>
        </w:rPr>
        <w:t>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9.是否专门面向中小企业：否</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宋体" w:hAnsi="宋体" w:eastAsia="宋体" w:cs="宋体"/>
          <w:color w:val="auto"/>
          <w:kern w:val="0"/>
          <w:szCs w:val="21"/>
          <w:lang w:bidi="ar"/>
        </w:rPr>
        <w:t>本项目不专门面向中、小、微型企业采购。</w:t>
      </w:r>
    </w:p>
    <w:p>
      <w:pPr>
        <w:spacing w:line="360" w:lineRule="auto"/>
        <w:ind w:firstLine="420" w:firstLineChars="200"/>
        <w:rPr>
          <w:rFonts w:hAnsi="宋体"/>
          <w:color w:val="auto"/>
          <w:szCs w:val="21"/>
        </w:rPr>
      </w:pPr>
      <w:r>
        <w:rPr>
          <w:rFonts w:hint="eastAsia" w:hAnsi="宋体"/>
          <w:color w:val="auto"/>
          <w:szCs w:val="21"/>
        </w:rPr>
        <w:t>3.本项目的特定资格要求：供应商须同时具备地质灾害防治勘查设计甲级资质、安全生产许可证；拟派项目负责人须具有水工环地质类专业高级或以上职称，技术负责人须具有水工环或地质类专业高级及以上职称和注册岩土工程师证书。</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1、响应文件提交截止时间及谈判响应截止时间、谈判时间：2024年</w:t>
      </w:r>
      <w:r>
        <w:rPr>
          <w:rFonts w:hint="eastAsia" w:ascii="宋体" w:hAnsi="宋体" w:eastAsia="宋体" w:cs="宋体"/>
          <w:color w:val="auto"/>
          <w:szCs w:val="21"/>
          <w:shd w:val="clear" w:color="auto" w:fill="FFFFFF"/>
          <w:lang w:val="en-US" w:eastAsia="zh-CN"/>
        </w:rPr>
        <w:t>5</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9</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w:t>
      </w:r>
      <w:r>
        <w:rPr>
          <w:rFonts w:hint="eastAsia" w:ascii="宋体" w:hAnsi="宋体" w:eastAsia="宋体" w:cs="宋体"/>
          <w:color w:val="auto"/>
          <w:szCs w:val="21"/>
          <w:shd w:val="clear" w:color="auto" w:fill="FFFFFF"/>
        </w:rPr>
        <w:t xml:space="preserve"> 时</w:t>
      </w:r>
      <w:r>
        <w:rPr>
          <w:rFonts w:hint="eastAsia" w:ascii="宋体" w:hAnsi="宋体" w:eastAsia="宋体" w:cs="宋体"/>
          <w:color w:val="auto"/>
          <w:szCs w:val="21"/>
          <w:shd w:val="clear" w:color="auto" w:fill="FFFFFF"/>
          <w:lang w:val="en-US" w:eastAsia="zh-CN"/>
        </w:rPr>
        <w:t>30</w:t>
      </w:r>
      <w:r>
        <w:rPr>
          <w:rFonts w:hint="eastAsia" w:ascii="宋体" w:hAnsi="宋体" w:eastAsia="宋体" w:cs="宋体"/>
          <w:color w:val="auto"/>
          <w:szCs w:val="21"/>
          <w:shd w:val="clear" w:color="auto" w:fill="FFFFFF"/>
        </w:rPr>
        <w:t>分（北京时间），逾期提交或不符合规定的响应文件恕不接受。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w:t>
      </w:r>
      <w:r>
        <w:rPr>
          <w:rFonts w:hint="eastAsia" w:ascii="宋体" w:hAnsi="宋体" w:eastAsia="宋体" w:cs="宋体"/>
          <w:color w:val="auto"/>
          <w:szCs w:val="21"/>
          <w:shd w:val="clear" w:color="auto" w:fill="FFFFFF"/>
        </w:rPr>
        <w:t>禹州市公共资源交易中心九楼第开标</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名称：禹州市自然资源和规划局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地址：许昌市禹州市禹王大道100号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联系人：李先生 </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联系电话：0374-8162011</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hAnsi="宋体"/>
          <w:color w:val="auto"/>
          <w:szCs w:val="21"/>
        </w:rPr>
      </w:pPr>
      <w:r>
        <w:rPr>
          <w:rFonts w:hint="eastAsia" w:hAnsi="宋体"/>
          <w:color w:val="auto"/>
          <w:szCs w:val="21"/>
        </w:rPr>
        <w:t xml:space="preserve">名称：河南天欧工程管理有限公司 </w:t>
      </w:r>
    </w:p>
    <w:p>
      <w:pPr>
        <w:spacing w:line="384" w:lineRule="auto"/>
        <w:ind w:firstLine="420" w:firstLineChars="200"/>
        <w:jc w:val="left"/>
        <w:rPr>
          <w:rFonts w:hAnsi="宋体"/>
          <w:color w:val="auto"/>
          <w:szCs w:val="21"/>
        </w:rPr>
      </w:pPr>
      <w:r>
        <w:rPr>
          <w:rFonts w:hint="eastAsia" w:hAnsi="宋体"/>
          <w:color w:val="auto"/>
          <w:szCs w:val="21"/>
        </w:rPr>
        <w:t xml:space="preserve">地址：禹州市颖川街道办禹王大道东段北侧第二层 </w:t>
      </w:r>
    </w:p>
    <w:p>
      <w:pPr>
        <w:spacing w:line="384" w:lineRule="auto"/>
        <w:ind w:firstLine="420" w:firstLineChars="200"/>
        <w:jc w:val="left"/>
        <w:rPr>
          <w:rFonts w:hAnsi="宋体"/>
          <w:color w:val="auto"/>
          <w:szCs w:val="21"/>
        </w:rPr>
      </w:pPr>
      <w:r>
        <w:rPr>
          <w:rFonts w:hint="eastAsia" w:hAnsi="宋体"/>
          <w:color w:val="auto"/>
          <w:szCs w:val="21"/>
        </w:rPr>
        <w:t xml:space="preserve">联系人：王中刚 </w:t>
      </w:r>
    </w:p>
    <w:p>
      <w:pPr>
        <w:spacing w:line="384" w:lineRule="auto"/>
        <w:ind w:firstLine="420" w:firstLineChars="200"/>
        <w:jc w:val="left"/>
        <w:rPr>
          <w:rFonts w:hAnsi="宋体"/>
          <w:color w:val="auto"/>
          <w:szCs w:val="21"/>
        </w:rPr>
      </w:pPr>
      <w:r>
        <w:rPr>
          <w:rFonts w:hint="eastAsia" w:hAnsi="宋体"/>
          <w:color w:val="auto"/>
          <w:szCs w:val="21"/>
        </w:rPr>
        <w:t xml:space="preserve">联系方式：15136882806 </w:t>
      </w:r>
    </w:p>
    <w:p>
      <w:pPr>
        <w:spacing w:line="384" w:lineRule="auto"/>
        <w:ind w:firstLine="420" w:firstLineChars="200"/>
        <w:jc w:val="left"/>
        <w:rPr>
          <w:rFonts w:hAnsi="宋体"/>
          <w:b/>
          <w:color w:val="auto"/>
          <w:szCs w:val="21"/>
        </w:rPr>
      </w:pPr>
      <w:r>
        <w:rPr>
          <w:rFonts w:hint="eastAsia" w:hAnsi="宋体"/>
          <w:color w:val="auto"/>
          <w:szCs w:val="21"/>
        </w:rPr>
        <w:t xml:space="preserve">3.监督单位：禹州市政府采购监督管理办公室   </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Ansi="宋体"/>
          <w:color w:val="auto"/>
          <w:szCs w:val="21"/>
        </w:rPr>
        <w:t>http://221.14.6.70:8088/ggzy/</w:t>
      </w:r>
      <w:r>
        <w:rPr>
          <w:rStyle w:val="36"/>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Ansi="宋体"/>
          <w:color w:val="auto"/>
          <w:szCs w:val="21"/>
        </w:rPr>
        <w:t>http://221.14.6.70:8088/ggzy/</w:t>
      </w:r>
      <w:r>
        <w:rPr>
          <w:rStyle w:val="3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Ansi="宋体"/>
          <w:color w:val="auto"/>
          <w:szCs w:val="21"/>
        </w:rPr>
        <w:t>http://221.14.6.70:8088/ggzy/</w:t>
      </w:r>
      <w:r>
        <w:rPr>
          <w:rStyle w:val="3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5"/>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pStyle w:val="28"/>
        <w:ind w:left="0" w:leftChars="0" w:firstLine="0" w:firstLineChars="0"/>
        <w:rPr>
          <w:rFonts w:hint="default"/>
          <w:color w:val="auto"/>
          <w:lang w:eastAsia="zh-CN"/>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7095"/>
        </w:tabs>
        <w:spacing w:line="360" w:lineRule="auto"/>
        <w:rPr>
          <w:rFonts w:ascii="宋体" w:hAnsi="宋体" w:eastAsia="宋体" w:cs="宋体"/>
          <w:b/>
          <w:bCs/>
          <w:color w:val="auto"/>
          <w:szCs w:val="21"/>
        </w:rPr>
      </w:pPr>
      <w:r>
        <w:rPr>
          <w:rFonts w:hint="eastAsia" w:ascii="宋体" w:hAnsi="宋体" w:eastAsia="宋体" w:cs="宋体"/>
          <w:b/>
          <w:bCs/>
          <w:color w:val="auto"/>
          <w:szCs w:val="21"/>
        </w:rPr>
        <w:t>一、项目需求</w:t>
      </w:r>
    </w:p>
    <w:p>
      <w:pPr>
        <w:snapToGrid w:val="0"/>
        <w:spacing w:line="360" w:lineRule="auto"/>
        <w:rPr>
          <w:rFonts w:ascii="宋体" w:hAnsi="宋体" w:eastAsia="宋体" w:cs="宋体"/>
          <w:color w:val="auto"/>
          <w:szCs w:val="21"/>
        </w:rPr>
      </w:pPr>
      <w:r>
        <w:rPr>
          <w:rFonts w:hint="eastAsia" w:ascii="宋体" w:hAnsi="宋体" w:eastAsia="宋体" w:cs="宋体"/>
          <w:b/>
          <w:bCs/>
          <w:color w:val="auto"/>
          <w:szCs w:val="21"/>
        </w:rPr>
        <w:t>项目需求：</w:t>
      </w:r>
      <w:bookmarkStart w:id="0" w:name="_Toc29828"/>
      <w:bookmarkStart w:id="1" w:name="_Toc21188"/>
      <w:bookmarkStart w:id="2" w:name="_Toc12790"/>
      <w:bookmarkStart w:id="3" w:name="_Toc3020"/>
      <w:r>
        <w:rPr>
          <w:rFonts w:hint="eastAsia" w:ascii="宋体" w:hAnsi="宋体" w:eastAsia="宋体" w:cs="宋体"/>
          <w:color w:val="auto"/>
          <w:szCs w:val="21"/>
        </w:rPr>
        <w:t>禹州市地质灾害隐患点监测预警项目</w:t>
      </w:r>
      <w:bookmarkEnd w:id="0"/>
      <w:bookmarkEnd w:id="1"/>
      <w:bookmarkEnd w:id="2"/>
      <w:bookmarkEnd w:id="3"/>
      <w:r>
        <w:rPr>
          <w:rFonts w:hint="eastAsia" w:ascii="宋体" w:hAnsi="宋体" w:eastAsia="宋体" w:cs="宋体"/>
          <w:color w:val="auto"/>
          <w:szCs w:val="21"/>
        </w:rPr>
        <w:t>（勘查设计、监测台站建设及运行维护、监测点预警响应响应等）对潜在经济损失大的19处典型地质灾害隐患点进行地质灾害勘查，并布设专业监测仪器对地质灾害隐患点进行实时形变位移监测。同时，搭建地质灾害监测预警平台，通过降雨数据分析区域降雨情况，进行风险识别，从而实现地质灾害动态监测预警，为自然资源管理部门在防灾减灾等方面提供实时、有效、精准的信息，达到提升地质灾害预防能力、降低地质灾害对人民生命财产安全的威胁的目的。</w:t>
      </w:r>
    </w:p>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项目工作量清单</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9"/>
        <w:gridCol w:w="2538"/>
        <w:gridCol w:w="983"/>
        <w:gridCol w:w="998"/>
        <w:gridCol w:w="34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费用名称</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单位</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工程量</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1</w:t>
            </w:r>
          </w:p>
        </w:tc>
        <w:tc>
          <w:tcPr>
            <w:tcW w:w="145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勘查工作</w:t>
            </w:r>
          </w:p>
        </w:tc>
        <w:tc>
          <w:tcPr>
            <w:tcW w:w="563"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p>
        </w:tc>
        <w:tc>
          <w:tcPr>
            <w:tcW w:w="572"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p>
        </w:tc>
        <w:tc>
          <w:tcPr>
            <w:tcW w:w="1976"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地形测量</w:t>
            </w:r>
          </w:p>
        </w:tc>
        <w:tc>
          <w:tcPr>
            <w:tcW w:w="563"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p>
        </w:tc>
        <w:tc>
          <w:tcPr>
            <w:tcW w:w="572"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p>
        </w:tc>
        <w:tc>
          <w:tcPr>
            <w:tcW w:w="1976"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①</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1:1000地形测量</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km</w:t>
            </w:r>
            <w:r>
              <w:rPr>
                <w:rFonts w:hint="eastAsia" w:ascii="宋体" w:hAnsi="宋体" w:eastAsia="宋体" w:cs="宋体"/>
                <w:color w:val="auto"/>
                <w:kern w:val="0"/>
                <w:szCs w:val="21"/>
                <w:vertAlign w:val="superscript"/>
              </w:rPr>
              <w:t>2</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②</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无人机实测三维影像</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km</w:t>
            </w:r>
            <w:r>
              <w:rPr>
                <w:rFonts w:hint="eastAsia" w:ascii="宋体" w:hAnsi="宋体" w:eastAsia="宋体" w:cs="宋体"/>
                <w:color w:val="auto"/>
                <w:kern w:val="0"/>
                <w:szCs w:val="21"/>
                <w:vertAlign w:val="superscript"/>
              </w:rPr>
              <w:t>2</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专项调查</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①</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1:2000专项地质灾害测量</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km</w:t>
            </w:r>
            <w:r>
              <w:rPr>
                <w:rFonts w:hint="eastAsia" w:ascii="宋体" w:hAnsi="宋体" w:eastAsia="宋体" w:cs="宋体"/>
                <w:color w:val="auto"/>
                <w:kern w:val="0"/>
                <w:szCs w:val="21"/>
                <w:vertAlign w:val="superscript"/>
              </w:rPr>
              <w:t>2</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②</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1:2000专项工程地质测量</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km</w:t>
            </w:r>
            <w:r>
              <w:rPr>
                <w:rFonts w:hint="eastAsia" w:ascii="宋体" w:hAnsi="宋体" w:eastAsia="宋体" w:cs="宋体"/>
                <w:color w:val="auto"/>
                <w:kern w:val="0"/>
                <w:szCs w:val="21"/>
                <w:vertAlign w:val="superscript"/>
              </w:rPr>
              <w:t>2</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noWrap/>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2</w:t>
            </w:r>
          </w:p>
        </w:tc>
        <w:tc>
          <w:tcPr>
            <w:tcW w:w="145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勘查设计报告编写</w:t>
            </w:r>
          </w:p>
        </w:tc>
        <w:tc>
          <w:tcPr>
            <w:tcW w:w="563"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572"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976"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3</w:t>
            </w:r>
          </w:p>
        </w:tc>
        <w:tc>
          <w:tcPr>
            <w:tcW w:w="145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勘查设计报告印刷</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份</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4</w:t>
            </w:r>
          </w:p>
        </w:tc>
        <w:tc>
          <w:tcPr>
            <w:tcW w:w="145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评审</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5</w:t>
            </w:r>
          </w:p>
        </w:tc>
        <w:tc>
          <w:tcPr>
            <w:tcW w:w="1454"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b/>
                <w:bCs/>
                <w:color w:val="auto"/>
                <w:kern w:val="0"/>
                <w:szCs w:val="21"/>
              </w:rPr>
              <w:t>监测台站建设及运行维护</w:t>
            </w:r>
          </w:p>
        </w:tc>
        <w:tc>
          <w:tcPr>
            <w:tcW w:w="563"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572"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976"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包括降雨量监测台站19个、</w:t>
            </w:r>
          </w:p>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裂缝变形监测台站16个、</w:t>
            </w:r>
          </w:p>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倾斜监测台站33个、</w:t>
            </w:r>
          </w:p>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土壤含水率监测台站5个、</w:t>
            </w:r>
          </w:p>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地表位移监测台站35个（GNSS基站3个、GNSS测站32个）、</w:t>
            </w:r>
          </w:p>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影像监测台站3个、</w:t>
            </w:r>
          </w:p>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无线预警广播台站19个、</w:t>
            </w:r>
          </w:p>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运行维护期3年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6</w:t>
            </w:r>
          </w:p>
        </w:tc>
        <w:tc>
          <w:tcPr>
            <w:tcW w:w="1454" w:type="pct"/>
            <w:tcBorders>
              <w:tl2br w:val="nil"/>
              <w:tr2bl w:val="nil"/>
            </w:tcBorders>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监测点预警响应</w:t>
            </w:r>
          </w:p>
        </w:tc>
        <w:tc>
          <w:tcPr>
            <w:tcW w:w="563"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572"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976" w:type="pct"/>
            <w:tcBorders>
              <w:tl2br w:val="nil"/>
              <w:tr2bl w:val="nil"/>
            </w:tcBorders>
            <w:shd w:val="clear" w:color="auto" w:fill="auto"/>
            <w:noWrap/>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19处点3年预警响应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7</w:t>
            </w:r>
          </w:p>
        </w:tc>
        <w:tc>
          <w:tcPr>
            <w:tcW w:w="145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工程验收</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3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8</w:t>
            </w:r>
          </w:p>
        </w:tc>
        <w:tc>
          <w:tcPr>
            <w:tcW w:w="1454" w:type="pct"/>
            <w:tcBorders>
              <w:tl2br w:val="nil"/>
              <w:tr2bl w:val="nil"/>
            </w:tcBorders>
            <w:shd w:val="clear" w:color="auto" w:fill="auto"/>
            <w:vAlign w:val="center"/>
          </w:tcPr>
          <w:p>
            <w:pPr>
              <w:widowControl/>
              <w:snapToGrid w:val="0"/>
              <w:jc w:val="center"/>
              <w:rPr>
                <w:rFonts w:ascii="宋体" w:hAnsi="宋体" w:eastAsia="宋体" w:cs="宋体"/>
                <w:b/>
                <w:bCs/>
                <w:color w:val="auto"/>
                <w:kern w:val="0"/>
                <w:szCs w:val="21"/>
              </w:rPr>
            </w:pPr>
            <w:r>
              <w:rPr>
                <w:rFonts w:hint="eastAsia" w:ascii="宋体" w:hAnsi="宋体" w:eastAsia="宋体" w:cs="宋体"/>
                <w:b/>
                <w:bCs/>
                <w:color w:val="auto"/>
                <w:kern w:val="0"/>
                <w:szCs w:val="21"/>
              </w:rPr>
              <w:t>监测报告编制及印刷</w:t>
            </w:r>
          </w:p>
        </w:tc>
        <w:tc>
          <w:tcPr>
            <w:tcW w:w="563"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572"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976" w:type="pct"/>
            <w:tcBorders>
              <w:tl2br w:val="nil"/>
              <w:tr2bl w:val="nil"/>
            </w:tcBorders>
            <w:shd w:val="clear" w:color="auto" w:fill="auto"/>
            <w:vAlign w:val="center"/>
          </w:tcPr>
          <w:p>
            <w:pPr>
              <w:widowControl/>
              <w:snapToGrid w:val="0"/>
              <w:jc w:val="center"/>
              <w:rPr>
                <w:rFonts w:ascii="宋体" w:hAnsi="宋体" w:eastAsia="宋体" w:cs="宋体"/>
                <w:color w:val="auto"/>
                <w:kern w:val="0"/>
                <w:szCs w:val="21"/>
              </w:rPr>
            </w:pPr>
          </w:p>
        </w:tc>
      </w:tr>
    </w:tbl>
    <w:p>
      <w:pPr>
        <w:snapToGrid w:val="0"/>
        <w:spacing w:line="360" w:lineRule="auto"/>
        <w:rPr>
          <w:rFonts w:ascii="宋体" w:hAnsi="宋体" w:eastAsia="宋体" w:cs="宋体"/>
          <w:color w:val="auto"/>
          <w:szCs w:val="21"/>
        </w:rPr>
      </w:pPr>
    </w:p>
    <w:p>
      <w:pPr>
        <w:snapToGrid w:val="0"/>
        <w:spacing w:line="360" w:lineRule="auto"/>
        <w:rPr>
          <w:rFonts w:ascii="宋体" w:hAnsi="宋体" w:eastAsia="宋体" w:cs="宋体"/>
          <w:b/>
          <w:bCs/>
          <w:color w:val="auto"/>
          <w:szCs w:val="21"/>
        </w:rPr>
      </w:pPr>
      <w:r>
        <w:rPr>
          <w:rFonts w:hint="eastAsia" w:ascii="宋体" w:hAnsi="宋体" w:eastAsia="宋体" w:cs="宋体"/>
          <w:b/>
          <w:bCs/>
          <w:color w:val="auto"/>
          <w:szCs w:val="21"/>
        </w:rPr>
        <w:t>项目技术要求：</w:t>
      </w:r>
    </w:p>
    <w:p>
      <w:pPr>
        <w:numPr>
          <w:ilvl w:val="0"/>
          <w:numId w:val="6"/>
        </w:numPr>
        <w:snapToGrid w:val="0"/>
        <w:spacing w:line="360" w:lineRule="auto"/>
        <w:outlineLvl w:val="0"/>
        <w:rPr>
          <w:rFonts w:ascii="宋体" w:hAnsi="宋体" w:eastAsia="宋体" w:cs="宋体"/>
          <w:color w:val="auto"/>
          <w:szCs w:val="21"/>
        </w:rPr>
      </w:pPr>
      <w:r>
        <w:rPr>
          <w:rFonts w:hint="eastAsia" w:ascii="宋体" w:hAnsi="宋体" w:eastAsia="宋体" w:cs="宋体"/>
          <w:color w:val="auto"/>
          <w:szCs w:val="21"/>
        </w:rPr>
        <w:t>勘查设计</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1.勘查设计要求：</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项目拟对禹州市地质灾害隐患点进行地质灾害勘查、自动化监测设备设计及后续相关设计配合服务。拟对19处典型地质灾害隐患点进行监测设计，布置监测设备对地质灾害隐患点进行实时形变位移监测，并搭建监测预警系统，综合考虑地质灾害类型、形成机理、稳定状态、发展趋势及现场条件等情况，按照集约与集成原则，进行监测方案设计，确保设备安装位置的准确性和监测数据的可靠性，提高设备安装和运行的成效，保障设备数量和运行成本的合理性。</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2.设计阶段：主要负责对设计各阶段的功能性、实用性、经济性、合理性提出专业化建议，并按采购人具体要求，提交设计成果，作为采购人决策的依据；组织设计各阶段的审查。</w:t>
      </w:r>
    </w:p>
    <w:p>
      <w:pPr>
        <w:numPr>
          <w:ilvl w:val="0"/>
          <w:numId w:val="6"/>
        </w:numPr>
        <w:snapToGrid w:val="0"/>
        <w:spacing w:line="360" w:lineRule="auto"/>
        <w:outlineLvl w:val="0"/>
        <w:rPr>
          <w:rFonts w:ascii="宋体" w:hAnsi="宋体" w:eastAsia="宋体" w:cs="宋体"/>
          <w:color w:val="auto"/>
          <w:szCs w:val="21"/>
        </w:rPr>
      </w:pPr>
      <w:r>
        <w:rPr>
          <w:rFonts w:hint="eastAsia" w:ascii="宋体" w:hAnsi="宋体" w:eastAsia="宋体" w:cs="宋体"/>
          <w:color w:val="auto"/>
          <w:szCs w:val="21"/>
        </w:rPr>
        <w:t>监测平台建设及运行维护</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（一）总体要求：</w:t>
      </w:r>
    </w:p>
    <w:p>
      <w:pPr>
        <w:snapToGrid w:val="0"/>
        <w:spacing w:line="360" w:lineRule="auto"/>
        <w:ind w:firstLine="420" w:firstLineChars="200"/>
        <w:rPr>
          <w:rFonts w:ascii="宋体" w:hAnsi="宋体" w:eastAsia="宋体" w:cs="宋体"/>
          <w:color w:val="auto"/>
          <w:szCs w:val="21"/>
        </w:rPr>
      </w:pPr>
      <w:bookmarkStart w:id="4" w:name="_Hlk96593892"/>
      <w:r>
        <w:rPr>
          <w:rFonts w:hint="eastAsia" w:ascii="宋体" w:hAnsi="宋体" w:eastAsia="宋体" w:cs="宋体"/>
          <w:color w:val="auto"/>
          <w:szCs w:val="21"/>
        </w:rPr>
        <w:t>监测平台建设包括设备购买、运输、施工、安装调试及防护。</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1、仪器安装所有机柜(箱)及防护栏均配备统一钥匙，方便后期维护管理。</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相关设备依设计需于地面立杆安装的，应采用镀锌钢管制作立杆，镀锌钢管高度需≥2.8m(除地质灾害视频监控系统立杆外)，管径不小于140mm，管壁厚度不小于3mm(若现场不具备安置2.8m高杆的安装条件，需提交相关说明文件，经甲方确认后再进行方案更改)。</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需要立杆的监测预警设备需采用方钢围栏防护1.5m×15m×1.8m(高度)防护栅栏设置一道小门便于后续维护，小门尺寸≥0.6m(宽)×1.6m(高)。安装完成后防护栅栏需根据实际情况补充防锈防腐等工作，所有防护栏颜色统一为白色喷塑。围栏必须使用304或以上规格不锈钢材质合页、螺丝、螺母，护栏锁具位置需设置防雨罩，张贴警示牌(高陡边坡、居民房屋顶部等围栏施工困难的，可不安装围栏，需提交相关说明文件，经建设单位确认后再进行方案更改)；</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4、监测台站基础采用混凝土浇注，混凝土强度≥C15。</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5、野外安装的设备应依相关技术规范配备防雷措施，仪器设备及防护工程应能适应户外条件，抗腐蚀、防锈能力强，温度、冻融、雨水、扬尘、大风等不影响设备系统正常工作。</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6、设备主机箱为304或以上规格不锈钢机箱，所使用螺丝、螺帽、抱箍需采用304或以上规格不锈钢，防护等级水平达到IP65或以上。禁止使用扎带式抱箍。</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7、立杆的浇筑基础所埋设钢筋地笼深度≥500mm（依据实际情况及设计要求确定），主筋直径不小于16mm，箍筋≥2道，直径12mm，地面露出部分采用镀锌防锈工艺。</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8、所有线路必须通过立杆穿线，外漏部分需使用不锈钢波纹管保护，并使用树脂密封。所有裸露的线路须做好防护。</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9、线缆的接线处必须使用接线端子及线鼻子。</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10、倾角监测及土壤含水率监测计依设计安装于坡顶的，需安装钢筋保护罩。</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11、每个监测点必须在现场布置设备位置平面示意图，护栏及保护需根据建设单位要求安装警示标志。</w:t>
      </w:r>
    </w:p>
    <w:bookmarkEnd w:id="4"/>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（二）分项要求：</w:t>
      </w: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1、降雨量监测台站建设</w:t>
      </w:r>
    </w:p>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雨量计主要技术参数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475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指标类型</w:t>
            </w:r>
          </w:p>
        </w:tc>
        <w:tc>
          <w:tcPr>
            <w:tcW w:w="4750"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技术指标</w:t>
            </w:r>
          </w:p>
        </w:tc>
        <w:tc>
          <w:tcPr>
            <w:tcW w:w="197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测量范围</w:t>
            </w:r>
          </w:p>
        </w:tc>
        <w:tc>
          <w:tcPr>
            <w:tcW w:w="4750"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0-4mm/min</w:t>
            </w:r>
          </w:p>
        </w:tc>
        <w:tc>
          <w:tcPr>
            <w:tcW w:w="197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测量精度</w:t>
            </w:r>
          </w:p>
        </w:tc>
        <w:tc>
          <w:tcPr>
            <w:tcW w:w="4750"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≤2%</w:t>
            </w:r>
          </w:p>
        </w:tc>
        <w:tc>
          <w:tcPr>
            <w:tcW w:w="197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分辨率</w:t>
            </w:r>
          </w:p>
        </w:tc>
        <w:tc>
          <w:tcPr>
            <w:tcW w:w="4750" w:type="dxa"/>
            <w:vAlign w:val="center"/>
          </w:tcPr>
          <w:p>
            <w:pPr>
              <w:widowControl/>
              <w:adjustRightInd w:val="0"/>
              <w:snapToGrid w:val="0"/>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0.2mm</w:t>
            </w:r>
          </w:p>
        </w:tc>
        <w:tc>
          <w:tcPr>
            <w:tcW w:w="197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采样间隔</w:t>
            </w:r>
          </w:p>
        </w:tc>
        <w:tc>
          <w:tcPr>
            <w:tcW w:w="4750"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0-24小时</w:t>
            </w:r>
          </w:p>
        </w:tc>
        <w:tc>
          <w:tcPr>
            <w:tcW w:w="197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按需设定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上传间隔</w:t>
            </w:r>
          </w:p>
        </w:tc>
        <w:tc>
          <w:tcPr>
            <w:tcW w:w="4750"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0-72小时</w:t>
            </w:r>
          </w:p>
        </w:tc>
        <w:tc>
          <w:tcPr>
            <w:tcW w:w="197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按需设定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输出信号</w:t>
            </w:r>
          </w:p>
        </w:tc>
        <w:tc>
          <w:tcPr>
            <w:tcW w:w="4750"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RS485/RS232/4G</w:t>
            </w:r>
          </w:p>
        </w:tc>
        <w:tc>
          <w:tcPr>
            <w:tcW w:w="197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工作温度</w:t>
            </w:r>
          </w:p>
        </w:tc>
        <w:tc>
          <w:tcPr>
            <w:tcW w:w="4750"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0℃～+65℃</w:t>
            </w:r>
          </w:p>
        </w:tc>
        <w:tc>
          <w:tcPr>
            <w:tcW w:w="197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安装方式</w:t>
            </w:r>
          </w:p>
        </w:tc>
        <w:tc>
          <w:tcPr>
            <w:tcW w:w="4750"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现浇混凝土墩</w:t>
            </w:r>
          </w:p>
        </w:tc>
        <w:tc>
          <w:tcPr>
            <w:tcW w:w="197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供电方式</w:t>
            </w:r>
          </w:p>
        </w:tc>
        <w:tc>
          <w:tcPr>
            <w:tcW w:w="4750"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太阳能+蓄电池，满足30个阴雨日正常工作</w:t>
            </w:r>
          </w:p>
        </w:tc>
        <w:tc>
          <w:tcPr>
            <w:tcW w:w="197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过压欠压保护</w:t>
            </w:r>
          </w:p>
        </w:tc>
      </w:tr>
    </w:tbl>
    <w:p>
      <w:pPr>
        <w:snapToGrid w:val="0"/>
        <w:spacing w:line="360" w:lineRule="auto"/>
        <w:ind w:firstLine="420" w:firstLineChars="200"/>
        <w:rPr>
          <w:rFonts w:ascii="宋体" w:hAnsi="宋体" w:eastAsia="宋体" w:cs="宋体"/>
          <w:color w:val="auto"/>
          <w:szCs w:val="21"/>
        </w:rPr>
      </w:pPr>
    </w:p>
    <w:p>
      <w:pPr>
        <w:snapToGrid w:val="0"/>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安装要求：</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（1）雨量计采用立杆安装，立杆用镀锌钢管制作，底部用L型法兰盘做好支撑，立杆高度3m，管径140mm，管壁厚度3mm。</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（2）观测墩基础施工：</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①在踏勘好的安装位置开挖一个50cm*50cm*60cm的基坑，基底人工夯实。在基坑旁边开挖一个电池坑，蓄电池用防水地埋箱密封完好后平稳放入电池坑中，将电池线引出。</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②基坑内浇筑混凝土并预埋地笼，混凝土强度不低于C15，浇筑完成后做好养护工作。注意：混凝土基础结构模板应处于正南北向，浇筑后的基础顶部应保持水平，地笼螺栓外露长度60mm。</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③混凝土基础结构的砼养护期满后，将钢结构立柱用螺栓固定在预埋地笼上。</w:t>
      </w: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2、裂缝变形监测台站建设</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设备支持</w:t>
      </w:r>
      <w:r>
        <w:rPr>
          <w:rFonts w:hint="eastAsia" w:ascii="宋体" w:hAnsi="宋体" w:eastAsia="宋体" w:cs="宋体"/>
          <w:color w:val="auto"/>
          <w:szCs w:val="21"/>
        </w:rPr>
        <w:t>RS485/NB-IOT/LoRa/α/2/4/5G</w:t>
      </w:r>
      <w:r>
        <w:rPr>
          <w:rFonts w:hint="eastAsia" w:ascii="宋体" w:hAnsi="宋体" w:eastAsia="宋体" w:cs="宋体"/>
          <w:color w:val="auto"/>
          <w:szCs w:val="21"/>
        </w:rPr>
        <w:t>通讯方式，也可外接北斗短报文终端，支持内外双路互补、自动切换通讯功能，可灵活适用于各类复杂环境。</w:t>
      </w:r>
    </w:p>
    <w:p>
      <w:pPr>
        <w:pStyle w:val="87"/>
        <w:wordWrap/>
        <w:adjustRightInd w:val="0"/>
        <w:snapToGrid w:val="0"/>
        <w:spacing w:line="360" w:lineRule="auto"/>
        <w:ind w:firstLineChars="200"/>
        <w:rPr>
          <w:rFonts w:ascii="宋体" w:hAnsi="宋体" w:cs="宋体"/>
          <w:color w:val="auto"/>
          <w:szCs w:val="21"/>
        </w:rPr>
      </w:pPr>
      <w:r>
        <w:rPr>
          <w:rFonts w:hint="eastAsia" w:ascii="宋体" w:hAnsi="宋体" w:cs="宋体"/>
          <w:color w:val="auto"/>
          <w:szCs w:val="21"/>
        </w:rPr>
        <w:t>具备外部RS485/RS232数据接口，可外挂传感器；</w:t>
      </w:r>
    </w:p>
    <w:p>
      <w:pPr>
        <w:pStyle w:val="87"/>
        <w:wordWrap/>
        <w:adjustRightInd w:val="0"/>
        <w:snapToGrid w:val="0"/>
        <w:spacing w:line="360" w:lineRule="auto"/>
        <w:ind w:firstLineChars="200"/>
        <w:rPr>
          <w:rFonts w:ascii="宋体" w:hAnsi="宋体" w:cs="宋体"/>
          <w:color w:val="auto"/>
          <w:szCs w:val="21"/>
        </w:rPr>
      </w:pPr>
      <w:r>
        <w:rPr>
          <w:rFonts w:hint="eastAsia" w:ascii="宋体" w:hAnsi="宋体" w:cs="宋体"/>
          <w:color w:val="auto"/>
          <w:szCs w:val="21"/>
        </w:rPr>
        <w:t>支持RS485/NB-IOT/LoRa/α/2/4/5G通讯方式可选，也可外接北斗短报文终端，支持内外双路互补、自动切换通讯功能；</w:t>
      </w:r>
    </w:p>
    <w:p>
      <w:pPr>
        <w:pStyle w:val="87"/>
        <w:wordWrap/>
        <w:adjustRightInd w:val="0"/>
        <w:snapToGrid w:val="0"/>
        <w:spacing w:line="360" w:lineRule="auto"/>
        <w:ind w:firstLineChars="200"/>
        <w:rPr>
          <w:rFonts w:ascii="宋体" w:hAnsi="宋体" w:cs="宋体"/>
          <w:color w:val="auto"/>
          <w:szCs w:val="21"/>
        </w:rPr>
      </w:pPr>
      <w:r>
        <w:rPr>
          <w:rFonts w:hint="eastAsia" w:ascii="宋体" w:hAnsi="宋体" w:cs="宋体"/>
          <w:color w:val="auto"/>
          <w:szCs w:val="21"/>
        </w:rPr>
        <w:t>具备阈值触发、定时上传、状态信息上报、设备质检等功能触发功能，设备具备阈值触发功能，如监测数据超过阈值，可立即采集监测数据并自动上报。</w:t>
      </w:r>
    </w:p>
    <w:p>
      <w:pPr>
        <w:snapToGrid w:val="0"/>
        <w:spacing w:line="360" w:lineRule="auto"/>
        <w:jc w:val="center"/>
        <w:rPr>
          <w:rFonts w:ascii="宋体" w:hAnsi="宋体" w:eastAsia="宋体" w:cs="宋体"/>
          <w:color w:val="auto"/>
          <w:szCs w:val="21"/>
        </w:rPr>
      </w:pPr>
      <w:bookmarkStart w:id="5" w:name="_Toc2952"/>
      <w:r>
        <w:rPr>
          <w:rFonts w:hint="eastAsia" w:ascii="宋体" w:hAnsi="宋体" w:eastAsia="宋体" w:cs="宋体"/>
          <w:color w:val="auto"/>
          <w:szCs w:val="21"/>
        </w:rPr>
        <w:t>裂缝计主要技术参数</w:t>
      </w:r>
      <w:bookmarkEnd w:id="5"/>
    </w:p>
    <w:tbl>
      <w:tblPr>
        <w:tblStyle w:val="29"/>
        <w:tblpPr w:leftFromText="180" w:rightFromText="180" w:vertAnchor="text" w:horzAnchor="page" w:tblpXSpec="center" w:tblpY="8"/>
        <w:tblOverlap w:val="never"/>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98"/>
        <w:gridCol w:w="5375"/>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参数类型</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技术指标</w:t>
            </w:r>
          </w:p>
        </w:tc>
        <w:tc>
          <w:tcPr>
            <w:tcW w:w="1142"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测量范围</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0～50/100//200/500cm</w:t>
            </w:r>
          </w:p>
        </w:tc>
        <w:tc>
          <w:tcPr>
            <w:tcW w:w="1142" w:type="pct"/>
            <w:vAlign w:val="center"/>
          </w:tcPr>
          <w:p>
            <w:pPr>
              <w:pStyle w:val="89"/>
              <w:adjustRightInd w:val="0"/>
              <w:snapToGrid w:val="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测量精度</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±0.1%F·S</w:t>
            </w:r>
          </w:p>
        </w:tc>
        <w:tc>
          <w:tcPr>
            <w:tcW w:w="1142" w:type="pct"/>
            <w:vAlign w:val="center"/>
          </w:tcPr>
          <w:p>
            <w:pPr>
              <w:pStyle w:val="89"/>
              <w:adjustRightInd w:val="0"/>
              <w:snapToGrid w:val="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采样间隔</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0s～24h</w:t>
            </w:r>
          </w:p>
        </w:tc>
        <w:tc>
          <w:tcPr>
            <w:tcW w:w="1142"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上传间隔</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0s～72h</w:t>
            </w:r>
          </w:p>
        </w:tc>
        <w:tc>
          <w:tcPr>
            <w:tcW w:w="1142"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输出信号</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RS485/NB-IOT/ LoRa/α/2/4/5G</w:t>
            </w:r>
          </w:p>
        </w:tc>
        <w:tc>
          <w:tcPr>
            <w:tcW w:w="1142" w:type="pct"/>
            <w:vAlign w:val="center"/>
          </w:tcPr>
          <w:p>
            <w:pPr>
              <w:pStyle w:val="89"/>
              <w:adjustRightInd w:val="0"/>
              <w:snapToGrid w:val="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输出参数</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裂缝宽度、振动加速度、倾角等</w:t>
            </w:r>
          </w:p>
        </w:tc>
        <w:tc>
          <w:tcPr>
            <w:tcW w:w="1142" w:type="pct"/>
            <w:vAlign w:val="center"/>
          </w:tcPr>
          <w:p>
            <w:pPr>
              <w:pStyle w:val="89"/>
              <w:adjustRightInd w:val="0"/>
              <w:snapToGrid w:val="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工作温度</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-20℃～+65℃</w:t>
            </w:r>
          </w:p>
        </w:tc>
        <w:tc>
          <w:tcPr>
            <w:tcW w:w="1142"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防护等级</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IP67</w:t>
            </w:r>
          </w:p>
        </w:tc>
        <w:tc>
          <w:tcPr>
            <w:tcW w:w="1142" w:type="pct"/>
            <w:vAlign w:val="center"/>
          </w:tcPr>
          <w:p>
            <w:pPr>
              <w:pStyle w:val="89"/>
              <w:adjustRightInd w:val="0"/>
              <w:snapToGrid w:val="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安装方式</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标准观测墩、现浇混凝土墩、钢结构等</w:t>
            </w:r>
          </w:p>
        </w:tc>
        <w:tc>
          <w:tcPr>
            <w:tcW w:w="1142" w:type="pct"/>
            <w:vAlign w:val="center"/>
          </w:tcPr>
          <w:p>
            <w:pPr>
              <w:pStyle w:val="89"/>
              <w:adjustRightInd w:val="0"/>
              <w:snapToGrid w:val="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3"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供电方式</w:t>
            </w:r>
          </w:p>
        </w:tc>
        <w:tc>
          <w:tcPr>
            <w:tcW w:w="3154"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内置电池满足3年正常工作（1h采集1h上传）</w:t>
            </w:r>
          </w:p>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kern w:val="0"/>
                <w:szCs w:val="21"/>
              </w:rPr>
              <w:t>满足30个阴雨日正常工作</w:t>
            </w:r>
          </w:p>
        </w:tc>
        <w:tc>
          <w:tcPr>
            <w:tcW w:w="1142" w:type="pct"/>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过压及欠压保护</w:t>
            </w:r>
          </w:p>
        </w:tc>
      </w:tr>
    </w:tbl>
    <w:p>
      <w:pPr>
        <w:snapToGrid w:val="0"/>
        <w:spacing w:line="360" w:lineRule="auto"/>
        <w:rPr>
          <w:rFonts w:ascii="宋体" w:hAnsi="宋体" w:eastAsia="宋体" w:cs="宋体"/>
          <w:color w:val="auto"/>
          <w:szCs w:val="21"/>
        </w:rPr>
      </w:pP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3、倾斜监测台站建设</w:t>
      </w:r>
    </w:p>
    <w:p>
      <w:pPr>
        <w:pStyle w:val="87"/>
        <w:wordWrap/>
        <w:adjustRightInd w:val="0"/>
        <w:snapToGrid w:val="0"/>
        <w:spacing w:line="360" w:lineRule="auto"/>
        <w:ind w:firstLineChars="200"/>
        <w:rPr>
          <w:rFonts w:ascii="宋体" w:hAnsi="宋体" w:cs="宋体"/>
          <w:color w:val="auto"/>
          <w:szCs w:val="21"/>
        </w:rPr>
      </w:pPr>
      <w:r>
        <w:rPr>
          <w:rFonts w:hint="eastAsia" w:ascii="宋体" w:hAnsi="宋体" w:cs="宋体"/>
          <w:color w:val="auto"/>
          <w:szCs w:val="21"/>
        </w:rPr>
        <w:t>（1）具备外部RS485/RS232数据接口，可外挂传感器；（2）极低功耗，内置大容量锂亚电池（无需外部供电），可正常工作3年以上；（3）具备阈值触发、定时上传、状态信息上报、设备质检等功能，设备具备阈值触发功能，如监测数据超过阈值，可立即采集监测数据并自动上报；（4）输出参数：振动加速度、倾角、自振频率、最大振幅等。</w:t>
      </w:r>
    </w:p>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倾角加速度计主要技术参数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24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指标类型</w:t>
            </w:r>
          </w:p>
        </w:tc>
        <w:tc>
          <w:tcPr>
            <w:tcW w:w="524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技术指标</w:t>
            </w:r>
          </w:p>
        </w:tc>
        <w:tc>
          <w:tcPr>
            <w:tcW w:w="155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测量范围</w:t>
            </w:r>
          </w:p>
        </w:tc>
        <w:tc>
          <w:tcPr>
            <w:tcW w:w="5245"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±90°（3轴X、Y、Z）</w:t>
            </w:r>
          </w:p>
        </w:tc>
        <w:tc>
          <w:tcPr>
            <w:tcW w:w="155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倾角精度</w:t>
            </w:r>
          </w:p>
        </w:tc>
        <w:tc>
          <w:tcPr>
            <w:tcW w:w="5245"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±0.008°</w:t>
            </w:r>
          </w:p>
        </w:tc>
        <w:tc>
          <w:tcPr>
            <w:tcW w:w="155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频率测量范围</w:t>
            </w:r>
          </w:p>
        </w:tc>
        <w:tc>
          <w:tcPr>
            <w:tcW w:w="5245"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0~200Hz</w:t>
            </w:r>
          </w:p>
        </w:tc>
        <w:tc>
          <w:tcPr>
            <w:tcW w:w="155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频率精度</w:t>
            </w:r>
          </w:p>
        </w:tc>
        <w:tc>
          <w:tcPr>
            <w:tcW w:w="5245"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0.25Hz</w:t>
            </w:r>
          </w:p>
        </w:tc>
        <w:tc>
          <w:tcPr>
            <w:tcW w:w="155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加速度量程</w:t>
            </w:r>
          </w:p>
        </w:tc>
        <w:tc>
          <w:tcPr>
            <w:tcW w:w="5245"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±2g</w:t>
            </w:r>
          </w:p>
        </w:tc>
        <w:tc>
          <w:tcPr>
            <w:tcW w:w="155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加速度精度</w:t>
            </w:r>
          </w:p>
        </w:tc>
        <w:tc>
          <w:tcPr>
            <w:tcW w:w="5245"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1mg</w:t>
            </w:r>
          </w:p>
        </w:tc>
        <w:tc>
          <w:tcPr>
            <w:tcW w:w="155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定位精度</w:t>
            </w:r>
          </w:p>
        </w:tc>
        <w:tc>
          <w:tcPr>
            <w:tcW w:w="5245"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10m方位角测量：0°～360°，具有磁力计，可以测出和磁北方向夹角</w:t>
            </w:r>
          </w:p>
        </w:tc>
        <w:tc>
          <w:tcPr>
            <w:tcW w:w="1557"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采样间隔</w:t>
            </w:r>
          </w:p>
        </w:tc>
        <w:tc>
          <w:tcPr>
            <w:tcW w:w="524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0-24小时</w:t>
            </w:r>
          </w:p>
        </w:tc>
        <w:tc>
          <w:tcPr>
            <w:tcW w:w="155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按需设定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上传间隔</w:t>
            </w:r>
          </w:p>
        </w:tc>
        <w:tc>
          <w:tcPr>
            <w:tcW w:w="524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0-72小时</w:t>
            </w:r>
          </w:p>
        </w:tc>
        <w:tc>
          <w:tcPr>
            <w:tcW w:w="155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按需设定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工作温度</w:t>
            </w:r>
          </w:p>
        </w:tc>
        <w:tc>
          <w:tcPr>
            <w:tcW w:w="5245"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-20℃～+65℃</w:t>
            </w:r>
          </w:p>
        </w:tc>
        <w:tc>
          <w:tcPr>
            <w:tcW w:w="155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工作温度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防护等级</w:t>
            </w:r>
          </w:p>
        </w:tc>
        <w:tc>
          <w:tcPr>
            <w:tcW w:w="5245"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lang w:bidi="ar"/>
              </w:rPr>
              <w:t>IP67</w:t>
            </w:r>
          </w:p>
        </w:tc>
        <w:tc>
          <w:tcPr>
            <w:tcW w:w="155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防护等级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安装方式</w:t>
            </w:r>
          </w:p>
        </w:tc>
        <w:tc>
          <w:tcPr>
            <w:tcW w:w="5245" w:type="dxa"/>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标准观测墩、现浇混凝土墩、钢结构等</w:t>
            </w:r>
          </w:p>
        </w:tc>
        <w:tc>
          <w:tcPr>
            <w:tcW w:w="1557" w:type="dxa"/>
            <w:vAlign w:val="center"/>
          </w:tcPr>
          <w:p>
            <w:pPr>
              <w:pStyle w:val="89"/>
              <w:adjustRightInd w:val="0"/>
              <w:snapToGrid w:val="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供电方式</w:t>
            </w:r>
          </w:p>
        </w:tc>
        <w:tc>
          <w:tcPr>
            <w:tcW w:w="5245" w:type="dxa"/>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内置电池满足3年正常工作（1h采集1h上传）</w:t>
            </w:r>
          </w:p>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kern w:val="0"/>
                <w:szCs w:val="21"/>
              </w:rPr>
              <w:t>满足30个阴雨日正常工作</w:t>
            </w:r>
          </w:p>
        </w:tc>
        <w:tc>
          <w:tcPr>
            <w:tcW w:w="1557" w:type="dxa"/>
            <w:vAlign w:val="center"/>
          </w:tcPr>
          <w:p>
            <w:pPr>
              <w:pStyle w:val="89"/>
              <w:adjustRightInd w:val="0"/>
              <w:snapToGrid w:val="0"/>
              <w:jc w:val="center"/>
              <w:rPr>
                <w:rFonts w:ascii="宋体" w:hAnsi="宋体" w:eastAsia="宋体" w:cs="宋体"/>
                <w:color w:val="auto"/>
                <w:szCs w:val="21"/>
              </w:rPr>
            </w:pPr>
            <w:r>
              <w:rPr>
                <w:rFonts w:hint="eastAsia" w:ascii="宋体" w:hAnsi="宋体" w:eastAsia="宋体" w:cs="宋体"/>
                <w:color w:val="auto"/>
                <w:szCs w:val="21"/>
              </w:rPr>
              <w:t>过压及欠压保护</w:t>
            </w:r>
          </w:p>
        </w:tc>
      </w:tr>
    </w:tbl>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安装要求：</w:t>
      </w:r>
    </w:p>
    <w:p>
      <w:pPr>
        <w:pStyle w:val="10"/>
        <w:adjustRightInd w:val="0"/>
        <w:snapToGrid w:val="0"/>
        <w:spacing w:line="360" w:lineRule="auto"/>
        <w:ind w:firstLine="560"/>
        <w:rPr>
          <w:rFonts w:ascii="宋体" w:hAnsi="宋体" w:cs="宋体"/>
          <w:color w:val="auto"/>
          <w:sz w:val="21"/>
          <w:szCs w:val="21"/>
        </w:rPr>
      </w:pPr>
      <w:r>
        <w:rPr>
          <w:rFonts w:hint="eastAsia" w:ascii="宋体" w:hAnsi="宋体" w:cs="宋体"/>
          <w:color w:val="auto"/>
          <w:sz w:val="21"/>
          <w:szCs w:val="21"/>
        </w:rPr>
        <w:t>（1）在测点区域位置选取倾角计（加速度计）安装点，倾角计、加速度计监测点位应布置在灾害体主要倾斜变形块体；</w:t>
      </w:r>
    </w:p>
    <w:p>
      <w:pPr>
        <w:pStyle w:val="10"/>
        <w:adjustRightInd w:val="0"/>
        <w:snapToGrid w:val="0"/>
        <w:spacing w:line="360" w:lineRule="auto"/>
        <w:ind w:firstLine="560"/>
        <w:rPr>
          <w:rFonts w:ascii="宋体" w:hAnsi="宋体" w:cs="宋体"/>
          <w:color w:val="auto"/>
          <w:sz w:val="21"/>
          <w:szCs w:val="21"/>
        </w:rPr>
      </w:pPr>
      <w:r>
        <w:rPr>
          <w:rFonts w:hint="eastAsia" w:ascii="宋体" w:hAnsi="宋体" w:cs="宋体"/>
          <w:color w:val="auto"/>
          <w:sz w:val="21"/>
          <w:szCs w:val="21"/>
        </w:rPr>
        <w:t>（2）混凝土基础底座长×宽×深：500mm×300mm×400mm（300mm地下+100mm地上），地面上露出100mm制模浇筑水泥平台，使用水平尺保证基础水平</w:t>
      </w:r>
    </w:p>
    <w:p>
      <w:pPr>
        <w:pStyle w:val="10"/>
        <w:adjustRightInd w:val="0"/>
        <w:snapToGrid w:val="0"/>
        <w:spacing w:line="360" w:lineRule="auto"/>
        <w:ind w:firstLine="560"/>
        <w:rPr>
          <w:rFonts w:ascii="宋体" w:hAnsi="宋体" w:cs="宋体"/>
          <w:color w:val="auto"/>
          <w:sz w:val="21"/>
          <w:szCs w:val="21"/>
        </w:rPr>
      </w:pPr>
      <w:r>
        <w:rPr>
          <w:rFonts w:hint="eastAsia" w:ascii="宋体" w:hAnsi="宋体" w:cs="宋体"/>
          <w:color w:val="auto"/>
          <w:sz w:val="21"/>
          <w:szCs w:val="21"/>
        </w:rPr>
        <w:t>（3）预埋设备立杆，设备立杆材质为镀锌钢管，设备立杆直径50mm，高度500mm（300mm地下+200mm地上）；</w:t>
      </w:r>
    </w:p>
    <w:p>
      <w:pPr>
        <w:pStyle w:val="10"/>
        <w:adjustRightInd w:val="0"/>
        <w:snapToGrid w:val="0"/>
        <w:spacing w:line="360" w:lineRule="auto"/>
        <w:ind w:firstLine="560"/>
        <w:rPr>
          <w:rFonts w:ascii="宋体" w:hAnsi="宋体" w:cs="宋体"/>
          <w:color w:val="auto"/>
          <w:sz w:val="21"/>
          <w:szCs w:val="21"/>
        </w:rPr>
      </w:pPr>
      <w:r>
        <w:rPr>
          <w:rFonts w:hint="eastAsia" w:ascii="宋体" w:hAnsi="宋体" w:cs="宋体"/>
          <w:color w:val="auto"/>
          <w:sz w:val="21"/>
          <w:szCs w:val="21"/>
        </w:rPr>
        <w:t>（4）将设备固定在预埋立杆上及完成设备的安装。</w:t>
      </w: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4、土壤含水率监测</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土壤含水率测量地表0～100cm内各个深度土壤含水率和地表位移。</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全密封结构，整体防护等级达IP68；采集多种监测要素，可同时分层采集土壤含水率、土壤温度、地表倾斜、地表位移、加速度、环境温度、GPS 定位信息、状态信息等要素；可触发式采集，在传感器发生位移时，可立即采集土壤含水率；传感器采用非接触式测量方法。</w:t>
      </w:r>
    </w:p>
    <w:p>
      <w:pPr>
        <w:pStyle w:val="10"/>
        <w:adjustRightInd w:val="0"/>
        <w:snapToGrid w:val="0"/>
        <w:spacing w:line="360" w:lineRule="auto"/>
        <w:ind w:firstLine="560"/>
        <w:jc w:val="center"/>
        <w:rPr>
          <w:rFonts w:ascii="宋体" w:hAnsi="宋体" w:cs="宋体"/>
          <w:color w:val="auto"/>
          <w:sz w:val="21"/>
          <w:szCs w:val="21"/>
        </w:rPr>
      </w:pPr>
      <w:r>
        <w:rPr>
          <w:rFonts w:hint="eastAsia" w:ascii="宋体" w:hAnsi="宋体" w:cs="宋体"/>
          <w:color w:val="auto"/>
          <w:sz w:val="21"/>
          <w:szCs w:val="21"/>
        </w:rPr>
        <w:t>普适型土壤含水率计主要技术参数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473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指标类型</w:t>
            </w:r>
          </w:p>
        </w:tc>
        <w:tc>
          <w:tcPr>
            <w:tcW w:w="4737" w:type="dxa"/>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技术指标</w:t>
            </w:r>
          </w:p>
        </w:tc>
        <w:tc>
          <w:tcPr>
            <w:tcW w:w="1971" w:type="dxa"/>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监测深度</w:t>
            </w:r>
          </w:p>
        </w:tc>
        <w:tc>
          <w:tcPr>
            <w:tcW w:w="4737"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40cm/100cm可选</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量程</w:t>
            </w:r>
          </w:p>
        </w:tc>
        <w:tc>
          <w:tcPr>
            <w:tcW w:w="4737"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0～100%</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测量范围</w:t>
            </w:r>
          </w:p>
        </w:tc>
        <w:tc>
          <w:tcPr>
            <w:tcW w:w="4737"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干土～饱和土，测量深度1米</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精度</w:t>
            </w:r>
          </w:p>
        </w:tc>
        <w:tc>
          <w:tcPr>
            <w:tcW w:w="4737"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±2%</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量程</w:t>
            </w:r>
          </w:p>
        </w:tc>
        <w:tc>
          <w:tcPr>
            <w:tcW w:w="4737"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360°</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分辨率</w:t>
            </w:r>
          </w:p>
        </w:tc>
        <w:tc>
          <w:tcPr>
            <w:tcW w:w="4737"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0.01°</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精度</w:t>
            </w:r>
          </w:p>
        </w:tc>
        <w:tc>
          <w:tcPr>
            <w:tcW w:w="4737" w:type="dxa"/>
            <w:vAlign w:val="center"/>
          </w:tcPr>
          <w:p>
            <w:pPr>
              <w:widowControl/>
              <w:adjustRightInd w:val="0"/>
              <w:snapToGrid w:val="0"/>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0.05°</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tcPr>
          <w:p>
            <w:pPr>
              <w:pStyle w:val="89"/>
              <w:adjustRightInd w:val="0"/>
              <w:snapToGrid w:val="0"/>
              <w:jc w:val="center"/>
              <w:rPr>
                <w:rFonts w:ascii="宋体" w:hAnsi="宋体" w:eastAsia="宋体" w:cs="宋体"/>
                <w:color w:val="auto"/>
                <w:szCs w:val="21"/>
                <w:lang w:bidi="ar"/>
              </w:rPr>
            </w:pPr>
            <w:r>
              <w:rPr>
                <w:rFonts w:hint="eastAsia" w:ascii="宋体" w:hAnsi="宋体" w:eastAsia="宋体" w:cs="宋体"/>
                <w:color w:val="auto"/>
                <w:szCs w:val="21"/>
              </w:rPr>
              <w:t>采样间隔</w:t>
            </w:r>
          </w:p>
        </w:tc>
        <w:tc>
          <w:tcPr>
            <w:tcW w:w="4737" w:type="dxa"/>
          </w:tcPr>
          <w:p>
            <w:pPr>
              <w:pStyle w:val="89"/>
              <w:adjustRightInd w:val="0"/>
              <w:snapToGrid w:val="0"/>
              <w:jc w:val="center"/>
              <w:rPr>
                <w:rFonts w:ascii="宋体" w:hAnsi="宋体" w:eastAsia="宋体" w:cs="宋体"/>
                <w:color w:val="auto"/>
                <w:szCs w:val="21"/>
                <w:lang w:bidi="ar"/>
              </w:rPr>
            </w:pPr>
            <w:r>
              <w:rPr>
                <w:rFonts w:hint="eastAsia" w:ascii="宋体" w:hAnsi="宋体" w:eastAsia="宋体" w:cs="宋体"/>
                <w:color w:val="auto"/>
                <w:szCs w:val="21"/>
              </w:rPr>
              <w:t>0s～24h</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tcPr>
          <w:p>
            <w:pPr>
              <w:pStyle w:val="89"/>
              <w:adjustRightInd w:val="0"/>
              <w:snapToGrid w:val="0"/>
              <w:jc w:val="center"/>
              <w:rPr>
                <w:rFonts w:ascii="宋体" w:hAnsi="宋体" w:eastAsia="宋体" w:cs="宋体"/>
                <w:color w:val="auto"/>
                <w:szCs w:val="21"/>
                <w:lang w:bidi="ar"/>
              </w:rPr>
            </w:pPr>
            <w:r>
              <w:rPr>
                <w:rFonts w:hint="eastAsia" w:ascii="宋体" w:hAnsi="宋体" w:eastAsia="宋体" w:cs="宋体"/>
                <w:color w:val="auto"/>
                <w:szCs w:val="21"/>
              </w:rPr>
              <w:t>上传间隔</w:t>
            </w:r>
          </w:p>
        </w:tc>
        <w:tc>
          <w:tcPr>
            <w:tcW w:w="4737" w:type="dxa"/>
          </w:tcPr>
          <w:p>
            <w:pPr>
              <w:pStyle w:val="89"/>
              <w:adjustRightInd w:val="0"/>
              <w:snapToGrid w:val="0"/>
              <w:jc w:val="center"/>
              <w:rPr>
                <w:rFonts w:ascii="宋体" w:hAnsi="宋体" w:eastAsia="宋体" w:cs="宋体"/>
                <w:color w:val="auto"/>
                <w:szCs w:val="21"/>
                <w:lang w:bidi="ar"/>
              </w:rPr>
            </w:pPr>
            <w:r>
              <w:rPr>
                <w:rFonts w:hint="eastAsia" w:ascii="宋体" w:hAnsi="宋体" w:eastAsia="宋体" w:cs="宋体"/>
                <w:color w:val="auto"/>
                <w:szCs w:val="21"/>
              </w:rPr>
              <w:t>0s～72h</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tcPr>
          <w:p>
            <w:pPr>
              <w:pStyle w:val="89"/>
              <w:adjustRightInd w:val="0"/>
              <w:snapToGrid w:val="0"/>
              <w:jc w:val="center"/>
              <w:rPr>
                <w:rFonts w:ascii="宋体" w:hAnsi="宋体" w:eastAsia="宋体" w:cs="宋体"/>
                <w:color w:val="auto"/>
                <w:szCs w:val="21"/>
                <w:lang w:bidi="ar"/>
              </w:rPr>
            </w:pPr>
            <w:r>
              <w:rPr>
                <w:rFonts w:hint="eastAsia" w:ascii="宋体" w:hAnsi="宋体" w:eastAsia="宋体" w:cs="宋体"/>
                <w:color w:val="auto"/>
                <w:szCs w:val="21"/>
              </w:rPr>
              <w:t>输出信号</w:t>
            </w:r>
          </w:p>
        </w:tc>
        <w:tc>
          <w:tcPr>
            <w:tcW w:w="4737" w:type="dxa"/>
          </w:tcPr>
          <w:p>
            <w:pPr>
              <w:pStyle w:val="89"/>
              <w:adjustRightInd w:val="0"/>
              <w:snapToGrid w:val="0"/>
              <w:jc w:val="center"/>
              <w:rPr>
                <w:rFonts w:ascii="宋体" w:hAnsi="宋体" w:eastAsia="宋体" w:cs="宋体"/>
                <w:color w:val="auto"/>
                <w:szCs w:val="21"/>
                <w:lang w:bidi="ar"/>
              </w:rPr>
            </w:pPr>
            <w:r>
              <w:rPr>
                <w:rFonts w:hint="eastAsia" w:ascii="宋体" w:hAnsi="宋体" w:eastAsia="宋体" w:cs="宋体"/>
                <w:color w:val="auto"/>
                <w:szCs w:val="21"/>
              </w:rPr>
              <w:t>RS485/NB-IOT/ LoRa/α/2/4/5G</w:t>
            </w:r>
          </w:p>
        </w:tc>
        <w:tc>
          <w:tcPr>
            <w:tcW w:w="1971" w:type="dxa"/>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0"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供电方式</w:t>
            </w:r>
          </w:p>
        </w:tc>
        <w:tc>
          <w:tcPr>
            <w:tcW w:w="4737"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太阳能+蓄电池，满足30个阴雨日正常工作</w:t>
            </w:r>
          </w:p>
        </w:tc>
        <w:tc>
          <w:tcPr>
            <w:tcW w:w="1971"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过压欠压保护</w:t>
            </w:r>
          </w:p>
        </w:tc>
      </w:tr>
    </w:tbl>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安装要求：</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管式含水率传感器必须采用钻孔安装（不得挖坑安装），使用专用取土钻进行钻孔，钻孔深度为传感器最底部到“地表”刻度线的长度（40CM/80CM）。</w:t>
      </w: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5、地表位移监测站</w:t>
      </w:r>
    </w:p>
    <w:p>
      <w:pPr>
        <w:pStyle w:val="87"/>
        <w:wordWrap/>
        <w:adjustRightInd w:val="0"/>
        <w:snapToGrid w:val="0"/>
        <w:spacing w:line="360" w:lineRule="auto"/>
        <w:ind w:firstLine="560"/>
        <w:rPr>
          <w:rFonts w:ascii="宋体" w:hAnsi="宋体" w:cs="宋体"/>
          <w:color w:val="auto"/>
          <w:szCs w:val="21"/>
        </w:rPr>
      </w:pPr>
      <w:r>
        <w:rPr>
          <w:rFonts w:hint="eastAsia" w:ascii="宋体" w:hAnsi="宋体" w:cs="宋体"/>
          <w:color w:val="auto"/>
          <w:szCs w:val="21"/>
        </w:rPr>
        <w:t>支持RS485/NB-IOT/LoRa/α/2/4/5G等丰富的通信模式；内置MEMS传感器，支持动态调整监测频率，MEMS传感器触发功能；集成GNSS板卡、MEMS传感器及NB-IOT模组在一体化设备PCB板中，监测系统匹配太阳能电池板、太阳能蓄电池、太阳能控制器等整套供电设备，单晶硅太阳能板，功率80W，免维护蓄电池容量100Ah，电压12V。满足连续30个阴雨日正常工作，过压或欠压保护。</w:t>
      </w:r>
    </w:p>
    <w:p>
      <w:pPr>
        <w:adjustRightInd w:val="0"/>
        <w:snapToGrid w:val="0"/>
        <w:spacing w:line="360" w:lineRule="auto"/>
        <w:ind w:firstLine="560"/>
        <w:jc w:val="center"/>
        <w:rPr>
          <w:rFonts w:ascii="宋体" w:hAnsi="宋体" w:eastAsia="宋体" w:cs="宋体"/>
          <w:color w:val="auto"/>
          <w:szCs w:val="21"/>
        </w:rPr>
      </w:pPr>
      <w:bookmarkStart w:id="6" w:name="_Toc5427"/>
      <w:r>
        <w:rPr>
          <w:rFonts w:hint="eastAsia" w:ascii="宋体" w:hAnsi="宋体" w:eastAsia="宋体" w:cs="宋体"/>
          <w:color w:val="auto"/>
          <w:szCs w:val="21"/>
        </w:rPr>
        <w:t>普适型GNSS监测设备技术参数</w:t>
      </w:r>
      <w:bookmarkEnd w:id="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791"/>
        <w:gridCol w:w="32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参数类型</w:t>
            </w:r>
          </w:p>
        </w:tc>
        <w:tc>
          <w:tcPr>
            <w:tcW w:w="4991" w:type="dxa"/>
            <w:gridSpan w:val="2"/>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技术参数</w:t>
            </w:r>
          </w:p>
        </w:tc>
        <w:tc>
          <w:tcPr>
            <w:tcW w:w="2145" w:type="dxa"/>
            <w:vAlign w:val="center"/>
          </w:tcPr>
          <w:p>
            <w:pPr>
              <w:adjustRightInd w:val="0"/>
              <w:snapToGrid w:val="0"/>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Merge w:val="restart"/>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测量精度</w:t>
            </w:r>
          </w:p>
        </w:tc>
        <w:tc>
          <w:tcPr>
            <w:tcW w:w="1791" w:type="dxa"/>
            <w:vMerge w:val="restart"/>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静态相对定位精度</w:t>
            </w:r>
          </w:p>
        </w:tc>
        <w:tc>
          <w:tcPr>
            <w:tcW w:w="3200" w:type="dxa"/>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水平：2.5mm+0.5ppm RMS</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Merge w:val="continue"/>
            <w:vAlign w:val="center"/>
          </w:tcPr>
          <w:p>
            <w:pPr>
              <w:widowControl/>
              <w:adjustRightInd w:val="0"/>
              <w:snapToGrid w:val="0"/>
              <w:jc w:val="center"/>
              <w:rPr>
                <w:rFonts w:ascii="宋体" w:hAnsi="宋体" w:eastAsia="宋体" w:cs="宋体"/>
                <w:color w:val="auto"/>
                <w:kern w:val="0"/>
                <w:szCs w:val="21"/>
              </w:rPr>
            </w:pPr>
          </w:p>
        </w:tc>
        <w:tc>
          <w:tcPr>
            <w:tcW w:w="1791" w:type="dxa"/>
            <w:vMerge w:val="continue"/>
            <w:vAlign w:val="center"/>
          </w:tcPr>
          <w:p>
            <w:pPr>
              <w:widowControl/>
              <w:adjustRightInd w:val="0"/>
              <w:snapToGrid w:val="0"/>
              <w:jc w:val="center"/>
              <w:rPr>
                <w:rFonts w:ascii="宋体" w:hAnsi="宋体" w:eastAsia="宋体" w:cs="宋体"/>
                <w:color w:val="auto"/>
                <w:kern w:val="0"/>
                <w:szCs w:val="21"/>
              </w:rPr>
            </w:pPr>
          </w:p>
        </w:tc>
        <w:tc>
          <w:tcPr>
            <w:tcW w:w="3200" w:type="dxa"/>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垂直：5mm+0.5ppm RMS</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Merge w:val="continue"/>
            <w:vAlign w:val="center"/>
          </w:tcPr>
          <w:p>
            <w:pPr>
              <w:widowControl/>
              <w:adjustRightInd w:val="0"/>
              <w:snapToGrid w:val="0"/>
              <w:jc w:val="center"/>
              <w:rPr>
                <w:rFonts w:ascii="宋体" w:hAnsi="宋体" w:eastAsia="宋体" w:cs="宋体"/>
                <w:color w:val="auto"/>
                <w:kern w:val="0"/>
                <w:szCs w:val="21"/>
              </w:rPr>
            </w:pPr>
          </w:p>
        </w:tc>
        <w:tc>
          <w:tcPr>
            <w:tcW w:w="1791" w:type="dxa"/>
            <w:vMerge w:val="restart"/>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动态相对定位精度</w:t>
            </w:r>
          </w:p>
        </w:tc>
        <w:tc>
          <w:tcPr>
            <w:tcW w:w="3200" w:type="dxa"/>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水平：10mm+1ppm RMS</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Merge w:val="continue"/>
            <w:vAlign w:val="center"/>
          </w:tcPr>
          <w:p>
            <w:pPr>
              <w:widowControl/>
              <w:adjustRightInd w:val="0"/>
              <w:snapToGrid w:val="0"/>
              <w:jc w:val="center"/>
              <w:rPr>
                <w:rFonts w:ascii="宋体" w:hAnsi="宋体" w:eastAsia="宋体" w:cs="宋体"/>
                <w:color w:val="auto"/>
                <w:kern w:val="0"/>
                <w:szCs w:val="21"/>
              </w:rPr>
            </w:pPr>
          </w:p>
        </w:tc>
        <w:tc>
          <w:tcPr>
            <w:tcW w:w="1791" w:type="dxa"/>
            <w:vMerge w:val="continue"/>
            <w:vAlign w:val="center"/>
          </w:tcPr>
          <w:p>
            <w:pPr>
              <w:widowControl/>
              <w:adjustRightInd w:val="0"/>
              <w:snapToGrid w:val="0"/>
              <w:jc w:val="center"/>
              <w:rPr>
                <w:rFonts w:ascii="宋体" w:hAnsi="宋体" w:eastAsia="宋体" w:cs="宋体"/>
                <w:color w:val="auto"/>
                <w:kern w:val="0"/>
                <w:szCs w:val="21"/>
              </w:rPr>
            </w:pPr>
          </w:p>
        </w:tc>
        <w:tc>
          <w:tcPr>
            <w:tcW w:w="3200" w:type="dxa"/>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垂直：20mm+1ppm RMS</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采样间隔</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0s～24h</w:t>
            </w:r>
          </w:p>
        </w:tc>
        <w:tc>
          <w:tcPr>
            <w:tcW w:w="214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按需求设定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上传间隔</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0s～72h</w:t>
            </w:r>
          </w:p>
        </w:tc>
        <w:tc>
          <w:tcPr>
            <w:tcW w:w="214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按需求设定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输出信号</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NB-IOT/LoRa/α/4/5G</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工作模式</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BDS/GPS/GLO三星六频</w:t>
            </w:r>
          </w:p>
        </w:tc>
        <w:tc>
          <w:tcPr>
            <w:tcW w:w="214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支持动态调整监测频率，MEMS传感器触发功能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数据格式</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支持RTCM32原始数据及实时动态结果数据上传</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功耗</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在采样间隔不低于15s且上传间隔不低于15s情况下，接收机正常工作的平均功耗</w:t>
            </w:r>
            <w:r>
              <w:rPr>
                <w:rFonts w:hint="eastAsia" w:ascii="宋体" w:hAnsi="宋体" w:eastAsia="宋体" w:cs="宋体"/>
                <w:color w:val="auto"/>
                <w:szCs w:val="21"/>
              </w:rPr>
              <w:t>≤1.8W</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工作温度</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-40～+70℃</w:t>
            </w:r>
          </w:p>
        </w:tc>
        <w:tc>
          <w:tcPr>
            <w:tcW w:w="2145" w:type="dxa"/>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高寒地区定制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防护等级</w:t>
            </w:r>
          </w:p>
        </w:tc>
        <w:tc>
          <w:tcPr>
            <w:tcW w:w="4991" w:type="dxa"/>
            <w:gridSpan w:val="2"/>
            <w:vAlign w:val="center"/>
          </w:tcPr>
          <w:p>
            <w:pPr>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IP68</w:t>
            </w:r>
          </w:p>
        </w:tc>
        <w:tc>
          <w:tcPr>
            <w:tcW w:w="2145" w:type="dxa"/>
            <w:vAlign w:val="center"/>
          </w:tcPr>
          <w:p>
            <w:pPr>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安装方式</w:t>
            </w:r>
          </w:p>
        </w:tc>
        <w:tc>
          <w:tcPr>
            <w:tcW w:w="4991" w:type="dxa"/>
            <w:gridSpan w:val="2"/>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标准观测墩、现浇混凝土墩、钢结构等</w:t>
            </w:r>
          </w:p>
        </w:tc>
        <w:tc>
          <w:tcPr>
            <w:tcW w:w="2145" w:type="dxa"/>
            <w:vAlign w:val="center"/>
          </w:tcPr>
          <w:p>
            <w:pPr>
              <w:widowControl/>
              <w:adjustRightInd w:val="0"/>
              <w:snapToGrid w:val="0"/>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6"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供电方式</w:t>
            </w:r>
          </w:p>
        </w:tc>
        <w:tc>
          <w:tcPr>
            <w:tcW w:w="4991" w:type="dxa"/>
            <w:gridSpan w:val="2"/>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按需供电方式、满足连续30个阴雨日正常工作</w:t>
            </w:r>
          </w:p>
        </w:tc>
        <w:tc>
          <w:tcPr>
            <w:tcW w:w="2145" w:type="dxa"/>
            <w:vAlign w:val="center"/>
          </w:tcPr>
          <w:p>
            <w:pPr>
              <w:widowControl/>
              <w:adjustRightInd w:val="0"/>
              <w:snapToGrid w:val="0"/>
              <w:jc w:val="center"/>
              <w:rPr>
                <w:rFonts w:ascii="宋体" w:hAnsi="宋体" w:eastAsia="宋体" w:cs="宋体"/>
                <w:color w:val="auto"/>
                <w:kern w:val="0"/>
                <w:szCs w:val="21"/>
              </w:rPr>
            </w:pPr>
            <w:r>
              <w:rPr>
                <w:rFonts w:hint="eastAsia" w:ascii="宋体" w:hAnsi="宋体" w:eastAsia="宋体" w:cs="宋体"/>
                <w:color w:val="auto"/>
                <w:kern w:val="0"/>
                <w:szCs w:val="21"/>
              </w:rPr>
              <w:t>过压及欠压保护</w:t>
            </w:r>
          </w:p>
        </w:tc>
      </w:tr>
    </w:tbl>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安装要求：</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（1）蓄电池放入防水地埋箱，嵌入密封条，用牛皮纸包裹好之后放入电池坑，将线缆采用波纹套管保护好之后穿过事先预留的PVC管孔。</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（2）辅助设施需符合规范要求，如测墩应埋设于60cm处，测墩应稳固、牢靠；在保护范围内应建设防直击雷避雷针，安装钢结构立柱。</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（3）卫星信号采集天线连接螺栓垂直度偏差应控制在4′以内。</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（4）卫星接收主机、信号电缆做好防护，包括主机的防水屏蔽保护、天线信号连接电缆的套管保护等。</w:t>
      </w: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6、影像监测站</w:t>
      </w:r>
    </w:p>
    <w:p>
      <w:pPr>
        <w:adjustRightInd w:val="0"/>
        <w:snapToGrid w:val="0"/>
        <w:spacing w:line="360" w:lineRule="auto"/>
        <w:ind w:firstLine="560"/>
        <w:rPr>
          <w:rFonts w:ascii="宋体" w:hAnsi="宋体" w:eastAsia="宋体" w:cs="宋体"/>
          <w:color w:val="auto"/>
          <w:szCs w:val="21"/>
        </w:rPr>
      </w:pPr>
      <w:bookmarkStart w:id="7" w:name="_Toc21609"/>
      <w:r>
        <w:rPr>
          <w:rFonts w:hint="eastAsia" w:ascii="宋体" w:hAnsi="宋体" w:eastAsia="宋体" w:cs="宋体"/>
          <w:color w:val="auto"/>
          <w:szCs w:val="21"/>
        </w:rPr>
        <w:t>影响监测站主要技术参数</w:t>
      </w:r>
      <w:bookmarkEnd w:id="7"/>
      <w:r>
        <w:rPr>
          <w:rFonts w:hint="eastAsia" w:ascii="宋体" w:hAnsi="宋体" w:eastAsia="宋体" w:cs="宋体"/>
          <w:color w:val="auto"/>
          <w:szCs w:val="21"/>
        </w:rPr>
        <w:t>及要求：</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drawing>
          <wp:inline distT="0" distB="0" distL="114300" distR="114300">
            <wp:extent cx="5373370" cy="2918460"/>
            <wp:effectExtent l="0" t="0" r="1778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lum bright="6000"/>
                    </a:blip>
                    <a:stretch>
                      <a:fillRect/>
                    </a:stretch>
                  </pic:blipFill>
                  <pic:spPr>
                    <a:xfrm>
                      <a:off x="0" y="0"/>
                      <a:ext cx="5373370" cy="2918460"/>
                    </a:xfrm>
                    <a:prstGeom prst="rect">
                      <a:avLst/>
                    </a:prstGeom>
                    <a:noFill/>
                    <a:ln>
                      <a:noFill/>
                    </a:ln>
                  </pic:spPr>
                </pic:pic>
              </a:graphicData>
            </a:graphic>
          </wp:inline>
        </w:drawing>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（1）应含摄像机、云台设备、太阳能供电设备、4G物联网卡、本地储存卡、观测墩、立杆、支架、防雷装置、保护箱等构件。。</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（2）摄像机：视频输出支持1920×1080@25fps；支持4G（全网通）通讯，兼容3G；具备夜视功能，夜晚照射距离100m以上，白天照射距离200m以上；支持≥128G内存扩展。</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（3）云台设备：支持水平方向360°旋转，垂直方向旋转角度不低于-15°～90°旋转。</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（4）供电及续航：使用太阳能充电，太阳能板功率≥200W，蓄电池容量≥200AH。一般光照强度下20小时内充电量大于200AH。无阳光条件下，设备续航时间应达到15天以上。</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（5）报警功能：设备故障报警、人员进入危险区报警。</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6）数据储存：摄像头24小时开启，平时数据储存在本地内存卡，至少保存15天，过期自动覆盖，可随时异地调取视频录像回放；存储设备应兼容《公共安全视频监控联网系统信息传输、交换、控制技术要求》（GB/T28181-2016）国家标准。</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（7）物联网卡：至少包含36个月流量，每月流量≥200G，可维持实时监控状态8天以上。</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（8）安防要求：所用设备应符合《安全防范工程技术规范》（GB50348-2018）的相关规定。</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（9）施工要求：前端设备以野外立杆安装为主，立杆高度＞3.8m（可根据实际情况调整），选用材料和施工质量应确保可在野外恶劣条件下安全运行。</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（10）支持操控云台旋转、摄像头变焦等。</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（11）支持平台、PC客户端、手机端预览、回放、消息查看等；</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（12）支持手动抓图、定时抓图、报警抓图。</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（13）支持多用户登录、多级组织管理、多级权限配置，开通账户≥50个。</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（14）视频数据能直接接入采购人指定平台，不需要通过其他平台中转。</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安装要求：</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（1）基坑尺寸100*100*80cm；</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（2）制作观测墩的浇筑模板，使用模板用钢钉固定住形成100*100*20cm的正方形模板；</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（3）采用的水泥标号不低于325，按照C20的混凝土强度标准进行混凝土拌和；</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（4）将视频杆对准预埋的地笼将视频杆立起来，螺丝固定紧，并调平和垂直，立杆高度4m，管壁厚度为3mm。</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（5）用抱箍将设备箱固定在140镀锌管上，设备箱底部和穿线孔持平。</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6）安装视频摄像机，将摄像机在地上组装好底座和适配器线，网线等工作，将摄像机底座和钢板对齐，用螺丝将摄像机固定在横臂上。将摄像机的线路工作引线牵引至设备箱内，将设备箱底部裸露在外面的线路用防晒锡纸包裹密实。</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（7）按照设备箱内部电路和通讯将设备箱组装起来，线路要求严格按照电力规范安装，整齐美观，做好标识。</w:t>
      </w: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7、无线预警广播</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声光报警器技术参数：</w:t>
      </w:r>
    </w:p>
    <w:tbl>
      <w:tblPr>
        <w:tblStyle w:val="29"/>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3540"/>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参数类型</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参数指标</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频率</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20--20000Hz</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功率</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10W</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音量声压</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110dB</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可根据使用场景调整声压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北斗定位精度</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≤10m</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优先使用北斗定位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GPS定位精度</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≤10m</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工作温度</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-40℃～+85℃</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防护等级</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IP67</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支持室内外使用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LORA传输距离（km）</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1-3</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近距离配置距离</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≤10m</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供电方式</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220VAC/24VDC</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报警方式</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现场声光报警、异地无线声报警、云端后台预警、短信预警</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供电方式</w:t>
            </w:r>
          </w:p>
        </w:tc>
        <w:tc>
          <w:tcPr>
            <w:tcW w:w="3540" w:type="dxa"/>
            <w:vAlign w:val="center"/>
          </w:tcPr>
          <w:p>
            <w:pPr>
              <w:pStyle w:val="89"/>
              <w:adjustRightInd w:val="0"/>
              <w:snapToGrid w:val="0"/>
              <w:jc w:val="center"/>
              <w:rPr>
                <w:rFonts w:ascii="宋体" w:hAnsi="宋体" w:eastAsia="宋体" w:cs="宋体"/>
                <w:color w:val="auto"/>
                <w:spacing w:val="-11"/>
                <w:kern w:val="0"/>
                <w:szCs w:val="21"/>
                <w:lang w:bidi="ar"/>
              </w:rPr>
            </w:pPr>
            <w:r>
              <w:rPr>
                <w:rFonts w:hint="eastAsia" w:ascii="宋体" w:hAnsi="宋体" w:eastAsia="宋体" w:cs="宋体"/>
                <w:color w:val="auto"/>
                <w:spacing w:val="-11"/>
                <w:szCs w:val="21"/>
              </w:rPr>
              <w:t>内置备用电池，支持断点自动切换，电池待机时间大于24小时</w:t>
            </w:r>
            <w:r>
              <w:rPr>
                <w:rFonts w:hint="eastAsia" w:ascii="宋体" w:hAnsi="宋体" w:eastAsia="宋体" w:cs="宋体"/>
                <w:color w:val="auto"/>
                <w:spacing w:val="-11"/>
                <w:kern w:val="0"/>
                <w:szCs w:val="21"/>
                <w:lang w:bidi="ar"/>
              </w:rPr>
              <w:t>按需供电，</w:t>
            </w:r>
            <w:r>
              <w:rPr>
                <w:rFonts w:hint="eastAsia" w:ascii="宋体" w:hAnsi="宋体" w:eastAsia="宋体" w:cs="宋体"/>
                <w:color w:val="auto"/>
                <w:spacing w:val="-11"/>
                <w:kern w:val="0"/>
                <w:szCs w:val="21"/>
              </w:rPr>
              <w:t>满足30个阴雨日正常工作</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具备过压及欠压保护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现场存储</w:t>
            </w:r>
          </w:p>
        </w:tc>
        <w:tc>
          <w:tcPr>
            <w:tcW w:w="3540"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本地存储及远端平台存储</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控制方式</w:t>
            </w:r>
          </w:p>
        </w:tc>
        <w:tc>
          <w:tcPr>
            <w:tcW w:w="3540" w:type="dxa"/>
            <w:vAlign w:val="center"/>
          </w:tcPr>
          <w:p>
            <w:pPr>
              <w:widowControl/>
              <w:adjustRightInd w:val="0"/>
              <w:snapToGrid w:val="0"/>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本地控制及远端平台控制</w:t>
            </w:r>
          </w:p>
        </w:tc>
        <w:tc>
          <w:tcPr>
            <w:tcW w:w="2765" w:type="dxa"/>
            <w:vAlign w:val="center"/>
          </w:tcPr>
          <w:p>
            <w:pPr>
              <w:widowControl/>
              <w:adjustRightInd w:val="0"/>
              <w:snapToGrid w:val="0"/>
              <w:jc w:val="center"/>
              <w:textAlignment w:val="center"/>
              <w:rPr>
                <w:rFonts w:ascii="宋体" w:hAnsi="宋体" w:eastAsia="宋体" w:cs="宋体"/>
                <w:color w:val="auto"/>
                <w:spacing w:val="-11"/>
                <w:kern w:val="0"/>
                <w:szCs w:val="21"/>
                <w:lang w:bidi="ar"/>
              </w:rPr>
            </w:pPr>
            <w:r>
              <w:rPr>
                <w:rFonts w:hint="eastAsia" w:ascii="宋体" w:hAnsi="宋体" w:eastAsia="宋体" w:cs="宋体"/>
                <w:color w:val="auto"/>
                <w:spacing w:val="-11"/>
                <w:kern w:val="0"/>
                <w:szCs w:val="21"/>
                <w:lang w:bidi="ar"/>
              </w:rPr>
              <w:t>本地控制需提高误报消除按键</w:t>
            </w:r>
          </w:p>
        </w:tc>
      </w:tr>
    </w:tbl>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安装要求：</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（1）基坑尺寸100*100*80cm；</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（2）制作观测墩的浇筑模板，使用模板用钢钉固定住形成100*100*20cm的正方形模板；</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（3）采用的水泥标号不低于325，按照C20的混凝土强度标准进行混凝土拌和；</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（4）将视频杆对准预埋的地笼将视频杆立起来，螺丝固定紧，并调平和垂直，立杆高度4m，管壁厚度为3mm。</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（5）用抱箍将设备箱固定在140镀锌管上，设备箱底部和穿线孔持平。</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6）安装视频摄像机，将摄像机在地上组装好底座和适配器线，网线等工作，将摄像机底座和钢板对齐，用螺丝将摄像机固定在横臂上。将摄像机的线路工作引线牵引至设备箱内，将设备箱底部裸露在外面的线路用防晒锡纸包裹密实。</w:t>
      </w:r>
    </w:p>
    <w:p>
      <w:pPr>
        <w:adjustRightInd w:val="0"/>
        <w:snapToGrid w:val="0"/>
        <w:spacing w:line="360" w:lineRule="auto"/>
        <w:ind w:firstLine="560"/>
        <w:rPr>
          <w:rFonts w:ascii="宋体" w:hAnsi="宋体" w:eastAsia="宋体" w:cs="宋体"/>
          <w:color w:val="auto"/>
          <w:szCs w:val="21"/>
        </w:rPr>
      </w:pPr>
      <w:r>
        <w:rPr>
          <w:rFonts w:hint="eastAsia" w:ascii="宋体" w:hAnsi="宋体" w:eastAsia="宋体" w:cs="宋体"/>
          <w:color w:val="auto"/>
          <w:szCs w:val="21"/>
        </w:rPr>
        <w:t>（7）按照设备箱内部电路和通讯将设备箱组装起来，线路要求严格按照电力规范安装，整齐美观，做好标识。</w:t>
      </w:r>
    </w:p>
    <w:p>
      <w:pPr>
        <w:snapToGrid w:val="0"/>
        <w:spacing w:line="360" w:lineRule="auto"/>
        <w:ind w:firstLine="420" w:firstLineChars="200"/>
        <w:outlineLvl w:val="1"/>
        <w:rPr>
          <w:rFonts w:ascii="宋体" w:hAnsi="宋体" w:eastAsia="宋体" w:cs="宋体"/>
          <w:color w:val="auto"/>
          <w:szCs w:val="21"/>
        </w:rPr>
      </w:pPr>
      <w:r>
        <w:rPr>
          <w:rFonts w:hint="eastAsia" w:ascii="宋体" w:hAnsi="宋体" w:eastAsia="宋体" w:cs="宋体"/>
          <w:color w:val="auto"/>
          <w:szCs w:val="21"/>
        </w:rPr>
        <w:t>8、运行维护</w:t>
      </w:r>
    </w:p>
    <w:p>
      <w:pPr>
        <w:adjustRightInd w:val="0"/>
        <w:snapToGrid w:val="0"/>
        <w:spacing w:line="360" w:lineRule="auto"/>
        <w:ind w:firstLine="560"/>
        <w:rPr>
          <w:rFonts w:ascii="宋体" w:hAnsi="宋体" w:eastAsia="宋体" w:cs="宋体"/>
          <w:color w:val="auto"/>
          <w:szCs w:val="21"/>
        </w:rPr>
      </w:pPr>
      <w:bookmarkStart w:id="8" w:name="_Toc19869"/>
      <w:bookmarkStart w:id="9" w:name="_Toc15749"/>
      <w:bookmarkStart w:id="10" w:name="_Toc15965"/>
      <w:r>
        <w:rPr>
          <w:rFonts w:hint="eastAsia" w:ascii="宋体" w:hAnsi="宋体" w:eastAsia="宋体" w:cs="宋体"/>
          <w:color w:val="auto"/>
          <w:szCs w:val="21"/>
        </w:rPr>
        <w:t>（1）平台建设</w:t>
      </w:r>
      <w:bookmarkEnd w:id="8"/>
      <w:bookmarkEnd w:id="9"/>
      <w:bookmarkEnd w:id="10"/>
    </w:p>
    <w:p>
      <w:pPr>
        <w:wordWrap w:val="0"/>
        <w:topLinePunct/>
        <w:adjustRightInd w:val="0"/>
        <w:snapToGrid w:val="0"/>
        <w:spacing w:line="360" w:lineRule="auto"/>
        <w:ind w:firstLine="560"/>
        <w:jc w:val="left"/>
        <w:rPr>
          <w:rFonts w:ascii="宋体" w:hAnsi="宋体" w:eastAsia="宋体" w:cs="宋体"/>
          <w:color w:val="auto"/>
          <w:szCs w:val="21"/>
        </w:rPr>
      </w:pPr>
      <w:bookmarkStart w:id="11" w:name="_Toc144982726"/>
      <w:r>
        <w:rPr>
          <w:rFonts w:hint="eastAsia" w:ascii="宋体" w:hAnsi="宋体" w:eastAsia="宋体" w:cs="宋体"/>
          <w:color w:val="auto"/>
          <w:szCs w:val="21"/>
        </w:rPr>
        <w:t>地质灾害监测预警平台是集监测现场数据采集、处理、存储等功能，并在通信协议支持下实现与远端的中心站或其它远程设备之间的通讯。主要包括：数据采集及处理、数据查询、数据通道、预警告知（短信）、数据展示。系统采用4G/5G无线通信传输方式。RTU的数据通过4G/5G接入到监测中心。</w:t>
      </w:r>
    </w:p>
    <w:p>
      <w:pPr>
        <w:pStyle w:val="90"/>
        <w:adjustRightInd w:val="0"/>
        <w:snapToGrid w:val="0"/>
        <w:spacing w:line="360" w:lineRule="auto"/>
        <w:ind w:firstLine="480"/>
        <w:rPr>
          <w:rFonts w:ascii="宋体" w:hAnsi="宋体" w:eastAsia="宋体" w:cs="宋体"/>
          <w:color w:val="auto"/>
          <w:szCs w:val="21"/>
        </w:rPr>
      </w:pPr>
      <w:r>
        <w:rPr>
          <w:rFonts w:hint="eastAsia" w:ascii="宋体" w:hAnsi="宋体" w:eastAsia="宋体" w:cs="宋体"/>
          <w:color w:val="auto"/>
          <w:szCs w:val="21"/>
        </w:rPr>
        <w:t>地质灾害监测预警平台需要与省厅数据库搭建对接，省部数据同步一致，提供许昌市局和禹州市局开放端口。</w:t>
      </w:r>
    </w:p>
    <w:p>
      <w:pPr>
        <w:adjustRightInd w:val="0"/>
        <w:snapToGrid w:val="0"/>
        <w:spacing w:line="360" w:lineRule="auto"/>
        <w:ind w:firstLine="560"/>
        <w:rPr>
          <w:rFonts w:ascii="宋体" w:hAnsi="宋体" w:eastAsia="宋体" w:cs="宋体"/>
          <w:color w:val="auto"/>
          <w:szCs w:val="21"/>
        </w:rPr>
      </w:pPr>
      <w:bookmarkStart w:id="12" w:name="_Toc26699"/>
      <w:bookmarkStart w:id="13" w:name="_Toc25831"/>
      <w:bookmarkStart w:id="14" w:name="_Toc24697"/>
      <w:r>
        <w:rPr>
          <w:rFonts w:hint="eastAsia" w:ascii="宋体" w:hAnsi="宋体" w:eastAsia="宋体" w:cs="宋体"/>
          <w:color w:val="auto"/>
          <w:szCs w:val="21"/>
        </w:rPr>
        <w:t>（2）运营维护</w:t>
      </w:r>
      <w:bookmarkEnd w:id="12"/>
      <w:bookmarkEnd w:id="13"/>
      <w:bookmarkEnd w:id="14"/>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系统设备安装调试和地质灾害监测预警平台搭建结束以后，根据宏观迹象（群测群防）、自动化监测（数据分析）和区域预警（地质灾害气象预报）综合研判，位移变形量、位移变形速率及加速度等监测结果确定预警模型，建立预警指标，并进行系统数据运行，运行维护期3年。</w:t>
      </w:r>
    </w:p>
    <w:bookmarkEnd w:id="11"/>
    <w:p>
      <w:pPr>
        <w:numPr>
          <w:ilvl w:val="0"/>
          <w:numId w:val="7"/>
        </w:numPr>
        <w:snapToGrid w:val="0"/>
        <w:spacing w:line="360" w:lineRule="auto"/>
        <w:outlineLvl w:val="0"/>
        <w:rPr>
          <w:rFonts w:ascii="宋体" w:hAnsi="宋体" w:eastAsia="宋体" w:cs="宋体"/>
          <w:b/>
          <w:bCs/>
          <w:color w:val="auto"/>
          <w:szCs w:val="21"/>
        </w:rPr>
      </w:pPr>
      <w:r>
        <w:rPr>
          <w:rFonts w:hint="eastAsia" w:ascii="宋体" w:hAnsi="宋体" w:eastAsia="宋体" w:cs="宋体"/>
          <w:b/>
          <w:bCs/>
          <w:color w:val="auto"/>
          <w:szCs w:val="21"/>
        </w:rPr>
        <w:t>响应</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预警响应要结合宏观地质现象专业监测人员评价地质灾害的稳定性，一旦达到预警级别需按照不同的等级进行处置，按照各个等级给不同的对象发送预警信息，预警信息发布需经审核，报警信息的发布由监测单位和现场群测群防人员协助完成。监测人员、相关责任人收到预警反馈后，进行审核管理，并逐级发布。</w:t>
      </w:r>
    </w:p>
    <w:p>
      <w:pPr>
        <w:snapToGrid w:val="0"/>
        <w:spacing w:line="360" w:lineRule="auto"/>
        <w:outlineLvl w:val="0"/>
        <w:rPr>
          <w:rFonts w:ascii="宋体" w:hAnsi="宋体" w:eastAsia="宋体" w:cs="宋体"/>
          <w:b/>
          <w:bCs/>
          <w:color w:val="auto"/>
          <w:szCs w:val="21"/>
        </w:rPr>
      </w:pPr>
      <w:r>
        <w:rPr>
          <w:rFonts w:hint="eastAsia" w:ascii="宋体" w:hAnsi="宋体" w:eastAsia="宋体" w:cs="宋体"/>
          <w:b/>
          <w:bCs/>
          <w:color w:val="auto"/>
          <w:szCs w:val="21"/>
        </w:rPr>
        <w:t>四、报告编制</w:t>
      </w:r>
    </w:p>
    <w:p>
      <w:pPr>
        <w:adjustRightInd w:val="0"/>
        <w:snapToGrid w:val="0"/>
        <w:spacing w:line="360" w:lineRule="auto"/>
        <w:ind w:firstLine="422" w:firstLineChars="200"/>
        <w:outlineLvl w:val="1"/>
        <w:rPr>
          <w:rFonts w:ascii="宋体" w:hAnsi="宋体" w:eastAsia="宋体" w:cs="宋体"/>
          <w:b/>
          <w:bCs/>
          <w:color w:val="auto"/>
          <w:szCs w:val="21"/>
        </w:rPr>
      </w:pPr>
      <w:bookmarkStart w:id="15" w:name="_Toc9711"/>
      <w:bookmarkStart w:id="16" w:name="_Toc27224"/>
      <w:bookmarkStart w:id="17" w:name="_Toc23081"/>
      <w:r>
        <w:rPr>
          <w:rFonts w:hint="eastAsia" w:ascii="宋体" w:hAnsi="宋体" w:eastAsia="宋体" w:cs="宋体"/>
          <w:b/>
          <w:bCs/>
          <w:color w:val="auto"/>
          <w:szCs w:val="21"/>
        </w:rPr>
        <w:t>1、施工资料整理</w:t>
      </w:r>
      <w:bookmarkEnd w:id="15"/>
      <w:bookmarkEnd w:id="16"/>
      <w:bookmarkEnd w:id="17"/>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WEB端：施工进度管理，施工详情等资料填写。</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施工辅助APP：踏勘、基础施工、设备安装、围栏安装四个施工阶段过程资料填写。</w:t>
      </w:r>
    </w:p>
    <w:p>
      <w:pPr>
        <w:adjustRightInd w:val="0"/>
        <w:snapToGrid w:val="0"/>
        <w:spacing w:line="360" w:lineRule="auto"/>
        <w:ind w:firstLine="422" w:firstLineChars="200"/>
        <w:outlineLvl w:val="1"/>
        <w:rPr>
          <w:rFonts w:ascii="宋体" w:hAnsi="宋体" w:eastAsia="宋体" w:cs="宋体"/>
          <w:b/>
          <w:bCs/>
          <w:color w:val="auto"/>
          <w:szCs w:val="21"/>
        </w:rPr>
      </w:pPr>
      <w:bookmarkStart w:id="18" w:name="_Toc28034"/>
      <w:bookmarkStart w:id="19" w:name="_Toc23673"/>
      <w:bookmarkStart w:id="20" w:name="_Toc25977"/>
      <w:r>
        <w:rPr>
          <w:rFonts w:hint="eastAsia" w:ascii="宋体" w:hAnsi="宋体" w:eastAsia="宋体" w:cs="宋体"/>
          <w:b/>
          <w:bCs/>
          <w:color w:val="auto"/>
          <w:szCs w:val="21"/>
        </w:rPr>
        <w:t>2、竣工资料验收</w:t>
      </w:r>
      <w:bookmarkEnd w:id="18"/>
      <w:bookmarkEnd w:id="19"/>
      <w:bookmarkEnd w:id="20"/>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验收包括设备材料、安装、运行和预警等环节都需要及时组织专家进行验收。</w:t>
      </w:r>
    </w:p>
    <w:p>
      <w:pPr>
        <w:adjustRightInd w:val="0"/>
        <w:snapToGrid w:val="0"/>
        <w:spacing w:line="360" w:lineRule="auto"/>
        <w:ind w:firstLine="422" w:firstLineChars="200"/>
        <w:outlineLvl w:val="1"/>
        <w:rPr>
          <w:rFonts w:ascii="宋体" w:hAnsi="宋体" w:eastAsia="宋体" w:cs="宋体"/>
          <w:b/>
          <w:bCs/>
          <w:color w:val="auto"/>
          <w:szCs w:val="21"/>
        </w:rPr>
      </w:pPr>
      <w:bookmarkStart w:id="21" w:name="_Toc11563"/>
      <w:bookmarkStart w:id="22" w:name="_Toc14391"/>
      <w:bookmarkStart w:id="23" w:name="_Toc27950"/>
      <w:r>
        <w:rPr>
          <w:rFonts w:hint="eastAsia" w:ascii="宋体" w:hAnsi="宋体" w:eastAsia="宋体" w:cs="宋体"/>
          <w:b/>
          <w:bCs/>
          <w:color w:val="auto"/>
          <w:szCs w:val="21"/>
        </w:rPr>
        <w:t>3、成果</w:t>
      </w:r>
      <w:bookmarkEnd w:id="21"/>
      <w:bookmarkEnd w:id="22"/>
      <w:bookmarkEnd w:id="23"/>
      <w:r>
        <w:rPr>
          <w:rFonts w:hint="eastAsia" w:ascii="宋体" w:hAnsi="宋体" w:eastAsia="宋体" w:cs="宋体"/>
          <w:b/>
          <w:bCs/>
          <w:color w:val="auto"/>
          <w:szCs w:val="21"/>
        </w:rPr>
        <w:t>报告编制</w:t>
      </w:r>
    </w:p>
    <w:p>
      <w:p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提交地质灾害监测预警成果，包括监测预警报告、数据附表、监测专题图件和应急监测周报、半月报、月报等资料。</w:t>
      </w:r>
    </w:p>
    <w:p>
      <w:pPr>
        <w:numPr>
          <w:ilvl w:val="0"/>
          <w:numId w:val="8"/>
        </w:numPr>
        <w:tabs>
          <w:tab w:val="left" w:pos="7095"/>
        </w:tabs>
        <w:spacing w:line="360" w:lineRule="auto"/>
        <w:rPr>
          <w:rFonts w:hAnsi="宋体"/>
          <w:b/>
          <w:bCs/>
          <w:color w:val="auto"/>
          <w:szCs w:val="21"/>
          <w:lang w:val="zh-CN"/>
        </w:rPr>
      </w:pPr>
      <w:r>
        <w:rPr>
          <w:rFonts w:hint="eastAsia" w:hAnsi="宋体"/>
          <w:b/>
          <w:bCs/>
          <w:color w:val="auto"/>
          <w:szCs w:val="21"/>
          <w:lang w:val="zh-CN"/>
        </w:rPr>
        <w:t>采购内容及要求</w:t>
      </w:r>
    </w:p>
    <w:p>
      <w:pPr>
        <w:adjustRightInd w:val="0"/>
        <w:snapToGrid w:val="0"/>
        <w:spacing w:line="360" w:lineRule="auto"/>
        <w:ind w:firstLine="420" w:firstLineChars="200"/>
        <w:rPr>
          <w:rFonts w:ascii="Times New Roman" w:hAnsi="Times New Roman" w:eastAsia="仿宋" w:cs="Times New Roman"/>
          <w:color w:val="auto"/>
          <w:sz w:val="24"/>
          <w:szCs w:val="24"/>
        </w:rPr>
      </w:pPr>
      <w:r>
        <w:rPr>
          <w:rFonts w:hint="eastAsia" w:hAnsi="宋体" w:eastAsia="宋体"/>
          <w:color w:val="auto"/>
          <w:szCs w:val="21"/>
        </w:rPr>
        <w:t>禹州市自然资源和规划局禹州市地质灾害隐患点监测预警项目：禹州市地质灾害隐患点监测预警工作分为地质灾害隐患点勘查设计和监测系统建设运维两个方面。具体包括前期踏勘、资料收集、设计方案编制、设计方案审查、监测设备采购、基础建设与设备安装调试、监测试运行、建设项目验收、监测运行、资料提交、运维预警等工作。</w:t>
      </w:r>
    </w:p>
    <w:p>
      <w:pPr>
        <w:spacing w:line="360" w:lineRule="auto"/>
        <w:rPr>
          <w:rFonts w:ascii="宋体" w:hAnsi="宋体" w:eastAsia="宋体" w:cs="宋体"/>
          <w:b/>
          <w:color w:val="auto"/>
          <w:szCs w:val="21"/>
        </w:rPr>
      </w:pPr>
      <w:r>
        <w:rPr>
          <w:rFonts w:hint="eastAsia" w:ascii="宋体" w:hAnsi="宋体" w:eastAsia="宋体" w:cs="宋体"/>
          <w:b/>
          <w:color w:val="auto"/>
          <w:szCs w:val="21"/>
        </w:rPr>
        <w:t>三、采购标的的其他技术、服务等要求</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1、成果要求：</w:t>
      </w:r>
      <w:r>
        <w:rPr>
          <w:rFonts w:hint="eastAsia" w:hAnsi="宋体" w:eastAsia="宋体"/>
          <w:color w:val="auto"/>
          <w:szCs w:val="21"/>
        </w:rPr>
        <w:t>勘查设计</w:t>
      </w:r>
      <w:r>
        <w:rPr>
          <w:rFonts w:hint="eastAsia" w:ascii="宋体" w:hAnsi="宋体" w:eastAsia="宋体" w:cs="宋体"/>
          <w:bCs/>
          <w:color w:val="auto"/>
          <w:szCs w:val="21"/>
        </w:rPr>
        <w:t>提供纸质版和电子版成果资料。</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2、质量要求：符合国家相关法律规定及现行行业标准与规范的要求。</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3、本次招标某些技术标准与国家所要求的标准不统一或有不兼容的地方，均以国家强制性标准或最新出台的标准为准。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4、如果未在竞争性谈判文件中要求提供其相关行业标准或国家强制性标准的，则投标人有责任给予补充说明。</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5、中标方未达到作业计划标准及工作违规或引起纠纷、被上级部门处罚等不良后果，造成重大经济损失或服务严重失误，采购方有权终止本合同，并追究中标方的经济责任。</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6、本谈判文件所列的要求为最低要求，对谈判文件中没有列出的而对本项目必不可少的其他要求，谈判供应商必须给予实现。</w:t>
      </w:r>
    </w:p>
    <w:p>
      <w:pPr>
        <w:spacing w:line="360" w:lineRule="auto"/>
        <w:rPr>
          <w:rFonts w:ascii="宋体" w:hAnsi="宋体" w:eastAsia="宋体" w:cs="宋体"/>
          <w:b/>
          <w:color w:val="auto"/>
          <w:szCs w:val="21"/>
        </w:rPr>
      </w:pPr>
      <w:r>
        <w:rPr>
          <w:rFonts w:hint="eastAsia" w:ascii="宋体" w:hAnsi="宋体" w:eastAsia="宋体" w:cs="宋体"/>
          <w:b/>
          <w:color w:val="auto"/>
          <w:szCs w:val="21"/>
        </w:rPr>
        <w:t>四、验收标准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2、按照招标文件要求、投标文件响应和承诺验收；</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3、项目质量按照国家相关标准及规范,委托第三方进行验收。</w:t>
      </w:r>
    </w:p>
    <w:p>
      <w:pPr>
        <w:wordWrap w:val="0"/>
        <w:spacing w:line="356" w:lineRule="auto"/>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wordWrap w:val="0"/>
        <w:spacing w:line="356" w:lineRule="auto"/>
        <w:ind w:firstLine="420" w:firstLineChars="200"/>
        <w:contextualSpacing/>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56"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56" w:lineRule="auto"/>
        <w:ind w:firstLine="420" w:firstLineChars="200"/>
        <w:contextualSpacing/>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color w:val="auto"/>
          <w:kern w:val="0"/>
          <w:szCs w:val="21"/>
        </w:rPr>
      </w:pPr>
      <w:r>
        <w:rPr>
          <w:rFonts w:hint="eastAsia"/>
          <w:b/>
          <w:bCs/>
          <w:color w:val="auto"/>
          <w:szCs w:val="21"/>
        </w:rPr>
        <w:t>谈判文件中凡标有★条款均为实质性要求条款，响应文件须完全响应，未实质响应的，按照无效响应处理。</w:t>
      </w:r>
    </w:p>
    <w:tbl>
      <w:tblPr>
        <w:tblStyle w:val="2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513" w:type="dxa"/>
            <w:vAlign w:val="center"/>
          </w:tcPr>
          <w:p>
            <w:pPr>
              <w:autoSpaceDE w:val="0"/>
              <w:autoSpaceDN w:val="0"/>
              <w:adjustRightInd w:val="0"/>
              <w:spacing w:line="360" w:lineRule="auto"/>
              <w:rPr>
                <w:color w:val="auto"/>
                <w:szCs w:val="21"/>
              </w:rPr>
            </w:pPr>
            <w:r>
              <w:rPr>
                <w:rFonts w:hint="eastAsia"/>
                <w:color w:val="auto"/>
                <w:szCs w:val="21"/>
              </w:rPr>
              <w:t>项目名称：</w:t>
            </w:r>
            <w:r>
              <w:rPr>
                <w:rFonts w:hint="eastAsia"/>
                <w:bCs/>
                <w:color w:val="auto"/>
                <w:szCs w:val="21"/>
              </w:rPr>
              <w:t>禹州市自然资源和规划局禹州市地质灾害隐患点监测预警项目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513" w:type="dxa"/>
            <w:vAlign w:val="center"/>
          </w:tcPr>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名称：禹州市自然资源和规划局</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地址：许昌市禹州市禹王大道100号</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联系人：李先生 </w:t>
            </w:r>
          </w:p>
          <w:p>
            <w:pPr>
              <w:spacing w:line="44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联系电话：0374-8162011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名称：河南天欧工程管理有限公司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地址：禹州市颖川街道办禹王大道东段北侧第二层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联系人：王中刚 </w:t>
            </w:r>
          </w:p>
          <w:p>
            <w:pPr>
              <w:autoSpaceDE w:val="0"/>
              <w:autoSpaceDN w:val="0"/>
              <w:adjustRightInd w:val="0"/>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联系方式：15136882806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仿宋_GB2312"/>
                <w:color w:val="auto"/>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Cs w:val="21"/>
              </w:rPr>
            </w:pPr>
            <w:r>
              <w:rPr>
                <w:rFonts w:hint="eastAsia" w:ascii="宋体" w:hAnsi="宋体" w:cs="仿宋_GB2312"/>
                <w:color w:val="auto"/>
                <w:szCs w:val="21"/>
              </w:rPr>
              <w:t>中央财政资金+地方配套资金，已落实。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cs="黑体"/>
                <w:color w:val="auto"/>
                <w:szCs w:val="21"/>
              </w:rPr>
              <w:t>5</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color w:val="auto"/>
                <w:szCs w:val="21"/>
              </w:rPr>
              <w:t>合同履行期限</w:t>
            </w:r>
          </w:p>
        </w:tc>
        <w:tc>
          <w:tcPr>
            <w:tcW w:w="6513" w:type="dxa"/>
            <w:vAlign w:val="center"/>
          </w:tcPr>
          <w:p>
            <w:pPr>
              <w:tabs>
                <w:tab w:val="left" w:pos="7095"/>
              </w:tabs>
              <w:spacing w:line="360" w:lineRule="auto"/>
              <w:contextualSpacing/>
              <w:rPr>
                <w:rFonts w:ascii="宋体" w:hAnsi="宋体" w:eastAsia="宋体" w:cs="宋体"/>
                <w:color w:val="auto"/>
                <w:szCs w:val="21"/>
              </w:rPr>
            </w:pPr>
            <w:r>
              <w:rPr>
                <w:rFonts w:hint="eastAsia" w:hAnsi="宋体"/>
                <w:color w:val="auto"/>
                <w:szCs w:val="21"/>
              </w:rPr>
              <w:t>合同签订后20日历天内完成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hint="eastAsia" w:ascii="宋体" w:hAnsi="宋体" w:cs="黑体"/>
                <w:color w:val="auto"/>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Cs w:val="21"/>
              </w:rPr>
            </w:pPr>
            <w:r>
              <w:rPr>
                <w:rFonts w:hint="eastAsia" w:ascii="宋体" w:hAnsi="宋体" w:eastAsia="宋体" w:cs="仿宋"/>
                <w:color w:val="auto"/>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Cs w:val="21"/>
              </w:rPr>
            </w:pPr>
            <w:r>
              <w:rPr>
                <w:rFonts w:hint="eastAsia"/>
                <w:color w:val="auto"/>
                <w:szCs w:val="21"/>
              </w:rPr>
              <w:t>符合国家相关法律规定及现行行业标准与规范的要求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7</w:t>
            </w:r>
          </w:p>
        </w:tc>
        <w:tc>
          <w:tcPr>
            <w:tcW w:w="174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513" w:type="dxa"/>
            <w:vAlign w:val="center"/>
          </w:tcPr>
          <w:p>
            <w:pPr>
              <w:autoSpaceDE w:val="0"/>
              <w:autoSpaceDN w:val="0"/>
              <w:adjustRightInd w:val="0"/>
              <w:spacing w:line="360" w:lineRule="auto"/>
              <w:jc w:val="left"/>
              <w:rPr>
                <w:color w:val="auto"/>
                <w:lang w:val="zh-CN"/>
              </w:rPr>
            </w:pPr>
            <w:r>
              <w:rPr>
                <w:rFonts w:hint="eastAsia"/>
                <w:color w:val="auto"/>
                <w:lang w:val="zh-CN"/>
              </w:rPr>
              <w:t>一、中小企业或者残疾人福利性单位声明函、监狱企业证明文件</w:t>
            </w:r>
          </w:p>
          <w:p>
            <w:pPr>
              <w:autoSpaceDE w:val="0"/>
              <w:autoSpaceDN w:val="0"/>
              <w:adjustRightInd w:val="0"/>
              <w:spacing w:line="360" w:lineRule="auto"/>
              <w:jc w:val="left"/>
              <w:rPr>
                <w:color w:val="auto"/>
                <w:lang w:val="zh-CN"/>
              </w:rPr>
            </w:pPr>
            <w:r>
              <w:rPr>
                <w:rFonts w:hint="eastAsia"/>
                <w:color w:val="auto"/>
                <w:lang w:val="zh-CN"/>
              </w:rPr>
              <w:t>1、中、小、微型企业出具《中小企业声明函》</w:t>
            </w:r>
          </w:p>
          <w:p>
            <w:pPr>
              <w:autoSpaceDE w:val="0"/>
              <w:autoSpaceDN w:val="0"/>
              <w:adjustRightInd w:val="0"/>
              <w:spacing w:line="360" w:lineRule="auto"/>
              <w:jc w:val="left"/>
              <w:rPr>
                <w:color w:val="auto"/>
                <w:lang w:val="zh-CN"/>
              </w:rPr>
            </w:pPr>
            <w:r>
              <w:rPr>
                <w:rFonts w:hint="eastAsia"/>
                <w:color w:val="auto"/>
                <w:lang w:val="zh-CN"/>
              </w:rPr>
              <w:t>2、残疾人福利性单位出具《残疾人福利企业声明函》</w:t>
            </w:r>
          </w:p>
          <w:p>
            <w:pPr>
              <w:autoSpaceDE w:val="0"/>
              <w:autoSpaceDN w:val="0"/>
              <w:adjustRightInd w:val="0"/>
              <w:spacing w:line="360" w:lineRule="auto"/>
              <w:jc w:val="left"/>
              <w:rPr>
                <w:color w:val="auto"/>
              </w:rPr>
            </w:pPr>
            <w:r>
              <w:rPr>
                <w:rFonts w:hint="eastAsia"/>
                <w:color w:val="auto"/>
              </w:rPr>
              <w:t>3、监狱企业提供由省级以上监狱管理局、戒毒管理局（含新疆生产建设兵团）出具的属于监狱企业的证明文件</w:t>
            </w:r>
          </w:p>
          <w:p>
            <w:pPr>
              <w:numPr>
                <w:ilvl w:val="0"/>
                <w:numId w:val="9"/>
              </w:numPr>
              <w:autoSpaceDE w:val="0"/>
              <w:autoSpaceDN w:val="0"/>
              <w:adjustRightInd w:val="0"/>
              <w:spacing w:line="360" w:lineRule="auto"/>
              <w:jc w:val="left"/>
              <w:rPr>
                <w:color w:val="auto"/>
              </w:rPr>
            </w:pPr>
            <w:r>
              <w:rPr>
                <w:rFonts w:hint="eastAsia"/>
                <w:color w:val="auto"/>
              </w:rPr>
              <w:t>符合《政府采购法》第二十二条规定</w:t>
            </w:r>
          </w:p>
          <w:p>
            <w:pPr>
              <w:pStyle w:val="26"/>
              <w:ind w:firstLine="0" w:firstLineChars="0"/>
              <w:rPr>
                <w:color w:val="auto"/>
                <w:sz w:val="21"/>
                <w:szCs w:val="21"/>
              </w:rPr>
            </w:pPr>
            <w:r>
              <w:rPr>
                <w:rFonts w:hint="eastAsia"/>
                <w:color w:val="auto"/>
                <w:sz w:val="21"/>
                <w:szCs w:val="21"/>
              </w:rPr>
              <w:t>三、本项目的特定资格要求：详见谈判公告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color w:val="auto"/>
                <w:szCs w:val="21"/>
              </w:rPr>
            </w:pPr>
          </w:p>
        </w:tc>
        <w:tc>
          <w:tcPr>
            <w:tcW w:w="1748" w:type="dxa"/>
            <w:vMerge w:val="continue"/>
            <w:vAlign w:val="center"/>
          </w:tcPr>
          <w:p>
            <w:pPr>
              <w:autoSpaceDE w:val="0"/>
              <w:autoSpaceDN w:val="0"/>
              <w:adjustRightInd w:val="0"/>
              <w:spacing w:line="276" w:lineRule="auto"/>
              <w:jc w:val="center"/>
              <w:rPr>
                <w:rFonts w:ascii="宋体" w:hAnsi="宋体" w:eastAsia="宋体" w:cs="宋体"/>
                <w:b/>
                <w:color w:val="auto"/>
                <w:szCs w:val="21"/>
              </w:rPr>
            </w:pPr>
          </w:p>
        </w:tc>
        <w:tc>
          <w:tcPr>
            <w:tcW w:w="6513" w:type="dxa"/>
            <w:vAlign w:val="center"/>
          </w:tcPr>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“中国社会组织政务服务平台”网站（www.chinanpo.gov.cn）严重违法失信社会组织名单的供应商（联合体形式投标的，联合体成员存在不良信用记录，视同联合体存在不良信用记录）。</w:t>
            </w:r>
          </w:p>
          <w:p>
            <w:pPr>
              <w:spacing w:line="360" w:lineRule="auto"/>
              <w:rPr>
                <w:rFonts w:ascii="宋体" w:hAnsi="宋体" w:eastAsia="宋体" w:cs="宋体"/>
                <w:color w:val="auto"/>
              </w:rPr>
            </w:pPr>
            <w:r>
              <w:rPr>
                <w:rFonts w:hint="eastAsia" w:ascii="宋体" w:hAnsi="宋体" w:eastAsia="宋体" w:cs="宋体"/>
                <w:color w:val="auto"/>
              </w:rPr>
              <w:t>1、查询渠道：</w:t>
            </w:r>
          </w:p>
          <w:p>
            <w:pPr>
              <w:spacing w:line="360" w:lineRule="auto"/>
              <w:rPr>
                <w:rFonts w:ascii="宋体" w:hAnsi="宋体" w:eastAsia="宋体" w:cs="宋体"/>
                <w:color w:val="auto"/>
              </w:rPr>
            </w:pPr>
            <w:r>
              <w:rPr>
                <w:rFonts w:hint="eastAsia" w:ascii="宋体" w:hAnsi="宋体" w:eastAsia="宋体" w:cs="宋体"/>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ascii="宋体" w:hAnsi="宋体" w:eastAsia="宋体" w:cs="宋体"/>
                <w:color w:val="auto"/>
              </w:rPr>
            </w:pPr>
            <w:r>
              <w:rPr>
                <w:rFonts w:hint="eastAsia" w:ascii="宋体" w:hAnsi="宋体" w:eastAsia="宋体" w:cs="宋体"/>
                <w:color w:val="auto"/>
              </w:rPr>
              <w:t>③“中国社会组织政务服务平台”网站（www.chinanpo.gov.cn）（仅查询社会组织）；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1、供应商在投标时，提供《禹州市政府采购供应商信用承诺函》（详见招标文件第八章3.4格式），无需再提交上述第一至七项证明材料。</w:t>
            </w:r>
          </w:p>
          <w:p>
            <w:pPr>
              <w:autoSpaceDE w:val="0"/>
              <w:autoSpaceDN w:val="0"/>
              <w:spacing w:line="360" w:lineRule="auto"/>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2、采购人有权在签订合同前要求中标供应商提供相关证明材料以核实中标供应商承诺事项的真实性。</w:t>
            </w:r>
          </w:p>
          <w:p>
            <w:pPr>
              <w:pStyle w:val="11"/>
              <w:spacing w:line="360" w:lineRule="auto"/>
              <w:ind w:firstLine="422" w:firstLineChars="200"/>
              <w:rPr>
                <w:rFonts w:ascii="宋体"/>
                <w:color w:val="auto"/>
                <w:szCs w:val="21"/>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513" w:type="dxa"/>
            <w:vAlign w:val="center"/>
          </w:tcPr>
          <w:p>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本项目最高限价为：182.52万元</w:t>
            </w:r>
          </w:p>
          <w:p>
            <w:pPr>
              <w:autoSpaceDE w:val="0"/>
              <w:autoSpaceDN w:val="0"/>
              <w:adjustRightInd w:val="0"/>
              <w:spacing w:line="360" w:lineRule="auto"/>
              <w:rPr>
                <w:rFonts w:ascii="宋体" w:hAnsi="宋体" w:eastAsia="宋体" w:cs="宋体"/>
                <w:bCs/>
                <w:color w:val="auto"/>
                <w:szCs w:val="21"/>
                <w:highlight w:val="yellow"/>
                <w:lang w:val="zh-CN"/>
              </w:rPr>
            </w:pPr>
            <w:r>
              <w:rPr>
                <w:rFonts w:hint="eastAsia" w:ascii="宋体" w:hAnsi="宋体" w:eastAsia="宋体" w:cs="宋体"/>
                <w:color w:val="auto"/>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14</w:t>
            </w:r>
          </w:p>
        </w:tc>
        <w:tc>
          <w:tcPr>
            <w:tcW w:w="1748"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Cs w:val="21"/>
                <w:lang w:val="zh-CN"/>
              </w:rPr>
            </w:pPr>
            <w:r>
              <w:rPr>
                <w:rFonts w:hint="eastAsia" w:ascii="宋体" w:hAnsi="宋体" w:eastAsia="宋体" w:cs="宋体"/>
                <w:b/>
                <w:color w:val="auto"/>
                <w:kern w:val="0"/>
                <w:szCs w:val="21"/>
              </w:rPr>
              <w:t>2024年</w:t>
            </w:r>
            <w:r>
              <w:rPr>
                <w:rFonts w:hint="eastAsia" w:ascii="宋体" w:hAnsi="宋体" w:eastAsia="宋体" w:cs="宋体"/>
                <w:b/>
                <w:color w:val="auto"/>
                <w:kern w:val="0"/>
                <w:szCs w:val="21"/>
                <w:lang w:val="en-US" w:eastAsia="zh-CN"/>
              </w:rPr>
              <w:t>5</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9</w:t>
            </w:r>
            <w:r>
              <w:rPr>
                <w:rFonts w:hint="eastAsia" w:ascii="宋体" w:hAnsi="宋体" w:eastAsia="宋体" w:cs="宋体"/>
                <w:b/>
                <w:color w:val="auto"/>
                <w:kern w:val="0"/>
                <w:szCs w:val="21"/>
              </w:rPr>
              <w:t>日</w:t>
            </w:r>
            <w:r>
              <w:rPr>
                <w:rFonts w:hint="eastAsia" w:ascii="宋体" w:hAnsi="宋体" w:eastAsia="宋体" w:cs="宋体"/>
                <w:b/>
                <w:color w:val="auto"/>
                <w:kern w:val="0"/>
                <w:szCs w:val="21"/>
                <w:lang w:val="en-US" w:eastAsia="zh-CN"/>
              </w:rPr>
              <w:t>8</w:t>
            </w:r>
            <w:r>
              <w:rPr>
                <w:rFonts w:hint="eastAsia" w:ascii="宋体" w:hAnsi="宋体" w:eastAsia="宋体" w:cs="宋体"/>
                <w:b/>
                <w:color w:val="auto"/>
                <w:kern w:val="0"/>
                <w:szCs w:val="21"/>
              </w:rPr>
              <w:t xml:space="preserve"> 时</w:t>
            </w:r>
            <w:r>
              <w:rPr>
                <w:rFonts w:hint="eastAsia" w:ascii="宋体" w:hAnsi="宋体" w:eastAsia="宋体" w:cs="宋体"/>
                <w:b/>
                <w:color w:val="auto"/>
                <w:kern w:val="0"/>
                <w:szCs w:val="21"/>
                <w:lang w:val="en-US" w:eastAsia="zh-CN"/>
              </w:rPr>
              <w:t>30</w:t>
            </w:r>
            <w:r>
              <w:rPr>
                <w:rFonts w:hint="eastAsia" w:ascii="宋体" w:hAnsi="宋体" w:eastAsia="宋体" w:cs="宋体"/>
                <w:b/>
                <w:color w:val="auto"/>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16</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文件开启地点</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cs="宋体" w:asciiTheme="minorEastAsia" w:hAnsiTheme="minorEastAsia"/>
                <w:bCs/>
                <w:color w:val="auto"/>
                <w:szCs w:val="21"/>
              </w:rPr>
              <w:t>禹州市公共资源交易中心开标</w:t>
            </w:r>
            <w:r>
              <w:rPr>
                <w:rFonts w:hint="eastAsia" w:cs="宋体" w:asciiTheme="minorEastAsia" w:hAnsiTheme="minorEastAsia"/>
                <w:bCs/>
                <w:color w:val="auto"/>
                <w:szCs w:val="21"/>
                <w:lang w:eastAsia="zh-CN"/>
              </w:rPr>
              <w:t>二</w:t>
            </w:r>
            <w:r>
              <w:rPr>
                <w:rFonts w:hint="eastAsia" w:cs="宋体" w:asciiTheme="minorEastAsia" w:hAnsiTheme="minorEastAsia"/>
                <w:bCs/>
                <w:color w:val="auto"/>
                <w:szCs w:val="21"/>
              </w:rPr>
              <w:t xml:space="preserve"> 室</w:t>
            </w:r>
            <w:r>
              <w:rPr>
                <w:rFonts w:hint="eastAsia" w:cs="宋体" w:asciiTheme="minorEastAsia" w:hAnsiTheme="minorEastAsia"/>
                <w:bCs/>
                <w:color w:val="auto"/>
                <w:szCs w:val="21"/>
              </w:rPr>
              <w:t>（地址：禹州市行政服务中心楼九楼）（</w:t>
            </w:r>
            <w:r>
              <w:rPr>
                <w:rFonts w:hint="eastAsia" w:cs="宋体" w:asciiTheme="minorEastAsia" w:hAnsiTheme="minorEastAsia"/>
                <w:b/>
                <w:bCs/>
                <w:color w:val="auto"/>
                <w:szCs w:val="21"/>
              </w:rPr>
              <w:t>本项目采用远程不见面谈判，供应商无须到达现场</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1、不缴纳。</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Cs w:val="21"/>
              </w:rPr>
            </w:pPr>
            <w:r>
              <w:rPr>
                <w:rFonts w:hint="eastAsia" w:ascii="宋体" w:hAnsi="宋体" w:cs="仿宋_GB2312"/>
                <w:color w:val="auto"/>
                <w:szCs w:val="21"/>
              </w:rPr>
              <w:t>谈判文件费用</w:t>
            </w:r>
          </w:p>
          <w:p>
            <w:pPr>
              <w:autoSpaceDE w:val="0"/>
              <w:autoSpaceDN w:val="0"/>
              <w:adjustRightInd w:val="0"/>
              <w:spacing w:line="360" w:lineRule="auto"/>
              <w:jc w:val="center"/>
              <w:rPr>
                <w:rFonts w:ascii="宋体" w:hAnsi="宋体" w:eastAsia="宋体" w:cs="宋体"/>
                <w:color w:val="auto"/>
                <w:kern w:val="0"/>
                <w:szCs w:val="21"/>
                <w:highlight w:val="yellow"/>
              </w:rPr>
            </w:pPr>
            <w:r>
              <w:rPr>
                <w:rFonts w:hint="eastAsia" w:ascii="宋体" w:hAnsi="宋体" w:cs="仿宋_GB2312"/>
                <w:color w:val="auto"/>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yellow"/>
              </w:rPr>
            </w:pPr>
            <w:r>
              <w:rPr>
                <w:rFonts w:hint="eastAsia" w:ascii="宋体" w:hAnsi="宋体" w:cs="宋体"/>
                <w:color w:val="auto"/>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谈判公告、成交公告、变更（更正）公告、现场勘探答复等相关信息同时在以下网站发布：</w:t>
            </w:r>
            <w:r>
              <w:rPr>
                <w:rFonts w:hint="eastAsia" w:asciiTheme="majorEastAsia" w:hAnsiTheme="majorEastAsia" w:eastAsiaTheme="majorEastAsia" w:cstheme="majorEastAsia"/>
                <w:color w:val="auto"/>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w:t>
            </w:r>
            <w:r>
              <w:rPr>
                <w:rFonts w:hint="eastAsia" w:ascii="宋体" w:hAnsi="宋体" w:eastAsia="宋体" w:cs="宋体"/>
                <w:bCs/>
                <w:color w:val="auto"/>
                <w:szCs w:val="21"/>
              </w:rPr>
              <w:t>7</w:t>
            </w:r>
            <w:r>
              <w:rPr>
                <w:rFonts w:hint="eastAsia" w:ascii="宋体" w:hAnsi="宋体" w:eastAsia="宋体" w:cs="宋体"/>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Cs w:val="21"/>
              </w:rPr>
            </w:pPr>
            <w:r>
              <w:rPr>
                <w:rFonts w:hint="eastAsia" w:ascii="宋体" w:hAnsi="宋体" w:eastAsia="宋体" w:cs="Times New Roman"/>
                <w:color w:val="auto"/>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谈判小组组建</w:t>
            </w:r>
          </w:p>
        </w:tc>
        <w:tc>
          <w:tcPr>
            <w:tcW w:w="65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Cs w:val="21"/>
                <w:lang w:val="zh-CN"/>
              </w:rPr>
            </w:pPr>
            <w:r>
              <w:rPr>
                <w:rFonts w:ascii="Segoe UI Symbol" w:hAnsi="Segoe UI Symbol" w:eastAsia="宋体" w:cs="Segoe UI Symbol"/>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513" w:type="dxa"/>
            <w:vAlign w:val="center"/>
          </w:tcPr>
          <w:p>
            <w:pPr>
              <w:autoSpaceDE w:val="0"/>
              <w:autoSpaceDN w:val="0"/>
              <w:spacing w:line="360" w:lineRule="auto"/>
              <w:contextualSpacing/>
              <w:rPr>
                <w:color w:val="auto"/>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招标代理服务费由中标人支付，按照豫招协〔</w:t>
            </w:r>
            <w:r>
              <w:rPr>
                <w:color w:val="auto"/>
              </w:rPr>
              <w:t>20</w:t>
            </w:r>
            <w:r>
              <w:rPr>
                <w:rFonts w:hint="eastAsia"/>
                <w:color w:val="auto"/>
              </w:rPr>
              <w:t>23〕002《河南省招标代理服务收费指导意见》收取，由中标单位在领取中标通知书时一次性支付给代理机构。</w:t>
            </w:r>
          </w:p>
          <w:p>
            <w:pPr>
              <w:autoSpaceDE w:val="0"/>
              <w:autoSpaceDN w:val="0"/>
              <w:spacing w:line="360" w:lineRule="auto"/>
              <w:contextualSpacing/>
              <w:rPr>
                <w:color w:val="auto"/>
                <w:szCs w:val="21"/>
              </w:rPr>
            </w:pPr>
            <w:r>
              <w:rPr>
                <w:rFonts w:hint="eastAsia"/>
                <w:color w:val="auto"/>
                <w:szCs w:val="21"/>
              </w:rPr>
              <w:t>招标代理服务收费按差额定率累计法计算：</w:t>
            </w:r>
          </w:p>
          <w:p>
            <w:pPr>
              <w:pStyle w:val="26"/>
              <w:ind w:firstLine="340"/>
              <w:rPr>
                <w:rFonts w:hAnsi="宋体" w:cs="宋体"/>
                <w:bCs/>
                <w:color w:val="auto"/>
                <w:szCs w:val="21"/>
                <w:lang w:val="zh-CN"/>
              </w:rPr>
            </w:pPr>
            <w:r>
              <w:rPr>
                <w:rFonts w:hint="eastAsia"/>
                <w:color w:val="auto"/>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28</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513" w:type="dxa"/>
            <w:vAlign w:val="center"/>
          </w:tcPr>
          <w:p>
            <w:pPr>
              <w:numPr>
                <w:ilvl w:val="0"/>
                <w:numId w:val="10"/>
              </w:num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10"/>
              </w:num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本次采购标的对应的中、小、微型企业划分标准所属行业：</w:t>
            </w:r>
            <w:r>
              <w:rPr>
                <w:rFonts w:hint="eastAsia" w:cs="宋体" w:asciiTheme="minorEastAsia" w:hAnsiTheme="minorEastAsia"/>
                <w:bCs/>
                <w:color w:val="auto"/>
                <w:szCs w:val="21"/>
                <w:lang w:val="zh-CN"/>
              </w:rPr>
              <w:t>地质灾害治理服务</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3</w:t>
            </w:r>
            <w:r>
              <w:rPr>
                <w:rFonts w:hint="eastAsia" w:cs="宋体" w:asciiTheme="minorEastAsia" w:hAnsiTheme="minorEastAsia"/>
                <w:bCs/>
                <w:color w:val="auto"/>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cs="宋体" w:asciiTheme="minorEastAsia" w:hAnsiTheme="minorEastAsia"/>
                <w:b/>
                <w:color w:val="auto"/>
                <w:kern w:val="0"/>
                <w:szCs w:val="21"/>
                <w:lang w:val="zh-CN"/>
              </w:rPr>
            </w:pP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29</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5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政府采购合同融资政策告知函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1</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成交供应商需提交的资料</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联系电话：15136882806，邮箱：2497631602qq</w:t>
            </w:r>
            <w:r>
              <w:rPr>
                <w:rFonts w:hint="eastAsia" w:cs="宋体" w:asciiTheme="minorEastAsia" w:hAnsiTheme="minorEastAsia"/>
                <w:color w:val="auto"/>
                <w:szCs w:val="21"/>
              </w:rPr>
              <w:t>com</w:t>
            </w:r>
            <w:r>
              <w:rPr>
                <w:rFonts w:hint="eastAsia" w:cs="宋体" w:asciiTheme="minorEastAsia" w:hAnsiTheme="minorEastAsia"/>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2</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ascii="宋体" w:hAnsi="宋体" w:eastAsia="宋体" w:cs="宋体"/>
                <w:color w:val="auto"/>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根据谈判小组要求，供应商须使用</w:t>
            </w:r>
            <w:r>
              <w:rPr>
                <w:rFonts w:cs="宋体" w:asciiTheme="minorEastAsia" w:hAnsiTheme="minorEastAsia"/>
                <w:color w:val="auto"/>
                <w:szCs w:val="21"/>
              </w:rPr>
              <w:t>CA数字证书</w:t>
            </w:r>
            <w:r>
              <w:rPr>
                <w:rFonts w:hint="eastAsia" w:cs="宋体" w:asciiTheme="minorEastAsia" w:hAnsiTheme="minorEastAsia"/>
                <w:color w:val="auto"/>
                <w:szCs w:val="21"/>
              </w:rPr>
              <w:t>登录《全国公共资源交易平台(河南省▪许昌市)》公共资源交易系统（</w:t>
            </w:r>
            <w:r>
              <w:rPr>
                <w:rFonts w:cs="宋体" w:asciiTheme="minorEastAsia" w:hAnsiTheme="minorEastAsia"/>
                <w:color w:val="auto"/>
                <w:szCs w:val="21"/>
              </w:rPr>
              <w:t>http://ggzy.xuchang.gov.cn:8088/ggzy/</w:t>
            </w:r>
            <w:r>
              <w:rPr>
                <w:rFonts w:hint="eastAsia" w:cs="宋体" w:asciiTheme="minorEastAsia" w:hAnsiTheme="minorEastAsia"/>
                <w:color w:val="auto"/>
                <w:szCs w:val="21"/>
              </w:rPr>
              <w:t>）进行最后报价，最后报价应包括：①总报价②分项报价。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注：</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不同供应商电子投标文件制作硬件特征码（网卡MAC地址、CPU序号、硬盘序列号）均一致时，视为‘</w:t>
            </w:r>
            <w:r>
              <w:rPr>
                <w:rFonts w:cs="宋体" w:asciiTheme="minorEastAsia" w:hAnsiTheme="minorEastAsia"/>
                <w:color w:val="auto"/>
                <w:szCs w:val="21"/>
              </w:rPr>
              <w:t>不同</w:t>
            </w:r>
            <w:r>
              <w:rPr>
                <w:rFonts w:hint="eastAsia" w:cs="宋体" w:asciiTheme="minorEastAsia" w:hAnsiTheme="minorEastAsia"/>
                <w:color w:val="auto"/>
                <w:szCs w:val="21"/>
              </w:rPr>
              <w:t>投标人的投标</w:t>
            </w:r>
            <w:r>
              <w:rPr>
                <w:rFonts w:cs="宋体" w:asciiTheme="minorEastAsia" w:hAnsiTheme="minorEastAsia"/>
                <w:color w:val="auto"/>
                <w:szCs w:val="21"/>
              </w:rPr>
              <w:t>文件由同一单位或者个人编制</w:t>
            </w:r>
            <w:r>
              <w:rPr>
                <w:rFonts w:hint="eastAsia" w:cs="宋体" w:asciiTheme="minorEastAsia" w:hAnsiTheme="minorEastAsia"/>
                <w:color w:val="auto"/>
                <w:szCs w:val="21"/>
              </w:rPr>
              <w:t>’或‘</w:t>
            </w:r>
            <w:r>
              <w:rPr>
                <w:rFonts w:cs="宋体" w:asciiTheme="minorEastAsia" w:hAnsiTheme="minorEastAsia"/>
                <w:color w:val="auto"/>
                <w:szCs w:val="21"/>
              </w:rPr>
              <w:t>不同</w:t>
            </w:r>
            <w:r>
              <w:rPr>
                <w:rFonts w:hint="eastAsia" w:cs="宋体" w:asciiTheme="minorEastAsia" w:hAnsiTheme="minorEastAsia"/>
                <w:color w:val="auto"/>
                <w:szCs w:val="21"/>
              </w:rPr>
              <w:t>投标人</w:t>
            </w:r>
            <w:r>
              <w:rPr>
                <w:rFonts w:cs="宋体" w:asciiTheme="minorEastAsia" w:hAnsiTheme="minorEastAsia"/>
                <w:color w:val="auto"/>
                <w:szCs w:val="21"/>
              </w:rPr>
              <w:t>委托同一单位或者个人办理</w:t>
            </w:r>
            <w:r>
              <w:rPr>
                <w:rFonts w:hint="eastAsia" w:cs="宋体" w:asciiTheme="minorEastAsia" w:hAnsiTheme="minorEastAsia"/>
                <w:color w:val="auto"/>
                <w:szCs w:val="21"/>
              </w:rPr>
              <w:t>响应</w:t>
            </w:r>
            <w:r>
              <w:rPr>
                <w:rFonts w:cs="宋体" w:asciiTheme="minorEastAsia" w:hAnsiTheme="minorEastAsia"/>
                <w:color w:val="auto"/>
                <w:szCs w:val="21"/>
              </w:rPr>
              <w:t>事宜</w:t>
            </w:r>
            <w:r>
              <w:rPr>
                <w:rFonts w:hint="eastAsia" w:cs="宋体" w:asciiTheme="minorEastAsia" w:hAnsiTheme="minorEastAsia"/>
                <w:color w:val="auto"/>
                <w:szCs w:val="21"/>
              </w:rPr>
              <w:t>’，其投标无效。</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2、项目编号以本谈判文件中的采购编号为准：</w:t>
            </w:r>
          </w:p>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35</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ascii="宋体" w:hAnsi="宋体" w:eastAsia="宋体" w:cs="宋体"/>
                <w:color w:val="auto"/>
              </w:rPr>
            </w:pPr>
            <w:r>
              <w:rPr>
                <w:rFonts w:hint="eastAsia" w:ascii="宋体" w:hAnsi="宋体" w:eastAsia="宋体" w:cs="宋体"/>
                <w:color w:val="auto"/>
              </w:rPr>
              <w:t>①2022年度经审计的财务报告，包括资产负债表、利润表、现金流量表、所有者权益变动表及其附注；</w:t>
            </w:r>
          </w:p>
          <w:p>
            <w:pPr>
              <w:spacing w:line="360" w:lineRule="auto"/>
              <w:rPr>
                <w:rFonts w:ascii="宋体" w:hAnsi="宋体" w:eastAsia="宋体" w:cs="宋体"/>
                <w:color w:val="auto"/>
              </w:rPr>
            </w:pPr>
            <w:r>
              <w:rPr>
                <w:rFonts w:hint="eastAsia" w:ascii="宋体" w:hAnsi="宋体" w:eastAsia="宋体" w:cs="宋体"/>
                <w:color w:val="auto"/>
              </w:rPr>
              <w:t>②银行出具的资信证明；</w:t>
            </w:r>
          </w:p>
          <w:p>
            <w:pPr>
              <w:spacing w:line="360" w:lineRule="auto"/>
              <w:rPr>
                <w:rFonts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“中国社会组织政务服务平台”网站（www.chinanpo.gov.cn）严重违法失信社会组织名单的供应商（联合体形式投标的，联合体成员存在不良信用记录，视同联合体存在不良信用记录）。</w:t>
            </w:r>
          </w:p>
          <w:p>
            <w:pPr>
              <w:spacing w:line="360" w:lineRule="auto"/>
              <w:rPr>
                <w:rFonts w:ascii="宋体" w:hAnsi="宋体" w:eastAsia="宋体" w:cs="宋体"/>
                <w:color w:val="auto"/>
              </w:rPr>
            </w:pPr>
            <w:r>
              <w:rPr>
                <w:rFonts w:hint="eastAsia" w:ascii="宋体" w:hAnsi="宋体" w:eastAsia="宋体" w:cs="宋体"/>
                <w:color w:val="auto"/>
              </w:rPr>
              <w:t>1、查询渠道：</w:t>
            </w:r>
          </w:p>
          <w:p>
            <w:pPr>
              <w:spacing w:line="360" w:lineRule="auto"/>
              <w:rPr>
                <w:rFonts w:ascii="宋体" w:hAnsi="宋体" w:eastAsia="宋体" w:cs="宋体"/>
                <w:color w:val="auto"/>
              </w:rPr>
            </w:pPr>
            <w:r>
              <w:rPr>
                <w:rFonts w:hint="eastAsia" w:ascii="宋体" w:hAnsi="宋体" w:eastAsia="宋体" w:cs="宋体"/>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rPr>
              <w:t>②“中国政府采购网”（www.ccgp.gov.cn）</w:t>
            </w:r>
          </w:p>
          <w:p>
            <w:pPr>
              <w:spacing w:line="360" w:lineRule="auto"/>
              <w:rPr>
                <w:color w:val="auto"/>
              </w:rPr>
            </w:pPr>
            <w:r>
              <w:rPr>
                <w:rFonts w:hint="eastAsia" w:ascii="宋体" w:hAnsi="宋体" w:eastAsia="宋体" w:cs="宋体"/>
                <w:color w:val="auto"/>
              </w:rPr>
              <w:t>③“中国社会组织政务服务平台”网站（www.chinanpo.gov.cn）（仅查询社会组织）；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36</w:t>
            </w:r>
          </w:p>
        </w:tc>
        <w:tc>
          <w:tcPr>
            <w:tcW w:w="174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Cs w:val="21"/>
              </w:rPr>
            </w:pPr>
            <w:r>
              <w:rPr>
                <w:rFonts w:hint="eastAsia" w:ascii="宋体" w:hAnsi="宋体" w:eastAsia="宋体" w:cs="宋体"/>
                <w:color w:val="auto"/>
                <w:position w:val="6"/>
                <w:szCs w:val="21"/>
              </w:rPr>
              <w:t>未尽事宜，按国家有关规定执行。</w:t>
            </w:r>
          </w:p>
        </w:tc>
      </w:tr>
    </w:tbl>
    <w:p>
      <w:pPr>
        <w:pStyle w:val="26"/>
        <w:ind w:firstLine="0" w:firstLineChars="0"/>
        <w:rPr>
          <w:color w:val="auto"/>
        </w:rPr>
      </w:pPr>
    </w:p>
    <w:p>
      <w:pPr>
        <w:pStyle w:val="26"/>
        <w:ind w:firstLine="0" w:firstLineChars="0"/>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cs="宋体" w:asciiTheme="minorEastAsia" w:hAnsiTheme="minorEastAsia"/>
          <w:color w:val="auto"/>
          <w:kern w:val="0"/>
          <w:szCs w:val="21"/>
        </w:rPr>
        <w:t>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24" w:name="baidusnap0"/>
      <w:bookmarkEnd w:id="24"/>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eastAsia="宋体" w:cs="宋体"/>
          <w:color w:val="auto"/>
          <w:kern w:val="0"/>
          <w:szCs w:val="21"/>
        </w:rPr>
        <w:t>4.7 供应商根据谈判文件要求及自身条件制定合理的技术方案和售后服务承诺，技术方案和售后服务承诺须有法定代表人审核签字,否则其投标将被拒绝。</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color w:val="auto"/>
          <w:kern w:val="0"/>
          <w:szCs w:val="21"/>
        </w:rPr>
        <w:t>投标文件须单独提供廉政方案，并由单位法定代表人（单位负责人）签字，否则将否决其投标</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13.4</w:t>
      </w:r>
      <w:r>
        <w:rPr>
          <w:rFonts w:hint="eastAsia" w:ascii="宋体" w:hAnsi="宋体" w:eastAsia="宋体" w:cs="宋体"/>
          <w:color w:val="auto"/>
          <w:kern w:val="0"/>
          <w:szCs w:val="21"/>
        </w:rPr>
        <w:t>本项目所涉及的运输、施工、安装、集成、调试、验收、备品和工具等费用均包含在投标报价中。</w:t>
      </w:r>
      <w:r>
        <w:rPr>
          <w:rFonts w:hint="eastAsia" w:ascii="宋体" w:hAnsi="宋体" w:eastAsia="宋体" w:cs="宋体"/>
          <w:color w:val="auto"/>
          <w:kern w:val="0"/>
          <w:szCs w:val="21"/>
        </w:rPr>
        <w:t>单独承诺响应报价包含对在一切产生的费用，以及对在运输安装过程中的一切安全问题负责，否则为无效投标。</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w:t>
      </w:r>
      <w:r>
        <w:rPr>
          <w:rFonts w:hint="eastAsia" w:ascii="宋体" w:hAnsi="宋体" w:eastAsia="宋体" w:cs="宋体"/>
          <w:color w:val="auto"/>
          <w:kern w:val="0"/>
          <w:szCs w:val="21"/>
        </w:rPr>
        <w:t>投标文件中投标人应附“合同履行期限承诺书”（承诺格式自拟，否则投标无效。）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4"/>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4"/>
        <w:numPr>
          <w:ilvl w:val="1"/>
          <w:numId w:val="11"/>
        </w:numPr>
        <w:autoSpaceDE w:val="0"/>
        <w:autoSpaceDN w:val="0"/>
        <w:spacing w:line="360" w:lineRule="auto"/>
        <w:ind w:firstLineChars="0"/>
        <w:contextualSpacing/>
        <w:rPr>
          <w:rFonts w:ascii="ˎ̥" w:hAnsi="ˎ̥"/>
          <w:vanish/>
          <w:color w:val="auto"/>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4"/>
        <w:numPr>
          <w:ilvl w:val="0"/>
          <w:numId w:val="12"/>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4"/>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4"/>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4"/>
        <w:numPr>
          <w:ilvl w:val="0"/>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1"/>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4"/>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4"/>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4"/>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4"/>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4"/>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rPr>
          <w:rFonts w:cs="宋体" w:asciiTheme="minorEastAsia" w:hAnsiTheme="minorEastAsia"/>
          <w:b/>
          <w:color w:val="auto"/>
          <w:kern w:val="0"/>
          <w:szCs w:val="21"/>
        </w:rPr>
      </w:pPr>
      <w:r>
        <w:rPr>
          <w:rFonts w:hint="eastAsia" w:cs="宋体" w:asciiTheme="minorEastAsia" w:hAnsiTheme="minorEastAsia"/>
          <w:b/>
          <w:color w:val="auto"/>
          <w:kern w:val="0"/>
          <w:szCs w:val="21"/>
        </w:rPr>
        <w:br w:type="page"/>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4"/>
        <w:numPr>
          <w:ilvl w:val="0"/>
          <w:numId w:val="15"/>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pPr>
        <w:pStyle w:val="54"/>
        <w:numPr>
          <w:ilvl w:val="1"/>
          <w:numId w:val="16"/>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pStyle w:val="83"/>
        <w:rPr>
          <w:color w:val="auto"/>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8"/>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本项目非专门面向中小企业预留采购份额</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rPr>
        <w:t>1</w:t>
      </w:r>
      <w:r>
        <w:rPr>
          <w:rFonts w:hint="eastAsia" w:cs="仿宋_GB2312" w:asciiTheme="minorEastAsia" w:hAnsiTheme="minorEastAsia" w:eastAsiaTheme="minorEastAsia"/>
          <w:color w:val="auto"/>
          <w:sz w:val="21"/>
          <w:szCs w:val="21"/>
          <w:lang w:val="zh-CN"/>
        </w:rPr>
        <w:t>、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2</w:t>
      </w:r>
      <w:r>
        <w:rPr>
          <w:rFonts w:hint="eastAsia" w:cs="仿宋_GB2312" w:asciiTheme="minorEastAsia" w:hAnsiTheme="minorEastAsia" w:eastAsiaTheme="minorEastAsia"/>
          <w:color w:val="auto"/>
          <w:sz w:val="21"/>
          <w:szCs w:val="21"/>
          <w:lang w:val="zh-CN"/>
        </w:rPr>
        <w:t>、在货物采购项目中，供应商提供的货物既有中小企业制造货物，也有大型企业制造货物的，不享受《政府采购促进中小企业发展管理办法》（财库[2020]46号）规定的中小企业扶持政策。</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3</w:t>
      </w:r>
      <w:r>
        <w:rPr>
          <w:rFonts w:hint="eastAsia" w:cs="仿宋_GB2312" w:asciiTheme="minorEastAsia" w:hAnsiTheme="minorEastAsia" w:eastAsiaTheme="minorEastAsia"/>
          <w:color w:val="auto"/>
          <w:sz w:val="21"/>
          <w:szCs w:val="21"/>
          <w:lang w:val="zh-CN"/>
        </w:rPr>
        <w:t>、以联合体形式参加政府采购活动，联合体各方均为中小企业的，联合体视同中小企业。其中，联合体各方均为小微企业的，联合体视同小微企业。</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4</w:t>
      </w:r>
      <w:r>
        <w:rPr>
          <w:rFonts w:hint="eastAsia" w:cs="仿宋_GB2312" w:asciiTheme="minorEastAsia" w:hAnsiTheme="minorEastAsia" w:eastAsiaTheme="minorEastAsia"/>
          <w:color w:val="auto"/>
          <w:sz w:val="21"/>
          <w:szCs w:val="21"/>
          <w:lang w:val="zh-CN"/>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eastAsiaTheme="minorEastAsia"/>
          <w:color w:val="auto"/>
          <w:sz w:val="21"/>
          <w:szCs w:val="21"/>
        </w:rPr>
        <w:t>30%</w:t>
      </w:r>
      <w:r>
        <w:rPr>
          <w:rFonts w:hint="eastAsia" w:cs="仿宋_GB2312" w:asciiTheme="minorEastAsia" w:hAnsiTheme="minorEastAsia" w:eastAsiaTheme="minorEastAsia"/>
          <w:color w:val="auto"/>
          <w:sz w:val="21"/>
          <w:szCs w:val="21"/>
          <w:lang w:val="zh-CN"/>
        </w:rPr>
        <w:t>以上的，对联合体或者大中型企业的报价给予</w:t>
      </w:r>
      <w:r>
        <w:rPr>
          <w:rFonts w:cs="仿宋_GB2312" w:asciiTheme="minorEastAsia" w:hAnsiTheme="minorEastAsia" w:eastAsiaTheme="minorEastAsia"/>
          <w:color w:val="auto"/>
          <w:sz w:val="21"/>
          <w:szCs w:val="21"/>
        </w:rPr>
        <w:t>4—6%</w:t>
      </w:r>
      <w:r>
        <w:rPr>
          <w:rFonts w:hint="eastAsia" w:cs="仿宋_GB2312" w:asciiTheme="minorEastAsia" w:hAnsiTheme="minorEastAsia" w:eastAsiaTheme="minorEastAsia"/>
          <w:color w:val="auto"/>
          <w:sz w:val="21"/>
          <w:szCs w:val="21"/>
          <w:lang w:val="zh-CN"/>
        </w:rPr>
        <w:t>的扣除，用扣除后的价格参加评审。组成联合体或者接受分包的小微企业与联合体内其他企业、分包企业之间存在直接控股、管理关系的，不享受价格扣除优惠政策。</w:t>
      </w:r>
    </w:p>
    <w:p>
      <w:pPr>
        <w:pStyle w:val="18"/>
        <w:spacing w:line="360" w:lineRule="auto"/>
        <w:ind w:firstLine="420" w:firstLineChars="200"/>
        <w:contextualSpacing/>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5</w:t>
      </w:r>
      <w:r>
        <w:rPr>
          <w:rFonts w:hint="eastAsia" w:cs="仿宋_GB2312" w:asciiTheme="minorEastAsia" w:hAnsiTheme="minorEastAsia" w:eastAsiaTheme="minorEastAsia"/>
          <w:color w:val="auto"/>
          <w:sz w:val="21"/>
          <w:szCs w:val="21"/>
          <w:lang w:val="zh-CN"/>
        </w:rPr>
        <w:t>、按照本次采购标的所属行业的划型标准，符合条件的中小企业应按照招标文件格式要求提供《中小企业声明函》，否则不得享受相关中小企业扶持政策。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5" w:name="OLE_LINK6"/>
      <w:r>
        <w:rPr>
          <w:rFonts w:hint="eastAsia" w:cs="仿宋_GB2312" w:asciiTheme="minorEastAsia" w:hAnsiTheme="minorEastAsia"/>
          <w:color w:val="auto"/>
          <w:szCs w:val="21"/>
          <w:lang w:val="zh-CN"/>
        </w:rPr>
        <w:t>财库[2014]68号</w:t>
      </w:r>
      <w:bookmarkEnd w:id="25"/>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6"/>
        <w:ind w:firstLine="340"/>
        <w:rPr>
          <w:color w:val="auto"/>
        </w:rPr>
      </w:pPr>
    </w:p>
    <w:p>
      <w:pPr>
        <w:pStyle w:val="28"/>
        <w:ind w:left="420" w:firstLine="480"/>
        <w:rPr>
          <w:rFonts w:hint="default"/>
          <w:color w:val="auto"/>
          <w:lang w:eastAsia="zh-CN"/>
        </w:rPr>
      </w:pPr>
    </w:p>
    <w:p>
      <w:pPr>
        <w:rPr>
          <w:color w:val="auto"/>
        </w:rPr>
      </w:pPr>
    </w:p>
    <w:p>
      <w:pPr>
        <w:pStyle w:val="26"/>
        <w:ind w:firstLine="340"/>
        <w:rPr>
          <w:color w:val="auto"/>
        </w:rPr>
      </w:pPr>
    </w:p>
    <w:p>
      <w:pPr>
        <w:pStyle w:val="28"/>
        <w:ind w:left="420" w:firstLine="480"/>
        <w:rPr>
          <w:rFonts w:hint="default"/>
          <w:color w:val="auto"/>
          <w:lang w:eastAsia="zh-CN"/>
        </w:rPr>
      </w:pPr>
    </w:p>
    <w:p>
      <w:pPr>
        <w:pStyle w:val="28"/>
        <w:ind w:left="0" w:leftChars="0" w:firstLine="0" w:firstLineChars="0"/>
        <w:rPr>
          <w:rFonts w:hint="default"/>
          <w:color w:val="auto"/>
          <w:lang w:eastAsia="zh-CN"/>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（2）资格审查中所涉及到的证书及材料，均须在响应投标文件中提供原件扫描件（或图片）。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中小企业政策</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（1）中、小、微型企业出具《中小企业声明函》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（3）监</w:t>
            </w:r>
            <w:r>
              <w:rPr>
                <w:rFonts w:hint="eastAsia"/>
                <w:color w:val="auto"/>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禹</w:t>
            </w:r>
            <w:r>
              <w:rPr>
                <w:rFonts w:asciiTheme="minorEastAsia" w:hAnsiTheme="minorEastAsia"/>
                <w:b/>
                <w:color w:val="auto"/>
                <w:szCs w:val="21"/>
              </w:rPr>
              <w:t>州市政府采购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8"/>
        <w:ind w:firstLine="422"/>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注：审查中所涉及到的证书及材料，均应在电子响应文件中提供原件扫描件（或图片）。</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8"/>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三、评审方法</w:t>
      </w:r>
    </w:p>
    <w:p>
      <w:pPr>
        <w:pStyle w:val="18"/>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8"/>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四、谈判小组编写评审报告。</w:t>
      </w:r>
    </w:p>
    <w:p>
      <w:pPr>
        <w:pStyle w:val="18"/>
        <w:spacing w:line="360" w:lineRule="auto"/>
        <w:ind w:firstLine="420" w:firstLineChars="2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8"/>
          <w:szCs w:val="28"/>
        </w:rPr>
      </w:pPr>
      <w:r>
        <w:rPr>
          <w:rFonts w:hint="eastAsia" w:cs="宋体" w:asciiTheme="majorEastAsia" w:hAnsiTheme="majorEastAsia" w:eastAsiaTheme="majorEastAsia"/>
          <w:b/>
          <w:color w:val="auto"/>
          <w:kern w:val="0"/>
          <w:sz w:val="28"/>
          <w:szCs w:val="28"/>
        </w:rPr>
        <w:t>（供参考，以实际签订合同为准）</w:t>
      </w:r>
    </w:p>
    <w:p>
      <w:pPr>
        <w:pStyle w:val="26"/>
        <w:ind w:firstLine="2380" w:firstLineChars="700"/>
        <w:rPr>
          <w:color w:val="auto"/>
        </w:rPr>
      </w:pPr>
      <w:bookmarkStart w:id="26" w:name="bookmark107"/>
      <w:bookmarkStart w:id="27" w:name="bookmark109"/>
      <w:bookmarkStart w:id="28" w:name="bookmark108"/>
      <w:r>
        <w:rPr>
          <w:color w:val="auto"/>
        </w:rPr>
        <w:t>本合同□是/□否中小企业预留合同</w:t>
      </w:r>
      <w:bookmarkEnd w:id="26"/>
      <w:bookmarkEnd w:id="27"/>
      <w:bookmarkEnd w:id="28"/>
    </w:p>
    <w:p>
      <w:pPr>
        <w:pStyle w:val="84"/>
        <w:keepNext/>
        <w:keepLines/>
        <w:spacing w:after="540" w:line="240" w:lineRule="auto"/>
        <w:rPr>
          <w:color w:val="auto"/>
        </w:rPr>
      </w:pPr>
      <w:bookmarkStart w:id="29" w:name="bookmark60"/>
      <w:bookmarkStart w:id="30" w:name="bookmark59"/>
      <w:bookmarkStart w:id="31" w:name="bookmark61"/>
      <w:r>
        <w:rPr>
          <w:color w:val="auto"/>
        </w:rPr>
        <w:t>政府采购服务合同（范本）</w:t>
      </w:r>
      <w:bookmarkEnd w:id="29"/>
      <w:bookmarkEnd w:id="30"/>
      <w:bookmarkEnd w:id="31"/>
    </w:p>
    <w:p>
      <w:pPr>
        <w:pStyle w:val="85"/>
        <w:tabs>
          <w:tab w:val="left" w:pos="4622"/>
        </w:tabs>
        <w:spacing w:line="398" w:lineRule="exact"/>
        <w:ind w:firstLine="480"/>
        <w:rPr>
          <w:color w:val="auto"/>
        </w:rPr>
      </w:pPr>
      <w:r>
        <w:rPr>
          <w:color w:val="auto"/>
        </w:rPr>
        <w:t>合同编号：</w:t>
      </w:r>
      <w:r>
        <w:rPr>
          <w:color w:val="auto"/>
          <w:u w:val="single"/>
        </w:rPr>
        <w:t xml:space="preserve"> </w:t>
      </w:r>
      <w:r>
        <w:rPr>
          <w:color w:val="auto"/>
          <w:u w:val="single"/>
        </w:rPr>
        <w:tab/>
      </w:r>
    </w:p>
    <w:p>
      <w:pPr>
        <w:pStyle w:val="85"/>
        <w:tabs>
          <w:tab w:val="left" w:pos="4008"/>
          <w:tab w:val="left" w:leader="underscore" w:pos="4618"/>
        </w:tabs>
        <w:spacing w:line="398" w:lineRule="exact"/>
        <w:ind w:firstLine="480"/>
        <w:rPr>
          <w:color w:val="auto"/>
        </w:rPr>
      </w:pPr>
      <w:r>
        <w:rPr>
          <w:color w:val="auto"/>
        </w:rPr>
        <w:t>签订地：</w:t>
      </w:r>
      <w:r>
        <w:rPr>
          <w:color w:val="auto"/>
          <w:u w:val="single"/>
        </w:rPr>
        <w:t xml:space="preserve"> </w:t>
      </w:r>
      <w:r>
        <w:rPr>
          <w:color w:val="auto"/>
          <w:u w:val="single"/>
        </w:rPr>
        <w:tab/>
      </w:r>
      <w:r>
        <w:rPr>
          <w:color w:val="auto"/>
        </w:rPr>
        <w:tab/>
      </w:r>
    </w:p>
    <w:p>
      <w:pPr>
        <w:pStyle w:val="85"/>
        <w:tabs>
          <w:tab w:val="left" w:pos="4598"/>
        </w:tabs>
        <w:spacing w:line="398" w:lineRule="exact"/>
        <w:ind w:firstLine="480"/>
        <w:rPr>
          <w:color w:val="auto"/>
        </w:rPr>
      </w:pPr>
      <w:r>
        <w:rPr>
          <w:color w:val="auto"/>
        </w:rPr>
        <w:t>甲方（采购人）：</w:t>
      </w:r>
      <w:r>
        <w:rPr>
          <w:color w:val="auto"/>
          <w:u w:val="single"/>
        </w:rPr>
        <w:t xml:space="preserve"> </w:t>
      </w:r>
      <w:r>
        <w:rPr>
          <w:color w:val="auto"/>
          <w:u w:val="single"/>
        </w:rPr>
        <w:tab/>
      </w:r>
    </w:p>
    <w:p>
      <w:pPr>
        <w:pStyle w:val="85"/>
        <w:tabs>
          <w:tab w:val="left" w:pos="4627"/>
        </w:tabs>
        <w:spacing w:line="398" w:lineRule="exact"/>
        <w:ind w:firstLine="480"/>
        <w:rPr>
          <w:color w:val="auto"/>
        </w:rPr>
      </w:pPr>
      <w:r>
        <w:rPr>
          <w:color w:val="auto"/>
        </w:rPr>
        <w:t>住所地：</w:t>
      </w:r>
      <w:r>
        <w:rPr>
          <w:color w:val="auto"/>
          <w:u w:val="single"/>
        </w:rPr>
        <w:t xml:space="preserve"> </w:t>
      </w:r>
      <w:r>
        <w:rPr>
          <w:color w:val="auto"/>
          <w:u w:val="single"/>
        </w:rPr>
        <w:tab/>
      </w:r>
    </w:p>
    <w:p>
      <w:pPr>
        <w:pStyle w:val="85"/>
        <w:tabs>
          <w:tab w:val="left" w:pos="4608"/>
        </w:tabs>
        <w:spacing w:line="398" w:lineRule="exact"/>
        <w:ind w:firstLine="480"/>
        <w:rPr>
          <w:color w:val="auto"/>
        </w:rPr>
      </w:pPr>
      <w:r>
        <w:rPr>
          <w:color w:val="auto"/>
        </w:rPr>
        <w:t>乙方（中标人）：</w:t>
      </w:r>
      <w:r>
        <w:rPr>
          <w:color w:val="auto"/>
          <w:u w:val="single"/>
        </w:rPr>
        <w:t xml:space="preserve"> </w:t>
      </w:r>
      <w:r>
        <w:rPr>
          <w:color w:val="auto"/>
          <w:u w:val="single"/>
        </w:rPr>
        <w:tab/>
      </w:r>
    </w:p>
    <w:p>
      <w:pPr>
        <w:pStyle w:val="85"/>
        <w:tabs>
          <w:tab w:val="left" w:pos="4627"/>
        </w:tabs>
        <w:spacing w:line="398" w:lineRule="exact"/>
        <w:ind w:firstLine="480"/>
        <w:rPr>
          <w:color w:val="auto"/>
        </w:rPr>
      </w:pPr>
      <w:r>
        <w:rPr>
          <w:color w:val="auto"/>
        </w:rPr>
        <w:t>住所地：</w:t>
      </w:r>
      <w:r>
        <w:rPr>
          <w:color w:val="auto"/>
          <w:u w:val="single"/>
        </w:rPr>
        <w:t xml:space="preserve"> </w:t>
      </w:r>
      <w:r>
        <w:rPr>
          <w:color w:val="auto"/>
          <w:u w:val="single"/>
        </w:rPr>
        <w:tab/>
      </w:r>
    </w:p>
    <w:p>
      <w:pPr>
        <w:pStyle w:val="85"/>
        <w:spacing w:line="398" w:lineRule="exact"/>
        <w:ind w:firstLine="500"/>
        <w:rPr>
          <w:color w:val="auto"/>
        </w:rPr>
      </w:pPr>
      <w:r>
        <w:rPr>
          <w:color w:val="auto"/>
        </w:rPr>
        <w:t>乙方于</w:t>
      </w:r>
      <w:r>
        <w:rPr>
          <w:color w:val="auto"/>
          <w:lang w:val="zh-CN" w:eastAsia="zh-CN" w:bidi="zh-CN"/>
        </w:rPr>
        <w:t>—</w:t>
      </w:r>
      <w:r>
        <w:rPr>
          <w:color w:val="auto"/>
        </w:rPr>
        <w:t>年</w:t>
      </w:r>
      <w:r>
        <w:rPr>
          <w:color w:val="auto"/>
          <w:lang w:val="zh-CN" w:eastAsia="zh-CN" w:bidi="zh-CN"/>
        </w:rPr>
        <w:t>—</w:t>
      </w:r>
      <w:r>
        <w:rPr>
          <w:color w:val="auto"/>
        </w:rPr>
        <w:t>月</w:t>
      </w:r>
      <w:r>
        <w:rPr>
          <w:color w:val="auto"/>
          <w:lang w:val="zh-CN" w:eastAsia="zh-CN" w:bidi="zh-CN"/>
        </w:rPr>
        <w:t>—</w:t>
      </w:r>
      <w:r>
        <w:rPr>
          <w:color w:val="auto"/>
        </w:rPr>
        <w:t xml:space="preserve">日参加了 </w:t>
      </w:r>
      <w:r>
        <w:rPr>
          <w:color w:val="auto"/>
          <w:u w:val="single"/>
        </w:rPr>
        <w:t>（</w:t>
      </w:r>
      <w:r>
        <w:rPr>
          <w:rFonts w:hint="eastAsia"/>
          <w:color w:val="auto"/>
          <w:u w:val="single"/>
          <w:lang w:eastAsia="zh-CN"/>
        </w:rPr>
        <w:t>采</w:t>
      </w:r>
      <w:r>
        <w:rPr>
          <w:color w:val="auto"/>
          <w:u w:val="single"/>
        </w:rPr>
        <w:t>购代理机构）</w:t>
      </w:r>
      <w:r>
        <w:rPr>
          <w:color w:val="auto"/>
        </w:rPr>
        <w:t>组织的</w:t>
      </w:r>
      <w:r>
        <w:rPr>
          <w:color w:val="auto"/>
          <w:u w:val="single"/>
        </w:rPr>
        <w:t>（项目名称及 项目编号）</w:t>
      </w:r>
      <w:r>
        <w:rPr>
          <w:color w:val="auto"/>
        </w:rPr>
        <w:t>政府</w:t>
      </w:r>
      <w:r>
        <w:rPr>
          <w:rFonts w:hint="eastAsia"/>
          <w:color w:val="auto"/>
          <w:lang w:eastAsia="zh-CN"/>
        </w:rPr>
        <w:t>采购</w:t>
      </w:r>
      <w:r>
        <w:rPr>
          <w:color w:val="auto"/>
        </w:rPr>
        <w:t>活动，经评标委）会评审确定乙方为</w:t>
      </w:r>
      <w:r>
        <w:rPr>
          <w:color w:val="auto"/>
          <w:u w:val="single"/>
        </w:rPr>
        <w:t>（包及包名称）</w:t>
      </w:r>
      <w:r>
        <w:rPr>
          <w:color w:val="auto"/>
        </w:rPr>
        <w:t>中 标人，按照《中华人民共和国民法典</w:t>
      </w:r>
      <w:r>
        <w:rPr>
          <w:rFonts w:hint="eastAsia"/>
          <w:color w:val="auto"/>
          <w:lang w:eastAsia="zh-CN"/>
        </w:rPr>
        <w:t>》《</w:t>
      </w:r>
      <w:r>
        <w:rPr>
          <w:color w:val="auto"/>
        </w:rPr>
        <w:t>中华人民共和国政府</w:t>
      </w:r>
      <w:r>
        <w:rPr>
          <w:rFonts w:hint="eastAsia"/>
          <w:color w:val="auto"/>
          <w:lang w:eastAsia="zh-CN"/>
        </w:rPr>
        <w:t>采购</w:t>
      </w:r>
      <w:r>
        <w:rPr>
          <w:color w:val="auto"/>
        </w:rPr>
        <w:t>法》和相关的法律法规规定，以及招标文件规定，经甲乙双方协商一致，签订本政府</w:t>
      </w:r>
      <w:r>
        <w:rPr>
          <w:rFonts w:hint="eastAsia"/>
          <w:color w:val="auto"/>
          <w:lang w:eastAsia="zh-CN"/>
        </w:rPr>
        <w:t>采购</w:t>
      </w:r>
      <w:r>
        <w:rPr>
          <w:color w:val="auto"/>
        </w:rPr>
        <w:t>合同。</w:t>
      </w:r>
    </w:p>
    <w:p>
      <w:pPr>
        <w:pStyle w:val="85"/>
        <w:spacing w:line="398" w:lineRule="exact"/>
        <w:ind w:firstLine="480"/>
        <w:rPr>
          <w:color w:val="auto"/>
        </w:rPr>
      </w:pPr>
      <w:r>
        <w:rPr>
          <w:color w:val="auto"/>
        </w:rPr>
        <w:t>第一条合同标的</w:t>
      </w:r>
    </w:p>
    <w:p>
      <w:pPr>
        <w:pStyle w:val="85"/>
        <w:spacing w:line="398" w:lineRule="exact"/>
        <w:ind w:firstLine="480"/>
        <w:rPr>
          <w:color w:val="auto"/>
        </w:rPr>
      </w:pPr>
      <w:r>
        <w:rPr>
          <w:color w:val="auto"/>
        </w:rPr>
        <w:t>服务名称：</w:t>
      </w:r>
    </w:p>
    <w:p>
      <w:pPr>
        <w:pStyle w:val="85"/>
        <w:tabs>
          <w:tab w:val="left" w:leader="dot" w:pos="2573"/>
        </w:tabs>
        <w:spacing w:line="398" w:lineRule="exact"/>
        <w:ind w:firstLine="480"/>
        <w:rPr>
          <w:color w:val="auto"/>
        </w:rPr>
      </w:pPr>
      <w:r>
        <w:rPr>
          <w:color w:val="auto"/>
        </w:rPr>
        <w:t>服务内容：</w:t>
      </w:r>
      <w:r>
        <w:rPr>
          <w:color w:val="auto"/>
          <w:lang w:val="en-US" w:eastAsia="zh-CN" w:bidi="en-US"/>
        </w:rPr>
        <w:tab/>
      </w:r>
    </w:p>
    <w:p>
      <w:pPr>
        <w:pStyle w:val="85"/>
        <w:tabs>
          <w:tab w:val="left" w:leader="dot" w:pos="2098"/>
        </w:tabs>
        <w:spacing w:line="398" w:lineRule="exact"/>
        <w:ind w:firstLine="480"/>
        <w:rPr>
          <w:color w:val="auto"/>
        </w:rPr>
      </w:pPr>
      <w:r>
        <w:rPr>
          <w:color w:val="auto"/>
        </w:rPr>
        <w:t>技术标准：</w:t>
      </w:r>
      <w:r>
        <w:rPr>
          <w:color w:val="auto"/>
          <w:lang w:val="en-US" w:eastAsia="zh-CN" w:bidi="en-US"/>
        </w:rPr>
        <w:tab/>
      </w:r>
    </w:p>
    <w:p>
      <w:pPr>
        <w:pStyle w:val="85"/>
        <w:spacing w:line="398" w:lineRule="exact"/>
        <w:ind w:firstLine="480"/>
        <w:jc w:val="left"/>
        <w:rPr>
          <w:color w:val="auto"/>
        </w:rPr>
      </w:pPr>
      <w:r>
        <w:rPr>
          <w:color w:val="auto"/>
        </w:rPr>
        <w:t>第二条合同总金额</w:t>
      </w:r>
    </w:p>
    <w:p>
      <w:pPr>
        <w:pStyle w:val="85"/>
        <w:tabs>
          <w:tab w:val="left" w:pos="5218"/>
          <w:tab w:val="left" w:pos="6639"/>
        </w:tabs>
        <w:spacing w:line="392" w:lineRule="exact"/>
        <w:ind w:firstLine="500"/>
        <w:rPr>
          <w:color w:val="auto"/>
        </w:rPr>
      </w:pPr>
      <w:r>
        <w:rPr>
          <w:color w:val="auto"/>
        </w:rPr>
        <w:t>合同总金额为人民币（大写）：</w:t>
      </w:r>
      <w:r>
        <w:rPr>
          <w:color w:val="auto"/>
          <w:u w:val="single"/>
        </w:rPr>
        <w:t xml:space="preserve"> </w:t>
      </w:r>
      <w:r>
        <w:rPr>
          <w:color w:val="auto"/>
          <w:u w:val="single"/>
        </w:rPr>
        <w:tab/>
      </w:r>
      <w:r>
        <w:rPr>
          <w:color w:val="auto"/>
        </w:rPr>
        <w:t xml:space="preserve"> （¥</w:t>
      </w:r>
      <w:r>
        <w:rPr>
          <w:color w:val="auto"/>
          <w:u w:val="single"/>
        </w:rPr>
        <w:t xml:space="preserve"> </w:t>
      </w:r>
      <w:r>
        <w:rPr>
          <w:color w:val="auto"/>
          <w:u w:val="single"/>
        </w:rPr>
        <w:tab/>
      </w:r>
      <w:r>
        <w:rPr>
          <w:color w:val="auto"/>
        </w:rPr>
        <w:t>）</w:t>
      </w:r>
    </w:p>
    <w:p>
      <w:pPr>
        <w:pStyle w:val="85"/>
        <w:tabs>
          <w:tab w:val="left" w:leader="dot" w:pos="5875"/>
        </w:tabs>
        <w:spacing w:line="392" w:lineRule="exact"/>
        <w:ind w:firstLine="500"/>
        <w:rPr>
          <w:color w:val="auto"/>
        </w:rPr>
      </w:pPr>
      <w:r>
        <w:rPr>
          <w:color w:val="auto"/>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lang w:val="en-US" w:eastAsia="zh-CN" w:bidi="en-US"/>
        </w:rPr>
        <w:tab/>
      </w:r>
    </w:p>
    <w:p>
      <w:pPr>
        <w:pStyle w:val="85"/>
        <w:spacing w:after="160" w:line="392" w:lineRule="exact"/>
        <w:ind w:firstLine="500"/>
        <w:rPr>
          <w:color w:val="auto"/>
        </w:rPr>
      </w:pPr>
      <w:r>
        <w:rPr>
          <w:color w:val="auto"/>
        </w:rPr>
        <w:t>第三条服务交付</w:t>
      </w:r>
    </w:p>
    <w:p>
      <w:pPr>
        <w:pStyle w:val="85"/>
        <w:tabs>
          <w:tab w:val="left" w:pos="878"/>
        </w:tabs>
        <w:spacing w:line="372" w:lineRule="auto"/>
        <w:ind w:firstLine="500"/>
        <w:rPr>
          <w:color w:val="auto"/>
        </w:rPr>
      </w:pPr>
      <w:bookmarkStart w:id="32" w:name="bookmark62"/>
      <w:r>
        <w:rPr>
          <w:rFonts w:ascii="Times New Roman" w:hAnsi="Times New Roman" w:eastAsia="Times New Roman" w:cs="Times New Roman"/>
          <w:color w:val="auto"/>
        </w:rPr>
        <w:t>1</w:t>
      </w:r>
      <w:bookmarkEnd w:id="32"/>
      <w:r>
        <w:rPr>
          <w:color w:val="auto"/>
        </w:rPr>
        <w:t>、</w:t>
      </w:r>
      <w:r>
        <w:rPr>
          <w:color w:val="auto"/>
        </w:rPr>
        <w:tab/>
      </w:r>
      <w:r>
        <w:rPr>
          <w:color w:val="auto"/>
        </w:rPr>
        <w:t>交付日期：</w:t>
      </w:r>
    </w:p>
    <w:p>
      <w:pPr>
        <w:pStyle w:val="85"/>
        <w:tabs>
          <w:tab w:val="left" w:pos="892"/>
          <w:tab w:val="left" w:leader="dot" w:pos="2478"/>
        </w:tabs>
        <w:spacing w:line="372" w:lineRule="auto"/>
        <w:ind w:firstLine="500"/>
        <w:rPr>
          <w:color w:val="auto"/>
        </w:rPr>
      </w:pPr>
      <w:bookmarkStart w:id="33" w:name="bookmark63"/>
      <w:r>
        <w:rPr>
          <w:rFonts w:ascii="Times New Roman" w:hAnsi="Times New Roman" w:eastAsia="Times New Roman" w:cs="Times New Roman"/>
          <w:color w:val="auto"/>
        </w:rPr>
        <w:t>2</w:t>
      </w:r>
      <w:bookmarkEnd w:id="33"/>
      <w:r>
        <w:rPr>
          <w:color w:val="auto"/>
        </w:rPr>
        <w:t>、</w:t>
      </w:r>
      <w:r>
        <w:rPr>
          <w:color w:val="auto"/>
        </w:rPr>
        <w:tab/>
      </w:r>
      <w:r>
        <w:rPr>
          <w:color w:val="auto"/>
        </w:rPr>
        <w:t>交付地点</w:t>
      </w:r>
      <w:r>
        <w:rPr>
          <w:rFonts w:hint="eastAsia"/>
          <w:color w:val="auto"/>
          <w:lang w:eastAsia="zh-CN"/>
        </w:rPr>
        <w:t>：</w:t>
      </w:r>
      <w:r>
        <w:rPr>
          <w:color w:val="auto"/>
          <w:lang w:val="en-US" w:eastAsia="zh-CN" w:bidi="en-US"/>
        </w:rPr>
        <w:tab/>
      </w:r>
    </w:p>
    <w:p>
      <w:pPr>
        <w:pStyle w:val="85"/>
        <w:spacing w:line="391" w:lineRule="exact"/>
        <w:ind w:firstLine="500"/>
        <w:rPr>
          <w:color w:val="auto"/>
        </w:rPr>
      </w:pPr>
      <w:r>
        <w:rPr>
          <w:color w:val="auto"/>
        </w:rPr>
        <w:t>第四条交付验收</w:t>
      </w:r>
    </w:p>
    <w:p>
      <w:pPr>
        <w:pStyle w:val="85"/>
        <w:numPr>
          <w:ilvl w:val="0"/>
          <w:numId w:val="17"/>
        </w:numPr>
        <w:spacing w:after="80" w:line="391" w:lineRule="exact"/>
        <w:ind w:firstLine="500"/>
        <w:rPr>
          <w:color w:val="auto"/>
        </w:rPr>
        <w:sectPr>
          <w:footerReference r:id="rId3" w:type="default"/>
          <w:pgSz w:w="11900" w:h="16840"/>
          <w:pgMar w:top="1559" w:right="1680" w:bottom="1361" w:left="1709" w:header="1131" w:footer="964" w:gutter="0"/>
          <w:pgNumType w:start="1"/>
          <w:cols w:space="0" w:num="1"/>
          <w:docGrid w:linePitch="360" w:charSpace="0"/>
        </w:sectPr>
      </w:pPr>
      <w:r>
        <w:rPr>
          <w:color w:val="auto"/>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rPr>
        <w:t>1</w:t>
      </w:r>
      <w:r>
        <w:rPr>
          <w:color w:val="auto"/>
        </w:rPr>
        <w:t>个工作日内，对采购项目进行实质性验收（验收建议有明显不当的除外）。乙方应对提交的服务成果</w:t>
      </w:r>
    </w:p>
    <w:p>
      <w:pPr>
        <w:pStyle w:val="85"/>
        <w:spacing w:line="400" w:lineRule="exact"/>
        <w:ind w:firstLine="0"/>
        <w:rPr>
          <w:color w:val="auto"/>
        </w:rPr>
      </w:pPr>
      <w:r>
        <w:rPr>
          <w:color w:val="auto"/>
        </w:rPr>
        <w:t>作出全面检查和整理，并列出清单，作为甲方验收和使用技术条件依据，清单应随提交的服务成果交给甲方。</w:t>
      </w:r>
    </w:p>
    <w:p>
      <w:pPr>
        <w:pStyle w:val="85"/>
        <w:tabs>
          <w:tab w:val="left" w:pos="848"/>
        </w:tabs>
        <w:spacing w:line="400" w:lineRule="exact"/>
        <w:ind w:firstLine="480"/>
        <w:rPr>
          <w:color w:val="auto"/>
        </w:rPr>
      </w:pPr>
      <w:bookmarkStart w:id="34" w:name="bookmark64"/>
      <w:r>
        <w:rPr>
          <w:rFonts w:ascii="Times New Roman" w:hAnsi="Times New Roman" w:eastAsia="Times New Roman" w:cs="Times New Roman"/>
          <w:color w:val="auto"/>
        </w:rPr>
        <w:t>2</w:t>
      </w:r>
      <w:bookmarkEnd w:id="34"/>
      <w:r>
        <w:rPr>
          <w:color w:val="auto"/>
        </w:rPr>
        <w:t>、</w:t>
      </w:r>
      <w:r>
        <w:rPr>
          <w:color w:val="auto"/>
        </w:rPr>
        <w:tab/>
      </w:r>
      <w:r>
        <w:rPr>
          <w:color w:val="auto"/>
        </w:rPr>
        <w:t>对大型或复杂的政府</w:t>
      </w:r>
      <w:r>
        <w:rPr>
          <w:rFonts w:hint="eastAsia"/>
          <w:color w:val="auto"/>
          <w:lang w:eastAsia="zh-CN"/>
        </w:rPr>
        <w:t>采购</w:t>
      </w:r>
      <w:r>
        <w:rPr>
          <w:color w:val="auto"/>
        </w:rPr>
        <w:t>项目，甲方应当邀请国家认可的质量检测机构参与验收工作，并出具验收报告，相关费用负担由甲乙双方约定。</w:t>
      </w:r>
    </w:p>
    <w:p>
      <w:pPr>
        <w:pStyle w:val="85"/>
        <w:tabs>
          <w:tab w:val="left" w:pos="862"/>
        </w:tabs>
        <w:spacing w:line="400" w:lineRule="exact"/>
        <w:ind w:firstLine="480"/>
        <w:rPr>
          <w:color w:val="auto"/>
        </w:rPr>
      </w:pPr>
      <w:bookmarkStart w:id="35" w:name="bookmark65"/>
      <w:r>
        <w:rPr>
          <w:rFonts w:ascii="Times New Roman" w:hAnsi="Times New Roman" w:eastAsia="Times New Roman" w:cs="Times New Roman"/>
          <w:color w:val="auto"/>
        </w:rPr>
        <w:t>3</w:t>
      </w:r>
      <w:bookmarkEnd w:id="35"/>
      <w:r>
        <w:rPr>
          <w:color w:val="auto"/>
        </w:rPr>
        <w:t>、</w:t>
      </w:r>
      <w:r>
        <w:rPr>
          <w:color w:val="auto"/>
        </w:rPr>
        <w:tab/>
      </w:r>
      <w:r>
        <w:rPr>
          <w:color w:val="auto"/>
        </w:rPr>
        <w:t>乙方在指定地点提交服务成果后，甲乙双方应依据招标文件、投标文件等文件材料的要求共同验收，并且出具书面验收报告，履约验收报告应当依法依规及时在</w:t>
      </w:r>
      <w:r>
        <w:rPr>
          <w:rFonts w:hint="eastAsia"/>
          <w:color w:val="auto"/>
          <w:lang w:eastAsia="zh-CN"/>
        </w:rPr>
        <w:t>河南省</w:t>
      </w:r>
      <w:r>
        <w:rPr>
          <w:color w:val="auto"/>
        </w:rPr>
        <w:t>政府采购网公开发布。</w:t>
      </w:r>
    </w:p>
    <w:p>
      <w:pPr>
        <w:pStyle w:val="85"/>
        <w:tabs>
          <w:tab w:val="left" w:pos="853"/>
          <w:tab w:val="left" w:pos="5846"/>
        </w:tabs>
        <w:spacing w:line="400" w:lineRule="exact"/>
        <w:ind w:firstLine="480"/>
        <w:rPr>
          <w:color w:val="auto"/>
        </w:rPr>
      </w:pPr>
      <w:bookmarkStart w:id="36" w:name="bookmark66"/>
      <w:r>
        <w:rPr>
          <w:rFonts w:ascii="Times New Roman" w:hAnsi="Times New Roman" w:eastAsia="Times New Roman" w:cs="Times New Roman"/>
          <w:color w:val="auto"/>
        </w:rPr>
        <w:t>4</w:t>
      </w:r>
      <w:bookmarkEnd w:id="36"/>
      <w:r>
        <w:rPr>
          <w:color w:val="auto"/>
        </w:rPr>
        <w:t>、</w:t>
      </w:r>
      <w:r>
        <w:rPr>
          <w:color w:val="auto"/>
        </w:rPr>
        <w:tab/>
      </w:r>
      <w:r>
        <w:rPr>
          <w:color w:val="auto"/>
        </w:rPr>
        <w:t>根据财政部等三部门《关于印发</w:t>
      </w:r>
      <w:r>
        <w:rPr>
          <w:color w:val="auto"/>
          <w:lang w:val="zh-CN" w:eastAsia="zh-CN" w:bidi="zh-CN"/>
        </w:rPr>
        <w:t>〈商</w:t>
      </w:r>
      <w:r>
        <w:rPr>
          <w:color w:val="auto"/>
        </w:rPr>
        <w:t>品包装政府采购需求标准（试行）〉、〈 快递包装政府采购需求标准（试行）〉的通知》规定，</w:t>
      </w:r>
      <w:r>
        <w:rPr>
          <w:rFonts w:hint="eastAsia"/>
          <w:color w:val="auto"/>
          <w:lang w:eastAsia="zh-CN"/>
        </w:rPr>
        <w:t>采购</w:t>
      </w:r>
      <w:r>
        <w:rPr>
          <w:color w:val="auto"/>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r>
        <w:rPr>
          <w:color w:val="auto"/>
        </w:rPr>
        <w:t>……</w:t>
      </w:r>
    </w:p>
    <w:p>
      <w:pPr>
        <w:pStyle w:val="85"/>
        <w:spacing w:after="140" w:line="400" w:lineRule="exact"/>
        <w:ind w:firstLine="480"/>
        <w:rPr>
          <w:color w:val="auto"/>
        </w:rPr>
      </w:pPr>
      <w:r>
        <w:rPr>
          <w:color w:val="auto"/>
        </w:rPr>
        <w:t>第五条权利瑕疵担当</w:t>
      </w:r>
    </w:p>
    <w:p>
      <w:pPr>
        <w:pStyle w:val="85"/>
        <w:numPr>
          <w:ilvl w:val="0"/>
          <w:numId w:val="18"/>
        </w:numPr>
        <w:tabs>
          <w:tab w:val="left" w:pos="819"/>
        </w:tabs>
        <w:ind w:firstLine="480"/>
        <w:rPr>
          <w:color w:val="auto"/>
        </w:rPr>
      </w:pPr>
      <w:bookmarkStart w:id="37" w:name="bookmark67"/>
      <w:bookmarkEnd w:id="37"/>
      <w:r>
        <w:rPr>
          <w:color w:val="auto"/>
        </w:rPr>
        <w:t>乙方保证对其出售的标的物享有合法的权利；</w:t>
      </w:r>
    </w:p>
    <w:p>
      <w:pPr>
        <w:pStyle w:val="85"/>
        <w:numPr>
          <w:ilvl w:val="0"/>
          <w:numId w:val="18"/>
        </w:numPr>
        <w:tabs>
          <w:tab w:val="left" w:pos="824"/>
        </w:tabs>
        <w:spacing w:line="400" w:lineRule="exact"/>
        <w:ind w:firstLine="480"/>
        <w:rPr>
          <w:color w:val="auto"/>
        </w:rPr>
      </w:pPr>
      <w:bookmarkStart w:id="38" w:name="bookmark68"/>
      <w:bookmarkEnd w:id="38"/>
      <w:r>
        <w:rPr>
          <w:color w:val="auto"/>
        </w:rPr>
        <w:t>乙方应保证在其出售的标的物上不存在任何未曾向甲方透露的担保物权，如抵押权、质押权、留置权等；</w:t>
      </w:r>
    </w:p>
    <w:p>
      <w:pPr>
        <w:pStyle w:val="85"/>
        <w:numPr>
          <w:ilvl w:val="0"/>
          <w:numId w:val="18"/>
        </w:numPr>
        <w:tabs>
          <w:tab w:val="left" w:pos="819"/>
        </w:tabs>
        <w:spacing w:after="140" w:line="400" w:lineRule="exact"/>
        <w:ind w:firstLine="480"/>
        <w:rPr>
          <w:color w:val="auto"/>
        </w:rPr>
      </w:pPr>
      <w:bookmarkStart w:id="39" w:name="bookmark69"/>
      <w:bookmarkEnd w:id="39"/>
      <w:r>
        <w:rPr>
          <w:color w:val="auto"/>
        </w:rPr>
        <w:t>乙方应保证其所出售的标的物没有侵害任何第三人的知识产权和商业秘密等权利；</w:t>
      </w:r>
    </w:p>
    <w:p>
      <w:pPr>
        <w:pStyle w:val="85"/>
        <w:numPr>
          <w:ilvl w:val="0"/>
          <w:numId w:val="18"/>
        </w:numPr>
        <w:tabs>
          <w:tab w:val="left" w:pos="834"/>
        </w:tabs>
        <w:ind w:firstLine="480"/>
        <w:rPr>
          <w:color w:val="auto"/>
        </w:rPr>
      </w:pPr>
      <w:bookmarkStart w:id="40" w:name="bookmark70"/>
      <w:bookmarkEnd w:id="40"/>
      <w:r>
        <w:rPr>
          <w:color w:val="auto"/>
        </w:rPr>
        <w:t>如甲方使用该标的物构成上述侵权的，则由乙方承担全部责任。</w:t>
      </w:r>
    </w:p>
    <w:p>
      <w:pPr>
        <w:pStyle w:val="85"/>
        <w:spacing w:line="400" w:lineRule="exact"/>
        <w:ind w:firstLine="480"/>
        <w:rPr>
          <w:color w:val="auto"/>
        </w:rPr>
      </w:pPr>
      <w:r>
        <w:rPr>
          <w:color w:val="auto"/>
        </w:rPr>
        <w:t>第六条所有权归属</w:t>
      </w:r>
    </w:p>
    <w:p>
      <w:pPr>
        <w:pStyle w:val="85"/>
        <w:spacing w:line="400" w:lineRule="exact"/>
        <w:ind w:firstLine="480"/>
        <w:rPr>
          <w:color w:val="auto"/>
        </w:rPr>
      </w:pPr>
      <w:r>
        <w:rPr>
          <w:color w:val="auto"/>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lang w:eastAsia="zh-CN"/>
        </w:rPr>
        <w:t>产权</w:t>
      </w:r>
      <w:r>
        <w:rPr>
          <w:color w:val="auto"/>
        </w:rPr>
        <w:t>瑕疵。</w:t>
      </w:r>
    </w:p>
    <w:p>
      <w:pPr>
        <w:pStyle w:val="85"/>
        <w:spacing w:line="400" w:lineRule="exact"/>
        <w:ind w:firstLine="480"/>
        <w:rPr>
          <w:color w:val="auto"/>
        </w:rPr>
      </w:pPr>
      <w:r>
        <w:rPr>
          <w:color w:val="auto"/>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5"/>
        <w:spacing w:line="400" w:lineRule="exact"/>
        <w:ind w:firstLine="480"/>
        <w:rPr>
          <w:color w:val="auto"/>
        </w:rPr>
      </w:pPr>
      <w:r>
        <w:rPr>
          <w:color w:val="auto"/>
        </w:rPr>
        <w:t>第七条包装、装运及运输</w:t>
      </w:r>
    </w:p>
    <w:p>
      <w:pPr>
        <w:pStyle w:val="85"/>
        <w:tabs>
          <w:tab w:val="left" w:pos="862"/>
        </w:tabs>
        <w:spacing w:after="140" w:line="400" w:lineRule="exact"/>
        <w:ind w:firstLine="480"/>
        <w:rPr>
          <w:color w:val="auto"/>
        </w:rPr>
      </w:pPr>
      <w:bookmarkStart w:id="41" w:name="bookmark71"/>
      <w:r>
        <w:rPr>
          <w:rFonts w:ascii="Times New Roman" w:hAnsi="Times New Roman" w:eastAsia="Times New Roman" w:cs="Times New Roman"/>
          <w:color w:val="auto"/>
        </w:rPr>
        <w:t>1</w:t>
      </w:r>
      <w:bookmarkEnd w:id="41"/>
      <w:r>
        <w:rPr>
          <w:color w:val="auto"/>
        </w:rPr>
        <w:t>、</w:t>
      </w:r>
      <w:r>
        <w:rPr>
          <w:color w:val="auto"/>
        </w:rPr>
        <w:tab/>
      </w:r>
      <w:r>
        <w:rPr>
          <w:color w:val="auto"/>
        </w:rPr>
        <w:t>乙方负责包装、装运和运输，由于不适当的包装、装运和运输造成任何损坏均由乙方负责。</w:t>
      </w:r>
    </w:p>
    <w:p>
      <w:pPr>
        <w:pStyle w:val="85"/>
        <w:tabs>
          <w:tab w:val="left" w:pos="872"/>
        </w:tabs>
        <w:ind w:firstLine="480"/>
        <w:rPr>
          <w:color w:val="auto"/>
        </w:rPr>
      </w:pPr>
      <w:bookmarkStart w:id="42" w:name="bookmark72"/>
      <w:r>
        <w:rPr>
          <w:rFonts w:ascii="Times New Roman" w:hAnsi="Times New Roman" w:eastAsia="Times New Roman" w:cs="Times New Roman"/>
          <w:color w:val="auto"/>
        </w:rPr>
        <w:t>2</w:t>
      </w:r>
      <w:bookmarkEnd w:id="42"/>
      <w:r>
        <w:rPr>
          <w:color w:val="auto"/>
        </w:rPr>
        <w:t>、</w:t>
      </w:r>
      <w:r>
        <w:rPr>
          <w:color w:val="auto"/>
        </w:rPr>
        <w:tab/>
      </w:r>
      <w:r>
        <w:rPr>
          <w:color w:val="auto"/>
        </w:rPr>
        <w:t>包装费、运费及相关费用已包含在合同总金额内。</w:t>
      </w:r>
    </w:p>
    <w:p>
      <w:pPr>
        <w:pStyle w:val="85"/>
        <w:tabs>
          <w:tab w:val="left" w:pos="867"/>
        </w:tabs>
        <w:spacing w:line="400" w:lineRule="exact"/>
        <w:ind w:firstLine="480"/>
        <w:rPr>
          <w:color w:val="auto"/>
        </w:rPr>
      </w:pPr>
      <w:bookmarkStart w:id="43" w:name="bookmark73"/>
      <w:r>
        <w:rPr>
          <w:rFonts w:ascii="Times New Roman" w:hAnsi="Times New Roman" w:eastAsia="Times New Roman" w:cs="Times New Roman"/>
          <w:color w:val="auto"/>
        </w:rPr>
        <w:t>3</w:t>
      </w:r>
      <w:bookmarkEnd w:id="43"/>
      <w:r>
        <w:rPr>
          <w:color w:val="auto"/>
        </w:rPr>
        <w:t>、</w:t>
      </w:r>
      <w:r>
        <w:rPr>
          <w:color w:val="auto"/>
        </w:rPr>
        <w:tab/>
      </w:r>
      <w:r>
        <w:rPr>
          <w:color w:val="auto"/>
        </w:rPr>
        <w:t>根据财政部等三部门《关于印发</w:t>
      </w:r>
      <w:r>
        <w:rPr>
          <w:color w:val="auto"/>
          <w:lang w:val="zh-CN" w:eastAsia="zh-CN" w:bidi="zh-CN"/>
        </w:rPr>
        <w:t>〈商</w:t>
      </w:r>
      <w:r>
        <w:rPr>
          <w:color w:val="auto"/>
        </w:rPr>
        <w:t>品包装政府</w:t>
      </w:r>
      <w:r>
        <w:rPr>
          <w:rFonts w:hint="eastAsia"/>
          <w:color w:val="auto"/>
          <w:lang w:eastAsia="zh-CN"/>
        </w:rPr>
        <w:t>采购</w:t>
      </w:r>
      <w:r>
        <w:rPr>
          <w:color w:val="auto"/>
        </w:rPr>
        <w:t>需求标准（试行）＞、〈 快递包装政府</w:t>
      </w:r>
      <w:r>
        <w:rPr>
          <w:rFonts w:hint="eastAsia"/>
          <w:color w:val="auto"/>
          <w:lang w:eastAsia="zh-CN"/>
        </w:rPr>
        <w:t>采购</w:t>
      </w:r>
      <w:r>
        <w:rPr>
          <w:color w:val="auto"/>
        </w:rPr>
        <w:t>需求标准（试行）〉的通知》规定，对乙方提出的具体包装要求：</w:t>
      </w:r>
    </w:p>
    <w:p>
      <w:pPr>
        <w:pStyle w:val="85"/>
        <w:spacing w:after="140" w:line="400" w:lineRule="exact"/>
        <w:ind w:firstLine="460"/>
        <w:rPr>
          <w:color w:val="auto"/>
        </w:rPr>
      </w:pPr>
      <w:r>
        <w:rPr>
          <w:color w:val="auto"/>
        </w:rPr>
        <w:t>第八条款项支付</w:t>
      </w:r>
    </w:p>
    <w:p>
      <w:pPr>
        <w:pStyle w:val="85"/>
        <w:tabs>
          <w:tab w:val="left" w:pos="842"/>
        </w:tabs>
        <w:ind w:firstLine="460"/>
        <w:rPr>
          <w:color w:val="auto"/>
        </w:rPr>
      </w:pPr>
      <w:bookmarkStart w:id="44" w:name="bookmark74"/>
      <w:r>
        <w:rPr>
          <w:rFonts w:ascii="Times New Roman" w:hAnsi="Times New Roman" w:eastAsia="Times New Roman" w:cs="Times New Roman"/>
          <w:color w:val="auto"/>
        </w:rPr>
        <w:t>1</w:t>
      </w:r>
      <w:bookmarkEnd w:id="44"/>
      <w:r>
        <w:rPr>
          <w:color w:val="auto"/>
        </w:rPr>
        <w:t>、</w:t>
      </w:r>
      <w:r>
        <w:rPr>
          <w:color w:val="auto"/>
        </w:rPr>
        <w:tab/>
      </w:r>
      <w:r>
        <w:rPr>
          <w:color w:val="auto"/>
        </w:rPr>
        <w:t>服务成果交付甲方，经甲乙双方共同验收合格后由甲方负责办理支付手续。</w:t>
      </w:r>
    </w:p>
    <w:p>
      <w:pPr>
        <w:pStyle w:val="85"/>
        <w:tabs>
          <w:tab w:val="left" w:pos="392"/>
        </w:tabs>
        <w:spacing w:after="160"/>
        <w:ind w:firstLine="460"/>
        <w:rPr>
          <w:color w:val="auto"/>
        </w:rPr>
      </w:pPr>
      <w:bookmarkStart w:id="45" w:name="bookmark75"/>
      <w:r>
        <w:rPr>
          <w:rFonts w:ascii="Times New Roman" w:hAnsi="Times New Roman" w:eastAsia="Times New Roman" w:cs="Times New Roman"/>
          <w:color w:val="auto"/>
        </w:rPr>
        <w:t>2</w:t>
      </w:r>
      <w:bookmarkEnd w:id="45"/>
      <w:r>
        <w:rPr>
          <w:color w:val="auto"/>
        </w:rPr>
        <w:t>、</w:t>
      </w:r>
      <w:r>
        <w:rPr>
          <w:color w:val="auto"/>
        </w:rPr>
        <w:tab/>
      </w:r>
      <w:r>
        <w:rPr>
          <w:color w:val="auto"/>
        </w:rPr>
        <w:t>允许并鼓励乙方提供电子发票，甲方自收到发票之日起</w:t>
      </w:r>
      <w:r>
        <w:rPr>
          <w:rFonts w:ascii="Times New Roman" w:hAnsi="Times New Roman" w:eastAsia="Times New Roman" w:cs="Times New Roman"/>
          <w:color w:val="auto"/>
        </w:rPr>
        <w:t>2</w:t>
      </w:r>
      <w:r>
        <w:rPr>
          <w:color w:val="auto"/>
        </w:rPr>
        <w:t>个工作日内支付资金，并不得附加未经约定的其他条件。</w:t>
      </w:r>
    </w:p>
    <w:p>
      <w:pPr>
        <w:pStyle w:val="85"/>
        <w:spacing w:line="382" w:lineRule="auto"/>
        <w:ind w:firstLine="480"/>
        <w:rPr>
          <w:color w:val="auto"/>
        </w:rPr>
      </w:pPr>
      <w:bookmarkStart w:id="46" w:name="bookmark76"/>
      <w:r>
        <w:rPr>
          <w:rFonts w:ascii="Times New Roman" w:hAnsi="Times New Roman" w:eastAsia="Times New Roman" w:cs="Times New Roman"/>
          <w:color w:val="auto"/>
        </w:rPr>
        <w:t>3</w:t>
      </w:r>
      <w:bookmarkEnd w:id="46"/>
      <w:r>
        <w:rPr>
          <w:color w:val="auto"/>
        </w:rPr>
        <w:t>、付款方式</w:t>
      </w:r>
    </w:p>
    <w:p>
      <w:pPr>
        <w:pStyle w:val="85"/>
        <w:tabs>
          <w:tab w:val="left" w:leader="dot" w:pos="2088"/>
        </w:tabs>
        <w:spacing w:line="401" w:lineRule="exact"/>
        <w:ind w:firstLine="480"/>
        <w:rPr>
          <w:color w:val="auto"/>
        </w:rPr>
      </w:pPr>
      <w:r>
        <w:rPr>
          <w:rFonts w:ascii="Times New Roman" w:hAnsi="Times New Roman" w:eastAsia="Times New Roman" w:cs="Times New Roman"/>
          <w:color w:val="auto"/>
          <w:lang w:val="en-US" w:eastAsia="zh-CN" w:bidi="en-US"/>
        </w:rPr>
        <w:t>3.1</w:t>
      </w:r>
      <w:r>
        <w:rPr>
          <w:color w:val="auto"/>
        </w:rPr>
        <w:t>预付款比例：</w:t>
      </w:r>
      <w:r>
        <w:rPr>
          <w:rFonts w:hint="eastAsia"/>
          <w:color w:val="auto"/>
          <w:u w:val="single"/>
          <w:lang w:val="en-US" w:eastAsia="zh-CN"/>
        </w:rPr>
        <w:t xml:space="preserve">   </w:t>
      </w:r>
      <w:r>
        <w:rPr>
          <w:color w:val="auto"/>
        </w:rPr>
        <w:t>％</w:t>
      </w:r>
      <w:r>
        <w:rPr>
          <w:rFonts w:hint="eastAsia"/>
          <w:color w:val="auto"/>
          <w:lang w:eastAsia="zh-CN"/>
        </w:rPr>
        <w:t>，</w:t>
      </w:r>
      <w:r>
        <w:rPr>
          <w:color w:val="auto"/>
        </w:rPr>
        <w:t>于政府采购合同签订生效并具备实施条件后</w:t>
      </w:r>
      <w:r>
        <w:rPr>
          <w:rFonts w:ascii="Times New Roman" w:hAnsi="Times New Roman" w:eastAsia="Times New Roman" w:cs="Times New Roman"/>
          <w:color w:val="auto"/>
        </w:rPr>
        <w:t>2</w:t>
      </w:r>
      <w:r>
        <w:rPr>
          <w:color w:val="auto"/>
        </w:rPr>
        <w:t>个工作日内支付。</w:t>
      </w:r>
      <w:r>
        <w:rPr>
          <w:color w:val="auto"/>
          <w:lang w:val="en-US" w:eastAsia="zh-CN" w:bidi="en-US"/>
        </w:rPr>
        <w:tab/>
      </w:r>
    </w:p>
    <w:p>
      <w:pPr>
        <w:pStyle w:val="85"/>
        <w:spacing w:line="401" w:lineRule="exact"/>
        <w:ind w:firstLine="480"/>
        <w:rPr>
          <w:color w:val="auto"/>
        </w:rPr>
      </w:pPr>
      <w:r>
        <w:rPr>
          <w:color w:val="auto"/>
        </w:rPr>
        <w:t>第九条履约保证金</w:t>
      </w:r>
    </w:p>
    <w:p>
      <w:pPr>
        <w:pStyle w:val="85"/>
        <w:spacing w:line="401" w:lineRule="exact"/>
        <w:ind w:left="460" w:firstLine="20"/>
        <w:rPr>
          <w:color w:val="auto"/>
        </w:rPr>
      </w:pPr>
      <w:r>
        <w:rPr>
          <w:color w:val="auto"/>
        </w:rPr>
        <w:t xml:space="preserve">根据许昌市优化政府采购营商环境要求，项目不收取履约保证金。…… </w:t>
      </w:r>
    </w:p>
    <w:p>
      <w:pPr>
        <w:pStyle w:val="85"/>
        <w:spacing w:line="401" w:lineRule="exact"/>
        <w:ind w:left="460" w:firstLine="20"/>
        <w:rPr>
          <w:color w:val="auto"/>
        </w:rPr>
      </w:pPr>
      <w:r>
        <w:rPr>
          <w:color w:val="auto"/>
        </w:rPr>
        <w:t>第十条售后服务及承诺</w:t>
      </w:r>
    </w:p>
    <w:p>
      <w:pPr>
        <w:pStyle w:val="85"/>
        <w:tabs>
          <w:tab w:val="left" w:pos="843"/>
          <w:tab w:val="left" w:pos="6134"/>
        </w:tabs>
        <w:spacing w:line="401" w:lineRule="exact"/>
        <w:ind w:firstLine="480"/>
        <w:rPr>
          <w:color w:val="auto"/>
        </w:rPr>
      </w:pPr>
      <w:bookmarkStart w:id="47" w:name="bookmark77"/>
      <w:r>
        <w:rPr>
          <w:rFonts w:ascii="Times New Roman" w:hAnsi="Times New Roman" w:eastAsia="Times New Roman" w:cs="Times New Roman"/>
          <w:color w:val="auto"/>
        </w:rPr>
        <w:t>1</w:t>
      </w:r>
      <w:bookmarkEnd w:id="47"/>
      <w:r>
        <w:rPr>
          <w:color w:val="auto"/>
        </w:rPr>
        <w:t>、</w:t>
      </w:r>
      <w:r>
        <w:rPr>
          <w:color w:val="auto"/>
        </w:rPr>
        <w:tab/>
      </w:r>
      <w:r>
        <w:rPr>
          <w:color w:val="auto"/>
        </w:rPr>
        <w:t>服务质量保证期限自提交服务验收合格之日起</w:t>
      </w:r>
      <w:r>
        <w:rPr>
          <w:color w:val="auto"/>
          <w:u w:val="single"/>
        </w:rPr>
        <w:t xml:space="preserve"> </w:t>
      </w:r>
      <w:r>
        <w:rPr>
          <w:color w:val="auto"/>
          <w:u w:val="single"/>
        </w:rPr>
        <w:tab/>
      </w:r>
      <w:r>
        <w:rPr>
          <w:color w:val="auto"/>
        </w:rPr>
        <w:t>年，在质量保证期内， 乙方应对服务出现的问题负责处理并承担一切费用，并且赔偿甲方的损失。</w:t>
      </w:r>
    </w:p>
    <w:p>
      <w:pPr>
        <w:pStyle w:val="85"/>
        <w:tabs>
          <w:tab w:val="left" w:pos="867"/>
        </w:tabs>
        <w:spacing w:line="401" w:lineRule="exact"/>
        <w:ind w:firstLine="480"/>
        <w:rPr>
          <w:color w:val="auto"/>
        </w:rPr>
      </w:pPr>
      <w:bookmarkStart w:id="48" w:name="bookmark78"/>
      <w:r>
        <w:rPr>
          <w:rFonts w:ascii="Times New Roman" w:hAnsi="Times New Roman" w:eastAsia="Times New Roman" w:cs="Times New Roman"/>
          <w:color w:val="auto"/>
        </w:rPr>
        <w:t>2</w:t>
      </w:r>
      <w:bookmarkEnd w:id="48"/>
      <w:r>
        <w:rPr>
          <w:color w:val="auto"/>
        </w:rPr>
        <w:t>、</w:t>
      </w:r>
      <w:r>
        <w:rPr>
          <w:color w:val="auto"/>
        </w:rPr>
        <w:tab/>
      </w:r>
      <w:r>
        <w:rPr>
          <w:color w:val="auto"/>
        </w:rPr>
        <w:t>乙方有完善的服务体系，有能力提供持续的、本地化售后服务。</w:t>
      </w:r>
    </w:p>
    <w:p>
      <w:pPr>
        <w:pStyle w:val="85"/>
        <w:tabs>
          <w:tab w:val="left" w:pos="862"/>
        </w:tabs>
        <w:spacing w:line="401" w:lineRule="exact"/>
        <w:ind w:firstLine="480"/>
        <w:rPr>
          <w:color w:val="auto"/>
        </w:rPr>
      </w:pPr>
      <w:bookmarkStart w:id="49" w:name="bookmark79"/>
      <w:r>
        <w:rPr>
          <w:rFonts w:ascii="Times New Roman" w:hAnsi="Times New Roman" w:eastAsia="Times New Roman" w:cs="Times New Roman"/>
          <w:color w:val="auto"/>
        </w:rPr>
        <w:t>3</w:t>
      </w:r>
      <w:bookmarkEnd w:id="49"/>
      <w:r>
        <w:rPr>
          <w:color w:val="auto"/>
        </w:rPr>
        <w:t>、</w:t>
      </w:r>
      <w:r>
        <w:rPr>
          <w:color w:val="auto"/>
        </w:rPr>
        <w:tab/>
      </w:r>
      <w:r>
        <w:rPr>
          <w:color w:val="auto"/>
        </w:rPr>
        <w:t>乙方负责系统安装和调试以及操作人员培训，并制定详细的培训计划，使操作人员能独立进行管理、操作、维护和故障处理等工作，做好相关记录及技术文档收集整理，待验收后移交。</w:t>
      </w:r>
    </w:p>
    <w:p>
      <w:pPr>
        <w:pStyle w:val="85"/>
        <w:tabs>
          <w:tab w:val="left" w:pos="877"/>
        </w:tabs>
        <w:spacing w:line="401" w:lineRule="exact"/>
        <w:ind w:firstLine="480"/>
        <w:rPr>
          <w:color w:val="auto"/>
        </w:rPr>
      </w:pPr>
      <w:bookmarkStart w:id="50" w:name="bookmark80"/>
      <w:r>
        <w:rPr>
          <w:rFonts w:ascii="Times New Roman" w:hAnsi="Times New Roman" w:eastAsia="Times New Roman" w:cs="Times New Roman"/>
          <w:color w:val="auto"/>
        </w:rPr>
        <w:t>4</w:t>
      </w:r>
      <w:bookmarkEnd w:id="50"/>
      <w:r>
        <w:rPr>
          <w:color w:val="auto"/>
        </w:rPr>
        <w:t>、</w:t>
      </w:r>
      <w:r>
        <w:rPr>
          <w:color w:val="auto"/>
        </w:rPr>
        <w:tab/>
      </w:r>
      <w:r>
        <w:rPr>
          <w:color w:val="auto"/>
        </w:rPr>
        <w:t>服务范围：负责招标文件所</w:t>
      </w:r>
      <w:r>
        <w:rPr>
          <w:rFonts w:hint="eastAsia"/>
          <w:color w:val="auto"/>
          <w:lang w:eastAsia="zh-CN"/>
        </w:rPr>
        <w:t>涉及的</w:t>
      </w:r>
      <w:r>
        <w:rPr>
          <w:color w:val="auto"/>
        </w:rPr>
        <w:t>所有服务。……</w:t>
      </w:r>
    </w:p>
    <w:p>
      <w:pPr>
        <w:pStyle w:val="85"/>
        <w:spacing w:line="401" w:lineRule="exact"/>
        <w:ind w:firstLine="480"/>
        <w:rPr>
          <w:color w:val="auto"/>
        </w:rPr>
      </w:pPr>
      <w:r>
        <w:rPr>
          <w:color w:val="auto"/>
        </w:rPr>
        <w:t>第十一条知识产权</w:t>
      </w:r>
    </w:p>
    <w:p>
      <w:pPr>
        <w:pStyle w:val="85"/>
        <w:tabs>
          <w:tab w:val="left" w:pos="862"/>
        </w:tabs>
        <w:spacing w:line="401" w:lineRule="exact"/>
        <w:ind w:firstLine="480"/>
        <w:rPr>
          <w:color w:val="auto"/>
        </w:rPr>
      </w:pPr>
      <w:bookmarkStart w:id="51" w:name="bookmark81"/>
      <w:r>
        <w:rPr>
          <w:rFonts w:ascii="Times New Roman" w:hAnsi="Times New Roman" w:eastAsia="Times New Roman" w:cs="Times New Roman"/>
          <w:color w:val="auto"/>
        </w:rPr>
        <w:t>1</w:t>
      </w:r>
      <w:bookmarkEnd w:id="51"/>
      <w:r>
        <w:rPr>
          <w:color w:val="auto"/>
        </w:rPr>
        <w:t>、</w:t>
      </w:r>
      <w:r>
        <w:rPr>
          <w:color w:val="auto"/>
        </w:rPr>
        <w:tab/>
      </w:r>
      <w:r>
        <w:rPr>
          <w:color w:val="auto"/>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5"/>
        <w:tabs>
          <w:tab w:val="left" w:pos="858"/>
          <w:tab w:val="left" w:leader="dot" w:pos="1848"/>
        </w:tabs>
        <w:spacing w:line="401" w:lineRule="exact"/>
        <w:ind w:firstLine="480"/>
        <w:rPr>
          <w:color w:val="auto"/>
        </w:rPr>
      </w:pPr>
      <w:bookmarkStart w:id="52" w:name="bookmark82"/>
      <w:r>
        <w:rPr>
          <w:rFonts w:ascii="Times New Roman" w:hAnsi="Times New Roman" w:eastAsia="Times New Roman" w:cs="Times New Roman"/>
          <w:color w:val="auto"/>
        </w:rPr>
        <w:t>2</w:t>
      </w:r>
      <w:bookmarkEnd w:id="52"/>
      <w:r>
        <w:rPr>
          <w:color w:val="auto"/>
        </w:rPr>
        <w:t>、</w:t>
      </w:r>
      <w:r>
        <w:rPr>
          <w:color w:val="auto"/>
        </w:rPr>
        <w:tab/>
      </w:r>
      <w:r>
        <w:rPr>
          <w:color w:val="auto"/>
        </w:rPr>
        <w:t>乙方为执行本合同而提供的技术资料或者其他相关资料、软件等由甲方永久免费使用。</w:t>
      </w:r>
      <w:r>
        <w:rPr>
          <w:color w:val="auto"/>
          <w:lang w:val="en-US" w:eastAsia="zh-CN" w:bidi="en-US"/>
        </w:rPr>
        <w:tab/>
      </w:r>
    </w:p>
    <w:p>
      <w:pPr>
        <w:pStyle w:val="85"/>
        <w:spacing w:after="160" w:line="400" w:lineRule="exact"/>
        <w:ind w:firstLine="480"/>
        <w:rPr>
          <w:color w:val="auto"/>
        </w:rPr>
      </w:pPr>
      <w:r>
        <w:rPr>
          <w:color w:val="auto"/>
        </w:rPr>
        <w:t>第十二条甲方责任</w:t>
      </w:r>
    </w:p>
    <w:p>
      <w:pPr>
        <w:pStyle w:val="85"/>
        <w:tabs>
          <w:tab w:val="left" w:pos="853"/>
        </w:tabs>
        <w:ind w:firstLine="480"/>
        <w:rPr>
          <w:color w:val="auto"/>
        </w:rPr>
      </w:pPr>
      <w:bookmarkStart w:id="53" w:name="bookmark83"/>
      <w:r>
        <w:rPr>
          <w:rFonts w:ascii="Times New Roman" w:hAnsi="Times New Roman" w:eastAsia="Times New Roman" w:cs="Times New Roman"/>
          <w:color w:val="auto"/>
        </w:rPr>
        <w:t>1</w:t>
      </w:r>
      <w:bookmarkEnd w:id="53"/>
      <w:r>
        <w:rPr>
          <w:color w:val="auto"/>
        </w:rPr>
        <w:t>、</w:t>
      </w:r>
      <w:r>
        <w:rPr>
          <w:color w:val="auto"/>
        </w:rPr>
        <w:tab/>
      </w:r>
      <w:r>
        <w:rPr>
          <w:color w:val="auto"/>
        </w:rPr>
        <w:t>及时办理付款手续。</w:t>
      </w:r>
    </w:p>
    <w:p>
      <w:pPr>
        <w:pStyle w:val="85"/>
        <w:tabs>
          <w:tab w:val="left" w:pos="872"/>
        </w:tabs>
        <w:spacing w:line="400" w:lineRule="exact"/>
        <w:ind w:firstLine="480"/>
        <w:rPr>
          <w:color w:val="auto"/>
        </w:rPr>
      </w:pPr>
      <w:bookmarkStart w:id="54" w:name="bookmark84"/>
      <w:r>
        <w:rPr>
          <w:rFonts w:ascii="Times New Roman" w:hAnsi="Times New Roman" w:eastAsia="Times New Roman" w:cs="Times New Roman"/>
          <w:color w:val="auto"/>
        </w:rPr>
        <w:t>2</w:t>
      </w:r>
      <w:bookmarkEnd w:id="54"/>
      <w:r>
        <w:rPr>
          <w:color w:val="auto"/>
        </w:rPr>
        <w:t>、</w:t>
      </w:r>
      <w:r>
        <w:rPr>
          <w:color w:val="auto"/>
        </w:rPr>
        <w:tab/>
      </w:r>
      <w:r>
        <w:rPr>
          <w:color w:val="auto"/>
        </w:rPr>
        <w:t>负责提供工作场地，协助乙方办理有关事宜。</w:t>
      </w:r>
    </w:p>
    <w:p>
      <w:pPr>
        <w:pStyle w:val="85"/>
        <w:tabs>
          <w:tab w:val="left" w:pos="872"/>
        </w:tabs>
        <w:spacing w:line="400" w:lineRule="exact"/>
        <w:ind w:firstLine="480"/>
        <w:rPr>
          <w:color w:val="auto"/>
        </w:rPr>
      </w:pPr>
      <w:bookmarkStart w:id="55" w:name="bookmark85"/>
      <w:r>
        <w:rPr>
          <w:rFonts w:ascii="Times New Roman" w:hAnsi="Times New Roman" w:eastAsia="Times New Roman" w:cs="Times New Roman"/>
          <w:color w:val="auto"/>
        </w:rPr>
        <w:t>3</w:t>
      </w:r>
      <w:bookmarkEnd w:id="55"/>
      <w:r>
        <w:rPr>
          <w:color w:val="auto"/>
        </w:rPr>
        <w:t>、</w:t>
      </w:r>
      <w:r>
        <w:rPr>
          <w:color w:val="auto"/>
        </w:rPr>
        <w:tab/>
      </w:r>
      <w:r>
        <w:rPr>
          <w:color w:val="auto"/>
        </w:rPr>
        <w:t>对合同条款及所知悉的乙方商业秘密负有保密义务。……</w:t>
      </w:r>
    </w:p>
    <w:p>
      <w:pPr>
        <w:pStyle w:val="85"/>
        <w:spacing w:line="400" w:lineRule="exact"/>
        <w:ind w:firstLine="480"/>
        <w:rPr>
          <w:color w:val="auto"/>
        </w:rPr>
      </w:pPr>
      <w:r>
        <w:rPr>
          <w:color w:val="auto"/>
        </w:rPr>
        <w:t>第十三条乙方责任</w:t>
      </w:r>
    </w:p>
    <w:p>
      <w:pPr>
        <w:pStyle w:val="85"/>
        <w:tabs>
          <w:tab w:val="left" w:pos="853"/>
        </w:tabs>
        <w:spacing w:line="400" w:lineRule="exact"/>
        <w:ind w:firstLine="480"/>
        <w:rPr>
          <w:color w:val="auto"/>
        </w:rPr>
      </w:pPr>
      <w:bookmarkStart w:id="56" w:name="bookmark86"/>
      <w:r>
        <w:rPr>
          <w:rFonts w:ascii="Times New Roman" w:hAnsi="Times New Roman" w:eastAsia="Times New Roman" w:cs="Times New Roman"/>
          <w:color w:val="auto"/>
        </w:rPr>
        <w:t>1</w:t>
      </w:r>
      <w:bookmarkEnd w:id="56"/>
      <w:r>
        <w:rPr>
          <w:color w:val="auto"/>
        </w:rPr>
        <w:t>、</w:t>
      </w:r>
      <w:r>
        <w:rPr>
          <w:color w:val="auto"/>
        </w:rPr>
        <w:tab/>
      </w:r>
      <w:r>
        <w:rPr>
          <w:color w:val="auto"/>
        </w:rPr>
        <w:t>保证所提供服务为投标文件承诺服务，符合相关法律法规规定并且满足甲方的需求，保证其配套项目部件为全新的未使用的且符合相关的质量要求。</w:t>
      </w:r>
    </w:p>
    <w:p>
      <w:pPr>
        <w:pStyle w:val="85"/>
        <w:tabs>
          <w:tab w:val="left" w:pos="843"/>
        </w:tabs>
        <w:spacing w:line="400" w:lineRule="exact"/>
        <w:ind w:firstLine="480"/>
        <w:rPr>
          <w:color w:val="auto"/>
        </w:rPr>
      </w:pPr>
      <w:bookmarkStart w:id="57" w:name="bookmark87"/>
      <w:r>
        <w:rPr>
          <w:rFonts w:ascii="Times New Roman" w:hAnsi="Times New Roman" w:eastAsia="Times New Roman" w:cs="Times New Roman"/>
          <w:color w:val="auto"/>
        </w:rPr>
        <w:t>2</w:t>
      </w:r>
      <w:bookmarkEnd w:id="57"/>
      <w:r>
        <w:rPr>
          <w:color w:val="auto"/>
        </w:rPr>
        <w:t>、</w:t>
      </w:r>
      <w:r>
        <w:rPr>
          <w:color w:val="auto"/>
        </w:rPr>
        <w:tab/>
      </w:r>
      <w:r>
        <w:rPr>
          <w:color w:val="auto"/>
        </w:rPr>
        <w:t>保证所提供服务的售后服务，严格依据投标文件及相关承诺，对服务以及与之配套的项目进行保修、维护等服务。</w:t>
      </w:r>
    </w:p>
    <w:p>
      <w:pPr>
        <w:pStyle w:val="85"/>
        <w:tabs>
          <w:tab w:val="left" w:pos="834"/>
          <w:tab w:val="left" w:leader="dot" w:pos="1814"/>
        </w:tabs>
        <w:spacing w:line="400" w:lineRule="exact"/>
        <w:ind w:firstLine="480"/>
        <w:rPr>
          <w:color w:val="auto"/>
        </w:rPr>
      </w:pPr>
      <w:bookmarkStart w:id="58" w:name="bookmark88"/>
      <w:r>
        <w:rPr>
          <w:rFonts w:ascii="Times New Roman" w:hAnsi="Times New Roman" w:eastAsia="Times New Roman" w:cs="Times New Roman"/>
          <w:color w:val="auto"/>
        </w:rPr>
        <w:t>3</w:t>
      </w:r>
      <w:bookmarkEnd w:id="58"/>
      <w:r>
        <w:rPr>
          <w:color w:val="auto"/>
        </w:rPr>
        <w:t>、</w:t>
      </w:r>
      <w:r>
        <w:rPr>
          <w:color w:val="auto"/>
        </w:rPr>
        <w:tab/>
      </w:r>
      <w:r>
        <w:rPr>
          <w:color w:val="auto"/>
        </w:rPr>
        <w:t>保证其所供服务不存在侵犯第三方知识产权的行为，否则由此产生的损失由乙方承担。</w:t>
      </w:r>
      <w:r>
        <w:rPr>
          <w:color w:val="auto"/>
          <w:lang w:val="en-US" w:eastAsia="zh-CN" w:bidi="en-US"/>
        </w:rPr>
        <w:tab/>
      </w:r>
    </w:p>
    <w:p>
      <w:pPr>
        <w:pStyle w:val="85"/>
        <w:spacing w:line="400" w:lineRule="exact"/>
        <w:ind w:firstLine="480"/>
        <w:rPr>
          <w:color w:val="auto"/>
        </w:rPr>
      </w:pPr>
      <w:r>
        <w:rPr>
          <w:color w:val="auto"/>
        </w:rPr>
        <w:t>第十四条违约责任</w:t>
      </w:r>
    </w:p>
    <w:p>
      <w:pPr>
        <w:pStyle w:val="85"/>
        <w:spacing w:line="400" w:lineRule="exact"/>
        <w:ind w:firstLine="480"/>
        <w:rPr>
          <w:color w:val="auto"/>
        </w:rPr>
      </w:pPr>
      <w:bookmarkStart w:id="59" w:name="bookmark89"/>
      <w:r>
        <w:rPr>
          <w:rFonts w:ascii="Times New Roman" w:hAnsi="Times New Roman" w:eastAsia="Times New Roman" w:cs="Times New Roman"/>
          <w:color w:val="auto"/>
        </w:rPr>
        <w:t>1</w:t>
      </w:r>
      <w:bookmarkEnd w:id="59"/>
      <w:r>
        <w:rPr>
          <w:color w:val="auto"/>
        </w:rPr>
        <w:t>、乙方所供服务成果及与之配套项目等不符合合同约定标准，甲方有权拒收。 同时，乙方向甲方支付合同总金额</w:t>
      </w:r>
      <w:r>
        <w:rPr>
          <w:rFonts w:hint="eastAsia"/>
          <w:color w:val="auto"/>
          <w:u w:val="single"/>
          <w:lang w:val="en-US" w:eastAsia="zh-CN"/>
        </w:rPr>
        <w:t xml:space="preserve">   </w:t>
      </w:r>
      <w:r>
        <w:rPr>
          <w:color w:val="auto"/>
        </w:rPr>
        <w:t>%的违约金。</w:t>
      </w:r>
    </w:p>
    <w:p>
      <w:pPr>
        <w:pStyle w:val="85"/>
        <w:tabs>
          <w:tab w:val="left" w:pos="872"/>
        </w:tabs>
        <w:spacing w:line="400" w:lineRule="exact"/>
        <w:ind w:firstLine="480"/>
        <w:rPr>
          <w:color w:val="auto"/>
        </w:rPr>
      </w:pPr>
      <w:bookmarkStart w:id="60" w:name="bookmark90"/>
      <w:r>
        <w:rPr>
          <w:rFonts w:ascii="Times New Roman" w:hAnsi="Times New Roman" w:eastAsia="Times New Roman" w:cs="Times New Roman"/>
          <w:color w:val="auto"/>
          <w:lang w:val="zh-CN" w:eastAsia="zh-CN" w:bidi="zh-CN"/>
        </w:rPr>
        <w:t>2</w:t>
      </w:r>
      <w:bookmarkEnd w:id="60"/>
      <w:r>
        <w:rPr>
          <w:color w:val="auto"/>
          <w:lang w:val="zh-CN" w:eastAsia="zh-CN" w:bidi="zh-CN"/>
        </w:rPr>
        <w:t>、</w:t>
      </w:r>
      <w:r>
        <w:rPr>
          <w:color w:val="auto"/>
          <w:lang w:val="zh-CN" w:eastAsia="zh-CN" w:bidi="zh-CN"/>
        </w:rPr>
        <w:tab/>
      </w:r>
      <w:r>
        <w:rPr>
          <w:color w:val="auto"/>
        </w:rPr>
        <w:t>乙方不能交付服务成果时，乙方向甲方支付合同总金额_%的违约金。</w:t>
      </w:r>
    </w:p>
    <w:p>
      <w:pPr>
        <w:pStyle w:val="85"/>
        <w:tabs>
          <w:tab w:val="left" w:pos="872"/>
        </w:tabs>
        <w:spacing w:line="400" w:lineRule="exact"/>
        <w:ind w:firstLine="480"/>
        <w:rPr>
          <w:color w:val="auto"/>
        </w:rPr>
      </w:pPr>
      <w:bookmarkStart w:id="61" w:name="bookmark91"/>
      <w:r>
        <w:rPr>
          <w:rFonts w:ascii="Times New Roman" w:hAnsi="Times New Roman" w:eastAsia="Times New Roman" w:cs="Times New Roman"/>
          <w:color w:val="auto"/>
        </w:rPr>
        <w:t>3</w:t>
      </w:r>
      <w:bookmarkEnd w:id="61"/>
      <w:r>
        <w:rPr>
          <w:color w:val="auto"/>
        </w:rPr>
        <w:t>、</w:t>
      </w:r>
      <w:r>
        <w:rPr>
          <w:color w:val="auto"/>
        </w:rPr>
        <w:tab/>
      </w:r>
      <w:r>
        <w:rPr>
          <w:color w:val="auto"/>
        </w:rPr>
        <w:t>乙方逾期交付服务成果时，每逾</w:t>
      </w:r>
      <w:r>
        <w:rPr>
          <w:color w:val="auto"/>
          <w:lang w:val="zh-CN" w:eastAsia="zh-CN" w:bidi="zh-CN"/>
        </w:rPr>
        <w:t>—</w:t>
      </w:r>
      <w:r>
        <w:rPr>
          <w:color w:val="auto"/>
        </w:rPr>
        <w:t>日乙方向甲方支付合同总金额</w:t>
      </w:r>
      <w:r>
        <w:rPr>
          <w:rFonts w:ascii="Times New Roman" w:hAnsi="Times New Roman" w:eastAsia="Times New Roman" w:cs="Times New Roman"/>
          <w:color w:val="auto"/>
          <w:lang w:val="en-US" w:eastAsia="zh-CN" w:bidi="en-US"/>
        </w:rPr>
        <w:t>_%o</w:t>
      </w:r>
      <w:r>
        <w:rPr>
          <w:color w:val="auto"/>
        </w:rPr>
        <w:t>的滞纳金。逾期交付超过</w:t>
      </w:r>
      <w:r>
        <w:rPr>
          <w:rFonts w:hint="eastAsia"/>
          <w:color w:val="auto"/>
          <w:u w:val="single"/>
          <w:lang w:val="en-US" w:eastAsia="zh-CN"/>
        </w:rPr>
        <w:t xml:space="preserve">    ，</w:t>
      </w:r>
      <w:r>
        <w:rPr>
          <w:color w:val="auto"/>
        </w:rPr>
        <w:t>甲方有权决定是否继续履行合同，如甲方决定终止履行合同的，乙方向甲方支付合同总金额</w:t>
      </w:r>
      <w:r>
        <w:rPr>
          <w:rFonts w:hint="eastAsia"/>
          <w:color w:val="auto"/>
          <w:u w:val="single"/>
          <w:lang w:val="en-US" w:eastAsia="zh-CN" w:bidi="zh-CN"/>
        </w:rPr>
        <w:t xml:space="preserve">   </w:t>
      </w:r>
      <w:r>
        <w:rPr>
          <w:color w:val="auto"/>
        </w:rPr>
        <w:t>%的违约金，并且赔偿甲方因此遭受的损失。</w:t>
      </w:r>
    </w:p>
    <w:p>
      <w:pPr>
        <w:pStyle w:val="85"/>
        <w:numPr>
          <w:ilvl w:val="0"/>
          <w:numId w:val="19"/>
        </w:numPr>
        <w:tabs>
          <w:tab w:val="left" w:pos="867"/>
        </w:tabs>
        <w:spacing w:after="140" w:line="400" w:lineRule="exact"/>
        <w:ind w:firstLine="480"/>
        <w:rPr>
          <w:color w:val="auto"/>
        </w:rPr>
      </w:pPr>
      <w:bookmarkStart w:id="62" w:name="bookmark92"/>
      <w:bookmarkEnd w:id="62"/>
      <w:r>
        <w:rPr>
          <w:color w:val="auto"/>
        </w:rPr>
        <w:t>甲方逾期退还履约保证金的违约责任：采购人延迟退还供应商缴纳的履约保证金的，应当支付逾期利息。双方对逾期利息的利率有约定的，约定利率不得低于合同订立时</w:t>
      </w:r>
      <w:r>
        <w:rPr>
          <w:color w:val="auto"/>
          <w:lang w:val="zh-CN" w:eastAsia="zh-CN" w:bidi="zh-CN"/>
        </w:rPr>
        <w:t>—年期</w:t>
      </w:r>
      <w:r>
        <w:rPr>
          <w:color w:val="auto"/>
        </w:rPr>
        <w:t>贷款市场报价利率；未作约定的，按照每日利率</w:t>
      </w:r>
      <w:r>
        <w:rPr>
          <w:rFonts w:hint="eastAsia"/>
          <w:color w:val="auto"/>
          <w:u w:val="single"/>
          <w:lang w:val="en-US" w:eastAsia="zh-CN" w:bidi="zh-CN"/>
        </w:rPr>
        <w:t xml:space="preserve">    </w:t>
      </w:r>
      <w:r>
        <w:rPr>
          <w:color w:val="auto"/>
        </w:rPr>
        <w:t>支付逾期利息。</w:t>
      </w:r>
    </w:p>
    <w:p>
      <w:pPr>
        <w:pStyle w:val="85"/>
        <w:numPr>
          <w:ilvl w:val="0"/>
          <w:numId w:val="19"/>
        </w:numPr>
        <w:tabs>
          <w:tab w:val="left" w:pos="843"/>
          <w:tab w:val="left" w:pos="5501"/>
        </w:tabs>
        <w:spacing w:line="382" w:lineRule="auto"/>
        <w:ind w:firstLine="480"/>
        <w:rPr>
          <w:color w:val="auto"/>
        </w:rPr>
      </w:pPr>
      <w:bookmarkStart w:id="63" w:name="bookmark93"/>
      <w:bookmarkEnd w:id="63"/>
      <w:r>
        <w:rPr>
          <w:color w:val="auto"/>
        </w:rPr>
        <w:t>甲方逾期支付资金的违约责任：</w:t>
      </w:r>
      <w:r>
        <w:rPr>
          <w:color w:val="auto"/>
          <w:u w:val="single"/>
        </w:rPr>
        <w:t xml:space="preserve"> </w:t>
      </w:r>
      <w:r>
        <w:rPr>
          <w:color w:val="auto"/>
          <w:u w:val="single"/>
        </w:rPr>
        <w:tab/>
      </w:r>
      <w:r>
        <w:rPr>
          <w:color w:val="auto"/>
        </w:rPr>
        <w:t>。</w:t>
      </w:r>
    </w:p>
    <w:p>
      <w:pPr>
        <w:pStyle w:val="85"/>
        <w:numPr>
          <w:ilvl w:val="0"/>
          <w:numId w:val="19"/>
        </w:numPr>
        <w:tabs>
          <w:tab w:val="left" w:pos="823"/>
          <w:tab w:val="left" w:pos="4301"/>
        </w:tabs>
        <w:spacing w:line="402" w:lineRule="exact"/>
        <w:ind w:firstLine="480"/>
        <w:rPr>
          <w:color w:val="auto"/>
        </w:rPr>
      </w:pPr>
      <w:bookmarkStart w:id="64" w:name="bookmark94"/>
      <w:bookmarkEnd w:id="64"/>
      <w:r>
        <w:rPr>
          <w:color w:val="auto"/>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rPr>
        <w:t>。</w:t>
      </w:r>
    </w:p>
    <w:p>
      <w:pPr>
        <w:pStyle w:val="85"/>
        <w:tabs>
          <w:tab w:val="left" w:pos="872"/>
          <w:tab w:val="left" w:leader="dot" w:pos="6302"/>
        </w:tabs>
        <w:spacing w:line="402" w:lineRule="exact"/>
        <w:ind w:firstLine="480"/>
        <w:rPr>
          <w:color w:val="auto"/>
        </w:rPr>
      </w:pPr>
      <w:bookmarkStart w:id="65" w:name="bookmark95"/>
      <w:r>
        <w:rPr>
          <w:rFonts w:ascii="Times New Roman" w:hAnsi="Times New Roman" w:eastAsia="Times New Roman" w:cs="Times New Roman"/>
          <w:color w:val="auto"/>
        </w:rPr>
        <w:t>7</w:t>
      </w:r>
      <w:bookmarkEnd w:id="65"/>
      <w:r>
        <w:rPr>
          <w:color w:val="auto"/>
        </w:rPr>
        <w:t>、</w:t>
      </w:r>
      <w:r>
        <w:rPr>
          <w:color w:val="auto"/>
        </w:rPr>
        <w:tab/>
      </w:r>
      <w:r>
        <w:rPr>
          <w:color w:val="auto"/>
        </w:rPr>
        <w:t>因甲方过错而给乙方造成的损失，由甲方负担。</w:t>
      </w:r>
      <w:r>
        <w:rPr>
          <w:color w:val="auto"/>
          <w:lang w:val="en-US" w:eastAsia="zh-CN" w:bidi="en-US"/>
        </w:rPr>
        <w:tab/>
      </w:r>
    </w:p>
    <w:p>
      <w:pPr>
        <w:pStyle w:val="85"/>
        <w:spacing w:line="402" w:lineRule="exact"/>
        <w:ind w:firstLine="480"/>
        <w:rPr>
          <w:color w:val="auto"/>
        </w:rPr>
      </w:pPr>
      <w:r>
        <w:rPr>
          <w:color w:val="auto"/>
        </w:rPr>
        <w:t>第十五条不可抗力</w:t>
      </w:r>
    </w:p>
    <w:p>
      <w:pPr>
        <w:pStyle w:val="85"/>
        <w:spacing w:line="402" w:lineRule="exact"/>
        <w:ind w:firstLine="480"/>
        <w:rPr>
          <w:color w:val="auto"/>
        </w:rPr>
      </w:pPr>
      <w:r>
        <w:rPr>
          <w:color w:val="auto"/>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lang w:eastAsia="zh-CN"/>
        </w:rPr>
        <w:t>免于</w:t>
      </w:r>
      <w:r>
        <w:rPr>
          <w:color w:val="auto"/>
        </w:rPr>
        <w:t>承担违约责任。</w:t>
      </w:r>
    </w:p>
    <w:p>
      <w:pPr>
        <w:pStyle w:val="85"/>
        <w:spacing w:line="402" w:lineRule="exact"/>
        <w:ind w:firstLine="480"/>
        <w:rPr>
          <w:color w:val="auto"/>
        </w:rPr>
      </w:pPr>
      <w:r>
        <w:rPr>
          <w:color w:val="auto"/>
        </w:rPr>
        <w:t>第十六条保密</w:t>
      </w:r>
    </w:p>
    <w:p>
      <w:pPr>
        <w:pStyle w:val="85"/>
        <w:spacing w:line="402" w:lineRule="exact"/>
        <w:ind w:firstLine="480"/>
        <w:rPr>
          <w:color w:val="auto"/>
        </w:rPr>
      </w:pPr>
      <w:r>
        <w:rPr>
          <w:color w:val="auto"/>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5"/>
        <w:spacing w:line="402" w:lineRule="exact"/>
        <w:ind w:left="457" w:leftChars="198" w:hanging="41" w:hangingChars="19"/>
        <w:jc w:val="left"/>
        <w:rPr>
          <w:color w:val="auto"/>
        </w:rPr>
      </w:pPr>
      <w:r>
        <w:rPr>
          <w:color w:val="auto"/>
        </w:rPr>
        <w:t xml:space="preserve">乙方违反本合同所规定的保密义务，应按照本合同总金额的_%支付违约金。 </w:t>
      </w:r>
    </w:p>
    <w:p>
      <w:pPr>
        <w:pStyle w:val="85"/>
        <w:spacing w:line="402" w:lineRule="exact"/>
        <w:ind w:left="458" w:leftChars="94" w:hanging="261" w:hangingChars="119"/>
        <w:jc w:val="left"/>
        <w:rPr>
          <w:color w:val="auto"/>
        </w:rPr>
      </w:pPr>
      <w:r>
        <w:rPr>
          <w:color w:val="auto"/>
        </w:rPr>
        <w:t>第十七条争议解决</w:t>
      </w:r>
    </w:p>
    <w:p>
      <w:pPr>
        <w:pStyle w:val="85"/>
        <w:spacing w:line="402" w:lineRule="exact"/>
        <w:ind w:firstLine="480"/>
        <w:rPr>
          <w:color w:val="auto"/>
        </w:rPr>
      </w:pPr>
      <w:r>
        <w:rPr>
          <w:color w:val="auto"/>
        </w:rPr>
        <w:t>甲乙双方在合同履行中发生争议，应通过协商解决。如协商不成，可以向合同签订地法院提起诉讼。……</w:t>
      </w:r>
    </w:p>
    <w:p>
      <w:pPr>
        <w:pStyle w:val="85"/>
        <w:spacing w:line="402" w:lineRule="exact"/>
        <w:ind w:firstLine="480"/>
        <w:rPr>
          <w:color w:val="auto"/>
        </w:rPr>
      </w:pPr>
      <w:r>
        <w:rPr>
          <w:color w:val="auto"/>
        </w:rPr>
        <w:t>第十八条合同生效及其他</w:t>
      </w:r>
    </w:p>
    <w:p>
      <w:pPr>
        <w:pStyle w:val="85"/>
        <w:tabs>
          <w:tab w:val="left" w:pos="862"/>
        </w:tabs>
        <w:spacing w:line="402" w:lineRule="exact"/>
        <w:ind w:firstLine="480"/>
        <w:rPr>
          <w:color w:val="auto"/>
        </w:rPr>
      </w:pPr>
      <w:bookmarkStart w:id="66" w:name="bookmark96"/>
      <w:r>
        <w:rPr>
          <w:rFonts w:ascii="Times New Roman" w:hAnsi="Times New Roman" w:eastAsia="Times New Roman" w:cs="Times New Roman"/>
          <w:color w:val="auto"/>
        </w:rPr>
        <w:t>1</w:t>
      </w:r>
      <w:bookmarkEnd w:id="66"/>
      <w:r>
        <w:rPr>
          <w:color w:val="auto"/>
        </w:rPr>
        <w:t>、</w:t>
      </w:r>
      <w:r>
        <w:rPr>
          <w:color w:val="auto"/>
        </w:rPr>
        <w:tab/>
      </w:r>
      <w:r>
        <w:rPr>
          <w:color w:val="auto"/>
        </w:rPr>
        <w:t>除招标文件规定且甲方事先书面同意外，乙方不得部分或者全部转让、分包履行其应履行的合同项下的义务。</w:t>
      </w:r>
    </w:p>
    <w:p>
      <w:pPr>
        <w:pStyle w:val="85"/>
        <w:tabs>
          <w:tab w:val="left" w:pos="877"/>
        </w:tabs>
        <w:spacing w:line="402" w:lineRule="exact"/>
        <w:ind w:firstLine="480"/>
        <w:rPr>
          <w:color w:val="auto"/>
        </w:rPr>
      </w:pPr>
      <w:bookmarkStart w:id="67" w:name="bookmark97"/>
      <w:r>
        <w:rPr>
          <w:rFonts w:ascii="Times New Roman" w:hAnsi="Times New Roman" w:eastAsia="Times New Roman" w:cs="Times New Roman"/>
          <w:color w:val="auto"/>
        </w:rPr>
        <w:t>2</w:t>
      </w:r>
      <w:bookmarkEnd w:id="67"/>
      <w:r>
        <w:rPr>
          <w:color w:val="auto"/>
        </w:rPr>
        <w:t>、</w:t>
      </w:r>
      <w:r>
        <w:rPr>
          <w:color w:val="auto"/>
        </w:rPr>
        <w:tab/>
      </w:r>
      <w:r>
        <w:rPr>
          <w:color w:val="auto"/>
        </w:rPr>
        <w:t>合同由甲、乙双方法定代表人（或者被授权代表）签字并加盖单位公章。</w:t>
      </w:r>
    </w:p>
    <w:p>
      <w:pPr>
        <w:pStyle w:val="85"/>
        <w:tabs>
          <w:tab w:val="left" w:pos="877"/>
          <w:tab w:val="left" w:leader="dot" w:pos="5578"/>
        </w:tabs>
        <w:spacing w:line="402" w:lineRule="exact"/>
        <w:ind w:firstLine="480"/>
        <w:rPr>
          <w:color w:val="auto"/>
        </w:rPr>
      </w:pPr>
      <w:bookmarkStart w:id="68" w:name="bookmark98"/>
      <w:r>
        <w:rPr>
          <w:rFonts w:ascii="Times New Roman" w:hAnsi="Times New Roman" w:eastAsia="Times New Roman" w:cs="Times New Roman"/>
          <w:color w:val="auto"/>
        </w:rPr>
        <w:t>3</w:t>
      </w:r>
      <w:bookmarkEnd w:id="68"/>
      <w:r>
        <w:rPr>
          <w:color w:val="auto"/>
        </w:rPr>
        <w:t>、</w:t>
      </w:r>
      <w:r>
        <w:rPr>
          <w:color w:val="auto"/>
        </w:rPr>
        <w:tab/>
      </w:r>
      <w:r>
        <w:rPr>
          <w:color w:val="auto"/>
        </w:rPr>
        <w:t>本合同一式</w:t>
      </w:r>
      <w:r>
        <w:rPr>
          <w:color w:val="auto"/>
          <w:lang w:val="zh-CN" w:bidi="zh-CN"/>
        </w:rPr>
        <w:t>—份，</w:t>
      </w:r>
      <w:r>
        <w:rPr>
          <w:color w:val="auto"/>
        </w:rPr>
        <w:t>甲方</w:t>
      </w:r>
      <w:r>
        <w:rPr>
          <w:color w:val="auto"/>
          <w:lang w:val="zh-CN" w:bidi="zh-CN"/>
        </w:rPr>
        <w:t>—份，</w:t>
      </w:r>
      <w:r>
        <w:rPr>
          <w:color w:val="auto"/>
        </w:rPr>
        <w:t>乙方</w:t>
      </w:r>
      <w:r>
        <w:rPr>
          <w:color w:val="auto"/>
          <w:lang w:val="zh-CN" w:bidi="zh-CN"/>
        </w:rPr>
        <w:t>—份。</w:t>
      </w:r>
      <w:r>
        <w:rPr>
          <w:color w:val="auto"/>
          <w:lang w:val="en-US" w:bidi="en-US"/>
        </w:rPr>
        <w:tab/>
      </w:r>
    </w:p>
    <w:p>
      <w:pPr>
        <w:pStyle w:val="85"/>
        <w:spacing w:line="402" w:lineRule="exact"/>
        <w:ind w:firstLine="480"/>
        <w:rPr>
          <w:color w:val="auto"/>
        </w:rPr>
      </w:pPr>
      <w:r>
        <w:rPr>
          <w:color w:val="auto"/>
        </w:rPr>
        <w:t>第十九条服务期限</w:t>
      </w:r>
    </w:p>
    <w:p>
      <w:pPr>
        <w:pStyle w:val="85"/>
        <w:spacing w:line="402" w:lineRule="exact"/>
        <w:ind w:firstLine="480"/>
        <w:rPr>
          <w:color w:val="auto"/>
        </w:rPr>
        <w:sectPr>
          <w:footerReference r:id="rId4" w:type="default"/>
          <w:footerReference r:id="rId5" w:type="even"/>
          <w:type w:val="continuous"/>
          <w:pgSz w:w="11900" w:h="16840"/>
          <w:pgMar w:top="1559" w:right="1680" w:bottom="1358" w:left="1709" w:header="1131" w:footer="1111" w:gutter="0"/>
          <w:cols w:space="720" w:num="1"/>
          <w:docGrid w:linePitch="360" w:charSpace="0"/>
        </w:sectPr>
      </w:pPr>
      <w:r>
        <w:rPr>
          <w:color w:val="auto"/>
        </w:rPr>
        <w:t>本合同服务期限为</w:t>
      </w:r>
      <w:r>
        <w:rPr>
          <w:rFonts w:hint="eastAsia"/>
          <w:color w:val="auto"/>
          <w:u w:val="single"/>
          <w:lang w:val="en-US" w:eastAsia="zh-CN" w:bidi="zh-CN"/>
        </w:rPr>
        <w:t xml:space="preserve">   </w:t>
      </w:r>
      <w:r>
        <w:rPr>
          <w:color w:val="auto"/>
          <w:lang w:val="zh-CN" w:eastAsia="zh-CN" w:bidi="zh-CN"/>
        </w:rPr>
        <w:t>年；</w:t>
      </w:r>
      <w:r>
        <w:rPr>
          <w:color w:val="auto"/>
        </w:rPr>
        <w:t>服务期限自</w:t>
      </w:r>
      <w:r>
        <w:rPr>
          <w:rFonts w:hint="eastAsia"/>
          <w:color w:val="auto"/>
          <w:u w:val="single"/>
          <w:lang w:val="en-US" w:eastAsia="zh-CN" w:bidi="zh-CN"/>
        </w:rPr>
        <w:t xml:space="preserve">  </w:t>
      </w:r>
      <w:r>
        <w:rPr>
          <w:color w:val="auto"/>
        </w:rPr>
        <w:t>年</w:t>
      </w:r>
      <w:r>
        <w:rPr>
          <w:rFonts w:hint="eastAsia"/>
          <w:color w:val="auto"/>
          <w:u w:val="single"/>
          <w:lang w:val="en-US" w:eastAsia="zh-CN" w:bidi="zh-CN"/>
        </w:rPr>
        <w:t xml:space="preserve">  </w:t>
      </w:r>
      <w:r>
        <w:rPr>
          <w:color w:val="auto"/>
        </w:rPr>
        <w:t>月</w:t>
      </w:r>
      <w:r>
        <w:rPr>
          <w:rFonts w:hint="eastAsia"/>
          <w:color w:val="auto"/>
          <w:u w:val="single"/>
          <w:lang w:val="en-US" w:eastAsia="zh-CN" w:bidi="zh-CN"/>
        </w:rPr>
        <w:t xml:space="preserve">  </w:t>
      </w:r>
      <w:r>
        <w:rPr>
          <w:color w:val="auto"/>
        </w:rPr>
        <w:t>日起至</w:t>
      </w:r>
      <w:r>
        <w:rPr>
          <w:rFonts w:hint="eastAsia"/>
          <w:color w:val="auto"/>
          <w:u w:val="single"/>
          <w:lang w:val="en-US" w:eastAsia="zh-CN" w:bidi="zh-CN"/>
        </w:rPr>
        <w:t xml:space="preserve">  </w:t>
      </w:r>
      <w:r>
        <w:rPr>
          <w:color w:val="auto"/>
        </w:rPr>
        <w:t>年</w:t>
      </w:r>
      <w:r>
        <w:rPr>
          <w:rFonts w:hint="eastAsia"/>
          <w:color w:val="auto"/>
          <w:u w:val="single"/>
          <w:lang w:val="en-US" w:eastAsia="zh-CN" w:bidi="zh-CN"/>
        </w:rPr>
        <w:t xml:space="preserve">  </w:t>
      </w:r>
      <w:r>
        <w:rPr>
          <w:color w:val="auto"/>
        </w:rPr>
        <w:t>月</w:t>
      </w:r>
      <w:r>
        <w:rPr>
          <w:rFonts w:hint="eastAsia"/>
          <w:color w:val="auto"/>
          <w:u w:val="single"/>
          <w:lang w:val="en-US" w:eastAsia="zh-CN" w:bidi="zh-CN"/>
        </w:rPr>
        <w:t xml:space="preserve">  </w:t>
      </w:r>
      <w:r>
        <w:rPr>
          <w:color w:val="auto"/>
        </w:rPr>
        <w:t>日止。本合同期限届满，如需续签，根据《政府采购目录》有关规定，经财政部门批准，双方可以根据法律及各项规定另行签订书面合同。</w:t>
      </w:r>
    </w:p>
    <w:p>
      <w:pPr>
        <w:pStyle w:val="85"/>
        <w:spacing w:line="399" w:lineRule="exact"/>
        <w:ind w:firstLine="460"/>
        <w:rPr>
          <w:color w:val="auto"/>
        </w:rPr>
      </w:pPr>
      <w:r>
        <w:rPr>
          <w:color w:val="auto"/>
        </w:rPr>
        <w:t>第二十条政府采购合同融资</w:t>
      </w:r>
    </w:p>
    <w:p>
      <w:pPr>
        <w:pStyle w:val="85"/>
        <w:numPr>
          <w:ilvl w:val="0"/>
          <w:numId w:val="20"/>
        </w:numPr>
        <w:tabs>
          <w:tab w:val="left" w:pos="791"/>
        </w:tabs>
        <w:spacing w:line="399" w:lineRule="exact"/>
        <w:ind w:firstLine="460"/>
        <w:rPr>
          <w:color w:val="auto"/>
        </w:rPr>
      </w:pPr>
      <w:bookmarkStart w:id="69" w:name="bookmark99"/>
      <w:bookmarkEnd w:id="69"/>
      <w:r>
        <w:rPr>
          <w:color w:val="auto"/>
        </w:rPr>
        <w:t>政府采购合同签订前开展融资业务的。中标（成交）供应商持政府采购中标（成交）通知书提前与金融机构进行合同融资商洽，双方达成融资意向后，中标（成交）供应商与</w:t>
      </w:r>
      <w:r>
        <w:rPr>
          <w:rFonts w:hint="eastAsia"/>
          <w:color w:val="auto"/>
          <w:lang w:eastAsia="zh-CN"/>
        </w:rPr>
        <w:t>采购</w:t>
      </w:r>
      <w:r>
        <w:rPr>
          <w:color w:val="auto"/>
        </w:rPr>
        <w:t>人签订政府</w:t>
      </w:r>
      <w:r>
        <w:rPr>
          <w:rFonts w:hint="eastAsia"/>
          <w:color w:val="auto"/>
          <w:lang w:eastAsia="zh-CN"/>
        </w:rPr>
        <w:t>采购</w:t>
      </w:r>
      <w:r>
        <w:rPr>
          <w:color w:val="auto"/>
        </w:rPr>
        <w:t>合同，合同中供应商的银行账户要与合同融资的回款账户一致。中标（成交）供应商和贷款金融机构要及时将政府采购合同作为融资质押的信息告知</w:t>
      </w:r>
      <w:r>
        <w:rPr>
          <w:rFonts w:hint="eastAsia"/>
          <w:color w:val="auto"/>
          <w:lang w:eastAsia="zh-CN"/>
        </w:rPr>
        <w:t>采购</w:t>
      </w:r>
      <w:r>
        <w:rPr>
          <w:color w:val="auto"/>
        </w:rPr>
        <w:t>人。采购人要从严加强合同付款账户管理，未经贷款银行同意，不随意更改合同付款账户。</w:t>
      </w:r>
    </w:p>
    <w:p>
      <w:pPr>
        <w:pStyle w:val="85"/>
        <w:numPr>
          <w:ilvl w:val="0"/>
          <w:numId w:val="20"/>
        </w:numPr>
        <w:tabs>
          <w:tab w:val="left" w:pos="800"/>
        </w:tabs>
        <w:spacing w:line="399" w:lineRule="exact"/>
        <w:ind w:firstLine="460"/>
        <w:rPr>
          <w:color w:val="auto"/>
        </w:rPr>
      </w:pPr>
      <w:bookmarkStart w:id="70" w:name="bookmark100"/>
      <w:bookmarkEnd w:id="70"/>
      <w:r>
        <w:rPr>
          <w:color w:val="auto"/>
        </w:rPr>
        <w:t>政府</w:t>
      </w:r>
      <w:r>
        <w:rPr>
          <w:rFonts w:hint="eastAsia"/>
          <w:color w:val="auto"/>
          <w:lang w:eastAsia="zh-CN"/>
        </w:rPr>
        <w:t>采购</w:t>
      </w:r>
      <w:r>
        <w:rPr>
          <w:color w:val="auto"/>
        </w:rPr>
        <w:t>合同签订后开展融资的账户管理。在合同履约期间，中标（成交） 供应商持已签订的政府</w:t>
      </w:r>
      <w:r>
        <w:rPr>
          <w:rFonts w:hint="eastAsia"/>
          <w:color w:val="auto"/>
          <w:lang w:eastAsia="zh-CN"/>
        </w:rPr>
        <w:t>采购</w:t>
      </w:r>
      <w:r>
        <w:rPr>
          <w:color w:val="auto"/>
        </w:rPr>
        <w:t>合同向金融机构申请合同融资，可能出现政府采购合同中供应商收款的银行账户与拟贷款银行回款账户不一致的情形。为支持供应商通过政府</w:t>
      </w:r>
      <w:r>
        <w:rPr>
          <w:rFonts w:hint="eastAsia"/>
          <w:color w:val="auto"/>
          <w:lang w:eastAsia="zh-CN"/>
        </w:rPr>
        <w:t>采购</w:t>
      </w:r>
      <w:r>
        <w:rPr>
          <w:color w:val="auto"/>
        </w:rPr>
        <w:t>合同成功获得银行贷款，采购人应积极协助供应商及时变更政府</w:t>
      </w:r>
      <w:r>
        <w:rPr>
          <w:rFonts w:hint="eastAsia"/>
          <w:color w:val="auto"/>
          <w:lang w:eastAsia="zh-CN"/>
        </w:rPr>
        <w:t>采</w:t>
      </w:r>
      <w:r>
        <w:rPr>
          <w:color w:val="auto"/>
        </w:rPr>
        <w:t>购合同中的供应商收款银行账户，保障供应商收款的银行账户与拟贷款银行回款账户一致。</w:t>
      </w:r>
    </w:p>
    <w:p>
      <w:pPr>
        <w:pStyle w:val="85"/>
        <w:numPr>
          <w:ilvl w:val="0"/>
          <w:numId w:val="20"/>
        </w:numPr>
        <w:tabs>
          <w:tab w:val="left" w:pos="800"/>
        </w:tabs>
        <w:spacing w:line="399" w:lineRule="exact"/>
        <w:ind w:firstLine="460"/>
        <w:rPr>
          <w:color w:val="auto"/>
        </w:rPr>
      </w:pPr>
      <w:bookmarkStart w:id="71" w:name="bookmark101"/>
      <w:bookmarkEnd w:id="71"/>
      <w:r>
        <w:rPr>
          <w:color w:val="auto"/>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5"/>
        <w:spacing w:line="399" w:lineRule="exact"/>
        <w:ind w:firstLine="460"/>
        <w:rPr>
          <w:color w:val="auto"/>
        </w:rPr>
      </w:pPr>
      <w:r>
        <w:rPr>
          <w:color w:val="auto"/>
        </w:rPr>
        <w:t>第二十一条下列文件为本合同不可分割部分</w:t>
      </w:r>
    </w:p>
    <w:p>
      <w:pPr>
        <w:pStyle w:val="85"/>
        <w:tabs>
          <w:tab w:val="left" w:pos="814"/>
        </w:tabs>
        <w:spacing w:after="120" w:line="399" w:lineRule="exact"/>
        <w:ind w:firstLine="460"/>
        <w:rPr>
          <w:color w:val="auto"/>
        </w:rPr>
      </w:pPr>
      <w:bookmarkStart w:id="72" w:name="bookmark102"/>
      <w:r>
        <w:rPr>
          <w:rFonts w:ascii="Times New Roman" w:hAnsi="Times New Roman" w:eastAsia="Times New Roman" w:cs="Times New Roman"/>
          <w:color w:val="auto"/>
        </w:rPr>
        <w:t>1</w:t>
      </w:r>
      <w:bookmarkEnd w:id="72"/>
      <w:r>
        <w:rPr>
          <w:color w:val="auto"/>
        </w:rPr>
        <w:t>、</w:t>
      </w:r>
      <w:r>
        <w:rPr>
          <w:color w:val="auto"/>
        </w:rPr>
        <w:tab/>
      </w:r>
      <w:r>
        <w:rPr>
          <w:color w:val="auto"/>
        </w:rPr>
        <w:t>政府</w:t>
      </w:r>
      <w:r>
        <w:rPr>
          <w:rFonts w:hint="eastAsia"/>
          <w:color w:val="auto"/>
          <w:lang w:eastAsia="zh-CN"/>
        </w:rPr>
        <w:t>采购</w:t>
      </w:r>
      <w:r>
        <w:rPr>
          <w:color w:val="auto"/>
        </w:rPr>
        <w:t>招标文件（包括澄清、修改）；</w:t>
      </w:r>
    </w:p>
    <w:p>
      <w:pPr>
        <w:pStyle w:val="85"/>
        <w:tabs>
          <w:tab w:val="left" w:pos="828"/>
        </w:tabs>
        <w:ind w:firstLine="460"/>
        <w:rPr>
          <w:color w:val="auto"/>
        </w:rPr>
      </w:pPr>
      <w:bookmarkStart w:id="73" w:name="bookmark103"/>
      <w:r>
        <w:rPr>
          <w:rFonts w:ascii="Times New Roman" w:hAnsi="Times New Roman" w:eastAsia="Times New Roman" w:cs="Times New Roman"/>
          <w:color w:val="auto"/>
        </w:rPr>
        <w:t>2</w:t>
      </w:r>
      <w:bookmarkEnd w:id="73"/>
      <w:r>
        <w:rPr>
          <w:color w:val="auto"/>
        </w:rPr>
        <w:t>、</w:t>
      </w:r>
      <w:r>
        <w:rPr>
          <w:color w:val="auto"/>
        </w:rPr>
        <w:tab/>
      </w:r>
      <w:r>
        <w:rPr>
          <w:color w:val="auto"/>
        </w:rPr>
        <w:t>乙方投标文件；</w:t>
      </w:r>
    </w:p>
    <w:p>
      <w:pPr>
        <w:pStyle w:val="85"/>
        <w:tabs>
          <w:tab w:val="left" w:pos="828"/>
        </w:tabs>
        <w:spacing w:line="399" w:lineRule="exact"/>
        <w:ind w:firstLine="460"/>
        <w:rPr>
          <w:color w:val="auto"/>
        </w:rPr>
      </w:pPr>
      <w:bookmarkStart w:id="74" w:name="bookmark104"/>
      <w:r>
        <w:rPr>
          <w:rFonts w:ascii="Times New Roman" w:hAnsi="Times New Roman" w:eastAsia="Times New Roman" w:cs="Times New Roman"/>
          <w:color w:val="auto"/>
        </w:rPr>
        <w:t>3</w:t>
      </w:r>
      <w:bookmarkEnd w:id="74"/>
      <w:r>
        <w:rPr>
          <w:color w:val="auto"/>
        </w:rPr>
        <w:t>、</w:t>
      </w:r>
      <w:r>
        <w:rPr>
          <w:color w:val="auto"/>
        </w:rPr>
        <w:tab/>
      </w:r>
      <w:r>
        <w:rPr>
          <w:color w:val="auto"/>
        </w:rPr>
        <w:t>中标（成交）通知书；</w:t>
      </w:r>
    </w:p>
    <w:p>
      <w:pPr>
        <w:pStyle w:val="85"/>
        <w:tabs>
          <w:tab w:val="left" w:pos="833"/>
        </w:tabs>
        <w:spacing w:line="399" w:lineRule="exact"/>
        <w:ind w:firstLine="460"/>
        <w:rPr>
          <w:color w:val="auto"/>
        </w:rPr>
      </w:pPr>
      <w:bookmarkStart w:id="75" w:name="bookmark105"/>
      <w:r>
        <w:rPr>
          <w:rFonts w:ascii="Times New Roman" w:hAnsi="Times New Roman" w:eastAsia="Times New Roman" w:cs="Times New Roman"/>
          <w:color w:val="auto"/>
        </w:rPr>
        <w:t>4</w:t>
      </w:r>
      <w:bookmarkEnd w:id="75"/>
      <w:r>
        <w:rPr>
          <w:color w:val="auto"/>
        </w:rPr>
        <w:t>、</w:t>
      </w:r>
      <w:r>
        <w:rPr>
          <w:color w:val="auto"/>
        </w:rPr>
        <w:tab/>
      </w:r>
      <w:r>
        <w:rPr>
          <w:color w:val="auto"/>
        </w:rPr>
        <w:t>中标人在评标过程中</w:t>
      </w:r>
      <w:r>
        <w:rPr>
          <w:rFonts w:hint="eastAsia"/>
          <w:color w:val="auto"/>
          <w:lang w:eastAsia="zh-CN"/>
        </w:rPr>
        <w:t>作出</w:t>
      </w:r>
      <w:r>
        <w:rPr>
          <w:color w:val="auto"/>
        </w:rPr>
        <w:t>的有关澄清、说明、承诺或者补正文件；</w:t>
      </w:r>
    </w:p>
    <w:p>
      <w:pPr>
        <w:pStyle w:val="85"/>
        <w:tabs>
          <w:tab w:val="left" w:pos="833"/>
        </w:tabs>
        <w:spacing w:line="399" w:lineRule="exact"/>
        <w:ind w:firstLine="460"/>
        <w:rPr>
          <w:color w:val="auto"/>
        </w:rPr>
        <w:sectPr>
          <w:footerReference r:id="rId6" w:type="default"/>
          <w:footerReference r:id="rId7" w:type="even"/>
          <w:type w:val="continuous"/>
          <w:pgSz w:w="11900" w:h="16840"/>
          <w:pgMar w:top="1559" w:right="1680" w:bottom="1358" w:left="1709" w:header="1131" w:footer="1128" w:gutter="0"/>
          <w:cols w:space="720" w:num="1"/>
          <w:docGrid w:linePitch="360" w:charSpace="0"/>
        </w:sectPr>
      </w:pPr>
      <w:bookmarkStart w:id="76" w:name="bookmark106"/>
      <w:r>
        <w:rPr>
          <w:rFonts w:ascii="Times New Roman" w:hAnsi="Times New Roman" w:eastAsia="Times New Roman" w:cs="Times New Roman"/>
          <w:color w:val="auto"/>
        </w:rPr>
        <w:t>5</w:t>
      </w:r>
      <w:bookmarkEnd w:id="76"/>
      <w:r>
        <w:rPr>
          <w:color w:val="auto"/>
        </w:rPr>
        <w:t>、</w:t>
      </w:r>
      <w:r>
        <w:rPr>
          <w:color w:val="auto"/>
        </w:rPr>
        <w:tab/>
      </w:r>
      <w:r>
        <w:rPr>
          <w:color w:val="auto"/>
        </w:rPr>
        <w:t>政府</w:t>
      </w:r>
      <w:r>
        <w:rPr>
          <w:rFonts w:hint="eastAsia"/>
          <w:color w:val="auto"/>
          <w:lang w:eastAsia="zh-CN"/>
        </w:rPr>
        <w:t>采购</w:t>
      </w:r>
      <w:r>
        <w:rPr>
          <w:color w:val="auto"/>
        </w:rPr>
        <w:t>委托协议书。</w:t>
      </w:r>
    </w:p>
    <w:p>
      <w:pPr>
        <w:spacing w:before="75" w:after="75" w:line="240" w:lineRule="exact"/>
        <w:rPr>
          <w:color w:val="auto"/>
          <w:sz w:val="19"/>
          <w:szCs w:val="19"/>
        </w:rPr>
      </w:pPr>
    </w:p>
    <w:p>
      <w:pPr>
        <w:spacing w:line="1" w:lineRule="exact"/>
        <w:rPr>
          <w:color w:val="auto"/>
        </w:rPr>
        <w:sectPr>
          <w:type w:val="continuous"/>
          <w:pgSz w:w="11900" w:h="16840"/>
          <w:pgMar w:top="1734" w:right="0" w:bottom="1734" w:left="0" w:header="0" w:footer="3" w:gutter="0"/>
          <w:cols w:space="720" w:num="1"/>
          <w:docGrid w:linePitch="360" w:charSpace="0"/>
        </w:sectPr>
      </w:pPr>
    </w:p>
    <w:p>
      <w:pPr>
        <w:pStyle w:val="85"/>
        <w:spacing w:after="140" w:line="240" w:lineRule="auto"/>
        <w:ind w:firstLine="0"/>
        <w:jc w:val="left"/>
        <w:rPr>
          <w:color w:val="auto"/>
        </w:rPr>
      </w:pPr>
      <w:r>
        <w:rPr>
          <w:color w:val="auto"/>
        </w:rPr>
        <w:t>甲 方：</w:t>
      </w:r>
    </w:p>
    <w:p>
      <w:pPr>
        <w:pStyle w:val="85"/>
        <w:spacing w:after="140" w:line="240" w:lineRule="auto"/>
        <w:ind w:firstLine="0"/>
        <w:jc w:val="left"/>
        <w:rPr>
          <w:color w:val="auto"/>
        </w:rPr>
      </w:pPr>
      <w:r>
        <w:rPr>
          <w:color w:val="auto"/>
        </w:rPr>
        <w:t>单位名称（公章）：</w:t>
      </w:r>
    </w:p>
    <w:p>
      <w:pPr>
        <w:pStyle w:val="85"/>
        <w:spacing w:after="140" w:line="240" w:lineRule="auto"/>
        <w:ind w:firstLine="0"/>
        <w:jc w:val="left"/>
        <w:rPr>
          <w:color w:val="auto"/>
        </w:rPr>
      </w:pPr>
      <w:r>
        <w:rPr>
          <w:color w:val="auto"/>
        </w:rPr>
        <w:t>法定代表人（被授权代表）签字</w:t>
      </w:r>
      <w:r>
        <w:rPr>
          <w:rFonts w:hint="eastAsia"/>
          <w:color w:val="auto"/>
          <w:lang w:eastAsia="zh-CN"/>
        </w:rPr>
        <w:t>：</w:t>
      </w:r>
    </w:p>
    <w:p>
      <w:pPr>
        <w:pStyle w:val="85"/>
        <w:spacing w:after="540" w:line="240" w:lineRule="auto"/>
        <w:ind w:firstLine="0"/>
        <w:jc w:val="left"/>
        <w:rPr>
          <w:color w:val="auto"/>
        </w:rPr>
      </w:pPr>
      <w:r>
        <w:rPr>
          <w:color w:val="auto"/>
        </w:rPr>
        <w:t>电 话：</w:t>
      </w:r>
    </w:p>
    <w:p>
      <w:pPr>
        <w:pStyle w:val="85"/>
        <w:spacing w:after="140" w:line="240" w:lineRule="auto"/>
        <w:ind w:firstLine="0"/>
        <w:jc w:val="left"/>
        <w:rPr>
          <w:color w:val="auto"/>
        </w:rPr>
      </w:pPr>
      <w:r>
        <w:rPr>
          <w:color w:val="auto"/>
        </w:rPr>
        <w:t>年 月 日</w:t>
      </w:r>
    </w:p>
    <w:p>
      <w:pPr>
        <w:pStyle w:val="85"/>
        <w:spacing w:after="140" w:line="240" w:lineRule="auto"/>
        <w:ind w:firstLine="0"/>
        <w:jc w:val="left"/>
        <w:rPr>
          <w:color w:val="auto"/>
        </w:rPr>
      </w:pPr>
    </w:p>
    <w:p>
      <w:pPr>
        <w:pStyle w:val="85"/>
        <w:spacing w:after="140" w:line="240" w:lineRule="auto"/>
        <w:ind w:firstLine="0"/>
        <w:jc w:val="left"/>
        <w:rPr>
          <w:color w:val="auto"/>
        </w:rPr>
      </w:pPr>
      <w:r>
        <w:rPr>
          <w:color w:val="auto"/>
        </w:rPr>
        <w:t>乙 方：</w:t>
      </w:r>
    </w:p>
    <w:p>
      <w:pPr>
        <w:pStyle w:val="85"/>
        <w:spacing w:after="140" w:line="240" w:lineRule="auto"/>
        <w:ind w:firstLine="0"/>
        <w:jc w:val="left"/>
        <w:rPr>
          <w:color w:val="auto"/>
        </w:rPr>
      </w:pPr>
      <w:r>
        <w:rPr>
          <w:color w:val="auto"/>
        </w:rPr>
        <w:t>单位名称（公章）：</w:t>
      </w:r>
    </w:p>
    <w:p>
      <w:pPr>
        <w:pStyle w:val="85"/>
        <w:spacing w:after="140" w:line="240" w:lineRule="auto"/>
        <w:ind w:firstLine="0"/>
        <w:jc w:val="left"/>
        <w:rPr>
          <w:color w:val="auto"/>
        </w:rPr>
      </w:pPr>
      <w:r>
        <w:rPr>
          <w:color w:val="auto"/>
        </w:rPr>
        <w:t>法定代表人（被授权代表）签字</w:t>
      </w:r>
      <w:r>
        <w:rPr>
          <w:rFonts w:hint="eastAsia"/>
          <w:color w:val="auto"/>
          <w:lang w:eastAsia="zh-CN"/>
        </w:rPr>
        <w:t>：</w:t>
      </w:r>
    </w:p>
    <w:p>
      <w:pPr>
        <w:pStyle w:val="85"/>
        <w:spacing w:after="540" w:line="240" w:lineRule="auto"/>
        <w:ind w:firstLine="0"/>
        <w:jc w:val="left"/>
        <w:rPr>
          <w:color w:val="auto"/>
        </w:rPr>
      </w:pPr>
      <w:r>
        <w:rPr>
          <w:color w:val="auto"/>
        </w:rPr>
        <w:t>电 话：</w:t>
      </w:r>
    </w:p>
    <w:p>
      <w:pPr>
        <w:pStyle w:val="85"/>
        <w:spacing w:after="140" w:line="240" w:lineRule="auto"/>
        <w:ind w:firstLine="0"/>
        <w:jc w:val="left"/>
        <w:rPr>
          <w:color w:val="auto"/>
        </w:rPr>
        <w:sectPr>
          <w:type w:val="continuous"/>
          <w:pgSz w:w="11900" w:h="16840"/>
          <w:pgMar w:top="1734" w:right="1791" w:bottom="1734" w:left="2189" w:header="0" w:footer="3" w:gutter="0"/>
          <w:cols w:space="1171" w:num="2"/>
          <w:docGrid w:linePitch="360" w:charSpace="0"/>
        </w:sectPr>
      </w:pPr>
      <w:r>
        <w:rPr>
          <w:color w:val="auto"/>
        </w:rPr>
        <w:t>年 月 日</w:t>
      </w:r>
    </w:p>
    <w:p>
      <w:pPr>
        <w:pStyle w:val="25"/>
        <w:spacing w:before="75" w:after="75" w:line="360" w:lineRule="auto"/>
        <w:rPr>
          <w:rFonts w:ascii="宋体" w:hAnsi="宋体"/>
          <w:color w:val="auto"/>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77" w:name="_Hlk55569782"/>
      <w:r>
        <w:rPr>
          <w:rFonts w:hint="eastAsia" w:cs="宋体" w:asciiTheme="majorEastAsia" w:hAnsiTheme="majorEastAsia" w:eastAsiaTheme="majorEastAsia"/>
          <w:b/>
          <w:color w:val="auto"/>
          <w:kern w:val="0"/>
          <w:sz w:val="32"/>
          <w:szCs w:val="32"/>
        </w:rPr>
        <w:t>响应</w:t>
      </w:r>
      <w:bookmarkEnd w:id="77"/>
      <w:r>
        <w:rPr>
          <w:rFonts w:hint="eastAsia" w:cs="宋体" w:asciiTheme="majorEastAsia" w:hAnsiTheme="majorEastAsia" w:eastAsiaTheme="majorEastAsia"/>
          <w:b/>
          <w:color w:val="auto"/>
          <w:kern w:val="0"/>
          <w:sz w:val="32"/>
          <w:szCs w:val="32"/>
        </w:rPr>
        <w:t>文件有关格式</w:t>
      </w:r>
    </w:p>
    <w:p>
      <w:pPr>
        <w:pStyle w:val="11"/>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供应商：（全称并加盖公章）</w:t>
      </w:r>
    </w:p>
    <w:p>
      <w:pPr>
        <w:spacing w:line="480" w:lineRule="auto"/>
        <w:ind w:firstLine="1680" w:firstLineChars="600"/>
        <w:rPr>
          <w:rFonts w:ascii="宋体" w:hAnsi="宋体" w:cs="宋体"/>
          <w:b/>
          <w:bCs/>
          <w:color w:val="auto"/>
          <w:sz w:val="28"/>
          <w:szCs w:val="28"/>
        </w:rPr>
      </w:pPr>
      <w:r>
        <w:rPr>
          <w:rFonts w:hint="eastAsia" w:ascii="宋体" w:hAnsi="宋体" w:cs="宋体"/>
          <w:color w:val="auto"/>
          <w:sz w:val="28"/>
          <w:szCs w:val="28"/>
        </w:rPr>
        <w:t>法定代表人或委托代理人（签字）：</w:t>
      </w:r>
    </w:p>
    <w:p>
      <w:pPr>
        <w:spacing w:line="480" w:lineRule="auto"/>
        <w:ind w:firstLine="1680" w:firstLineChars="600"/>
        <w:rPr>
          <w:rFonts w:ascii="宋体" w:hAnsi="宋体" w:cs="宋体"/>
          <w:color w:val="auto"/>
          <w:sz w:val="24"/>
        </w:rPr>
      </w:pPr>
      <w:r>
        <w:rPr>
          <w:rFonts w:hint="eastAsia" w:ascii="宋体" w:hAnsi="宋体" w:cs="宋体"/>
          <w:color w:val="auto"/>
          <w:sz w:val="28"/>
          <w:szCs w:val="28"/>
        </w:rPr>
        <w:t>日    期：年 月 日</w:t>
      </w:r>
    </w:p>
    <w:p>
      <w:pPr>
        <w:pStyle w:val="26"/>
        <w:ind w:firstLine="340"/>
        <w:rPr>
          <w:color w:val="auto"/>
        </w:rPr>
      </w:pPr>
    </w:p>
    <w:p>
      <w:pPr>
        <w:pStyle w:val="28"/>
        <w:ind w:left="420" w:firstLine="480"/>
        <w:rPr>
          <w:rFonts w:hint="default"/>
          <w:color w:val="auto"/>
          <w:lang w:eastAsia="zh-CN"/>
        </w:rPr>
      </w:pPr>
    </w:p>
    <w:p>
      <w:pPr>
        <w:pStyle w:val="28"/>
        <w:ind w:left="420" w:firstLine="480"/>
        <w:rPr>
          <w:rFonts w:hint="default"/>
          <w:color w:val="auto"/>
          <w:lang w:eastAsia="zh-CN"/>
        </w:rPr>
      </w:pP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8" w:name="_Hlk61874509"/>
      <w:r>
        <w:rPr>
          <w:rFonts w:hint="eastAsia" w:cs="黑体" w:asciiTheme="minorEastAsia" w:hAnsiTheme="minorEastAsia" w:eastAsiaTheme="minorEastAsia"/>
          <w:color w:val="auto"/>
          <w:kern w:val="2"/>
          <w:sz w:val="28"/>
          <w:szCs w:val="28"/>
          <w:lang w:val="zh-CN"/>
        </w:rPr>
        <w:t>一、供应商应答索引表</w:t>
      </w:r>
    </w:p>
    <w:bookmarkEnd w:id="78"/>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第一次报价一览表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服务承诺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26"/>
        <w:ind w:firstLine="340"/>
        <w:rPr>
          <w:color w:val="auto"/>
        </w:rPr>
      </w:pPr>
    </w:p>
    <w:p>
      <w:pPr>
        <w:pStyle w:val="28"/>
        <w:ind w:left="420" w:firstLine="480"/>
        <w:rPr>
          <w:rFonts w:hint="default"/>
          <w:color w:val="auto"/>
          <w:lang w:eastAsia="zh-CN"/>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156" w:afterLines="50" w:line="360" w:lineRule="auto"/>
        <w:contextualSpacing/>
        <w:jc w:val="left"/>
        <w:rPr>
          <w:rFonts w:ascii="宋体" w:hAnsi="宋体" w:eastAsia="宋体" w:cs="Times New Roman"/>
          <w:color w:val="auto"/>
          <w:szCs w:val="21"/>
        </w:rPr>
      </w:pPr>
    </w:p>
    <w:p>
      <w:pPr>
        <w:spacing w:before="50" w:after="156"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6"/>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9"/>
        <w:rPr>
          <w:rFonts w:cs="黑体" w:asciiTheme="minorEastAsia" w:hAnsiTheme="minorEastAsia"/>
          <w:b/>
          <w:bCs/>
          <w:color w:val="auto"/>
          <w:sz w:val="44"/>
          <w:szCs w:val="44"/>
        </w:rPr>
      </w:pPr>
    </w:p>
    <w:p>
      <w:pPr>
        <w:pStyle w:val="39"/>
        <w:rPr>
          <w:rFonts w:cs="黑体" w:asciiTheme="minorEastAsia" w:hAnsiTheme="minorEastAsia"/>
          <w:b/>
          <w:bCs/>
          <w:color w:val="auto"/>
          <w:sz w:val="44"/>
          <w:szCs w:val="44"/>
        </w:rPr>
      </w:pPr>
    </w:p>
    <w:p>
      <w:pPr>
        <w:pStyle w:val="39"/>
        <w:rPr>
          <w:rFonts w:cs="黑体" w:asciiTheme="minorEastAsia" w:hAnsiTheme="minorEastAsia"/>
          <w:b/>
          <w:bCs/>
          <w:color w:val="auto"/>
          <w:sz w:val="44"/>
          <w:szCs w:val="44"/>
        </w:rPr>
      </w:pPr>
    </w:p>
    <w:p>
      <w:pPr>
        <w:pStyle w:val="39"/>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79" w:name="_Hlk61874583"/>
      <w:r>
        <w:rPr>
          <w:rFonts w:hint="eastAsia" w:cs="黑体" w:asciiTheme="minorEastAsia" w:hAnsiTheme="minorEastAsia"/>
          <w:b/>
          <w:bCs/>
          <w:color w:val="auto"/>
          <w:sz w:val="28"/>
          <w:szCs w:val="28"/>
          <w:lang w:val="zh-CN"/>
        </w:rPr>
        <w:t>三、资格审查证明材料</w:t>
      </w:r>
    </w:p>
    <w:p>
      <w:pPr>
        <w:pStyle w:val="18"/>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6"/>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6"/>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p>
    <w:p>
      <w:pPr>
        <w:pStyle w:val="26"/>
        <w:ind w:firstLine="340"/>
        <w:rPr>
          <w:color w:val="auto"/>
        </w:rPr>
      </w:pPr>
    </w:p>
    <w:p>
      <w:pPr>
        <w:pStyle w:val="28"/>
        <w:ind w:left="420" w:firstLine="48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pStyle w:val="26"/>
        <w:ind w:firstLine="340"/>
        <w:rPr>
          <w:color w:val="auto"/>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autoSpaceDE w:val="0"/>
        <w:autoSpaceDN w:val="0"/>
        <w:adjustRightInd w:val="0"/>
        <w:spacing w:line="360" w:lineRule="auto"/>
        <w:jc w:val="left"/>
        <w:outlineLvl w:val="0"/>
        <w:rPr>
          <w:rFonts w:ascii="宋体" w:hAnsi="宋体"/>
          <w:b/>
          <w:bCs/>
          <w:color w:val="auto"/>
          <w:sz w:val="24"/>
          <w:szCs w:val="24"/>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一、将遵循公开、公平、公正和诚实信用的原则参加(项目名称）的投标;</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十、中标后在合同约定时间内完成达到业主满意的设计任务。</w:t>
      </w:r>
    </w:p>
    <w:p>
      <w:pPr>
        <w:pStyle w:val="25"/>
        <w:widowControl/>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5"/>
        <w:widowControl/>
        <w:spacing w:after="300" w:line="336" w:lineRule="atLeast"/>
        <w:rPr>
          <w:rFonts w:asciiTheme="minorEastAsia" w:hAnsiTheme="minorEastAsia" w:eastAsiaTheme="minorEastAsia" w:cstheme="minorBidi"/>
          <w:color w:val="auto"/>
          <w:sz w:val="21"/>
          <w:szCs w:val="21"/>
        </w:rPr>
      </w:pPr>
    </w:p>
    <w:p>
      <w:pPr>
        <w:pStyle w:val="25"/>
        <w:widowControl/>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5"/>
        <w:widowControl/>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26"/>
        <w:ind w:firstLine="241"/>
        <w:rPr>
          <w:rFonts w:hAnsi="宋体"/>
          <w:b/>
          <w:bCs/>
          <w:color w:val="auto"/>
          <w:sz w:val="24"/>
          <w:szCs w:val="24"/>
        </w:rPr>
      </w:pPr>
    </w:p>
    <w:p>
      <w:pPr>
        <w:pStyle w:val="28"/>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6"/>
        <w:ind w:firstLine="241"/>
        <w:rPr>
          <w:rFonts w:hAnsi="宋体"/>
          <w:b/>
          <w:bCs/>
          <w:color w:val="auto"/>
          <w:sz w:val="24"/>
          <w:szCs w:val="24"/>
        </w:rPr>
      </w:pPr>
    </w:p>
    <w:p>
      <w:pPr>
        <w:pStyle w:val="28"/>
        <w:ind w:left="420" w:firstLine="482"/>
        <w:rPr>
          <w:rFonts w:hint="default" w:ascii="宋体" w:hAnsi="宋体"/>
          <w:b/>
          <w:bCs/>
          <w:color w:val="auto"/>
          <w:szCs w:val="24"/>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lang w:bidi="ar"/>
        </w:rPr>
        <w:t>3.6 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156"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lang w:bidi="ar"/>
        </w:rPr>
        <w:t>本公司郑重声明，根据《政府采购促进中小企业发展管理办法》（财库[2020]46号）的规定，本公司为参加</w:t>
      </w:r>
      <w:r>
        <w:rPr>
          <w:rFonts w:hint="eastAsia" w:ascii="宋体" w:hAnsi="宋体" w:eastAsia="宋体" w:cs="宋体"/>
          <w:color w:val="auto"/>
          <w:szCs w:val="21"/>
          <w:u w:val="single"/>
          <w:lang w:bidi="ar"/>
        </w:rPr>
        <w:t xml:space="preserve">（招标单位名称） </w:t>
      </w:r>
      <w:r>
        <w:rPr>
          <w:rFonts w:hint="eastAsia" w:ascii="宋体" w:hAnsi="宋体" w:eastAsia="宋体" w:cs="宋体"/>
          <w:color w:val="auto"/>
          <w:szCs w:val="21"/>
          <w:lang w:bidi="ar"/>
        </w:rPr>
        <w:t>的</w:t>
      </w:r>
      <w:r>
        <w:rPr>
          <w:rFonts w:hint="eastAsia" w:ascii="宋体" w:hAnsi="宋体" w:eastAsia="宋体" w:cs="宋体"/>
          <w:color w:val="auto"/>
          <w:szCs w:val="21"/>
          <w:u w:val="single"/>
          <w:lang w:bidi="ar"/>
        </w:rPr>
        <w:t xml:space="preserve">（项目名称） </w:t>
      </w:r>
      <w:r>
        <w:rPr>
          <w:rFonts w:hint="eastAsia" w:ascii="宋体" w:hAnsi="宋体" w:eastAsia="宋体" w:cs="宋体"/>
          <w:color w:val="auto"/>
          <w:szCs w:val="21"/>
          <w:lang w:bidi="ar"/>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lang w:bidi="ar"/>
        </w:rPr>
        <w:t>1、</w:t>
      </w:r>
      <w:r>
        <w:rPr>
          <w:rFonts w:hint="eastAsia" w:ascii="宋体" w:hAnsi="宋体" w:eastAsia="宋体" w:cs="宋体"/>
          <w:color w:val="auto"/>
          <w:szCs w:val="21"/>
          <w:u w:val="single"/>
          <w:lang w:bidi="ar"/>
        </w:rPr>
        <w:t xml:space="preserve">（标的名称） </w:t>
      </w:r>
      <w:r>
        <w:rPr>
          <w:rFonts w:hint="eastAsia" w:ascii="宋体" w:hAnsi="宋体" w:eastAsia="宋体" w:cs="宋体"/>
          <w:color w:val="auto"/>
          <w:szCs w:val="21"/>
          <w:lang w:bidi="ar"/>
        </w:rPr>
        <w:t>，属于</w:t>
      </w:r>
      <w:r>
        <w:rPr>
          <w:rFonts w:hint="eastAsia" w:ascii="宋体" w:hAnsi="宋体" w:eastAsia="宋体" w:cs="宋体"/>
          <w:color w:val="auto"/>
          <w:szCs w:val="21"/>
          <w:u w:val="single"/>
          <w:lang w:bidi="ar"/>
        </w:rPr>
        <w:t>（采购文件中明确的所属行业）</w:t>
      </w:r>
      <w:r>
        <w:rPr>
          <w:rFonts w:hint="eastAsia" w:ascii="宋体" w:hAnsi="宋体" w:eastAsia="宋体" w:cs="宋体"/>
          <w:color w:val="auto"/>
          <w:szCs w:val="21"/>
          <w:lang w:bidi="ar"/>
        </w:rPr>
        <w:t>；承接企业为</w:t>
      </w:r>
      <w:r>
        <w:rPr>
          <w:rFonts w:hint="eastAsia" w:ascii="宋体" w:hAnsi="宋体" w:eastAsia="宋体" w:cs="宋体"/>
          <w:color w:val="auto"/>
          <w:szCs w:val="21"/>
          <w:u w:val="single"/>
          <w:lang w:bidi="ar"/>
        </w:rPr>
        <w:t>（企业名称）</w:t>
      </w:r>
      <w:r>
        <w:rPr>
          <w:rFonts w:hint="eastAsia" w:ascii="宋体" w:hAnsi="宋体" w:eastAsia="宋体" w:cs="宋体"/>
          <w:color w:val="auto"/>
          <w:szCs w:val="21"/>
          <w:lang w:bidi="ar"/>
        </w:rPr>
        <w:t>，从业人员人，营业收入为万元，资产总额为万元，属于（中型企业、小型企业、微型企业）。</w:t>
      </w:r>
    </w:p>
    <w:p>
      <w:pPr>
        <w:widowControl/>
        <w:autoSpaceDE w:val="0"/>
        <w:spacing w:line="360" w:lineRule="auto"/>
        <w:jc w:val="left"/>
        <w:rPr>
          <w:rFonts w:ascii="宋体" w:hAnsi="宋体" w:eastAsia="宋体" w:cs="宋体"/>
          <w:color w:val="auto"/>
          <w:szCs w:val="21"/>
        </w:rPr>
      </w:pPr>
    </w:p>
    <w:p>
      <w:pPr>
        <w:widowControl/>
        <w:autoSpaceDE w:val="0"/>
        <w:spacing w:line="360" w:lineRule="auto"/>
        <w:ind w:firstLine="630" w:firstLineChars="300"/>
        <w:jc w:val="left"/>
        <w:rPr>
          <w:rFonts w:ascii="宋体" w:hAnsi="宋体" w:eastAsia="宋体" w:cs="宋体"/>
          <w:color w:val="auto"/>
          <w:szCs w:val="21"/>
        </w:rPr>
      </w:pPr>
      <w:r>
        <w:rPr>
          <w:rFonts w:hint="eastAsia" w:ascii="宋体" w:hAnsi="宋体" w:eastAsia="宋体" w:cs="宋体"/>
          <w:color w:val="auto"/>
          <w:szCs w:val="21"/>
          <w:lang w:bidi="ar"/>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Cs w:val="21"/>
        </w:rPr>
      </w:pPr>
      <w:r>
        <w:rPr>
          <w:rFonts w:hint="eastAsia" w:ascii="Calibri" w:hAnsi="Calibri" w:eastAsia="宋体" w:cs="Times New Roman"/>
          <w:color w:val="auto"/>
          <w:szCs w:val="21"/>
          <w:lang w:bidi="ar"/>
        </w:rPr>
        <w:t>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highlight w:val="yellow"/>
        </w:rPr>
      </w:pPr>
    </w:p>
    <w:p>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lang w:bidi="ar"/>
        </w:rPr>
        <w:t>注：1、“企业类型”请如实选择填写：中型、小型、微型。</w:t>
      </w:r>
    </w:p>
    <w:p>
      <w:pPr>
        <w:pStyle w:val="25"/>
        <w:spacing w:after="120"/>
        <w:ind w:firstLine="420" w:firstLineChars="200"/>
        <w:rPr>
          <w:color w:val="auto"/>
          <w:szCs w:val="21"/>
        </w:rPr>
      </w:pPr>
      <w:r>
        <w:rPr>
          <w:rFonts w:hAnsi="宋体" w:cs="宋体"/>
          <w:color w:val="auto"/>
          <w:sz w:val="21"/>
          <w:szCs w:val="21"/>
          <w:lang w:bidi="ar"/>
        </w:rPr>
        <w:t>2</w:t>
      </w:r>
      <w:r>
        <w:rPr>
          <w:rFonts w:hint="eastAsia" w:hAnsi="宋体" w:cs="宋体"/>
          <w:color w:val="auto"/>
          <w:sz w:val="21"/>
          <w:szCs w:val="21"/>
          <w:lang w:bidi="ar"/>
        </w:rPr>
        <w:t>、从业人员、营业收入、资产总额填报上一年度数据，无上一年度数据的新成立企业可不填报。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rPr>
      </w:pPr>
    </w:p>
    <w:p>
      <w:pPr>
        <w:widowControl/>
        <w:spacing w:line="400" w:lineRule="exact"/>
        <w:rPr>
          <w:rFonts w:ascii="宋体" w:hAnsi="宋体" w:eastAsia="宋体" w:cs="宋体"/>
          <w:color w:val="auto"/>
          <w:szCs w:val="21"/>
        </w:rPr>
      </w:pPr>
      <w:r>
        <w:rPr>
          <w:rFonts w:hint="eastAsia" w:ascii="宋体" w:hAnsi="宋体" w:eastAsia="宋体" w:cs="宋体"/>
          <w:color w:val="auto"/>
          <w:szCs w:val="21"/>
          <w:lang w:bidi="ar"/>
        </w:rPr>
        <w:t xml:space="preserve">                    供应商：（全称并加盖公章）</w:t>
      </w:r>
    </w:p>
    <w:p>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lang w:bidi="ar"/>
        </w:rPr>
        <w:t xml:space="preserve">         年  月  日</w:t>
      </w:r>
    </w:p>
    <w:p>
      <w:pPr>
        <w:pStyle w:val="25"/>
        <w:adjustRightInd w:val="0"/>
        <w:snapToGrid w:val="0"/>
        <w:spacing w:beforeAutospacing="1" w:afterAutospacing="1" w:line="360" w:lineRule="auto"/>
        <w:jc w:val="left"/>
        <w:rPr>
          <w:color w:val="auto"/>
        </w:rPr>
      </w:pPr>
    </w:p>
    <w:p>
      <w:pPr>
        <w:widowControl/>
        <w:jc w:val="left"/>
        <w:rPr>
          <w:rFonts w:ascii="宋体" w:hAnsi="宋体" w:eastAsia="宋体" w:cs="宋体"/>
          <w:b/>
          <w:bCs/>
          <w:color w:val="auto"/>
          <w:sz w:val="24"/>
          <w:szCs w:val="24"/>
        </w:rPr>
      </w:pPr>
      <w:r>
        <w:rPr>
          <w:rFonts w:hint="eastAsia" w:ascii="宋体" w:hAnsi="宋体" w:eastAsia="宋体" w:cs="Times New Roman"/>
          <w:b/>
          <w:bCs/>
          <w:color w:val="auto"/>
          <w:sz w:val="24"/>
          <w:szCs w:val="24"/>
          <w:lang w:bidi="ar"/>
        </w:rPr>
        <w:br w:type="page"/>
      </w:r>
    </w:p>
    <w:p>
      <w:pPr>
        <w:pStyle w:val="28"/>
        <w:ind w:left="0" w:leftChars="0" w:firstLine="0" w:firstLineChars="0"/>
        <w:rPr>
          <w:rFonts w:hint="default"/>
          <w:color w:val="auto"/>
          <w:lang w:eastAsia="zh-CN"/>
        </w:rPr>
      </w:pPr>
    </w:p>
    <w:p>
      <w:pPr>
        <w:rPr>
          <w:color w:val="auto"/>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3.7残疾人福利性单位声明函</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pStyle w:val="39"/>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3.8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6"/>
        <w:ind w:firstLine="281"/>
        <w:rPr>
          <w:rFonts w:cs="黑体" w:asciiTheme="minorEastAsia" w:hAnsiTheme="minorEastAsia"/>
          <w:b/>
          <w:bCs/>
          <w:color w:val="auto"/>
          <w:sz w:val="28"/>
          <w:szCs w:val="28"/>
          <w:lang w:val="zh-CN"/>
        </w:rPr>
      </w:pPr>
    </w:p>
    <w:p>
      <w:pPr>
        <w:pStyle w:val="28"/>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6"/>
        <w:ind w:firstLine="281"/>
        <w:rPr>
          <w:rFonts w:cs="黑体" w:asciiTheme="minorEastAsia" w:hAnsiTheme="minorEastAsia"/>
          <w:b/>
          <w:bCs/>
          <w:color w:val="auto"/>
          <w:sz w:val="28"/>
          <w:szCs w:val="28"/>
          <w:lang w:val="zh-CN"/>
        </w:rPr>
      </w:pPr>
    </w:p>
    <w:p>
      <w:pPr>
        <w:pStyle w:val="28"/>
        <w:ind w:left="420"/>
        <w:rPr>
          <w:rFonts w:hint="default" w:cs="黑体" w:asciiTheme="minorEastAsia" w:hAnsiTheme="minorEastAsia"/>
          <w:b/>
          <w:bCs/>
          <w:color w:val="auto"/>
          <w:sz w:val="28"/>
          <w:szCs w:val="28"/>
          <w:lang w:val="zh-CN" w:eastAsia="zh-CN"/>
        </w:rPr>
      </w:pPr>
    </w:p>
    <w:p>
      <w:pPr>
        <w:rPr>
          <w:rFonts w:cs="黑体" w:asciiTheme="minorEastAsia" w:hAnsiTheme="minorEastAsia"/>
          <w:b/>
          <w:bCs/>
          <w:color w:val="auto"/>
          <w:sz w:val="28"/>
          <w:szCs w:val="28"/>
          <w:lang w:val="zh-CN"/>
        </w:rPr>
      </w:pPr>
    </w:p>
    <w:p>
      <w:pPr>
        <w:pStyle w:val="26"/>
        <w:ind w:firstLine="281"/>
        <w:rPr>
          <w:rFonts w:cs="黑体" w:asciiTheme="minorEastAsia" w:hAnsiTheme="minorEastAsia"/>
          <w:b/>
          <w:bCs/>
          <w:color w:val="auto"/>
          <w:sz w:val="28"/>
          <w:szCs w:val="28"/>
          <w:lang w:val="zh-CN"/>
        </w:rPr>
      </w:pPr>
    </w:p>
    <w:p>
      <w:pPr>
        <w:pStyle w:val="28"/>
        <w:ind w:left="420" w:firstLine="480"/>
        <w:rPr>
          <w:rFonts w:hint="default"/>
          <w:color w:val="auto"/>
          <w:lang w:val="zh-CN" w:eastAsia="zh-CN"/>
        </w:rPr>
      </w:pPr>
    </w:p>
    <w:p>
      <w:pPr>
        <w:pStyle w:val="26"/>
        <w:ind w:firstLine="340"/>
        <w:rPr>
          <w:color w:val="auto"/>
          <w:lang w:val="zh-CN"/>
        </w:rPr>
      </w:pPr>
    </w:p>
    <w:bookmarkEnd w:id="79"/>
    <w:p>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80" w:name="_Hlk61874645"/>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pPr>
        <w:autoSpaceDE w:val="0"/>
        <w:autoSpaceDN w:val="0"/>
        <w:adjustRightInd w:val="0"/>
        <w:spacing w:line="360" w:lineRule="auto"/>
        <w:outlineLvl w:val="0"/>
        <w:rPr>
          <w:rFonts w:hAnsi="宋体" w:eastAsia="宋体"/>
          <w:b/>
          <w:snapToGrid w:val="0"/>
          <w:color w:val="auto"/>
          <w:kern w:val="0"/>
          <w:szCs w:val="21"/>
        </w:rPr>
      </w:pPr>
    </w:p>
    <w:p>
      <w:pPr>
        <w:autoSpaceDE w:val="0"/>
        <w:autoSpaceDN w:val="0"/>
        <w:adjustRightInd w:val="0"/>
        <w:spacing w:line="480" w:lineRule="auto"/>
        <w:rPr>
          <w:rFonts w:cs="宋体" w:asciiTheme="minorEastAsia" w:hAnsiTheme="minorEastAsia"/>
          <w:color w:val="auto"/>
          <w:szCs w:val="21"/>
          <w:lang w:val="zh-CN"/>
        </w:rPr>
      </w:pPr>
    </w:p>
    <w:p>
      <w:pPr>
        <w:rPr>
          <w:color w:val="auto"/>
          <w:lang w:val="zh-CN"/>
        </w:rPr>
      </w:pPr>
    </w:p>
    <w:p>
      <w:pPr>
        <w:pStyle w:val="26"/>
        <w:ind w:firstLine="34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技术规格偏离表（格式自拟）</w:t>
      </w: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仿宋" w:hAnsi="仿宋" w:eastAsia="仿宋" w:cs="仿宋"/>
          <w:color w:val="auto"/>
          <w:sz w:val="24"/>
          <w:szCs w:val="24"/>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4.3</w:t>
      </w:r>
      <w:r>
        <w:rPr>
          <w:rFonts w:hint="eastAsia" w:ascii="宋体" w:hAnsi="宋体" w:eastAsia="宋体" w:cs="Times New Roman"/>
          <w:b/>
          <w:bCs/>
          <w:color w:val="auto"/>
          <w:sz w:val="24"/>
          <w:szCs w:val="24"/>
        </w:rPr>
        <w:t xml:space="preserve"> 实施方案 </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6"/>
        <w:ind w:firstLine="340"/>
        <w:rPr>
          <w:color w:val="auto"/>
        </w:rPr>
      </w:pPr>
    </w:p>
    <w:p>
      <w:pPr>
        <w:pStyle w:val="27"/>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rPr>
            </w:pPr>
          </w:p>
        </w:tc>
      </w:tr>
    </w:tbl>
    <w:p>
      <w:pPr>
        <w:autoSpaceDE w:val="0"/>
        <w:autoSpaceDN w:val="0"/>
        <w:adjustRightInd w:val="0"/>
        <w:spacing w:line="480" w:lineRule="auto"/>
        <w:ind w:firstLine="1890" w:firstLineChars="900"/>
        <w:rPr>
          <w:rFonts w:ascii="宋体" w:hAnsi="宋体" w:eastAsia="宋体" w:cs="宋体"/>
          <w:color w:val="auto"/>
          <w:szCs w:val="21"/>
          <w:lang w:val="zh-CN"/>
        </w:rPr>
      </w:pPr>
      <w:bookmarkStart w:id="81" w:name="_Hlk64723634"/>
      <w:r>
        <w:rPr>
          <w:rFonts w:hint="eastAsia" w:ascii="宋体" w:hAnsi="宋体" w:eastAsia="宋体" w:cs="宋体"/>
          <w:color w:val="auto"/>
          <w:szCs w:val="21"/>
          <w:lang w:val="zh-CN"/>
        </w:rPr>
        <w:t>供应商名称（公章）：</w:t>
      </w:r>
    </w:p>
    <w:p>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81"/>
    <w:p>
      <w:pPr>
        <w:pStyle w:val="26"/>
        <w:ind w:firstLine="0" w:firstLineChars="0"/>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4"/>
          <w:szCs w:val="24"/>
        </w:rPr>
      </w:pPr>
    </w:p>
    <w:p>
      <w:pPr>
        <w:pStyle w:val="28"/>
        <w:ind w:left="0" w:leftChars="0" w:firstLine="0" w:firstLineChars="0"/>
        <w:rPr>
          <w:rFonts w:hint="default"/>
          <w:color w:val="auto"/>
          <w:lang w:eastAsia="zh-CN"/>
        </w:rPr>
      </w:pPr>
    </w:p>
    <w:p>
      <w:pPr>
        <w:rPr>
          <w:rFonts w:ascii="宋体" w:hAnsi="宋体" w:eastAsia="宋体" w:cs="Times New Roman"/>
          <w:b/>
          <w:bCs/>
          <w:color w:val="auto"/>
          <w:sz w:val="24"/>
          <w:szCs w:val="24"/>
        </w:rPr>
      </w:pPr>
      <w:r>
        <w:rPr>
          <w:rFonts w:hint="eastAsia" w:ascii="宋体" w:hAnsi="宋体" w:eastAsia="宋体" w:cs="Times New Roman"/>
          <w:b/>
          <w:bCs/>
          <w:color w:val="auto"/>
          <w:sz w:val="24"/>
          <w:szCs w:val="24"/>
        </w:rPr>
        <w:br w:type="page"/>
      </w: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w:t>
      </w:r>
      <w:r>
        <w:rPr>
          <w:rFonts w:hint="eastAsia" w:ascii="宋体" w:hAnsi="宋体" w:eastAsia="宋体" w:cs="Times New Roman"/>
          <w:b/>
          <w:bCs/>
          <w:color w:val="auto"/>
          <w:sz w:val="24"/>
          <w:szCs w:val="24"/>
        </w:rPr>
        <w:t>6项目组配备情况表</w:t>
      </w:r>
    </w:p>
    <w:tbl>
      <w:tblPr>
        <w:tblStyle w:val="29"/>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序号</w:t>
            </w:r>
          </w:p>
        </w:tc>
        <w:tc>
          <w:tcPr>
            <w:tcW w:w="1493" w:type="dxa"/>
            <w:vAlign w:val="center"/>
          </w:tcPr>
          <w:p>
            <w:pPr>
              <w:spacing w:line="360" w:lineRule="auto"/>
              <w:ind w:firstLine="240"/>
              <w:jc w:val="center"/>
              <w:rPr>
                <w:rFonts w:ascii="宋体" w:hAnsi="Calibri" w:eastAsia="宋体" w:cs="Times New Roman"/>
                <w:color w:val="auto"/>
                <w:szCs w:val="21"/>
              </w:rPr>
            </w:pPr>
            <w:r>
              <w:rPr>
                <w:rFonts w:hint="eastAsia" w:ascii="宋体" w:hAnsi="Calibri" w:eastAsia="宋体" w:cs="Times New Roman"/>
                <w:color w:val="auto"/>
                <w:szCs w:val="21"/>
              </w:rPr>
              <w:t>姓   名</w:t>
            </w:r>
          </w:p>
        </w:tc>
        <w:tc>
          <w:tcPr>
            <w:tcW w:w="747"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年龄</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性别</w:t>
            </w:r>
          </w:p>
        </w:tc>
        <w:tc>
          <w:tcPr>
            <w:tcW w:w="1020"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学 历</w:t>
            </w:r>
          </w:p>
        </w:tc>
        <w:tc>
          <w:tcPr>
            <w:tcW w:w="846"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专业</w:t>
            </w:r>
          </w:p>
        </w:tc>
        <w:tc>
          <w:tcPr>
            <w:tcW w:w="91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职称</w:t>
            </w:r>
          </w:p>
        </w:tc>
        <w:tc>
          <w:tcPr>
            <w:tcW w:w="1655" w:type="dxa"/>
            <w:vAlign w:val="center"/>
          </w:tcPr>
          <w:p>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Cs w:val="21"/>
              </w:rPr>
            </w:pPr>
          </w:p>
        </w:tc>
        <w:tc>
          <w:tcPr>
            <w:tcW w:w="1493" w:type="dxa"/>
          </w:tcPr>
          <w:p>
            <w:pPr>
              <w:spacing w:line="360" w:lineRule="auto"/>
              <w:jc w:val="center"/>
              <w:rPr>
                <w:rFonts w:ascii="宋体" w:hAnsi="Calibri" w:eastAsia="宋体" w:cs="Times New Roman"/>
                <w:color w:val="auto"/>
                <w:szCs w:val="21"/>
              </w:rPr>
            </w:pPr>
          </w:p>
        </w:tc>
        <w:tc>
          <w:tcPr>
            <w:tcW w:w="747"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1020" w:type="dxa"/>
          </w:tcPr>
          <w:p>
            <w:pPr>
              <w:spacing w:line="360" w:lineRule="auto"/>
              <w:jc w:val="center"/>
              <w:rPr>
                <w:rFonts w:ascii="宋体" w:hAnsi="Calibri" w:eastAsia="宋体" w:cs="Times New Roman"/>
                <w:color w:val="auto"/>
                <w:szCs w:val="21"/>
              </w:rPr>
            </w:pPr>
          </w:p>
        </w:tc>
        <w:tc>
          <w:tcPr>
            <w:tcW w:w="846" w:type="dxa"/>
          </w:tcPr>
          <w:p>
            <w:pPr>
              <w:spacing w:line="360" w:lineRule="auto"/>
              <w:jc w:val="center"/>
              <w:rPr>
                <w:rFonts w:ascii="宋体" w:hAnsi="Calibri" w:eastAsia="宋体" w:cs="Times New Roman"/>
                <w:color w:val="auto"/>
                <w:szCs w:val="21"/>
              </w:rPr>
            </w:pPr>
          </w:p>
        </w:tc>
        <w:tc>
          <w:tcPr>
            <w:tcW w:w="915" w:type="dxa"/>
          </w:tcPr>
          <w:p>
            <w:pPr>
              <w:spacing w:line="360" w:lineRule="auto"/>
              <w:jc w:val="center"/>
              <w:rPr>
                <w:rFonts w:ascii="宋体" w:hAnsi="Calibri" w:eastAsia="宋体" w:cs="Times New Roman"/>
                <w:color w:val="auto"/>
                <w:szCs w:val="21"/>
              </w:rPr>
            </w:pPr>
          </w:p>
        </w:tc>
        <w:tc>
          <w:tcPr>
            <w:tcW w:w="1655" w:type="dxa"/>
          </w:tcPr>
          <w:p>
            <w:pPr>
              <w:spacing w:line="360" w:lineRule="auto"/>
              <w:jc w:val="center"/>
              <w:rPr>
                <w:rFonts w:ascii="宋体" w:hAnsi="Calibri" w:eastAsia="宋体" w:cs="Times New Roman"/>
                <w:color w:val="auto"/>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ascii="宋体" w:hAnsi="宋体" w:eastAsia="宋体" w:cs="宋体"/>
          <w:color w:val="auto"/>
          <w:szCs w:val="21"/>
          <w:lang w:val="zh-CN"/>
        </w:rPr>
      </w:pPr>
      <w:bookmarkStart w:id="82" w:name="_Hlk64723815"/>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bookmarkEnd w:id="82"/>
    <w:p>
      <w:pPr>
        <w:pStyle w:val="28"/>
        <w:ind w:left="420" w:firstLine="420"/>
        <w:rPr>
          <w:rFonts w:hint="default" w:ascii="宋体" w:hAnsi="宋体" w:eastAsia="宋体" w:cs="宋体"/>
          <w:color w:val="auto"/>
          <w:sz w:val="21"/>
          <w:szCs w:val="21"/>
          <w:lang w:eastAsia="zh-CN"/>
        </w:rPr>
      </w:pPr>
    </w:p>
    <w:p>
      <w:pPr>
        <w:rPr>
          <w:color w:val="auto"/>
        </w:rPr>
      </w:pPr>
    </w:p>
    <w:p>
      <w:pPr>
        <w:pStyle w:val="28"/>
        <w:ind w:left="420" w:firstLine="420"/>
        <w:rPr>
          <w:rFonts w:hint="default" w:ascii="宋体" w:hAnsi="宋体" w:eastAsia="宋体" w:cs="宋体"/>
          <w:color w:val="auto"/>
          <w:sz w:val="21"/>
          <w:szCs w:val="21"/>
          <w:lang w:eastAsia="zh-CN"/>
        </w:rPr>
      </w:pPr>
    </w:p>
    <w:p>
      <w:pPr>
        <w:rPr>
          <w:color w:val="auto"/>
        </w:rPr>
      </w:pPr>
    </w:p>
    <w:p>
      <w:pPr>
        <w:keepNext/>
        <w:keepLines/>
        <w:spacing w:line="360" w:lineRule="auto"/>
        <w:ind w:firstLine="2891" w:firstLineChars="1200"/>
        <w:outlineLvl w:val="1"/>
        <w:rPr>
          <w:rFonts w:ascii="宋体" w:hAnsi="宋体" w:eastAsia="宋体" w:cs="宋体"/>
          <w:b/>
          <w:bCs/>
          <w:color w:val="auto"/>
          <w:sz w:val="24"/>
          <w:szCs w:val="24"/>
        </w:rPr>
      </w:pPr>
      <w:r>
        <w:rPr>
          <w:rFonts w:hint="eastAsia" w:ascii="宋体" w:hAnsi="宋体" w:eastAsia="宋体" w:cs="宋体"/>
          <w:b/>
          <w:bCs/>
          <w:color w:val="auto"/>
          <w:sz w:val="24"/>
          <w:szCs w:val="24"/>
        </w:rPr>
        <w:t>4.7 主要人员简历表</w:t>
      </w:r>
    </w:p>
    <w:p>
      <w:pPr>
        <w:spacing w:line="360" w:lineRule="auto"/>
        <w:jc w:val="center"/>
        <w:rPr>
          <w:rFonts w:ascii="宋体" w:hAnsi="宋体" w:eastAsia="宋体" w:cs="宋体"/>
          <w:b/>
          <w:color w:val="auto"/>
          <w:szCs w:val="21"/>
        </w:rPr>
      </w:pPr>
    </w:p>
    <w:tbl>
      <w:tblPr>
        <w:tblStyle w:val="2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姓  名</w:t>
            </w:r>
          </w:p>
        </w:tc>
        <w:tc>
          <w:tcPr>
            <w:tcW w:w="1851" w:type="dxa"/>
            <w:gridSpan w:val="2"/>
            <w:vAlign w:val="center"/>
          </w:tcPr>
          <w:p>
            <w:pPr>
              <w:spacing w:line="360" w:lineRule="auto"/>
              <w:jc w:val="center"/>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性 别</w:t>
            </w:r>
          </w:p>
        </w:tc>
        <w:tc>
          <w:tcPr>
            <w:tcW w:w="1041" w:type="dxa"/>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出生 日  期</w:t>
            </w:r>
          </w:p>
        </w:tc>
        <w:tc>
          <w:tcPr>
            <w:tcW w:w="2573" w:type="dxa"/>
            <w:gridSpan w:val="2"/>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毕业院校及专业</w:t>
            </w:r>
          </w:p>
        </w:tc>
        <w:tc>
          <w:tcPr>
            <w:tcW w:w="3933" w:type="dxa"/>
            <w:gridSpan w:val="5"/>
            <w:vAlign w:val="center"/>
          </w:tcPr>
          <w:p>
            <w:pPr>
              <w:spacing w:line="360" w:lineRule="auto"/>
              <w:rPr>
                <w:rFonts w:ascii="宋体" w:hAnsi="宋体" w:eastAsia="宋体" w:cs="宋体"/>
                <w:color w:val="auto"/>
                <w:szCs w:val="21"/>
              </w:rPr>
            </w:pPr>
          </w:p>
        </w:tc>
        <w:tc>
          <w:tcPr>
            <w:tcW w:w="1041" w:type="dxa"/>
            <w:gridSpan w:val="2"/>
            <w:vAlign w:val="center"/>
          </w:tcPr>
          <w:p>
            <w:pPr>
              <w:spacing w:line="360" w:lineRule="auto"/>
              <w:ind w:left="-18"/>
              <w:rPr>
                <w:rFonts w:ascii="宋体" w:hAnsi="宋体" w:eastAsia="宋体" w:cs="宋体"/>
                <w:color w:val="auto"/>
                <w:szCs w:val="21"/>
              </w:rPr>
            </w:pPr>
            <w:r>
              <w:rPr>
                <w:rFonts w:hint="eastAsia" w:ascii="宋体" w:hAnsi="宋体" w:eastAsia="宋体" w:cs="宋体"/>
                <w:color w:val="auto"/>
                <w:szCs w:val="21"/>
              </w:rPr>
              <w:t>毕  业</w:t>
            </w:r>
          </w:p>
          <w:p>
            <w:pPr>
              <w:spacing w:line="360" w:lineRule="auto"/>
              <w:ind w:left="-18"/>
              <w:rPr>
                <w:rFonts w:ascii="宋体" w:hAnsi="宋体" w:eastAsia="宋体" w:cs="宋体"/>
                <w:color w:val="auto"/>
                <w:szCs w:val="21"/>
              </w:rPr>
            </w:pPr>
            <w:r>
              <w:rPr>
                <w:rFonts w:hint="eastAsia" w:ascii="宋体" w:hAnsi="宋体" w:eastAsia="宋体" w:cs="宋体"/>
                <w:color w:val="auto"/>
                <w:szCs w:val="21"/>
              </w:rPr>
              <w:t>时  间</w:t>
            </w:r>
          </w:p>
        </w:tc>
        <w:tc>
          <w:tcPr>
            <w:tcW w:w="2573" w:type="dxa"/>
            <w:gridSpan w:val="2"/>
            <w:vAlign w:val="center"/>
          </w:tcPr>
          <w:p>
            <w:pPr>
              <w:spacing w:line="360" w:lineRule="auto"/>
              <w:ind w:left="45"/>
              <w:rPr>
                <w:rFonts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从事本专业时间</w:t>
            </w:r>
          </w:p>
        </w:tc>
        <w:tc>
          <w:tcPr>
            <w:tcW w:w="6869" w:type="dxa"/>
            <w:gridSpan w:val="8"/>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执 业 注 册</w:t>
            </w:r>
          </w:p>
        </w:tc>
        <w:tc>
          <w:tcPr>
            <w:tcW w:w="1851" w:type="dxa"/>
            <w:gridSpan w:val="2"/>
            <w:vAlign w:val="center"/>
          </w:tcPr>
          <w:p>
            <w:pPr>
              <w:spacing w:line="360" w:lineRule="auto"/>
              <w:rPr>
                <w:rFonts w:ascii="宋体" w:hAnsi="宋体" w:eastAsia="宋体" w:cs="宋体"/>
                <w:color w:val="auto"/>
                <w:szCs w:val="21"/>
              </w:rPr>
            </w:pPr>
          </w:p>
        </w:tc>
        <w:tc>
          <w:tcPr>
            <w:tcW w:w="2429" w:type="dxa"/>
            <w:gridSpan w:val="3"/>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职       称</w:t>
            </w:r>
          </w:p>
        </w:tc>
        <w:tc>
          <w:tcPr>
            <w:tcW w:w="2589" w:type="dxa"/>
            <w:gridSpan w:val="3"/>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时   间</w:t>
            </w:r>
          </w:p>
        </w:tc>
        <w:tc>
          <w:tcPr>
            <w:tcW w:w="4396" w:type="dxa"/>
            <w:gridSpan w:val="7"/>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参加过的类似项目名称及规模</w:t>
            </w:r>
          </w:p>
        </w:tc>
        <w:tc>
          <w:tcPr>
            <w:tcW w:w="2473"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ascii="宋体" w:hAnsi="宋体" w:eastAsia="宋体" w:cs="宋体"/>
                <w:color w:val="auto"/>
                <w:szCs w:val="21"/>
              </w:rPr>
            </w:pPr>
          </w:p>
        </w:tc>
        <w:tc>
          <w:tcPr>
            <w:tcW w:w="4396" w:type="dxa"/>
            <w:gridSpan w:val="7"/>
          </w:tcPr>
          <w:p>
            <w:pPr>
              <w:spacing w:line="360" w:lineRule="auto"/>
              <w:rPr>
                <w:rFonts w:ascii="宋体" w:hAnsi="宋体" w:eastAsia="宋体" w:cs="宋体"/>
                <w:color w:val="auto"/>
                <w:szCs w:val="21"/>
              </w:rPr>
            </w:pPr>
          </w:p>
        </w:tc>
        <w:tc>
          <w:tcPr>
            <w:tcW w:w="2473" w:type="dxa"/>
          </w:tcPr>
          <w:p>
            <w:pPr>
              <w:spacing w:line="360" w:lineRule="auto"/>
              <w:rPr>
                <w:rFonts w:ascii="宋体" w:hAnsi="宋体" w:eastAsia="宋体" w:cs="宋体"/>
                <w:color w:val="auto"/>
                <w:szCs w:val="21"/>
              </w:rPr>
            </w:pPr>
          </w:p>
        </w:tc>
      </w:tr>
    </w:tbl>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供应商名称（公章）：</w:t>
      </w:r>
    </w:p>
    <w:p>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p>
      <w:pPr>
        <w:spacing w:line="360" w:lineRule="auto"/>
        <w:ind w:left="945" w:hanging="525"/>
        <w:rPr>
          <w:rFonts w:ascii="宋体" w:hAnsi="宋体" w:eastAsia="宋体" w:cs="宋体"/>
          <w:color w:val="auto"/>
          <w:szCs w:val="21"/>
        </w:rPr>
      </w:pPr>
      <w:r>
        <w:rPr>
          <w:rFonts w:hint="eastAsia" w:ascii="宋体" w:hAnsi="宋体" w:eastAsia="宋体" w:cs="宋体"/>
          <w:color w:val="auto"/>
          <w:szCs w:val="21"/>
        </w:rPr>
        <w:t>注：投标人需随此表附上主要人员的身份证、执业注册证（如有）等相关资料的原件扫描件</w:t>
      </w:r>
    </w:p>
    <w:p>
      <w:pPr>
        <w:pStyle w:val="28"/>
        <w:ind w:left="0" w:leftChars="0" w:firstLine="0" w:firstLineChars="0"/>
        <w:rPr>
          <w:rFonts w:hint="default"/>
          <w:color w:val="auto"/>
          <w:lang w:eastAsia="zh-CN"/>
        </w:rPr>
      </w:pPr>
    </w:p>
    <w:bookmarkEnd w:id="80"/>
    <w:p>
      <w:pPr>
        <w:autoSpaceDE w:val="0"/>
        <w:autoSpaceDN w:val="0"/>
        <w:adjustRightInd w:val="0"/>
        <w:spacing w:line="360" w:lineRule="auto"/>
        <w:jc w:val="center"/>
        <w:rPr>
          <w:rFonts w:cs="黑体" w:asciiTheme="minorEastAsia" w:hAnsiTheme="minorEastAsia"/>
          <w:b/>
          <w:bCs/>
          <w:color w:val="auto"/>
          <w:sz w:val="28"/>
          <w:szCs w:val="28"/>
          <w:lang w:val="zh-CN"/>
        </w:rPr>
      </w:pPr>
    </w:p>
    <w:p>
      <w:pP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rPr>
          <w:color w:val="auto"/>
        </w:rPr>
      </w:pPr>
    </w:p>
    <w:sectPr>
      <w:footerReference r:id="rId8"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4"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joinstyle="miter"/>
          <v:imagedata o:title=""/>
          <o:lock v:ext="edit"/>
          <v:textbox inset="0mm,0mm,0mm,0mm" style="mso-fit-shape-to-text:t;">
            <w:txbxContent>
              <w:p>
                <w:pPr>
                  <w:pStyle w:val="86"/>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8" o:spid="_x0000_s4101" o:spt="202" type="#_x0000_t202" style="position:absolute;left:0pt;margin-left:288.5pt;margin-top:793.65pt;height:6pt;width:18pt;mso-position-horizontal-relative:page;mso-position-vertical-relative:page;mso-wrap-style:none;z-index:-251656192;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joinstyle="miter"/>
          <v:imagedata o:title=""/>
          <o:lock v:ext="edit"/>
          <v:textbox inset="0mm,0mm,0mm,0mm" style="mso-fit-shape-to-text:t;">
            <w:txbxContent>
              <w:p>
                <w:pPr>
                  <w:pStyle w:val="86"/>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1"/>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E0B17"/>
    <w:multiLevelType w:val="singleLevel"/>
    <w:tmpl w:val="8BFE0B17"/>
    <w:lvl w:ilvl="0" w:tentative="0">
      <w:start w:val="2"/>
      <w:numFmt w:val="chineseCounting"/>
      <w:suff w:val="nothing"/>
      <w:lvlText w:val="%1、"/>
      <w:lvlJc w:val="left"/>
      <w:rPr>
        <w:rFonts w:hint="eastAsia"/>
      </w:rPr>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DC4F1946"/>
    <w:multiLevelType w:val="singleLevel"/>
    <w:tmpl w:val="DC4F1946"/>
    <w:lvl w:ilvl="0" w:tentative="0">
      <w:start w:val="1"/>
      <w:numFmt w:val="chineseCounting"/>
      <w:suff w:val="nothing"/>
      <w:lvlText w:val="%1、"/>
      <w:lvlJc w:val="left"/>
      <w:rPr>
        <w:rFonts w:hint="eastAsia"/>
      </w:rPr>
    </w:lvl>
  </w:abstractNum>
  <w:abstractNum w:abstractNumId="4">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E477908D"/>
    <w:multiLevelType w:val="singleLevel"/>
    <w:tmpl w:val="E477908D"/>
    <w:lvl w:ilvl="0" w:tentative="0">
      <w:start w:val="3"/>
      <w:numFmt w:val="chineseCounting"/>
      <w:suff w:val="nothing"/>
      <w:lvlText w:val="%1、"/>
      <w:lvlJc w:val="left"/>
      <w:rPr>
        <w:rFonts w:hint="eastAsia"/>
      </w:rPr>
    </w:lvl>
  </w:abstractNum>
  <w:abstractNum w:abstractNumId="6">
    <w:nsid w:val="EF493672"/>
    <w:multiLevelType w:val="singleLevel"/>
    <w:tmpl w:val="EF493672"/>
    <w:lvl w:ilvl="0" w:tentative="0">
      <w:start w:val="2"/>
      <w:numFmt w:val="decimal"/>
      <w:suff w:val="nothing"/>
      <w:lvlText w:val="（%1）"/>
      <w:lvlJc w:val="left"/>
    </w:lvl>
  </w:abstractNum>
  <w:abstractNum w:abstractNumId="7">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CBABA70"/>
    <w:multiLevelType w:val="singleLevel"/>
    <w:tmpl w:val="1CBABA70"/>
    <w:lvl w:ilvl="0" w:tentative="0">
      <w:start w:val="1"/>
      <w:numFmt w:val="decimal"/>
      <w:suff w:val="nothing"/>
      <w:lvlText w:val="%1、"/>
      <w:lvlJc w:val="left"/>
    </w:lvl>
  </w:abstractNum>
  <w:abstractNum w:abstractNumId="11">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2">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3">
    <w:nsid w:val="2D7DBFBC"/>
    <w:multiLevelType w:val="singleLevel"/>
    <w:tmpl w:val="2D7DBFBC"/>
    <w:lvl w:ilvl="0" w:tentative="0">
      <w:start w:val="1"/>
      <w:numFmt w:val="decimal"/>
      <w:suff w:val="nothing"/>
      <w:lvlText w:val="%1、"/>
      <w:lvlJc w:val="left"/>
    </w:lvl>
  </w:abstractNum>
  <w:abstractNum w:abstractNumId="1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9F817E8"/>
    <w:multiLevelType w:val="singleLevel"/>
    <w:tmpl w:val="59F817E8"/>
    <w:lvl w:ilvl="0" w:tentative="0">
      <w:start w:val="1"/>
      <w:numFmt w:val="chineseCounting"/>
      <w:pStyle w:val="64"/>
      <w:suff w:val="nothing"/>
      <w:lvlText w:val="%1、"/>
      <w:lvlJc w:val="left"/>
    </w:lvl>
  </w:abstractNum>
  <w:abstractNum w:abstractNumId="1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ACB71F1"/>
    <w:multiLevelType w:val="singleLevel"/>
    <w:tmpl w:val="7ACB71F1"/>
    <w:lvl w:ilvl="0" w:tentative="0">
      <w:start w:val="2"/>
      <w:numFmt w:val="chineseCounting"/>
      <w:suff w:val="nothing"/>
      <w:lvlText w:val="%1、"/>
      <w:lvlJc w:val="left"/>
      <w:rPr>
        <w:rFonts w:hint="eastAsia"/>
      </w:rPr>
    </w:lvl>
  </w:abstractNum>
  <w:num w:numId="1">
    <w:abstractNumId w:val="7"/>
  </w:num>
  <w:num w:numId="2">
    <w:abstractNumId w:val="8"/>
  </w:num>
  <w:num w:numId="3">
    <w:abstractNumId w:val="15"/>
  </w:num>
  <w:num w:numId="4">
    <w:abstractNumId w:val="2"/>
  </w:num>
  <w:num w:numId="5">
    <w:abstractNumId w:val="6"/>
  </w:num>
  <w:num w:numId="6">
    <w:abstractNumId w:val="3"/>
  </w:num>
  <w:num w:numId="7">
    <w:abstractNumId w:val="5"/>
  </w:num>
  <w:num w:numId="8">
    <w:abstractNumId w:val="0"/>
  </w:num>
  <w:num w:numId="9">
    <w:abstractNumId w:val="19"/>
  </w:num>
  <w:num w:numId="10">
    <w:abstractNumId w:val="13"/>
  </w:num>
  <w:num w:numId="11">
    <w:abstractNumId w:val="18"/>
  </w:num>
  <w:num w:numId="12">
    <w:abstractNumId w:val="9"/>
  </w:num>
  <w:num w:numId="13">
    <w:abstractNumId w:val="16"/>
  </w:num>
  <w:num w:numId="14">
    <w:abstractNumId w:val="17"/>
  </w:num>
  <w:num w:numId="15">
    <w:abstractNumId w:val="14"/>
  </w:num>
  <w:num w:numId="16">
    <w:abstractNumId w:val="12"/>
  </w:num>
  <w:num w:numId="17">
    <w:abstractNumId w:val="10"/>
  </w:num>
  <w:num w:numId="18">
    <w:abstractNumId w:val="11"/>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mMWIyMWI5NWE1NzRhYjZmOGQ0ZTZiNGU2N2IyN2UifQ=="/>
    <w:docVar w:name="KSO_WPS_MARK_KEY" w:val="9fbbf21a-4595-4072-b958-ed8c995b50e2"/>
  </w:docVars>
  <w:rsids>
    <w:rsidRoot w:val="00F51389"/>
    <w:rsid w:val="00001390"/>
    <w:rsid w:val="00001AAB"/>
    <w:rsid w:val="0000220B"/>
    <w:rsid w:val="000028B5"/>
    <w:rsid w:val="00003C00"/>
    <w:rsid w:val="00003D13"/>
    <w:rsid w:val="00004B6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59D"/>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770"/>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955"/>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1C8E"/>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77192"/>
    <w:rsid w:val="00E806C3"/>
    <w:rsid w:val="00E81BF2"/>
    <w:rsid w:val="00E83914"/>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0FF755F"/>
    <w:rsid w:val="01087EB9"/>
    <w:rsid w:val="01393F5D"/>
    <w:rsid w:val="015E2B82"/>
    <w:rsid w:val="01873E33"/>
    <w:rsid w:val="01C861C5"/>
    <w:rsid w:val="01EE5E5A"/>
    <w:rsid w:val="02042EF4"/>
    <w:rsid w:val="02314E41"/>
    <w:rsid w:val="027D5641"/>
    <w:rsid w:val="028E485D"/>
    <w:rsid w:val="02BB5D2E"/>
    <w:rsid w:val="032C493C"/>
    <w:rsid w:val="0332754E"/>
    <w:rsid w:val="03517802"/>
    <w:rsid w:val="036C45B6"/>
    <w:rsid w:val="03B6440A"/>
    <w:rsid w:val="04144CB8"/>
    <w:rsid w:val="0414564A"/>
    <w:rsid w:val="04475923"/>
    <w:rsid w:val="046F5D19"/>
    <w:rsid w:val="04A6236A"/>
    <w:rsid w:val="04C40E66"/>
    <w:rsid w:val="04ED2911"/>
    <w:rsid w:val="053F5432"/>
    <w:rsid w:val="05556A37"/>
    <w:rsid w:val="05632C21"/>
    <w:rsid w:val="05BE2E04"/>
    <w:rsid w:val="05F6756F"/>
    <w:rsid w:val="064E7C45"/>
    <w:rsid w:val="066F4837"/>
    <w:rsid w:val="067B7ADB"/>
    <w:rsid w:val="06AB63C4"/>
    <w:rsid w:val="06B85401"/>
    <w:rsid w:val="06F049E2"/>
    <w:rsid w:val="072D4D2F"/>
    <w:rsid w:val="079C0E99"/>
    <w:rsid w:val="07A207B1"/>
    <w:rsid w:val="07BA35AC"/>
    <w:rsid w:val="07BF5E31"/>
    <w:rsid w:val="07D159C5"/>
    <w:rsid w:val="07D9327A"/>
    <w:rsid w:val="07E822C7"/>
    <w:rsid w:val="07F96DEB"/>
    <w:rsid w:val="0809666B"/>
    <w:rsid w:val="0826548A"/>
    <w:rsid w:val="08A9795F"/>
    <w:rsid w:val="08D81C3A"/>
    <w:rsid w:val="08DA1E8C"/>
    <w:rsid w:val="08ED0258"/>
    <w:rsid w:val="08EF08AA"/>
    <w:rsid w:val="09097ED2"/>
    <w:rsid w:val="094D4AE5"/>
    <w:rsid w:val="09527028"/>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6311F3"/>
    <w:rsid w:val="0C741652"/>
    <w:rsid w:val="0C8637F8"/>
    <w:rsid w:val="0C8D7DE5"/>
    <w:rsid w:val="0CAA7A35"/>
    <w:rsid w:val="0CAE7D79"/>
    <w:rsid w:val="0CD02BA2"/>
    <w:rsid w:val="0CE7384B"/>
    <w:rsid w:val="0CFA70C9"/>
    <w:rsid w:val="0D0D2E36"/>
    <w:rsid w:val="0D1A639E"/>
    <w:rsid w:val="0D481F5E"/>
    <w:rsid w:val="0DAC0795"/>
    <w:rsid w:val="0DCC4E45"/>
    <w:rsid w:val="0DD447CF"/>
    <w:rsid w:val="0DD750AD"/>
    <w:rsid w:val="0E1D453B"/>
    <w:rsid w:val="0E1E7AC7"/>
    <w:rsid w:val="0E211F8B"/>
    <w:rsid w:val="0E335042"/>
    <w:rsid w:val="0E7F2542"/>
    <w:rsid w:val="0EA30502"/>
    <w:rsid w:val="0ED408B0"/>
    <w:rsid w:val="0ED62150"/>
    <w:rsid w:val="0ED93001"/>
    <w:rsid w:val="0EFE0311"/>
    <w:rsid w:val="0F0A1F37"/>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36FE9"/>
    <w:rsid w:val="10FD6F47"/>
    <w:rsid w:val="110E6C6E"/>
    <w:rsid w:val="11413AD5"/>
    <w:rsid w:val="115665C0"/>
    <w:rsid w:val="115D39B8"/>
    <w:rsid w:val="115E2F88"/>
    <w:rsid w:val="116B77A2"/>
    <w:rsid w:val="118764AC"/>
    <w:rsid w:val="118C172A"/>
    <w:rsid w:val="11A50019"/>
    <w:rsid w:val="11C41B5C"/>
    <w:rsid w:val="11E154D4"/>
    <w:rsid w:val="11F264E7"/>
    <w:rsid w:val="122C725F"/>
    <w:rsid w:val="122F6CC8"/>
    <w:rsid w:val="123F74DC"/>
    <w:rsid w:val="1271520B"/>
    <w:rsid w:val="128E3D8E"/>
    <w:rsid w:val="1291530D"/>
    <w:rsid w:val="12CB6213"/>
    <w:rsid w:val="12CC47F7"/>
    <w:rsid w:val="12E50F51"/>
    <w:rsid w:val="132D1D71"/>
    <w:rsid w:val="139169C3"/>
    <w:rsid w:val="139466E7"/>
    <w:rsid w:val="139713B8"/>
    <w:rsid w:val="13BF59AC"/>
    <w:rsid w:val="13BF63D1"/>
    <w:rsid w:val="13CF6622"/>
    <w:rsid w:val="13FD3B91"/>
    <w:rsid w:val="14214638"/>
    <w:rsid w:val="143F6CA5"/>
    <w:rsid w:val="14527AE3"/>
    <w:rsid w:val="1461426A"/>
    <w:rsid w:val="14700C2F"/>
    <w:rsid w:val="147572AE"/>
    <w:rsid w:val="147C739E"/>
    <w:rsid w:val="147E444A"/>
    <w:rsid w:val="149819C8"/>
    <w:rsid w:val="14D058A3"/>
    <w:rsid w:val="14E01C0B"/>
    <w:rsid w:val="14E863BD"/>
    <w:rsid w:val="153A1234"/>
    <w:rsid w:val="153B0F6D"/>
    <w:rsid w:val="1543552E"/>
    <w:rsid w:val="15444E7F"/>
    <w:rsid w:val="15511A5E"/>
    <w:rsid w:val="15C36BD0"/>
    <w:rsid w:val="15E8716E"/>
    <w:rsid w:val="15EE44D7"/>
    <w:rsid w:val="15F146D6"/>
    <w:rsid w:val="16112C35"/>
    <w:rsid w:val="161D03CE"/>
    <w:rsid w:val="164D0EC9"/>
    <w:rsid w:val="168969BA"/>
    <w:rsid w:val="16B051B6"/>
    <w:rsid w:val="16BC6A9D"/>
    <w:rsid w:val="16D358F4"/>
    <w:rsid w:val="16EB2460"/>
    <w:rsid w:val="172B5511"/>
    <w:rsid w:val="175E24E1"/>
    <w:rsid w:val="17B078B6"/>
    <w:rsid w:val="17B86239"/>
    <w:rsid w:val="17D6125F"/>
    <w:rsid w:val="17E37F22"/>
    <w:rsid w:val="17F525F2"/>
    <w:rsid w:val="187272D7"/>
    <w:rsid w:val="187A6DFA"/>
    <w:rsid w:val="18891FE1"/>
    <w:rsid w:val="18BD7EDC"/>
    <w:rsid w:val="18C216D0"/>
    <w:rsid w:val="18F44079"/>
    <w:rsid w:val="18F61CE6"/>
    <w:rsid w:val="19322678"/>
    <w:rsid w:val="193E2B72"/>
    <w:rsid w:val="195E6397"/>
    <w:rsid w:val="197B011F"/>
    <w:rsid w:val="198F1D07"/>
    <w:rsid w:val="19A52E4A"/>
    <w:rsid w:val="19BD55EE"/>
    <w:rsid w:val="19DB09FD"/>
    <w:rsid w:val="19DB76A3"/>
    <w:rsid w:val="19F41259"/>
    <w:rsid w:val="1A4E34E2"/>
    <w:rsid w:val="1A50262B"/>
    <w:rsid w:val="1A6D388D"/>
    <w:rsid w:val="1A7C5501"/>
    <w:rsid w:val="1A805D4E"/>
    <w:rsid w:val="1A907281"/>
    <w:rsid w:val="1A96658C"/>
    <w:rsid w:val="1AB95659"/>
    <w:rsid w:val="1ABD0370"/>
    <w:rsid w:val="1AE95642"/>
    <w:rsid w:val="1AEB4D84"/>
    <w:rsid w:val="1B09100F"/>
    <w:rsid w:val="1B1C3903"/>
    <w:rsid w:val="1B283D33"/>
    <w:rsid w:val="1B3011AA"/>
    <w:rsid w:val="1B6C00C4"/>
    <w:rsid w:val="1B70335D"/>
    <w:rsid w:val="1B843C1F"/>
    <w:rsid w:val="1B933962"/>
    <w:rsid w:val="1BB1077D"/>
    <w:rsid w:val="1BC27E34"/>
    <w:rsid w:val="1C1C4ADB"/>
    <w:rsid w:val="1C317F37"/>
    <w:rsid w:val="1C3312D7"/>
    <w:rsid w:val="1C3C005D"/>
    <w:rsid w:val="1C527EEE"/>
    <w:rsid w:val="1C58653F"/>
    <w:rsid w:val="1C9119FB"/>
    <w:rsid w:val="1CB36692"/>
    <w:rsid w:val="1CBD66FD"/>
    <w:rsid w:val="1CD41554"/>
    <w:rsid w:val="1CD60FDD"/>
    <w:rsid w:val="1D34705F"/>
    <w:rsid w:val="1D440BCC"/>
    <w:rsid w:val="1D4B646C"/>
    <w:rsid w:val="1D5A145A"/>
    <w:rsid w:val="1D6750D6"/>
    <w:rsid w:val="1D805054"/>
    <w:rsid w:val="1D885F7E"/>
    <w:rsid w:val="1D8B6121"/>
    <w:rsid w:val="1D8C4188"/>
    <w:rsid w:val="1D90357B"/>
    <w:rsid w:val="1DBB4888"/>
    <w:rsid w:val="1DF10879"/>
    <w:rsid w:val="1E33043A"/>
    <w:rsid w:val="1E9F04CF"/>
    <w:rsid w:val="1EA9518B"/>
    <w:rsid w:val="1EAC0576"/>
    <w:rsid w:val="1F410D26"/>
    <w:rsid w:val="1F457DEB"/>
    <w:rsid w:val="1F486284"/>
    <w:rsid w:val="1F4A09AF"/>
    <w:rsid w:val="1F4F76D7"/>
    <w:rsid w:val="1F5E25BF"/>
    <w:rsid w:val="1FD55739"/>
    <w:rsid w:val="1FE62D4E"/>
    <w:rsid w:val="201914DE"/>
    <w:rsid w:val="201D42E6"/>
    <w:rsid w:val="202F4C72"/>
    <w:rsid w:val="204C3CC9"/>
    <w:rsid w:val="20551BE7"/>
    <w:rsid w:val="205B3BD8"/>
    <w:rsid w:val="208A5C9C"/>
    <w:rsid w:val="20B14377"/>
    <w:rsid w:val="20BB4A98"/>
    <w:rsid w:val="20ED0E50"/>
    <w:rsid w:val="20FF154F"/>
    <w:rsid w:val="212D4657"/>
    <w:rsid w:val="21312F9D"/>
    <w:rsid w:val="216F5F71"/>
    <w:rsid w:val="21724AA6"/>
    <w:rsid w:val="21A33405"/>
    <w:rsid w:val="21DE1590"/>
    <w:rsid w:val="21DF17AC"/>
    <w:rsid w:val="220F7E93"/>
    <w:rsid w:val="2258544D"/>
    <w:rsid w:val="226D4858"/>
    <w:rsid w:val="228268B0"/>
    <w:rsid w:val="229A27ED"/>
    <w:rsid w:val="22B643D4"/>
    <w:rsid w:val="22C94223"/>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697EF5"/>
    <w:rsid w:val="257121FC"/>
    <w:rsid w:val="25720679"/>
    <w:rsid w:val="258B0188"/>
    <w:rsid w:val="2591011D"/>
    <w:rsid w:val="25AC4D31"/>
    <w:rsid w:val="25B644FA"/>
    <w:rsid w:val="25B70A1E"/>
    <w:rsid w:val="25DC2BFD"/>
    <w:rsid w:val="25DF5154"/>
    <w:rsid w:val="25E24BC7"/>
    <w:rsid w:val="26255963"/>
    <w:rsid w:val="26572034"/>
    <w:rsid w:val="265B42DF"/>
    <w:rsid w:val="266E1381"/>
    <w:rsid w:val="26823CA7"/>
    <w:rsid w:val="26A74F53"/>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F41C0C"/>
    <w:rsid w:val="29267F4E"/>
    <w:rsid w:val="292744D8"/>
    <w:rsid w:val="299A48AA"/>
    <w:rsid w:val="29B570DA"/>
    <w:rsid w:val="29D14A0E"/>
    <w:rsid w:val="29E80BF0"/>
    <w:rsid w:val="2A10401D"/>
    <w:rsid w:val="2A46584F"/>
    <w:rsid w:val="2A480AF2"/>
    <w:rsid w:val="2A4D4EEC"/>
    <w:rsid w:val="2A505CF6"/>
    <w:rsid w:val="2A5A2D40"/>
    <w:rsid w:val="2A9E2215"/>
    <w:rsid w:val="2ADC36E1"/>
    <w:rsid w:val="2B3F5F01"/>
    <w:rsid w:val="2B8151F8"/>
    <w:rsid w:val="2B95453E"/>
    <w:rsid w:val="2BB4596C"/>
    <w:rsid w:val="2BC63257"/>
    <w:rsid w:val="2C0B7CF9"/>
    <w:rsid w:val="2C0E1747"/>
    <w:rsid w:val="2C2E4C48"/>
    <w:rsid w:val="2C377758"/>
    <w:rsid w:val="2C723632"/>
    <w:rsid w:val="2D4F570F"/>
    <w:rsid w:val="2D5F028F"/>
    <w:rsid w:val="2D845F08"/>
    <w:rsid w:val="2DD707ED"/>
    <w:rsid w:val="2DEC110A"/>
    <w:rsid w:val="2E291720"/>
    <w:rsid w:val="2E2F0008"/>
    <w:rsid w:val="2E5A4E26"/>
    <w:rsid w:val="2E5D642A"/>
    <w:rsid w:val="2E741573"/>
    <w:rsid w:val="2EA87DE8"/>
    <w:rsid w:val="2EC5794C"/>
    <w:rsid w:val="2ED4747E"/>
    <w:rsid w:val="2F124B1C"/>
    <w:rsid w:val="2F1320F9"/>
    <w:rsid w:val="2F261EE0"/>
    <w:rsid w:val="2F45482D"/>
    <w:rsid w:val="2F477084"/>
    <w:rsid w:val="2F5508D2"/>
    <w:rsid w:val="2F5E419A"/>
    <w:rsid w:val="2F653AB3"/>
    <w:rsid w:val="2F7C6138"/>
    <w:rsid w:val="2FCF2577"/>
    <w:rsid w:val="2FF24A9E"/>
    <w:rsid w:val="3017495E"/>
    <w:rsid w:val="301A0A01"/>
    <w:rsid w:val="30460B22"/>
    <w:rsid w:val="305F0D15"/>
    <w:rsid w:val="307D673F"/>
    <w:rsid w:val="3090558E"/>
    <w:rsid w:val="30B61D5C"/>
    <w:rsid w:val="30C848E7"/>
    <w:rsid w:val="30FE6532"/>
    <w:rsid w:val="310B7E0E"/>
    <w:rsid w:val="311461A8"/>
    <w:rsid w:val="31324247"/>
    <w:rsid w:val="315D52F9"/>
    <w:rsid w:val="318C38CE"/>
    <w:rsid w:val="31AF55AB"/>
    <w:rsid w:val="31C1427F"/>
    <w:rsid w:val="31EC310B"/>
    <w:rsid w:val="320D3218"/>
    <w:rsid w:val="32231A2F"/>
    <w:rsid w:val="32292BC7"/>
    <w:rsid w:val="323546BB"/>
    <w:rsid w:val="32966D3C"/>
    <w:rsid w:val="32985053"/>
    <w:rsid w:val="32B20743"/>
    <w:rsid w:val="32E31462"/>
    <w:rsid w:val="32E81473"/>
    <w:rsid w:val="32EB01D9"/>
    <w:rsid w:val="33022C64"/>
    <w:rsid w:val="331839C9"/>
    <w:rsid w:val="332366A3"/>
    <w:rsid w:val="335A0B92"/>
    <w:rsid w:val="33817B10"/>
    <w:rsid w:val="33D34062"/>
    <w:rsid w:val="33D56F13"/>
    <w:rsid w:val="340B5DEF"/>
    <w:rsid w:val="34280373"/>
    <w:rsid w:val="3439458D"/>
    <w:rsid w:val="345D5D57"/>
    <w:rsid w:val="346E5D8F"/>
    <w:rsid w:val="34781430"/>
    <w:rsid w:val="3478653E"/>
    <w:rsid w:val="350A079B"/>
    <w:rsid w:val="35306958"/>
    <w:rsid w:val="35316934"/>
    <w:rsid w:val="355D6D6F"/>
    <w:rsid w:val="356A4DAC"/>
    <w:rsid w:val="35823A3E"/>
    <w:rsid w:val="35C15576"/>
    <w:rsid w:val="35C46C85"/>
    <w:rsid w:val="361D0FD2"/>
    <w:rsid w:val="36257DF1"/>
    <w:rsid w:val="364B0EC2"/>
    <w:rsid w:val="36A112CD"/>
    <w:rsid w:val="36D45DBC"/>
    <w:rsid w:val="374B30EB"/>
    <w:rsid w:val="37571F09"/>
    <w:rsid w:val="3786381D"/>
    <w:rsid w:val="379C086E"/>
    <w:rsid w:val="37BE016E"/>
    <w:rsid w:val="38014F46"/>
    <w:rsid w:val="387D4BEB"/>
    <w:rsid w:val="38E97278"/>
    <w:rsid w:val="38FC4233"/>
    <w:rsid w:val="39073CCD"/>
    <w:rsid w:val="390E6A0D"/>
    <w:rsid w:val="39124D88"/>
    <w:rsid w:val="391317D1"/>
    <w:rsid w:val="391E6950"/>
    <w:rsid w:val="396C0E37"/>
    <w:rsid w:val="39984C79"/>
    <w:rsid w:val="399D511C"/>
    <w:rsid w:val="39A5214C"/>
    <w:rsid w:val="39DD2DAE"/>
    <w:rsid w:val="39F45E57"/>
    <w:rsid w:val="3A0C1F0A"/>
    <w:rsid w:val="3A0D7783"/>
    <w:rsid w:val="3A126EC8"/>
    <w:rsid w:val="3A1A525E"/>
    <w:rsid w:val="3A2D481C"/>
    <w:rsid w:val="3A4818A4"/>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E40593"/>
    <w:rsid w:val="3CF5050D"/>
    <w:rsid w:val="3D96637E"/>
    <w:rsid w:val="3D9C34CD"/>
    <w:rsid w:val="3DAC323C"/>
    <w:rsid w:val="3DC372EE"/>
    <w:rsid w:val="3DEC2498"/>
    <w:rsid w:val="3DEC2546"/>
    <w:rsid w:val="3DFF3A72"/>
    <w:rsid w:val="3E4C6ADC"/>
    <w:rsid w:val="3E4F494F"/>
    <w:rsid w:val="3E4F7D08"/>
    <w:rsid w:val="3E5E22B0"/>
    <w:rsid w:val="3E7313A8"/>
    <w:rsid w:val="3ED82F46"/>
    <w:rsid w:val="3F007457"/>
    <w:rsid w:val="3F187E1B"/>
    <w:rsid w:val="3F3C2EDE"/>
    <w:rsid w:val="3FAD3FCA"/>
    <w:rsid w:val="3FB206A1"/>
    <w:rsid w:val="3FCC262F"/>
    <w:rsid w:val="3FEE6BBA"/>
    <w:rsid w:val="400F2AAE"/>
    <w:rsid w:val="403522DF"/>
    <w:rsid w:val="407D1B57"/>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2F36125"/>
    <w:rsid w:val="430B4CE4"/>
    <w:rsid w:val="43193DDE"/>
    <w:rsid w:val="4332746C"/>
    <w:rsid w:val="434B5597"/>
    <w:rsid w:val="4356443C"/>
    <w:rsid w:val="43575E8C"/>
    <w:rsid w:val="435E0AA5"/>
    <w:rsid w:val="43663E29"/>
    <w:rsid w:val="43700BED"/>
    <w:rsid w:val="44052193"/>
    <w:rsid w:val="4436276D"/>
    <w:rsid w:val="444769AF"/>
    <w:rsid w:val="44550223"/>
    <w:rsid w:val="447162A7"/>
    <w:rsid w:val="44EA4606"/>
    <w:rsid w:val="44FD6F67"/>
    <w:rsid w:val="455231F0"/>
    <w:rsid w:val="45554E75"/>
    <w:rsid w:val="45675D0C"/>
    <w:rsid w:val="456B3430"/>
    <w:rsid w:val="456D5AF0"/>
    <w:rsid w:val="458C667A"/>
    <w:rsid w:val="45D25BB8"/>
    <w:rsid w:val="45E615FB"/>
    <w:rsid w:val="46366161"/>
    <w:rsid w:val="463B050F"/>
    <w:rsid w:val="463E6D9A"/>
    <w:rsid w:val="46465AAA"/>
    <w:rsid w:val="464E7B30"/>
    <w:rsid w:val="467D2F1A"/>
    <w:rsid w:val="4695426A"/>
    <w:rsid w:val="46C95B13"/>
    <w:rsid w:val="46CE1703"/>
    <w:rsid w:val="46DE0F76"/>
    <w:rsid w:val="46E35449"/>
    <w:rsid w:val="46E8208A"/>
    <w:rsid w:val="472B40CF"/>
    <w:rsid w:val="473960E8"/>
    <w:rsid w:val="4753794A"/>
    <w:rsid w:val="477B7C75"/>
    <w:rsid w:val="477D53B0"/>
    <w:rsid w:val="47A07BC1"/>
    <w:rsid w:val="47A4555A"/>
    <w:rsid w:val="47AF74CC"/>
    <w:rsid w:val="47C21F0B"/>
    <w:rsid w:val="47DE1878"/>
    <w:rsid w:val="47E80E8A"/>
    <w:rsid w:val="48080763"/>
    <w:rsid w:val="48264474"/>
    <w:rsid w:val="482C59B3"/>
    <w:rsid w:val="485128BA"/>
    <w:rsid w:val="48561630"/>
    <w:rsid w:val="48727FDF"/>
    <w:rsid w:val="48737219"/>
    <w:rsid w:val="4892657D"/>
    <w:rsid w:val="48C0687E"/>
    <w:rsid w:val="48EE371C"/>
    <w:rsid w:val="48F453AD"/>
    <w:rsid w:val="490C0E49"/>
    <w:rsid w:val="49574371"/>
    <w:rsid w:val="498B5D51"/>
    <w:rsid w:val="49CE328F"/>
    <w:rsid w:val="49CF3E0F"/>
    <w:rsid w:val="49E32D62"/>
    <w:rsid w:val="4A1C7D5B"/>
    <w:rsid w:val="4A222BB1"/>
    <w:rsid w:val="4A471230"/>
    <w:rsid w:val="4A73764F"/>
    <w:rsid w:val="4A7B30FE"/>
    <w:rsid w:val="4A957F5D"/>
    <w:rsid w:val="4ABE0F93"/>
    <w:rsid w:val="4AD83818"/>
    <w:rsid w:val="4AF173EE"/>
    <w:rsid w:val="4AFD58C2"/>
    <w:rsid w:val="4B0D60AB"/>
    <w:rsid w:val="4BB113E0"/>
    <w:rsid w:val="4BB26B7D"/>
    <w:rsid w:val="4BB40C35"/>
    <w:rsid w:val="4BC13264"/>
    <w:rsid w:val="4C10163E"/>
    <w:rsid w:val="4C2645A5"/>
    <w:rsid w:val="4C295D83"/>
    <w:rsid w:val="4C4B737E"/>
    <w:rsid w:val="4C7F78FB"/>
    <w:rsid w:val="4CA30BBC"/>
    <w:rsid w:val="4CE713A1"/>
    <w:rsid w:val="4CEB5C57"/>
    <w:rsid w:val="4D005CCE"/>
    <w:rsid w:val="4D10679D"/>
    <w:rsid w:val="4D133E52"/>
    <w:rsid w:val="4D550000"/>
    <w:rsid w:val="4DA53A6F"/>
    <w:rsid w:val="4DCE1994"/>
    <w:rsid w:val="4DE45808"/>
    <w:rsid w:val="4E164BA8"/>
    <w:rsid w:val="4E2B1C56"/>
    <w:rsid w:val="4E9448CD"/>
    <w:rsid w:val="4EAA3AA7"/>
    <w:rsid w:val="4EC16975"/>
    <w:rsid w:val="4F1069B5"/>
    <w:rsid w:val="4F374C6E"/>
    <w:rsid w:val="4F6A5A2A"/>
    <w:rsid w:val="4FA11FA1"/>
    <w:rsid w:val="4FC6709B"/>
    <w:rsid w:val="4FD712A8"/>
    <w:rsid w:val="4FF32A73"/>
    <w:rsid w:val="4FF65309"/>
    <w:rsid w:val="500C702E"/>
    <w:rsid w:val="50560813"/>
    <w:rsid w:val="505F0174"/>
    <w:rsid w:val="508D52FA"/>
    <w:rsid w:val="50A050A3"/>
    <w:rsid w:val="50BB2978"/>
    <w:rsid w:val="511B2742"/>
    <w:rsid w:val="51352836"/>
    <w:rsid w:val="51854A61"/>
    <w:rsid w:val="51A13899"/>
    <w:rsid w:val="51C24DCB"/>
    <w:rsid w:val="51C71D47"/>
    <w:rsid w:val="51F46E3D"/>
    <w:rsid w:val="51FB3E3E"/>
    <w:rsid w:val="520C2784"/>
    <w:rsid w:val="522315ED"/>
    <w:rsid w:val="52301CBD"/>
    <w:rsid w:val="52391561"/>
    <w:rsid w:val="52581E68"/>
    <w:rsid w:val="528771C6"/>
    <w:rsid w:val="52B63C9D"/>
    <w:rsid w:val="53042B53"/>
    <w:rsid w:val="531600B4"/>
    <w:rsid w:val="53170BC1"/>
    <w:rsid w:val="53552BF6"/>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E0475B"/>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2340FF"/>
    <w:rsid w:val="585C571D"/>
    <w:rsid w:val="586B1477"/>
    <w:rsid w:val="587A4EC7"/>
    <w:rsid w:val="589C02B5"/>
    <w:rsid w:val="58A31F4C"/>
    <w:rsid w:val="58D72FFB"/>
    <w:rsid w:val="58E113A8"/>
    <w:rsid w:val="59281C6E"/>
    <w:rsid w:val="5928537F"/>
    <w:rsid w:val="59372DB8"/>
    <w:rsid w:val="59484EC2"/>
    <w:rsid w:val="596D705C"/>
    <w:rsid w:val="598B064C"/>
    <w:rsid w:val="59E950A2"/>
    <w:rsid w:val="5A3F332F"/>
    <w:rsid w:val="5A495E65"/>
    <w:rsid w:val="5A5227C7"/>
    <w:rsid w:val="5A6705E1"/>
    <w:rsid w:val="5A85418B"/>
    <w:rsid w:val="5AA2467B"/>
    <w:rsid w:val="5AA342BB"/>
    <w:rsid w:val="5AAF57F4"/>
    <w:rsid w:val="5AC57853"/>
    <w:rsid w:val="5ACB1D91"/>
    <w:rsid w:val="5AD26501"/>
    <w:rsid w:val="5B0E1223"/>
    <w:rsid w:val="5B69632E"/>
    <w:rsid w:val="5B834427"/>
    <w:rsid w:val="5BAE2A99"/>
    <w:rsid w:val="5BB41EEB"/>
    <w:rsid w:val="5BC20F3E"/>
    <w:rsid w:val="5BC409B6"/>
    <w:rsid w:val="5BCD2A28"/>
    <w:rsid w:val="5BCF7A90"/>
    <w:rsid w:val="5BDF731D"/>
    <w:rsid w:val="5C0B05A2"/>
    <w:rsid w:val="5C1717D9"/>
    <w:rsid w:val="5C1A7007"/>
    <w:rsid w:val="5C1E368A"/>
    <w:rsid w:val="5C20031E"/>
    <w:rsid w:val="5C3D2516"/>
    <w:rsid w:val="5C3F26AF"/>
    <w:rsid w:val="5C6043D4"/>
    <w:rsid w:val="5C757E7F"/>
    <w:rsid w:val="5CB139A0"/>
    <w:rsid w:val="5CC826A5"/>
    <w:rsid w:val="5CD938B8"/>
    <w:rsid w:val="5CDA23D8"/>
    <w:rsid w:val="5D011895"/>
    <w:rsid w:val="5D280ACB"/>
    <w:rsid w:val="5D5977A1"/>
    <w:rsid w:val="5D823D4C"/>
    <w:rsid w:val="5DA504AA"/>
    <w:rsid w:val="5DD54801"/>
    <w:rsid w:val="5E2B098A"/>
    <w:rsid w:val="5E8E5AC1"/>
    <w:rsid w:val="5E921C4D"/>
    <w:rsid w:val="5E9544E9"/>
    <w:rsid w:val="5ECC015F"/>
    <w:rsid w:val="5EE83EB0"/>
    <w:rsid w:val="5EFB17CA"/>
    <w:rsid w:val="5F2F3381"/>
    <w:rsid w:val="5F3D2932"/>
    <w:rsid w:val="5F4A434F"/>
    <w:rsid w:val="5F4C6AB1"/>
    <w:rsid w:val="5FBF4F4A"/>
    <w:rsid w:val="5FEA7357"/>
    <w:rsid w:val="600039FD"/>
    <w:rsid w:val="6001186C"/>
    <w:rsid w:val="600E4AFF"/>
    <w:rsid w:val="602629C5"/>
    <w:rsid w:val="606E3CED"/>
    <w:rsid w:val="60D16749"/>
    <w:rsid w:val="60DB3FC7"/>
    <w:rsid w:val="61035D91"/>
    <w:rsid w:val="61442516"/>
    <w:rsid w:val="614E3A65"/>
    <w:rsid w:val="61687ECC"/>
    <w:rsid w:val="617D2E49"/>
    <w:rsid w:val="61941255"/>
    <w:rsid w:val="61994186"/>
    <w:rsid w:val="61A02AE1"/>
    <w:rsid w:val="61BC4DC2"/>
    <w:rsid w:val="61C44678"/>
    <w:rsid w:val="61CB0541"/>
    <w:rsid w:val="61F6105D"/>
    <w:rsid w:val="62003B63"/>
    <w:rsid w:val="62195750"/>
    <w:rsid w:val="622368EE"/>
    <w:rsid w:val="622E3D96"/>
    <w:rsid w:val="62493070"/>
    <w:rsid w:val="62537301"/>
    <w:rsid w:val="6281063A"/>
    <w:rsid w:val="6294666F"/>
    <w:rsid w:val="62993EE6"/>
    <w:rsid w:val="62EC6126"/>
    <w:rsid w:val="62F6410D"/>
    <w:rsid w:val="634675E2"/>
    <w:rsid w:val="63520B99"/>
    <w:rsid w:val="63535E20"/>
    <w:rsid w:val="635A7834"/>
    <w:rsid w:val="63780F4D"/>
    <w:rsid w:val="63843E11"/>
    <w:rsid w:val="638962A8"/>
    <w:rsid w:val="63A905F9"/>
    <w:rsid w:val="63BF3CCD"/>
    <w:rsid w:val="63E70B6A"/>
    <w:rsid w:val="63E74E43"/>
    <w:rsid w:val="63F4509F"/>
    <w:rsid w:val="641D561E"/>
    <w:rsid w:val="645A7606"/>
    <w:rsid w:val="64721148"/>
    <w:rsid w:val="648006B8"/>
    <w:rsid w:val="6486046D"/>
    <w:rsid w:val="64881741"/>
    <w:rsid w:val="64B15FD5"/>
    <w:rsid w:val="64BF36B4"/>
    <w:rsid w:val="64C76A4D"/>
    <w:rsid w:val="64D67FEA"/>
    <w:rsid w:val="64FE6613"/>
    <w:rsid w:val="65150382"/>
    <w:rsid w:val="651654D0"/>
    <w:rsid w:val="653C2322"/>
    <w:rsid w:val="655955A4"/>
    <w:rsid w:val="657E22F9"/>
    <w:rsid w:val="65864EAB"/>
    <w:rsid w:val="6596649A"/>
    <w:rsid w:val="65A2097C"/>
    <w:rsid w:val="65CA557B"/>
    <w:rsid w:val="65CE6CF9"/>
    <w:rsid w:val="65D25022"/>
    <w:rsid w:val="662A75DE"/>
    <w:rsid w:val="665A71CA"/>
    <w:rsid w:val="665D68EF"/>
    <w:rsid w:val="66980FBD"/>
    <w:rsid w:val="66A30944"/>
    <w:rsid w:val="66BF5BD4"/>
    <w:rsid w:val="66ED7B52"/>
    <w:rsid w:val="66FC7544"/>
    <w:rsid w:val="671B5AC7"/>
    <w:rsid w:val="67341FB4"/>
    <w:rsid w:val="675B3896"/>
    <w:rsid w:val="676C544D"/>
    <w:rsid w:val="67F03A67"/>
    <w:rsid w:val="67FF24A8"/>
    <w:rsid w:val="68C26C72"/>
    <w:rsid w:val="68C60434"/>
    <w:rsid w:val="68D23C1D"/>
    <w:rsid w:val="69161797"/>
    <w:rsid w:val="69294622"/>
    <w:rsid w:val="69450A1E"/>
    <w:rsid w:val="69995CD6"/>
    <w:rsid w:val="69CA0494"/>
    <w:rsid w:val="69F10A05"/>
    <w:rsid w:val="69F46A26"/>
    <w:rsid w:val="69FB4D8B"/>
    <w:rsid w:val="6AC62746"/>
    <w:rsid w:val="6B2904EB"/>
    <w:rsid w:val="6B4722DF"/>
    <w:rsid w:val="6B4825DE"/>
    <w:rsid w:val="6B4A0729"/>
    <w:rsid w:val="6B5938AC"/>
    <w:rsid w:val="6B6932A5"/>
    <w:rsid w:val="6B8D4D61"/>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DEF55B7"/>
    <w:rsid w:val="6E030EEC"/>
    <w:rsid w:val="6E2C680B"/>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32092"/>
    <w:rsid w:val="6F954516"/>
    <w:rsid w:val="6FE54084"/>
    <w:rsid w:val="6FE8143A"/>
    <w:rsid w:val="70052E70"/>
    <w:rsid w:val="701A17D4"/>
    <w:rsid w:val="7021512D"/>
    <w:rsid w:val="7039129F"/>
    <w:rsid w:val="704A3350"/>
    <w:rsid w:val="704D75D1"/>
    <w:rsid w:val="70506DB5"/>
    <w:rsid w:val="705C4FBF"/>
    <w:rsid w:val="7072440C"/>
    <w:rsid w:val="707324D0"/>
    <w:rsid w:val="70764DB5"/>
    <w:rsid w:val="708E4067"/>
    <w:rsid w:val="7092622D"/>
    <w:rsid w:val="70BB1864"/>
    <w:rsid w:val="710A6D91"/>
    <w:rsid w:val="711753EE"/>
    <w:rsid w:val="71212C19"/>
    <w:rsid w:val="7131029F"/>
    <w:rsid w:val="71434331"/>
    <w:rsid w:val="71CB356E"/>
    <w:rsid w:val="71CF43CD"/>
    <w:rsid w:val="71EC2A56"/>
    <w:rsid w:val="72233563"/>
    <w:rsid w:val="72B127EC"/>
    <w:rsid w:val="72D2094C"/>
    <w:rsid w:val="72D74F98"/>
    <w:rsid w:val="731A0C90"/>
    <w:rsid w:val="73497518"/>
    <w:rsid w:val="737E090F"/>
    <w:rsid w:val="738B0027"/>
    <w:rsid w:val="741756AE"/>
    <w:rsid w:val="741A563C"/>
    <w:rsid w:val="746A2912"/>
    <w:rsid w:val="74904342"/>
    <w:rsid w:val="74B119A4"/>
    <w:rsid w:val="74CE4491"/>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896C05"/>
    <w:rsid w:val="76B625A7"/>
    <w:rsid w:val="76D2056E"/>
    <w:rsid w:val="76E6597A"/>
    <w:rsid w:val="76F12774"/>
    <w:rsid w:val="770C5354"/>
    <w:rsid w:val="771F4B41"/>
    <w:rsid w:val="774921DC"/>
    <w:rsid w:val="77727982"/>
    <w:rsid w:val="777A1C0E"/>
    <w:rsid w:val="777B3763"/>
    <w:rsid w:val="77A80A16"/>
    <w:rsid w:val="77AE1D1E"/>
    <w:rsid w:val="78120820"/>
    <w:rsid w:val="7812701B"/>
    <w:rsid w:val="78143BC7"/>
    <w:rsid w:val="78441F14"/>
    <w:rsid w:val="7864658C"/>
    <w:rsid w:val="787D7581"/>
    <w:rsid w:val="78AF68A0"/>
    <w:rsid w:val="78BC253A"/>
    <w:rsid w:val="78C37659"/>
    <w:rsid w:val="78FD41F5"/>
    <w:rsid w:val="79030E08"/>
    <w:rsid w:val="790B56C3"/>
    <w:rsid w:val="791B3252"/>
    <w:rsid w:val="7965507C"/>
    <w:rsid w:val="79DD4BB1"/>
    <w:rsid w:val="7A173887"/>
    <w:rsid w:val="7A435270"/>
    <w:rsid w:val="7ACE4ED2"/>
    <w:rsid w:val="7AF57281"/>
    <w:rsid w:val="7B0155BF"/>
    <w:rsid w:val="7B3F18A5"/>
    <w:rsid w:val="7B520E3A"/>
    <w:rsid w:val="7BAE37F4"/>
    <w:rsid w:val="7BC16393"/>
    <w:rsid w:val="7BC164A4"/>
    <w:rsid w:val="7BE12D09"/>
    <w:rsid w:val="7BE144DF"/>
    <w:rsid w:val="7C046ED2"/>
    <w:rsid w:val="7C1D0C87"/>
    <w:rsid w:val="7C453C67"/>
    <w:rsid w:val="7C547659"/>
    <w:rsid w:val="7C80010D"/>
    <w:rsid w:val="7C934C7B"/>
    <w:rsid w:val="7D00333D"/>
    <w:rsid w:val="7D0543E8"/>
    <w:rsid w:val="7D191B50"/>
    <w:rsid w:val="7D276B1C"/>
    <w:rsid w:val="7D2D11FF"/>
    <w:rsid w:val="7D3739D6"/>
    <w:rsid w:val="7D426DE3"/>
    <w:rsid w:val="7D640708"/>
    <w:rsid w:val="7D647283"/>
    <w:rsid w:val="7D6F2E6F"/>
    <w:rsid w:val="7D7A79B6"/>
    <w:rsid w:val="7D9930C3"/>
    <w:rsid w:val="7DE1586C"/>
    <w:rsid w:val="7DE20C95"/>
    <w:rsid w:val="7DFA0E8A"/>
    <w:rsid w:val="7E235418"/>
    <w:rsid w:val="7E2E3EDA"/>
    <w:rsid w:val="7E404A2E"/>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9F5966"/>
    <w:rsid w:val="7FDA25B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4"/>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eastAsia="黑体" w:cs="Times New Roman"/>
      <w:b/>
      <w:bCs/>
      <w:kern w:val="0"/>
      <w:sz w:val="32"/>
      <w:szCs w:val="32"/>
    </w:rPr>
  </w:style>
  <w:style w:type="paragraph" w:styleId="5">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4">
    <w:name w:val="toa heading"/>
    <w:basedOn w:val="1"/>
    <w:next w:val="1"/>
    <w:autoRedefine/>
    <w:semiHidden/>
    <w:qFormat/>
    <w:uiPriority w:val="0"/>
    <w:pPr>
      <w:spacing w:before="120"/>
    </w:pPr>
    <w:rPr>
      <w:rFonts w:ascii="Arial" w:hAnsi="Arial" w:cs="Arial"/>
      <w:sz w:val="24"/>
    </w:r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annotation text"/>
    <w:basedOn w:val="1"/>
    <w:autoRedefine/>
    <w:semiHidden/>
    <w:unhideWhenUsed/>
    <w:qFormat/>
    <w:uiPriority w:val="99"/>
    <w:pPr>
      <w:jc w:val="left"/>
    </w:pPr>
  </w:style>
  <w:style w:type="paragraph" w:styleId="10">
    <w:name w:val="Body Text 3"/>
    <w:basedOn w:val="1"/>
    <w:next w:val="1"/>
    <w:link w:val="46"/>
    <w:autoRedefine/>
    <w:qFormat/>
    <w:uiPriority w:val="0"/>
    <w:rPr>
      <w:rFonts w:ascii="Times New Roman" w:hAnsi="Times New Roman" w:eastAsia="宋体" w:cs="Times New Roman"/>
      <w:color w:val="FF0000"/>
      <w:sz w:val="24"/>
      <w:szCs w:val="24"/>
    </w:rPr>
  </w:style>
  <w:style w:type="paragraph" w:styleId="11">
    <w:name w:val="Body Text"/>
    <w:basedOn w:val="1"/>
    <w:next w:val="12"/>
    <w:link w:val="47"/>
    <w:autoRedefine/>
    <w:unhideWhenUsed/>
    <w:qFormat/>
    <w:uiPriority w:val="99"/>
    <w:pPr>
      <w:spacing w:after="120"/>
    </w:pPr>
  </w:style>
  <w:style w:type="paragraph" w:customStyle="1" w:styleId="12">
    <w:name w:val="style4"/>
    <w:basedOn w:val="1"/>
    <w:next w:val="13"/>
    <w:autoRedefine/>
    <w:qFormat/>
    <w:uiPriority w:val="0"/>
    <w:pPr>
      <w:widowControl/>
      <w:spacing w:before="280" w:after="280"/>
    </w:pPr>
    <w:rPr>
      <w:rFonts w:ascii="宋体" w:hAnsi="Times New Roman" w:eastAsia="宋体" w:cs="Times New Roman"/>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66"/>
    <w:autoRedefine/>
    <w:qFormat/>
    <w:uiPriority w:val="0"/>
    <w:pPr>
      <w:adjustRightInd w:val="0"/>
      <w:spacing w:after="120" w:line="360" w:lineRule="atLeast"/>
      <w:ind w:left="420" w:leftChars="200"/>
      <w:jc w:val="left"/>
      <w:textAlignment w:val="baseline"/>
    </w:pPr>
    <w:rPr>
      <w:kern w:val="0"/>
      <w:sz w:val="24"/>
      <w:szCs w:val="20"/>
    </w:rPr>
  </w:style>
  <w:style w:type="paragraph" w:styleId="15">
    <w:name w:val="envelope return"/>
    <w:basedOn w:val="1"/>
    <w:autoRedefine/>
    <w:unhideWhenUsed/>
    <w:qFormat/>
    <w:uiPriority w:val="99"/>
    <w:pPr>
      <w:snapToGrid w:val="0"/>
    </w:pPr>
    <w:rPr>
      <w:rFonts w:ascii="Arial" w:hAnsi="Arial"/>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8"/>
    <w:autoRedefine/>
    <w:qFormat/>
    <w:uiPriority w:val="0"/>
    <w:rPr>
      <w:rFonts w:eastAsia="宋体"/>
      <w:sz w:val="24"/>
    </w:rPr>
  </w:style>
  <w:style w:type="paragraph" w:styleId="19">
    <w:name w:val="Date"/>
    <w:basedOn w:val="1"/>
    <w:next w:val="1"/>
    <w:link w:val="49"/>
    <w:autoRedefine/>
    <w:unhideWhenUsed/>
    <w:qFormat/>
    <w:uiPriority w:val="99"/>
    <w:pPr>
      <w:ind w:left="100" w:leftChars="2500"/>
    </w:pPr>
  </w:style>
  <w:style w:type="paragraph" w:styleId="20">
    <w:name w:val="Balloon Text"/>
    <w:basedOn w:val="1"/>
    <w:link w:val="67"/>
    <w:autoRedefine/>
    <w:semiHidden/>
    <w:unhideWhenUsed/>
    <w:qFormat/>
    <w:uiPriority w:val="99"/>
    <w:rPr>
      <w:sz w:val="18"/>
      <w:szCs w:val="18"/>
    </w:rPr>
  </w:style>
  <w:style w:type="paragraph" w:styleId="21">
    <w:name w:val="footer"/>
    <w:basedOn w:val="1"/>
    <w:next w:val="1"/>
    <w:link w:val="50"/>
    <w:autoRedefine/>
    <w:unhideWhenUsed/>
    <w:qFormat/>
    <w:uiPriority w:val="99"/>
    <w:pPr>
      <w:tabs>
        <w:tab w:val="center" w:pos="4153"/>
        <w:tab w:val="right" w:pos="8306"/>
      </w:tabs>
      <w:snapToGrid w:val="0"/>
      <w:jc w:val="left"/>
    </w:pPr>
    <w:rPr>
      <w:sz w:val="18"/>
      <w:szCs w:val="18"/>
    </w:rPr>
  </w:style>
  <w:style w:type="paragraph" w:styleId="22">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autoRedefine/>
    <w:qFormat/>
    <w:uiPriority w:val="0"/>
    <w:rPr>
      <w:rFonts w:ascii="Calibri" w:hAnsi="Calibri" w:eastAsia="宋体" w:cs="Times New Roman"/>
      <w:sz w:val="24"/>
      <w:szCs w:val="24"/>
    </w:rPr>
  </w:style>
  <w:style w:type="paragraph" w:styleId="26">
    <w:name w:val="Body Text First Indent"/>
    <w:basedOn w:val="11"/>
    <w:next w:val="27"/>
    <w:link w:val="52"/>
    <w:autoRedefine/>
    <w:qFormat/>
    <w:uiPriority w:val="0"/>
    <w:pPr>
      <w:ind w:firstLine="420" w:firstLineChars="100"/>
    </w:pPr>
    <w:rPr>
      <w:rFonts w:ascii="宋体" w:hAnsi="Times New Roman" w:eastAsia="宋体" w:cs="Times New Roman"/>
      <w:kern w:val="0"/>
      <w:sz w:val="34"/>
      <w:szCs w:val="20"/>
    </w:rPr>
  </w:style>
  <w:style w:type="paragraph" w:customStyle="1" w:styleId="27">
    <w:name w:val="List Paragraph1"/>
    <w:basedOn w:val="1"/>
    <w:next w:val="1"/>
    <w:autoRedefine/>
    <w:qFormat/>
    <w:uiPriority w:val="0"/>
    <w:pPr>
      <w:ind w:firstLine="420" w:firstLineChars="200"/>
    </w:pPr>
    <w:rPr>
      <w:rFonts w:ascii="Calibri" w:hAnsi="Calibri" w:cs="宋体"/>
    </w:rPr>
  </w:style>
  <w:style w:type="paragraph" w:styleId="28">
    <w:name w:val="Body Text First Indent 2"/>
    <w:basedOn w:val="14"/>
    <w:next w:val="1"/>
    <w:link w:val="92"/>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FollowedHyperlink"/>
    <w:basedOn w:val="31"/>
    <w:autoRedefine/>
    <w:semiHidden/>
    <w:unhideWhenUsed/>
    <w:qFormat/>
    <w:uiPriority w:val="99"/>
    <w:rPr>
      <w:color w:val="800080" w:themeColor="followedHyperlink"/>
      <w:u w:val="single"/>
    </w:rPr>
  </w:style>
  <w:style w:type="character" w:styleId="35">
    <w:name w:val="Emphasis"/>
    <w:basedOn w:val="31"/>
    <w:autoRedefine/>
    <w:qFormat/>
    <w:uiPriority w:val="20"/>
    <w:rPr>
      <w:i/>
      <w:iCs/>
    </w:rPr>
  </w:style>
  <w:style w:type="character" w:styleId="36">
    <w:name w:val="Hyperlink"/>
    <w:basedOn w:val="31"/>
    <w:autoRedefine/>
    <w:unhideWhenUsed/>
    <w:qFormat/>
    <w:uiPriority w:val="99"/>
    <w:rPr>
      <w:color w:val="0000FF"/>
      <w:u w:val="single"/>
    </w:rPr>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8">
    <w:name w:val="页眉 字符"/>
    <w:basedOn w:val="31"/>
    <w:link w:val="22"/>
    <w:autoRedefine/>
    <w:qFormat/>
    <w:uiPriority w:val="99"/>
    <w:rPr>
      <w:rFonts w:asciiTheme="minorHAnsi" w:hAnsiTheme="minorHAnsi" w:eastAsiaTheme="minorEastAsia" w:cstheme="minorBidi"/>
      <w:kern w:val="2"/>
      <w:sz w:val="18"/>
      <w:szCs w:val="18"/>
    </w:rPr>
  </w:style>
  <w:style w:type="paragraph" w:customStyle="1" w:styleId="39">
    <w:name w:val="首行缩进"/>
    <w:basedOn w:val="1"/>
    <w:autoRedefine/>
    <w:qFormat/>
    <w:uiPriority w:val="0"/>
    <w:rPr>
      <w:rFonts w:ascii="Times New Roman" w:hAnsi="Times New Roman" w:cs="宋体"/>
      <w:kern w:val="0"/>
      <w:szCs w:val="24"/>
      <w:lang w:val="zh-CN"/>
    </w:rPr>
  </w:style>
  <w:style w:type="paragraph" w:customStyle="1" w:styleId="40">
    <w:name w:val="列出段落1"/>
    <w:basedOn w:val="1"/>
    <w:autoRedefine/>
    <w:qFormat/>
    <w:uiPriority w:val="34"/>
    <w:pPr>
      <w:ind w:firstLine="420" w:firstLineChars="200"/>
    </w:pPr>
  </w:style>
  <w:style w:type="paragraph" w:customStyle="1" w:styleId="41">
    <w:name w:val="无间隔1"/>
    <w:basedOn w:val="1"/>
    <w:autoRedefine/>
    <w:qFormat/>
    <w:uiPriority w:val="99"/>
    <w:pPr>
      <w:spacing w:line="400" w:lineRule="exact"/>
    </w:pPr>
    <w:rPr>
      <w:sz w:val="24"/>
    </w:rPr>
  </w:style>
  <w:style w:type="character" w:customStyle="1" w:styleId="42">
    <w:name w:val="标题 1 字符"/>
    <w:basedOn w:val="31"/>
    <w:link w:val="2"/>
    <w:autoRedefine/>
    <w:qFormat/>
    <w:uiPriority w:val="0"/>
    <w:rPr>
      <w:rFonts w:ascii="Calibri" w:hAnsi="Calibri" w:eastAsia="宋体" w:cs="Times New Roman"/>
      <w:b/>
      <w:bCs/>
      <w:kern w:val="44"/>
      <w:sz w:val="44"/>
      <w:szCs w:val="44"/>
    </w:rPr>
  </w:style>
  <w:style w:type="character" w:customStyle="1" w:styleId="43">
    <w:name w:val="标题 2 字符"/>
    <w:basedOn w:val="31"/>
    <w:link w:val="3"/>
    <w:autoRedefine/>
    <w:qFormat/>
    <w:uiPriority w:val="0"/>
    <w:rPr>
      <w:rFonts w:ascii="Arial" w:hAnsi="Arial" w:eastAsia="黑体" w:cs="Times New Roman"/>
      <w:b/>
      <w:bCs/>
      <w:sz w:val="32"/>
      <w:szCs w:val="32"/>
    </w:rPr>
  </w:style>
  <w:style w:type="character" w:customStyle="1" w:styleId="44">
    <w:name w:val="标题 3 字符"/>
    <w:basedOn w:val="31"/>
    <w:link w:val="5"/>
    <w:autoRedefine/>
    <w:qFormat/>
    <w:uiPriority w:val="0"/>
    <w:rPr>
      <w:rFonts w:ascii="宋体" w:hAnsi="宋体" w:eastAsia="宋体" w:cs="Times New Roman"/>
      <w:b/>
      <w:color w:val="000000"/>
      <w:kern w:val="0"/>
      <w:sz w:val="24"/>
      <w:szCs w:val="20"/>
      <w:lang w:val="en-GB"/>
    </w:rPr>
  </w:style>
  <w:style w:type="character" w:customStyle="1" w:styleId="45">
    <w:name w:val="标题 4 字符"/>
    <w:basedOn w:val="31"/>
    <w:link w:val="6"/>
    <w:autoRedefine/>
    <w:qFormat/>
    <w:uiPriority w:val="0"/>
    <w:rPr>
      <w:rFonts w:ascii="Arial" w:hAnsi="Arial" w:eastAsia="黑体" w:cs="Times New Roman"/>
      <w:b/>
      <w:bCs/>
      <w:sz w:val="28"/>
      <w:szCs w:val="28"/>
    </w:rPr>
  </w:style>
  <w:style w:type="character" w:customStyle="1" w:styleId="46">
    <w:name w:val="正文文本 3 字符"/>
    <w:basedOn w:val="31"/>
    <w:link w:val="10"/>
    <w:autoRedefine/>
    <w:qFormat/>
    <w:uiPriority w:val="0"/>
    <w:rPr>
      <w:rFonts w:ascii="Times New Roman" w:hAnsi="Times New Roman" w:eastAsia="宋体" w:cs="Times New Roman"/>
      <w:color w:val="FF0000"/>
      <w:sz w:val="24"/>
      <w:szCs w:val="24"/>
    </w:rPr>
  </w:style>
  <w:style w:type="character" w:customStyle="1" w:styleId="47">
    <w:name w:val="正文文本 字符"/>
    <w:basedOn w:val="31"/>
    <w:link w:val="11"/>
    <w:autoRedefine/>
    <w:qFormat/>
    <w:uiPriority w:val="99"/>
  </w:style>
  <w:style w:type="character" w:customStyle="1" w:styleId="48">
    <w:name w:val="纯文本 字符"/>
    <w:basedOn w:val="31"/>
    <w:link w:val="18"/>
    <w:autoRedefine/>
    <w:qFormat/>
    <w:uiPriority w:val="0"/>
    <w:rPr>
      <w:rFonts w:eastAsia="宋体"/>
      <w:sz w:val="24"/>
    </w:rPr>
  </w:style>
  <w:style w:type="character" w:customStyle="1" w:styleId="49">
    <w:name w:val="日期 字符"/>
    <w:basedOn w:val="31"/>
    <w:link w:val="19"/>
    <w:autoRedefine/>
    <w:qFormat/>
    <w:uiPriority w:val="99"/>
  </w:style>
  <w:style w:type="character" w:customStyle="1" w:styleId="50">
    <w:name w:val="页脚 字符"/>
    <w:basedOn w:val="31"/>
    <w:link w:val="21"/>
    <w:autoRedefine/>
    <w:qFormat/>
    <w:uiPriority w:val="99"/>
    <w:rPr>
      <w:rFonts w:asciiTheme="minorHAnsi" w:hAnsiTheme="minorHAnsi" w:eastAsiaTheme="minorEastAsia" w:cstheme="minorBidi"/>
      <w:kern w:val="2"/>
      <w:sz w:val="18"/>
      <w:szCs w:val="18"/>
    </w:rPr>
  </w:style>
  <w:style w:type="character" w:customStyle="1" w:styleId="51">
    <w:name w:val="HTML 预设格式 字符"/>
    <w:basedOn w:val="31"/>
    <w:link w:val="24"/>
    <w:autoRedefine/>
    <w:semiHidden/>
    <w:qFormat/>
    <w:uiPriority w:val="99"/>
    <w:rPr>
      <w:rFonts w:ascii="宋体" w:hAnsi="宋体" w:eastAsia="宋体" w:cs="宋体"/>
      <w:kern w:val="0"/>
      <w:sz w:val="24"/>
      <w:szCs w:val="24"/>
    </w:rPr>
  </w:style>
  <w:style w:type="character" w:customStyle="1" w:styleId="52">
    <w:name w:val="正文文本首行缩进 字符"/>
    <w:basedOn w:val="47"/>
    <w:link w:val="26"/>
    <w:autoRedefine/>
    <w:qFormat/>
    <w:uiPriority w:val="0"/>
    <w:rPr>
      <w:rFonts w:ascii="宋体" w:hAnsi="Times New Roman" w:eastAsia="宋体" w:cs="Times New Roman"/>
      <w:kern w:val="0"/>
      <w:sz w:val="34"/>
      <w:szCs w:val="20"/>
    </w:rPr>
  </w:style>
  <w:style w:type="character" w:customStyle="1" w:styleId="53">
    <w:name w:val="纯文本 Char1"/>
    <w:autoRedefine/>
    <w:qFormat/>
    <w:uiPriority w:val="0"/>
    <w:rPr>
      <w:rFonts w:eastAsia="宋体"/>
      <w:sz w:val="24"/>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autoRedefine/>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1"/>
    <w:autoRedefine/>
    <w:qFormat/>
    <w:uiPriority w:val="0"/>
  </w:style>
  <w:style w:type="paragraph" w:customStyle="1" w:styleId="63">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缩进 Char"/>
    <w:autoRedefine/>
    <w:qFormat/>
    <w:uiPriority w:val="0"/>
    <w:rPr>
      <w:sz w:val="24"/>
    </w:rPr>
  </w:style>
  <w:style w:type="character" w:customStyle="1" w:styleId="66">
    <w:name w:val="正文文本缩进 字符"/>
    <w:basedOn w:val="31"/>
    <w:link w:val="14"/>
    <w:autoRedefine/>
    <w:semiHidden/>
    <w:qFormat/>
    <w:uiPriority w:val="99"/>
    <w:rPr>
      <w:kern w:val="2"/>
      <w:sz w:val="21"/>
      <w:szCs w:val="22"/>
    </w:rPr>
  </w:style>
  <w:style w:type="character" w:customStyle="1" w:styleId="67">
    <w:name w:val="批注框文本 字符"/>
    <w:basedOn w:val="31"/>
    <w:link w:val="20"/>
    <w:autoRedefine/>
    <w:semiHidden/>
    <w:qFormat/>
    <w:uiPriority w:val="99"/>
    <w:rPr>
      <w:kern w:val="2"/>
      <w:sz w:val="18"/>
      <w:szCs w:val="18"/>
    </w:rPr>
  </w:style>
  <w:style w:type="paragraph" w:customStyle="1" w:styleId="68">
    <w:name w:val="*正文"/>
    <w:basedOn w:val="1"/>
    <w:autoRedefine/>
    <w:qFormat/>
    <w:uiPriority w:val="0"/>
    <w:pPr>
      <w:keepNext/>
      <w:keepLines/>
      <w:spacing w:line="360" w:lineRule="auto"/>
      <w:ind w:firstLine="200" w:firstLineChars="200"/>
    </w:pPr>
    <w:rPr>
      <w:rFonts w:ascii="宋体" w:hAnsi="宋体"/>
    </w:rPr>
  </w:style>
  <w:style w:type="character" w:customStyle="1" w:styleId="69">
    <w:name w:val="样式 标书正文 + 下划线 Char"/>
    <w:autoRedefine/>
    <w:qFormat/>
    <w:uiPriority w:val="0"/>
    <w:rPr>
      <w:rFonts w:eastAsia="Ari"/>
      <w:kern w:val="2"/>
      <w:sz w:val="28"/>
      <w:szCs w:val="28"/>
      <w:u w:val="single"/>
      <w:lang w:val="en-US" w:eastAsia="zh-CN"/>
    </w:rPr>
  </w:style>
  <w:style w:type="paragraph" w:customStyle="1" w:styleId="7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1">
    <w:name w:val="纯文本1"/>
    <w:basedOn w:val="1"/>
    <w:autoRedefine/>
    <w:qFormat/>
    <w:uiPriority w:val="0"/>
    <w:rPr>
      <w:rFonts w:ascii="宋体" w:hAnsi="Courier New"/>
      <w:kern w:val="0"/>
      <w:sz w:val="20"/>
      <w:szCs w:val="21"/>
    </w:rPr>
  </w:style>
  <w:style w:type="paragraph" w:customStyle="1" w:styleId="72">
    <w:name w:val="p0"/>
    <w:basedOn w:val="1"/>
    <w:autoRedefine/>
    <w:qFormat/>
    <w:uiPriority w:val="0"/>
    <w:pPr>
      <w:widowControl/>
    </w:pPr>
    <w:rPr>
      <w:kern w:val="0"/>
    </w:rPr>
  </w:style>
  <w:style w:type="character" w:customStyle="1" w:styleId="73">
    <w:name w:val="font61"/>
    <w:basedOn w:val="31"/>
    <w:autoRedefine/>
    <w:qFormat/>
    <w:uiPriority w:val="0"/>
    <w:rPr>
      <w:rFonts w:hint="eastAsia" w:ascii="宋体" w:hAnsi="宋体" w:eastAsia="宋体" w:cs="宋体"/>
      <w:color w:val="000000"/>
      <w:sz w:val="22"/>
      <w:szCs w:val="22"/>
      <w:u w:val="none"/>
    </w:rPr>
  </w:style>
  <w:style w:type="character" w:customStyle="1" w:styleId="74">
    <w:name w:val="font31"/>
    <w:basedOn w:val="31"/>
    <w:autoRedefine/>
    <w:qFormat/>
    <w:uiPriority w:val="0"/>
    <w:rPr>
      <w:rFonts w:hint="eastAsia" w:ascii="仿宋_GB2312" w:eastAsia="仿宋_GB2312" w:cs="仿宋_GB2312"/>
      <w:color w:val="000000"/>
      <w:sz w:val="22"/>
      <w:szCs w:val="22"/>
      <w:u w:val="none"/>
    </w:rPr>
  </w:style>
  <w:style w:type="character" w:customStyle="1" w:styleId="75">
    <w:name w:val="font21"/>
    <w:basedOn w:val="31"/>
    <w:autoRedefine/>
    <w:qFormat/>
    <w:uiPriority w:val="0"/>
    <w:rPr>
      <w:rFonts w:hint="eastAsia" w:ascii="宋体" w:hAnsi="宋体" w:eastAsia="宋体" w:cs="宋体"/>
      <w:color w:val="000000"/>
      <w:sz w:val="20"/>
      <w:szCs w:val="20"/>
      <w:u w:val="none"/>
    </w:rPr>
  </w:style>
  <w:style w:type="character" w:customStyle="1" w:styleId="76">
    <w:name w:val="font41"/>
    <w:basedOn w:val="31"/>
    <w:autoRedefine/>
    <w:qFormat/>
    <w:uiPriority w:val="0"/>
    <w:rPr>
      <w:rFonts w:hint="eastAsia" w:ascii="仿宋_GB2312" w:eastAsia="仿宋_GB2312" w:cs="仿宋_GB2312"/>
      <w:color w:val="000000"/>
      <w:sz w:val="20"/>
      <w:szCs w:val="20"/>
      <w:u w:val="none"/>
    </w:rPr>
  </w:style>
  <w:style w:type="character" w:customStyle="1" w:styleId="77">
    <w:name w:val="font11"/>
    <w:basedOn w:val="31"/>
    <w:autoRedefine/>
    <w:qFormat/>
    <w:uiPriority w:val="0"/>
    <w:rPr>
      <w:rFonts w:hint="eastAsia" w:ascii="宋体" w:hAnsi="宋体" w:eastAsia="宋体" w:cs="宋体"/>
      <w:i/>
      <w:color w:val="000000"/>
      <w:sz w:val="21"/>
      <w:szCs w:val="21"/>
      <w:u w:val="none"/>
    </w:rPr>
  </w:style>
  <w:style w:type="paragraph" w:styleId="78">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9">
    <w:name w:val="未处理的提及1"/>
    <w:basedOn w:val="31"/>
    <w:autoRedefine/>
    <w:semiHidden/>
    <w:unhideWhenUsed/>
    <w:qFormat/>
    <w:uiPriority w:val="99"/>
    <w:rPr>
      <w:color w:val="605E5C"/>
      <w:shd w:val="clear" w:color="auto" w:fill="E1DFDD"/>
    </w:rPr>
  </w:style>
  <w:style w:type="paragraph" w:customStyle="1" w:styleId="80">
    <w:name w:val="正文首行缩进1"/>
    <w:basedOn w:val="11"/>
    <w:next w:val="81"/>
    <w:autoRedefine/>
    <w:qFormat/>
    <w:uiPriority w:val="0"/>
    <w:pPr>
      <w:ind w:firstLine="420" w:firstLineChars="100"/>
    </w:pPr>
    <w:rPr>
      <w:rFonts w:ascii="宋体" w:hAnsi="Times New Roman" w:eastAsia="宋体" w:cs="Times New Roman"/>
      <w:kern w:val="0"/>
      <w:sz w:val="34"/>
      <w:szCs w:val="20"/>
    </w:rPr>
  </w:style>
  <w:style w:type="paragraph" w:customStyle="1" w:styleId="81">
    <w:name w:val="正文首行缩进 21"/>
    <w:basedOn w:val="82"/>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2">
    <w:name w:val="正文文本缩进2"/>
    <w:basedOn w:val="1"/>
    <w:next w:val="81"/>
    <w:autoRedefine/>
    <w:qFormat/>
    <w:uiPriority w:val="0"/>
    <w:pPr>
      <w:adjustRightInd w:val="0"/>
      <w:spacing w:line="360" w:lineRule="atLeast"/>
      <w:ind w:left="420" w:leftChars="200"/>
      <w:jc w:val="left"/>
      <w:textAlignment w:val="baseline"/>
    </w:pPr>
  </w:style>
  <w:style w:type="paragraph" w:customStyle="1" w:styleId="83">
    <w:name w:val="正文 New"/>
    <w:basedOn w:val="1"/>
    <w:autoRedefine/>
    <w:semiHidden/>
    <w:qFormat/>
    <w:uiPriority w:val="0"/>
    <w:pPr>
      <w:spacing w:line="440" w:lineRule="exact"/>
      <w:ind w:left="357" w:hanging="357"/>
    </w:pPr>
  </w:style>
  <w:style w:type="paragraph" w:customStyle="1" w:styleId="84">
    <w:name w:val="Heading #2|1"/>
    <w:basedOn w:val="1"/>
    <w:autoRedefine/>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5">
    <w:name w:val="Body text|1"/>
    <w:basedOn w:val="1"/>
    <w:autoRedefine/>
    <w:qFormat/>
    <w:uiPriority w:val="0"/>
    <w:pPr>
      <w:spacing w:line="379" w:lineRule="auto"/>
      <w:ind w:firstLine="400"/>
    </w:pPr>
    <w:rPr>
      <w:rFonts w:ascii="宋体" w:hAnsi="宋体" w:eastAsia="宋体" w:cs="宋体"/>
      <w:color w:val="434E5A"/>
      <w:sz w:val="22"/>
      <w:lang w:val="zh-TW" w:eastAsia="zh-TW" w:bidi="zh-TW"/>
    </w:rPr>
  </w:style>
  <w:style w:type="paragraph" w:customStyle="1" w:styleId="86">
    <w:name w:val="Header or footer|1"/>
    <w:basedOn w:val="1"/>
    <w:autoRedefine/>
    <w:qFormat/>
    <w:uiPriority w:val="0"/>
    <w:rPr>
      <w:sz w:val="17"/>
      <w:szCs w:val="17"/>
    </w:rPr>
  </w:style>
  <w:style w:type="paragraph" w:customStyle="1" w:styleId="87">
    <w:name w:val="列表段落1"/>
    <w:basedOn w:val="1"/>
    <w:autoRedefine/>
    <w:qFormat/>
    <w:uiPriority w:val="34"/>
    <w:pPr>
      <w:wordWrap w:val="0"/>
      <w:topLinePunct/>
      <w:ind w:firstLine="420"/>
    </w:pPr>
    <w:rPr>
      <w:rFonts w:ascii="Times New Roman" w:hAnsi="Times New Roman" w:eastAsia="宋体" w:cs="Times New Roman"/>
    </w:rPr>
  </w:style>
  <w:style w:type="table" w:customStyle="1" w:styleId="88">
    <w:name w:val="网格型1"/>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Table Paragraph"/>
    <w:basedOn w:val="1"/>
    <w:autoRedefine/>
    <w:qFormat/>
    <w:uiPriority w:val="1"/>
  </w:style>
  <w:style w:type="paragraph" w:customStyle="1" w:styleId="90">
    <w:name w:val="正文样式"/>
    <w:basedOn w:val="1"/>
    <w:autoRedefine/>
    <w:qFormat/>
    <w:uiPriority w:val="0"/>
    <w:rPr>
      <w:szCs w:val="24"/>
    </w:rPr>
  </w:style>
  <w:style w:type="character" w:customStyle="1" w:styleId="91">
    <w:name w:val="正文文本 (2) + 间距 0 pt"/>
    <w:autoRedefine/>
    <w:qFormat/>
    <w:uiPriority w:val="0"/>
    <w:rPr>
      <w:rFonts w:ascii="MingLiU" w:hAnsi="MingLiU" w:eastAsia="MingLiU"/>
      <w:color w:val="000000"/>
      <w:spacing w:val="10"/>
      <w:w w:val="100"/>
      <w:position w:val="0"/>
      <w:sz w:val="22"/>
      <w:u w:val="none"/>
      <w:shd w:val="clear" w:color="auto" w:fill="FFFFFF"/>
      <w:lang w:val="zh-TW" w:eastAsia="zh-TW"/>
    </w:rPr>
  </w:style>
  <w:style w:type="character" w:customStyle="1" w:styleId="92">
    <w:name w:val="正文文本首行缩进 2 字符"/>
    <w:link w:val="28"/>
    <w:autoRedefine/>
    <w:qFormat/>
    <w:uiPriority w:val="0"/>
    <w:rPr>
      <w:rFonts w:hint="eastAsia" w:ascii="仿宋_GB2312" w:hAnsi="仿宋_GB2312" w:eastAsia="宋体" w:cs="仿宋_GB2312"/>
      <w:sz w:val="24"/>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6710</Words>
  <Characters>38251</Characters>
  <Lines>318</Lines>
  <Paragraphs>89</Paragraphs>
  <TotalTime>37</TotalTime>
  <ScaleCrop>false</ScaleCrop>
  <LinksUpToDate>false</LinksUpToDate>
  <CharactersWithSpaces>44872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河南建标工程管理有限公司:李松岳</cp:lastModifiedBy>
  <cp:lastPrinted>2024-01-24T02:15:00Z</cp:lastPrinted>
  <dcterms:modified xsi:type="dcterms:W3CDTF">2024-04-30T03:39:00Z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0B279E476A7C462491FE7648AC8FB13F</vt:lpwstr>
  </property>
</Properties>
</file>