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bCs/>
          <w:sz w:val="44"/>
          <w:szCs w:val="44"/>
        </w:rPr>
      </w:pPr>
      <w:r>
        <w:rPr>
          <w:rFonts w:hint="eastAsia" w:ascii="宋体" w:hAnsi="宋体" w:cs="宋体"/>
          <w:b/>
          <w:bCs/>
          <w:sz w:val="44"/>
          <w:szCs w:val="44"/>
        </w:rPr>
        <w:t>长葛市动物疫病预防控制中心2024年重大动物疫病试剂及耗材采购清单项目</w:t>
      </w:r>
    </w:p>
    <w:p>
      <w:pPr>
        <w:jc w:val="center"/>
        <w:rPr>
          <w:rFonts w:ascii="宋体" w:hAnsi="宋体" w:cs="宋体"/>
          <w:b/>
          <w:bCs/>
          <w:sz w:val="44"/>
          <w:szCs w:val="44"/>
        </w:rPr>
      </w:pPr>
      <w:r>
        <w:rPr>
          <w:rFonts w:hint="eastAsia" w:ascii="宋体" w:hAnsi="宋体" w:cs="宋体"/>
          <w:b/>
          <w:bCs/>
          <w:sz w:val="44"/>
          <w:szCs w:val="44"/>
        </w:rPr>
        <w:t>（不见面开标）</w:t>
      </w:r>
    </w:p>
    <w:p>
      <w:pPr>
        <w:adjustRightInd w:val="0"/>
        <w:snapToGrid w:val="0"/>
        <w:spacing w:line="276" w:lineRule="auto"/>
        <w:rPr>
          <w:rFonts w:ascii="仿宋" w:hAnsi="仿宋" w:eastAsia="仿宋" w:cs="仿宋"/>
          <w:b/>
          <w:sz w:val="72"/>
          <w:szCs w:val="72"/>
        </w:rPr>
      </w:pPr>
    </w:p>
    <w:p>
      <w:pPr>
        <w:adjustRightInd w:val="0"/>
        <w:snapToGrid w:val="0"/>
        <w:spacing w:line="276" w:lineRule="auto"/>
        <w:jc w:val="center"/>
        <w:rPr>
          <w:rFonts w:ascii="仿宋" w:hAnsi="仿宋" w:eastAsia="仿宋" w:cs="仿宋"/>
          <w:b/>
          <w:sz w:val="72"/>
          <w:szCs w:val="72"/>
        </w:rPr>
      </w:pPr>
    </w:p>
    <w:p>
      <w:pPr>
        <w:adjustRightInd w:val="0"/>
        <w:snapToGrid w:val="0"/>
        <w:spacing w:line="276" w:lineRule="auto"/>
        <w:jc w:val="center"/>
        <w:rPr>
          <w:rFonts w:ascii="仿宋" w:hAnsi="仿宋" w:eastAsia="仿宋" w:cs="仿宋"/>
          <w:b/>
          <w:sz w:val="28"/>
        </w:rPr>
      </w:pPr>
      <w:r>
        <w:rPr>
          <w:rFonts w:hint="eastAsia" w:ascii="仿宋" w:hAnsi="仿宋" w:eastAsia="仿宋" w:cs="仿宋"/>
          <w:b/>
          <w:sz w:val="72"/>
          <w:szCs w:val="72"/>
        </w:rPr>
        <w:t>竞争性磋商文件</w:t>
      </w:r>
    </w:p>
    <w:p>
      <w:pPr>
        <w:adjustRightInd w:val="0"/>
        <w:snapToGrid w:val="0"/>
        <w:spacing w:line="276" w:lineRule="auto"/>
        <w:jc w:val="center"/>
        <w:rPr>
          <w:rFonts w:ascii="仿宋" w:hAnsi="仿宋" w:eastAsia="仿宋" w:cs="仿宋"/>
          <w:b/>
          <w:bCs/>
          <w:sz w:val="30"/>
          <w:szCs w:val="30"/>
        </w:rPr>
      </w:pPr>
    </w:p>
    <w:p>
      <w:pPr>
        <w:adjustRightInd w:val="0"/>
        <w:snapToGrid w:val="0"/>
        <w:spacing w:line="276" w:lineRule="auto"/>
        <w:jc w:val="center"/>
        <w:rPr>
          <w:rFonts w:ascii="仿宋" w:hAnsi="仿宋" w:eastAsia="仿宋" w:cs="仿宋"/>
          <w:b/>
          <w:bCs/>
          <w:sz w:val="30"/>
          <w:szCs w:val="30"/>
        </w:rPr>
      </w:pPr>
    </w:p>
    <w:p>
      <w:pPr>
        <w:adjustRightInd w:val="0"/>
        <w:snapToGrid w:val="0"/>
        <w:spacing w:line="276" w:lineRule="auto"/>
        <w:jc w:val="center"/>
        <w:rPr>
          <w:rFonts w:ascii="宋体" w:hAnsi="宋体" w:cs="宋体"/>
          <w:b/>
          <w:bCs/>
          <w:sz w:val="30"/>
          <w:szCs w:val="30"/>
          <w:highlight w:val="red"/>
        </w:rPr>
      </w:pPr>
      <w:r>
        <w:rPr>
          <w:rFonts w:hint="eastAsia" w:ascii="宋体" w:hAnsi="宋体" w:cs="宋体"/>
          <w:b/>
          <w:bCs/>
          <w:sz w:val="30"/>
          <w:szCs w:val="30"/>
        </w:rPr>
        <w:t>项目编号：长招采磋商【2024】006号</w:t>
      </w: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b/>
          <w:bCs/>
          <w:sz w:val="36"/>
          <w:szCs w:val="36"/>
        </w:rPr>
      </w:pPr>
    </w:p>
    <w:p>
      <w:pPr>
        <w:autoSpaceDE w:val="0"/>
        <w:autoSpaceDN w:val="0"/>
        <w:adjustRightInd w:val="0"/>
        <w:spacing w:line="700" w:lineRule="exact"/>
        <w:ind w:firstLine="1285" w:firstLineChars="400"/>
        <w:rPr>
          <w:rFonts w:ascii="宋体" w:hAnsi="宋体" w:cs="仿宋"/>
          <w:b/>
          <w:bCs/>
          <w:sz w:val="32"/>
          <w:szCs w:val="36"/>
        </w:rPr>
      </w:pPr>
      <w:r>
        <w:rPr>
          <w:rFonts w:hint="eastAsia" w:ascii="宋体" w:hAnsi="宋体" w:cs="仿宋"/>
          <w:b/>
          <w:bCs/>
          <w:sz w:val="32"/>
          <w:szCs w:val="36"/>
        </w:rPr>
        <w:t>采购单位：长葛市动物疫病预防控制中心</w:t>
      </w:r>
    </w:p>
    <w:p>
      <w:pPr>
        <w:autoSpaceDE w:val="0"/>
        <w:autoSpaceDN w:val="0"/>
        <w:adjustRightInd w:val="0"/>
        <w:spacing w:line="700" w:lineRule="exact"/>
        <w:ind w:firstLine="1590" w:firstLineChars="495"/>
        <w:rPr>
          <w:rFonts w:ascii="宋体" w:hAnsi="宋体" w:cs="仿宋"/>
          <w:b/>
          <w:bCs/>
          <w:sz w:val="32"/>
          <w:szCs w:val="36"/>
        </w:rPr>
      </w:pPr>
    </w:p>
    <w:p>
      <w:pPr>
        <w:autoSpaceDE w:val="0"/>
        <w:autoSpaceDN w:val="0"/>
        <w:adjustRightInd w:val="0"/>
        <w:spacing w:line="700" w:lineRule="exact"/>
        <w:jc w:val="center"/>
        <w:rPr>
          <w:rFonts w:ascii="宋体" w:hAnsi="宋体" w:cs="仿宋"/>
          <w:b/>
          <w:bCs/>
          <w:sz w:val="32"/>
          <w:szCs w:val="36"/>
        </w:rPr>
      </w:pPr>
      <w:r>
        <w:rPr>
          <w:rFonts w:hint="eastAsia" w:ascii="宋体" w:hAnsi="宋体" w:cs="仿宋"/>
          <w:b/>
          <w:bCs/>
          <w:sz w:val="32"/>
          <w:szCs w:val="36"/>
        </w:rPr>
        <w:t xml:space="preserve">  集采机构：长葛市公共资源交易中心</w:t>
      </w:r>
    </w:p>
    <w:p>
      <w:pPr>
        <w:autoSpaceDE w:val="0"/>
        <w:autoSpaceDN w:val="0"/>
        <w:adjustRightInd w:val="0"/>
        <w:spacing w:line="700" w:lineRule="exact"/>
        <w:ind w:firstLine="1590" w:firstLineChars="495"/>
        <w:rPr>
          <w:rFonts w:ascii="宋体" w:hAnsi="宋体" w:cs="仿宋"/>
          <w:b/>
          <w:bCs/>
          <w:sz w:val="32"/>
          <w:szCs w:val="36"/>
        </w:rPr>
      </w:pPr>
    </w:p>
    <w:p>
      <w:pPr>
        <w:autoSpaceDE w:val="0"/>
        <w:autoSpaceDN w:val="0"/>
        <w:adjustRightInd w:val="0"/>
        <w:spacing w:line="700" w:lineRule="exact"/>
        <w:jc w:val="center"/>
        <w:rPr>
          <w:rFonts w:ascii="宋体" w:hAnsi="宋体" w:cs="仿宋"/>
          <w:b/>
          <w:bCs/>
          <w:sz w:val="32"/>
          <w:szCs w:val="36"/>
        </w:rPr>
      </w:pPr>
      <w:r>
        <w:rPr>
          <w:rFonts w:hint="eastAsia" w:ascii="宋体" w:hAnsi="宋体" w:cs="仿宋"/>
          <w:b/>
          <w:bCs/>
          <w:sz w:val="32"/>
          <w:szCs w:val="36"/>
        </w:rPr>
        <w:t>日   期：二〇二四年五月</w:t>
      </w:r>
    </w:p>
    <w:p>
      <w:pPr>
        <w:widowControl/>
        <w:jc w:val="left"/>
        <w:rPr>
          <w:rFonts w:ascii="宋体" w:hAnsi="宋体"/>
          <w:b/>
          <w:bCs/>
          <w:spacing w:val="-17"/>
          <w:sz w:val="48"/>
          <w:szCs w:val="48"/>
        </w:rPr>
      </w:pPr>
    </w:p>
    <w:p>
      <w:pPr>
        <w:widowControl/>
        <w:jc w:val="left"/>
        <w:rPr>
          <w:rFonts w:ascii="宋体" w:hAnsi="宋体"/>
          <w:b/>
          <w:bCs/>
          <w:sz w:val="44"/>
          <w:szCs w:val="44"/>
        </w:rPr>
      </w:pPr>
      <w:r>
        <w:rPr>
          <w:rFonts w:ascii="宋体" w:hAnsi="宋体"/>
          <w:b/>
          <w:bCs/>
          <w:sz w:val="44"/>
          <w:szCs w:val="44"/>
        </w:rPr>
        <w:br w:type="page"/>
      </w:r>
    </w:p>
    <w:p>
      <w:pPr>
        <w:autoSpaceDE w:val="0"/>
        <w:autoSpaceDN w:val="0"/>
        <w:adjustRightInd w:val="0"/>
        <w:spacing w:line="700" w:lineRule="exact"/>
        <w:jc w:val="center"/>
        <w:rPr>
          <w:rFonts w:ascii="宋体" w:hAnsi="宋体"/>
          <w:b/>
          <w:bCs/>
          <w:sz w:val="44"/>
          <w:szCs w:val="44"/>
        </w:rPr>
      </w:pPr>
      <w:r>
        <w:rPr>
          <w:rFonts w:hint="eastAsia" w:ascii="宋体" w:hAnsi="宋体"/>
          <w:b/>
          <w:bCs/>
          <w:sz w:val="44"/>
          <w:szCs w:val="44"/>
        </w:rPr>
        <w:t>目    录</w:t>
      </w:r>
    </w:p>
    <w:p>
      <w:pPr>
        <w:spacing w:line="291" w:lineRule="auto"/>
        <w:rPr>
          <w:rFonts w:ascii="Arial"/>
        </w:rPr>
      </w:pPr>
    </w:p>
    <w:p>
      <w:pPr>
        <w:spacing w:line="360" w:lineRule="auto"/>
        <w:ind w:firstLine="596" w:firstLineChars="200"/>
        <w:contextualSpacing/>
        <w:jc w:val="left"/>
        <w:rPr>
          <w:rFonts w:ascii="宋体" w:hAnsi="宋体" w:cs="宋体"/>
          <w:sz w:val="28"/>
          <w:szCs w:val="32"/>
        </w:rPr>
      </w:pPr>
      <w:r>
        <w:rPr>
          <w:rFonts w:ascii="宋体" w:hAnsi="宋体" w:cs="宋体"/>
          <w:spacing w:val="9"/>
          <w:position w:val="29"/>
          <w:sz w:val="28"/>
          <w:szCs w:val="32"/>
        </w:rPr>
        <w:t>第一章磋商邀</w:t>
      </w:r>
      <w:r>
        <w:rPr>
          <w:rFonts w:ascii="宋体" w:hAnsi="宋体" w:cs="宋体"/>
          <w:spacing w:val="8"/>
          <w:position w:val="29"/>
          <w:sz w:val="28"/>
          <w:szCs w:val="32"/>
        </w:rPr>
        <w:t>请</w:t>
      </w:r>
    </w:p>
    <w:p>
      <w:pPr>
        <w:spacing w:line="360" w:lineRule="auto"/>
        <w:ind w:firstLine="596" w:firstLineChars="200"/>
        <w:contextualSpacing/>
        <w:jc w:val="left"/>
        <w:rPr>
          <w:rFonts w:ascii="宋体" w:hAnsi="宋体" w:cs="宋体"/>
          <w:sz w:val="28"/>
          <w:szCs w:val="32"/>
        </w:rPr>
      </w:pPr>
      <w:r>
        <w:rPr>
          <w:rFonts w:ascii="宋体" w:hAnsi="宋体" w:cs="宋体"/>
          <w:spacing w:val="9"/>
          <w:sz w:val="28"/>
          <w:szCs w:val="32"/>
        </w:rPr>
        <w:t>第二章采购需</w:t>
      </w:r>
      <w:r>
        <w:rPr>
          <w:rFonts w:ascii="宋体" w:hAnsi="宋体" w:cs="宋体"/>
          <w:spacing w:val="8"/>
          <w:sz w:val="28"/>
          <w:szCs w:val="32"/>
        </w:rPr>
        <w:t>求</w:t>
      </w:r>
    </w:p>
    <w:p>
      <w:pPr>
        <w:spacing w:line="360" w:lineRule="auto"/>
        <w:ind w:firstLine="616" w:firstLineChars="200"/>
        <w:contextualSpacing/>
        <w:jc w:val="left"/>
        <w:rPr>
          <w:rFonts w:ascii="宋体" w:hAnsi="宋体" w:cs="宋体"/>
          <w:sz w:val="28"/>
          <w:szCs w:val="32"/>
        </w:rPr>
      </w:pPr>
      <w:r>
        <w:rPr>
          <w:rFonts w:ascii="宋体" w:hAnsi="宋体" w:cs="宋体"/>
          <w:spacing w:val="14"/>
          <w:position w:val="29"/>
          <w:sz w:val="28"/>
          <w:szCs w:val="32"/>
        </w:rPr>
        <w:t>第</w:t>
      </w:r>
      <w:r>
        <w:rPr>
          <w:rFonts w:ascii="宋体" w:hAnsi="宋体" w:cs="宋体"/>
          <w:spacing w:val="9"/>
          <w:position w:val="29"/>
          <w:sz w:val="28"/>
          <w:szCs w:val="32"/>
        </w:rPr>
        <w:t>三章供应商须知前附表</w:t>
      </w:r>
    </w:p>
    <w:p>
      <w:pPr>
        <w:spacing w:line="360" w:lineRule="auto"/>
        <w:ind w:firstLine="616" w:firstLineChars="200"/>
        <w:contextualSpacing/>
        <w:jc w:val="left"/>
        <w:rPr>
          <w:rFonts w:ascii="宋体" w:hAnsi="宋体" w:cs="宋体"/>
          <w:sz w:val="28"/>
          <w:szCs w:val="32"/>
        </w:rPr>
      </w:pPr>
      <w:r>
        <w:rPr>
          <w:rFonts w:ascii="宋体" w:hAnsi="宋体" w:cs="宋体"/>
          <w:spacing w:val="14"/>
          <w:sz w:val="28"/>
          <w:szCs w:val="32"/>
        </w:rPr>
        <w:t>第</w:t>
      </w:r>
      <w:r>
        <w:rPr>
          <w:rFonts w:ascii="宋体" w:hAnsi="宋体" w:cs="宋体"/>
          <w:spacing w:val="8"/>
          <w:sz w:val="28"/>
          <w:szCs w:val="32"/>
        </w:rPr>
        <w:t>四章供应商须知</w:t>
      </w:r>
    </w:p>
    <w:p>
      <w:pPr>
        <w:spacing w:line="360" w:lineRule="auto"/>
        <w:ind w:firstLine="592" w:firstLineChars="200"/>
        <w:contextualSpacing/>
        <w:jc w:val="left"/>
        <w:rPr>
          <w:rFonts w:ascii="宋体" w:hAnsi="宋体" w:cs="宋体"/>
          <w:spacing w:val="8"/>
          <w:position w:val="2"/>
          <w:sz w:val="28"/>
          <w:szCs w:val="32"/>
        </w:rPr>
      </w:pPr>
      <w:r>
        <w:rPr>
          <w:rFonts w:ascii="宋体" w:hAnsi="宋体" w:cs="宋体"/>
          <w:spacing w:val="8"/>
          <w:position w:val="2"/>
          <w:sz w:val="28"/>
          <w:szCs w:val="32"/>
        </w:rPr>
        <w:t>一、概念释义</w:t>
      </w:r>
    </w:p>
    <w:p>
      <w:pPr>
        <w:spacing w:line="360" w:lineRule="auto"/>
        <w:ind w:firstLine="592" w:firstLineChars="200"/>
        <w:contextualSpacing/>
        <w:jc w:val="left"/>
        <w:rPr>
          <w:rFonts w:ascii="宋体" w:hAnsi="宋体" w:cs="宋体"/>
          <w:spacing w:val="8"/>
          <w:position w:val="2"/>
          <w:sz w:val="28"/>
          <w:szCs w:val="32"/>
        </w:rPr>
      </w:pPr>
      <w:r>
        <w:rPr>
          <w:rFonts w:ascii="宋体" w:hAnsi="宋体" w:cs="宋体"/>
          <w:spacing w:val="8"/>
          <w:position w:val="2"/>
          <w:sz w:val="28"/>
          <w:szCs w:val="32"/>
        </w:rPr>
        <w:t>二、磋商文件说明</w:t>
      </w:r>
    </w:p>
    <w:p>
      <w:pPr>
        <w:spacing w:line="360" w:lineRule="auto"/>
        <w:ind w:firstLine="592" w:firstLineChars="200"/>
        <w:contextualSpacing/>
        <w:jc w:val="left"/>
        <w:rPr>
          <w:rFonts w:ascii="宋体" w:hAnsi="宋体" w:cs="宋体"/>
          <w:spacing w:val="8"/>
          <w:position w:val="2"/>
          <w:sz w:val="28"/>
          <w:szCs w:val="32"/>
        </w:rPr>
      </w:pPr>
      <w:r>
        <w:rPr>
          <w:rFonts w:ascii="宋体" w:hAnsi="宋体" w:cs="宋体"/>
          <w:spacing w:val="8"/>
          <w:position w:val="2"/>
          <w:sz w:val="28"/>
          <w:szCs w:val="32"/>
        </w:rPr>
        <w:t>三、响应文件的编制</w:t>
      </w:r>
    </w:p>
    <w:p>
      <w:pPr>
        <w:spacing w:line="360" w:lineRule="auto"/>
        <w:ind w:firstLine="592" w:firstLineChars="200"/>
        <w:contextualSpacing/>
        <w:jc w:val="left"/>
        <w:rPr>
          <w:rFonts w:ascii="宋体" w:hAnsi="宋体" w:cs="宋体"/>
          <w:spacing w:val="8"/>
          <w:position w:val="2"/>
          <w:sz w:val="28"/>
          <w:szCs w:val="32"/>
        </w:rPr>
      </w:pPr>
      <w:r>
        <w:rPr>
          <w:rFonts w:ascii="宋体" w:hAnsi="宋体" w:cs="宋体"/>
          <w:spacing w:val="8"/>
          <w:position w:val="2"/>
          <w:sz w:val="28"/>
          <w:szCs w:val="32"/>
        </w:rPr>
        <w:t>四、响应文件的递交</w:t>
      </w:r>
    </w:p>
    <w:p>
      <w:pPr>
        <w:spacing w:line="360" w:lineRule="auto"/>
        <w:ind w:firstLine="592" w:firstLineChars="200"/>
        <w:contextualSpacing/>
        <w:jc w:val="left"/>
        <w:rPr>
          <w:rFonts w:ascii="宋体" w:hAnsi="宋体" w:cs="宋体"/>
          <w:spacing w:val="8"/>
          <w:position w:val="2"/>
          <w:sz w:val="28"/>
          <w:szCs w:val="32"/>
        </w:rPr>
      </w:pPr>
      <w:r>
        <w:rPr>
          <w:rFonts w:ascii="宋体" w:hAnsi="宋体" w:cs="宋体"/>
          <w:spacing w:val="8"/>
          <w:position w:val="2"/>
          <w:sz w:val="28"/>
          <w:szCs w:val="32"/>
        </w:rPr>
        <w:t>五、磋商和评审</w:t>
      </w:r>
    </w:p>
    <w:p>
      <w:pPr>
        <w:spacing w:line="360" w:lineRule="auto"/>
        <w:ind w:firstLine="592" w:firstLineChars="200"/>
        <w:contextualSpacing/>
        <w:jc w:val="left"/>
        <w:rPr>
          <w:rFonts w:ascii="宋体" w:hAnsi="宋体" w:cs="宋体"/>
          <w:spacing w:val="8"/>
          <w:position w:val="2"/>
          <w:sz w:val="28"/>
          <w:szCs w:val="32"/>
        </w:rPr>
      </w:pPr>
      <w:r>
        <w:rPr>
          <w:rFonts w:ascii="宋体" w:hAnsi="宋体" w:cs="宋体"/>
          <w:spacing w:val="8"/>
          <w:position w:val="2"/>
          <w:sz w:val="28"/>
          <w:szCs w:val="32"/>
        </w:rPr>
        <w:t>六、确认成交供应商和授予合同</w:t>
      </w:r>
    </w:p>
    <w:p>
      <w:pPr>
        <w:spacing w:line="360" w:lineRule="auto"/>
        <w:ind w:firstLine="624" w:firstLineChars="200"/>
        <w:contextualSpacing/>
        <w:jc w:val="left"/>
        <w:rPr>
          <w:rFonts w:ascii="宋体" w:hAnsi="宋体" w:cs="宋体"/>
          <w:sz w:val="28"/>
          <w:szCs w:val="32"/>
        </w:rPr>
      </w:pPr>
      <w:r>
        <w:rPr>
          <w:rFonts w:ascii="宋体" w:hAnsi="宋体" w:cs="宋体"/>
          <w:spacing w:val="16"/>
          <w:sz w:val="28"/>
          <w:szCs w:val="32"/>
        </w:rPr>
        <w:t>第</w:t>
      </w:r>
      <w:r>
        <w:rPr>
          <w:rFonts w:ascii="宋体" w:hAnsi="宋体" w:cs="宋体"/>
          <w:spacing w:val="9"/>
          <w:sz w:val="28"/>
          <w:szCs w:val="32"/>
        </w:rPr>
        <w:t>五章政府采购政策功能</w:t>
      </w:r>
    </w:p>
    <w:p>
      <w:pPr>
        <w:spacing w:line="360" w:lineRule="auto"/>
        <w:ind w:firstLine="600" w:firstLineChars="200"/>
        <w:contextualSpacing/>
        <w:jc w:val="left"/>
        <w:rPr>
          <w:rFonts w:ascii="宋体" w:hAnsi="宋体" w:cs="宋体"/>
          <w:sz w:val="28"/>
          <w:szCs w:val="32"/>
        </w:rPr>
      </w:pPr>
      <w:r>
        <w:rPr>
          <w:rFonts w:ascii="宋体" w:hAnsi="宋体" w:cs="宋体"/>
          <w:spacing w:val="10"/>
          <w:sz w:val="28"/>
          <w:szCs w:val="32"/>
        </w:rPr>
        <w:t>第六章对响应文件审查与评</w:t>
      </w:r>
      <w:r>
        <w:rPr>
          <w:rFonts w:ascii="宋体" w:hAnsi="宋体" w:cs="宋体"/>
          <w:spacing w:val="9"/>
          <w:sz w:val="28"/>
          <w:szCs w:val="32"/>
        </w:rPr>
        <w:t>审</w:t>
      </w:r>
    </w:p>
    <w:p>
      <w:pPr>
        <w:spacing w:line="360" w:lineRule="auto"/>
        <w:ind w:firstLine="624" w:firstLineChars="200"/>
        <w:contextualSpacing/>
        <w:jc w:val="left"/>
        <w:rPr>
          <w:rFonts w:ascii="宋体" w:hAnsi="宋体" w:cs="宋体"/>
          <w:sz w:val="28"/>
          <w:szCs w:val="32"/>
        </w:rPr>
      </w:pPr>
      <w:r>
        <w:rPr>
          <w:rFonts w:ascii="宋体" w:hAnsi="宋体" w:cs="宋体"/>
          <w:spacing w:val="16"/>
          <w:sz w:val="28"/>
          <w:szCs w:val="32"/>
        </w:rPr>
        <w:t>第</w:t>
      </w:r>
      <w:r>
        <w:rPr>
          <w:rFonts w:ascii="宋体" w:hAnsi="宋体" w:cs="宋体"/>
          <w:spacing w:val="9"/>
          <w:sz w:val="28"/>
          <w:szCs w:val="32"/>
        </w:rPr>
        <w:t>七章拟签订的合同文本</w:t>
      </w:r>
    </w:p>
    <w:p>
      <w:pPr>
        <w:spacing w:line="360" w:lineRule="auto"/>
        <w:ind w:firstLine="624" w:firstLineChars="200"/>
        <w:contextualSpacing/>
        <w:jc w:val="left"/>
        <w:rPr>
          <w:rFonts w:ascii="宋体" w:hAnsi="宋体" w:cs="宋体"/>
          <w:spacing w:val="9"/>
          <w:sz w:val="28"/>
          <w:szCs w:val="32"/>
        </w:rPr>
      </w:pPr>
      <w:r>
        <w:rPr>
          <w:rFonts w:ascii="宋体" w:hAnsi="宋体" w:cs="宋体"/>
          <w:spacing w:val="16"/>
          <w:sz w:val="28"/>
          <w:szCs w:val="32"/>
        </w:rPr>
        <w:t>第</w:t>
      </w:r>
      <w:r>
        <w:rPr>
          <w:rFonts w:ascii="宋体" w:hAnsi="宋体" w:cs="宋体"/>
          <w:spacing w:val="9"/>
          <w:sz w:val="28"/>
          <w:szCs w:val="32"/>
        </w:rPr>
        <w:t>八章响应文件有关格式</w:t>
      </w:r>
    </w:p>
    <w:p>
      <w:pPr>
        <w:spacing w:line="360" w:lineRule="auto"/>
        <w:ind w:firstLine="596" w:firstLineChars="200"/>
        <w:contextualSpacing/>
        <w:jc w:val="left"/>
        <w:rPr>
          <w:sz w:val="28"/>
          <w:szCs w:val="32"/>
        </w:rPr>
      </w:pPr>
      <w:r>
        <w:rPr>
          <w:rFonts w:ascii="宋体" w:hAnsi="宋体" w:cs="宋体"/>
          <w:spacing w:val="9"/>
          <w:sz w:val="28"/>
          <w:szCs w:val="32"/>
        </w:rPr>
        <w:br w:type="page"/>
      </w:r>
    </w:p>
    <w:p>
      <w:pPr>
        <w:numPr>
          <w:ilvl w:val="0"/>
          <w:numId w:val="1"/>
        </w:numPr>
        <w:jc w:val="center"/>
        <w:rPr>
          <w:rFonts w:ascii="宋体" w:hAnsi="宋体"/>
          <w:b/>
          <w:kern w:val="0"/>
          <w:sz w:val="32"/>
          <w:szCs w:val="32"/>
        </w:rPr>
      </w:pPr>
      <w:r>
        <w:rPr>
          <w:rFonts w:hint="eastAsia" w:ascii="宋体" w:hAnsi="宋体"/>
          <w:b/>
          <w:kern w:val="0"/>
          <w:sz w:val="32"/>
          <w:szCs w:val="32"/>
        </w:rPr>
        <w:t>磋商邀请</w:t>
      </w:r>
    </w:p>
    <w:p>
      <w:pPr>
        <w:pStyle w:val="37"/>
        <w:spacing w:line="360" w:lineRule="auto"/>
        <w:ind w:right="210" w:rightChars="100" w:firstLine="0" w:firstLineChars="0"/>
        <w:contextualSpacing/>
        <w:jc w:val="center"/>
        <w:rPr>
          <w:rFonts w:ascii="宋体" w:hAnsi="宋体" w:eastAsia="宋体" w:cs="宋体"/>
          <w:b/>
          <w:bCs/>
          <w:kern w:val="0"/>
          <w:sz w:val="32"/>
          <w:szCs w:val="32"/>
        </w:rPr>
      </w:pPr>
      <w:bookmarkStart w:id="0" w:name="OLE_LINK19"/>
      <w:bookmarkStart w:id="1" w:name="OLE_LINK20"/>
      <w:r>
        <w:rPr>
          <w:rFonts w:hint="eastAsia" w:ascii="宋体" w:hAnsi="宋体" w:eastAsia="宋体" w:cs="宋体"/>
          <w:b/>
          <w:bCs/>
          <w:kern w:val="0"/>
          <w:sz w:val="32"/>
          <w:szCs w:val="32"/>
        </w:rPr>
        <w:t>长葛市动物疫病预防控制中心2024年</w:t>
      </w:r>
    </w:p>
    <w:p>
      <w:pPr>
        <w:pStyle w:val="37"/>
        <w:spacing w:line="360" w:lineRule="auto"/>
        <w:ind w:right="210" w:rightChars="100" w:firstLine="0" w:firstLineChars="0"/>
        <w:contextualSpacing/>
        <w:jc w:val="center"/>
        <w:rPr>
          <w:rFonts w:ascii="宋体" w:hAnsi="宋体" w:eastAsia="宋体" w:cs="宋体"/>
          <w:b/>
          <w:bCs/>
          <w:kern w:val="0"/>
          <w:sz w:val="32"/>
          <w:szCs w:val="32"/>
        </w:rPr>
      </w:pPr>
      <w:r>
        <w:rPr>
          <w:rFonts w:hint="eastAsia" w:ascii="宋体" w:hAnsi="宋体" w:eastAsia="宋体" w:cs="宋体"/>
          <w:b/>
          <w:bCs/>
          <w:kern w:val="0"/>
          <w:sz w:val="32"/>
          <w:szCs w:val="32"/>
        </w:rPr>
        <w:t>重大动物疫病试剂及耗材采购清单项目（不见面开标）</w:t>
      </w:r>
    </w:p>
    <w:p>
      <w:pPr>
        <w:pStyle w:val="37"/>
        <w:spacing w:line="360" w:lineRule="auto"/>
        <w:ind w:right="210" w:rightChars="100" w:firstLine="0" w:firstLineChars="0"/>
        <w:contextualSpacing/>
        <w:jc w:val="center"/>
        <w:rPr>
          <w:rFonts w:ascii="宋体" w:hAnsi="宋体" w:eastAsia="宋体"/>
          <w:bCs/>
          <w:kern w:val="0"/>
          <w:sz w:val="24"/>
          <w:szCs w:val="24"/>
        </w:rPr>
      </w:pPr>
      <w:r>
        <w:rPr>
          <w:rFonts w:hint="eastAsia" w:ascii="宋体" w:hAnsi="宋体" w:eastAsia="宋体" w:cs="宋体"/>
          <w:b/>
          <w:bCs/>
          <w:kern w:val="0"/>
          <w:sz w:val="32"/>
          <w:szCs w:val="32"/>
        </w:rPr>
        <w:t>采购公告</w:t>
      </w:r>
    </w:p>
    <w:p>
      <w:pPr>
        <w:spacing w:line="360" w:lineRule="auto"/>
        <w:ind w:right="210" w:rightChars="100" w:firstLine="480" w:firstLineChars="200"/>
        <w:contextualSpacing/>
        <w:jc w:val="left"/>
        <w:rPr>
          <w:rFonts w:ascii="宋体" w:hAnsi="宋体" w:eastAsia="宋体"/>
          <w:b/>
          <w:bCs/>
          <w:kern w:val="0"/>
          <w:sz w:val="24"/>
          <w:szCs w:val="24"/>
        </w:rPr>
      </w:pPr>
      <w:r>
        <w:rPr>
          <w:rFonts w:hint="eastAsia" w:ascii="宋体" w:hAnsi="宋体" w:eastAsia="宋体"/>
          <w:bCs/>
          <w:kern w:val="0"/>
          <w:sz w:val="24"/>
          <w:szCs w:val="24"/>
        </w:rPr>
        <w:t>长葛市公共资源交易中心受长葛市动物疫病预防控制中心的委托，对“长葛市动物疫病预防控制中心2024年重大动物疫病试剂及耗材采购清单项目”进行竞争性磋商，欢迎合格的供应商参加磋商。</w:t>
      </w:r>
    </w:p>
    <w:p>
      <w:pPr>
        <w:spacing w:line="360" w:lineRule="auto"/>
        <w:ind w:right="210" w:rightChars="100" w:firstLine="482" w:firstLineChars="200"/>
        <w:contextualSpacing/>
        <w:jc w:val="left"/>
        <w:rPr>
          <w:rFonts w:ascii="宋体" w:hAnsi="宋体" w:eastAsia="宋体"/>
          <w:b/>
          <w:kern w:val="0"/>
          <w:sz w:val="24"/>
          <w:szCs w:val="24"/>
        </w:rPr>
      </w:pPr>
      <w:r>
        <w:rPr>
          <w:rFonts w:hint="eastAsia" w:ascii="宋体" w:hAnsi="宋体" w:eastAsia="宋体"/>
          <w:b/>
          <w:kern w:val="0"/>
          <w:sz w:val="24"/>
          <w:szCs w:val="24"/>
        </w:rPr>
        <w:t xml:space="preserve">一、项目基本情况 </w:t>
      </w:r>
    </w:p>
    <w:p>
      <w:pPr>
        <w:spacing w:line="360" w:lineRule="auto"/>
        <w:ind w:right="210" w:rightChars="100" w:firstLine="480" w:firstLineChars="200"/>
        <w:contextualSpacing/>
        <w:jc w:val="left"/>
        <w:rPr>
          <w:rFonts w:ascii="宋体" w:hAnsi="宋体" w:eastAsia="宋体"/>
          <w:bCs/>
          <w:kern w:val="0"/>
          <w:sz w:val="24"/>
          <w:szCs w:val="24"/>
        </w:rPr>
      </w:pPr>
      <w:r>
        <w:rPr>
          <w:rFonts w:hint="eastAsia" w:ascii="宋体" w:hAnsi="宋体" w:eastAsia="宋体"/>
          <w:bCs/>
          <w:kern w:val="0"/>
          <w:sz w:val="24"/>
          <w:szCs w:val="24"/>
        </w:rPr>
        <w:t>1.1项目名称：长葛市动物疫病预防控制中心2024年重大动物疫病试剂及耗材采购清单项目（不见面开标）</w:t>
      </w:r>
    </w:p>
    <w:p>
      <w:pPr>
        <w:spacing w:line="360" w:lineRule="auto"/>
        <w:ind w:right="210" w:rightChars="100" w:firstLine="480" w:firstLineChars="200"/>
        <w:contextualSpacing/>
        <w:jc w:val="left"/>
        <w:rPr>
          <w:rFonts w:ascii="宋体" w:hAnsi="宋体" w:eastAsia="宋体"/>
          <w:bCs/>
          <w:kern w:val="0"/>
          <w:sz w:val="24"/>
          <w:szCs w:val="24"/>
        </w:rPr>
      </w:pPr>
      <w:r>
        <w:rPr>
          <w:rFonts w:hint="eastAsia" w:ascii="宋体" w:hAnsi="宋体" w:eastAsia="宋体"/>
          <w:bCs/>
          <w:kern w:val="0"/>
          <w:sz w:val="24"/>
          <w:szCs w:val="24"/>
        </w:rPr>
        <w:t>1.2项目编号：长招采磋商【2024】006号</w:t>
      </w:r>
    </w:p>
    <w:p>
      <w:pPr>
        <w:spacing w:line="360" w:lineRule="auto"/>
        <w:ind w:right="210" w:rightChars="100" w:firstLine="480" w:firstLineChars="200"/>
        <w:contextualSpacing/>
        <w:jc w:val="left"/>
        <w:rPr>
          <w:rFonts w:ascii="宋体" w:hAnsi="宋体" w:eastAsia="宋体"/>
          <w:bCs/>
          <w:kern w:val="0"/>
          <w:sz w:val="24"/>
          <w:szCs w:val="24"/>
        </w:rPr>
      </w:pPr>
      <w:r>
        <w:rPr>
          <w:rFonts w:hint="eastAsia" w:ascii="宋体" w:hAnsi="宋体" w:eastAsia="宋体"/>
          <w:bCs/>
          <w:kern w:val="0"/>
          <w:sz w:val="24"/>
          <w:szCs w:val="24"/>
        </w:rPr>
        <w:t>1.3采购方式：竞争性磋商</w:t>
      </w:r>
    </w:p>
    <w:p>
      <w:pPr>
        <w:spacing w:line="360" w:lineRule="auto"/>
        <w:ind w:right="210" w:rightChars="100" w:firstLine="480" w:firstLineChars="200"/>
        <w:contextualSpacing/>
        <w:jc w:val="left"/>
        <w:rPr>
          <w:rFonts w:ascii="宋体" w:hAnsi="宋体" w:eastAsia="宋体"/>
          <w:bCs/>
          <w:kern w:val="0"/>
          <w:sz w:val="24"/>
          <w:szCs w:val="24"/>
        </w:rPr>
      </w:pPr>
      <w:r>
        <w:rPr>
          <w:rFonts w:hint="eastAsia" w:ascii="宋体" w:hAnsi="宋体" w:eastAsia="宋体"/>
          <w:bCs/>
          <w:kern w:val="0"/>
          <w:sz w:val="24"/>
          <w:szCs w:val="24"/>
        </w:rPr>
        <w:t>1.4项目内容：2024年重大动物疫病试剂及耗材采购，具体内容详见采购文件采购需求；</w:t>
      </w:r>
    </w:p>
    <w:p>
      <w:pPr>
        <w:spacing w:line="360" w:lineRule="auto"/>
        <w:ind w:right="210" w:rightChars="100" w:firstLine="480" w:firstLineChars="200"/>
        <w:contextualSpacing/>
        <w:jc w:val="left"/>
        <w:rPr>
          <w:rFonts w:ascii="宋体" w:hAnsi="宋体" w:eastAsia="宋体"/>
          <w:bCs/>
          <w:kern w:val="0"/>
          <w:sz w:val="24"/>
          <w:szCs w:val="24"/>
        </w:rPr>
      </w:pPr>
      <w:r>
        <w:rPr>
          <w:rFonts w:hint="eastAsia" w:ascii="宋体" w:hAnsi="宋体" w:eastAsia="宋体"/>
          <w:bCs/>
          <w:kern w:val="0"/>
          <w:sz w:val="24"/>
          <w:szCs w:val="24"/>
        </w:rPr>
        <w:t>1.5预算金额（</w:t>
      </w:r>
      <w:r>
        <w:rPr>
          <w:rFonts w:hint="eastAsia" w:ascii="宋体" w:hAnsi="宋体" w:eastAsia="宋体"/>
          <w:bCs/>
          <w:kern w:val="0"/>
          <w:sz w:val="24"/>
          <w:szCs w:val="24"/>
          <w:lang w:val="zh-CN"/>
        </w:rPr>
        <w:t>最高限价</w:t>
      </w:r>
      <w:r>
        <w:rPr>
          <w:rFonts w:hint="eastAsia" w:ascii="宋体" w:hAnsi="宋体" w:eastAsia="宋体"/>
          <w:bCs/>
          <w:kern w:val="0"/>
          <w:sz w:val="24"/>
          <w:szCs w:val="24"/>
        </w:rPr>
        <w:t>）：790000.00元。</w:t>
      </w:r>
      <w:r>
        <w:rPr>
          <w:rFonts w:ascii="宋体" w:hAnsi="宋体" w:eastAsia="宋体"/>
          <w:bCs/>
          <w:kern w:val="0"/>
          <w:sz w:val="24"/>
          <w:szCs w:val="24"/>
        </w:rPr>
        <w:t xml:space="preserve"> </w:t>
      </w:r>
    </w:p>
    <w:p>
      <w:pPr>
        <w:spacing w:line="360" w:lineRule="auto"/>
        <w:ind w:right="210" w:rightChars="100" w:firstLine="480" w:firstLineChars="200"/>
        <w:contextualSpacing/>
        <w:jc w:val="left"/>
        <w:rPr>
          <w:rFonts w:ascii="宋体" w:hAnsi="宋体" w:eastAsia="宋体"/>
          <w:bCs/>
          <w:kern w:val="0"/>
          <w:sz w:val="24"/>
          <w:szCs w:val="24"/>
        </w:rPr>
      </w:pPr>
      <w:r>
        <w:rPr>
          <w:rFonts w:hint="eastAsia" w:ascii="宋体" w:hAnsi="宋体" w:eastAsia="宋体"/>
          <w:bCs/>
          <w:kern w:val="0"/>
          <w:sz w:val="24"/>
          <w:szCs w:val="24"/>
        </w:rPr>
        <w:t>1.6标包划分：本项目划分为一个标包</w:t>
      </w:r>
    </w:p>
    <w:p>
      <w:pPr>
        <w:spacing w:line="360" w:lineRule="auto"/>
        <w:ind w:right="210" w:rightChars="100" w:firstLine="480" w:firstLineChars="200"/>
        <w:contextualSpacing/>
        <w:jc w:val="left"/>
        <w:rPr>
          <w:rFonts w:ascii="宋体" w:hAnsi="宋体" w:eastAsia="宋体"/>
          <w:bCs/>
          <w:kern w:val="0"/>
          <w:sz w:val="24"/>
          <w:szCs w:val="24"/>
        </w:rPr>
      </w:pPr>
      <w:r>
        <w:rPr>
          <w:rFonts w:hint="eastAsia" w:ascii="宋体" w:hAnsi="宋体" w:eastAsia="宋体"/>
          <w:bCs/>
          <w:kern w:val="0"/>
          <w:sz w:val="24"/>
          <w:szCs w:val="24"/>
        </w:rPr>
        <w:t>1.7交付（实施）时间（期限）：签订合同后20天。</w:t>
      </w:r>
    </w:p>
    <w:p>
      <w:pPr>
        <w:spacing w:line="360" w:lineRule="auto"/>
        <w:ind w:right="210" w:rightChars="100" w:firstLine="480" w:firstLineChars="200"/>
        <w:contextualSpacing/>
        <w:jc w:val="left"/>
        <w:rPr>
          <w:rFonts w:ascii="宋体" w:hAnsi="宋体" w:eastAsia="宋体"/>
          <w:bCs/>
          <w:kern w:val="0"/>
          <w:sz w:val="24"/>
          <w:szCs w:val="24"/>
        </w:rPr>
      </w:pPr>
      <w:r>
        <w:rPr>
          <w:rFonts w:hint="eastAsia" w:ascii="宋体" w:hAnsi="宋体" w:eastAsia="宋体"/>
          <w:bCs/>
          <w:kern w:val="0"/>
          <w:sz w:val="24"/>
          <w:szCs w:val="24"/>
        </w:rPr>
        <w:t>1.8交付（实施）地点（范围）：长葛市动物疫病预防控制中心指定地点。</w:t>
      </w:r>
    </w:p>
    <w:p>
      <w:pPr>
        <w:spacing w:line="360" w:lineRule="auto"/>
        <w:ind w:right="210" w:rightChars="100" w:firstLine="480" w:firstLineChars="200"/>
        <w:contextualSpacing/>
        <w:jc w:val="left"/>
        <w:rPr>
          <w:rFonts w:ascii="宋体" w:hAnsi="宋体" w:eastAsia="宋体"/>
          <w:bCs/>
          <w:kern w:val="0"/>
          <w:sz w:val="24"/>
          <w:szCs w:val="24"/>
        </w:rPr>
      </w:pPr>
      <w:r>
        <w:rPr>
          <w:rFonts w:hint="eastAsia" w:ascii="宋体" w:hAnsi="宋体" w:eastAsia="宋体"/>
          <w:bCs/>
          <w:kern w:val="0"/>
          <w:sz w:val="24"/>
          <w:szCs w:val="24"/>
        </w:rPr>
        <w:t>1.9资金来源：财政资金</w:t>
      </w:r>
    </w:p>
    <w:p>
      <w:pPr>
        <w:spacing w:line="360" w:lineRule="auto"/>
        <w:ind w:right="210" w:rightChars="100" w:firstLine="482" w:firstLineChars="200"/>
        <w:contextualSpacing/>
        <w:jc w:val="left"/>
        <w:rPr>
          <w:rFonts w:ascii="宋体" w:hAnsi="宋体" w:eastAsia="宋体"/>
          <w:b/>
          <w:kern w:val="0"/>
          <w:sz w:val="24"/>
          <w:szCs w:val="24"/>
        </w:rPr>
      </w:pPr>
      <w:r>
        <w:rPr>
          <w:rFonts w:hint="eastAsia" w:ascii="宋体" w:hAnsi="宋体" w:eastAsia="宋体"/>
          <w:b/>
          <w:kern w:val="0"/>
          <w:sz w:val="24"/>
          <w:szCs w:val="24"/>
        </w:rPr>
        <w:t>二、需要落实的政府采购政策</w:t>
      </w:r>
    </w:p>
    <w:p>
      <w:pPr>
        <w:spacing w:line="360" w:lineRule="auto"/>
        <w:ind w:right="210" w:rightChars="100" w:firstLine="480" w:firstLineChars="200"/>
        <w:contextualSpacing/>
        <w:jc w:val="left"/>
        <w:rPr>
          <w:rFonts w:ascii="宋体" w:hAnsi="宋体" w:eastAsia="宋体"/>
          <w:bCs/>
          <w:kern w:val="0"/>
          <w:sz w:val="24"/>
          <w:szCs w:val="24"/>
        </w:rPr>
      </w:pPr>
      <w:r>
        <w:rPr>
          <w:rFonts w:hint="eastAsia" w:ascii="宋体" w:hAnsi="宋体" w:eastAsia="宋体"/>
          <w:bCs/>
          <w:kern w:val="0"/>
          <w:sz w:val="24"/>
          <w:szCs w:val="24"/>
        </w:rPr>
        <w:t>本项目落实节约能源、保护环境、扶持不发达地区和少数民族地区、促进中小企业、监狱企业发展等政府采购政策。</w:t>
      </w:r>
    </w:p>
    <w:p>
      <w:pPr>
        <w:spacing w:line="360" w:lineRule="auto"/>
        <w:ind w:right="210" w:rightChars="100" w:firstLine="482" w:firstLineChars="200"/>
        <w:contextualSpacing/>
        <w:jc w:val="left"/>
        <w:rPr>
          <w:rFonts w:ascii="宋体" w:hAnsi="宋体" w:eastAsia="宋体"/>
          <w:b/>
          <w:kern w:val="0"/>
          <w:sz w:val="24"/>
          <w:szCs w:val="24"/>
        </w:rPr>
      </w:pPr>
      <w:r>
        <w:rPr>
          <w:rFonts w:hint="eastAsia" w:ascii="宋体" w:hAnsi="宋体" w:eastAsia="宋体"/>
          <w:b/>
          <w:kern w:val="0"/>
          <w:sz w:val="24"/>
          <w:szCs w:val="24"/>
        </w:rPr>
        <w:t>三、申请人资格要求</w:t>
      </w:r>
    </w:p>
    <w:p>
      <w:pPr>
        <w:spacing w:line="360" w:lineRule="auto"/>
        <w:ind w:right="210" w:rightChars="100" w:firstLine="480" w:firstLineChars="200"/>
        <w:contextualSpacing/>
        <w:jc w:val="left"/>
        <w:rPr>
          <w:rFonts w:ascii="宋体" w:hAnsi="宋体" w:eastAsia="宋体" w:cs="Times New Roman"/>
          <w:sz w:val="24"/>
          <w:szCs w:val="24"/>
        </w:rPr>
      </w:pPr>
      <w:r>
        <w:rPr>
          <w:rFonts w:hint="eastAsia" w:ascii="宋体" w:hAnsi="宋体" w:eastAsia="宋体" w:cs="Times New Roman"/>
          <w:sz w:val="24"/>
          <w:szCs w:val="24"/>
        </w:rPr>
        <w:t>3.1符合《政府采购法》第二十二条之规定。</w:t>
      </w:r>
    </w:p>
    <w:p>
      <w:pPr>
        <w:spacing w:line="360" w:lineRule="auto"/>
        <w:ind w:right="210" w:rightChars="100" w:firstLine="480" w:firstLineChars="200"/>
        <w:contextualSpacing/>
        <w:jc w:val="left"/>
        <w:rPr>
          <w:rFonts w:ascii="宋体" w:hAnsi="宋体" w:eastAsia="宋体" w:cs="Times New Roman"/>
          <w:sz w:val="24"/>
          <w:szCs w:val="24"/>
        </w:rPr>
      </w:pPr>
      <w:r>
        <w:rPr>
          <w:rFonts w:hint="eastAsia" w:ascii="宋体" w:hAnsi="宋体" w:eastAsia="宋体" w:cs="Times New Roman"/>
          <w:sz w:val="24"/>
          <w:szCs w:val="24"/>
        </w:rPr>
        <w:t>3.2未被列入“信用中国”网站(www.creditchina.gov.cn)失信被执行人、重大税收违法案件当事人名单；“中国政府采购网” (www.ccgp.gov.cn)网站的政府采购严重违法失信行为记录名单的供应商；“中国社会组织公共服务平台”网站（www.chinanpo.gov.cn）严重违法失信名单的+供应商。</w:t>
      </w:r>
    </w:p>
    <w:p>
      <w:pPr>
        <w:spacing w:line="360" w:lineRule="auto"/>
        <w:ind w:right="210" w:rightChars="100" w:firstLine="482" w:firstLineChars="200"/>
        <w:contextualSpacing/>
        <w:jc w:val="left"/>
        <w:rPr>
          <w:rFonts w:ascii="宋体" w:hAnsi="宋体" w:eastAsia="宋体" w:cs="Times New Roman"/>
          <w:b/>
          <w:bCs/>
          <w:sz w:val="24"/>
          <w:szCs w:val="24"/>
        </w:rPr>
      </w:pPr>
      <w:r>
        <w:rPr>
          <w:rFonts w:hint="eastAsia" w:ascii="宋体" w:hAnsi="宋体" w:eastAsia="宋体" w:cs="Times New Roman"/>
          <w:b/>
          <w:bCs/>
          <w:sz w:val="24"/>
          <w:szCs w:val="24"/>
        </w:rPr>
        <w:t xml:space="preserve">注： 1、 供应商在响应时，提供《长葛市政府采购供应商信用承诺函》（详见磋商文件第八章3.5格式），无需再提交上述证明材料。 </w:t>
      </w:r>
    </w:p>
    <w:p>
      <w:pPr>
        <w:spacing w:line="360" w:lineRule="auto"/>
        <w:ind w:right="210" w:rightChars="100" w:firstLine="482" w:firstLineChars="200"/>
        <w:contextualSpacing/>
        <w:jc w:val="left"/>
        <w:rPr>
          <w:rFonts w:ascii="宋体" w:hAnsi="宋体" w:eastAsia="宋体" w:cs="Times New Roman"/>
          <w:b/>
          <w:bCs/>
          <w:sz w:val="24"/>
          <w:szCs w:val="24"/>
        </w:rPr>
      </w:pPr>
      <w:r>
        <w:rPr>
          <w:rFonts w:hint="eastAsia" w:ascii="宋体" w:hAnsi="宋体" w:eastAsia="宋体" w:cs="Times New Roman"/>
          <w:b/>
          <w:bCs/>
          <w:sz w:val="24"/>
          <w:szCs w:val="24"/>
        </w:rPr>
        <w:t>2、 采购人有权在签订合同前要求成交供应商提供相关证明材料以核实成交供应商承诺事项的真实性。</w:t>
      </w:r>
    </w:p>
    <w:p>
      <w:pPr>
        <w:spacing w:line="360" w:lineRule="auto"/>
        <w:ind w:right="210" w:rightChars="100" w:firstLine="482" w:firstLineChars="200"/>
        <w:contextualSpacing/>
        <w:jc w:val="left"/>
        <w:rPr>
          <w:rFonts w:ascii="宋体" w:hAnsi="宋体" w:eastAsia="宋体" w:cs="Times New Roman"/>
          <w:b/>
          <w:bCs/>
          <w:sz w:val="24"/>
          <w:szCs w:val="24"/>
        </w:rPr>
      </w:pPr>
      <w:r>
        <w:rPr>
          <w:rFonts w:hint="eastAsia" w:ascii="宋体" w:hAnsi="宋体" w:eastAsia="宋体" w:cs="Times New Roman"/>
          <w:b/>
          <w:bCs/>
          <w:sz w:val="24"/>
          <w:szCs w:val="24"/>
        </w:rPr>
        <w:t xml:space="preserve"> 3、 供应商对信用承诺内容的真实性、合法性、有效性负责。如作出虚假 信用承诺，视同为“提供虚假材料谋取中标”的违法行为。</w:t>
      </w:r>
    </w:p>
    <w:p>
      <w:pPr>
        <w:spacing w:line="360" w:lineRule="auto"/>
        <w:ind w:right="210" w:rightChars="100" w:firstLine="480" w:firstLineChars="200"/>
        <w:contextualSpacing/>
        <w:jc w:val="left"/>
        <w:rPr>
          <w:rFonts w:ascii="宋体" w:hAnsi="宋体" w:eastAsia="宋体" w:cs="Times New Roman"/>
          <w:sz w:val="24"/>
          <w:szCs w:val="24"/>
        </w:rPr>
      </w:pPr>
      <w:r>
        <w:rPr>
          <w:rFonts w:hint="eastAsia" w:ascii="宋体" w:hAnsi="宋体" w:eastAsia="宋体" w:cs="Times New Roman"/>
          <w:sz w:val="24"/>
          <w:szCs w:val="24"/>
        </w:rPr>
        <w:t>3.3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pPr>
        <w:spacing w:line="360" w:lineRule="auto"/>
        <w:ind w:right="210" w:rightChars="100" w:firstLine="480" w:firstLineChars="200"/>
        <w:contextualSpacing/>
        <w:jc w:val="left"/>
        <w:rPr>
          <w:rFonts w:ascii="宋体" w:hAnsi="宋体" w:eastAsia="宋体" w:cs="Times New Roman"/>
          <w:sz w:val="24"/>
          <w:szCs w:val="24"/>
        </w:rPr>
      </w:pPr>
      <w:r>
        <w:rPr>
          <w:rFonts w:hint="eastAsia" w:ascii="宋体" w:hAnsi="宋体" w:eastAsia="宋体" w:cs="Times New Roman"/>
          <w:sz w:val="24"/>
          <w:szCs w:val="24"/>
        </w:rPr>
        <w:t>3.4本项目不接受联合体投标。</w:t>
      </w:r>
    </w:p>
    <w:p>
      <w:pPr>
        <w:spacing w:line="360" w:lineRule="auto"/>
        <w:ind w:right="210" w:rightChars="100" w:firstLine="480" w:firstLineChars="200"/>
        <w:contextualSpacing/>
        <w:jc w:val="left"/>
        <w:rPr>
          <w:rFonts w:ascii="宋体" w:hAnsi="宋体" w:eastAsia="宋体" w:cs="Times New Roman"/>
          <w:sz w:val="24"/>
          <w:szCs w:val="24"/>
        </w:rPr>
      </w:pPr>
      <w:r>
        <w:rPr>
          <w:rFonts w:hint="eastAsia" w:ascii="宋体" w:hAnsi="宋体" w:eastAsia="宋体" w:cs="Times New Roman"/>
          <w:sz w:val="24"/>
          <w:szCs w:val="24"/>
        </w:rPr>
        <w:t>3.5本项目为专门面对中小企业采购，故不再执行价格评审优惠的扶持政策，评审时不再对价格进行扣除。</w:t>
      </w:r>
    </w:p>
    <w:p>
      <w:pPr>
        <w:spacing w:line="360" w:lineRule="auto"/>
        <w:ind w:right="210" w:rightChars="100" w:firstLine="482" w:firstLineChars="200"/>
        <w:contextualSpacing/>
        <w:jc w:val="left"/>
        <w:rPr>
          <w:rFonts w:ascii="宋体" w:hAnsi="宋体" w:eastAsia="宋体"/>
          <w:b/>
          <w:kern w:val="0"/>
          <w:sz w:val="24"/>
          <w:szCs w:val="24"/>
        </w:rPr>
      </w:pPr>
      <w:r>
        <w:rPr>
          <w:rFonts w:hint="eastAsia" w:ascii="宋体" w:hAnsi="宋体" w:eastAsia="宋体"/>
          <w:b/>
          <w:kern w:val="0"/>
          <w:sz w:val="24"/>
          <w:szCs w:val="24"/>
        </w:rPr>
        <w:t>四、磋商文件的获取</w:t>
      </w:r>
    </w:p>
    <w:p>
      <w:pPr>
        <w:spacing w:line="360" w:lineRule="auto"/>
        <w:ind w:right="210" w:rightChars="100" w:firstLine="480" w:firstLineChars="200"/>
        <w:contextualSpacing/>
        <w:jc w:val="left"/>
        <w:rPr>
          <w:rFonts w:ascii="宋体" w:hAnsi="宋体" w:eastAsia="宋体"/>
          <w:kern w:val="0"/>
          <w:sz w:val="24"/>
          <w:szCs w:val="24"/>
        </w:rPr>
      </w:pPr>
      <w:r>
        <w:rPr>
          <w:rFonts w:hint="eastAsia" w:ascii="宋体" w:hAnsi="宋体" w:eastAsia="宋体"/>
          <w:kern w:val="0"/>
          <w:sz w:val="24"/>
          <w:szCs w:val="24"/>
        </w:rPr>
        <w:t>4.1持CA数字认证证书，登录《全国公共资源交易平台（河南省•许昌市）》“系统用户注册”入口http://ggzy.xuchang.gov.cn:8088/ggzy/eps/public/RegistAllJcxx.html）进行免费注册登记（详见“常见问题解答-诚信库网上注册相关资料下载”）；</w:t>
      </w:r>
    </w:p>
    <w:p>
      <w:pPr>
        <w:spacing w:line="360" w:lineRule="auto"/>
        <w:ind w:right="210" w:rightChars="100" w:firstLine="480" w:firstLineChars="200"/>
        <w:contextualSpacing/>
        <w:jc w:val="left"/>
        <w:rPr>
          <w:rFonts w:ascii="宋体" w:hAnsi="宋体" w:eastAsia="宋体"/>
          <w:kern w:val="0"/>
          <w:sz w:val="24"/>
          <w:szCs w:val="24"/>
        </w:rPr>
      </w:pPr>
      <w:r>
        <w:rPr>
          <w:rFonts w:hint="eastAsia" w:ascii="宋体" w:hAnsi="宋体" w:eastAsia="宋体"/>
          <w:kern w:val="0"/>
          <w:sz w:val="24"/>
          <w:szCs w:val="24"/>
        </w:rPr>
        <w:t>4.2在响应截止时间前均可登录《全国公共资源交易平台（河南省•许昌市）》“</w:t>
      </w:r>
      <w:r>
        <w:rPr>
          <w:rFonts w:ascii="宋体" w:hAnsi="宋体" w:eastAsia="宋体"/>
          <w:kern w:val="0"/>
          <w:sz w:val="24"/>
          <w:szCs w:val="24"/>
        </w:rPr>
        <w:t>供应商</w:t>
      </w:r>
      <w:r>
        <w:rPr>
          <w:rFonts w:hint="eastAsia" w:ascii="宋体" w:hAnsi="宋体" w:eastAsia="宋体"/>
          <w:kern w:val="0"/>
          <w:sz w:val="24"/>
          <w:szCs w:val="24"/>
        </w:rPr>
        <w:t>/供应商登录”入口（http://ggzy.xuchang.gov.cn:8088/ggzy/）自行下载采购文件（详见“常见问题解答-交易系统操作手册”）。</w:t>
      </w:r>
    </w:p>
    <w:p>
      <w:pPr>
        <w:spacing w:line="360" w:lineRule="auto"/>
        <w:ind w:right="210" w:rightChars="100" w:firstLine="482" w:firstLineChars="200"/>
        <w:contextualSpacing/>
        <w:jc w:val="left"/>
        <w:rPr>
          <w:rFonts w:ascii="宋体" w:hAnsi="宋体" w:eastAsia="宋体"/>
          <w:b/>
          <w:kern w:val="0"/>
          <w:sz w:val="24"/>
          <w:szCs w:val="24"/>
        </w:rPr>
      </w:pPr>
      <w:r>
        <w:rPr>
          <w:rFonts w:hint="eastAsia" w:ascii="宋体" w:hAnsi="宋体" w:eastAsia="宋体"/>
          <w:b/>
          <w:kern w:val="0"/>
          <w:sz w:val="24"/>
          <w:szCs w:val="24"/>
        </w:rPr>
        <w:t>五、</w:t>
      </w:r>
      <w:r>
        <w:rPr>
          <w:rFonts w:hint="eastAsia" w:ascii="宋体" w:hAnsi="宋体" w:eastAsia="宋体" w:cs="宋体"/>
          <w:b/>
          <w:kern w:val="0"/>
          <w:sz w:val="24"/>
          <w:szCs w:val="24"/>
        </w:rPr>
        <w:t>响应文件提交截止时间及磋商响应截止时间、磋商时间</w:t>
      </w:r>
    </w:p>
    <w:p>
      <w:pPr>
        <w:spacing w:line="360" w:lineRule="auto"/>
        <w:ind w:right="210" w:rightChars="100" w:firstLine="480" w:firstLineChars="200"/>
        <w:contextualSpacing/>
        <w:jc w:val="left"/>
        <w:rPr>
          <w:rFonts w:ascii="宋体" w:hAnsi="宋体" w:eastAsia="宋体"/>
          <w:kern w:val="0"/>
          <w:sz w:val="24"/>
          <w:szCs w:val="24"/>
        </w:rPr>
      </w:pPr>
      <w:r>
        <w:rPr>
          <w:rFonts w:hint="eastAsia" w:ascii="宋体" w:hAnsi="宋体" w:eastAsia="宋体"/>
          <w:kern w:val="0"/>
          <w:sz w:val="24"/>
          <w:szCs w:val="24"/>
        </w:rPr>
        <w:t>5.1投标截止及开标时间：2024年</w:t>
      </w:r>
      <w:r>
        <w:rPr>
          <w:rFonts w:hint="eastAsia" w:ascii="宋体" w:hAnsi="宋体"/>
          <w:kern w:val="0"/>
          <w:sz w:val="24"/>
          <w:szCs w:val="24"/>
          <w:lang w:val="en-US" w:eastAsia="zh-CN"/>
        </w:rPr>
        <w:t>06</w:t>
      </w:r>
      <w:r>
        <w:rPr>
          <w:rFonts w:hint="eastAsia" w:ascii="宋体" w:hAnsi="宋体" w:eastAsia="宋体"/>
          <w:kern w:val="0"/>
          <w:sz w:val="24"/>
          <w:szCs w:val="24"/>
        </w:rPr>
        <w:t xml:space="preserve">月 </w:t>
      </w:r>
      <w:r>
        <w:rPr>
          <w:rFonts w:hint="eastAsia" w:ascii="宋体" w:hAnsi="宋体"/>
          <w:kern w:val="0"/>
          <w:sz w:val="24"/>
          <w:szCs w:val="24"/>
          <w:lang w:val="en-US" w:eastAsia="zh-CN"/>
        </w:rPr>
        <w:t>06</w:t>
      </w:r>
      <w:r>
        <w:rPr>
          <w:rFonts w:hint="eastAsia" w:ascii="宋体" w:hAnsi="宋体" w:eastAsia="宋体"/>
          <w:kern w:val="0"/>
          <w:sz w:val="24"/>
          <w:szCs w:val="24"/>
        </w:rPr>
        <w:t xml:space="preserve"> 日 </w:t>
      </w:r>
      <w:r>
        <w:rPr>
          <w:rFonts w:hint="eastAsia" w:ascii="宋体" w:hAnsi="宋体"/>
          <w:kern w:val="0"/>
          <w:sz w:val="24"/>
          <w:szCs w:val="24"/>
          <w:lang w:val="en-US" w:eastAsia="zh-CN"/>
        </w:rPr>
        <w:t>09</w:t>
      </w:r>
      <w:r>
        <w:rPr>
          <w:rFonts w:hint="eastAsia" w:ascii="宋体" w:hAnsi="宋体" w:eastAsia="宋体"/>
          <w:kern w:val="0"/>
          <w:sz w:val="24"/>
          <w:szCs w:val="24"/>
        </w:rPr>
        <w:t xml:space="preserve"> 时</w:t>
      </w:r>
      <w:r>
        <w:rPr>
          <w:rFonts w:hint="eastAsia" w:ascii="宋体" w:hAnsi="宋体"/>
          <w:kern w:val="0"/>
          <w:sz w:val="24"/>
          <w:szCs w:val="24"/>
          <w:lang w:val="en-US" w:eastAsia="zh-CN"/>
        </w:rPr>
        <w:t>00</w:t>
      </w:r>
      <w:r>
        <w:rPr>
          <w:rFonts w:hint="eastAsia" w:ascii="宋体" w:hAnsi="宋体" w:eastAsia="宋体"/>
          <w:kern w:val="0"/>
          <w:sz w:val="24"/>
          <w:szCs w:val="24"/>
        </w:rPr>
        <w:t xml:space="preserve"> 分（北京时间），逾期提交或不符合规定的</w:t>
      </w:r>
      <w:r>
        <w:rPr>
          <w:rFonts w:ascii="宋体" w:hAnsi="宋体" w:eastAsia="宋体"/>
          <w:kern w:val="0"/>
          <w:sz w:val="24"/>
          <w:szCs w:val="24"/>
        </w:rPr>
        <w:t>响应文件</w:t>
      </w:r>
      <w:r>
        <w:rPr>
          <w:rFonts w:hint="eastAsia" w:ascii="宋体" w:hAnsi="宋体" w:eastAsia="宋体"/>
          <w:kern w:val="0"/>
          <w:sz w:val="24"/>
          <w:szCs w:val="24"/>
        </w:rPr>
        <w:t>不予接受。</w:t>
      </w:r>
    </w:p>
    <w:p>
      <w:pPr>
        <w:spacing w:line="360" w:lineRule="auto"/>
        <w:ind w:right="210" w:rightChars="100" w:firstLine="480" w:firstLineChars="200"/>
        <w:contextualSpacing/>
        <w:jc w:val="left"/>
        <w:rPr>
          <w:rFonts w:ascii="宋体" w:hAnsi="宋体" w:eastAsia="宋体"/>
          <w:kern w:val="0"/>
          <w:sz w:val="24"/>
          <w:szCs w:val="24"/>
        </w:rPr>
      </w:pPr>
      <w:r>
        <w:rPr>
          <w:rFonts w:hint="eastAsia" w:ascii="宋体" w:hAnsi="宋体" w:eastAsia="宋体"/>
          <w:kern w:val="0"/>
          <w:sz w:val="24"/>
          <w:szCs w:val="24"/>
        </w:rPr>
        <w:t>5.2开标地点：长葛市公共资源交易中心开标</w:t>
      </w:r>
      <w:r>
        <w:rPr>
          <w:rFonts w:hint="eastAsia" w:ascii="宋体" w:hAnsi="宋体"/>
          <w:kern w:val="0"/>
          <w:sz w:val="24"/>
          <w:szCs w:val="24"/>
          <w:lang w:eastAsia="zh-CN"/>
        </w:rPr>
        <w:t>四</w:t>
      </w:r>
      <w:r>
        <w:rPr>
          <w:rFonts w:hint="eastAsia" w:ascii="宋体" w:hAnsi="宋体" w:eastAsia="宋体"/>
          <w:kern w:val="0"/>
          <w:sz w:val="24"/>
          <w:szCs w:val="24"/>
        </w:rPr>
        <w:t xml:space="preserve"> 室（长葛市葛天大道东段商务区6#楼 5楼</w:t>
      </w:r>
      <w:r>
        <w:rPr>
          <w:rFonts w:hint="eastAsia" w:ascii="宋体" w:hAnsi="宋体"/>
          <w:kern w:val="0"/>
          <w:sz w:val="24"/>
          <w:szCs w:val="24"/>
          <w:lang w:val="en-US" w:eastAsia="zh-CN"/>
        </w:rPr>
        <w:t>507</w:t>
      </w:r>
      <w:r>
        <w:rPr>
          <w:rFonts w:hint="eastAsia" w:ascii="宋体" w:hAnsi="宋体" w:eastAsia="宋体"/>
          <w:kern w:val="0"/>
          <w:sz w:val="24"/>
          <w:szCs w:val="24"/>
        </w:rPr>
        <w:t>室），（本项目采用远程不见面开标，</w:t>
      </w:r>
      <w:r>
        <w:rPr>
          <w:rFonts w:ascii="宋体" w:hAnsi="宋体" w:eastAsia="宋体"/>
          <w:kern w:val="0"/>
          <w:sz w:val="24"/>
          <w:szCs w:val="24"/>
        </w:rPr>
        <w:t>供应商</w:t>
      </w:r>
      <w:r>
        <w:rPr>
          <w:rFonts w:hint="eastAsia" w:ascii="宋体" w:hAnsi="宋体" w:eastAsia="宋体"/>
          <w:kern w:val="0"/>
          <w:sz w:val="24"/>
          <w:szCs w:val="24"/>
        </w:rPr>
        <w:t>无须到现场）。</w:t>
      </w:r>
    </w:p>
    <w:p>
      <w:pPr>
        <w:spacing w:line="360" w:lineRule="auto"/>
        <w:ind w:right="210" w:rightChars="100" w:firstLine="480" w:firstLineChars="200"/>
        <w:contextualSpacing/>
        <w:jc w:val="left"/>
        <w:rPr>
          <w:rFonts w:ascii="宋体" w:hAnsi="宋体" w:eastAsia="宋体"/>
          <w:kern w:val="0"/>
          <w:sz w:val="24"/>
          <w:szCs w:val="24"/>
        </w:rPr>
      </w:pPr>
      <w:r>
        <w:rPr>
          <w:rFonts w:hint="eastAsia" w:ascii="宋体" w:hAnsi="宋体" w:eastAsia="宋体"/>
          <w:kern w:val="0"/>
          <w:sz w:val="24"/>
          <w:szCs w:val="24"/>
        </w:rPr>
        <w:t>5.3本项目为全流程电子化交易项目，</w:t>
      </w:r>
      <w:r>
        <w:rPr>
          <w:rFonts w:ascii="宋体" w:hAnsi="宋体" w:eastAsia="宋体"/>
          <w:kern w:val="0"/>
          <w:sz w:val="24"/>
          <w:szCs w:val="24"/>
        </w:rPr>
        <w:t>供应商</w:t>
      </w:r>
      <w:r>
        <w:rPr>
          <w:rFonts w:hint="eastAsia" w:ascii="宋体" w:hAnsi="宋体" w:eastAsia="宋体"/>
          <w:kern w:val="0"/>
          <w:sz w:val="24"/>
          <w:szCs w:val="24"/>
        </w:rPr>
        <w:t>须提交电子</w:t>
      </w:r>
      <w:r>
        <w:rPr>
          <w:rFonts w:ascii="宋体" w:hAnsi="宋体" w:eastAsia="宋体"/>
          <w:kern w:val="0"/>
          <w:sz w:val="24"/>
          <w:szCs w:val="24"/>
        </w:rPr>
        <w:t>响应文件</w:t>
      </w:r>
      <w:r>
        <w:rPr>
          <w:rFonts w:hint="eastAsia" w:ascii="宋体" w:hAnsi="宋体" w:eastAsia="宋体"/>
          <w:kern w:val="0"/>
          <w:sz w:val="24"/>
          <w:szCs w:val="24"/>
        </w:rPr>
        <w:t>。</w:t>
      </w:r>
    </w:p>
    <w:p>
      <w:pPr>
        <w:spacing w:line="360" w:lineRule="auto"/>
        <w:ind w:right="210" w:rightChars="100" w:firstLine="480" w:firstLineChars="200"/>
        <w:contextualSpacing/>
        <w:jc w:val="left"/>
        <w:rPr>
          <w:rFonts w:ascii="宋体" w:hAnsi="宋体" w:eastAsia="宋体"/>
          <w:kern w:val="0"/>
          <w:sz w:val="24"/>
          <w:szCs w:val="24"/>
        </w:rPr>
      </w:pPr>
      <w:r>
        <w:rPr>
          <w:rFonts w:hint="eastAsia" w:ascii="宋体" w:hAnsi="宋体" w:eastAsia="宋体"/>
          <w:kern w:val="0"/>
          <w:sz w:val="24"/>
          <w:szCs w:val="24"/>
        </w:rPr>
        <w:t>1、加密电子</w:t>
      </w:r>
      <w:r>
        <w:rPr>
          <w:rFonts w:ascii="宋体" w:hAnsi="宋体" w:eastAsia="宋体"/>
          <w:kern w:val="0"/>
          <w:sz w:val="24"/>
          <w:szCs w:val="24"/>
        </w:rPr>
        <w:t>响应文件</w:t>
      </w:r>
      <w:r>
        <w:rPr>
          <w:rFonts w:hint="eastAsia" w:ascii="宋体" w:hAnsi="宋体" w:eastAsia="宋体"/>
          <w:kern w:val="0"/>
          <w:sz w:val="24"/>
          <w:szCs w:val="24"/>
        </w:rPr>
        <w:t>（.file格式）须在响应截止时间（开标时间）前通过《全国公共资源交易平台(河南省▪许昌市)》公共资源交易系统成功上传。</w:t>
      </w:r>
    </w:p>
    <w:p>
      <w:pPr>
        <w:spacing w:line="360" w:lineRule="auto"/>
        <w:ind w:right="210" w:rightChars="100" w:firstLine="480" w:firstLineChars="200"/>
        <w:contextualSpacing/>
        <w:jc w:val="left"/>
        <w:rPr>
          <w:rFonts w:ascii="宋体" w:hAnsi="宋体" w:eastAsia="宋体"/>
          <w:kern w:val="0"/>
          <w:sz w:val="24"/>
          <w:szCs w:val="24"/>
        </w:rPr>
      </w:pPr>
      <w:r>
        <w:rPr>
          <w:rFonts w:hint="eastAsia" w:ascii="宋体" w:hAnsi="宋体" w:eastAsia="宋体"/>
          <w:kern w:val="0"/>
          <w:sz w:val="24"/>
          <w:szCs w:val="24"/>
        </w:rPr>
        <w:t>2、开标时间前，</w:t>
      </w:r>
      <w:r>
        <w:rPr>
          <w:rFonts w:ascii="宋体" w:hAnsi="宋体" w:eastAsia="宋体"/>
          <w:kern w:val="0"/>
          <w:sz w:val="24"/>
          <w:szCs w:val="24"/>
        </w:rPr>
        <w:t>供应商</w:t>
      </w:r>
      <w:r>
        <w:rPr>
          <w:rFonts w:hint="eastAsia" w:ascii="宋体" w:hAnsi="宋体" w:eastAsia="宋体"/>
          <w:kern w:val="0"/>
          <w:sz w:val="24"/>
          <w:szCs w:val="24"/>
        </w:rPr>
        <w:t>使用CA数字证书登录全国公共资源交易平台（河南省.许昌市）——进入公共资源交易系统（http://ggzy.xuchang.gov.cn:8088/ggzy/）——点击“项目信息——项目名称”——在系统操作导航栏点击“开标——不见面开标大厅”，按照开标时间准时参加开标，进行远程解密、在线询问、电子签章等。</w:t>
      </w:r>
    </w:p>
    <w:p>
      <w:pPr>
        <w:spacing w:line="360" w:lineRule="auto"/>
        <w:ind w:right="210" w:rightChars="100" w:firstLine="482" w:firstLineChars="200"/>
        <w:contextualSpacing/>
        <w:jc w:val="left"/>
        <w:rPr>
          <w:rFonts w:ascii="宋体" w:hAnsi="宋体" w:eastAsia="宋体"/>
          <w:b/>
          <w:bCs/>
          <w:kern w:val="0"/>
          <w:sz w:val="24"/>
          <w:szCs w:val="24"/>
        </w:rPr>
      </w:pPr>
      <w:r>
        <w:rPr>
          <w:rFonts w:hint="eastAsia" w:ascii="宋体" w:hAnsi="宋体" w:eastAsia="宋体"/>
          <w:b/>
          <w:bCs/>
          <w:kern w:val="0"/>
          <w:sz w:val="24"/>
          <w:szCs w:val="24"/>
        </w:rPr>
        <w:t>六、发布公告的媒介</w:t>
      </w:r>
    </w:p>
    <w:p>
      <w:pPr>
        <w:spacing w:line="360" w:lineRule="auto"/>
        <w:ind w:right="210" w:rightChars="100" w:firstLine="480" w:firstLineChars="200"/>
        <w:contextualSpacing/>
        <w:jc w:val="left"/>
        <w:rPr>
          <w:rFonts w:ascii="宋体" w:hAnsi="宋体" w:eastAsia="宋体"/>
          <w:kern w:val="0"/>
          <w:sz w:val="24"/>
          <w:szCs w:val="24"/>
        </w:rPr>
      </w:pPr>
      <w:r>
        <w:rPr>
          <w:rFonts w:hint="eastAsia" w:ascii="宋体" w:hAnsi="宋体" w:eastAsia="宋体"/>
          <w:kern w:val="0"/>
          <w:sz w:val="24"/>
          <w:szCs w:val="24"/>
        </w:rPr>
        <w:t>本次采购公告同时在《河南省政府采购网》、《全国公共资源交易平台（河南省•许昌市）》发布。</w:t>
      </w:r>
    </w:p>
    <w:p>
      <w:pPr>
        <w:spacing w:line="360" w:lineRule="auto"/>
        <w:ind w:right="210" w:rightChars="100" w:firstLine="482" w:firstLineChars="200"/>
        <w:contextualSpacing/>
        <w:jc w:val="left"/>
        <w:rPr>
          <w:rFonts w:ascii="宋体" w:hAnsi="宋体" w:eastAsia="宋体"/>
          <w:b/>
          <w:bCs/>
          <w:kern w:val="0"/>
          <w:sz w:val="24"/>
          <w:szCs w:val="24"/>
        </w:rPr>
      </w:pPr>
      <w:r>
        <w:rPr>
          <w:rFonts w:hint="eastAsia" w:ascii="宋体" w:hAnsi="宋体" w:eastAsia="宋体"/>
          <w:b/>
          <w:bCs/>
          <w:kern w:val="0"/>
          <w:sz w:val="24"/>
          <w:szCs w:val="24"/>
        </w:rPr>
        <w:t>七、公告期限</w:t>
      </w:r>
    </w:p>
    <w:p>
      <w:pPr>
        <w:spacing w:line="360" w:lineRule="auto"/>
        <w:ind w:right="210" w:rightChars="100" w:firstLine="480" w:firstLineChars="200"/>
        <w:contextualSpacing/>
        <w:jc w:val="left"/>
        <w:rPr>
          <w:rFonts w:ascii="宋体" w:hAnsi="宋体" w:eastAsia="宋体"/>
          <w:b/>
          <w:bCs/>
          <w:kern w:val="0"/>
          <w:sz w:val="24"/>
          <w:szCs w:val="24"/>
        </w:rPr>
      </w:pPr>
      <w:r>
        <w:rPr>
          <w:rFonts w:hint="eastAsia" w:ascii="宋体" w:hAnsi="宋体" w:eastAsia="宋体"/>
          <w:kern w:val="0"/>
          <w:sz w:val="24"/>
          <w:szCs w:val="24"/>
        </w:rPr>
        <w:t>自本公告发布之日起3个工作日。</w:t>
      </w:r>
    </w:p>
    <w:bookmarkEnd w:id="0"/>
    <w:bookmarkEnd w:id="1"/>
    <w:p>
      <w:pPr>
        <w:spacing w:line="360" w:lineRule="auto"/>
        <w:ind w:right="210" w:rightChars="100" w:firstLine="482" w:firstLineChars="200"/>
        <w:contextualSpacing/>
        <w:jc w:val="left"/>
        <w:rPr>
          <w:rFonts w:ascii="宋体" w:hAnsi="宋体" w:eastAsia="宋体" w:cs="宋体"/>
          <w:b/>
          <w:bCs/>
          <w:kern w:val="0"/>
          <w:sz w:val="24"/>
          <w:szCs w:val="24"/>
        </w:rPr>
      </w:pPr>
      <w:r>
        <w:rPr>
          <w:rFonts w:hint="eastAsia" w:ascii="宋体" w:hAnsi="宋体" w:eastAsia="宋体" w:cs="宋体"/>
          <w:b/>
          <w:bCs/>
          <w:kern w:val="0"/>
          <w:sz w:val="24"/>
          <w:szCs w:val="24"/>
        </w:rPr>
        <w:t>八、集中采购机构及采购人信息</w:t>
      </w:r>
    </w:p>
    <w:p>
      <w:pPr>
        <w:spacing w:line="360" w:lineRule="auto"/>
        <w:ind w:firstLine="480" w:firstLineChars="200"/>
        <w:jc w:val="left"/>
        <w:rPr>
          <w:rFonts w:ascii="宋体" w:hAnsi="宋体" w:cs="宋体"/>
          <w:kern w:val="0"/>
          <w:sz w:val="24"/>
          <w:szCs w:val="24"/>
        </w:rPr>
      </w:pPr>
      <w:r>
        <w:rPr>
          <w:rFonts w:ascii="宋体" w:hAnsi="宋体" w:cs="宋体"/>
          <w:kern w:val="0"/>
          <w:sz w:val="24"/>
          <w:szCs w:val="24"/>
        </w:rPr>
        <w:t>采 购 人：</w:t>
      </w:r>
      <w:r>
        <w:rPr>
          <w:rFonts w:hint="eastAsia" w:ascii="宋体" w:hAnsi="宋体" w:cs="宋体"/>
          <w:kern w:val="0"/>
          <w:sz w:val="24"/>
          <w:szCs w:val="24"/>
        </w:rPr>
        <w:t>长葛市动物疫病预防控制中心</w:t>
      </w:r>
      <w:r>
        <w:rPr>
          <w:rFonts w:ascii="宋体" w:hAnsi="宋体" w:cs="宋体"/>
          <w:kern w:val="0"/>
          <w:sz w:val="24"/>
          <w:szCs w:val="24"/>
        </w:rPr>
        <w:t xml:space="preserve">  </w:t>
      </w:r>
    </w:p>
    <w:p>
      <w:pPr>
        <w:spacing w:line="360" w:lineRule="auto"/>
        <w:ind w:firstLine="480" w:firstLineChars="200"/>
        <w:jc w:val="left"/>
        <w:rPr>
          <w:rFonts w:ascii="宋体" w:hAnsi="宋体" w:cs="宋体"/>
          <w:kern w:val="0"/>
          <w:sz w:val="24"/>
          <w:szCs w:val="24"/>
        </w:rPr>
      </w:pPr>
      <w:r>
        <w:rPr>
          <w:rFonts w:ascii="宋体" w:hAnsi="宋体" w:cs="宋体"/>
          <w:kern w:val="0"/>
          <w:sz w:val="24"/>
          <w:szCs w:val="24"/>
        </w:rPr>
        <w:t>联 系 人：</w:t>
      </w:r>
      <w:r>
        <w:rPr>
          <w:rFonts w:hint="eastAsia" w:ascii="宋体" w:hAnsi="宋体" w:cs="宋体"/>
          <w:kern w:val="0"/>
          <w:sz w:val="24"/>
          <w:szCs w:val="24"/>
        </w:rPr>
        <w:t xml:space="preserve">郭女士 </w:t>
      </w:r>
      <w:r>
        <w:rPr>
          <w:rFonts w:ascii="宋体" w:hAnsi="宋体" w:cs="宋体"/>
          <w:kern w:val="0"/>
          <w:sz w:val="24"/>
          <w:szCs w:val="24"/>
        </w:rPr>
        <w:t xml:space="preserve">       联系方式：</w:t>
      </w:r>
      <w:r>
        <w:rPr>
          <w:rFonts w:hint="eastAsia" w:ascii="宋体" w:hAnsi="宋体" w:cs="宋体"/>
          <w:kern w:val="0"/>
          <w:sz w:val="24"/>
          <w:szCs w:val="24"/>
        </w:rPr>
        <w:t>13569977303</w:t>
      </w:r>
    </w:p>
    <w:p>
      <w:pPr>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地址：河南省长葛市长社路37号</w:t>
      </w:r>
    </w:p>
    <w:p>
      <w:pPr>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集采机构：长葛市公共资源交易中心</w:t>
      </w:r>
    </w:p>
    <w:p>
      <w:pPr>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联系人：</w:t>
      </w:r>
      <w:r>
        <w:rPr>
          <w:rFonts w:ascii="宋体" w:hAnsi="宋体" w:cs="宋体"/>
          <w:kern w:val="0"/>
          <w:sz w:val="24"/>
          <w:szCs w:val="24"/>
        </w:rPr>
        <w:t>长葛市公共资源交易中心</w:t>
      </w:r>
      <w:r>
        <w:rPr>
          <w:rFonts w:hint="eastAsia" w:ascii="宋体" w:hAnsi="宋体" w:cs="宋体"/>
          <w:kern w:val="0"/>
          <w:sz w:val="24"/>
          <w:szCs w:val="24"/>
        </w:rPr>
        <w:t xml:space="preserve">采购二部 </w:t>
      </w:r>
    </w:p>
    <w:p>
      <w:pPr>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地址：长葛市葛天大道东段商务区6#楼4楼</w:t>
      </w:r>
    </w:p>
    <w:p>
      <w:pPr>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联系电话：0374-6189667</w:t>
      </w:r>
    </w:p>
    <w:p>
      <w:pPr>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 xml:space="preserve">监督单位：长葛市财政局 </w:t>
      </w:r>
    </w:p>
    <w:p>
      <w:pPr>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 xml:space="preserve">联系人：文女士    </w:t>
      </w:r>
    </w:p>
    <w:p>
      <w:pPr>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 xml:space="preserve">联系电话：0374-6189720 </w:t>
      </w:r>
    </w:p>
    <w:p>
      <w:pPr>
        <w:spacing w:line="360" w:lineRule="auto"/>
        <w:ind w:firstLine="480" w:firstLineChars="200"/>
        <w:contextualSpacing/>
        <w:jc w:val="left"/>
        <w:rPr>
          <w:rFonts w:ascii="宋体" w:hAnsi="宋体" w:cs="宋体"/>
          <w:kern w:val="0"/>
          <w:sz w:val="24"/>
          <w:szCs w:val="24"/>
        </w:rPr>
      </w:pPr>
      <w:r>
        <w:rPr>
          <w:rFonts w:hint="eastAsia" w:ascii="宋体" w:hAnsi="宋体" w:cs="宋体"/>
          <w:sz w:val="24"/>
          <w:szCs w:val="24"/>
          <w:shd w:val="clear" w:color="auto" w:fill="FFFFFF"/>
        </w:rPr>
        <w:t>地址：长葛市葛天大道1号楼财政局308室</w:t>
      </w:r>
    </w:p>
    <w:p>
      <w:pPr>
        <w:spacing w:line="360" w:lineRule="auto"/>
        <w:ind w:right="210" w:rightChars="100" w:firstLine="482" w:firstLineChars="200"/>
        <w:contextualSpacing/>
        <w:jc w:val="left"/>
        <w:rPr>
          <w:rFonts w:ascii="宋体" w:hAnsi="宋体" w:eastAsia="宋体"/>
          <w:b/>
          <w:bCs/>
          <w:kern w:val="0"/>
          <w:sz w:val="24"/>
          <w:szCs w:val="24"/>
        </w:rPr>
      </w:pPr>
      <w:r>
        <w:rPr>
          <w:rFonts w:hint="eastAsia" w:ascii="宋体" w:hAnsi="宋体" w:eastAsia="宋体"/>
          <w:b/>
          <w:bCs/>
          <w:kern w:val="0"/>
          <w:sz w:val="24"/>
          <w:szCs w:val="24"/>
        </w:rPr>
        <w:t>九、特别提示：</w:t>
      </w:r>
    </w:p>
    <w:p>
      <w:pPr>
        <w:spacing w:line="360" w:lineRule="auto"/>
        <w:ind w:right="210" w:rightChars="100" w:firstLine="482" w:firstLineChars="200"/>
        <w:contextualSpacing/>
        <w:jc w:val="left"/>
        <w:rPr>
          <w:rFonts w:ascii="宋体" w:hAnsi="宋体" w:eastAsia="宋体"/>
          <w:b/>
          <w:bCs/>
          <w:sz w:val="24"/>
          <w:szCs w:val="24"/>
        </w:rPr>
      </w:pPr>
      <w:r>
        <w:rPr>
          <w:rFonts w:hint="eastAsia" w:ascii="宋体" w:hAnsi="宋体" w:eastAsia="宋体"/>
          <w:b/>
          <w:bCs/>
          <w:sz w:val="24"/>
          <w:szCs w:val="24"/>
        </w:rPr>
        <w:t>本项目为全流程电子化交易项目，请认真阅读磋商文件，并注意以下事项。</w:t>
      </w:r>
    </w:p>
    <w:p>
      <w:pPr>
        <w:spacing w:line="360" w:lineRule="auto"/>
        <w:ind w:right="210" w:rightChars="100" w:firstLine="472" w:firstLineChars="196"/>
        <w:contextualSpacing/>
        <w:jc w:val="left"/>
        <w:rPr>
          <w:rFonts w:ascii="宋体" w:hAnsi="宋体" w:eastAsia="宋体"/>
          <w:b/>
          <w:bCs/>
          <w:sz w:val="24"/>
          <w:szCs w:val="24"/>
        </w:rPr>
      </w:pPr>
      <w:r>
        <w:rPr>
          <w:rFonts w:hint="eastAsia" w:ascii="宋体" w:hAnsi="宋体" w:eastAsia="宋体"/>
          <w:b/>
          <w:bCs/>
          <w:sz w:val="24"/>
          <w:szCs w:val="24"/>
        </w:rPr>
        <w:t>1.供应商应按磋商文件规定编制、提交、解密电子响应文件。</w:t>
      </w:r>
    </w:p>
    <w:p>
      <w:pPr>
        <w:spacing w:line="360" w:lineRule="auto"/>
        <w:ind w:right="210" w:rightChars="100" w:firstLine="472" w:firstLineChars="196"/>
        <w:contextualSpacing/>
        <w:jc w:val="left"/>
        <w:rPr>
          <w:rFonts w:ascii="宋体" w:hAnsi="宋体" w:eastAsia="宋体"/>
          <w:b/>
          <w:bCs/>
          <w:sz w:val="24"/>
          <w:szCs w:val="24"/>
        </w:rPr>
      </w:pPr>
      <w:r>
        <w:rPr>
          <w:rFonts w:hint="eastAsia" w:ascii="宋体" w:hAnsi="宋体" w:eastAsia="宋体"/>
          <w:b/>
          <w:bCs/>
          <w:sz w:val="24"/>
          <w:szCs w:val="24"/>
        </w:rPr>
        <w:t>2.电子文件下载、制作、提交期间和远程不见面磋商（电子响应文件的解密）环节，供应商须使用同一个CA数字证书（证书须在有效期内并可正常使用）。</w:t>
      </w:r>
    </w:p>
    <w:p>
      <w:pPr>
        <w:spacing w:line="360" w:lineRule="auto"/>
        <w:ind w:right="210" w:rightChars="100" w:firstLine="482" w:firstLineChars="200"/>
        <w:contextualSpacing/>
        <w:jc w:val="left"/>
        <w:rPr>
          <w:rFonts w:ascii="宋体" w:hAnsi="宋体" w:eastAsia="宋体"/>
          <w:b/>
          <w:bCs/>
          <w:sz w:val="24"/>
          <w:szCs w:val="24"/>
        </w:rPr>
      </w:pPr>
      <w:r>
        <w:rPr>
          <w:rFonts w:hint="eastAsia" w:ascii="宋体" w:hAnsi="宋体" w:eastAsia="宋体"/>
          <w:b/>
          <w:bCs/>
          <w:sz w:val="24"/>
          <w:szCs w:val="24"/>
        </w:rPr>
        <w:t>3.电子响应文件的制作</w:t>
      </w:r>
    </w:p>
    <w:p>
      <w:pPr>
        <w:tabs>
          <w:tab w:val="left" w:pos="7095"/>
        </w:tabs>
        <w:spacing w:line="360" w:lineRule="auto"/>
        <w:ind w:right="210" w:rightChars="100" w:firstLine="480" w:firstLineChars="200"/>
        <w:contextualSpacing/>
        <w:jc w:val="left"/>
        <w:rPr>
          <w:rFonts w:ascii="宋体" w:hAnsi="宋体" w:eastAsia="宋体" w:cs="宋体"/>
          <w:sz w:val="24"/>
          <w:szCs w:val="24"/>
        </w:rPr>
      </w:pPr>
      <w:r>
        <w:rPr>
          <w:rFonts w:hint="eastAsia" w:ascii="宋体" w:hAnsi="宋体" w:eastAsia="宋体" w:cs="宋体"/>
          <w:sz w:val="24"/>
          <w:szCs w:val="24"/>
        </w:rPr>
        <w:t xml:space="preserve">3.1 </w:t>
      </w:r>
      <w:r>
        <w:rPr>
          <w:rFonts w:ascii="宋体" w:hAnsi="宋体" w:eastAsia="宋体" w:cs="宋体"/>
          <w:sz w:val="24"/>
          <w:szCs w:val="24"/>
        </w:rPr>
        <w:t>供应商</w:t>
      </w:r>
      <w:r>
        <w:rPr>
          <w:rFonts w:hint="eastAsia" w:ascii="宋体" w:hAnsi="宋体" w:eastAsia="宋体" w:cs="宋体"/>
          <w:sz w:val="24"/>
          <w:szCs w:val="24"/>
        </w:rPr>
        <w:t>登录《全国公共资源交易平台(河南省</w:t>
      </w:r>
      <w:r>
        <w:rPr>
          <w:rFonts w:ascii="宋体" w:hAnsi="Segoe UI Emoji" w:eastAsia="宋体" w:cs="Segoe UI Emoji"/>
          <w:sz w:val="24"/>
          <w:szCs w:val="24"/>
        </w:rPr>
        <w:t>▪</w:t>
      </w:r>
      <w:r>
        <w:rPr>
          <w:rFonts w:hint="eastAsia" w:ascii="宋体" w:hAnsi="宋体" w:eastAsia="宋体" w:cs="宋体"/>
          <w:sz w:val="24"/>
          <w:szCs w:val="24"/>
        </w:rPr>
        <w:t>许昌市)》公共资源交易系统（</w:t>
      </w:r>
      <w:r>
        <w:fldChar w:fldCharType="begin"/>
      </w:r>
      <w:r>
        <w:instrText xml:space="preserve">HYPERLINK "http://221.14.6.70:8088/ggzy/" </w:instrText>
      </w:r>
      <w:r>
        <w:fldChar w:fldCharType="separate"/>
      </w:r>
      <w:r>
        <w:rPr>
          <w:rStyle w:val="35"/>
          <w:rFonts w:hint="eastAsia" w:ascii="宋体" w:hAnsi="宋体" w:eastAsia="宋体" w:cs="宋体"/>
          <w:color w:val="auto"/>
          <w:sz w:val="24"/>
          <w:szCs w:val="24"/>
        </w:rPr>
        <w:t>http://ggzy.xuchang.gov.cn:8088/ggzy/</w:t>
      </w:r>
      <w:r>
        <w:fldChar w:fldCharType="end"/>
      </w:r>
      <w:r>
        <w:rPr>
          <w:rFonts w:hint="eastAsia" w:ascii="宋体" w:hAnsi="宋体" w:eastAsia="宋体" w:cs="宋体"/>
          <w:sz w:val="24"/>
          <w:szCs w:val="24"/>
        </w:rPr>
        <w:t>）下载“许昌</w:t>
      </w:r>
      <w:r>
        <w:rPr>
          <w:rFonts w:ascii="宋体" w:hAnsi="宋体" w:eastAsia="宋体" w:cs="宋体"/>
          <w:sz w:val="24"/>
          <w:szCs w:val="24"/>
        </w:rPr>
        <w:t>响应文件</w:t>
      </w:r>
      <w:r>
        <w:rPr>
          <w:rFonts w:hint="eastAsia" w:ascii="宋体" w:hAnsi="宋体" w:eastAsia="宋体" w:cs="宋体"/>
          <w:sz w:val="24"/>
          <w:szCs w:val="24"/>
        </w:rPr>
        <w:t>制作系统SEARUN 最新版本”，按磋商文件要求制作电子</w:t>
      </w:r>
      <w:r>
        <w:rPr>
          <w:rFonts w:ascii="宋体" w:hAnsi="宋体" w:eastAsia="宋体" w:cs="宋体"/>
          <w:sz w:val="24"/>
          <w:szCs w:val="24"/>
        </w:rPr>
        <w:t>响应文件</w:t>
      </w:r>
      <w:r>
        <w:rPr>
          <w:rFonts w:hint="eastAsia" w:ascii="宋体" w:hAnsi="宋体" w:eastAsia="宋体" w:cs="宋体"/>
          <w:sz w:val="24"/>
          <w:szCs w:val="24"/>
        </w:rPr>
        <w:t>。</w:t>
      </w:r>
    </w:p>
    <w:p>
      <w:pPr>
        <w:tabs>
          <w:tab w:val="left" w:pos="7095"/>
        </w:tabs>
        <w:spacing w:line="360" w:lineRule="auto"/>
        <w:ind w:right="210" w:rightChars="100" w:firstLine="480" w:firstLineChars="200"/>
        <w:contextualSpacing/>
        <w:jc w:val="left"/>
        <w:rPr>
          <w:rFonts w:ascii="宋体" w:hAnsi="宋体" w:eastAsia="宋体" w:cs="宋体"/>
          <w:sz w:val="24"/>
          <w:szCs w:val="24"/>
        </w:rPr>
      </w:pPr>
      <w:r>
        <w:rPr>
          <w:rFonts w:hint="eastAsia" w:ascii="宋体" w:hAnsi="宋体" w:eastAsia="宋体" w:cs="宋体"/>
          <w:sz w:val="24"/>
          <w:szCs w:val="24"/>
        </w:rPr>
        <w:t>电子</w:t>
      </w:r>
      <w:r>
        <w:rPr>
          <w:rFonts w:ascii="宋体" w:hAnsi="宋体" w:eastAsia="宋体" w:cs="宋体"/>
          <w:sz w:val="24"/>
          <w:szCs w:val="24"/>
        </w:rPr>
        <w:t>响应文件</w:t>
      </w:r>
      <w:r>
        <w:rPr>
          <w:rFonts w:hint="eastAsia" w:ascii="宋体" w:hAnsi="宋体" w:eastAsia="宋体" w:cs="宋体"/>
          <w:sz w:val="24"/>
          <w:szCs w:val="24"/>
        </w:rPr>
        <w:t>的制作，参考《全国公共资源交易平台(河南省</w:t>
      </w:r>
      <w:r>
        <w:rPr>
          <w:rFonts w:ascii="宋体" w:hAnsi="Segoe UI Emoji" w:eastAsia="宋体" w:cs="Segoe UI Emoji"/>
          <w:sz w:val="24"/>
          <w:szCs w:val="24"/>
        </w:rPr>
        <w:t>▪</w:t>
      </w:r>
      <w:r>
        <w:rPr>
          <w:rFonts w:hint="eastAsia" w:ascii="宋体" w:hAnsi="宋体" w:eastAsia="宋体" w:cs="宋体"/>
          <w:sz w:val="24"/>
          <w:szCs w:val="24"/>
        </w:rPr>
        <w:t>许昌市)》公共资源交易系统——组件下载——交易系统操作手册（</w:t>
      </w:r>
      <w:r>
        <w:rPr>
          <w:rFonts w:ascii="宋体" w:hAnsi="宋体" w:eastAsia="宋体" w:cs="宋体"/>
          <w:sz w:val="24"/>
          <w:szCs w:val="24"/>
        </w:rPr>
        <w:t>供应商</w:t>
      </w:r>
      <w:r>
        <w:rPr>
          <w:rFonts w:hint="eastAsia" w:ascii="宋体" w:hAnsi="宋体" w:eastAsia="宋体" w:cs="宋体"/>
          <w:sz w:val="24"/>
          <w:szCs w:val="24"/>
        </w:rPr>
        <w:t>、供应商）。</w:t>
      </w:r>
    </w:p>
    <w:p>
      <w:pPr>
        <w:tabs>
          <w:tab w:val="left" w:pos="7095"/>
        </w:tabs>
        <w:spacing w:line="360" w:lineRule="auto"/>
        <w:ind w:right="210" w:rightChars="100" w:firstLine="480" w:firstLineChars="200"/>
        <w:contextualSpacing/>
        <w:jc w:val="left"/>
        <w:rPr>
          <w:rFonts w:ascii="宋体" w:hAnsi="宋体" w:eastAsia="宋体" w:cs="宋体"/>
          <w:sz w:val="24"/>
          <w:szCs w:val="24"/>
        </w:rPr>
      </w:pPr>
      <w:r>
        <w:rPr>
          <w:rFonts w:hint="eastAsia" w:ascii="宋体" w:hAnsi="宋体" w:eastAsia="宋体" w:cs="宋体"/>
          <w:sz w:val="24"/>
          <w:szCs w:val="24"/>
        </w:rPr>
        <w:t xml:space="preserve">3.2 </w:t>
      </w:r>
      <w:r>
        <w:rPr>
          <w:rFonts w:ascii="宋体" w:hAnsi="宋体" w:eastAsia="宋体" w:cs="宋体"/>
          <w:sz w:val="24"/>
          <w:szCs w:val="24"/>
        </w:rPr>
        <w:t>供应商</w:t>
      </w:r>
      <w:r>
        <w:rPr>
          <w:rFonts w:hint="eastAsia" w:ascii="宋体" w:hAnsi="宋体" w:eastAsia="宋体" w:cs="宋体"/>
          <w:sz w:val="24"/>
          <w:szCs w:val="24"/>
        </w:rPr>
        <w:t>须将磋商文件要求的资质、业绩、荣誉及相关人员证明材料等资料原件扫描件（或图片）制作到所提交的电子</w:t>
      </w:r>
      <w:r>
        <w:rPr>
          <w:rFonts w:ascii="宋体" w:hAnsi="宋体" w:eastAsia="宋体" w:cs="宋体"/>
          <w:sz w:val="24"/>
          <w:szCs w:val="24"/>
        </w:rPr>
        <w:t>响应文件</w:t>
      </w:r>
      <w:r>
        <w:rPr>
          <w:rFonts w:hint="eastAsia" w:ascii="宋体" w:hAnsi="宋体" w:eastAsia="宋体" w:cs="宋体"/>
          <w:sz w:val="24"/>
          <w:szCs w:val="24"/>
        </w:rPr>
        <w:t>中。</w:t>
      </w:r>
    </w:p>
    <w:p>
      <w:pPr>
        <w:tabs>
          <w:tab w:val="left" w:pos="7095"/>
        </w:tabs>
        <w:spacing w:line="360" w:lineRule="auto"/>
        <w:ind w:right="210" w:rightChars="100" w:firstLine="480" w:firstLineChars="200"/>
        <w:contextualSpacing/>
        <w:jc w:val="left"/>
        <w:rPr>
          <w:rFonts w:ascii="宋体" w:hAnsi="宋体" w:eastAsia="宋体" w:cs="宋体"/>
          <w:sz w:val="24"/>
          <w:szCs w:val="24"/>
        </w:rPr>
      </w:pPr>
      <w:r>
        <w:rPr>
          <w:rFonts w:hint="eastAsia" w:ascii="宋体" w:hAnsi="宋体" w:eastAsia="宋体" w:cs="宋体"/>
          <w:sz w:val="24"/>
          <w:szCs w:val="24"/>
        </w:rPr>
        <w:t>3.3</w:t>
      </w:r>
      <w:r>
        <w:rPr>
          <w:rFonts w:ascii="宋体" w:hAnsi="宋体" w:eastAsia="宋体" w:cs="宋体"/>
          <w:sz w:val="24"/>
          <w:szCs w:val="24"/>
        </w:rPr>
        <w:t>供应商</w:t>
      </w:r>
      <w:r>
        <w:rPr>
          <w:rFonts w:hint="eastAsia" w:ascii="宋体" w:hAnsi="宋体" w:eastAsia="宋体" w:cs="宋体"/>
          <w:sz w:val="24"/>
          <w:szCs w:val="24"/>
        </w:rPr>
        <w:t>对同一项目多个标段进行投标的，应分别下载所投标段的磋商文件，按标段制作电子</w:t>
      </w:r>
      <w:r>
        <w:rPr>
          <w:rFonts w:ascii="宋体" w:hAnsi="宋体" w:eastAsia="宋体" w:cs="宋体"/>
          <w:sz w:val="24"/>
          <w:szCs w:val="24"/>
        </w:rPr>
        <w:t>响应文件</w:t>
      </w:r>
      <w:r>
        <w:rPr>
          <w:rFonts w:hint="eastAsia" w:ascii="宋体" w:hAnsi="宋体" w:eastAsia="宋体" w:cs="宋体"/>
          <w:sz w:val="24"/>
          <w:szCs w:val="24"/>
        </w:rPr>
        <w:t>，并按磋商文件要求在相应位置加盖</w:t>
      </w:r>
      <w:r>
        <w:rPr>
          <w:rFonts w:ascii="宋体" w:hAnsi="宋体" w:eastAsia="宋体" w:cs="宋体"/>
          <w:sz w:val="24"/>
          <w:szCs w:val="24"/>
        </w:rPr>
        <w:t>供应商</w:t>
      </w:r>
      <w:r>
        <w:rPr>
          <w:rFonts w:hint="eastAsia" w:ascii="宋体" w:hAnsi="宋体" w:eastAsia="宋体" w:cs="宋体"/>
          <w:sz w:val="24"/>
          <w:szCs w:val="24"/>
        </w:rPr>
        <w:t>电子印章和法人电子印章。</w:t>
      </w:r>
    </w:p>
    <w:p>
      <w:pPr>
        <w:spacing w:line="360" w:lineRule="auto"/>
        <w:ind w:right="210" w:rightChars="100" w:firstLine="480" w:firstLineChars="200"/>
        <w:contextualSpacing/>
        <w:jc w:val="left"/>
        <w:rPr>
          <w:rFonts w:ascii="宋体" w:hAnsi="宋体" w:eastAsia="宋体" w:cs="宋体"/>
          <w:sz w:val="24"/>
          <w:szCs w:val="24"/>
        </w:rPr>
      </w:pPr>
      <w:r>
        <w:rPr>
          <w:rFonts w:hint="eastAsia" w:ascii="宋体" w:hAnsi="宋体" w:eastAsia="宋体" w:cs="宋体"/>
          <w:sz w:val="24"/>
          <w:szCs w:val="24"/>
        </w:rPr>
        <w:t>一个标段对应生成一个文件夹（xxxx项目xx标段）,其中后缀名为“.file”的文件用于电子投标使用。</w:t>
      </w:r>
    </w:p>
    <w:p>
      <w:pPr>
        <w:spacing w:line="360" w:lineRule="auto"/>
        <w:ind w:right="210" w:rightChars="100" w:firstLine="482" w:firstLineChars="200"/>
        <w:contextualSpacing/>
        <w:jc w:val="left"/>
        <w:rPr>
          <w:rFonts w:ascii="宋体" w:hAnsi="宋体" w:eastAsia="宋体"/>
          <w:b/>
          <w:sz w:val="24"/>
          <w:szCs w:val="24"/>
        </w:rPr>
      </w:pPr>
      <w:r>
        <w:rPr>
          <w:rFonts w:hint="eastAsia" w:ascii="宋体" w:hAnsi="宋体" w:eastAsia="宋体"/>
          <w:b/>
          <w:sz w:val="24"/>
          <w:szCs w:val="24"/>
        </w:rPr>
        <w:t>4.加密电子响应文件的提交</w:t>
      </w:r>
    </w:p>
    <w:p>
      <w:pPr>
        <w:tabs>
          <w:tab w:val="left" w:pos="7095"/>
        </w:tabs>
        <w:spacing w:line="360" w:lineRule="auto"/>
        <w:ind w:right="210" w:rightChars="100" w:firstLine="480" w:firstLineChars="200"/>
        <w:contextualSpacing/>
        <w:jc w:val="left"/>
        <w:rPr>
          <w:rFonts w:ascii="宋体" w:hAnsi="宋体" w:eastAsia="宋体" w:cs="宋体"/>
          <w:sz w:val="24"/>
          <w:szCs w:val="24"/>
        </w:rPr>
      </w:pPr>
      <w:r>
        <w:rPr>
          <w:rFonts w:hint="eastAsia" w:ascii="宋体" w:hAnsi="宋体" w:eastAsia="宋体" w:cs="宋体"/>
          <w:sz w:val="24"/>
          <w:szCs w:val="24"/>
        </w:rPr>
        <w:t>4.1加密电子</w:t>
      </w:r>
      <w:r>
        <w:rPr>
          <w:rFonts w:ascii="宋体" w:hAnsi="宋体" w:eastAsia="宋体" w:cs="宋体"/>
          <w:sz w:val="24"/>
          <w:szCs w:val="24"/>
        </w:rPr>
        <w:t>响应文件</w:t>
      </w:r>
      <w:r>
        <w:rPr>
          <w:rFonts w:hint="eastAsia" w:ascii="宋体" w:hAnsi="宋体" w:eastAsia="宋体" w:cs="宋体"/>
          <w:sz w:val="24"/>
          <w:szCs w:val="24"/>
        </w:rPr>
        <w:t>应按规定在响应截止时间（开标时间）之前成功提交至《全国公共资源交易平台(河南省</w:t>
      </w:r>
      <w:r>
        <w:rPr>
          <w:rFonts w:ascii="宋体" w:hAnsi="Segoe UI Emoji" w:eastAsia="宋体" w:cs="Segoe UI Emoji"/>
          <w:sz w:val="24"/>
          <w:szCs w:val="24"/>
        </w:rPr>
        <w:t>▪</w:t>
      </w:r>
      <w:r>
        <w:rPr>
          <w:rFonts w:hint="eastAsia" w:ascii="宋体" w:hAnsi="宋体" w:eastAsia="宋体" w:cs="宋体"/>
          <w:sz w:val="24"/>
          <w:szCs w:val="24"/>
        </w:rPr>
        <w:t>许昌市)》公共资源交易系统（</w:t>
      </w:r>
      <w:r>
        <w:fldChar w:fldCharType="begin"/>
      </w:r>
      <w:r>
        <w:instrText xml:space="preserve">HYPERLINK "http://221.14.6.70:8088/ggzy/" </w:instrText>
      </w:r>
      <w:r>
        <w:fldChar w:fldCharType="separate"/>
      </w:r>
      <w:r>
        <w:rPr>
          <w:rStyle w:val="35"/>
          <w:rFonts w:hint="eastAsia" w:ascii="宋体" w:hAnsi="宋体" w:eastAsia="宋体" w:cs="宋体"/>
          <w:color w:val="auto"/>
          <w:sz w:val="24"/>
          <w:szCs w:val="24"/>
        </w:rPr>
        <w:t>http://ggzy.xuchang.gov.cn:8088/ggzy/</w:t>
      </w:r>
      <w:r>
        <w:fldChar w:fldCharType="end"/>
      </w:r>
      <w:r>
        <w:rPr>
          <w:rStyle w:val="35"/>
          <w:rFonts w:hint="eastAsia" w:ascii="宋体" w:hAnsi="宋体" w:eastAsia="宋体" w:cs="宋体"/>
          <w:color w:val="auto"/>
          <w:sz w:val="24"/>
          <w:szCs w:val="24"/>
        </w:rPr>
        <w:t>）</w:t>
      </w:r>
      <w:r>
        <w:rPr>
          <w:rFonts w:hint="eastAsia" w:ascii="宋体" w:hAnsi="宋体" w:eastAsia="宋体" w:cs="宋体"/>
          <w:sz w:val="24"/>
          <w:szCs w:val="24"/>
        </w:rPr>
        <w:t>。</w:t>
      </w:r>
    </w:p>
    <w:p>
      <w:pPr>
        <w:tabs>
          <w:tab w:val="left" w:pos="7095"/>
        </w:tabs>
        <w:spacing w:line="360" w:lineRule="auto"/>
        <w:ind w:right="210" w:rightChars="100" w:firstLine="480" w:firstLineChars="200"/>
        <w:contextualSpacing/>
        <w:jc w:val="left"/>
        <w:rPr>
          <w:rFonts w:ascii="宋体" w:hAnsi="宋体" w:eastAsia="宋体" w:cs="宋体"/>
          <w:sz w:val="24"/>
          <w:szCs w:val="24"/>
        </w:rPr>
      </w:pPr>
      <w:r>
        <w:rPr>
          <w:rFonts w:ascii="宋体" w:hAnsi="宋体" w:eastAsia="宋体" w:cs="宋体"/>
          <w:sz w:val="24"/>
          <w:szCs w:val="24"/>
        </w:rPr>
        <w:t>供应商</w:t>
      </w:r>
      <w:r>
        <w:rPr>
          <w:rFonts w:hint="eastAsia" w:ascii="宋体" w:hAnsi="宋体" w:eastAsia="宋体" w:cs="宋体"/>
          <w:sz w:val="24"/>
          <w:szCs w:val="24"/>
        </w:rPr>
        <w:t>应充分考虑并预留技术处理和上传数据所需时间。</w:t>
      </w:r>
    </w:p>
    <w:p>
      <w:pPr>
        <w:tabs>
          <w:tab w:val="left" w:pos="7095"/>
        </w:tabs>
        <w:spacing w:line="360" w:lineRule="auto"/>
        <w:ind w:right="210" w:rightChars="100" w:firstLine="480" w:firstLineChars="200"/>
        <w:contextualSpacing/>
        <w:jc w:val="left"/>
        <w:rPr>
          <w:rFonts w:ascii="宋体" w:hAnsi="宋体" w:eastAsia="宋体" w:cs="宋体"/>
          <w:sz w:val="24"/>
          <w:szCs w:val="24"/>
        </w:rPr>
      </w:pPr>
      <w:r>
        <w:rPr>
          <w:rFonts w:hint="eastAsia" w:ascii="宋体" w:hAnsi="宋体" w:eastAsia="宋体" w:cs="宋体"/>
          <w:sz w:val="24"/>
          <w:szCs w:val="24"/>
        </w:rPr>
        <w:t xml:space="preserve">4.2 </w:t>
      </w:r>
      <w:r>
        <w:rPr>
          <w:rFonts w:ascii="宋体" w:hAnsi="宋体" w:eastAsia="宋体" w:cs="宋体"/>
          <w:sz w:val="24"/>
          <w:szCs w:val="24"/>
        </w:rPr>
        <w:t>供应商</w:t>
      </w:r>
      <w:r>
        <w:rPr>
          <w:rFonts w:hint="eastAsia" w:ascii="宋体" w:hAnsi="宋体" w:eastAsia="宋体" w:cs="宋体"/>
          <w:sz w:val="24"/>
          <w:szCs w:val="24"/>
        </w:rPr>
        <w:t>对同一项目多个标段进行投标的，加密电子</w:t>
      </w:r>
      <w:r>
        <w:rPr>
          <w:rFonts w:ascii="宋体" w:hAnsi="宋体" w:eastAsia="宋体" w:cs="宋体"/>
          <w:sz w:val="24"/>
          <w:szCs w:val="24"/>
        </w:rPr>
        <w:t>响应文件</w:t>
      </w:r>
      <w:r>
        <w:rPr>
          <w:rFonts w:hint="eastAsia" w:ascii="宋体" w:hAnsi="宋体" w:eastAsia="宋体" w:cs="宋体"/>
          <w:sz w:val="24"/>
          <w:szCs w:val="24"/>
        </w:rPr>
        <w:t>应按标段分别提交。</w:t>
      </w:r>
    </w:p>
    <w:p>
      <w:pPr>
        <w:tabs>
          <w:tab w:val="left" w:pos="7095"/>
        </w:tabs>
        <w:spacing w:line="360" w:lineRule="auto"/>
        <w:ind w:right="210" w:rightChars="100" w:firstLine="480" w:firstLineChars="200"/>
        <w:contextualSpacing/>
        <w:jc w:val="left"/>
        <w:rPr>
          <w:rFonts w:ascii="宋体" w:hAnsi="宋体" w:eastAsia="宋体" w:cs="宋体"/>
          <w:sz w:val="24"/>
          <w:szCs w:val="24"/>
        </w:rPr>
      </w:pPr>
      <w:r>
        <w:rPr>
          <w:rFonts w:hint="eastAsia" w:ascii="宋体" w:hAnsi="宋体" w:eastAsia="宋体" w:cs="宋体"/>
          <w:sz w:val="24"/>
          <w:szCs w:val="24"/>
        </w:rPr>
        <w:t>4.3 加密电子</w:t>
      </w:r>
      <w:r>
        <w:rPr>
          <w:rFonts w:ascii="宋体" w:hAnsi="宋体" w:eastAsia="宋体" w:cs="宋体"/>
          <w:sz w:val="24"/>
          <w:szCs w:val="24"/>
        </w:rPr>
        <w:t>响应文件</w:t>
      </w:r>
      <w:r>
        <w:rPr>
          <w:rFonts w:hint="eastAsia" w:ascii="宋体" w:hAnsi="宋体" w:eastAsia="宋体" w:cs="宋体"/>
          <w:sz w:val="24"/>
          <w:szCs w:val="24"/>
        </w:rPr>
        <w:t>成功提交后，《全国公共资源交易平台(河南省.许昌市)》公共资源交易系统（</w:t>
      </w:r>
      <w:r>
        <w:fldChar w:fldCharType="begin"/>
      </w:r>
      <w:r>
        <w:instrText xml:space="preserve">HYPERLINK "http://221.14.6.70:8088/ggzy/" </w:instrText>
      </w:r>
      <w:r>
        <w:fldChar w:fldCharType="separate"/>
      </w:r>
      <w:r>
        <w:rPr>
          <w:rStyle w:val="35"/>
          <w:rFonts w:hint="eastAsia" w:ascii="宋体" w:hAnsi="宋体" w:eastAsia="宋体" w:cs="宋体"/>
          <w:color w:val="auto"/>
          <w:sz w:val="24"/>
          <w:szCs w:val="24"/>
        </w:rPr>
        <w:t>http://ggzy.xuchang.gov.cn:8088/ggzy/</w:t>
      </w:r>
      <w:r>
        <w:fldChar w:fldCharType="end"/>
      </w:r>
      <w:r>
        <w:rPr>
          <w:rFonts w:hint="eastAsia" w:ascii="宋体" w:hAnsi="宋体" w:eastAsia="宋体" w:cs="宋体"/>
          <w:sz w:val="24"/>
          <w:szCs w:val="24"/>
        </w:rPr>
        <w:t>）生成“</w:t>
      </w:r>
      <w:r>
        <w:rPr>
          <w:rFonts w:ascii="宋体" w:hAnsi="宋体" w:eastAsia="宋体" w:cs="宋体"/>
          <w:sz w:val="24"/>
          <w:szCs w:val="24"/>
        </w:rPr>
        <w:t>响应文件</w:t>
      </w:r>
      <w:r>
        <w:rPr>
          <w:rFonts w:hint="eastAsia" w:ascii="宋体" w:hAnsi="宋体" w:eastAsia="宋体" w:cs="宋体"/>
          <w:sz w:val="24"/>
          <w:szCs w:val="24"/>
        </w:rPr>
        <w:t>提交回执单”。</w:t>
      </w:r>
    </w:p>
    <w:p>
      <w:pPr>
        <w:spacing w:line="360" w:lineRule="auto"/>
        <w:ind w:right="210" w:rightChars="100" w:firstLine="482" w:firstLineChars="200"/>
        <w:contextualSpacing/>
        <w:jc w:val="left"/>
        <w:rPr>
          <w:rFonts w:ascii="宋体" w:hAnsi="宋体" w:eastAsia="宋体"/>
          <w:b/>
          <w:sz w:val="24"/>
          <w:szCs w:val="24"/>
        </w:rPr>
      </w:pPr>
      <w:r>
        <w:rPr>
          <w:rFonts w:hint="eastAsia" w:ascii="宋体" w:hAnsi="宋体" w:eastAsia="宋体"/>
          <w:b/>
          <w:sz w:val="24"/>
          <w:szCs w:val="24"/>
        </w:rPr>
        <w:t>5.远程不见面开标（电子响应文件的解密）</w:t>
      </w:r>
    </w:p>
    <w:p>
      <w:pPr>
        <w:tabs>
          <w:tab w:val="left" w:pos="7095"/>
        </w:tabs>
        <w:spacing w:line="360" w:lineRule="auto"/>
        <w:ind w:right="210" w:rightChars="100" w:firstLine="480" w:firstLineChars="200"/>
        <w:contextualSpacing/>
        <w:jc w:val="left"/>
        <w:rPr>
          <w:rFonts w:ascii="宋体" w:hAnsi="宋体" w:eastAsia="宋体" w:cs="宋体"/>
          <w:sz w:val="24"/>
          <w:szCs w:val="24"/>
        </w:rPr>
      </w:pPr>
      <w:r>
        <w:rPr>
          <w:rFonts w:hint="eastAsia" w:ascii="宋体" w:hAnsi="宋体" w:eastAsia="宋体" w:cs="宋体"/>
          <w:sz w:val="24"/>
          <w:szCs w:val="24"/>
        </w:rPr>
        <w:t xml:space="preserve">5.1 </w:t>
      </w:r>
      <w:r>
        <w:rPr>
          <w:rFonts w:ascii="宋体" w:hAnsi="宋体" w:eastAsia="宋体" w:cs="宋体"/>
          <w:sz w:val="24"/>
          <w:szCs w:val="24"/>
        </w:rPr>
        <w:t>供应商</w:t>
      </w:r>
      <w:r>
        <w:rPr>
          <w:rFonts w:hint="eastAsia" w:ascii="宋体" w:hAnsi="宋体" w:eastAsia="宋体" w:cs="宋体"/>
          <w:sz w:val="24"/>
          <w:szCs w:val="24"/>
        </w:rPr>
        <w:t>应熟悉《许昌市不见面操作手册》，并提前设置不见面开标浏览器（设置流程详见《许昌市不见面操作手册》）。</w:t>
      </w:r>
    </w:p>
    <w:p>
      <w:pPr>
        <w:tabs>
          <w:tab w:val="left" w:pos="7095"/>
        </w:tabs>
        <w:spacing w:line="360" w:lineRule="auto"/>
        <w:ind w:right="210" w:rightChars="100" w:firstLine="480" w:firstLineChars="200"/>
        <w:contextualSpacing/>
        <w:jc w:val="left"/>
        <w:rPr>
          <w:rFonts w:ascii="宋体" w:hAnsi="宋体" w:eastAsia="宋体" w:cs="宋体"/>
          <w:sz w:val="24"/>
          <w:szCs w:val="24"/>
        </w:rPr>
      </w:pPr>
      <w:r>
        <w:rPr>
          <w:rFonts w:hint="eastAsia" w:ascii="宋体" w:hAnsi="宋体" w:eastAsia="宋体" w:cs="宋体"/>
          <w:sz w:val="24"/>
          <w:szCs w:val="24"/>
        </w:rPr>
        <w:t>5.2 《许昌市不见面操作手册》下载路径：全国公共资源交易平台（河南省·许昌市）—“资料下载”栏目。</w:t>
      </w:r>
    </w:p>
    <w:p>
      <w:pPr>
        <w:tabs>
          <w:tab w:val="left" w:pos="7095"/>
        </w:tabs>
        <w:spacing w:line="360" w:lineRule="auto"/>
        <w:ind w:right="210" w:rightChars="100" w:firstLine="480" w:firstLineChars="200"/>
        <w:contextualSpacing/>
        <w:jc w:val="left"/>
        <w:rPr>
          <w:rFonts w:ascii="宋体" w:hAnsi="宋体" w:eastAsia="宋体" w:cs="宋体"/>
          <w:sz w:val="24"/>
          <w:szCs w:val="24"/>
        </w:rPr>
      </w:pPr>
      <w:r>
        <w:rPr>
          <w:rFonts w:hint="eastAsia" w:ascii="宋体" w:hAnsi="宋体" w:eastAsia="宋体" w:cs="宋体"/>
          <w:sz w:val="24"/>
          <w:szCs w:val="24"/>
        </w:rPr>
        <w:t>5.3开标时间前</w:t>
      </w:r>
      <w:r>
        <w:rPr>
          <w:rFonts w:ascii="宋体" w:hAnsi="宋体" w:eastAsia="宋体" w:cs="宋体"/>
          <w:sz w:val="24"/>
          <w:szCs w:val="24"/>
        </w:rPr>
        <w:t>供应商</w:t>
      </w:r>
      <w:r>
        <w:rPr>
          <w:rFonts w:hint="eastAsia" w:ascii="宋体" w:hAnsi="宋体" w:eastAsia="宋体" w:cs="宋体"/>
          <w:sz w:val="24"/>
          <w:szCs w:val="24"/>
        </w:rPr>
        <w:t>应登录本项目不见面开标大厅，按照磋商文件确定的开标时间准时参加网上开标。</w:t>
      </w:r>
    </w:p>
    <w:p>
      <w:pPr>
        <w:tabs>
          <w:tab w:val="left" w:pos="7095"/>
        </w:tabs>
        <w:spacing w:line="360" w:lineRule="auto"/>
        <w:ind w:right="210" w:rightChars="100" w:firstLine="480" w:firstLineChars="200"/>
        <w:contextualSpacing/>
        <w:jc w:val="left"/>
        <w:rPr>
          <w:rFonts w:ascii="宋体" w:hAnsi="宋体" w:eastAsia="宋体" w:cs="宋体"/>
          <w:sz w:val="24"/>
          <w:szCs w:val="24"/>
        </w:rPr>
      </w:pPr>
      <w:r>
        <w:rPr>
          <w:rFonts w:hint="eastAsia" w:ascii="宋体" w:hAnsi="宋体" w:eastAsia="宋体" w:cs="宋体"/>
          <w:sz w:val="24"/>
          <w:szCs w:val="24"/>
        </w:rPr>
        <w:t>5.4</w:t>
      </w:r>
      <w:r>
        <w:rPr>
          <w:rFonts w:ascii="宋体" w:hAnsi="宋体" w:eastAsia="宋体" w:cs="宋体"/>
          <w:sz w:val="24"/>
          <w:szCs w:val="24"/>
        </w:rPr>
        <w:t>供应商</w:t>
      </w:r>
      <w:r>
        <w:rPr>
          <w:rFonts w:hint="eastAsia" w:ascii="宋体" w:hAnsi="宋体" w:eastAsia="宋体" w:cs="宋体"/>
          <w:sz w:val="24"/>
          <w:szCs w:val="24"/>
        </w:rPr>
        <w:t>对开标过程和开标记录如有疑义，可在本项目不见面开标大厅“文字互动”对话框或“新增质疑”处在线提出询问。</w:t>
      </w:r>
    </w:p>
    <w:p>
      <w:pPr>
        <w:tabs>
          <w:tab w:val="left" w:pos="7095"/>
        </w:tabs>
        <w:spacing w:line="360" w:lineRule="auto"/>
        <w:ind w:right="210" w:rightChars="100" w:firstLine="480" w:firstLineChars="200"/>
        <w:contextualSpacing/>
        <w:jc w:val="left"/>
        <w:rPr>
          <w:rFonts w:ascii="宋体" w:hAnsi="宋体" w:eastAsia="宋体" w:cs="宋体"/>
          <w:sz w:val="24"/>
          <w:szCs w:val="24"/>
        </w:rPr>
      </w:pPr>
      <w:r>
        <w:rPr>
          <w:rFonts w:hint="eastAsia" w:ascii="宋体" w:hAnsi="宋体" w:eastAsia="宋体" w:cs="宋体"/>
          <w:sz w:val="24"/>
          <w:szCs w:val="24"/>
        </w:rPr>
        <w:t>5.5根据集中采购机构在“文字互动”对话框的通知，</w:t>
      </w:r>
      <w:r>
        <w:rPr>
          <w:rFonts w:ascii="宋体" w:hAnsi="宋体" w:eastAsia="宋体" w:cs="宋体"/>
          <w:sz w:val="24"/>
          <w:szCs w:val="24"/>
        </w:rPr>
        <w:t>供应商</w:t>
      </w:r>
      <w:r>
        <w:rPr>
          <w:rFonts w:hint="eastAsia" w:ascii="宋体" w:hAnsi="宋体" w:eastAsia="宋体" w:cs="宋体"/>
          <w:sz w:val="24"/>
          <w:szCs w:val="24"/>
        </w:rPr>
        <w:t>选择功能栏“解密环节”按钮进行电子</w:t>
      </w:r>
      <w:r>
        <w:rPr>
          <w:rFonts w:ascii="宋体" w:hAnsi="宋体" w:eastAsia="宋体" w:cs="宋体"/>
          <w:sz w:val="24"/>
          <w:szCs w:val="24"/>
        </w:rPr>
        <w:t>响应文件</w:t>
      </w:r>
      <w:r>
        <w:rPr>
          <w:rFonts w:hint="eastAsia" w:ascii="宋体" w:hAnsi="宋体" w:eastAsia="宋体" w:cs="宋体"/>
          <w:sz w:val="24"/>
          <w:szCs w:val="24"/>
        </w:rPr>
        <w:t>解密（</w:t>
      </w:r>
      <w:r>
        <w:rPr>
          <w:rFonts w:ascii="宋体" w:hAnsi="宋体" w:eastAsia="宋体" w:cs="宋体"/>
          <w:sz w:val="24"/>
          <w:szCs w:val="24"/>
        </w:rPr>
        <w:t>供应商</w:t>
      </w:r>
      <w:r>
        <w:rPr>
          <w:rFonts w:hint="eastAsia" w:ascii="宋体" w:hAnsi="宋体" w:eastAsia="宋体" w:cs="宋体"/>
          <w:sz w:val="24"/>
          <w:szCs w:val="24"/>
        </w:rPr>
        <w:t>解密应自集中采购机构点击“开标”按钮后1</w:t>
      </w:r>
      <w:r>
        <w:rPr>
          <w:rFonts w:ascii="宋体" w:hAnsi="宋体" w:eastAsia="宋体" w:cs="宋体"/>
          <w:sz w:val="24"/>
          <w:szCs w:val="24"/>
        </w:rPr>
        <w:t>20</w:t>
      </w:r>
      <w:r>
        <w:rPr>
          <w:rFonts w:hint="eastAsia" w:ascii="宋体" w:hAnsi="宋体" w:eastAsia="宋体" w:cs="宋体"/>
          <w:sz w:val="24"/>
          <w:szCs w:val="24"/>
        </w:rPr>
        <w:t>分钟内完成）。</w:t>
      </w:r>
      <w:r>
        <w:rPr>
          <w:rFonts w:ascii="宋体" w:hAnsi="宋体" w:eastAsia="宋体" w:cs="宋体"/>
          <w:sz w:val="24"/>
          <w:szCs w:val="24"/>
        </w:rPr>
        <w:t>供应商</w:t>
      </w:r>
      <w:r>
        <w:rPr>
          <w:rFonts w:hint="eastAsia" w:ascii="宋体" w:hAnsi="宋体" w:eastAsia="宋体" w:cs="宋体"/>
          <w:sz w:val="24"/>
          <w:szCs w:val="24"/>
        </w:rPr>
        <w:t>未解密或因</w:t>
      </w:r>
      <w:r>
        <w:rPr>
          <w:rFonts w:ascii="宋体" w:hAnsi="宋体" w:eastAsia="宋体" w:cs="宋体"/>
          <w:sz w:val="24"/>
          <w:szCs w:val="24"/>
        </w:rPr>
        <w:t>供应商</w:t>
      </w:r>
      <w:r>
        <w:rPr>
          <w:rFonts w:hint="eastAsia" w:ascii="宋体" w:hAnsi="宋体" w:eastAsia="宋体" w:cs="宋体"/>
          <w:sz w:val="24"/>
          <w:szCs w:val="24"/>
        </w:rPr>
        <w:t>原因解密失败的，其投标将被拒绝。</w:t>
      </w:r>
    </w:p>
    <w:p>
      <w:pPr>
        <w:tabs>
          <w:tab w:val="left" w:pos="7095"/>
        </w:tabs>
        <w:spacing w:line="360" w:lineRule="auto"/>
        <w:ind w:right="210" w:rightChars="100" w:firstLine="480" w:firstLineChars="200"/>
        <w:contextualSpacing/>
        <w:jc w:val="left"/>
        <w:rPr>
          <w:rFonts w:ascii="宋体" w:hAnsi="宋体" w:eastAsia="宋体" w:cs="宋体"/>
          <w:sz w:val="24"/>
          <w:szCs w:val="24"/>
        </w:rPr>
      </w:pPr>
      <w:r>
        <w:rPr>
          <w:rFonts w:hint="eastAsia" w:ascii="宋体" w:hAnsi="宋体" w:eastAsia="宋体" w:cs="宋体"/>
          <w:sz w:val="24"/>
          <w:szCs w:val="24"/>
        </w:rPr>
        <w:t>5.6项目远程不见面开标活动结束时，</w:t>
      </w:r>
      <w:r>
        <w:rPr>
          <w:rFonts w:ascii="宋体" w:hAnsi="宋体" w:eastAsia="宋体" w:cs="宋体"/>
          <w:sz w:val="24"/>
          <w:szCs w:val="24"/>
        </w:rPr>
        <w:t>供应商</w:t>
      </w:r>
      <w:r>
        <w:rPr>
          <w:rFonts w:hint="eastAsia" w:ascii="宋体" w:hAnsi="宋体" w:eastAsia="宋体" w:cs="宋体"/>
          <w:sz w:val="24"/>
          <w:szCs w:val="24"/>
        </w:rPr>
        <w:t>应在《开标记录表》上进行电子签章。</w:t>
      </w:r>
      <w:r>
        <w:rPr>
          <w:rFonts w:ascii="宋体" w:hAnsi="宋体" w:eastAsia="宋体" w:cs="宋体"/>
          <w:sz w:val="24"/>
          <w:szCs w:val="24"/>
        </w:rPr>
        <w:t>供应商</w:t>
      </w:r>
      <w:r>
        <w:rPr>
          <w:rFonts w:hint="eastAsia" w:ascii="宋体" w:hAnsi="宋体" w:eastAsia="宋体" w:cs="宋体"/>
          <w:sz w:val="24"/>
          <w:szCs w:val="24"/>
        </w:rPr>
        <w:t>未签章的，视同认可开标结果。</w:t>
      </w:r>
    </w:p>
    <w:p>
      <w:pPr>
        <w:spacing w:line="360" w:lineRule="auto"/>
        <w:ind w:right="210" w:rightChars="100" w:firstLine="482" w:firstLineChars="200"/>
        <w:contextualSpacing/>
        <w:jc w:val="left"/>
        <w:rPr>
          <w:rFonts w:ascii="宋体" w:hAnsi="宋体" w:eastAsia="宋体"/>
          <w:b/>
          <w:sz w:val="24"/>
          <w:szCs w:val="24"/>
        </w:rPr>
      </w:pPr>
      <w:r>
        <w:rPr>
          <w:rFonts w:hint="eastAsia" w:ascii="宋体" w:hAnsi="宋体" w:eastAsia="宋体"/>
          <w:b/>
          <w:sz w:val="24"/>
          <w:szCs w:val="24"/>
        </w:rPr>
        <w:t>6.评审依据</w:t>
      </w:r>
    </w:p>
    <w:p>
      <w:pPr>
        <w:tabs>
          <w:tab w:val="left" w:pos="7095"/>
        </w:tabs>
        <w:spacing w:line="360" w:lineRule="auto"/>
        <w:ind w:right="210" w:rightChars="100" w:firstLine="480" w:firstLineChars="200"/>
        <w:contextualSpacing/>
        <w:jc w:val="left"/>
        <w:rPr>
          <w:rFonts w:ascii="宋体" w:hAnsi="宋体" w:eastAsia="宋体" w:cs="宋体"/>
          <w:sz w:val="24"/>
          <w:szCs w:val="24"/>
        </w:rPr>
      </w:pPr>
      <w:r>
        <w:rPr>
          <w:rFonts w:hint="eastAsia" w:ascii="宋体" w:hAnsi="宋体" w:eastAsia="宋体" w:cs="宋体"/>
          <w:sz w:val="24"/>
          <w:szCs w:val="24"/>
        </w:rPr>
        <w:t>6.1全流程电子化交易（不见面磋商）项目，磋商小组以成功上传、解密的电子响应文件为依据评审。</w:t>
      </w:r>
    </w:p>
    <w:p>
      <w:pPr>
        <w:tabs>
          <w:tab w:val="left" w:pos="7095"/>
        </w:tabs>
        <w:spacing w:line="360" w:lineRule="auto"/>
        <w:ind w:right="210" w:rightChars="100" w:firstLine="480" w:firstLineChars="200"/>
        <w:contextualSpacing/>
        <w:jc w:val="left"/>
        <w:rPr>
          <w:rFonts w:ascii="宋体" w:hAnsi="宋体" w:eastAsia="宋体" w:cs="宋体"/>
          <w:sz w:val="24"/>
          <w:szCs w:val="24"/>
        </w:rPr>
      </w:pPr>
      <w:r>
        <w:rPr>
          <w:rFonts w:hint="eastAsia" w:ascii="宋体" w:hAnsi="宋体" w:eastAsia="宋体" w:cs="宋体"/>
          <w:sz w:val="24"/>
          <w:szCs w:val="24"/>
        </w:rPr>
        <w:t>6.2 评审期间，供应商应保持通讯手机畅通，并根据磋商小组要求在规定时间内提供：</w:t>
      </w:r>
    </w:p>
    <w:p>
      <w:pPr>
        <w:tabs>
          <w:tab w:val="left" w:pos="7095"/>
        </w:tabs>
        <w:spacing w:line="360" w:lineRule="auto"/>
        <w:ind w:right="210" w:rightChars="100" w:firstLine="480" w:firstLineChars="200"/>
        <w:contextualSpacing/>
        <w:jc w:val="left"/>
        <w:rPr>
          <w:rFonts w:ascii="宋体" w:hAnsi="宋体" w:eastAsia="宋体" w:cs="宋体"/>
          <w:sz w:val="24"/>
          <w:szCs w:val="24"/>
        </w:rPr>
      </w:pPr>
      <w:r>
        <w:rPr>
          <w:rFonts w:hint="eastAsia" w:ascii="宋体" w:hAnsi="宋体" w:eastAsia="宋体" w:cs="宋体"/>
          <w:sz w:val="24"/>
          <w:szCs w:val="24"/>
        </w:rPr>
        <w:t>（1）最后报价（加盖公章，或者由法定代表人或其授权的代表签字）；</w:t>
      </w:r>
    </w:p>
    <w:p>
      <w:pPr>
        <w:tabs>
          <w:tab w:val="left" w:pos="7095"/>
        </w:tabs>
        <w:spacing w:line="360" w:lineRule="auto"/>
        <w:ind w:right="210" w:rightChars="100" w:firstLine="480" w:firstLineChars="200"/>
        <w:contextualSpacing/>
        <w:jc w:val="left"/>
        <w:rPr>
          <w:rFonts w:ascii="宋体" w:hAnsi="宋体" w:eastAsia="宋体" w:cs="宋体"/>
          <w:sz w:val="24"/>
          <w:szCs w:val="24"/>
        </w:rPr>
      </w:pPr>
      <w:r>
        <w:rPr>
          <w:rFonts w:hint="eastAsia" w:ascii="宋体" w:hAnsi="宋体" w:eastAsia="宋体" w:cs="宋体"/>
          <w:sz w:val="24"/>
          <w:szCs w:val="24"/>
        </w:rPr>
        <w:t>提交方式：供应商须使用CA数字证书登录《全国公共资源交易平台(河南省▪许昌市)》公共资源交易系统（http://ggzy.xuchang.gov.cn:8088/ggzy/）进行最后报价，最后报价应包括：总报价。</w:t>
      </w:r>
    </w:p>
    <w:p>
      <w:pPr>
        <w:tabs>
          <w:tab w:val="left" w:pos="7095"/>
        </w:tabs>
        <w:spacing w:line="360" w:lineRule="auto"/>
        <w:ind w:right="210" w:rightChars="100" w:firstLine="480" w:firstLineChars="200"/>
        <w:contextualSpacing/>
        <w:jc w:val="left"/>
        <w:rPr>
          <w:rFonts w:ascii="宋体" w:hAnsi="宋体" w:eastAsia="宋体" w:cs="宋体"/>
          <w:sz w:val="24"/>
          <w:szCs w:val="24"/>
          <w:lang w:val="zh-CN"/>
        </w:rPr>
      </w:pPr>
      <w:r>
        <w:rPr>
          <w:rFonts w:hint="eastAsia" w:ascii="宋体" w:hAnsi="宋体" w:eastAsia="宋体" w:cs="宋体"/>
          <w:sz w:val="24"/>
          <w:szCs w:val="24"/>
          <w:lang w:val="zh-CN"/>
        </w:rPr>
        <w:t>注：</w:t>
      </w:r>
      <w:r>
        <w:rPr>
          <w:rFonts w:hint="eastAsia" w:ascii="宋体" w:hAnsi="宋体" w:eastAsia="宋体" w:cs="宋体"/>
          <w:sz w:val="24"/>
          <w:szCs w:val="24"/>
        </w:rPr>
        <w:t>磋商小组要求供应商提交最后报价时，</w:t>
      </w:r>
      <w:r>
        <w:rPr>
          <w:rFonts w:hint="eastAsia" w:ascii="宋体" w:hAnsi="宋体" w:eastAsia="宋体" w:cs="宋体"/>
          <w:sz w:val="24"/>
          <w:szCs w:val="24"/>
          <w:lang w:val="zh-CN"/>
        </w:rPr>
        <w:t>在磋商小组规定时间内，供应商未提交最后报价则以其初次提交响应文件报价为最后报价。</w:t>
      </w:r>
    </w:p>
    <w:p>
      <w:pPr>
        <w:numPr>
          <w:ilvl w:val="0"/>
          <w:numId w:val="2"/>
        </w:numPr>
        <w:tabs>
          <w:tab w:val="left" w:pos="7095"/>
        </w:tabs>
        <w:spacing w:line="360" w:lineRule="auto"/>
        <w:ind w:right="210" w:rightChars="100" w:firstLine="480" w:firstLineChars="200"/>
        <w:contextualSpacing/>
        <w:jc w:val="left"/>
        <w:rPr>
          <w:rFonts w:ascii="宋体" w:hAnsi="宋体" w:eastAsia="宋体" w:cs="宋体"/>
          <w:sz w:val="24"/>
          <w:szCs w:val="24"/>
        </w:rPr>
      </w:pPr>
      <w:r>
        <w:rPr>
          <w:rFonts w:hint="eastAsia" w:ascii="宋体" w:hAnsi="宋体" w:eastAsia="宋体" w:cs="宋体"/>
          <w:sz w:val="24"/>
          <w:szCs w:val="24"/>
        </w:rPr>
        <w:t>磋商小组如要求供应商提供“澄清、说明或者更正”；“按照磋商文件的变动情况和磋商小组的要求重新提交响应文件”；“最终设计方案或解决方案”的，供应商提供的书面材料应加盖公章，或者由法定代表人或其授权的代表签字后通过电子邮件形式提供。</w:t>
      </w:r>
    </w:p>
    <w:p>
      <w:pPr>
        <w:tabs>
          <w:tab w:val="left" w:pos="7095"/>
        </w:tabs>
        <w:spacing w:line="360" w:lineRule="auto"/>
        <w:ind w:right="210" w:rightChars="100" w:firstLine="480" w:firstLineChars="200"/>
        <w:contextualSpacing/>
        <w:jc w:val="left"/>
        <w:rPr>
          <w:rFonts w:ascii="宋体" w:hAnsi="宋体" w:eastAsia="宋体" w:cs="宋体"/>
        </w:rPr>
      </w:pPr>
      <w:r>
        <w:rPr>
          <w:rFonts w:hint="eastAsia" w:ascii="宋体" w:hAnsi="宋体" w:eastAsia="宋体" w:cs="宋体"/>
          <w:sz w:val="24"/>
          <w:szCs w:val="24"/>
        </w:rPr>
        <w:t>6.3有多轮报价的，各供应商应提前准备好分项报价，为多轮报价做好准备，在磋商小组发起报价通知后，在规定时间内提交有效报价。</w:t>
      </w:r>
    </w:p>
    <w:p>
      <w:pPr>
        <w:jc w:val="center"/>
        <w:rPr>
          <w:rFonts w:ascii="宋体" w:hAnsi="宋体" w:cs="宋体"/>
          <w:b/>
          <w:sz w:val="32"/>
          <w:szCs w:val="32"/>
        </w:rPr>
      </w:pPr>
      <w:r>
        <w:rPr>
          <w:rFonts w:hint="eastAsia" w:ascii="宋体" w:hAnsi="宋体"/>
          <w:b/>
          <w:kern w:val="0"/>
          <w:sz w:val="32"/>
          <w:szCs w:val="32"/>
        </w:rPr>
        <w:br w:type="page"/>
      </w:r>
      <w:r>
        <w:rPr>
          <w:rFonts w:hint="eastAsia" w:ascii="宋体" w:hAnsi="宋体"/>
          <w:b/>
          <w:kern w:val="0"/>
          <w:sz w:val="32"/>
          <w:szCs w:val="32"/>
        </w:rPr>
        <w:t>第二章</w:t>
      </w:r>
      <w:r>
        <w:rPr>
          <w:rFonts w:hint="eastAsia" w:ascii="宋体" w:hAnsi="宋体" w:cs="宋体"/>
          <w:b/>
          <w:sz w:val="32"/>
          <w:szCs w:val="32"/>
        </w:rPr>
        <w:t>采购需求</w:t>
      </w:r>
      <w:bookmarkStart w:id="2" w:name="_Toc95233838"/>
    </w:p>
    <w:p>
      <w:pPr>
        <w:rPr>
          <w:rFonts w:ascii="宋体" w:hAnsi="宋体" w:cs="宋体"/>
          <w:b/>
          <w:spacing w:val="10"/>
          <w:position w:val="1"/>
          <w:sz w:val="24"/>
          <w:szCs w:val="23"/>
        </w:rPr>
      </w:pPr>
      <w:r>
        <w:rPr>
          <w:rFonts w:hint="eastAsia" w:ascii="宋体" w:hAnsi="宋体" w:cs="宋体"/>
          <w:b/>
          <w:spacing w:val="10"/>
          <w:position w:val="1"/>
          <w:sz w:val="24"/>
          <w:szCs w:val="23"/>
        </w:rPr>
        <w:t>一、项目需求</w:t>
      </w:r>
    </w:p>
    <w:tbl>
      <w:tblPr>
        <w:tblStyle w:val="30"/>
        <w:tblpPr w:leftFromText="180" w:rightFromText="180" w:vertAnchor="text" w:horzAnchor="page" w:tblpXSpec="center" w:tblpY="455"/>
        <w:tblOverlap w:val="never"/>
        <w:tblW w:w="98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5"/>
        <w:gridCol w:w="1133"/>
        <w:gridCol w:w="976"/>
        <w:gridCol w:w="6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1205" w:type="dxa"/>
            <w:vAlign w:val="top"/>
          </w:tcPr>
          <w:p>
            <w:pPr>
              <w:spacing w:line="360" w:lineRule="auto"/>
              <w:jc w:val="center"/>
              <w:rPr>
                <w:rFonts w:ascii="宋体" w:hAnsi="宋体" w:cs="宋体"/>
                <w:bCs/>
                <w:sz w:val="24"/>
              </w:rPr>
            </w:pPr>
            <w:r>
              <w:rPr>
                <w:rFonts w:hint="eastAsia" w:ascii="宋体" w:hAnsi="宋体" w:cs="宋体"/>
                <w:bCs/>
                <w:sz w:val="24"/>
              </w:rPr>
              <w:t>名</w:t>
            </w:r>
            <w:bookmarkEnd w:id="2"/>
            <w:r>
              <w:rPr>
                <w:rFonts w:hint="eastAsia" w:ascii="宋体" w:hAnsi="宋体" w:cs="宋体"/>
                <w:bCs/>
                <w:sz w:val="24"/>
              </w:rPr>
              <w:t>称</w:t>
            </w:r>
          </w:p>
        </w:tc>
        <w:tc>
          <w:tcPr>
            <w:tcW w:w="1133" w:type="dxa"/>
            <w:vAlign w:val="center"/>
          </w:tcPr>
          <w:p>
            <w:pPr>
              <w:spacing w:line="360" w:lineRule="auto"/>
              <w:jc w:val="center"/>
              <w:rPr>
                <w:rFonts w:ascii="宋体" w:hAnsi="宋体" w:cs="宋体"/>
                <w:bCs/>
                <w:sz w:val="24"/>
              </w:rPr>
            </w:pPr>
            <w:r>
              <w:rPr>
                <w:rFonts w:hint="eastAsia" w:ascii="宋体" w:hAnsi="宋体" w:cs="宋体"/>
                <w:bCs/>
                <w:sz w:val="24"/>
              </w:rPr>
              <w:t>规格</w:t>
            </w:r>
          </w:p>
        </w:tc>
        <w:tc>
          <w:tcPr>
            <w:tcW w:w="976" w:type="dxa"/>
            <w:vAlign w:val="center"/>
          </w:tcPr>
          <w:p>
            <w:pPr>
              <w:spacing w:line="360" w:lineRule="auto"/>
              <w:jc w:val="center"/>
              <w:rPr>
                <w:rFonts w:ascii="宋体" w:hAnsi="宋体" w:cs="宋体"/>
                <w:bCs/>
                <w:sz w:val="24"/>
              </w:rPr>
            </w:pPr>
            <w:r>
              <w:rPr>
                <w:rFonts w:hint="eastAsia" w:ascii="宋体" w:hAnsi="宋体" w:cs="宋体"/>
                <w:bCs/>
                <w:sz w:val="24"/>
              </w:rPr>
              <w:t>数量</w:t>
            </w:r>
          </w:p>
        </w:tc>
        <w:tc>
          <w:tcPr>
            <w:tcW w:w="6504" w:type="dxa"/>
            <w:vAlign w:val="top"/>
          </w:tcPr>
          <w:p>
            <w:pPr>
              <w:spacing w:line="360" w:lineRule="auto"/>
              <w:jc w:val="center"/>
              <w:rPr>
                <w:rFonts w:ascii="宋体" w:hAnsi="宋体" w:cs="宋体"/>
                <w:bCs/>
                <w:sz w:val="24"/>
              </w:rPr>
            </w:pPr>
            <w:r>
              <w:rPr>
                <w:rFonts w:hint="eastAsia" w:ascii="宋体" w:hAnsi="宋体" w:cs="宋体"/>
                <w:bCs/>
                <w:sz w:val="24"/>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3" w:hRule="atLeast"/>
          <w:jc w:val="center"/>
        </w:trPr>
        <w:tc>
          <w:tcPr>
            <w:tcW w:w="1205" w:type="dxa"/>
            <w:vAlign w:val="center"/>
          </w:tcPr>
          <w:p>
            <w:pPr>
              <w:widowControl/>
              <w:jc w:val="center"/>
              <w:textAlignment w:val="center"/>
              <w:rPr>
                <w:rFonts w:ascii="宋体" w:hAnsi="宋体" w:cs="宋体"/>
                <w:bCs/>
                <w:sz w:val="24"/>
              </w:rPr>
            </w:pPr>
            <w:r>
              <w:rPr>
                <w:rFonts w:hint="eastAsia" w:ascii="宋体" w:hAnsi="宋体" w:cs="宋体"/>
                <w:color w:val="000000"/>
                <w:kern w:val="0"/>
                <w:sz w:val="24"/>
              </w:rPr>
              <w:t>口蹄疫病毒O型竞争ELISA抗体检测试剂盒</w:t>
            </w:r>
          </w:p>
        </w:tc>
        <w:tc>
          <w:tcPr>
            <w:tcW w:w="1133" w:type="dxa"/>
            <w:vAlign w:val="center"/>
          </w:tcPr>
          <w:p>
            <w:pPr>
              <w:widowControl/>
              <w:jc w:val="center"/>
              <w:textAlignment w:val="center"/>
              <w:rPr>
                <w:rFonts w:ascii="宋体" w:hAnsi="宋体" w:cs="宋体"/>
                <w:color w:val="000000"/>
                <w:sz w:val="24"/>
              </w:rPr>
            </w:pPr>
            <w:r>
              <w:rPr>
                <w:rFonts w:hint="eastAsia" w:ascii="宋体" w:hAnsi="宋体" w:cs="宋体"/>
                <w:color w:val="000000"/>
                <w:sz w:val="24"/>
              </w:rPr>
              <w:t>5*96</w:t>
            </w:r>
          </w:p>
        </w:tc>
        <w:tc>
          <w:tcPr>
            <w:tcW w:w="976" w:type="dxa"/>
            <w:vAlign w:val="center"/>
          </w:tcPr>
          <w:p>
            <w:pPr>
              <w:widowControl/>
              <w:jc w:val="center"/>
              <w:textAlignment w:val="center"/>
              <w:rPr>
                <w:rFonts w:ascii="宋体" w:hAnsi="宋体" w:cs="宋体"/>
                <w:color w:val="000000"/>
                <w:sz w:val="24"/>
              </w:rPr>
            </w:pPr>
            <w:r>
              <w:rPr>
                <w:rFonts w:hint="eastAsia" w:ascii="宋体" w:hAnsi="宋体" w:cs="宋体"/>
                <w:color w:val="000000"/>
                <w:sz w:val="24"/>
              </w:rPr>
              <w:t>6盒</w:t>
            </w:r>
          </w:p>
        </w:tc>
        <w:tc>
          <w:tcPr>
            <w:tcW w:w="6504" w:type="dxa"/>
            <w:vAlign w:val="top"/>
          </w:tcPr>
          <w:p>
            <w:pPr>
              <w:widowControl/>
              <w:textAlignment w:val="center"/>
              <w:rPr>
                <w:rFonts w:ascii="宋体" w:hAnsi="宋体" w:cs="宋体"/>
                <w:color w:val="000000"/>
                <w:sz w:val="24"/>
              </w:rPr>
            </w:pPr>
            <w:r>
              <w:rPr>
                <w:rFonts w:hint="eastAsia" w:ascii="宋体" w:hAnsi="宋体" w:cs="宋体"/>
                <w:color w:val="000000"/>
                <w:sz w:val="24"/>
              </w:rPr>
              <w:t>1.用途：检测猪、牛、羊血清中的口蹄疫病毒O型抗体。</w:t>
            </w:r>
          </w:p>
          <w:p>
            <w:pPr>
              <w:widowControl/>
              <w:textAlignment w:val="center"/>
              <w:rPr>
                <w:rFonts w:ascii="宋体" w:hAnsi="宋体" w:cs="宋体"/>
                <w:color w:val="000000"/>
                <w:sz w:val="24"/>
              </w:rPr>
            </w:pPr>
            <w:r>
              <w:rPr>
                <w:rFonts w:hint="eastAsia" w:ascii="宋体" w:hAnsi="宋体" w:cs="宋体"/>
                <w:color w:val="000000"/>
                <w:sz w:val="24"/>
              </w:rPr>
              <w:t>2.竞争ELISA方法。</w:t>
            </w:r>
          </w:p>
          <w:p>
            <w:pPr>
              <w:widowControl/>
              <w:textAlignment w:val="center"/>
              <w:rPr>
                <w:rFonts w:ascii="宋体" w:hAnsi="宋体" w:cs="宋体"/>
                <w:color w:val="000000"/>
                <w:sz w:val="24"/>
              </w:rPr>
            </w:pPr>
            <w:r>
              <w:rPr>
                <w:rFonts w:hint="eastAsia" w:ascii="宋体" w:hAnsi="宋体" w:cs="宋体"/>
                <w:color w:val="000000"/>
                <w:sz w:val="24"/>
              </w:rPr>
              <w:t>3.试剂盒规格： 5*96孔板/盒。</w:t>
            </w:r>
          </w:p>
          <w:p>
            <w:pPr>
              <w:widowControl/>
              <w:textAlignment w:val="center"/>
              <w:rPr>
                <w:rFonts w:ascii="宋体" w:hAnsi="宋体" w:cs="宋体"/>
                <w:color w:val="000000"/>
                <w:sz w:val="24"/>
              </w:rPr>
            </w:pPr>
            <w:r>
              <w:rPr>
                <w:rFonts w:hint="eastAsia" w:ascii="宋体" w:hAnsi="宋体" w:cs="宋体"/>
                <w:color w:val="000000"/>
                <w:sz w:val="24"/>
              </w:rPr>
              <w:t>4.试剂盒主要组成：FMDV-O竞争包被板、FMDV-O竞争酶结合物、FMDV-O竞争样品稀释液、FMDV-O竞争阴性对照、FMDV-O竞争阳性对照、显色液A、显色液B、终止液、固体洗液、自封袋、封板膜、说明书、加样槽、血清稀释板。</w:t>
            </w:r>
          </w:p>
          <w:p>
            <w:pPr>
              <w:widowControl/>
              <w:textAlignment w:val="center"/>
              <w:rPr>
                <w:rFonts w:ascii="宋体" w:hAnsi="宋体" w:cs="宋体"/>
                <w:color w:val="000000"/>
                <w:sz w:val="24"/>
              </w:rPr>
            </w:pPr>
            <w:r>
              <w:rPr>
                <w:rFonts w:hint="eastAsia" w:ascii="宋体" w:hAnsi="宋体" w:cs="宋体"/>
                <w:color w:val="000000"/>
                <w:sz w:val="24"/>
              </w:rPr>
              <w:t>5.一步法，反应时长45分钟。</w:t>
            </w:r>
          </w:p>
          <w:p>
            <w:pPr>
              <w:widowControl/>
              <w:textAlignment w:val="center"/>
              <w:rPr>
                <w:rFonts w:ascii="宋体" w:hAnsi="宋体" w:cs="宋体"/>
                <w:color w:val="000000"/>
                <w:sz w:val="24"/>
              </w:rPr>
            </w:pPr>
            <w:r>
              <w:rPr>
                <w:rFonts w:hint="eastAsia" w:ascii="宋体" w:hAnsi="宋体" w:cs="宋体"/>
                <w:color w:val="000000"/>
                <w:sz w:val="24"/>
              </w:rPr>
              <w:t>6.结果判定：</w:t>
            </w:r>
          </w:p>
          <w:p>
            <w:pPr>
              <w:widowControl/>
              <w:textAlignment w:val="center"/>
              <w:rPr>
                <w:rFonts w:ascii="宋体" w:hAnsi="宋体" w:cs="宋体"/>
                <w:color w:val="000000"/>
                <w:sz w:val="24"/>
              </w:rPr>
            </w:pPr>
            <w:r>
              <w:rPr>
                <w:rFonts w:hint="eastAsia" w:ascii="宋体" w:hAnsi="宋体" w:cs="宋体"/>
                <w:color w:val="000000"/>
                <w:sz w:val="24"/>
              </w:rPr>
              <w:t>如果S/N值＜0.4，样品应判定为抗体阴性。如果S/N值≥0.4，样品应判定为抗体阳性。</w:t>
            </w:r>
          </w:p>
          <w:p>
            <w:pPr>
              <w:widowControl/>
              <w:textAlignment w:val="center"/>
              <w:rPr>
                <w:rFonts w:ascii="宋体" w:hAnsi="宋体" w:cs="宋体"/>
                <w:color w:val="000000"/>
                <w:sz w:val="24"/>
              </w:rPr>
            </w:pPr>
            <w:r>
              <w:rPr>
                <w:rFonts w:hint="eastAsia" w:ascii="宋体" w:hAnsi="宋体" w:cs="宋体"/>
                <w:color w:val="000000"/>
                <w:sz w:val="24"/>
              </w:rPr>
              <w:t>7.储藏与有效期：2～8℃保存，有效期12个月。</w:t>
            </w:r>
          </w:p>
          <w:p>
            <w:pPr>
              <w:widowControl/>
              <w:textAlignment w:val="center"/>
              <w:rPr>
                <w:rFonts w:ascii="宋体" w:hAnsi="宋体" w:cs="宋体"/>
                <w:color w:val="000000"/>
                <w:sz w:val="24"/>
              </w:rPr>
            </w:pPr>
            <w:r>
              <w:rPr>
                <w:rFonts w:hint="eastAsia" w:ascii="宋体" w:hAnsi="宋体" w:cs="宋体"/>
                <w:color w:val="000000"/>
                <w:sz w:val="24"/>
              </w:rPr>
              <w:t>8.生产厂家具有经农业农村部核发的《兽药GMP证书》和《兽药生产许可证》</w:t>
            </w:r>
          </w:p>
          <w:p>
            <w:pPr>
              <w:widowControl/>
              <w:textAlignment w:val="center"/>
              <w:rPr>
                <w:rFonts w:ascii="宋体" w:hAnsi="宋体" w:cs="宋体"/>
                <w:color w:val="000000"/>
                <w:sz w:val="24"/>
              </w:rPr>
            </w:pPr>
            <w:r>
              <w:rPr>
                <w:rFonts w:hint="eastAsia" w:ascii="宋体" w:hAnsi="宋体" w:cs="宋体"/>
                <w:color w:val="000000"/>
                <w:sz w:val="24"/>
              </w:rPr>
              <w:t>9.生产厂家取得该产品的新兽药证书及兽药批准文号，提供证书图片或扫描件（加盖投标人公章）。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9" w:hRule="atLeast"/>
          <w:jc w:val="center"/>
        </w:trPr>
        <w:tc>
          <w:tcPr>
            <w:tcW w:w="1205" w:type="dxa"/>
            <w:vAlign w:val="center"/>
          </w:tcPr>
          <w:p>
            <w:pPr>
              <w:widowControl/>
              <w:jc w:val="center"/>
              <w:textAlignment w:val="center"/>
              <w:rPr>
                <w:rFonts w:ascii="宋体" w:hAnsi="宋体" w:cs="宋体"/>
                <w:bCs/>
                <w:sz w:val="24"/>
              </w:rPr>
            </w:pPr>
            <w:r>
              <w:rPr>
                <w:rFonts w:hint="eastAsia" w:ascii="宋体" w:hAnsi="宋体" w:cs="宋体"/>
                <w:color w:val="000000"/>
                <w:kern w:val="0"/>
                <w:sz w:val="24"/>
              </w:rPr>
              <w:t>口蹄疫病毒O型LB-ELISA抗体检测试剂盒（新模式）</w:t>
            </w:r>
          </w:p>
        </w:tc>
        <w:tc>
          <w:tcPr>
            <w:tcW w:w="1133" w:type="dxa"/>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10*96</w:t>
            </w:r>
          </w:p>
        </w:tc>
        <w:tc>
          <w:tcPr>
            <w:tcW w:w="976" w:type="dxa"/>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2盒</w:t>
            </w:r>
          </w:p>
        </w:tc>
        <w:tc>
          <w:tcPr>
            <w:tcW w:w="6504" w:type="dxa"/>
            <w:vAlign w:val="top"/>
          </w:tcPr>
          <w:p>
            <w:pPr>
              <w:widowControl/>
              <w:textAlignment w:val="center"/>
              <w:rPr>
                <w:rFonts w:ascii="宋体" w:hAnsi="宋体" w:cs="宋体"/>
                <w:color w:val="000000"/>
                <w:sz w:val="24"/>
              </w:rPr>
            </w:pPr>
            <w:r>
              <w:rPr>
                <w:rFonts w:hint="eastAsia" w:ascii="宋体" w:hAnsi="宋体" w:cs="宋体"/>
                <w:color w:val="000000"/>
                <w:sz w:val="24"/>
              </w:rPr>
              <w:t>1.用途：检测猪、牛、羊血清中的口蹄疫病毒O型抗体。</w:t>
            </w:r>
          </w:p>
          <w:p>
            <w:pPr>
              <w:widowControl/>
              <w:textAlignment w:val="center"/>
              <w:rPr>
                <w:rFonts w:ascii="宋体" w:hAnsi="宋体" w:cs="宋体"/>
                <w:color w:val="000000"/>
                <w:sz w:val="24"/>
              </w:rPr>
            </w:pPr>
            <w:r>
              <w:rPr>
                <w:rFonts w:hint="eastAsia" w:ascii="宋体" w:hAnsi="宋体" w:cs="宋体"/>
                <w:color w:val="000000"/>
                <w:sz w:val="24"/>
              </w:rPr>
              <w:t>2.液相阻断ELISA方法。</w:t>
            </w:r>
          </w:p>
          <w:p>
            <w:pPr>
              <w:widowControl/>
              <w:textAlignment w:val="center"/>
              <w:rPr>
                <w:rFonts w:ascii="宋体" w:hAnsi="宋体" w:cs="宋体"/>
                <w:color w:val="000000"/>
                <w:sz w:val="24"/>
              </w:rPr>
            </w:pPr>
            <w:r>
              <w:rPr>
                <w:rFonts w:hint="eastAsia" w:ascii="宋体" w:hAnsi="宋体" w:cs="宋体"/>
                <w:color w:val="000000"/>
                <w:sz w:val="24"/>
              </w:rPr>
              <w:t>3.试剂盒规格：10*96孔板/盒。</w:t>
            </w:r>
          </w:p>
          <w:p>
            <w:pPr>
              <w:widowControl/>
              <w:textAlignment w:val="center"/>
              <w:rPr>
                <w:rFonts w:ascii="宋体" w:hAnsi="宋体" w:cs="宋体"/>
                <w:color w:val="000000"/>
                <w:sz w:val="24"/>
              </w:rPr>
            </w:pPr>
            <w:r>
              <w:rPr>
                <w:rFonts w:hint="eastAsia" w:ascii="宋体" w:hAnsi="宋体" w:cs="宋体"/>
                <w:color w:val="000000"/>
                <w:sz w:val="24"/>
              </w:rPr>
              <w:t>4.试剂盒主要组成：FMDV-O包被板Q、FMDV-O酶结合物Q、FMDV-O抗体溶液Q、FMDV-O浓缩病毒抗原Q、FMDV-O浓缩样品稀释液(5×)Q、FMDV-O阴性对照Q、FMDV-O阳性对照Q、显色液A、显色液B、终止液、洗液、自封袋、封板膜、说明书、加样槽、血清稀释板。</w:t>
            </w:r>
          </w:p>
          <w:p>
            <w:pPr>
              <w:widowControl/>
              <w:textAlignment w:val="center"/>
              <w:rPr>
                <w:rFonts w:ascii="宋体" w:hAnsi="宋体" w:cs="宋体"/>
                <w:color w:val="000000"/>
                <w:sz w:val="24"/>
              </w:rPr>
            </w:pPr>
            <w:r>
              <w:rPr>
                <w:rFonts w:hint="eastAsia" w:ascii="宋体" w:hAnsi="宋体" w:cs="宋体"/>
                <w:color w:val="000000"/>
                <w:sz w:val="24"/>
              </w:rPr>
              <w:t>5.两步法，反应时间75分钟。</w:t>
            </w:r>
          </w:p>
          <w:p>
            <w:pPr>
              <w:widowControl/>
              <w:textAlignment w:val="center"/>
              <w:rPr>
                <w:rFonts w:ascii="宋体" w:hAnsi="宋体" w:cs="宋体"/>
                <w:color w:val="000000"/>
                <w:sz w:val="24"/>
              </w:rPr>
            </w:pPr>
            <w:r>
              <w:rPr>
                <w:rFonts w:hint="eastAsia" w:ascii="宋体" w:hAnsi="宋体" w:cs="宋体"/>
                <w:color w:val="000000"/>
                <w:sz w:val="24"/>
              </w:rPr>
              <w:t>6.结果判定：</w:t>
            </w:r>
          </w:p>
          <w:p>
            <w:pPr>
              <w:widowControl/>
              <w:textAlignment w:val="center"/>
              <w:rPr>
                <w:rFonts w:ascii="宋体" w:hAnsi="宋体" w:cs="宋体"/>
                <w:color w:val="000000"/>
                <w:sz w:val="24"/>
              </w:rPr>
            </w:pPr>
            <w:r>
              <w:rPr>
                <w:rFonts w:hint="eastAsia" w:ascii="宋体" w:hAnsi="宋体" w:cs="宋体"/>
                <w:color w:val="000000"/>
                <w:sz w:val="24"/>
              </w:rPr>
              <w:t>抗体效价≥1:128，判为阳性；抗体效价≤1:64，判为阴性；</w:t>
            </w:r>
          </w:p>
          <w:p>
            <w:pPr>
              <w:widowControl/>
              <w:textAlignment w:val="center"/>
              <w:rPr>
                <w:rFonts w:ascii="宋体" w:hAnsi="宋体" w:cs="宋体"/>
                <w:color w:val="000000"/>
                <w:sz w:val="24"/>
              </w:rPr>
            </w:pPr>
            <w:r>
              <w:rPr>
                <w:rFonts w:hint="eastAsia" w:ascii="宋体" w:hAnsi="宋体" w:cs="宋体"/>
                <w:color w:val="000000"/>
                <w:sz w:val="24"/>
              </w:rPr>
              <w:t>抗体效价在1:64～1:128时，判为可疑。可疑待检样品需复测，复测抗体效价≥1:128，判为阳性，＜1:128判为阴性。</w:t>
            </w:r>
          </w:p>
          <w:p>
            <w:pPr>
              <w:widowControl/>
              <w:textAlignment w:val="center"/>
              <w:rPr>
                <w:rFonts w:ascii="宋体" w:hAnsi="宋体" w:cs="宋体"/>
                <w:color w:val="000000"/>
                <w:sz w:val="24"/>
              </w:rPr>
            </w:pPr>
            <w:r>
              <w:rPr>
                <w:rFonts w:hint="eastAsia" w:ascii="宋体" w:hAnsi="宋体" w:cs="宋体"/>
                <w:color w:val="000000"/>
                <w:sz w:val="24"/>
              </w:rPr>
              <w:t>7.储藏与有效期：试剂盒2～8℃存放，浓缩病毒抗原-20℃存放，有效期12个月。</w:t>
            </w:r>
          </w:p>
          <w:p>
            <w:pPr>
              <w:widowControl/>
              <w:textAlignment w:val="center"/>
              <w:rPr>
                <w:rFonts w:ascii="宋体" w:hAnsi="宋体" w:cs="宋体"/>
                <w:color w:val="000000"/>
                <w:sz w:val="24"/>
              </w:rPr>
            </w:pPr>
            <w:r>
              <w:rPr>
                <w:rFonts w:hint="eastAsia" w:ascii="宋体" w:hAnsi="宋体" w:cs="宋体"/>
                <w:color w:val="000000"/>
                <w:sz w:val="24"/>
              </w:rPr>
              <w:t>8.生产厂家具有经农业农村部核发的《兽药GMP证书》和《兽药生产许可证》</w:t>
            </w:r>
          </w:p>
          <w:p>
            <w:pPr>
              <w:widowControl/>
              <w:textAlignment w:val="center"/>
              <w:rPr>
                <w:rFonts w:ascii="宋体" w:hAnsi="宋体" w:cs="宋体"/>
                <w:color w:val="000000"/>
                <w:sz w:val="24"/>
              </w:rPr>
            </w:pPr>
            <w:r>
              <w:rPr>
                <w:rFonts w:hint="eastAsia" w:ascii="宋体" w:hAnsi="宋体" w:cs="宋体"/>
                <w:color w:val="000000"/>
                <w:sz w:val="24"/>
              </w:rPr>
              <w:t>9.产品通过口蹄疫国家参考/专业/区域实验室验证，提供证明材料。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1205"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猪口蹄疫病毒O型磁微粒化学发光抗体检测试剂盒</w:t>
            </w:r>
          </w:p>
        </w:tc>
        <w:tc>
          <w:tcPr>
            <w:tcW w:w="1133" w:type="dxa"/>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200T/盒</w:t>
            </w:r>
          </w:p>
        </w:tc>
        <w:tc>
          <w:tcPr>
            <w:tcW w:w="976" w:type="dxa"/>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2盒</w:t>
            </w:r>
          </w:p>
        </w:tc>
        <w:tc>
          <w:tcPr>
            <w:tcW w:w="6504" w:type="dxa"/>
            <w:vAlign w:val="top"/>
          </w:tcPr>
          <w:p>
            <w:pPr>
              <w:widowControl/>
              <w:textAlignment w:val="center"/>
              <w:rPr>
                <w:rFonts w:ascii="宋体" w:hAnsi="宋体" w:cs="宋体"/>
                <w:color w:val="000000"/>
                <w:sz w:val="24"/>
              </w:rPr>
            </w:pPr>
            <w:r>
              <w:rPr>
                <w:rFonts w:hint="eastAsia" w:ascii="宋体" w:hAnsi="宋体" w:cs="宋体"/>
                <w:color w:val="000000"/>
                <w:sz w:val="24"/>
              </w:rPr>
              <w:t>1.用于检测猪血清中口蹄疫病毒O型抗体，适用于评估养殖场口蹄疫疫苗免疫状况。</w:t>
            </w:r>
          </w:p>
          <w:p>
            <w:pPr>
              <w:widowControl/>
              <w:textAlignment w:val="center"/>
              <w:rPr>
                <w:rFonts w:ascii="宋体" w:hAnsi="宋体" w:cs="宋体"/>
                <w:color w:val="000000"/>
                <w:sz w:val="24"/>
              </w:rPr>
            </w:pPr>
            <w:r>
              <w:rPr>
                <w:rFonts w:hint="eastAsia" w:ascii="宋体" w:hAnsi="宋体" w:cs="宋体"/>
                <w:color w:val="000000"/>
                <w:sz w:val="24"/>
              </w:rPr>
              <w:t>2.采用磁微粒化学发光免疫分析方法；</w:t>
            </w:r>
          </w:p>
          <w:p>
            <w:pPr>
              <w:widowControl/>
              <w:textAlignment w:val="center"/>
              <w:rPr>
                <w:rFonts w:ascii="宋体" w:hAnsi="宋体" w:cs="宋体"/>
                <w:color w:val="000000"/>
                <w:sz w:val="24"/>
              </w:rPr>
            </w:pPr>
            <w:r>
              <w:rPr>
                <w:rFonts w:hint="eastAsia" w:ascii="宋体" w:hAnsi="宋体" w:cs="宋体"/>
                <w:color w:val="000000"/>
                <w:sz w:val="24"/>
              </w:rPr>
              <w:t>3.试剂盒规格：200T/盒。</w:t>
            </w:r>
          </w:p>
          <w:p>
            <w:pPr>
              <w:widowControl/>
              <w:textAlignment w:val="center"/>
              <w:rPr>
                <w:rFonts w:ascii="宋体" w:hAnsi="宋体" w:cs="宋体"/>
                <w:color w:val="000000"/>
                <w:sz w:val="24"/>
              </w:rPr>
            </w:pPr>
            <w:r>
              <w:rPr>
                <w:rFonts w:hint="eastAsia" w:ascii="宋体" w:hAnsi="宋体" w:cs="宋体"/>
                <w:color w:val="000000"/>
                <w:sz w:val="24"/>
              </w:rPr>
              <w:t>4.主要组份：FMDV-O磁珠、FMDV-O酶结合物、FMDV-O阴性质控品、FMDV-O阳性质控品、发光底物A、发光底物B、固体洗液、说明书。</w:t>
            </w:r>
          </w:p>
          <w:p>
            <w:pPr>
              <w:widowControl/>
              <w:textAlignment w:val="center"/>
              <w:rPr>
                <w:rFonts w:ascii="宋体" w:hAnsi="宋体" w:cs="宋体"/>
                <w:color w:val="000000"/>
                <w:sz w:val="24"/>
              </w:rPr>
            </w:pPr>
            <w:r>
              <w:rPr>
                <w:rFonts w:hint="eastAsia" w:ascii="宋体" w:hAnsi="宋体" w:cs="宋体"/>
                <w:color w:val="000000"/>
                <w:sz w:val="24"/>
              </w:rPr>
              <w:t>5.结果判定：仪器预置计算程式，自动进行结果计算和判定。</w:t>
            </w:r>
          </w:p>
          <w:p>
            <w:pPr>
              <w:widowControl/>
              <w:textAlignment w:val="center"/>
              <w:rPr>
                <w:rFonts w:ascii="宋体" w:hAnsi="宋体" w:cs="宋体"/>
                <w:color w:val="000000"/>
                <w:sz w:val="24"/>
              </w:rPr>
            </w:pPr>
            <w:r>
              <w:rPr>
                <w:rFonts w:hint="eastAsia" w:ascii="宋体" w:hAnsi="宋体" w:cs="宋体"/>
                <w:color w:val="000000"/>
                <w:sz w:val="24"/>
              </w:rPr>
              <w:t>6.储藏与有效期：2-8℃保存，有效期6个月。</w:t>
            </w:r>
          </w:p>
          <w:p>
            <w:pPr>
              <w:widowControl/>
              <w:textAlignment w:val="center"/>
              <w:rPr>
                <w:rFonts w:ascii="宋体" w:hAnsi="宋体" w:cs="宋体"/>
                <w:color w:val="000000"/>
                <w:sz w:val="24"/>
              </w:rPr>
            </w:pPr>
            <w:r>
              <w:rPr>
                <w:rFonts w:hint="eastAsia" w:ascii="宋体" w:hAnsi="宋体" w:cs="宋体"/>
                <w:color w:val="000000"/>
                <w:sz w:val="24"/>
              </w:rPr>
              <w:t>7.生产厂家具有经农业农村部核发的《兽药GMP证书》和《兽药生产许可证》。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9" w:hRule="atLeast"/>
          <w:jc w:val="center"/>
        </w:trPr>
        <w:tc>
          <w:tcPr>
            <w:tcW w:w="1205" w:type="dxa"/>
            <w:vAlign w:val="center"/>
          </w:tcPr>
          <w:p>
            <w:pPr>
              <w:widowControl/>
              <w:jc w:val="center"/>
              <w:textAlignment w:val="center"/>
              <w:rPr>
                <w:rFonts w:ascii="宋体" w:hAnsi="宋体" w:cs="宋体"/>
                <w:bCs/>
                <w:sz w:val="24"/>
              </w:rPr>
            </w:pPr>
            <w:r>
              <w:rPr>
                <w:rFonts w:hint="eastAsia" w:ascii="宋体" w:hAnsi="宋体" w:cs="宋体"/>
                <w:color w:val="000000"/>
                <w:kern w:val="0"/>
                <w:sz w:val="24"/>
              </w:rPr>
              <w:t>口蹄疫病毒A型LB-ELISA抗体检测试剂盒（新模式）</w:t>
            </w:r>
          </w:p>
        </w:tc>
        <w:tc>
          <w:tcPr>
            <w:tcW w:w="1133" w:type="dxa"/>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10*96</w:t>
            </w:r>
          </w:p>
        </w:tc>
        <w:tc>
          <w:tcPr>
            <w:tcW w:w="976" w:type="dxa"/>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2盒</w:t>
            </w:r>
          </w:p>
        </w:tc>
        <w:tc>
          <w:tcPr>
            <w:tcW w:w="6504" w:type="dxa"/>
            <w:vAlign w:val="top"/>
          </w:tcPr>
          <w:p>
            <w:pPr>
              <w:widowControl/>
              <w:textAlignment w:val="center"/>
              <w:rPr>
                <w:rFonts w:ascii="宋体" w:hAnsi="宋体" w:cs="宋体"/>
                <w:color w:val="000000"/>
                <w:sz w:val="24"/>
              </w:rPr>
            </w:pPr>
            <w:r>
              <w:rPr>
                <w:rFonts w:hint="eastAsia" w:ascii="宋体" w:hAnsi="宋体" w:cs="宋体"/>
                <w:color w:val="000000"/>
                <w:sz w:val="24"/>
              </w:rPr>
              <w:t>1.用途：检测猪、牛、羊血清中的口蹄疫病毒A型抗体。</w:t>
            </w:r>
          </w:p>
          <w:p>
            <w:pPr>
              <w:widowControl/>
              <w:textAlignment w:val="center"/>
              <w:rPr>
                <w:rFonts w:ascii="宋体" w:hAnsi="宋体" w:cs="宋体"/>
                <w:color w:val="000000"/>
                <w:sz w:val="24"/>
              </w:rPr>
            </w:pPr>
            <w:r>
              <w:rPr>
                <w:rFonts w:hint="eastAsia" w:ascii="宋体" w:hAnsi="宋体" w:cs="宋体"/>
                <w:color w:val="000000"/>
                <w:sz w:val="24"/>
              </w:rPr>
              <w:t>2.液相阻断ELISA方法。</w:t>
            </w:r>
          </w:p>
          <w:p>
            <w:pPr>
              <w:widowControl/>
              <w:textAlignment w:val="center"/>
              <w:rPr>
                <w:rFonts w:ascii="宋体" w:hAnsi="宋体" w:cs="宋体"/>
                <w:color w:val="000000"/>
                <w:sz w:val="24"/>
              </w:rPr>
            </w:pPr>
            <w:r>
              <w:rPr>
                <w:rFonts w:hint="eastAsia" w:ascii="宋体" w:hAnsi="宋体" w:cs="宋体"/>
                <w:color w:val="000000"/>
                <w:sz w:val="24"/>
              </w:rPr>
              <w:t>3.试剂盒规格：10*96孔板/盒。</w:t>
            </w:r>
          </w:p>
          <w:p>
            <w:pPr>
              <w:widowControl/>
              <w:textAlignment w:val="center"/>
              <w:rPr>
                <w:rFonts w:ascii="宋体" w:hAnsi="宋体" w:cs="宋体"/>
                <w:color w:val="000000"/>
                <w:sz w:val="24"/>
              </w:rPr>
            </w:pPr>
            <w:r>
              <w:rPr>
                <w:rFonts w:hint="eastAsia" w:ascii="宋体" w:hAnsi="宋体" w:cs="宋体"/>
                <w:color w:val="000000"/>
                <w:sz w:val="24"/>
              </w:rPr>
              <w:t>4.试剂盒主要组成：FMDV-A包被板Q、FMDV-A酶结合物Q、FMDV-A抗体溶液Q、FMDV-A浓缩病毒抗原Q、FMDV-A浓缩样品稀释液(5×)Q、FMDV-A阴性对照Q、FMDV-A阳性对照Q、显色液A、显色液B、终止液、固体洗液、自封袋、封板膜、说明书、加样槽、血清稀释板。</w:t>
            </w:r>
          </w:p>
          <w:p>
            <w:pPr>
              <w:widowControl/>
              <w:textAlignment w:val="center"/>
              <w:rPr>
                <w:rFonts w:ascii="宋体" w:hAnsi="宋体" w:cs="宋体"/>
                <w:color w:val="000000"/>
                <w:sz w:val="24"/>
              </w:rPr>
            </w:pPr>
            <w:r>
              <w:rPr>
                <w:rFonts w:hint="eastAsia" w:ascii="宋体" w:hAnsi="宋体" w:cs="宋体"/>
                <w:color w:val="000000"/>
                <w:sz w:val="24"/>
              </w:rPr>
              <w:t>5.两步法，反应时间75分钟。</w:t>
            </w:r>
          </w:p>
          <w:p>
            <w:pPr>
              <w:widowControl/>
              <w:textAlignment w:val="center"/>
              <w:rPr>
                <w:rFonts w:ascii="宋体" w:hAnsi="宋体" w:cs="宋体"/>
                <w:color w:val="000000"/>
                <w:sz w:val="24"/>
              </w:rPr>
            </w:pPr>
            <w:r>
              <w:rPr>
                <w:rFonts w:hint="eastAsia" w:ascii="宋体" w:hAnsi="宋体" w:cs="宋体"/>
                <w:color w:val="000000"/>
                <w:sz w:val="24"/>
              </w:rPr>
              <w:t>6.结果判定：</w:t>
            </w:r>
          </w:p>
          <w:p>
            <w:pPr>
              <w:widowControl/>
              <w:textAlignment w:val="center"/>
              <w:rPr>
                <w:rFonts w:ascii="宋体" w:hAnsi="宋体" w:cs="宋体"/>
                <w:color w:val="000000"/>
                <w:sz w:val="24"/>
              </w:rPr>
            </w:pPr>
            <w:r>
              <w:rPr>
                <w:rFonts w:hint="eastAsia" w:ascii="宋体" w:hAnsi="宋体" w:cs="宋体"/>
                <w:color w:val="000000"/>
                <w:sz w:val="24"/>
              </w:rPr>
              <w:t>抗体效价≥1:128，判为阳性；抗体效价≤1:64，判为阴性；</w:t>
            </w:r>
          </w:p>
          <w:p>
            <w:pPr>
              <w:widowControl/>
              <w:textAlignment w:val="center"/>
              <w:rPr>
                <w:rFonts w:ascii="宋体" w:hAnsi="宋体" w:cs="宋体"/>
                <w:color w:val="000000"/>
                <w:sz w:val="24"/>
              </w:rPr>
            </w:pPr>
            <w:r>
              <w:rPr>
                <w:rFonts w:hint="eastAsia" w:ascii="宋体" w:hAnsi="宋体" w:cs="宋体"/>
                <w:color w:val="000000"/>
                <w:sz w:val="24"/>
              </w:rPr>
              <w:t>抗体效价在1:64～1:128时，判为可疑。可疑待检样品需复测，复测抗体效价≥1:128，判为阳性，＜1:128判为阴性。</w:t>
            </w:r>
          </w:p>
          <w:p>
            <w:pPr>
              <w:widowControl/>
              <w:textAlignment w:val="center"/>
              <w:rPr>
                <w:rFonts w:ascii="宋体" w:hAnsi="宋体" w:cs="宋体"/>
                <w:color w:val="000000"/>
                <w:sz w:val="24"/>
              </w:rPr>
            </w:pPr>
            <w:r>
              <w:rPr>
                <w:rFonts w:hint="eastAsia" w:ascii="宋体" w:hAnsi="宋体" w:cs="宋体"/>
                <w:color w:val="000000"/>
                <w:sz w:val="24"/>
              </w:rPr>
              <w:t>7.储藏与有效期：试剂盒2～8℃存放，浓缩病毒抗原-20℃存放，有效期12个月。</w:t>
            </w:r>
          </w:p>
          <w:p>
            <w:pPr>
              <w:widowControl/>
              <w:textAlignment w:val="center"/>
              <w:rPr>
                <w:rFonts w:ascii="宋体" w:hAnsi="宋体" w:cs="宋体"/>
                <w:color w:val="000000"/>
                <w:sz w:val="24"/>
              </w:rPr>
            </w:pPr>
            <w:r>
              <w:rPr>
                <w:rFonts w:hint="eastAsia" w:ascii="宋体" w:hAnsi="宋体" w:cs="宋体"/>
                <w:color w:val="000000"/>
                <w:sz w:val="24"/>
              </w:rPr>
              <w:t>8.生产厂家具有经农业农村部核发的《兽药GMP证书》和《兽药生产许可证》</w:t>
            </w:r>
          </w:p>
          <w:p>
            <w:pPr>
              <w:widowControl/>
              <w:textAlignment w:val="center"/>
              <w:rPr>
                <w:rFonts w:ascii="宋体" w:hAnsi="宋体" w:cs="宋体"/>
                <w:color w:val="000000"/>
                <w:sz w:val="24"/>
              </w:rPr>
            </w:pPr>
            <w:r>
              <w:rPr>
                <w:rFonts w:hint="eastAsia" w:ascii="宋体" w:hAnsi="宋体" w:cs="宋体"/>
                <w:color w:val="000000"/>
                <w:sz w:val="24"/>
              </w:rPr>
              <w:t>9.产品通过口蹄疫国家参考/专业/区域实验室验证，提供证明材料。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3" w:hRule="atLeast"/>
          <w:jc w:val="center"/>
        </w:trPr>
        <w:tc>
          <w:tcPr>
            <w:tcW w:w="1205" w:type="dxa"/>
            <w:vAlign w:val="center"/>
          </w:tcPr>
          <w:p>
            <w:pPr>
              <w:widowControl/>
              <w:jc w:val="center"/>
              <w:textAlignment w:val="center"/>
              <w:rPr>
                <w:rFonts w:ascii="宋体" w:hAnsi="宋体" w:cs="宋体"/>
                <w:bCs/>
                <w:sz w:val="24"/>
              </w:rPr>
            </w:pPr>
            <w:r>
              <w:rPr>
                <w:rFonts w:hint="eastAsia" w:ascii="宋体" w:hAnsi="宋体" w:cs="宋体"/>
                <w:color w:val="000000"/>
                <w:kern w:val="0"/>
                <w:sz w:val="24"/>
              </w:rPr>
              <w:t>口蹄疫病毒A型竞争ELISA抗体检测试剂盒</w:t>
            </w:r>
          </w:p>
        </w:tc>
        <w:tc>
          <w:tcPr>
            <w:tcW w:w="1133" w:type="dxa"/>
            <w:vAlign w:val="center"/>
          </w:tcPr>
          <w:p>
            <w:pPr>
              <w:ind w:firstLine="240" w:firstLineChars="100"/>
              <w:jc w:val="center"/>
              <w:rPr>
                <w:rFonts w:ascii="宋体" w:hAnsi="宋体" w:cs="宋体"/>
                <w:sz w:val="24"/>
              </w:rPr>
            </w:pPr>
            <w:r>
              <w:rPr>
                <w:rFonts w:hint="eastAsia" w:ascii="宋体" w:hAnsi="宋体" w:cs="宋体"/>
                <w:color w:val="000000"/>
                <w:sz w:val="24"/>
              </w:rPr>
              <w:t>5*96</w:t>
            </w:r>
          </w:p>
        </w:tc>
        <w:tc>
          <w:tcPr>
            <w:tcW w:w="976" w:type="dxa"/>
            <w:vAlign w:val="center"/>
          </w:tcPr>
          <w:p>
            <w:pPr>
              <w:widowControl/>
              <w:jc w:val="center"/>
              <w:textAlignment w:val="center"/>
              <w:rPr>
                <w:rFonts w:ascii="宋体" w:hAnsi="宋体" w:cs="宋体"/>
                <w:color w:val="000000"/>
                <w:sz w:val="24"/>
              </w:rPr>
            </w:pPr>
            <w:r>
              <w:rPr>
                <w:rFonts w:hint="eastAsia" w:ascii="宋体" w:hAnsi="宋体" w:cs="宋体"/>
                <w:color w:val="000000"/>
                <w:sz w:val="24"/>
              </w:rPr>
              <w:t>6盒</w:t>
            </w:r>
          </w:p>
        </w:tc>
        <w:tc>
          <w:tcPr>
            <w:tcW w:w="6504" w:type="dxa"/>
            <w:vAlign w:val="top"/>
          </w:tcPr>
          <w:p>
            <w:pPr>
              <w:widowControl/>
              <w:textAlignment w:val="center"/>
              <w:rPr>
                <w:rFonts w:ascii="宋体" w:hAnsi="宋体" w:cs="宋体"/>
                <w:color w:val="000000"/>
                <w:sz w:val="24"/>
              </w:rPr>
            </w:pPr>
            <w:r>
              <w:rPr>
                <w:rFonts w:hint="eastAsia" w:ascii="宋体" w:hAnsi="宋体" w:cs="宋体"/>
                <w:color w:val="000000"/>
                <w:sz w:val="24"/>
              </w:rPr>
              <w:t>1.用途：检测猪、牛、羊血清中的口蹄疫病毒A型抗体。</w:t>
            </w:r>
          </w:p>
          <w:p>
            <w:pPr>
              <w:widowControl/>
              <w:textAlignment w:val="center"/>
              <w:rPr>
                <w:rFonts w:ascii="宋体" w:hAnsi="宋体" w:cs="宋体"/>
                <w:color w:val="000000"/>
                <w:sz w:val="24"/>
              </w:rPr>
            </w:pPr>
            <w:r>
              <w:rPr>
                <w:rFonts w:hint="eastAsia" w:ascii="宋体" w:hAnsi="宋体" w:cs="宋体"/>
                <w:color w:val="000000"/>
                <w:sz w:val="24"/>
              </w:rPr>
              <w:t>2.竞争ELISA方法。</w:t>
            </w:r>
          </w:p>
          <w:p>
            <w:pPr>
              <w:widowControl/>
              <w:textAlignment w:val="center"/>
              <w:rPr>
                <w:rFonts w:ascii="宋体" w:hAnsi="宋体" w:cs="宋体"/>
                <w:color w:val="000000"/>
                <w:sz w:val="24"/>
              </w:rPr>
            </w:pPr>
            <w:r>
              <w:rPr>
                <w:rFonts w:hint="eastAsia" w:ascii="宋体" w:hAnsi="宋体" w:cs="宋体"/>
                <w:color w:val="000000"/>
                <w:sz w:val="24"/>
              </w:rPr>
              <w:t>3.试剂盒规格： 5*96孔板/盒。</w:t>
            </w:r>
          </w:p>
          <w:p>
            <w:pPr>
              <w:widowControl/>
              <w:textAlignment w:val="center"/>
              <w:rPr>
                <w:rFonts w:ascii="宋体" w:hAnsi="宋体" w:cs="宋体"/>
                <w:color w:val="000000"/>
                <w:sz w:val="24"/>
              </w:rPr>
            </w:pPr>
            <w:r>
              <w:rPr>
                <w:rFonts w:hint="eastAsia" w:ascii="宋体" w:hAnsi="宋体" w:cs="宋体"/>
                <w:color w:val="000000"/>
                <w:sz w:val="24"/>
              </w:rPr>
              <w:t>4.试剂盒主要组成：FMDV-A竞争包被板、FMDV-A竞争酶结合物、FMDV-A竞争样品稀释液、FMDV-A竞争阴性对照、FMDV-A竞争阳性对照、显色液A、显色液B、终止液、固体洗液、自封袋、封板膜、说明书、加样槽、血清稀释板。</w:t>
            </w:r>
          </w:p>
          <w:p>
            <w:pPr>
              <w:widowControl/>
              <w:textAlignment w:val="center"/>
              <w:rPr>
                <w:rFonts w:ascii="宋体" w:hAnsi="宋体" w:cs="宋体"/>
                <w:color w:val="000000"/>
                <w:sz w:val="24"/>
              </w:rPr>
            </w:pPr>
            <w:r>
              <w:rPr>
                <w:rFonts w:hint="eastAsia" w:ascii="宋体" w:hAnsi="宋体" w:cs="宋体"/>
                <w:color w:val="000000"/>
                <w:sz w:val="24"/>
              </w:rPr>
              <w:t>5.一步法，反应时长45分钟。</w:t>
            </w:r>
          </w:p>
          <w:p>
            <w:pPr>
              <w:widowControl/>
              <w:textAlignment w:val="center"/>
              <w:rPr>
                <w:rFonts w:ascii="宋体" w:hAnsi="宋体" w:cs="宋体"/>
                <w:color w:val="000000"/>
                <w:sz w:val="24"/>
              </w:rPr>
            </w:pPr>
            <w:r>
              <w:rPr>
                <w:rFonts w:hint="eastAsia" w:ascii="宋体" w:hAnsi="宋体" w:cs="宋体"/>
                <w:color w:val="000000"/>
                <w:sz w:val="24"/>
              </w:rPr>
              <w:t>6.结果判定：</w:t>
            </w:r>
          </w:p>
          <w:p>
            <w:pPr>
              <w:widowControl/>
              <w:textAlignment w:val="center"/>
              <w:rPr>
                <w:rFonts w:ascii="宋体" w:hAnsi="宋体" w:cs="宋体"/>
                <w:color w:val="000000"/>
                <w:sz w:val="24"/>
              </w:rPr>
            </w:pPr>
            <w:r>
              <w:rPr>
                <w:rFonts w:hint="eastAsia" w:ascii="宋体" w:hAnsi="宋体" w:cs="宋体"/>
                <w:color w:val="000000"/>
                <w:sz w:val="24"/>
              </w:rPr>
              <w:t>如果S/N值＜0.6，样品应判定为抗体阴性。如果S/N值≥0.6，样品应判定为抗体阳性。</w:t>
            </w:r>
          </w:p>
          <w:p>
            <w:pPr>
              <w:widowControl/>
              <w:textAlignment w:val="center"/>
              <w:rPr>
                <w:rFonts w:ascii="宋体" w:hAnsi="宋体" w:cs="宋体"/>
                <w:color w:val="000000"/>
                <w:sz w:val="24"/>
              </w:rPr>
            </w:pPr>
            <w:r>
              <w:rPr>
                <w:rFonts w:hint="eastAsia" w:ascii="宋体" w:hAnsi="宋体" w:cs="宋体"/>
                <w:color w:val="000000"/>
                <w:sz w:val="24"/>
              </w:rPr>
              <w:t>7.储藏与有效期：2～8℃保存，有效期12个月。</w:t>
            </w:r>
          </w:p>
          <w:p>
            <w:pPr>
              <w:widowControl/>
              <w:textAlignment w:val="center"/>
              <w:rPr>
                <w:rFonts w:ascii="宋体" w:hAnsi="宋体" w:cs="宋体"/>
                <w:color w:val="000000"/>
                <w:sz w:val="24"/>
              </w:rPr>
            </w:pPr>
            <w:r>
              <w:rPr>
                <w:rFonts w:hint="eastAsia" w:ascii="宋体" w:hAnsi="宋体" w:cs="宋体"/>
                <w:color w:val="000000"/>
                <w:sz w:val="24"/>
              </w:rPr>
              <w:t>8.生产厂家具有经农业农村部核发的《兽药GMP证书》和《兽药生产许可证》</w:t>
            </w:r>
          </w:p>
          <w:p>
            <w:pPr>
              <w:widowControl/>
              <w:textAlignment w:val="center"/>
              <w:rPr>
                <w:rFonts w:ascii="宋体" w:hAnsi="宋体" w:cs="宋体"/>
                <w:color w:val="000000"/>
                <w:sz w:val="24"/>
              </w:rPr>
            </w:pPr>
            <w:r>
              <w:rPr>
                <w:rFonts w:hint="eastAsia" w:ascii="宋体" w:hAnsi="宋体" w:cs="宋体"/>
                <w:color w:val="000000"/>
                <w:sz w:val="24"/>
              </w:rPr>
              <w:t>9.生产厂家取得该产品的新兽药证书及兽药批准文号，提供证书图片或扫描件（加盖投标人公章）。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5" w:hRule="atLeast"/>
          <w:jc w:val="center"/>
        </w:trPr>
        <w:tc>
          <w:tcPr>
            <w:tcW w:w="1205"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口蹄疫病毒、塞尼卡谷病毒双重荧光RT-PCR检测试剂盒</w:t>
            </w:r>
          </w:p>
        </w:tc>
        <w:tc>
          <w:tcPr>
            <w:tcW w:w="1133" w:type="dxa"/>
            <w:vAlign w:val="center"/>
          </w:tcPr>
          <w:p>
            <w:pPr>
              <w:ind w:firstLine="240" w:firstLineChars="100"/>
              <w:jc w:val="center"/>
              <w:rPr>
                <w:rFonts w:ascii="宋体" w:hAnsi="宋体" w:cs="宋体"/>
                <w:color w:val="000000"/>
                <w:sz w:val="24"/>
              </w:rPr>
            </w:pPr>
            <w:r>
              <w:rPr>
                <w:rFonts w:hint="eastAsia" w:ascii="宋体" w:hAnsi="宋体" w:cs="宋体"/>
                <w:color w:val="000000"/>
                <w:sz w:val="24"/>
              </w:rPr>
              <w:t>50T</w:t>
            </w:r>
          </w:p>
        </w:tc>
        <w:tc>
          <w:tcPr>
            <w:tcW w:w="976" w:type="dxa"/>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1盒</w:t>
            </w:r>
          </w:p>
        </w:tc>
        <w:tc>
          <w:tcPr>
            <w:tcW w:w="6504" w:type="dxa"/>
            <w:vAlign w:val="top"/>
          </w:tcPr>
          <w:p>
            <w:pPr>
              <w:widowControl/>
              <w:textAlignment w:val="center"/>
              <w:rPr>
                <w:rFonts w:ascii="宋体" w:hAnsi="宋体" w:cs="宋体"/>
                <w:color w:val="000000"/>
                <w:sz w:val="24"/>
              </w:rPr>
            </w:pPr>
            <w:r>
              <w:rPr>
                <w:rFonts w:hint="eastAsia" w:ascii="宋体" w:hAnsi="宋体" w:cs="宋体"/>
                <w:color w:val="000000"/>
                <w:sz w:val="24"/>
              </w:rPr>
              <w:t>1.用于水疱皮、水疱液、动物组织、O-P液、血液或细胞培养物等样本中的口蹄疫和塞尼卡谷病毒核酸检测。</w:t>
            </w:r>
          </w:p>
          <w:p>
            <w:pPr>
              <w:widowControl/>
              <w:textAlignment w:val="center"/>
              <w:rPr>
                <w:rFonts w:ascii="宋体" w:hAnsi="宋体" w:cs="宋体"/>
                <w:color w:val="000000"/>
                <w:sz w:val="24"/>
              </w:rPr>
            </w:pPr>
            <w:r>
              <w:rPr>
                <w:rFonts w:hint="eastAsia" w:ascii="宋体" w:hAnsi="宋体" w:cs="宋体"/>
                <w:color w:val="000000"/>
                <w:sz w:val="24"/>
              </w:rPr>
              <w:t>2.规格：50T/盒。</w:t>
            </w:r>
          </w:p>
          <w:p>
            <w:pPr>
              <w:widowControl/>
              <w:textAlignment w:val="center"/>
              <w:rPr>
                <w:rFonts w:ascii="宋体" w:hAnsi="宋体" w:cs="宋体"/>
                <w:color w:val="000000"/>
                <w:sz w:val="24"/>
              </w:rPr>
            </w:pPr>
            <w:r>
              <w:rPr>
                <w:rFonts w:hint="eastAsia" w:ascii="宋体" w:hAnsi="宋体" w:cs="宋体"/>
                <w:color w:val="000000"/>
                <w:sz w:val="24"/>
              </w:rPr>
              <w:t>3.含有完成扩增过程所需全部试剂。</w:t>
            </w:r>
          </w:p>
          <w:p>
            <w:pPr>
              <w:widowControl/>
              <w:textAlignment w:val="center"/>
              <w:rPr>
                <w:rFonts w:ascii="宋体" w:hAnsi="宋体" w:cs="宋体"/>
                <w:color w:val="000000"/>
                <w:sz w:val="24"/>
              </w:rPr>
            </w:pPr>
            <w:r>
              <w:rPr>
                <w:rFonts w:hint="eastAsia" w:ascii="宋体" w:hAnsi="宋体" w:cs="宋体"/>
                <w:color w:val="000000"/>
                <w:sz w:val="24"/>
              </w:rPr>
              <w:t>4.反应体系25ul。</w:t>
            </w:r>
          </w:p>
          <w:p>
            <w:pPr>
              <w:widowControl/>
              <w:textAlignment w:val="center"/>
              <w:rPr>
                <w:rFonts w:ascii="宋体" w:hAnsi="宋体" w:cs="宋体"/>
                <w:color w:val="000000"/>
                <w:sz w:val="24"/>
              </w:rPr>
            </w:pPr>
            <w:r>
              <w:rPr>
                <w:rFonts w:hint="eastAsia" w:ascii="宋体" w:hAnsi="宋体" w:cs="宋体"/>
                <w:color w:val="000000"/>
                <w:sz w:val="24"/>
              </w:rPr>
              <w:t>5.反应参数设置：FAM通道收集口蹄疫病毒荧光信号； VIC通道收集塞尼卡谷病毒荧光信号。</w:t>
            </w:r>
          </w:p>
          <w:p>
            <w:pPr>
              <w:widowControl/>
              <w:textAlignment w:val="center"/>
              <w:rPr>
                <w:rFonts w:ascii="宋体" w:hAnsi="宋体" w:cs="宋体"/>
                <w:color w:val="000000"/>
                <w:sz w:val="24"/>
              </w:rPr>
            </w:pPr>
            <w:r>
              <w:rPr>
                <w:rFonts w:hint="eastAsia" w:ascii="宋体" w:hAnsi="宋体" w:cs="宋体"/>
                <w:color w:val="000000"/>
                <w:sz w:val="24"/>
              </w:rPr>
              <w:t>第一阶段，反转录42℃/5分钟；</w:t>
            </w:r>
          </w:p>
          <w:p>
            <w:pPr>
              <w:widowControl/>
              <w:textAlignment w:val="center"/>
              <w:rPr>
                <w:rFonts w:ascii="宋体" w:hAnsi="宋体" w:cs="宋体"/>
                <w:color w:val="000000"/>
                <w:sz w:val="24"/>
              </w:rPr>
            </w:pPr>
            <w:r>
              <w:rPr>
                <w:rFonts w:hint="eastAsia" w:ascii="宋体" w:hAnsi="宋体" w:cs="宋体"/>
                <w:color w:val="000000"/>
                <w:sz w:val="24"/>
              </w:rPr>
              <w:t xml:space="preserve">第二阶段，预变性95℃/10秒； </w:t>
            </w:r>
          </w:p>
          <w:p>
            <w:pPr>
              <w:widowControl/>
              <w:textAlignment w:val="center"/>
              <w:rPr>
                <w:rFonts w:ascii="宋体" w:hAnsi="宋体" w:cs="宋体"/>
                <w:color w:val="000000"/>
                <w:sz w:val="24"/>
              </w:rPr>
            </w:pPr>
            <w:r>
              <w:rPr>
                <w:rFonts w:hint="eastAsia" w:ascii="宋体" w:hAnsi="宋体" w:cs="宋体"/>
                <w:color w:val="000000"/>
                <w:sz w:val="24"/>
              </w:rPr>
              <w:t>第三阶段，95℃/5秒，60℃/40秒共40个循环。荧光收集在第三阶段每次循环的60℃延伸时进行。</w:t>
            </w:r>
          </w:p>
          <w:p>
            <w:pPr>
              <w:widowControl/>
              <w:textAlignment w:val="center"/>
              <w:rPr>
                <w:rFonts w:ascii="宋体" w:hAnsi="宋体" w:cs="宋体"/>
                <w:color w:val="000000"/>
                <w:sz w:val="24"/>
              </w:rPr>
            </w:pPr>
            <w:r>
              <w:rPr>
                <w:rFonts w:hint="eastAsia" w:ascii="宋体" w:hAnsi="宋体" w:cs="宋体"/>
                <w:color w:val="000000"/>
                <w:sz w:val="24"/>
              </w:rPr>
              <w:t>6.使用CT值和扩增曲线共同判定结果。</w:t>
            </w:r>
          </w:p>
          <w:p>
            <w:pPr>
              <w:widowControl/>
              <w:textAlignment w:val="center"/>
              <w:rPr>
                <w:rFonts w:ascii="宋体" w:hAnsi="宋体" w:cs="宋体"/>
                <w:color w:val="000000"/>
                <w:sz w:val="24"/>
              </w:rPr>
            </w:pPr>
            <w:r>
              <w:rPr>
                <w:rFonts w:hint="eastAsia" w:ascii="宋体" w:hAnsi="宋体" w:cs="宋体"/>
                <w:color w:val="000000"/>
                <w:sz w:val="24"/>
              </w:rPr>
              <w:t>7.储存及有效期： -20℃保存，有效期12个月。</w:t>
            </w:r>
          </w:p>
          <w:p>
            <w:pPr>
              <w:widowControl/>
              <w:textAlignment w:val="center"/>
              <w:rPr>
                <w:rFonts w:ascii="宋体" w:hAnsi="宋体" w:cs="宋体"/>
                <w:color w:val="000000"/>
                <w:sz w:val="24"/>
              </w:rPr>
            </w:pPr>
            <w:r>
              <w:rPr>
                <w:rFonts w:hint="eastAsia" w:ascii="宋体" w:hAnsi="宋体" w:cs="宋体"/>
                <w:color w:val="000000"/>
                <w:sz w:val="24"/>
              </w:rPr>
              <w:t>8.生产厂家具有兽药生产许可证和兽药GMP证书（图片或扫描件）。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0" w:hRule="atLeast"/>
          <w:jc w:val="center"/>
        </w:trPr>
        <w:tc>
          <w:tcPr>
            <w:tcW w:w="1205" w:type="dxa"/>
            <w:vAlign w:val="center"/>
          </w:tcPr>
          <w:p>
            <w:pPr>
              <w:widowControl/>
              <w:jc w:val="center"/>
              <w:textAlignment w:val="center"/>
              <w:rPr>
                <w:rFonts w:ascii="宋体" w:hAnsi="宋体" w:cs="宋体"/>
                <w:bCs/>
                <w:sz w:val="24"/>
              </w:rPr>
            </w:pPr>
            <w:r>
              <w:rPr>
                <w:rFonts w:hint="eastAsia" w:ascii="宋体" w:hAnsi="宋体" w:cs="宋体"/>
                <w:color w:val="000000"/>
                <w:kern w:val="0"/>
                <w:sz w:val="24"/>
              </w:rPr>
              <w:t>布鲁氏菌竞争ELISA抗体检测试剂盒</w:t>
            </w:r>
          </w:p>
        </w:tc>
        <w:tc>
          <w:tcPr>
            <w:tcW w:w="1133" w:type="dxa"/>
            <w:vAlign w:val="center"/>
          </w:tcPr>
          <w:p>
            <w:pPr>
              <w:ind w:firstLine="240" w:firstLineChars="100"/>
              <w:jc w:val="center"/>
              <w:rPr>
                <w:rFonts w:ascii="宋体" w:hAnsi="宋体" w:cs="宋体"/>
                <w:sz w:val="24"/>
              </w:rPr>
            </w:pPr>
            <w:r>
              <w:rPr>
                <w:rFonts w:hint="eastAsia" w:ascii="宋体" w:hAnsi="宋体" w:cs="宋体"/>
                <w:color w:val="000000"/>
                <w:sz w:val="24"/>
              </w:rPr>
              <w:t>5*96</w:t>
            </w:r>
          </w:p>
        </w:tc>
        <w:tc>
          <w:tcPr>
            <w:tcW w:w="976" w:type="dxa"/>
            <w:vAlign w:val="center"/>
          </w:tcPr>
          <w:p>
            <w:pPr>
              <w:widowControl/>
              <w:jc w:val="center"/>
              <w:textAlignment w:val="center"/>
              <w:rPr>
                <w:rFonts w:ascii="宋体" w:hAnsi="宋体" w:cs="宋体"/>
                <w:color w:val="000000"/>
                <w:sz w:val="24"/>
              </w:rPr>
            </w:pPr>
            <w:r>
              <w:rPr>
                <w:rFonts w:hint="eastAsia" w:ascii="宋体" w:hAnsi="宋体" w:cs="宋体"/>
                <w:color w:val="000000"/>
                <w:sz w:val="24"/>
              </w:rPr>
              <w:t>5盒</w:t>
            </w:r>
          </w:p>
        </w:tc>
        <w:tc>
          <w:tcPr>
            <w:tcW w:w="6504" w:type="dxa"/>
            <w:vAlign w:val="top"/>
          </w:tcPr>
          <w:p>
            <w:pPr>
              <w:widowControl/>
              <w:textAlignment w:val="center"/>
              <w:rPr>
                <w:rFonts w:ascii="宋体" w:hAnsi="宋体" w:cs="宋体"/>
                <w:color w:val="000000"/>
                <w:sz w:val="24"/>
              </w:rPr>
            </w:pPr>
            <w:r>
              <w:rPr>
                <w:rFonts w:hint="eastAsia" w:ascii="宋体" w:hAnsi="宋体" w:cs="宋体"/>
                <w:color w:val="000000"/>
                <w:sz w:val="24"/>
              </w:rPr>
              <w:t>1.用途：检测牛、羊血清或血浆中的布鲁氏菌抗体。</w:t>
            </w:r>
          </w:p>
          <w:p>
            <w:pPr>
              <w:widowControl/>
              <w:textAlignment w:val="center"/>
              <w:rPr>
                <w:rFonts w:ascii="宋体" w:hAnsi="宋体" w:cs="宋体"/>
                <w:color w:val="000000"/>
                <w:sz w:val="24"/>
              </w:rPr>
            </w:pPr>
            <w:r>
              <w:rPr>
                <w:rFonts w:hint="eastAsia" w:ascii="宋体" w:hAnsi="宋体" w:cs="宋体"/>
                <w:color w:val="000000"/>
                <w:sz w:val="24"/>
              </w:rPr>
              <w:t>2.竞争ELISA方法。</w:t>
            </w:r>
          </w:p>
          <w:p>
            <w:pPr>
              <w:widowControl/>
              <w:textAlignment w:val="center"/>
              <w:rPr>
                <w:rFonts w:ascii="宋体" w:hAnsi="宋体" w:cs="宋体"/>
                <w:color w:val="000000"/>
                <w:sz w:val="24"/>
              </w:rPr>
            </w:pPr>
            <w:r>
              <w:rPr>
                <w:rFonts w:hint="eastAsia" w:ascii="宋体" w:hAnsi="宋体" w:cs="宋体"/>
                <w:color w:val="000000"/>
                <w:sz w:val="24"/>
              </w:rPr>
              <w:t>3.试剂盒规格： 5*96孔板/盒。</w:t>
            </w:r>
          </w:p>
          <w:p>
            <w:pPr>
              <w:widowControl/>
              <w:textAlignment w:val="center"/>
              <w:rPr>
                <w:rFonts w:ascii="宋体" w:hAnsi="宋体" w:cs="宋体"/>
                <w:color w:val="000000"/>
                <w:sz w:val="24"/>
              </w:rPr>
            </w:pPr>
            <w:r>
              <w:rPr>
                <w:rFonts w:hint="eastAsia" w:ascii="宋体" w:hAnsi="宋体" w:cs="宋体"/>
                <w:color w:val="000000"/>
                <w:sz w:val="24"/>
              </w:rPr>
              <w:t>4.试剂盒主要组成：BRU竞争包被板、BRU竞争酶结合物、BRU竞争抗体溶液、BRU竞争样品稀释液、BRU竞争牛阴性对照、BRU竞争牛阳性对照、BRU竞争羊阴性对照、BRU竞争羊阳性对照、显色液A、显色液B、终止液、固体洗液、自封袋、封板膜、说明书、加样槽。</w:t>
            </w:r>
          </w:p>
          <w:p>
            <w:pPr>
              <w:widowControl/>
              <w:textAlignment w:val="center"/>
              <w:rPr>
                <w:rFonts w:ascii="宋体" w:hAnsi="宋体" w:cs="宋体"/>
                <w:color w:val="000000"/>
                <w:sz w:val="24"/>
              </w:rPr>
            </w:pPr>
            <w:r>
              <w:rPr>
                <w:rFonts w:hint="eastAsia" w:ascii="宋体" w:hAnsi="宋体" w:cs="宋体"/>
                <w:color w:val="000000"/>
                <w:sz w:val="24"/>
              </w:rPr>
              <w:t>5.结果判定：</w:t>
            </w:r>
          </w:p>
          <w:p>
            <w:pPr>
              <w:widowControl/>
              <w:textAlignment w:val="center"/>
              <w:rPr>
                <w:rFonts w:ascii="宋体" w:hAnsi="宋体" w:cs="宋体"/>
                <w:color w:val="000000"/>
                <w:sz w:val="24"/>
              </w:rPr>
            </w:pPr>
            <w:r>
              <w:rPr>
                <w:rFonts w:hint="eastAsia" w:ascii="宋体" w:hAnsi="宋体" w:cs="宋体"/>
                <w:color w:val="000000"/>
                <w:sz w:val="24"/>
              </w:rPr>
              <w:t>牛：如果S/N值＜0.5，样品应判定为牛BRU抗体阳性。</w:t>
            </w:r>
          </w:p>
          <w:p>
            <w:pPr>
              <w:widowControl/>
              <w:textAlignment w:val="center"/>
              <w:rPr>
                <w:rFonts w:ascii="宋体" w:hAnsi="宋体" w:cs="宋体"/>
                <w:color w:val="000000"/>
                <w:sz w:val="24"/>
              </w:rPr>
            </w:pPr>
            <w:r>
              <w:rPr>
                <w:rFonts w:hint="eastAsia" w:ascii="宋体" w:hAnsi="宋体" w:cs="宋体"/>
                <w:color w:val="000000"/>
                <w:sz w:val="24"/>
              </w:rPr>
              <w:t>如果S/N值≥0.5，样品应判定为牛BRU抗体阴性。</w:t>
            </w:r>
          </w:p>
          <w:p>
            <w:pPr>
              <w:widowControl/>
              <w:textAlignment w:val="center"/>
              <w:rPr>
                <w:rFonts w:ascii="宋体" w:hAnsi="宋体" w:cs="宋体"/>
                <w:color w:val="000000"/>
                <w:sz w:val="24"/>
              </w:rPr>
            </w:pPr>
            <w:r>
              <w:rPr>
                <w:rFonts w:hint="eastAsia" w:ascii="宋体" w:hAnsi="宋体" w:cs="宋体"/>
                <w:color w:val="000000"/>
                <w:sz w:val="24"/>
              </w:rPr>
              <w:t>羊：如果S/N值＜0.3，样品应判定为羊BRU抗体阳性。</w:t>
            </w:r>
          </w:p>
          <w:p>
            <w:pPr>
              <w:widowControl/>
              <w:textAlignment w:val="center"/>
              <w:rPr>
                <w:rFonts w:ascii="宋体" w:hAnsi="宋体" w:cs="宋体"/>
                <w:color w:val="000000"/>
                <w:sz w:val="24"/>
              </w:rPr>
            </w:pPr>
            <w:r>
              <w:rPr>
                <w:rFonts w:hint="eastAsia" w:ascii="宋体" w:hAnsi="宋体" w:cs="宋体"/>
                <w:color w:val="000000"/>
                <w:sz w:val="24"/>
              </w:rPr>
              <w:t>如果S/N值≥0.3，样品应判定为羊BRU抗体阴性。</w:t>
            </w:r>
          </w:p>
          <w:p>
            <w:pPr>
              <w:widowControl/>
              <w:textAlignment w:val="center"/>
              <w:rPr>
                <w:rFonts w:ascii="宋体" w:hAnsi="宋体" w:cs="宋体"/>
                <w:color w:val="000000"/>
                <w:sz w:val="24"/>
              </w:rPr>
            </w:pPr>
            <w:r>
              <w:rPr>
                <w:rFonts w:hint="eastAsia" w:ascii="宋体" w:hAnsi="宋体" w:cs="宋体"/>
                <w:color w:val="000000"/>
                <w:sz w:val="24"/>
              </w:rPr>
              <w:t>6.储藏与有效期：2～8℃保存，有效期12个月。</w:t>
            </w:r>
          </w:p>
          <w:p>
            <w:pPr>
              <w:widowControl/>
              <w:textAlignment w:val="center"/>
              <w:rPr>
                <w:rFonts w:ascii="宋体" w:hAnsi="宋体" w:cs="宋体"/>
                <w:color w:val="000000"/>
                <w:sz w:val="24"/>
              </w:rPr>
            </w:pPr>
            <w:r>
              <w:rPr>
                <w:rFonts w:hint="eastAsia" w:ascii="宋体" w:hAnsi="宋体" w:cs="宋体"/>
                <w:color w:val="000000"/>
                <w:sz w:val="24"/>
              </w:rPr>
              <w:t>7.生产厂家具有经农业农村部核发的《兽药GMP证书》和《兽药生产许可证》。</w:t>
            </w:r>
          </w:p>
          <w:p>
            <w:pPr>
              <w:widowControl/>
              <w:textAlignment w:val="center"/>
              <w:rPr>
                <w:rFonts w:ascii="宋体" w:hAnsi="宋体" w:cs="宋体"/>
                <w:color w:val="000000"/>
                <w:sz w:val="24"/>
              </w:rPr>
            </w:pPr>
            <w:r>
              <w:rPr>
                <w:rFonts w:hint="eastAsia" w:ascii="宋体" w:hAnsi="宋体" w:cs="宋体"/>
                <w:color w:val="000000"/>
                <w:sz w:val="24"/>
              </w:rPr>
              <w:t>8.生产厂家取得该产品的兽药批准文号，提供证书图片或扫描件（加盖投标人公章）。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8" w:hRule="atLeast"/>
          <w:jc w:val="center"/>
        </w:trPr>
        <w:tc>
          <w:tcPr>
            <w:tcW w:w="1205" w:type="dxa"/>
            <w:vAlign w:val="center"/>
          </w:tcPr>
          <w:p>
            <w:pPr>
              <w:widowControl/>
              <w:jc w:val="center"/>
              <w:textAlignment w:val="center"/>
              <w:rPr>
                <w:rFonts w:ascii="宋体" w:hAnsi="宋体" w:cs="宋体"/>
                <w:bCs/>
                <w:sz w:val="24"/>
              </w:rPr>
            </w:pPr>
            <w:r>
              <w:rPr>
                <w:rFonts w:hint="eastAsia" w:ascii="宋体" w:hAnsi="宋体" w:cs="宋体"/>
                <w:color w:val="000000"/>
                <w:kern w:val="0"/>
                <w:sz w:val="24"/>
              </w:rPr>
              <w:t>小反刍兽疫病毒竞争ELISA抗体检测试剂盒</w:t>
            </w:r>
          </w:p>
        </w:tc>
        <w:tc>
          <w:tcPr>
            <w:tcW w:w="1133" w:type="dxa"/>
            <w:vAlign w:val="center"/>
          </w:tcPr>
          <w:p>
            <w:pPr>
              <w:ind w:firstLine="240" w:firstLineChars="100"/>
              <w:jc w:val="center"/>
              <w:rPr>
                <w:rFonts w:ascii="宋体" w:hAnsi="宋体" w:cs="宋体"/>
                <w:sz w:val="24"/>
              </w:rPr>
            </w:pPr>
            <w:r>
              <w:rPr>
                <w:rFonts w:hint="eastAsia" w:ascii="宋体" w:hAnsi="宋体" w:cs="宋体"/>
                <w:color w:val="000000"/>
                <w:sz w:val="24"/>
              </w:rPr>
              <w:t>5*96</w:t>
            </w:r>
          </w:p>
        </w:tc>
        <w:tc>
          <w:tcPr>
            <w:tcW w:w="976" w:type="dxa"/>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2盒</w:t>
            </w:r>
          </w:p>
        </w:tc>
        <w:tc>
          <w:tcPr>
            <w:tcW w:w="6504" w:type="dxa"/>
            <w:vAlign w:val="top"/>
          </w:tcPr>
          <w:p>
            <w:pPr>
              <w:widowControl/>
              <w:textAlignment w:val="center"/>
              <w:rPr>
                <w:rFonts w:ascii="宋体" w:hAnsi="宋体" w:cs="宋体"/>
                <w:color w:val="000000"/>
                <w:sz w:val="24"/>
              </w:rPr>
            </w:pPr>
            <w:r>
              <w:rPr>
                <w:rFonts w:hint="eastAsia" w:ascii="宋体" w:hAnsi="宋体" w:cs="宋体"/>
                <w:color w:val="000000"/>
                <w:sz w:val="24"/>
              </w:rPr>
              <w:t>1.用途：检测羊血清中的小反刍兽疫病毒（PPRV）抗体水平。</w:t>
            </w:r>
          </w:p>
          <w:p>
            <w:pPr>
              <w:widowControl/>
              <w:textAlignment w:val="center"/>
              <w:rPr>
                <w:rFonts w:ascii="宋体" w:hAnsi="宋体" w:cs="宋体"/>
                <w:color w:val="000000"/>
                <w:sz w:val="24"/>
              </w:rPr>
            </w:pPr>
            <w:r>
              <w:rPr>
                <w:rFonts w:hint="eastAsia" w:ascii="宋体" w:hAnsi="宋体" w:cs="宋体"/>
                <w:color w:val="000000"/>
                <w:sz w:val="24"/>
              </w:rPr>
              <w:t>2.竞争ELISA方法。</w:t>
            </w:r>
          </w:p>
          <w:p>
            <w:pPr>
              <w:widowControl/>
              <w:textAlignment w:val="center"/>
              <w:rPr>
                <w:rFonts w:ascii="宋体" w:hAnsi="宋体" w:cs="宋体"/>
                <w:color w:val="000000"/>
                <w:sz w:val="24"/>
              </w:rPr>
            </w:pPr>
            <w:r>
              <w:rPr>
                <w:rFonts w:hint="eastAsia" w:ascii="宋体" w:hAnsi="宋体" w:cs="宋体"/>
                <w:color w:val="000000"/>
                <w:sz w:val="24"/>
              </w:rPr>
              <w:t>3.试剂盒规格： 5*96孔板/盒。</w:t>
            </w:r>
          </w:p>
          <w:p>
            <w:pPr>
              <w:widowControl/>
              <w:textAlignment w:val="center"/>
              <w:rPr>
                <w:rFonts w:ascii="宋体" w:hAnsi="宋体" w:cs="宋体"/>
                <w:color w:val="000000"/>
                <w:sz w:val="24"/>
              </w:rPr>
            </w:pPr>
            <w:r>
              <w:rPr>
                <w:rFonts w:hint="eastAsia" w:ascii="宋体" w:hAnsi="宋体" w:cs="宋体"/>
                <w:color w:val="000000"/>
                <w:sz w:val="24"/>
              </w:rPr>
              <w:t>4.试剂盒主要组成：PPRV竞争包被板、PPRV竞争酶结合物、PPRV竞争阴性对照、PPRV竞争阳性对照、显色液A、显色液B、终止液、固体洗液、自封袋、封板膜、说明书、加样槽。</w:t>
            </w:r>
          </w:p>
          <w:p>
            <w:pPr>
              <w:widowControl/>
              <w:textAlignment w:val="center"/>
              <w:rPr>
                <w:rFonts w:ascii="宋体" w:hAnsi="宋体" w:cs="宋体"/>
                <w:color w:val="000000"/>
                <w:sz w:val="24"/>
              </w:rPr>
            </w:pPr>
            <w:r>
              <w:rPr>
                <w:rFonts w:hint="eastAsia" w:ascii="宋体" w:hAnsi="宋体" w:cs="宋体"/>
                <w:color w:val="000000"/>
                <w:sz w:val="24"/>
              </w:rPr>
              <w:t>5.结果判定：如果S/N值＜0.6，样品应判定为抗体阴性。如果S/N值≥0.6，样品应判定为抗体阳性。</w:t>
            </w:r>
          </w:p>
          <w:p>
            <w:pPr>
              <w:widowControl/>
              <w:textAlignment w:val="center"/>
              <w:rPr>
                <w:rFonts w:ascii="宋体" w:hAnsi="宋体" w:cs="宋体"/>
                <w:color w:val="000000"/>
                <w:sz w:val="24"/>
              </w:rPr>
            </w:pPr>
            <w:r>
              <w:rPr>
                <w:rFonts w:hint="eastAsia" w:ascii="宋体" w:hAnsi="宋体" w:cs="宋体"/>
                <w:color w:val="000000"/>
                <w:sz w:val="24"/>
              </w:rPr>
              <w:t>6.储藏与有效期：2～8℃保存，有效期12个月。</w:t>
            </w:r>
          </w:p>
          <w:p>
            <w:pPr>
              <w:widowControl/>
              <w:textAlignment w:val="center"/>
              <w:rPr>
                <w:rFonts w:ascii="宋体" w:hAnsi="宋体" w:cs="宋体"/>
                <w:color w:val="000000"/>
                <w:sz w:val="24"/>
              </w:rPr>
            </w:pPr>
            <w:r>
              <w:rPr>
                <w:rFonts w:hint="eastAsia" w:ascii="宋体" w:hAnsi="宋体" w:cs="宋体"/>
                <w:color w:val="000000"/>
                <w:sz w:val="24"/>
              </w:rPr>
              <w:t>7.生产厂家具有经农业农村部核发的《兽药GMP证书》和《兽药生产许可证》。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jc w:val="center"/>
        </w:trPr>
        <w:tc>
          <w:tcPr>
            <w:tcW w:w="1205" w:type="dxa"/>
            <w:vAlign w:val="center"/>
          </w:tcPr>
          <w:p>
            <w:pPr>
              <w:widowControl/>
              <w:jc w:val="center"/>
              <w:textAlignment w:val="center"/>
              <w:rPr>
                <w:rFonts w:ascii="宋体" w:hAnsi="宋体" w:cs="宋体"/>
                <w:bCs/>
                <w:sz w:val="24"/>
              </w:rPr>
            </w:pPr>
            <w:r>
              <w:rPr>
                <w:rFonts w:hint="eastAsia" w:ascii="宋体" w:hAnsi="宋体" w:cs="宋体"/>
                <w:color w:val="000000"/>
                <w:kern w:val="0"/>
                <w:sz w:val="24"/>
              </w:rPr>
              <w:t>牛结核菌素</w:t>
            </w:r>
          </w:p>
        </w:tc>
        <w:tc>
          <w:tcPr>
            <w:tcW w:w="1133" w:type="dxa"/>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10ml/50头份</w:t>
            </w:r>
          </w:p>
        </w:tc>
        <w:tc>
          <w:tcPr>
            <w:tcW w:w="976" w:type="dxa"/>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15瓶</w:t>
            </w:r>
          </w:p>
        </w:tc>
        <w:tc>
          <w:tcPr>
            <w:tcW w:w="6504" w:type="dxa"/>
            <w:vAlign w:val="top"/>
          </w:tcPr>
          <w:p>
            <w:pPr>
              <w:widowControl/>
              <w:textAlignment w:val="center"/>
              <w:rPr>
                <w:rFonts w:ascii="宋体" w:hAnsi="宋体" w:cs="宋体"/>
                <w:color w:val="000000"/>
                <w:sz w:val="24"/>
              </w:rPr>
            </w:pPr>
            <w:r>
              <w:rPr>
                <w:rFonts w:hint="eastAsia" w:ascii="宋体" w:hAnsi="宋体" w:cs="宋体"/>
                <w:color w:val="000000"/>
                <w:sz w:val="24"/>
              </w:rPr>
              <w:t>1.用途：诊断动物结核病的变态反应试验；</w:t>
            </w:r>
          </w:p>
          <w:p>
            <w:pPr>
              <w:widowControl/>
              <w:textAlignment w:val="center"/>
              <w:rPr>
                <w:rFonts w:ascii="宋体" w:hAnsi="宋体" w:cs="宋体"/>
                <w:color w:val="000000"/>
                <w:sz w:val="24"/>
              </w:rPr>
            </w:pPr>
            <w:r>
              <w:rPr>
                <w:rFonts w:hint="eastAsia" w:ascii="宋体" w:hAnsi="宋体" w:cs="宋体"/>
                <w:color w:val="000000"/>
                <w:sz w:val="24"/>
              </w:rPr>
              <w:t>2.储藏与有效期：在2～8℃，冻干提纯结核菌素有效期为10年；</w:t>
            </w:r>
          </w:p>
          <w:p>
            <w:pPr>
              <w:widowControl/>
              <w:textAlignment w:val="center"/>
              <w:rPr>
                <w:rFonts w:ascii="宋体" w:hAnsi="宋体" w:cs="宋体"/>
                <w:color w:val="000000"/>
                <w:sz w:val="24"/>
              </w:rPr>
            </w:pPr>
            <w:r>
              <w:rPr>
                <w:rFonts w:hint="eastAsia" w:ascii="宋体" w:hAnsi="宋体" w:cs="宋体"/>
                <w:color w:val="000000"/>
                <w:sz w:val="24"/>
              </w:rPr>
              <w:t>3.规格：50头份/瓶。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5" w:hRule="atLeast"/>
          <w:jc w:val="center"/>
        </w:trPr>
        <w:tc>
          <w:tcPr>
            <w:tcW w:w="1205" w:type="dxa"/>
            <w:vAlign w:val="center"/>
          </w:tcPr>
          <w:p>
            <w:pPr>
              <w:widowControl/>
              <w:jc w:val="center"/>
              <w:textAlignment w:val="center"/>
              <w:rPr>
                <w:rFonts w:ascii="宋体" w:hAnsi="宋体" w:cs="宋体"/>
                <w:bCs/>
                <w:sz w:val="24"/>
              </w:rPr>
            </w:pPr>
            <w:r>
              <w:rPr>
                <w:rFonts w:hint="eastAsia" w:ascii="宋体" w:hAnsi="宋体" w:cs="宋体"/>
                <w:color w:val="000000"/>
                <w:kern w:val="0"/>
                <w:sz w:val="24"/>
              </w:rPr>
              <w:t>布鲁氏菌病虎红平板凝集试验抗原</w:t>
            </w:r>
          </w:p>
        </w:tc>
        <w:tc>
          <w:tcPr>
            <w:tcW w:w="1133" w:type="dxa"/>
            <w:vAlign w:val="center"/>
          </w:tcPr>
          <w:p>
            <w:pPr>
              <w:ind w:firstLine="240" w:firstLineChars="100"/>
              <w:jc w:val="center"/>
              <w:rPr>
                <w:rFonts w:ascii="宋体" w:hAnsi="宋体" w:cs="宋体"/>
                <w:sz w:val="24"/>
              </w:rPr>
            </w:pPr>
            <w:r>
              <w:rPr>
                <w:rFonts w:hint="eastAsia" w:ascii="宋体" w:hAnsi="宋体" w:cs="宋体"/>
                <w:color w:val="000000"/>
                <w:sz w:val="24"/>
              </w:rPr>
              <w:t>15ml</w:t>
            </w:r>
          </w:p>
        </w:tc>
        <w:tc>
          <w:tcPr>
            <w:tcW w:w="976" w:type="dxa"/>
            <w:vAlign w:val="center"/>
          </w:tcPr>
          <w:p>
            <w:pPr>
              <w:widowControl/>
              <w:jc w:val="center"/>
              <w:textAlignment w:val="center"/>
              <w:rPr>
                <w:rFonts w:ascii="宋体" w:hAnsi="宋体" w:cs="宋体"/>
                <w:color w:val="000000"/>
                <w:sz w:val="24"/>
              </w:rPr>
            </w:pPr>
            <w:r>
              <w:rPr>
                <w:rFonts w:hint="eastAsia" w:ascii="宋体" w:hAnsi="宋体" w:cs="宋体"/>
                <w:color w:val="000000"/>
                <w:sz w:val="24"/>
              </w:rPr>
              <w:t>5瓶</w:t>
            </w:r>
          </w:p>
        </w:tc>
        <w:tc>
          <w:tcPr>
            <w:tcW w:w="6504" w:type="dxa"/>
            <w:vAlign w:val="top"/>
          </w:tcPr>
          <w:p>
            <w:pPr>
              <w:jc w:val="left"/>
              <w:rPr>
                <w:rFonts w:ascii="宋体" w:hAnsi="宋体" w:cs="仿宋"/>
                <w:sz w:val="24"/>
              </w:rPr>
            </w:pPr>
            <w:r>
              <w:rPr>
                <w:rFonts w:hint="eastAsia" w:ascii="宋体" w:hAnsi="宋体" w:cs="仿宋"/>
                <w:sz w:val="24"/>
              </w:rPr>
              <w:t>1.用于虎红平板凝集试验诊断布氏菌病；</w:t>
            </w:r>
          </w:p>
          <w:p>
            <w:pPr>
              <w:widowControl/>
              <w:textAlignment w:val="center"/>
              <w:rPr>
                <w:rFonts w:ascii="宋体" w:hAnsi="宋体" w:cs="宋体"/>
                <w:color w:val="000000"/>
                <w:sz w:val="24"/>
              </w:rPr>
            </w:pPr>
            <w:r>
              <w:rPr>
                <w:rFonts w:hint="eastAsia" w:ascii="宋体" w:hAnsi="宋体" w:cs="仿宋"/>
                <w:sz w:val="24"/>
              </w:rPr>
              <w:t>2.2-8℃保存，有效期为12个月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1205" w:type="dxa"/>
            <w:vAlign w:val="center"/>
          </w:tcPr>
          <w:p>
            <w:pPr>
              <w:widowControl/>
              <w:jc w:val="center"/>
              <w:textAlignment w:val="center"/>
              <w:rPr>
                <w:rFonts w:ascii="宋体" w:hAnsi="宋体" w:cs="宋体"/>
                <w:bCs/>
                <w:sz w:val="24"/>
              </w:rPr>
            </w:pPr>
            <w:r>
              <w:rPr>
                <w:rFonts w:hint="eastAsia" w:ascii="宋体" w:hAnsi="宋体" w:cs="宋体"/>
                <w:color w:val="000000"/>
                <w:kern w:val="0"/>
                <w:sz w:val="24"/>
              </w:rPr>
              <w:t>布鲁氏菌病阳性血清</w:t>
            </w:r>
          </w:p>
        </w:tc>
        <w:tc>
          <w:tcPr>
            <w:tcW w:w="1133" w:type="dxa"/>
            <w:vAlign w:val="center"/>
          </w:tcPr>
          <w:p>
            <w:pPr>
              <w:ind w:firstLine="240" w:firstLineChars="100"/>
              <w:jc w:val="center"/>
              <w:rPr>
                <w:rFonts w:ascii="宋体" w:hAnsi="宋体" w:cs="宋体"/>
                <w:sz w:val="24"/>
              </w:rPr>
            </w:pPr>
            <w:r>
              <w:rPr>
                <w:rFonts w:hint="eastAsia" w:ascii="宋体" w:hAnsi="宋体" w:cs="宋体"/>
                <w:color w:val="000000"/>
                <w:sz w:val="24"/>
              </w:rPr>
              <w:t>1ml</w:t>
            </w:r>
          </w:p>
        </w:tc>
        <w:tc>
          <w:tcPr>
            <w:tcW w:w="976" w:type="dxa"/>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2瓶</w:t>
            </w:r>
          </w:p>
        </w:tc>
        <w:tc>
          <w:tcPr>
            <w:tcW w:w="6504" w:type="dxa"/>
            <w:vAlign w:val="center"/>
          </w:tcPr>
          <w:p>
            <w:pPr>
              <w:jc w:val="left"/>
              <w:rPr>
                <w:rFonts w:ascii="宋体" w:hAnsi="宋体" w:cs="仿宋"/>
                <w:sz w:val="24"/>
              </w:rPr>
            </w:pPr>
            <w:r>
              <w:rPr>
                <w:rFonts w:hint="eastAsia" w:ascii="宋体" w:hAnsi="宋体" w:cs="仿宋"/>
                <w:sz w:val="24"/>
              </w:rPr>
              <w:t>1.用于虎红平板凝集试验诊断布氏菌病；</w:t>
            </w:r>
          </w:p>
          <w:p>
            <w:pPr>
              <w:widowControl/>
              <w:textAlignment w:val="center"/>
              <w:rPr>
                <w:rFonts w:ascii="宋体" w:hAnsi="宋体" w:cs="宋体"/>
                <w:color w:val="000000"/>
                <w:sz w:val="24"/>
              </w:rPr>
            </w:pPr>
            <w:r>
              <w:rPr>
                <w:rFonts w:hint="eastAsia" w:ascii="宋体" w:hAnsi="宋体" w:cs="仿宋"/>
                <w:sz w:val="24"/>
              </w:rPr>
              <w:t>2.2-8℃保存，有效期大于12个月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3" w:hRule="atLeast"/>
          <w:jc w:val="center"/>
        </w:trPr>
        <w:tc>
          <w:tcPr>
            <w:tcW w:w="1205" w:type="dxa"/>
            <w:vAlign w:val="center"/>
          </w:tcPr>
          <w:p>
            <w:pPr>
              <w:widowControl/>
              <w:jc w:val="center"/>
              <w:textAlignment w:val="center"/>
              <w:rPr>
                <w:rFonts w:ascii="宋体" w:hAnsi="宋体" w:cs="宋体"/>
                <w:bCs/>
                <w:sz w:val="24"/>
              </w:rPr>
            </w:pPr>
            <w:r>
              <w:rPr>
                <w:rFonts w:hint="eastAsia" w:ascii="宋体" w:hAnsi="宋体" w:cs="宋体"/>
                <w:color w:val="000000"/>
                <w:kern w:val="0"/>
                <w:sz w:val="24"/>
              </w:rPr>
              <w:t>禽流感病毒H5亚型（Re-13株）血凝抑制试验抗原</w:t>
            </w:r>
          </w:p>
        </w:tc>
        <w:tc>
          <w:tcPr>
            <w:tcW w:w="1133" w:type="dxa"/>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2ml</w:t>
            </w:r>
          </w:p>
        </w:tc>
        <w:tc>
          <w:tcPr>
            <w:tcW w:w="976" w:type="dxa"/>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10瓶</w:t>
            </w:r>
          </w:p>
        </w:tc>
        <w:tc>
          <w:tcPr>
            <w:tcW w:w="6504" w:type="dxa"/>
            <w:vAlign w:val="top"/>
          </w:tcPr>
          <w:p>
            <w:pPr>
              <w:jc w:val="left"/>
              <w:rPr>
                <w:rFonts w:ascii="宋体" w:hAnsi="宋体" w:cs="仿宋"/>
                <w:sz w:val="24"/>
              </w:rPr>
            </w:pPr>
            <w:r>
              <w:rPr>
                <w:rFonts w:hint="eastAsia" w:ascii="宋体" w:hAnsi="宋体" w:cs="仿宋"/>
                <w:sz w:val="24"/>
              </w:rPr>
              <w:t>1.用于HI试验检测禽流感R5(RE-13)抗体；</w:t>
            </w:r>
          </w:p>
          <w:p>
            <w:pPr>
              <w:jc w:val="left"/>
              <w:rPr>
                <w:rFonts w:ascii="宋体" w:hAnsi="宋体" w:cs="仿宋"/>
                <w:sz w:val="24"/>
              </w:rPr>
            </w:pPr>
            <w:r>
              <w:rPr>
                <w:rFonts w:hint="eastAsia" w:ascii="宋体" w:hAnsi="宋体" w:cs="仿宋"/>
                <w:sz w:val="24"/>
              </w:rPr>
              <w:t>2.血凝（HA）效价不低于1:128；</w:t>
            </w:r>
          </w:p>
          <w:p>
            <w:pPr>
              <w:jc w:val="left"/>
              <w:rPr>
                <w:rFonts w:ascii="宋体" w:hAnsi="宋体" w:cs="仿宋"/>
                <w:sz w:val="24"/>
              </w:rPr>
            </w:pPr>
            <w:r>
              <w:rPr>
                <w:rFonts w:hint="eastAsia" w:ascii="宋体" w:hAnsi="宋体" w:cs="仿宋"/>
                <w:sz w:val="24"/>
              </w:rPr>
              <w:t>3.规格：2mL/瓶；</w:t>
            </w:r>
          </w:p>
          <w:p>
            <w:pPr>
              <w:widowControl/>
              <w:textAlignment w:val="center"/>
              <w:rPr>
                <w:rFonts w:ascii="宋体" w:hAnsi="宋体" w:cs="宋体"/>
                <w:color w:val="000000"/>
                <w:sz w:val="24"/>
              </w:rPr>
            </w:pPr>
            <w:r>
              <w:rPr>
                <w:rFonts w:hint="eastAsia" w:ascii="宋体" w:hAnsi="宋体" w:cs="仿宋"/>
                <w:sz w:val="24"/>
              </w:rPr>
              <w:t>4.有效期：≥24个月。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4" w:hRule="atLeast"/>
          <w:jc w:val="center"/>
        </w:trPr>
        <w:tc>
          <w:tcPr>
            <w:tcW w:w="1205" w:type="dxa"/>
            <w:vAlign w:val="center"/>
          </w:tcPr>
          <w:p>
            <w:pPr>
              <w:widowControl/>
              <w:jc w:val="center"/>
              <w:textAlignment w:val="center"/>
              <w:rPr>
                <w:rFonts w:ascii="宋体" w:hAnsi="宋体" w:cs="宋体"/>
                <w:bCs/>
                <w:sz w:val="24"/>
              </w:rPr>
            </w:pPr>
            <w:r>
              <w:rPr>
                <w:rFonts w:hint="eastAsia" w:ascii="宋体" w:hAnsi="宋体" w:cs="宋体"/>
                <w:color w:val="000000"/>
                <w:kern w:val="0"/>
                <w:sz w:val="24"/>
              </w:rPr>
              <w:t>禽流感病毒H5亚型（Re-13株）阳性血清</w:t>
            </w:r>
          </w:p>
        </w:tc>
        <w:tc>
          <w:tcPr>
            <w:tcW w:w="1133" w:type="dxa"/>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2ml</w:t>
            </w:r>
          </w:p>
        </w:tc>
        <w:tc>
          <w:tcPr>
            <w:tcW w:w="976" w:type="dxa"/>
            <w:vAlign w:val="center"/>
          </w:tcPr>
          <w:p>
            <w:pPr>
              <w:ind w:firstLine="240" w:firstLineChars="100"/>
              <w:jc w:val="center"/>
              <w:rPr>
                <w:rFonts w:ascii="宋体" w:hAnsi="宋体" w:cs="宋体"/>
                <w:sz w:val="24"/>
              </w:rPr>
            </w:pPr>
            <w:r>
              <w:rPr>
                <w:rFonts w:hint="eastAsia" w:ascii="宋体" w:hAnsi="宋体" w:cs="宋体"/>
                <w:color w:val="000000"/>
                <w:sz w:val="24"/>
              </w:rPr>
              <w:t>10瓶</w:t>
            </w:r>
          </w:p>
        </w:tc>
        <w:tc>
          <w:tcPr>
            <w:tcW w:w="6504" w:type="dxa"/>
            <w:vAlign w:val="top"/>
          </w:tcPr>
          <w:p>
            <w:pPr>
              <w:widowControl/>
              <w:textAlignment w:val="center"/>
              <w:rPr>
                <w:rFonts w:ascii="宋体" w:hAnsi="宋体" w:cs="宋体"/>
                <w:color w:val="000000"/>
                <w:sz w:val="24"/>
              </w:rPr>
            </w:pPr>
            <w:r>
              <w:rPr>
                <w:rFonts w:hint="eastAsia" w:ascii="宋体" w:hAnsi="宋体" w:cs="宋体"/>
                <w:color w:val="000000"/>
                <w:sz w:val="24"/>
              </w:rPr>
              <w:t>1.用于HI试验检测禽流感R5(RE-13)抗体；</w:t>
            </w:r>
          </w:p>
          <w:p>
            <w:pPr>
              <w:widowControl/>
              <w:textAlignment w:val="center"/>
              <w:rPr>
                <w:rFonts w:ascii="宋体" w:hAnsi="宋体" w:cs="宋体"/>
                <w:color w:val="000000"/>
                <w:sz w:val="24"/>
              </w:rPr>
            </w:pPr>
            <w:r>
              <w:rPr>
                <w:rFonts w:hint="eastAsia" w:ascii="宋体" w:hAnsi="宋体" w:cs="宋体"/>
                <w:color w:val="000000"/>
                <w:sz w:val="24"/>
              </w:rPr>
              <w:t>2.血凝（HA）效价不低于1:128；</w:t>
            </w:r>
          </w:p>
          <w:p>
            <w:pPr>
              <w:widowControl/>
              <w:textAlignment w:val="center"/>
              <w:rPr>
                <w:rFonts w:ascii="宋体" w:hAnsi="宋体" w:cs="宋体"/>
                <w:color w:val="000000"/>
                <w:sz w:val="24"/>
              </w:rPr>
            </w:pPr>
            <w:r>
              <w:rPr>
                <w:rFonts w:hint="eastAsia" w:ascii="宋体" w:hAnsi="宋体" w:cs="宋体"/>
                <w:color w:val="000000"/>
                <w:sz w:val="24"/>
              </w:rPr>
              <w:t>3.规格：2mL/瓶；</w:t>
            </w:r>
          </w:p>
          <w:p>
            <w:pPr>
              <w:widowControl/>
              <w:textAlignment w:val="center"/>
              <w:rPr>
                <w:rFonts w:ascii="宋体" w:hAnsi="宋体" w:cs="宋体"/>
                <w:color w:val="000000"/>
                <w:sz w:val="24"/>
              </w:rPr>
            </w:pPr>
            <w:r>
              <w:rPr>
                <w:rFonts w:hint="eastAsia" w:ascii="宋体" w:hAnsi="宋体" w:cs="宋体"/>
                <w:color w:val="000000"/>
                <w:sz w:val="24"/>
              </w:rPr>
              <w:t>4.有效期：≥24个月。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3" w:hRule="atLeast"/>
          <w:jc w:val="center"/>
        </w:trPr>
        <w:tc>
          <w:tcPr>
            <w:tcW w:w="1205" w:type="dxa"/>
            <w:vAlign w:val="center"/>
          </w:tcPr>
          <w:p>
            <w:pPr>
              <w:widowControl/>
              <w:jc w:val="center"/>
              <w:textAlignment w:val="center"/>
              <w:rPr>
                <w:rFonts w:ascii="宋体" w:hAnsi="宋体" w:cs="宋体"/>
                <w:bCs/>
                <w:sz w:val="24"/>
              </w:rPr>
            </w:pPr>
            <w:r>
              <w:rPr>
                <w:rFonts w:hint="eastAsia" w:ascii="宋体" w:hAnsi="宋体" w:cs="宋体"/>
                <w:color w:val="000000"/>
                <w:kern w:val="0"/>
                <w:sz w:val="24"/>
              </w:rPr>
              <w:t>禽流感病毒H5亚型（Re-14株）血凝抑制试验抗原</w:t>
            </w:r>
          </w:p>
        </w:tc>
        <w:tc>
          <w:tcPr>
            <w:tcW w:w="1133" w:type="dxa"/>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2ml</w:t>
            </w:r>
          </w:p>
        </w:tc>
        <w:tc>
          <w:tcPr>
            <w:tcW w:w="976" w:type="dxa"/>
            <w:vAlign w:val="center"/>
          </w:tcPr>
          <w:p>
            <w:pPr>
              <w:ind w:firstLine="240" w:firstLineChars="100"/>
              <w:jc w:val="center"/>
              <w:rPr>
                <w:rFonts w:ascii="宋体" w:hAnsi="宋体" w:cs="宋体"/>
                <w:sz w:val="24"/>
              </w:rPr>
            </w:pPr>
            <w:r>
              <w:rPr>
                <w:rFonts w:hint="eastAsia" w:ascii="宋体" w:hAnsi="宋体" w:cs="宋体"/>
                <w:color w:val="000000"/>
                <w:sz w:val="24"/>
              </w:rPr>
              <w:t>10瓶</w:t>
            </w:r>
          </w:p>
        </w:tc>
        <w:tc>
          <w:tcPr>
            <w:tcW w:w="6504" w:type="dxa"/>
            <w:vAlign w:val="top"/>
          </w:tcPr>
          <w:p>
            <w:pPr>
              <w:jc w:val="left"/>
              <w:rPr>
                <w:rFonts w:ascii="宋体" w:hAnsi="宋体" w:cs="仿宋"/>
                <w:sz w:val="24"/>
              </w:rPr>
            </w:pPr>
            <w:r>
              <w:rPr>
                <w:rFonts w:hint="eastAsia" w:ascii="宋体" w:hAnsi="宋体" w:cs="仿宋"/>
                <w:sz w:val="24"/>
              </w:rPr>
              <w:t>1.用于HI试验检测禽流感R5(RE-14)抗体；</w:t>
            </w:r>
          </w:p>
          <w:p>
            <w:pPr>
              <w:jc w:val="left"/>
              <w:rPr>
                <w:rFonts w:ascii="宋体" w:hAnsi="宋体" w:cs="仿宋"/>
                <w:sz w:val="24"/>
              </w:rPr>
            </w:pPr>
            <w:r>
              <w:rPr>
                <w:rFonts w:hint="eastAsia" w:ascii="宋体" w:hAnsi="宋体" w:cs="仿宋"/>
                <w:sz w:val="24"/>
              </w:rPr>
              <w:t>2.血凝（HA）效价不低于1:128；</w:t>
            </w:r>
          </w:p>
          <w:p>
            <w:pPr>
              <w:jc w:val="left"/>
              <w:rPr>
                <w:rFonts w:ascii="宋体" w:hAnsi="宋体" w:cs="仿宋"/>
                <w:sz w:val="24"/>
              </w:rPr>
            </w:pPr>
            <w:r>
              <w:rPr>
                <w:rFonts w:hint="eastAsia" w:ascii="宋体" w:hAnsi="宋体" w:cs="仿宋"/>
                <w:sz w:val="24"/>
              </w:rPr>
              <w:t>3.规格：2mL/瓶；</w:t>
            </w:r>
          </w:p>
          <w:p>
            <w:pPr>
              <w:widowControl/>
              <w:textAlignment w:val="center"/>
              <w:rPr>
                <w:rFonts w:ascii="宋体" w:hAnsi="宋体" w:cs="宋体"/>
                <w:color w:val="000000"/>
                <w:sz w:val="24"/>
              </w:rPr>
            </w:pPr>
            <w:r>
              <w:rPr>
                <w:rFonts w:hint="eastAsia" w:ascii="宋体" w:hAnsi="宋体" w:cs="仿宋"/>
                <w:sz w:val="24"/>
              </w:rPr>
              <w:t>4.有效期：≥24个月。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4" w:hRule="atLeast"/>
          <w:jc w:val="center"/>
        </w:trPr>
        <w:tc>
          <w:tcPr>
            <w:tcW w:w="1205" w:type="dxa"/>
            <w:vAlign w:val="center"/>
          </w:tcPr>
          <w:p>
            <w:pPr>
              <w:widowControl/>
              <w:jc w:val="center"/>
              <w:textAlignment w:val="center"/>
              <w:rPr>
                <w:rFonts w:ascii="宋体" w:hAnsi="宋体" w:cs="宋体"/>
                <w:bCs/>
                <w:sz w:val="24"/>
              </w:rPr>
            </w:pPr>
            <w:r>
              <w:rPr>
                <w:rFonts w:hint="eastAsia" w:ascii="宋体" w:hAnsi="宋体" w:cs="宋体"/>
                <w:color w:val="000000"/>
                <w:kern w:val="0"/>
                <w:sz w:val="24"/>
              </w:rPr>
              <w:t>禽流感病毒H5亚型（Re-14株）阳性血清</w:t>
            </w:r>
          </w:p>
        </w:tc>
        <w:tc>
          <w:tcPr>
            <w:tcW w:w="1133" w:type="dxa"/>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2ml</w:t>
            </w:r>
          </w:p>
        </w:tc>
        <w:tc>
          <w:tcPr>
            <w:tcW w:w="976" w:type="dxa"/>
            <w:vAlign w:val="center"/>
          </w:tcPr>
          <w:p>
            <w:pPr>
              <w:ind w:firstLine="240" w:firstLineChars="100"/>
              <w:jc w:val="center"/>
              <w:rPr>
                <w:rFonts w:ascii="宋体" w:hAnsi="宋体" w:cs="宋体"/>
                <w:sz w:val="24"/>
              </w:rPr>
            </w:pPr>
            <w:r>
              <w:rPr>
                <w:rFonts w:hint="eastAsia" w:ascii="宋体" w:hAnsi="宋体" w:cs="宋体"/>
                <w:color w:val="000000"/>
                <w:sz w:val="24"/>
              </w:rPr>
              <w:t>10瓶</w:t>
            </w:r>
          </w:p>
        </w:tc>
        <w:tc>
          <w:tcPr>
            <w:tcW w:w="6504" w:type="dxa"/>
            <w:vAlign w:val="top"/>
          </w:tcPr>
          <w:p>
            <w:pPr>
              <w:jc w:val="left"/>
              <w:rPr>
                <w:rFonts w:ascii="宋体" w:hAnsi="宋体" w:cs="仿宋"/>
                <w:sz w:val="24"/>
              </w:rPr>
            </w:pPr>
            <w:r>
              <w:rPr>
                <w:rFonts w:hint="eastAsia" w:ascii="宋体" w:hAnsi="宋体" w:cs="仿宋"/>
                <w:sz w:val="24"/>
              </w:rPr>
              <w:t>1.用于HI试验检测禽流感R5(RE-14)抗体；</w:t>
            </w:r>
          </w:p>
          <w:p>
            <w:pPr>
              <w:jc w:val="left"/>
              <w:rPr>
                <w:rFonts w:ascii="宋体" w:hAnsi="宋体" w:cs="仿宋"/>
                <w:sz w:val="24"/>
              </w:rPr>
            </w:pPr>
            <w:r>
              <w:rPr>
                <w:rFonts w:hint="eastAsia" w:ascii="宋体" w:hAnsi="宋体" w:cs="仿宋"/>
                <w:sz w:val="24"/>
              </w:rPr>
              <w:t>2.血凝（HA）效价不低于1:128；</w:t>
            </w:r>
          </w:p>
          <w:p>
            <w:pPr>
              <w:jc w:val="left"/>
              <w:rPr>
                <w:rFonts w:ascii="宋体" w:hAnsi="宋体" w:cs="仿宋"/>
                <w:sz w:val="24"/>
              </w:rPr>
            </w:pPr>
            <w:r>
              <w:rPr>
                <w:rFonts w:hint="eastAsia" w:ascii="宋体" w:hAnsi="宋体" w:cs="仿宋"/>
                <w:sz w:val="24"/>
              </w:rPr>
              <w:t>3.规格：2mL/瓶；</w:t>
            </w:r>
          </w:p>
          <w:p>
            <w:pPr>
              <w:widowControl/>
              <w:textAlignment w:val="center"/>
              <w:rPr>
                <w:rFonts w:ascii="宋体" w:hAnsi="宋体" w:cs="宋体"/>
                <w:color w:val="000000"/>
                <w:sz w:val="24"/>
              </w:rPr>
            </w:pPr>
            <w:r>
              <w:rPr>
                <w:rFonts w:hint="eastAsia" w:ascii="宋体" w:hAnsi="宋体" w:cs="仿宋"/>
                <w:sz w:val="24"/>
              </w:rPr>
              <w:t>4.有效期：≥24个月。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4" w:hRule="atLeast"/>
          <w:jc w:val="center"/>
        </w:trPr>
        <w:tc>
          <w:tcPr>
            <w:tcW w:w="1205" w:type="dxa"/>
            <w:vAlign w:val="center"/>
          </w:tcPr>
          <w:p>
            <w:pPr>
              <w:widowControl/>
              <w:jc w:val="center"/>
              <w:textAlignment w:val="center"/>
              <w:rPr>
                <w:rFonts w:ascii="宋体" w:hAnsi="宋体" w:cs="宋体"/>
                <w:bCs/>
                <w:sz w:val="24"/>
              </w:rPr>
            </w:pPr>
            <w:r>
              <w:rPr>
                <w:rFonts w:hint="eastAsia" w:ascii="宋体" w:hAnsi="宋体" w:cs="宋体"/>
                <w:color w:val="000000"/>
                <w:kern w:val="0"/>
                <w:sz w:val="24"/>
              </w:rPr>
              <w:t>禽流感病毒H7亚型（Re-4株）血凝抑制试验抗原</w:t>
            </w:r>
          </w:p>
        </w:tc>
        <w:tc>
          <w:tcPr>
            <w:tcW w:w="1133" w:type="dxa"/>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2ml</w:t>
            </w:r>
          </w:p>
        </w:tc>
        <w:tc>
          <w:tcPr>
            <w:tcW w:w="976" w:type="dxa"/>
            <w:vAlign w:val="center"/>
          </w:tcPr>
          <w:p>
            <w:pPr>
              <w:ind w:firstLine="240" w:firstLineChars="100"/>
              <w:jc w:val="center"/>
              <w:rPr>
                <w:rFonts w:ascii="宋体" w:hAnsi="宋体" w:cs="宋体"/>
                <w:sz w:val="24"/>
              </w:rPr>
            </w:pPr>
            <w:r>
              <w:rPr>
                <w:rFonts w:hint="eastAsia" w:ascii="宋体" w:hAnsi="宋体" w:cs="宋体"/>
                <w:color w:val="000000"/>
                <w:sz w:val="24"/>
              </w:rPr>
              <w:t>10瓶</w:t>
            </w:r>
          </w:p>
        </w:tc>
        <w:tc>
          <w:tcPr>
            <w:tcW w:w="6504" w:type="dxa"/>
            <w:vAlign w:val="top"/>
          </w:tcPr>
          <w:p>
            <w:pPr>
              <w:jc w:val="left"/>
              <w:rPr>
                <w:rFonts w:ascii="宋体" w:hAnsi="宋体" w:cs="仿宋"/>
                <w:sz w:val="24"/>
              </w:rPr>
            </w:pPr>
            <w:r>
              <w:rPr>
                <w:rFonts w:hint="eastAsia" w:ascii="宋体" w:hAnsi="宋体" w:cs="仿宋"/>
                <w:sz w:val="24"/>
              </w:rPr>
              <w:t>1.用于HI试验检测禽流感R7(RE-4)抗体；</w:t>
            </w:r>
          </w:p>
          <w:p>
            <w:pPr>
              <w:jc w:val="left"/>
              <w:rPr>
                <w:rFonts w:ascii="宋体" w:hAnsi="宋体" w:cs="仿宋"/>
                <w:sz w:val="24"/>
              </w:rPr>
            </w:pPr>
            <w:r>
              <w:rPr>
                <w:rFonts w:hint="eastAsia" w:ascii="宋体" w:hAnsi="宋体" w:cs="仿宋"/>
                <w:sz w:val="24"/>
              </w:rPr>
              <w:t>2.血凝（HA）效价不低于1:128；</w:t>
            </w:r>
          </w:p>
          <w:p>
            <w:pPr>
              <w:jc w:val="left"/>
              <w:rPr>
                <w:rFonts w:ascii="宋体" w:hAnsi="宋体" w:cs="仿宋"/>
                <w:sz w:val="24"/>
              </w:rPr>
            </w:pPr>
            <w:r>
              <w:rPr>
                <w:rFonts w:hint="eastAsia" w:ascii="宋体" w:hAnsi="宋体" w:cs="仿宋"/>
                <w:sz w:val="24"/>
              </w:rPr>
              <w:t>3.规格：2mL/瓶；</w:t>
            </w:r>
          </w:p>
          <w:p>
            <w:pPr>
              <w:widowControl/>
              <w:textAlignment w:val="center"/>
              <w:rPr>
                <w:rFonts w:ascii="宋体" w:hAnsi="宋体" w:cs="宋体"/>
                <w:color w:val="000000"/>
                <w:sz w:val="24"/>
              </w:rPr>
            </w:pPr>
            <w:r>
              <w:rPr>
                <w:rFonts w:hint="eastAsia" w:ascii="宋体" w:hAnsi="宋体" w:cs="仿宋"/>
                <w:sz w:val="24"/>
              </w:rPr>
              <w:t>4.有效期：≥24个月。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4" w:hRule="atLeast"/>
          <w:jc w:val="center"/>
        </w:trPr>
        <w:tc>
          <w:tcPr>
            <w:tcW w:w="1205" w:type="dxa"/>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禽流感病毒H7亚型（Re-4株）阳性血清</w:t>
            </w:r>
          </w:p>
        </w:tc>
        <w:tc>
          <w:tcPr>
            <w:tcW w:w="1133" w:type="dxa"/>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2ml</w:t>
            </w:r>
          </w:p>
        </w:tc>
        <w:tc>
          <w:tcPr>
            <w:tcW w:w="976" w:type="dxa"/>
            <w:vAlign w:val="center"/>
          </w:tcPr>
          <w:p>
            <w:pPr>
              <w:ind w:firstLine="240" w:firstLineChars="100"/>
              <w:jc w:val="center"/>
              <w:rPr>
                <w:rFonts w:ascii="宋体" w:hAnsi="宋体" w:cs="宋体"/>
                <w:sz w:val="24"/>
              </w:rPr>
            </w:pPr>
            <w:r>
              <w:rPr>
                <w:rFonts w:hint="eastAsia" w:ascii="宋体" w:hAnsi="宋体" w:cs="宋体"/>
                <w:color w:val="000000"/>
                <w:sz w:val="24"/>
              </w:rPr>
              <w:t>10瓶</w:t>
            </w:r>
          </w:p>
        </w:tc>
        <w:tc>
          <w:tcPr>
            <w:tcW w:w="6504" w:type="dxa"/>
            <w:vAlign w:val="top"/>
          </w:tcPr>
          <w:p>
            <w:pPr>
              <w:jc w:val="left"/>
              <w:rPr>
                <w:rFonts w:ascii="宋体" w:hAnsi="宋体" w:cs="仿宋"/>
                <w:sz w:val="24"/>
              </w:rPr>
            </w:pPr>
            <w:r>
              <w:rPr>
                <w:rFonts w:hint="eastAsia" w:ascii="宋体" w:hAnsi="宋体" w:cs="仿宋"/>
                <w:sz w:val="24"/>
              </w:rPr>
              <w:t>1.用于HI试验检测禽流感R7(RE-4)抗体；</w:t>
            </w:r>
          </w:p>
          <w:p>
            <w:pPr>
              <w:jc w:val="left"/>
              <w:rPr>
                <w:rFonts w:ascii="宋体" w:hAnsi="宋体" w:cs="仿宋"/>
                <w:sz w:val="24"/>
              </w:rPr>
            </w:pPr>
            <w:r>
              <w:rPr>
                <w:rFonts w:hint="eastAsia" w:ascii="宋体" w:hAnsi="宋体" w:cs="仿宋"/>
                <w:sz w:val="24"/>
              </w:rPr>
              <w:t>2.血凝（HA）效价不低于1:128；</w:t>
            </w:r>
          </w:p>
          <w:p>
            <w:pPr>
              <w:jc w:val="left"/>
              <w:rPr>
                <w:rFonts w:ascii="宋体" w:hAnsi="宋体" w:cs="仿宋"/>
                <w:sz w:val="24"/>
              </w:rPr>
            </w:pPr>
            <w:r>
              <w:rPr>
                <w:rFonts w:hint="eastAsia" w:ascii="宋体" w:hAnsi="宋体" w:cs="仿宋"/>
                <w:sz w:val="24"/>
              </w:rPr>
              <w:t>3.规格：2mL/瓶；</w:t>
            </w:r>
          </w:p>
          <w:p>
            <w:pPr>
              <w:widowControl/>
              <w:textAlignment w:val="center"/>
              <w:rPr>
                <w:rFonts w:ascii="宋体" w:hAnsi="宋体" w:cs="宋体"/>
                <w:color w:val="000000"/>
                <w:sz w:val="24"/>
              </w:rPr>
            </w:pPr>
            <w:r>
              <w:rPr>
                <w:rFonts w:hint="eastAsia" w:ascii="宋体" w:hAnsi="宋体" w:cs="仿宋"/>
                <w:sz w:val="24"/>
              </w:rPr>
              <w:t>4.有效期：≥24个月。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jc w:val="center"/>
        </w:trPr>
        <w:tc>
          <w:tcPr>
            <w:tcW w:w="1205" w:type="dxa"/>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鸡新城疫血凝抑制试验抗原</w:t>
            </w:r>
          </w:p>
        </w:tc>
        <w:tc>
          <w:tcPr>
            <w:tcW w:w="1133" w:type="dxa"/>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2ml</w:t>
            </w:r>
          </w:p>
        </w:tc>
        <w:tc>
          <w:tcPr>
            <w:tcW w:w="976"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10瓶</w:t>
            </w:r>
          </w:p>
        </w:tc>
        <w:tc>
          <w:tcPr>
            <w:tcW w:w="6504" w:type="dxa"/>
            <w:vAlign w:val="top"/>
          </w:tcPr>
          <w:p>
            <w:pPr>
              <w:jc w:val="left"/>
              <w:rPr>
                <w:rFonts w:ascii="宋体" w:hAnsi="宋体" w:cs="仿宋"/>
                <w:sz w:val="24"/>
              </w:rPr>
            </w:pPr>
            <w:r>
              <w:rPr>
                <w:rFonts w:hint="eastAsia" w:ascii="宋体" w:hAnsi="宋体" w:cs="仿宋"/>
                <w:sz w:val="24"/>
              </w:rPr>
              <w:t>1.用于HI试验检测鸡新城疫病毒抗体；</w:t>
            </w:r>
          </w:p>
          <w:p>
            <w:pPr>
              <w:jc w:val="left"/>
              <w:rPr>
                <w:rFonts w:ascii="宋体" w:hAnsi="宋体" w:cs="仿宋"/>
                <w:sz w:val="24"/>
              </w:rPr>
            </w:pPr>
            <w:r>
              <w:rPr>
                <w:rFonts w:hint="eastAsia" w:ascii="宋体" w:hAnsi="宋体" w:cs="仿宋"/>
                <w:sz w:val="24"/>
              </w:rPr>
              <w:t>2.血凝（HA）效价不低于1:128；</w:t>
            </w:r>
          </w:p>
          <w:p>
            <w:pPr>
              <w:jc w:val="left"/>
              <w:rPr>
                <w:rFonts w:ascii="宋体" w:hAnsi="宋体" w:cs="仿宋"/>
                <w:sz w:val="24"/>
              </w:rPr>
            </w:pPr>
            <w:r>
              <w:rPr>
                <w:rFonts w:hint="eastAsia" w:ascii="宋体" w:hAnsi="宋体" w:cs="仿宋"/>
                <w:sz w:val="24"/>
              </w:rPr>
              <w:t>3.规格：2mL/瓶；</w:t>
            </w:r>
          </w:p>
          <w:p>
            <w:pPr>
              <w:widowControl/>
              <w:textAlignment w:val="center"/>
              <w:rPr>
                <w:rFonts w:ascii="宋体" w:hAnsi="宋体" w:cs="宋体"/>
                <w:color w:val="000000"/>
                <w:sz w:val="24"/>
              </w:rPr>
            </w:pPr>
            <w:r>
              <w:rPr>
                <w:rFonts w:hint="eastAsia" w:ascii="宋体" w:hAnsi="宋体" w:cs="仿宋"/>
                <w:sz w:val="24"/>
              </w:rPr>
              <w:t>4.有效期：≥24个月。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jc w:val="center"/>
        </w:trPr>
        <w:tc>
          <w:tcPr>
            <w:tcW w:w="1205" w:type="dxa"/>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鸡新城疫试验阳性血清</w:t>
            </w:r>
          </w:p>
        </w:tc>
        <w:tc>
          <w:tcPr>
            <w:tcW w:w="1133" w:type="dxa"/>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2ml</w:t>
            </w:r>
          </w:p>
        </w:tc>
        <w:tc>
          <w:tcPr>
            <w:tcW w:w="976"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10瓶</w:t>
            </w:r>
          </w:p>
        </w:tc>
        <w:tc>
          <w:tcPr>
            <w:tcW w:w="6504" w:type="dxa"/>
            <w:vAlign w:val="top"/>
          </w:tcPr>
          <w:p>
            <w:pPr>
              <w:jc w:val="left"/>
              <w:rPr>
                <w:rFonts w:ascii="宋体" w:hAnsi="宋体" w:cs="仿宋"/>
                <w:sz w:val="24"/>
              </w:rPr>
            </w:pPr>
            <w:r>
              <w:rPr>
                <w:rFonts w:hint="eastAsia" w:ascii="宋体" w:hAnsi="宋体" w:cs="仿宋"/>
                <w:sz w:val="24"/>
              </w:rPr>
              <w:t>1.用于HI试验检测鸡新城疫病毒抗体；</w:t>
            </w:r>
          </w:p>
          <w:p>
            <w:pPr>
              <w:jc w:val="left"/>
              <w:rPr>
                <w:rFonts w:ascii="宋体" w:hAnsi="宋体" w:cs="仿宋"/>
                <w:sz w:val="24"/>
              </w:rPr>
            </w:pPr>
            <w:r>
              <w:rPr>
                <w:rFonts w:hint="eastAsia" w:ascii="宋体" w:hAnsi="宋体" w:cs="仿宋"/>
                <w:sz w:val="24"/>
              </w:rPr>
              <w:t>2.血凝（HA）效价不低于1:128；</w:t>
            </w:r>
          </w:p>
          <w:p>
            <w:pPr>
              <w:jc w:val="left"/>
              <w:rPr>
                <w:rFonts w:ascii="宋体" w:hAnsi="宋体" w:cs="仿宋"/>
                <w:sz w:val="24"/>
              </w:rPr>
            </w:pPr>
            <w:r>
              <w:rPr>
                <w:rFonts w:hint="eastAsia" w:ascii="宋体" w:hAnsi="宋体" w:cs="仿宋"/>
                <w:sz w:val="24"/>
              </w:rPr>
              <w:t>3.规格：2mL/瓶；</w:t>
            </w:r>
          </w:p>
          <w:p>
            <w:pPr>
              <w:widowControl/>
              <w:textAlignment w:val="center"/>
              <w:rPr>
                <w:rFonts w:ascii="宋体" w:hAnsi="宋体" w:cs="宋体"/>
                <w:color w:val="000000"/>
                <w:sz w:val="24"/>
              </w:rPr>
            </w:pPr>
            <w:r>
              <w:rPr>
                <w:rFonts w:hint="eastAsia" w:ascii="宋体" w:hAnsi="宋体" w:cs="仿宋"/>
                <w:sz w:val="24"/>
              </w:rPr>
              <w:t>4.有效期：≥24个月。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4" w:hRule="atLeast"/>
          <w:jc w:val="center"/>
        </w:trPr>
        <w:tc>
          <w:tcPr>
            <w:tcW w:w="1205" w:type="dxa"/>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一次性反应板  V型110°</w:t>
            </w:r>
          </w:p>
        </w:tc>
        <w:tc>
          <w:tcPr>
            <w:tcW w:w="1133" w:type="dxa"/>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10个/包</w:t>
            </w:r>
          </w:p>
        </w:tc>
        <w:tc>
          <w:tcPr>
            <w:tcW w:w="976"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100包</w:t>
            </w:r>
          </w:p>
        </w:tc>
        <w:tc>
          <w:tcPr>
            <w:tcW w:w="6504" w:type="dxa"/>
            <w:vAlign w:val="top"/>
          </w:tcPr>
          <w:p>
            <w:pPr>
              <w:widowControl/>
              <w:textAlignment w:val="center"/>
              <w:rPr>
                <w:rFonts w:ascii="宋体" w:hAnsi="宋体" w:cs="宋体"/>
                <w:color w:val="000000"/>
                <w:kern w:val="0"/>
                <w:sz w:val="24"/>
              </w:rPr>
            </w:pPr>
            <w:r>
              <w:rPr>
                <w:rFonts w:hint="eastAsia" w:ascii="宋体" w:hAnsi="宋体" w:cs="宋体"/>
                <w:color w:val="000000"/>
                <w:kern w:val="0"/>
                <w:sz w:val="24"/>
              </w:rPr>
              <w:t>1.V型110°10块/包 200包/箱</w:t>
            </w:r>
          </w:p>
          <w:p>
            <w:pPr>
              <w:widowControl/>
              <w:textAlignment w:val="center"/>
              <w:rPr>
                <w:rFonts w:ascii="宋体" w:hAnsi="宋体" w:cs="宋体"/>
                <w:color w:val="000000"/>
                <w:kern w:val="0"/>
                <w:sz w:val="24"/>
              </w:rPr>
            </w:pPr>
            <w:r>
              <w:rPr>
                <w:rFonts w:hint="eastAsia" w:ascii="宋体" w:hAnsi="宋体" w:cs="宋体"/>
                <w:color w:val="000000"/>
                <w:kern w:val="0"/>
                <w:sz w:val="24"/>
              </w:rPr>
              <w:t>2.产品特点:材质:聚氯乙烯(PVC)</w:t>
            </w:r>
          </w:p>
          <w:p>
            <w:pPr>
              <w:widowControl/>
              <w:textAlignment w:val="center"/>
              <w:rPr>
                <w:rFonts w:ascii="宋体" w:hAnsi="宋体" w:cs="宋体"/>
                <w:color w:val="000000"/>
                <w:kern w:val="0"/>
                <w:sz w:val="24"/>
              </w:rPr>
            </w:pPr>
            <w:r>
              <w:rPr>
                <w:rFonts w:hint="eastAsia" w:ascii="宋体" w:hAnsi="宋体" w:cs="宋体"/>
                <w:color w:val="000000"/>
                <w:kern w:val="0"/>
                <w:sz w:val="24"/>
              </w:rPr>
              <w:t>3.尺寸:13cm*9cm*lcm</w:t>
            </w:r>
          </w:p>
          <w:p>
            <w:pPr>
              <w:widowControl/>
              <w:textAlignment w:val="center"/>
              <w:rPr>
                <w:rFonts w:ascii="宋体" w:hAnsi="宋体" w:cs="宋体"/>
                <w:color w:val="000000"/>
                <w:kern w:val="0"/>
                <w:sz w:val="24"/>
              </w:rPr>
            </w:pPr>
            <w:r>
              <w:rPr>
                <w:rFonts w:hint="eastAsia" w:ascii="宋体" w:hAnsi="宋体" w:cs="宋体"/>
                <w:color w:val="000000"/>
                <w:kern w:val="0"/>
                <w:sz w:val="24"/>
              </w:rPr>
              <w:t>-外形:V型90°，V型110°，U型</w:t>
            </w:r>
          </w:p>
          <w:p>
            <w:pPr>
              <w:widowControl/>
              <w:textAlignment w:val="center"/>
              <w:rPr>
                <w:rFonts w:ascii="宋体" w:hAnsi="宋体" w:cs="宋体"/>
                <w:color w:val="000000"/>
                <w:kern w:val="0"/>
                <w:sz w:val="24"/>
              </w:rPr>
            </w:pPr>
            <w:r>
              <w:rPr>
                <w:rFonts w:hint="eastAsia" w:ascii="宋体" w:hAnsi="宋体" w:cs="宋体"/>
                <w:color w:val="000000"/>
                <w:kern w:val="0"/>
                <w:sz w:val="24"/>
              </w:rPr>
              <w:t>4.应用:可在科研单位、学校教学、验室等用于血清稀释、蛋白和抗原抗体浓度测定。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1205"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2-200ul枪头</w:t>
            </w:r>
          </w:p>
        </w:tc>
        <w:tc>
          <w:tcPr>
            <w:tcW w:w="1133"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96个/盒</w:t>
            </w:r>
          </w:p>
        </w:tc>
        <w:tc>
          <w:tcPr>
            <w:tcW w:w="976"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300盒</w:t>
            </w:r>
          </w:p>
        </w:tc>
        <w:tc>
          <w:tcPr>
            <w:tcW w:w="6504" w:type="dxa"/>
            <w:vAlign w:val="top"/>
          </w:tcPr>
          <w:p>
            <w:pPr>
              <w:widowControl/>
              <w:textAlignment w:val="center"/>
              <w:rPr>
                <w:rFonts w:ascii="宋体" w:hAnsi="宋体" w:cs="宋体"/>
                <w:color w:val="000000"/>
                <w:kern w:val="0"/>
                <w:sz w:val="24"/>
              </w:rPr>
            </w:pPr>
            <w:r>
              <w:rPr>
                <w:rFonts w:hint="eastAsia" w:ascii="宋体" w:hAnsi="宋体" w:cs="宋体"/>
                <w:color w:val="000000"/>
                <w:kern w:val="0"/>
                <w:sz w:val="24"/>
              </w:rPr>
              <w:t>1.规格:96支/盒 量程2-200ul</w:t>
            </w:r>
          </w:p>
          <w:p>
            <w:pPr>
              <w:widowControl/>
              <w:textAlignment w:val="center"/>
              <w:rPr>
                <w:rFonts w:ascii="宋体" w:hAnsi="宋体" w:cs="宋体"/>
                <w:color w:val="000000"/>
                <w:kern w:val="0"/>
                <w:sz w:val="24"/>
              </w:rPr>
            </w:pPr>
            <w:r>
              <w:rPr>
                <w:rFonts w:hint="eastAsia" w:ascii="宋体" w:hAnsi="宋体" w:cs="宋体"/>
                <w:color w:val="000000"/>
                <w:kern w:val="0"/>
                <w:sz w:val="24"/>
              </w:rPr>
              <w:t>2.产品特点:无热原、无DNA酶、无RNA酶</w:t>
            </w:r>
          </w:p>
          <w:p>
            <w:pPr>
              <w:widowControl/>
              <w:textAlignment w:val="center"/>
              <w:rPr>
                <w:rFonts w:ascii="宋体" w:hAnsi="宋体" w:cs="宋体"/>
                <w:color w:val="000000"/>
                <w:kern w:val="0"/>
                <w:sz w:val="24"/>
              </w:rPr>
            </w:pPr>
            <w:r>
              <w:rPr>
                <w:rFonts w:hint="eastAsia" w:ascii="宋体" w:hAnsi="宋体" w:cs="宋体"/>
                <w:color w:val="000000"/>
                <w:kern w:val="0"/>
                <w:sz w:val="24"/>
              </w:rPr>
              <w:t>透明度好,具有良好的透明度、方便使用时观察液面。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1205"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0.1-10ul枪头</w:t>
            </w:r>
          </w:p>
        </w:tc>
        <w:tc>
          <w:tcPr>
            <w:tcW w:w="1133"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96个/盒</w:t>
            </w:r>
          </w:p>
        </w:tc>
        <w:tc>
          <w:tcPr>
            <w:tcW w:w="976"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300盒</w:t>
            </w:r>
          </w:p>
        </w:tc>
        <w:tc>
          <w:tcPr>
            <w:tcW w:w="6504" w:type="dxa"/>
            <w:vAlign w:val="top"/>
          </w:tcPr>
          <w:p>
            <w:pPr>
              <w:widowControl/>
              <w:textAlignment w:val="center"/>
              <w:rPr>
                <w:rFonts w:ascii="宋体" w:hAnsi="宋体" w:cs="宋体"/>
                <w:color w:val="000000"/>
                <w:kern w:val="0"/>
                <w:sz w:val="24"/>
              </w:rPr>
            </w:pPr>
            <w:r>
              <w:rPr>
                <w:rFonts w:hint="eastAsia" w:ascii="宋体" w:hAnsi="宋体" w:cs="宋体"/>
                <w:color w:val="000000"/>
                <w:kern w:val="0"/>
                <w:sz w:val="24"/>
              </w:rPr>
              <w:t>1.规格:96支/盒 量程</w:t>
            </w:r>
            <w:r>
              <w:rPr>
                <w:rFonts w:ascii="宋体" w:hAnsi="宋体" w:cs="宋体"/>
                <w:color w:val="000000"/>
                <w:kern w:val="0"/>
                <w:sz w:val="24"/>
              </w:rPr>
              <w:t>0.1-10ul</w:t>
            </w:r>
          </w:p>
          <w:p>
            <w:pPr>
              <w:widowControl/>
              <w:textAlignment w:val="center"/>
              <w:rPr>
                <w:rFonts w:ascii="宋体" w:hAnsi="宋体" w:cs="宋体"/>
                <w:color w:val="000000"/>
                <w:kern w:val="0"/>
                <w:sz w:val="24"/>
              </w:rPr>
            </w:pPr>
            <w:r>
              <w:rPr>
                <w:rFonts w:hint="eastAsia" w:ascii="宋体" w:hAnsi="宋体" w:cs="宋体"/>
                <w:color w:val="000000"/>
                <w:kern w:val="0"/>
                <w:sz w:val="24"/>
              </w:rPr>
              <w:t>2.产品特点:无热原、无DNA酶、无RNA酶</w:t>
            </w:r>
          </w:p>
          <w:p>
            <w:pPr>
              <w:widowControl/>
              <w:textAlignment w:val="center"/>
              <w:rPr>
                <w:rFonts w:ascii="宋体" w:hAnsi="宋体" w:cs="宋体"/>
                <w:color w:val="000000"/>
                <w:kern w:val="0"/>
                <w:sz w:val="24"/>
              </w:rPr>
            </w:pPr>
            <w:r>
              <w:rPr>
                <w:rFonts w:hint="eastAsia" w:ascii="宋体" w:hAnsi="宋体" w:cs="宋体"/>
                <w:color w:val="000000"/>
                <w:kern w:val="0"/>
                <w:sz w:val="24"/>
              </w:rPr>
              <w:t>透明度好,具有良好的透明度、方便使用时观察液面。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1205"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0.5-20ul枪头</w:t>
            </w:r>
          </w:p>
        </w:tc>
        <w:tc>
          <w:tcPr>
            <w:tcW w:w="1133"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96个/盒</w:t>
            </w:r>
          </w:p>
        </w:tc>
        <w:tc>
          <w:tcPr>
            <w:tcW w:w="976" w:type="dxa"/>
            <w:vAlign w:val="center"/>
          </w:tcPr>
          <w:p>
            <w:pPr>
              <w:widowControl/>
              <w:textAlignment w:val="center"/>
              <w:rPr>
                <w:rFonts w:ascii="宋体" w:hAnsi="宋体" w:cs="宋体"/>
                <w:color w:val="000000"/>
                <w:kern w:val="0"/>
                <w:sz w:val="24"/>
              </w:rPr>
            </w:pPr>
            <w:r>
              <w:rPr>
                <w:rFonts w:hint="eastAsia" w:ascii="宋体" w:hAnsi="宋体" w:cs="宋体"/>
                <w:color w:val="000000"/>
                <w:kern w:val="0"/>
                <w:sz w:val="24"/>
              </w:rPr>
              <w:t>200</w:t>
            </w:r>
            <w:r>
              <w:rPr>
                <w:rFonts w:hint="eastAsia" w:ascii="宋体" w:hAnsi="宋体" w:cs="宋体"/>
                <w:color w:val="000000"/>
                <w:sz w:val="24"/>
              </w:rPr>
              <w:t>盒</w:t>
            </w:r>
          </w:p>
        </w:tc>
        <w:tc>
          <w:tcPr>
            <w:tcW w:w="6504" w:type="dxa"/>
            <w:vAlign w:val="top"/>
          </w:tcPr>
          <w:p>
            <w:pPr>
              <w:widowControl/>
              <w:textAlignment w:val="center"/>
              <w:rPr>
                <w:rFonts w:ascii="宋体" w:hAnsi="宋体" w:cs="宋体"/>
                <w:color w:val="000000"/>
                <w:kern w:val="0"/>
                <w:sz w:val="24"/>
              </w:rPr>
            </w:pPr>
            <w:r>
              <w:rPr>
                <w:rFonts w:hint="eastAsia" w:ascii="宋体" w:hAnsi="宋体" w:cs="宋体"/>
                <w:color w:val="000000"/>
                <w:kern w:val="0"/>
                <w:sz w:val="24"/>
              </w:rPr>
              <w:t>1.规格:96支/盒 量程</w:t>
            </w:r>
            <w:r>
              <w:rPr>
                <w:rFonts w:ascii="宋体" w:hAnsi="宋体" w:cs="宋体"/>
                <w:color w:val="000000"/>
                <w:kern w:val="0"/>
                <w:sz w:val="24"/>
              </w:rPr>
              <w:t>0.5-20ul</w:t>
            </w:r>
          </w:p>
          <w:p>
            <w:pPr>
              <w:widowControl/>
              <w:textAlignment w:val="center"/>
              <w:rPr>
                <w:rFonts w:ascii="宋体" w:hAnsi="宋体" w:cs="宋体"/>
                <w:color w:val="000000"/>
                <w:kern w:val="0"/>
                <w:sz w:val="24"/>
              </w:rPr>
            </w:pPr>
            <w:r>
              <w:rPr>
                <w:rFonts w:hint="eastAsia" w:ascii="宋体" w:hAnsi="宋体" w:cs="宋体"/>
                <w:color w:val="000000"/>
                <w:kern w:val="0"/>
                <w:sz w:val="24"/>
              </w:rPr>
              <w:t>2.产品特点:无热原、无DNA酶、无RNA酶</w:t>
            </w:r>
          </w:p>
          <w:p>
            <w:pPr>
              <w:widowControl/>
              <w:textAlignment w:val="center"/>
              <w:rPr>
                <w:rFonts w:ascii="宋体" w:hAnsi="宋体" w:cs="宋体"/>
                <w:color w:val="000000"/>
                <w:kern w:val="0"/>
                <w:sz w:val="24"/>
              </w:rPr>
            </w:pPr>
            <w:r>
              <w:rPr>
                <w:rFonts w:hint="eastAsia" w:ascii="宋体" w:hAnsi="宋体" w:cs="宋体"/>
                <w:color w:val="000000"/>
                <w:kern w:val="0"/>
                <w:sz w:val="24"/>
              </w:rPr>
              <w:t>透明度好,具有良好的透明度、方便使用时观察液面。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1205"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1ml枪头</w:t>
            </w:r>
          </w:p>
        </w:tc>
        <w:tc>
          <w:tcPr>
            <w:tcW w:w="1133"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96个/盒</w:t>
            </w:r>
          </w:p>
        </w:tc>
        <w:tc>
          <w:tcPr>
            <w:tcW w:w="976"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50盒</w:t>
            </w:r>
          </w:p>
        </w:tc>
        <w:tc>
          <w:tcPr>
            <w:tcW w:w="6504" w:type="dxa"/>
            <w:vAlign w:val="top"/>
          </w:tcPr>
          <w:p>
            <w:pPr>
              <w:widowControl/>
              <w:textAlignment w:val="center"/>
              <w:rPr>
                <w:rFonts w:ascii="宋体" w:hAnsi="宋体" w:cs="宋体"/>
                <w:color w:val="000000"/>
                <w:kern w:val="0"/>
                <w:sz w:val="24"/>
              </w:rPr>
            </w:pPr>
            <w:r>
              <w:rPr>
                <w:rFonts w:hint="eastAsia" w:ascii="宋体" w:hAnsi="宋体" w:cs="宋体"/>
                <w:color w:val="000000"/>
                <w:kern w:val="0"/>
                <w:sz w:val="24"/>
              </w:rPr>
              <w:t>1.规格:96支/盒 量程</w:t>
            </w:r>
            <w:r>
              <w:rPr>
                <w:rFonts w:ascii="宋体" w:hAnsi="宋体" w:cs="宋体"/>
                <w:color w:val="000000"/>
                <w:kern w:val="0"/>
                <w:sz w:val="24"/>
              </w:rPr>
              <w:t>1ml</w:t>
            </w:r>
          </w:p>
          <w:p>
            <w:pPr>
              <w:widowControl/>
              <w:textAlignment w:val="center"/>
              <w:rPr>
                <w:rFonts w:ascii="宋体" w:hAnsi="宋体" w:cs="宋体"/>
                <w:color w:val="000000"/>
                <w:kern w:val="0"/>
                <w:sz w:val="24"/>
              </w:rPr>
            </w:pPr>
            <w:r>
              <w:rPr>
                <w:rFonts w:hint="eastAsia" w:ascii="宋体" w:hAnsi="宋体" w:cs="宋体"/>
                <w:color w:val="000000"/>
                <w:kern w:val="0"/>
                <w:sz w:val="24"/>
              </w:rPr>
              <w:t>2.产品特点:无热原、无DNA酶、无RNA酶</w:t>
            </w:r>
          </w:p>
          <w:p>
            <w:pPr>
              <w:widowControl/>
              <w:textAlignment w:val="center"/>
              <w:rPr>
                <w:rFonts w:ascii="宋体" w:hAnsi="宋体" w:cs="宋体"/>
                <w:color w:val="000000"/>
                <w:kern w:val="0"/>
                <w:sz w:val="24"/>
              </w:rPr>
            </w:pPr>
            <w:r>
              <w:rPr>
                <w:rFonts w:hint="eastAsia" w:ascii="宋体" w:hAnsi="宋体" w:cs="宋体"/>
                <w:color w:val="000000"/>
                <w:kern w:val="0"/>
                <w:sz w:val="24"/>
              </w:rPr>
              <w:t>透明度好,具有良好的透明度、方便使用时观察液面。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1205" w:type="dxa"/>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5ml一次性采血器</w:t>
            </w:r>
          </w:p>
        </w:tc>
        <w:tc>
          <w:tcPr>
            <w:tcW w:w="1133" w:type="dxa"/>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1800支/箱</w:t>
            </w:r>
          </w:p>
        </w:tc>
        <w:tc>
          <w:tcPr>
            <w:tcW w:w="976"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3箱</w:t>
            </w:r>
          </w:p>
        </w:tc>
        <w:tc>
          <w:tcPr>
            <w:tcW w:w="6504" w:type="dxa"/>
            <w:vAlign w:val="top"/>
          </w:tcPr>
          <w:p>
            <w:pPr>
              <w:widowControl/>
              <w:textAlignment w:val="center"/>
              <w:rPr>
                <w:rFonts w:ascii="宋体" w:hAnsi="宋体" w:cs="宋体"/>
                <w:kern w:val="0"/>
                <w:sz w:val="24"/>
              </w:rPr>
            </w:pPr>
            <w:r>
              <w:rPr>
                <w:rFonts w:hint="eastAsia" w:ascii="宋体" w:hAnsi="宋体" w:cs="宋体"/>
                <w:kern w:val="0"/>
                <w:sz w:val="24"/>
              </w:rPr>
              <w:t>7#，9#，12#针头，1800支/箱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1205" w:type="dxa"/>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10ml一次性采血器</w:t>
            </w:r>
          </w:p>
        </w:tc>
        <w:tc>
          <w:tcPr>
            <w:tcW w:w="1133" w:type="dxa"/>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1200支/箱</w:t>
            </w:r>
          </w:p>
        </w:tc>
        <w:tc>
          <w:tcPr>
            <w:tcW w:w="976" w:type="dxa"/>
            <w:vAlign w:val="center"/>
          </w:tcPr>
          <w:p>
            <w:pPr>
              <w:widowControl/>
              <w:jc w:val="center"/>
              <w:textAlignment w:val="center"/>
              <w:rPr>
                <w:rFonts w:ascii="宋体" w:hAnsi="宋体" w:cs="宋体"/>
                <w:color w:val="000000"/>
                <w:kern w:val="0"/>
                <w:sz w:val="24"/>
              </w:rPr>
            </w:pPr>
            <w:r>
              <w:rPr>
                <w:rFonts w:hint="eastAsia" w:ascii="宋体" w:hAnsi="宋体" w:cs="宋体"/>
                <w:b/>
                <w:color w:val="000000"/>
                <w:kern w:val="0"/>
                <w:sz w:val="24"/>
              </w:rPr>
              <w:t>4</w:t>
            </w:r>
            <w:r>
              <w:rPr>
                <w:rFonts w:hint="eastAsia" w:ascii="宋体" w:hAnsi="宋体" w:cs="宋体"/>
                <w:color w:val="000000"/>
                <w:kern w:val="0"/>
                <w:sz w:val="24"/>
              </w:rPr>
              <w:t>箱</w:t>
            </w:r>
          </w:p>
        </w:tc>
        <w:tc>
          <w:tcPr>
            <w:tcW w:w="6504" w:type="dxa"/>
            <w:vAlign w:val="top"/>
          </w:tcPr>
          <w:p>
            <w:pPr>
              <w:widowControl/>
              <w:textAlignment w:val="center"/>
              <w:rPr>
                <w:rFonts w:ascii="宋体" w:hAnsi="宋体" w:cs="宋体"/>
                <w:kern w:val="0"/>
                <w:sz w:val="24"/>
              </w:rPr>
            </w:pPr>
            <w:r>
              <w:rPr>
                <w:rFonts w:hint="eastAsia" w:ascii="宋体" w:hAnsi="宋体" w:cs="宋体"/>
                <w:kern w:val="0"/>
                <w:sz w:val="24"/>
              </w:rPr>
              <w:t>7#，9#，12#针头，1800支/箱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jc w:val="center"/>
        </w:trPr>
        <w:tc>
          <w:tcPr>
            <w:tcW w:w="1205"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1.5ml离心管</w:t>
            </w:r>
          </w:p>
        </w:tc>
        <w:tc>
          <w:tcPr>
            <w:tcW w:w="1133"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500支/包</w:t>
            </w:r>
          </w:p>
        </w:tc>
        <w:tc>
          <w:tcPr>
            <w:tcW w:w="976"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100包</w:t>
            </w:r>
          </w:p>
        </w:tc>
        <w:tc>
          <w:tcPr>
            <w:tcW w:w="6504" w:type="dxa"/>
            <w:vAlign w:val="top"/>
          </w:tcPr>
          <w:p>
            <w:pPr>
              <w:widowControl/>
              <w:textAlignment w:val="center"/>
              <w:rPr>
                <w:rFonts w:ascii="宋体" w:hAnsi="宋体" w:cs="宋体"/>
                <w:kern w:val="0"/>
                <w:sz w:val="24"/>
              </w:rPr>
            </w:pPr>
            <w:r>
              <w:rPr>
                <w:rFonts w:hint="eastAsia" w:ascii="宋体" w:hAnsi="宋体" w:cs="宋体"/>
                <w:kern w:val="0"/>
                <w:sz w:val="24"/>
              </w:rPr>
              <w:t>1.外形:尖形底，连盖</w:t>
            </w:r>
          </w:p>
          <w:p>
            <w:pPr>
              <w:widowControl/>
              <w:textAlignment w:val="center"/>
              <w:rPr>
                <w:rFonts w:ascii="宋体" w:hAnsi="宋体" w:cs="宋体"/>
                <w:kern w:val="0"/>
                <w:sz w:val="24"/>
              </w:rPr>
            </w:pPr>
            <w:r>
              <w:rPr>
                <w:rFonts w:hint="eastAsia" w:ascii="宋体" w:hAnsi="宋体" w:cs="宋体"/>
                <w:kern w:val="0"/>
                <w:sz w:val="24"/>
              </w:rPr>
              <w:t>2.材料:PP(聚丙烯)</w:t>
            </w:r>
          </w:p>
          <w:p>
            <w:pPr>
              <w:widowControl/>
              <w:textAlignment w:val="center"/>
              <w:rPr>
                <w:rFonts w:ascii="宋体" w:hAnsi="宋体" w:cs="宋体"/>
                <w:kern w:val="0"/>
                <w:sz w:val="24"/>
              </w:rPr>
            </w:pPr>
            <w:r>
              <w:rPr>
                <w:rFonts w:hint="eastAsia" w:ascii="宋体" w:hAnsi="宋体" w:cs="宋体"/>
                <w:kern w:val="0"/>
                <w:sz w:val="24"/>
              </w:rPr>
              <w:t>3.最大离心力:12000xg温度范围:-80°C-121℃，可在121°C/15psi灭菌15分钟</w:t>
            </w:r>
          </w:p>
          <w:p>
            <w:pPr>
              <w:widowControl/>
              <w:textAlignment w:val="center"/>
              <w:rPr>
                <w:rFonts w:ascii="宋体" w:hAnsi="宋体" w:cs="宋体"/>
                <w:kern w:val="0"/>
                <w:sz w:val="24"/>
              </w:rPr>
            </w:pPr>
            <w:r>
              <w:rPr>
                <w:rFonts w:hint="eastAsia" w:ascii="宋体" w:hAnsi="宋体" w:cs="宋体"/>
                <w:kern w:val="0"/>
                <w:sz w:val="24"/>
              </w:rPr>
              <w:t>4.应用范围:主要用于分子生物学、生物化学、临床及环境研究等领域，如核酸的离心、纯化及沉淀，样品的制备等一系列常规实验。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5" w:hRule="atLeast"/>
          <w:jc w:val="center"/>
        </w:trPr>
        <w:tc>
          <w:tcPr>
            <w:tcW w:w="1205"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一次性PE手套</w:t>
            </w:r>
          </w:p>
        </w:tc>
        <w:tc>
          <w:tcPr>
            <w:tcW w:w="1133"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10盒/箱</w:t>
            </w:r>
          </w:p>
        </w:tc>
        <w:tc>
          <w:tcPr>
            <w:tcW w:w="976"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5箱</w:t>
            </w:r>
          </w:p>
        </w:tc>
        <w:tc>
          <w:tcPr>
            <w:tcW w:w="6504" w:type="dxa"/>
            <w:vAlign w:val="top"/>
          </w:tcPr>
          <w:p>
            <w:pPr>
              <w:widowControl/>
              <w:textAlignment w:val="center"/>
              <w:rPr>
                <w:rFonts w:ascii="宋体" w:hAnsi="宋体" w:cs="宋体"/>
                <w:kern w:val="0"/>
                <w:sz w:val="24"/>
              </w:rPr>
            </w:pPr>
            <w:r>
              <w:rPr>
                <w:rFonts w:hint="eastAsia" w:ascii="宋体" w:hAnsi="宋体" w:cs="宋体"/>
                <w:kern w:val="0"/>
                <w:sz w:val="24"/>
              </w:rPr>
              <w:t>1.用于实验卫生防护</w:t>
            </w:r>
          </w:p>
          <w:p>
            <w:pPr>
              <w:widowControl/>
              <w:textAlignment w:val="center"/>
              <w:rPr>
                <w:rFonts w:ascii="宋体" w:hAnsi="宋体" w:cs="宋体"/>
                <w:kern w:val="0"/>
                <w:sz w:val="24"/>
              </w:rPr>
            </w:pPr>
            <w:r>
              <w:rPr>
                <w:rFonts w:hint="eastAsia" w:ascii="宋体" w:hAnsi="宋体" w:cs="宋体"/>
                <w:kern w:val="0"/>
                <w:sz w:val="24"/>
              </w:rPr>
              <w:t>2.左右手通用</w:t>
            </w:r>
          </w:p>
          <w:p>
            <w:pPr>
              <w:widowControl/>
              <w:textAlignment w:val="center"/>
              <w:rPr>
                <w:rFonts w:ascii="宋体" w:hAnsi="宋体" w:cs="宋体"/>
                <w:kern w:val="0"/>
                <w:sz w:val="24"/>
              </w:rPr>
            </w:pPr>
            <w:r>
              <w:rPr>
                <w:rFonts w:hint="eastAsia" w:ascii="宋体" w:hAnsi="宋体" w:cs="宋体"/>
                <w:kern w:val="0"/>
                <w:sz w:val="24"/>
              </w:rPr>
              <w:t>3.高度透明，无色无毒</w:t>
            </w:r>
          </w:p>
          <w:p>
            <w:pPr>
              <w:widowControl/>
              <w:textAlignment w:val="center"/>
              <w:rPr>
                <w:rFonts w:ascii="宋体" w:hAnsi="宋体" w:cs="宋体"/>
                <w:kern w:val="0"/>
                <w:sz w:val="24"/>
              </w:rPr>
            </w:pPr>
            <w:r>
              <w:rPr>
                <w:rFonts w:hint="eastAsia" w:ascii="宋体" w:hAnsi="宋体" w:cs="宋体"/>
                <w:kern w:val="0"/>
                <w:sz w:val="24"/>
              </w:rPr>
              <w:t>4.使用时，先打开包装再进行使用，不得重复使用，用后及时销毁。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5" w:hRule="atLeast"/>
          <w:jc w:val="center"/>
        </w:trPr>
        <w:tc>
          <w:tcPr>
            <w:tcW w:w="1205"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乳胶手套</w:t>
            </w:r>
          </w:p>
        </w:tc>
        <w:tc>
          <w:tcPr>
            <w:tcW w:w="1133"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25双/盒</w:t>
            </w:r>
          </w:p>
        </w:tc>
        <w:tc>
          <w:tcPr>
            <w:tcW w:w="976"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1000双</w:t>
            </w:r>
          </w:p>
        </w:tc>
        <w:tc>
          <w:tcPr>
            <w:tcW w:w="6504" w:type="dxa"/>
            <w:vAlign w:val="top"/>
          </w:tcPr>
          <w:p>
            <w:pPr>
              <w:widowControl/>
              <w:textAlignment w:val="center"/>
              <w:rPr>
                <w:rFonts w:ascii="宋体" w:hAnsi="宋体" w:cs="宋体"/>
                <w:sz w:val="24"/>
              </w:rPr>
            </w:pPr>
            <w:r>
              <w:rPr>
                <w:rFonts w:hint="eastAsia" w:ascii="宋体" w:hAnsi="宋体" w:cs="宋体"/>
                <w:sz w:val="24"/>
              </w:rPr>
              <w:t>1.每副都无菌独立包装,使用便捷;适用于细胞、组织培养等需无菌操作;左右手通用;无粉,防滑设计;天然乳胶,良好的延展性,易穿戴。</w:t>
            </w:r>
          </w:p>
          <w:p>
            <w:pPr>
              <w:widowControl/>
              <w:textAlignment w:val="center"/>
              <w:rPr>
                <w:rFonts w:ascii="宋体" w:hAnsi="宋体" w:cs="宋体"/>
                <w:sz w:val="24"/>
              </w:rPr>
            </w:pPr>
            <w:r>
              <w:rPr>
                <w:rFonts w:hint="eastAsia" w:ascii="宋体" w:hAnsi="宋体" w:cs="宋体"/>
                <w:sz w:val="24"/>
              </w:rPr>
              <w:t>3.独立包装,环氧乙烷灭菌</w:t>
            </w:r>
          </w:p>
          <w:p>
            <w:pPr>
              <w:widowControl/>
              <w:textAlignment w:val="center"/>
              <w:rPr>
                <w:rFonts w:ascii="宋体" w:hAnsi="宋体" w:cs="宋体"/>
                <w:sz w:val="24"/>
              </w:rPr>
            </w:pPr>
            <w:r>
              <w:rPr>
                <w:rFonts w:hint="eastAsia" w:ascii="宋体" w:hAnsi="宋体" w:cs="宋体"/>
                <w:sz w:val="24"/>
              </w:rPr>
              <w:t>4.高弹力,全微麻表面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jc w:val="center"/>
        </w:trPr>
        <w:tc>
          <w:tcPr>
            <w:tcW w:w="1205"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一次性口罩</w:t>
            </w:r>
          </w:p>
        </w:tc>
        <w:tc>
          <w:tcPr>
            <w:tcW w:w="1133"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10只/包</w:t>
            </w:r>
          </w:p>
        </w:tc>
        <w:tc>
          <w:tcPr>
            <w:tcW w:w="976"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200包</w:t>
            </w:r>
          </w:p>
        </w:tc>
        <w:tc>
          <w:tcPr>
            <w:tcW w:w="6504" w:type="dxa"/>
            <w:vAlign w:val="top"/>
          </w:tcPr>
          <w:p>
            <w:pPr>
              <w:widowControl/>
              <w:textAlignment w:val="center"/>
              <w:rPr>
                <w:rFonts w:ascii="宋体" w:hAnsi="宋体" w:cs="宋体"/>
                <w:color w:val="000000"/>
                <w:kern w:val="0"/>
                <w:sz w:val="24"/>
              </w:rPr>
            </w:pPr>
            <w:r>
              <w:rPr>
                <w:rFonts w:hint="eastAsia" w:ascii="宋体" w:hAnsi="宋体" w:cs="宋体"/>
                <w:color w:val="000000"/>
                <w:kern w:val="0"/>
                <w:sz w:val="24"/>
              </w:rPr>
              <w:t>1.独立包装，符合《医用外科口罩技术要求》标准</w:t>
            </w:r>
          </w:p>
          <w:p>
            <w:pPr>
              <w:widowControl/>
              <w:textAlignment w:val="center"/>
              <w:rPr>
                <w:rFonts w:ascii="宋体" w:hAnsi="宋体" w:cs="宋体"/>
                <w:color w:val="000000"/>
                <w:kern w:val="0"/>
                <w:sz w:val="24"/>
              </w:rPr>
            </w:pPr>
            <w:r>
              <w:rPr>
                <w:rFonts w:hint="eastAsia" w:ascii="宋体" w:hAnsi="宋体" w:cs="宋体"/>
                <w:color w:val="000000"/>
                <w:kern w:val="0"/>
                <w:sz w:val="24"/>
              </w:rPr>
              <w:t>2.微孔过滤技术，有效过滤有害物质，软亲肤，佩戴舒适可调节鼻夹，保证良好的密合</w:t>
            </w:r>
          </w:p>
          <w:p>
            <w:pPr>
              <w:widowControl/>
              <w:textAlignment w:val="center"/>
              <w:rPr>
                <w:rFonts w:ascii="宋体" w:hAnsi="宋体" w:cs="宋体"/>
                <w:color w:val="000000"/>
                <w:kern w:val="0"/>
                <w:sz w:val="24"/>
              </w:rPr>
            </w:pPr>
            <w:r>
              <w:rPr>
                <w:rFonts w:hint="eastAsia" w:ascii="宋体" w:hAnsi="宋体" w:cs="宋体"/>
                <w:color w:val="000000"/>
                <w:kern w:val="0"/>
                <w:sz w:val="24"/>
              </w:rPr>
              <w:t>3.质无纺布材质，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1205"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一次性头套</w:t>
            </w:r>
          </w:p>
        </w:tc>
        <w:tc>
          <w:tcPr>
            <w:tcW w:w="1133"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20只/包</w:t>
            </w:r>
          </w:p>
        </w:tc>
        <w:tc>
          <w:tcPr>
            <w:tcW w:w="976"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50包</w:t>
            </w:r>
          </w:p>
        </w:tc>
        <w:tc>
          <w:tcPr>
            <w:tcW w:w="6504" w:type="dxa"/>
            <w:vAlign w:val="top"/>
          </w:tcPr>
          <w:p>
            <w:pPr>
              <w:widowControl/>
              <w:textAlignment w:val="center"/>
              <w:rPr>
                <w:rFonts w:ascii="宋体" w:hAnsi="宋体" w:cs="宋体"/>
                <w:color w:val="000000"/>
                <w:kern w:val="0"/>
                <w:sz w:val="24"/>
              </w:rPr>
            </w:pPr>
            <w:r>
              <w:rPr>
                <w:rFonts w:hint="eastAsia" w:ascii="宋体" w:hAnsi="宋体" w:cs="宋体"/>
                <w:color w:val="000000"/>
                <w:kern w:val="0"/>
                <w:sz w:val="24"/>
              </w:rPr>
              <w:t>1.优质无纺布，耐磨、环保、无异味</w:t>
            </w:r>
          </w:p>
          <w:p>
            <w:r>
              <w:rPr>
                <w:rFonts w:hint="eastAsia" w:ascii="宋体" w:hAnsi="宋体" w:cs="宋体"/>
                <w:color w:val="000000"/>
                <w:kern w:val="0"/>
                <w:sz w:val="24"/>
              </w:rPr>
              <w:t>2.蓝色优质进口双筋，束口宽度3.5mm，结实耐用，3.弹性优良，更好与头部贴合尺寸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4" w:hRule="atLeast"/>
          <w:jc w:val="center"/>
        </w:trPr>
        <w:tc>
          <w:tcPr>
            <w:tcW w:w="1205" w:type="dxa"/>
            <w:vAlign w:val="center"/>
          </w:tcPr>
          <w:p>
            <w:pPr>
              <w:widowControl/>
              <w:jc w:val="center"/>
              <w:textAlignment w:val="center"/>
              <w:rPr>
                <w:rFonts w:ascii="宋体" w:hAnsi="宋体" w:cs="宋体"/>
                <w:color w:val="000000"/>
                <w:kern w:val="0"/>
                <w:sz w:val="24"/>
              </w:rPr>
            </w:pPr>
            <w:r>
              <w:rPr>
                <w:rFonts w:hint="eastAsia" w:ascii="宋体" w:hAnsi="宋体" w:cs="宋体"/>
                <w:sz w:val="24"/>
              </w:rPr>
              <w:t>非洲猪瘟病毒荧光PCR检测试剂盒</w:t>
            </w:r>
          </w:p>
        </w:tc>
        <w:tc>
          <w:tcPr>
            <w:tcW w:w="1133"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50T</w:t>
            </w:r>
          </w:p>
        </w:tc>
        <w:tc>
          <w:tcPr>
            <w:tcW w:w="976"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50盒</w:t>
            </w:r>
          </w:p>
        </w:tc>
        <w:tc>
          <w:tcPr>
            <w:tcW w:w="6504" w:type="dxa"/>
            <w:vAlign w:val="top"/>
          </w:tcPr>
          <w:p>
            <w:pPr>
              <w:widowControl/>
              <w:textAlignment w:val="center"/>
              <w:rPr>
                <w:rFonts w:ascii="宋体" w:hAnsi="宋体" w:cs="宋体"/>
                <w:color w:val="000000"/>
                <w:kern w:val="0"/>
                <w:sz w:val="24"/>
              </w:rPr>
            </w:pPr>
            <w:r>
              <w:rPr>
                <w:rFonts w:hint="eastAsia" w:ascii="宋体" w:hAnsi="宋体" w:cs="宋体"/>
                <w:color w:val="000000"/>
                <w:kern w:val="0"/>
                <w:sz w:val="24"/>
              </w:rPr>
              <w:t>1.用于血液、血球粉、淋巴结、脾脏、扁桃体中非洲猪瘟病毒核酸的检测。</w:t>
            </w:r>
          </w:p>
          <w:p>
            <w:pPr>
              <w:widowControl/>
              <w:textAlignment w:val="center"/>
              <w:rPr>
                <w:rFonts w:ascii="宋体" w:hAnsi="宋体" w:cs="宋体"/>
                <w:color w:val="000000"/>
                <w:kern w:val="0"/>
                <w:sz w:val="24"/>
              </w:rPr>
            </w:pPr>
            <w:r>
              <w:rPr>
                <w:rFonts w:hint="eastAsia" w:ascii="宋体" w:hAnsi="宋体" w:cs="宋体"/>
                <w:color w:val="000000"/>
                <w:kern w:val="0"/>
                <w:sz w:val="24"/>
              </w:rPr>
              <w:t>2.含有完成扩增过程所需全部试剂。</w:t>
            </w:r>
          </w:p>
          <w:p>
            <w:pPr>
              <w:widowControl/>
              <w:textAlignment w:val="center"/>
              <w:rPr>
                <w:rFonts w:ascii="宋体" w:hAnsi="宋体" w:cs="宋体"/>
                <w:color w:val="000000"/>
                <w:kern w:val="0"/>
                <w:sz w:val="24"/>
              </w:rPr>
            </w:pPr>
            <w:r>
              <w:rPr>
                <w:rFonts w:hint="eastAsia" w:ascii="宋体" w:hAnsi="宋体" w:cs="宋体"/>
                <w:color w:val="000000"/>
                <w:kern w:val="0"/>
                <w:sz w:val="24"/>
              </w:rPr>
              <w:t>3.反应体系25ul。</w:t>
            </w:r>
          </w:p>
          <w:p>
            <w:pPr>
              <w:widowControl/>
              <w:textAlignment w:val="center"/>
              <w:rPr>
                <w:rFonts w:ascii="宋体" w:hAnsi="宋体" w:cs="宋体"/>
                <w:color w:val="000000"/>
                <w:kern w:val="0"/>
                <w:sz w:val="24"/>
              </w:rPr>
            </w:pPr>
            <w:r>
              <w:rPr>
                <w:rFonts w:hint="eastAsia" w:ascii="宋体" w:hAnsi="宋体" w:cs="宋体"/>
                <w:color w:val="000000"/>
                <w:kern w:val="0"/>
                <w:sz w:val="24"/>
              </w:rPr>
              <w:t>4.反应参数设置：FAM通道收集荧光信号。</w:t>
            </w:r>
          </w:p>
          <w:p>
            <w:pPr>
              <w:widowControl/>
              <w:textAlignment w:val="center"/>
              <w:rPr>
                <w:rFonts w:ascii="宋体" w:hAnsi="宋体" w:cs="宋体"/>
                <w:color w:val="000000"/>
                <w:kern w:val="0"/>
                <w:sz w:val="24"/>
              </w:rPr>
            </w:pPr>
            <w:r>
              <w:rPr>
                <w:rFonts w:hint="eastAsia" w:ascii="宋体" w:hAnsi="宋体" w:cs="宋体"/>
                <w:color w:val="000000"/>
                <w:kern w:val="0"/>
                <w:sz w:val="24"/>
              </w:rPr>
              <w:t xml:space="preserve">第一阶段，预变性95℃/120秒。 </w:t>
            </w:r>
          </w:p>
          <w:p>
            <w:pPr>
              <w:widowControl/>
              <w:textAlignment w:val="center"/>
              <w:rPr>
                <w:rFonts w:ascii="宋体" w:hAnsi="宋体" w:cs="宋体"/>
                <w:color w:val="000000"/>
                <w:kern w:val="0"/>
                <w:sz w:val="24"/>
              </w:rPr>
            </w:pPr>
            <w:r>
              <w:rPr>
                <w:rFonts w:hint="eastAsia" w:ascii="宋体" w:hAnsi="宋体" w:cs="宋体"/>
                <w:color w:val="000000"/>
                <w:kern w:val="0"/>
                <w:sz w:val="24"/>
              </w:rPr>
              <w:t>第二阶段，95℃/10秒，60℃/30秒共45个循环。荧光收集在第二阶段每次循环的60℃延伸时进行。</w:t>
            </w:r>
          </w:p>
          <w:p>
            <w:pPr>
              <w:widowControl/>
              <w:textAlignment w:val="center"/>
              <w:rPr>
                <w:rFonts w:ascii="宋体" w:hAnsi="宋体" w:cs="宋体"/>
                <w:color w:val="000000"/>
                <w:kern w:val="0"/>
                <w:sz w:val="24"/>
              </w:rPr>
            </w:pPr>
            <w:r>
              <w:rPr>
                <w:rFonts w:hint="eastAsia" w:ascii="宋体" w:hAnsi="宋体" w:cs="宋体"/>
                <w:color w:val="000000"/>
                <w:kern w:val="0"/>
                <w:sz w:val="24"/>
              </w:rPr>
              <w:t>5.使用CT值和扩增曲线共同判定结果。</w:t>
            </w:r>
          </w:p>
          <w:p>
            <w:pPr>
              <w:widowControl/>
              <w:textAlignment w:val="center"/>
              <w:rPr>
                <w:rFonts w:ascii="宋体" w:hAnsi="宋体" w:cs="宋体"/>
                <w:color w:val="000000"/>
                <w:kern w:val="0"/>
                <w:sz w:val="24"/>
              </w:rPr>
            </w:pPr>
            <w:r>
              <w:rPr>
                <w:rFonts w:hint="eastAsia" w:ascii="宋体" w:hAnsi="宋体" w:cs="宋体"/>
                <w:color w:val="000000"/>
                <w:kern w:val="0"/>
                <w:sz w:val="24"/>
              </w:rPr>
              <w:t>6.储存及有效期： -20℃保存，有效期12个月。</w:t>
            </w:r>
          </w:p>
          <w:p>
            <w:pPr>
              <w:widowControl/>
              <w:textAlignment w:val="center"/>
              <w:rPr>
                <w:rFonts w:ascii="宋体" w:hAnsi="宋体" w:cs="宋体"/>
                <w:color w:val="000000"/>
                <w:kern w:val="0"/>
                <w:sz w:val="24"/>
              </w:rPr>
            </w:pPr>
            <w:r>
              <w:rPr>
                <w:rFonts w:hint="eastAsia" w:ascii="宋体" w:hAnsi="宋体" w:cs="宋体"/>
                <w:color w:val="000000"/>
                <w:kern w:val="0"/>
                <w:sz w:val="24"/>
              </w:rPr>
              <w:t>7.生产厂家具有兽药生产许可证和兽药GMP证书。</w:t>
            </w:r>
          </w:p>
          <w:p>
            <w:pPr>
              <w:widowControl/>
              <w:textAlignment w:val="center"/>
              <w:rPr>
                <w:rFonts w:ascii="宋体" w:hAnsi="宋体" w:cs="宋体"/>
                <w:color w:val="000000"/>
                <w:kern w:val="0"/>
                <w:sz w:val="24"/>
              </w:rPr>
            </w:pPr>
            <w:r>
              <w:rPr>
                <w:rFonts w:hint="eastAsia" w:ascii="宋体" w:hAnsi="宋体" w:cs="宋体"/>
                <w:color w:val="000000"/>
                <w:kern w:val="0"/>
                <w:sz w:val="24"/>
              </w:rPr>
              <w:t>8.与OIE试剂的检测结果比对，特异性100%，敏感性100%，符合率100%，批间批内差异≤3%。</w:t>
            </w:r>
            <w:r>
              <w:rPr>
                <w:rFonts w:ascii="宋体" w:hAnsi="宋体" w:cs="宋体"/>
                <w:color w:val="000000"/>
                <w:kern w:val="0"/>
                <w:sz w:val="24"/>
              </w:rPr>
              <w:t xml:space="preserve"> </w:t>
            </w:r>
          </w:p>
          <w:p>
            <w:pPr>
              <w:widowControl/>
              <w:textAlignment w:val="center"/>
              <w:rPr>
                <w:rFonts w:ascii="宋体" w:hAnsi="宋体" w:cs="宋体"/>
                <w:color w:val="000000"/>
                <w:kern w:val="0"/>
                <w:sz w:val="24"/>
              </w:rPr>
            </w:pPr>
            <w:r>
              <w:rPr>
                <w:rFonts w:hint="eastAsia" w:ascii="宋体" w:hAnsi="宋体" w:cs="宋体"/>
                <w:color w:val="000000"/>
                <w:kern w:val="0"/>
                <w:sz w:val="24"/>
              </w:rPr>
              <w:t>9.生产厂家取得国家正规批准文号和二类新兽药证书，提供证书图片或扫描件（加盖生产厂家公章）。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0" w:hRule="atLeast"/>
          <w:jc w:val="center"/>
        </w:trPr>
        <w:tc>
          <w:tcPr>
            <w:tcW w:w="1205" w:type="dxa"/>
            <w:vAlign w:val="center"/>
          </w:tcPr>
          <w:p>
            <w:pPr>
              <w:widowControl/>
              <w:jc w:val="center"/>
              <w:textAlignment w:val="center"/>
              <w:rPr>
                <w:rFonts w:ascii="宋体" w:hAnsi="宋体" w:cs="宋体"/>
                <w:color w:val="000000"/>
                <w:kern w:val="0"/>
                <w:sz w:val="24"/>
              </w:rPr>
            </w:pPr>
            <w:r>
              <w:rPr>
                <w:rFonts w:hint="eastAsia" w:ascii="宋体" w:hAnsi="宋体" w:cs="宋体"/>
                <w:sz w:val="24"/>
              </w:rPr>
              <w:t>非洲猪瘟核酸提取试剂盒</w:t>
            </w:r>
          </w:p>
        </w:tc>
        <w:tc>
          <w:tcPr>
            <w:tcW w:w="1133"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64T</w:t>
            </w:r>
          </w:p>
        </w:tc>
        <w:tc>
          <w:tcPr>
            <w:tcW w:w="976"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40盒</w:t>
            </w:r>
          </w:p>
        </w:tc>
        <w:tc>
          <w:tcPr>
            <w:tcW w:w="6504" w:type="dxa"/>
            <w:vAlign w:val="top"/>
          </w:tcPr>
          <w:p>
            <w:pPr>
              <w:widowControl/>
              <w:textAlignment w:val="center"/>
              <w:rPr>
                <w:rFonts w:ascii="宋体" w:hAnsi="宋体" w:cs="宋体"/>
                <w:color w:val="000000"/>
                <w:kern w:val="0"/>
                <w:sz w:val="24"/>
              </w:rPr>
            </w:pPr>
            <w:r>
              <w:rPr>
                <w:rFonts w:hint="eastAsia" w:ascii="宋体" w:hAnsi="宋体" w:cs="宋体"/>
                <w:color w:val="000000"/>
                <w:kern w:val="0"/>
                <w:sz w:val="24"/>
              </w:rPr>
              <w:t>1.用于对动物细胞、血液或组织等样品的DNA/RNA进行核酸提取。</w:t>
            </w:r>
          </w:p>
          <w:p>
            <w:pPr>
              <w:widowControl/>
              <w:textAlignment w:val="center"/>
              <w:rPr>
                <w:rFonts w:ascii="宋体" w:hAnsi="宋体" w:cs="宋体"/>
                <w:color w:val="000000"/>
                <w:kern w:val="0"/>
                <w:sz w:val="24"/>
              </w:rPr>
            </w:pPr>
            <w:r>
              <w:rPr>
                <w:rFonts w:hint="eastAsia" w:ascii="宋体" w:hAnsi="宋体" w:cs="宋体"/>
                <w:color w:val="000000"/>
                <w:kern w:val="0"/>
                <w:sz w:val="24"/>
              </w:rPr>
              <w:t>2.提取的核酸纯度高、质量稳定可靠。</w:t>
            </w:r>
          </w:p>
          <w:p>
            <w:pPr>
              <w:widowControl/>
              <w:textAlignment w:val="center"/>
              <w:rPr>
                <w:rFonts w:ascii="宋体" w:hAnsi="宋体" w:cs="宋体"/>
                <w:color w:val="000000"/>
                <w:kern w:val="0"/>
                <w:sz w:val="24"/>
              </w:rPr>
            </w:pPr>
            <w:r>
              <w:rPr>
                <w:rFonts w:hint="eastAsia" w:ascii="宋体" w:hAnsi="宋体" w:cs="宋体"/>
                <w:color w:val="000000"/>
                <w:kern w:val="0"/>
                <w:sz w:val="24"/>
              </w:rPr>
              <w:t>3.采用具有独特分离作用的磁珠和缓冲液系统，快速、高度敏感。</w:t>
            </w:r>
          </w:p>
          <w:p>
            <w:pPr>
              <w:widowControl/>
              <w:textAlignment w:val="center"/>
              <w:rPr>
                <w:rFonts w:ascii="宋体" w:hAnsi="宋体" w:cs="宋体"/>
                <w:color w:val="000000"/>
                <w:kern w:val="0"/>
                <w:sz w:val="24"/>
              </w:rPr>
            </w:pPr>
            <w:r>
              <w:rPr>
                <w:rFonts w:hint="eastAsia" w:ascii="宋体" w:hAnsi="宋体" w:cs="宋体"/>
                <w:color w:val="000000"/>
                <w:kern w:val="0"/>
                <w:sz w:val="24"/>
              </w:rPr>
              <w:t>4.独特包被的磁珠，在一定条件下对核酸具有很强的亲和力，而当条件改变时，磁珠释放吸附的核酸，能够达到快速分离纯化核酸的目的。</w:t>
            </w:r>
          </w:p>
          <w:p>
            <w:pPr>
              <w:widowControl/>
              <w:textAlignment w:val="center"/>
              <w:rPr>
                <w:rFonts w:ascii="宋体" w:hAnsi="宋体" w:cs="宋体"/>
                <w:color w:val="000000"/>
                <w:kern w:val="0"/>
                <w:sz w:val="24"/>
              </w:rPr>
            </w:pPr>
            <w:r>
              <w:rPr>
                <w:rFonts w:hint="eastAsia" w:ascii="宋体" w:hAnsi="宋体" w:cs="宋体"/>
                <w:color w:val="000000"/>
                <w:kern w:val="0"/>
                <w:sz w:val="24"/>
              </w:rPr>
              <w:t>5.储存及有效期：15~25℃下保存，有效期12个月。</w:t>
            </w:r>
          </w:p>
          <w:p>
            <w:pPr>
              <w:widowControl/>
              <w:textAlignment w:val="center"/>
              <w:rPr>
                <w:rFonts w:ascii="宋体" w:hAnsi="宋体" w:cs="宋体"/>
                <w:color w:val="000000"/>
                <w:kern w:val="0"/>
                <w:sz w:val="24"/>
              </w:rPr>
            </w:pPr>
            <w:r>
              <w:rPr>
                <w:rFonts w:hint="eastAsia" w:ascii="宋体" w:hAnsi="宋体" w:cs="宋体"/>
                <w:color w:val="000000"/>
                <w:kern w:val="0"/>
                <w:sz w:val="24"/>
              </w:rPr>
              <w:t>6.试剂盒主要组份：96孔预封装试剂板、搅拌套、说明书。</w:t>
            </w:r>
          </w:p>
          <w:p>
            <w:pPr>
              <w:widowControl/>
              <w:textAlignment w:val="center"/>
              <w:rPr>
                <w:rFonts w:ascii="宋体" w:hAnsi="宋体" w:cs="宋体"/>
                <w:color w:val="000000"/>
                <w:kern w:val="0"/>
                <w:sz w:val="24"/>
              </w:rPr>
            </w:pPr>
            <w:r>
              <w:rPr>
                <w:rFonts w:hint="eastAsia" w:ascii="宋体" w:hAnsi="宋体" w:cs="宋体"/>
                <w:color w:val="000000"/>
                <w:kern w:val="0"/>
                <w:sz w:val="24"/>
              </w:rPr>
              <w:t>7.生产厂家具备兽药生产许可证和兽药GMP证书。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7" w:hRule="atLeast"/>
          <w:jc w:val="center"/>
        </w:trPr>
        <w:tc>
          <w:tcPr>
            <w:tcW w:w="1205" w:type="dxa"/>
            <w:vAlign w:val="center"/>
          </w:tcPr>
          <w:p>
            <w:pPr>
              <w:widowControl/>
              <w:jc w:val="center"/>
              <w:textAlignment w:val="center"/>
              <w:rPr>
                <w:rFonts w:ascii="宋体" w:hAnsi="宋体" w:cs="宋体"/>
                <w:sz w:val="24"/>
              </w:rPr>
            </w:pPr>
            <w:r>
              <w:rPr>
                <w:rFonts w:hint="eastAsia" w:ascii="宋体" w:hAnsi="宋体" w:cs="宋体"/>
                <w:sz w:val="24"/>
              </w:rPr>
              <w:t>非洲猪瘟阻断ELISA检测试剂盒</w:t>
            </w:r>
          </w:p>
        </w:tc>
        <w:tc>
          <w:tcPr>
            <w:tcW w:w="1133"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sz w:val="24"/>
              </w:rPr>
              <w:t>2*96</w:t>
            </w:r>
          </w:p>
        </w:tc>
        <w:tc>
          <w:tcPr>
            <w:tcW w:w="976"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5盒</w:t>
            </w:r>
          </w:p>
        </w:tc>
        <w:tc>
          <w:tcPr>
            <w:tcW w:w="6504" w:type="dxa"/>
            <w:vAlign w:val="top"/>
          </w:tcPr>
          <w:p>
            <w:pPr>
              <w:widowControl/>
              <w:textAlignment w:val="center"/>
              <w:rPr>
                <w:rFonts w:ascii="宋体" w:hAnsi="宋体" w:cs="宋体"/>
                <w:color w:val="000000"/>
                <w:kern w:val="0"/>
                <w:sz w:val="24"/>
              </w:rPr>
            </w:pPr>
            <w:r>
              <w:rPr>
                <w:rFonts w:hint="eastAsia" w:ascii="宋体" w:hAnsi="宋体" w:cs="宋体"/>
                <w:color w:val="000000"/>
                <w:kern w:val="0"/>
                <w:sz w:val="24"/>
              </w:rPr>
              <w:t>1.用途：检测猪血清中的非洲猪瘟病毒抗体。</w:t>
            </w:r>
          </w:p>
          <w:p>
            <w:pPr>
              <w:widowControl/>
              <w:textAlignment w:val="center"/>
              <w:rPr>
                <w:rFonts w:ascii="宋体" w:hAnsi="宋体" w:cs="宋体"/>
                <w:color w:val="000000"/>
                <w:kern w:val="0"/>
                <w:sz w:val="24"/>
              </w:rPr>
            </w:pPr>
            <w:r>
              <w:rPr>
                <w:rFonts w:hint="eastAsia" w:ascii="宋体" w:hAnsi="宋体" w:cs="宋体"/>
                <w:color w:val="000000"/>
                <w:kern w:val="0"/>
                <w:sz w:val="24"/>
              </w:rPr>
              <w:t>2.阻断ELISA方法。</w:t>
            </w:r>
          </w:p>
          <w:p>
            <w:pPr>
              <w:widowControl/>
              <w:textAlignment w:val="center"/>
              <w:rPr>
                <w:rFonts w:ascii="宋体" w:hAnsi="宋体" w:cs="宋体"/>
                <w:color w:val="000000"/>
                <w:kern w:val="0"/>
                <w:sz w:val="24"/>
              </w:rPr>
            </w:pPr>
            <w:r>
              <w:rPr>
                <w:rFonts w:hint="eastAsia" w:ascii="宋体" w:hAnsi="宋体" w:cs="宋体"/>
                <w:color w:val="000000"/>
                <w:kern w:val="0"/>
                <w:sz w:val="24"/>
              </w:rPr>
              <w:t>3.试剂盒规格：2*96孔板/盒。</w:t>
            </w:r>
          </w:p>
          <w:p>
            <w:pPr>
              <w:widowControl/>
              <w:textAlignment w:val="center"/>
              <w:rPr>
                <w:rFonts w:ascii="宋体" w:hAnsi="宋体" w:cs="宋体"/>
                <w:color w:val="000000"/>
                <w:kern w:val="0"/>
                <w:sz w:val="24"/>
              </w:rPr>
            </w:pPr>
            <w:r>
              <w:rPr>
                <w:rFonts w:hint="eastAsia" w:ascii="宋体" w:hAnsi="宋体" w:cs="宋体"/>
                <w:color w:val="000000"/>
                <w:kern w:val="0"/>
                <w:sz w:val="24"/>
              </w:rPr>
              <w:t>4.试剂盒主要组成：ASFV阻断包被板、ASFV阻断酶结合物、ASFV阻断样品稀释液、ASFV阻断阴性对照、ASFV阻断阳性对照、显色液A、显色液B、终止液、固体洗液、自封袋、封板膜、说明书、加样槽。</w:t>
            </w:r>
          </w:p>
          <w:p>
            <w:pPr>
              <w:widowControl/>
              <w:textAlignment w:val="center"/>
              <w:rPr>
                <w:rFonts w:ascii="宋体" w:hAnsi="宋体" w:cs="宋体"/>
                <w:color w:val="000000"/>
                <w:kern w:val="0"/>
                <w:sz w:val="24"/>
              </w:rPr>
            </w:pPr>
            <w:r>
              <w:rPr>
                <w:rFonts w:hint="eastAsia" w:ascii="宋体" w:hAnsi="宋体" w:cs="宋体"/>
                <w:color w:val="000000"/>
                <w:kern w:val="0"/>
                <w:sz w:val="24"/>
              </w:rPr>
              <w:t>5.结果判定：如果S/N值＜0.75，样品应判定为抗体阳性。如果S/N值≥0.75，样品应判定为抗体阴性。</w:t>
            </w:r>
          </w:p>
          <w:p>
            <w:pPr>
              <w:widowControl/>
              <w:textAlignment w:val="center"/>
              <w:rPr>
                <w:rFonts w:ascii="宋体" w:hAnsi="宋体" w:cs="宋体"/>
                <w:color w:val="000000"/>
                <w:kern w:val="0"/>
                <w:sz w:val="24"/>
              </w:rPr>
            </w:pPr>
            <w:r>
              <w:rPr>
                <w:rFonts w:hint="eastAsia" w:ascii="宋体" w:hAnsi="宋体" w:cs="宋体"/>
                <w:color w:val="000000"/>
                <w:kern w:val="0"/>
                <w:sz w:val="24"/>
              </w:rPr>
              <w:t>6.储藏与有效期：2～8℃保存，有效期12个月。</w:t>
            </w:r>
          </w:p>
          <w:p>
            <w:pPr>
              <w:widowControl/>
              <w:textAlignment w:val="center"/>
              <w:rPr>
                <w:rFonts w:ascii="宋体" w:hAnsi="宋体" w:cs="宋体"/>
                <w:color w:val="000000"/>
                <w:kern w:val="0"/>
                <w:sz w:val="24"/>
              </w:rPr>
            </w:pPr>
            <w:r>
              <w:rPr>
                <w:rFonts w:hint="eastAsia" w:ascii="宋体" w:hAnsi="宋体" w:cs="宋体"/>
                <w:color w:val="000000"/>
                <w:kern w:val="0"/>
                <w:sz w:val="24"/>
              </w:rPr>
              <w:t>7.生产厂家具有经农业农村部核发的《兽药GMP证书》和《兽药生产许可证》。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1205"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八连排管</w:t>
            </w:r>
          </w:p>
        </w:tc>
        <w:tc>
          <w:tcPr>
            <w:tcW w:w="1133"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125条/盒</w:t>
            </w:r>
          </w:p>
        </w:tc>
        <w:tc>
          <w:tcPr>
            <w:tcW w:w="976"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100盒</w:t>
            </w:r>
          </w:p>
        </w:tc>
        <w:tc>
          <w:tcPr>
            <w:tcW w:w="6504" w:type="dxa"/>
            <w:vAlign w:val="top"/>
          </w:tcPr>
          <w:p>
            <w:pPr>
              <w:widowControl/>
              <w:textAlignment w:val="center"/>
              <w:rPr>
                <w:rFonts w:ascii="宋体" w:hAnsi="宋体" w:cs="宋体"/>
                <w:color w:val="000000"/>
                <w:kern w:val="0"/>
                <w:sz w:val="24"/>
              </w:rPr>
            </w:pPr>
            <w:r>
              <w:rPr>
                <w:rFonts w:hint="eastAsia" w:ascii="宋体" w:hAnsi="宋体" w:cs="宋体"/>
                <w:color w:val="000000"/>
                <w:kern w:val="0"/>
                <w:sz w:val="24"/>
              </w:rPr>
              <w:t>1.200ul,PP材质，</w:t>
            </w:r>
          </w:p>
          <w:p>
            <w:pPr>
              <w:widowControl/>
              <w:textAlignment w:val="center"/>
              <w:rPr>
                <w:rFonts w:ascii="宋体" w:hAnsi="宋体" w:cs="宋体"/>
                <w:color w:val="000000"/>
                <w:kern w:val="0"/>
                <w:sz w:val="24"/>
              </w:rPr>
            </w:pPr>
            <w:r>
              <w:rPr>
                <w:rFonts w:hint="eastAsia" w:ascii="宋体" w:hAnsi="宋体" w:cs="宋体"/>
                <w:color w:val="000000"/>
                <w:kern w:val="0"/>
                <w:sz w:val="24"/>
              </w:rPr>
              <w:t>2.灭菌无DNA酶，RNA酶，无热源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1205"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84消毒液</w:t>
            </w:r>
          </w:p>
        </w:tc>
        <w:tc>
          <w:tcPr>
            <w:tcW w:w="1133"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件</w:t>
            </w:r>
          </w:p>
        </w:tc>
        <w:tc>
          <w:tcPr>
            <w:tcW w:w="976"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1件</w:t>
            </w:r>
          </w:p>
        </w:tc>
        <w:tc>
          <w:tcPr>
            <w:tcW w:w="6504" w:type="dxa"/>
            <w:vAlign w:val="top"/>
          </w:tcPr>
          <w:p>
            <w:pPr>
              <w:widowControl/>
              <w:textAlignment w:val="center"/>
              <w:rPr>
                <w:rFonts w:ascii="宋体" w:hAnsi="宋体" w:cs="宋体"/>
                <w:color w:val="000000"/>
                <w:kern w:val="0"/>
                <w:sz w:val="24"/>
              </w:rPr>
            </w:pPr>
            <w:r>
              <w:rPr>
                <w:rFonts w:hint="eastAsia" w:ascii="宋体" w:hAnsi="宋体" w:cs="宋体"/>
                <w:color w:val="000000"/>
                <w:kern w:val="0"/>
                <w:sz w:val="24"/>
              </w:rPr>
              <w:t>1.次氯酸钠，有效氯含量3.5%-4.5%，</w:t>
            </w:r>
          </w:p>
          <w:p>
            <w:r>
              <w:rPr>
                <w:rFonts w:hint="eastAsia"/>
              </w:rPr>
              <w:t xml:space="preserve">2.可杀灭肠道致病菌，化脓性球菌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1205"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酒精</w:t>
            </w:r>
          </w:p>
        </w:tc>
        <w:tc>
          <w:tcPr>
            <w:tcW w:w="1133"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瓶</w:t>
            </w:r>
          </w:p>
        </w:tc>
        <w:tc>
          <w:tcPr>
            <w:tcW w:w="976"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20瓶</w:t>
            </w:r>
          </w:p>
        </w:tc>
        <w:tc>
          <w:tcPr>
            <w:tcW w:w="6504" w:type="dxa"/>
            <w:vAlign w:val="top"/>
          </w:tcPr>
          <w:p>
            <w:pPr>
              <w:widowControl/>
              <w:textAlignment w:val="center"/>
              <w:rPr>
                <w:rFonts w:ascii="宋体" w:hAnsi="宋体" w:cs="宋体"/>
                <w:color w:val="000000"/>
                <w:kern w:val="0"/>
                <w:sz w:val="24"/>
              </w:rPr>
            </w:pPr>
            <w:r>
              <w:rPr>
                <w:rFonts w:hint="eastAsia" w:ascii="宋体" w:hAnsi="宋体" w:cs="宋体"/>
                <w:color w:val="000000"/>
                <w:kern w:val="0"/>
                <w:sz w:val="24"/>
              </w:rPr>
              <w:t>浓度75%,用于皮肤或物表消毒 500mL/瓶</w:t>
            </w:r>
          </w:p>
        </w:tc>
      </w:tr>
    </w:tbl>
    <w:p>
      <w:pPr>
        <w:pStyle w:val="20"/>
        <w:ind w:left="0" w:leftChars="0" w:right="1470"/>
        <w:rPr>
          <w:rFonts w:ascii="宋体" w:hAnsi="宋体" w:cs="宋体"/>
          <w:b/>
          <w:sz w:val="24"/>
          <w:szCs w:val="23"/>
        </w:rPr>
      </w:pPr>
      <w:r>
        <w:rPr>
          <w:rFonts w:ascii="宋体" w:hAnsi="宋体" w:cs="宋体"/>
          <w:b/>
          <w:spacing w:val="11"/>
          <w:position w:val="1"/>
          <w:sz w:val="24"/>
          <w:szCs w:val="23"/>
        </w:rPr>
        <w:t>二</w:t>
      </w:r>
      <w:r>
        <w:rPr>
          <w:rFonts w:ascii="宋体" w:hAnsi="宋体" w:cs="宋体"/>
          <w:b/>
          <w:spacing w:val="10"/>
          <w:position w:val="1"/>
          <w:sz w:val="24"/>
          <w:szCs w:val="23"/>
        </w:rPr>
        <w:t>、采购标的的其他技术、服务等要求</w:t>
      </w:r>
    </w:p>
    <w:p>
      <w:pPr>
        <w:adjustRightInd w:val="0"/>
        <w:snapToGrid w:val="0"/>
        <w:spacing w:line="360" w:lineRule="auto"/>
        <w:ind w:firstLine="544" w:firstLineChars="200"/>
        <w:contextualSpacing/>
        <w:rPr>
          <w:rFonts w:ascii="宋体" w:hAnsi="宋体" w:cs="宋体"/>
          <w:sz w:val="24"/>
          <w:szCs w:val="23"/>
        </w:rPr>
      </w:pPr>
      <w:r>
        <w:rPr>
          <w:rFonts w:ascii="宋体" w:hAnsi="宋体" w:cs="宋体"/>
          <w:spacing w:val="16"/>
          <w:position w:val="1"/>
          <w:sz w:val="24"/>
          <w:szCs w:val="23"/>
        </w:rPr>
        <w:t>1、</w:t>
      </w:r>
      <w:r>
        <w:rPr>
          <w:rFonts w:ascii="宋体" w:hAnsi="宋体" w:cs="宋体"/>
          <w:spacing w:val="15"/>
          <w:position w:val="1"/>
          <w:sz w:val="24"/>
          <w:szCs w:val="23"/>
        </w:rPr>
        <w:t>供应商</w:t>
      </w:r>
      <w:r>
        <w:rPr>
          <w:rFonts w:ascii="宋体" w:hAnsi="宋体" w:cs="宋体"/>
          <w:spacing w:val="8"/>
          <w:position w:val="1"/>
          <w:sz w:val="24"/>
          <w:szCs w:val="23"/>
        </w:rPr>
        <w:t>须明确投标产品的品牌、型号、参数、厂家、产地，否则为无效投标。</w:t>
      </w:r>
    </w:p>
    <w:p>
      <w:pPr>
        <w:adjustRightInd w:val="0"/>
        <w:snapToGrid w:val="0"/>
        <w:spacing w:line="360" w:lineRule="auto"/>
        <w:ind w:firstLine="544" w:firstLineChars="200"/>
        <w:contextualSpacing/>
        <w:rPr>
          <w:rFonts w:ascii="宋体" w:hAnsi="宋体" w:cs="宋体"/>
          <w:sz w:val="24"/>
          <w:szCs w:val="23"/>
        </w:rPr>
      </w:pPr>
      <w:r>
        <w:rPr>
          <w:rFonts w:ascii="宋体" w:hAnsi="宋体" w:cs="宋体"/>
          <w:spacing w:val="16"/>
          <w:sz w:val="24"/>
          <w:szCs w:val="23"/>
        </w:rPr>
        <w:t>2、</w:t>
      </w:r>
      <w:r>
        <w:rPr>
          <w:rFonts w:ascii="宋体" w:hAnsi="宋体" w:cs="宋体"/>
          <w:spacing w:val="10"/>
          <w:sz w:val="24"/>
          <w:szCs w:val="23"/>
        </w:rPr>
        <w:t>供应商</w:t>
      </w:r>
      <w:r>
        <w:rPr>
          <w:rFonts w:ascii="宋体" w:hAnsi="宋体" w:cs="宋体"/>
          <w:spacing w:val="8"/>
          <w:sz w:val="24"/>
          <w:szCs w:val="23"/>
        </w:rPr>
        <w:t>应就本项目完整响应，否则为无效响应。</w:t>
      </w:r>
    </w:p>
    <w:p>
      <w:pPr>
        <w:adjustRightInd w:val="0"/>
        <w:snapToGrid w:val="0"/>
        <w:spacing w:line="360" w:lineRule="auto"/>
        <w:ind w:firstLine="560" w:firstLineChars="200"/>
        <w:contextualSpacing/>
        <w:rPr>
          <w:rFonts w:ascii="宋体" w:hAnsi="宋体" w:cs="宋体"/>
          <w:sz w:val="24"/>
          <w:szCs w:val="23"/>
        </w:rPr>
      </w:pPr>
      <w:r>
        <w:rPr>
          <w:rFonts w:ascii="宋体" w:hAnsi="宋体" w:cs="宋体"/>
          <w:spacing w:val="20"/>
          <w:position w:val="15"/>
          <w:sz w:val="24"/>
          <w:szCs w:val="23"/>
        </w:rPr>
        <w:t>3</w:t>
      </w:r>
      <w:r>
        <w:rPr>
          <w:rFonts w:ascii="宋体" w:hAnsi="宋体" w:cs="宋体"/>
          <w:spacing w:val="16"/>
          <w:position w:val="15"/>
          <w:sz w:val="24"/>
          <w:szCs w:val="23"/>
        </w:rPr>
        <w:t>、</w:t>
      </w:r>
      <w:r>
        <w:rPr>
          <w:rFonts w:ascii="宋体" w:hAnsi="宋体" w:cs="宋体"/>
          <w:spacing w:val="10"/>
          <w:position w:val="15"/>
          <w:sz w:val="24"/>
          <w:szCs w:val="23"/>
        </w:rPr>
        <w:t>所响应产品必须符合国家质量检测标准和本采购文件规定标准的全新正品现货。</w:t>
      </w:r>
    </w:p>
    <w:p>
      <w:pPr>
        <w:adjustRightInd w:val="0"/>
        <w:snapToGrid w:val="0"/>
        <w:spacing w:line="360" w:lineRule="auto"/>
        <w:ind w:firstLine="552" w:firstLineChars="200"/>
        <w:contextualSpacing/>
        <w:rPr>
          <w:rFonts w:ascii="宋体" w:hAnsi="宋体" w:cs="宋体"/>
          <w:sz w:val="24"/>
          <w:szCs w:val="23"/>
        </w:rPr>
      </w:pPr>
      <w:r>
        <w:rPr>
          <w:rFonts w:ascii="宋体" w:hAnsi="宋体" w:cs="宋体"/>
          <w:spacing w:val="18"/>
          <w:sz w:val="24"/>
          <w:szCs w:val="23"/>
        </w:rPr>
        <w:t>4、</w:t>
      </w:r>
      <w:r>
        <w:rPr>
          <w:rFonts w:ascii="宋体" w:hAnsi="宋体" w:cs="宋体"/>
          <w:spacing w:val="10"/>
          <w:sz w:val="24"/>
          <w:szCs w:val="23"/>
        </w:rPr>
        <w:t>采</w:t>
      </w:r>
      <w:r>
        <w:rPr>
          <w:rFonts w:ascii="宋体" w:hAnsi="宋体" w:cs="宋体"/>
          <w:spacing w:val="9"/>
          <w:sz w:val="24"/>
          <w:szCs w:val="23"/>
        </w:rPr>
        <w:t>购文件中所列需求为最低要求，否则为无效投标。</w:t>
      </w:r>
    </w:p>
    <w:p>
      <w:pPr>
        <w:adjustRightInd w:val="0"/>
        <w:snapToGrid w:val="0"/>
        <w:spacing w:line="360" w:lineRule="auto"/>
        <w:ind w:firstLine="560" w:firstLineChars="200"/>
        <w:contextualSpacing/>
        <w:rPr>
          <w:rFonts w:ascii="宋体" w:hAnsi="宋体" w:cs="宋体"/>
          <w:sz w:val="24"/>
          <w:szCs w:val="23"/>
        </w:rPr>
      </w:pPr>
      <w:r>
        <w:rPr>
          <w:rFonts w:ascii="宋体" w:hAnsi="宋体" w:cs="宋体"/>
          <w:spacing w:val="20"/>
          <w:sz w:val="24"/>
          <w:szCs w:val="23"/>
        </w:rPr>
        <w:t>5、</w:t>
      </w:r>
      <w:r>
        <w:rPr>
          <w:rFonts w:ascii="宋体" w:hAnsi="宋体" w:cs="宋体"/>
          <w:spacing w:val="12"/>
          <w:sz w:val="24"/>
          <w:szCs w:val="23"/>
        </w:rPr>
        <w:t>本</w:t>
      </w:r>
      <w:r>
        <w:rPr>
          <w:rFonts w:ascii="宋体" w:hAnsi="宋体" w:cs="宋体"/>
          <w:spacing w:val="10"/>
          <w:sz w:val="24"/>
          <w:szCs w:val="23"/>
        </w:rPr>
        <w:t>项目为交钥匙工程 (包含货物采购、包装、运输、装卸、备品备件、</w:t>
      </w:r>
      <w:r>
        <w:rPr>
          <w:rFonts w:ascii="宋体" w:hAnsi="宋体" w:cs="宋体"/>
          <w:spacing w:val="4"/>
          <w:sz w:val="24"/>
          <w:szCs w:val="23"/>
        </w:rPr>
        <w:t>专用工具、特殊工具、保险、</w:t>
      </w:r>
      <w:r>
        <w:rPr>
          <w:rFonts w:ascii="宋体" w:hAnsi="宋体" w:cs="宋体"/>
          <w:spacing w:val="2"/>
          <w:sz w:val="24"/>
          <w:szCs w:val="23"/>
        </w:rPr>
        <w:t>质保、</w:t>
      </w:r>
      <w:r>
        <w:rPr>
          <w:rFonts w:ascii="宋体" w:hAnsi="宋体" w:cs="宋体"/>
          <w:spacing w:val="14"/>
          <w:sz w:val="24"/>
          <w:szCs w:val="23"/>
        </w:rPr>
        <w:t>税</w:t>
      </w:r>
      <w:r>
        <w:rPr>
          <w:rFonts w:ascii="宋体" w:hAnsi="宋体" w:cs="宋体"/>
          <w:spacing w:val="9"/>
          <w:sz w:val="24"/>
          <w:szCs w:val="23"/>
        </w:rPr>
        <w:t>金等一切费用) 。投标文件中须承诺送货到指定地点。</w:t>
      </w:r>
    </w:p>
    <w:p>
      <w:pPr>
        <w:adjustRightInd w:val="0"/>
        <w:snapToGrid w:val="0"/>
        <w:spacing w:line="360" w:lineRule="auto"/>
        <w:ind w:firstLine="516" w:firstLineChars="200"/>
        <w:contextualSpacing/>
        <w:rPr>
          <w:rFonts w:ascii="宋体" w:hAnsi="宋体" w:cs="宋体"/>
          <w:spacing w:val="6"/>
          <w:sz w:val="24"/>
          <w:szCs w:val="23"/>
        </w:rPr>
      </w:pPr>
      <w:r>
        <w:rPr>
          <w:rFonts w:hint="eastAsia" w:ascii="宋体" w:hAnsi="宋体" w:cs="宋体"/>
          <w:spacing w:val="9"/>
          <w:sz w:val="24"/>
          <w:szCs w:val="23"/>
        </w:rPr>
        <w:t>6</w:t>
      </w:r>
      <w:r>
        <w:rPr>
          <w:rFonts w:hint="eastAsia" w:ascii="宋体" w:hAnsi="宋体" w:cs="宋体"/>
          <w:spacing w:val="6"/>
          <w:sz w:val="24"/>
          <w:szCs w:val="23"/>
        </w:rPr>
        <w:t>、</w:t>
      </w:r>
      <w:r>
        <w:rPr>
          <w:rFonts w:ascii="宋体" w:hAnsi="宋体" w:cs="宋体"/>
          <w:spacing w:val="6"/>
          <w:sz w:val="24"/>
          <w:szCs w:val="23"/>
        </w:rPr>
        <w:t>质量要求：合格。</w:t>
      </w:r>
    </w:p>
    <w:p>
      <w:pPr>
        <w:adjustRightInd w:val="0"/>
        <w:snapToGrid w:val="0"/>
        <w:spacing w:line="360" w:lineRule="auto"/>
        <w:ind w:firstLine="512" w:firstLineChars="200"/>
        <w:jc w:val="left"/>
        <w:rPr>
          <w:rFonts w:ascii="宋体" w:hAnsi="宋体" w:cs="宋体"/>
          <w:spacing w:val="4"/>
          <w:sz w:val="24"/>
          <w:szCs w:val="23"/>
        </w:rPr>
      </w:pPr>
      <w:r>
        <w:rPr>
          <w:rFonts w:hint="eastAsia" w:ascii="宋体" w:hAnsi="宋体" w:cs="宋体"/>
          <w:spacing w:val="8"/>
          <w:sz w:val="24"/>
          <w:szCs w:val="23"/>
        </w:rPr>
        <w:t>7</w:t>
      </w:r>
      <w:r>
        <w:rPr>
          <w:rFonts w:ascii="宋体" w:hAnsi="宋体" w:cs="宋体"/>
          <w:spacing w:val="8"/>
          <w:sz w:val="24"/>
          <w:szCs w:val="23"/>
        </w:rPr>
        <w:t>.</w:t>
      </w:r>
      <w:r>
        <w:rPr>
          <w:rFonts w:ascii="宋体" w:hAnsi="宋体" w:cs="宋体"/>
          <w:spacing w:val="4"/>
          <w:sz w:val="24"/>
          <w:szCs w:val="23"/>
        </w:rPr>
        <w:t>交付 (服务、完工) 时间：</w:t>
      </w:r>
      <w:r>
        <w:rPr>
          <w:rFonts w:hint="eastAsia" w:ascii="宋体" w:hAnsi="宋体" w:cs="宋体"/>
          <w:spacing w:val="4"/>
          <w:sz w:val="24"/>
          <w:szCs w:val="23"/>
        </w:rPr>
        <w:t>签订合同后20个工作日内</w:t>
      </w:r>
      <w:r>
        <w:rPr>
          <w:rFonts w:hint="eastAsia" w:ascii="宋体" w:hAnsi="宋体"/>
          <w:bCs/>
          <w:kern w:val="0"/>
          <w:sz w:val="24"/>
          <w:szCs w:val="24"/>
        </w:rPr>
        <w:t>。</w:t>
      </w:r>
    </w:p>
    <w:p>
      <w:pPr>
        <w:pStyle w:val="15"/>
        <w:adjustRightInd w:val="0"/>
        <w:snapToGrid w:val="0"/>
        <w:spacing w:line="360" w:lineRule="auto"/>
        <w:ind w:firstLine="496" w:firstLineChars="200"/>
        <w:rPr>
          <w:rFonts w:ascii="宋体" w:hAnsi="宋体" w:cs="宋体"/>
          <w:spacing w:val="4"/>
          <w:szCs w:val="23"/>
        </w:rPr>
      </w:pPr>
      <w:r>
        <w:rPr>
          <w:rFonts w:hint="eastAsia" w:ascii="宋体" w:hAnsi="宋体" w:cs="宋体"/>
          <w:spacing w:val="4"/>
          <w:szCs w:val="23"/>
        </w:rPr>
        <w:t>8.</w:t>
      </w:r>
      <w:r>
        <w:rPr>
          <w:rFonts w:ascii="宋体" w:hAnsi="宋体" w:cs="宋体"/>
          <w:spacing w:val="4"/>
          <w:szCs w:val="23"/>
        </w:rPr>
        <w:t>投标产品应有产品合格证</w:t>
      </w:r>
      <w:r>
        <w:rPr>
          <w:rFonts w:hint="eastAsia" w:ascii="宋体" w:hAnsi="宋体" w:cs="宋体"/>
          <w:spacing w:val="4"/>
          <w:szCs w:val="23"/>
        </w:rPr>
        <w:t>，</w:t>
      </w:r>
      <w:r>
        <w:rPr>
          <w:rFonts w:ascii="宋体" w:hAnsi="宋体" w:cs="宋体"/>
          <w:spacing w:val="4"/>
          <w:szCs w:val="23"/>
        </w:rPr>
        <w:t>并符合相关的国家标准。</w:t>
      </w:r>
    </w:p>
    <w:p>
      <w:pPr>
        <w:spacing w:line="360" w:lineRule="auto"/>
        <w:contextualSpacing/>
        <w:rPr>
          <w:rFonts w:ascii="宋体" w:hAnsi="宋体" w:cs="宋体"/>
          <w:b/>
          <w:sz w:val="24"/>
          <w:szCs w:val="23"/>
        </w:rPr>
      </w:pPr>
      <w:r>
        <w:rPr>
          <w:rFonts w:ascii="宋体" w:hAnsi="宋体" w:cs="宋体"/>
          <w:b/>
          <w:spacing w:val="10"/>
          <w:position w:val="1"/>
          <w:sz w:val="24"/>
          <w:szCs w:val="23"/>
        </w:rPr>
        <w:t>三</w:t>
      </w:r>
      <w:r>
        <w:rPr>
          <w:rFonts w:ascii="宋体" w:hAnsi="宋体" w:cs="宋体"/>
          <w:b/>
          <w:spacing w:val="9"/>
          <w:position w:val="1"/>
          <w:sz w:val="24"/>
          <w:szCs w:val="23"/>
        </w:rPr>
        <w:t>、验收标准</w:t>
      </w:r>
    </w:p>
    <w:p>
      <w:pPr>
        <w:spacing w:line="360" w:lineRule="auto"/>
        <w:ind w:firstLine="520" w:firstLineChars="200"/>
        <w:contextualSpacing/>
        <w:rPr>
          <w:rFonts w:ascii="宋体" w:hAnsi="宋体" w:cs="宋体"/>
          <w:sz w:val="24"/>
          <w:szCs w:val="23"/>
        </w:rPr>
      </w:pPr>
      <w:r>
        <w:rPr>
          <w:rFonts w:ascii="宋体" w:hAnsi="宋体" w:cs="宋体"/>
          <w:spacing w:val="10"/>
          <w:position w:val="1"/>
          <w:sz w:val="24"/>
          <w:szCs w:val="23"/>
        </w:rPr>
        <w:t>1、由</w:t>
      </w:r>
      <w:r>
        <w:rPr>
          <w:rFonts w:ascii="宋体" w:hAnsi="宋体" w:cs="宋体"/>
          <w:spacing w:val="5"/>
          <w:position w:val="1"/>
          <w:sz w:val="24"/>
          <w:szCs w:val="23"/>
        </w:rPr>
        <w:t>采购人成立验收小组,按照采购合同的约定对中标人履约情况进行验收。</w:t>
      </w:r>
    </w:p>
    <w:p>
      <w:pPr>
        <w:spacing w:line="360" w:lineRule="auto"/>
        <w:ind w:firstLine="508" w:firstLineChars="200"/>
        <w:contextualSpacing/>
        <w:rPr>
          <w:rFonts w:ascii="宋体" w:hAnsi="宋体" w:cs="宋体"/>
          <w:sz w:val="24"/>
          <w:szCs w:val="23"/>
        </w:rPr>
      </w:pPr>
      <w:r>
        <w:rPr>
          <w:rFonts w:ascii="宋体" w:hAnsi="宋体" w:cs="宋体"/>
          <w:spacing w:val="7"/>
          <w:sz w:val="24"/>
          <w:szCs w:val="23"/>
        </w:rPr>
        <w:t>2、验收时,按照采购合同的约定对每一项技术、服务、安全标准的履约情</w:t>
      </w:r>
      <w:r>
        <w:rPr>
          <w:rFonts w:ascii="宋体" w:hAnsi="宋体" w:cs="宋体"/>
          <w:spacing w:val="2"/>
          <w:sz w:val="24"/>
          <w:szCs w:val="23"/>
        </w:rPr>
        <w:t>况</w:t>
      </w:r>
      <w:r>
        <w:rPr>
          <w:rFonts w:ascii="宋体" w:hAnsi="宋体" w:cs="宋体"/>
          <w:spacing w:val="8"/>
          <w:sz w:val="24"/>
          <w:szCs w:val="23"/>
        </w:rPr>
        <w:t>进</w:t>
      </w:r>
      <w:r>
        <w:rPr>
          <w:rFonts w:ascii="宋体" w:hAnsi="宋体" w:cs="宋体"/>
          <w:spacing w:val="6"/>
          <w:sz w:val="24"/>
          <w:szCs w:val="23"/>
        </w:rPr>
        <w:t>行确认。</w:t>
      </w:r>
    </w:p>
    <w:p>
      <w:pPr>
        <w:spacing w:line="360" w:lineRule="auto"/>
        <w:ind w:firstLine="528" w:firstLineChars="200"/>
        <w:contextualSpacing/>
        <w:rPr>
          <w:rFonts w:ascii="宋体" w:hAnsi="宋体" w:cs="宋体"/>
          <w:sz w:val="24"/>
          <w:szCs w:val="23"/>
        </w:rPr>
      </w:pPr>
      <w:r>
        <w:rPr>
          <w:rFonts w:ascii="宋体" w:hAnsi="宋体" w:cs="宋体"/>
          <w:spacing w:val="12"/>
          <w:sz w:val="24"/>
          <w:szCs w:val="23"/>
        </w:rPr>
        <w:t>3、验</w:t>
      </w:r>
      <w:r>
        <w:rPr>
          <w:rFonts w:ascii="宋体" w:hAnsi="宋体" w:cs="宋体"/>
          <w:spacing w:val="9"/>
          <w:sz w:val="24"/>
          <w:szCs w:val="23"/>
        </w:rPr>
        <w:t>收</w:t>
      </w:r>
      <w:r>
        <w:rPr>
          <w:rFonts w:ascii="宋体" w:hAnsi="宋体" w:cs="宋体"/>
          <w:spacing w:val="6"/>
          <w:sz w:val="24"/>
          <w:szCs w:val="23"/>
        </w:rPr>
        <w:t>结束后,出具验收书,列明各项标准的验收情况及项目总体评价,由验</w:t>
      </w:r>
      <w:r>
        <w:rPr>
          <w:rFonts w:ascii="宋体" w:hAnsi="宋体" w:cs="宋体"/>
          <w:spacing w:val="10"/>
          <w:sz w:val="24"/>
          <w:szCs w:val="23"/>
        </w:rPr>
        <w:t>收</w:t>
      </w:r>
      <w:r>
        <w:rPr>
          <w:rFonts w:ascii="宋体" w:hAnsi="宋体" w:cs="宋体"/>
          <w:spacing w:val="6"/>
          <w:sz w:val="24"/>
          <w:szCs w:val="23"/>
        </w:rPr>
        <w:t>双方共同签署。</w:t>
      </w:r>
    </w:p>
    <w:p>
      <w:pPr>
        <w:spacing w:line="360" w:lineRule="auto"/>
        <w:rPr>
          <w:rFonts w:ascii="宋体" w:hAnsi="宋体" w:cs="宋体"/>
          <w:b/>
          <w:bCs/>
          <w:spacing w:val="10"/>
          <w:position w:val="1"/>
          <w:sz w:val="24"/>
          <w:szCs w:val="23"/>
        </w:rPr>
      </w:pPr>
      <w:r>
        <w:rPr>
          <w:rFonts w:hint="eastAsia" w:ascii="宋体" w:hAnsi="宋体" w:cs="宋体"/>
          <w:b/>
          <w:spacing w:val="9"/>
          <w:position w:val="1"/>
          <w:sz w:val="24"/>
          <w:szCs w:val="23"/>
        </w:rPr>
        <w:t>四、本项目预算金额</w:t>
      </w:r>
      <w:r>
        <w:rPr>
          <w:rFonts w:hint="eastAsia" w:ascii="宋体" w:hAnsi="宋体" w:cs="宋体"/>
          <w:b/>
          <w:spacing w:val="10"/>
          <w:position w:val="1"/>
          <w:sz w:val="24"/>
          <w:szCs w:val="23"/>
        </w:rPr>
        <w:t>（最高限价）招标控制价：</w:t>
      </w:r>
      <w:r>
        <w:rPr>
          <w:rFonts w:hint="eastAsia" w:ascii="宋体" w:hAnsi="宋体" w:cs="宋体"/>
          <w:b/>
          <w:bCs/>
          <w:spacing w:val="10"/>
          <w:position w:val="1"/>
          <w:sz w:val="24"/>
          <w:szCs w:val="23"/>
        </w:rPr>
        <w:t>790000.00元，超出预算金额的磋商响应无效。</w:t>
      </w:r>
    </w:p>
    <w:p>
      <w:pPr>
        <w:spacing w:line="360" w:lineRule="auto"/>
        <w:contextualSpacing/>
        <w:rPr>
          <w:rFonts w:ascii="宋体" w:hAnsi="宋体" w:cs="宋体"/>
          <w:b/>
          <w:spacing w:val="9"/>
          <w:position w:val="1"/>
          <w:sz w:val="24"/>
          <w:szCs w:val="23"/>
        </w:rPr>
      </w:pPr>
      <w:r>
        <w:rPr>
          <w:rFonts w:hint="eastAsia" w:ascii="宋体" w:hAnsi="宋体" w:cs="宋体"/>
          <w:b/>
          <w:spacing w:val="9"/>
          <w:position w:val="1"/>
          <w:sz w:val="24"/>
          <w:szCs w:val="23"/>
        </w:rPr>
        <w:t>五、采购资金支付</w:t>
      </w:r>
    </w:p>
    <w:p>
      <w:pPr>
        <w:spacing w:line="360" w:lineRule="auto"/>
        <w:ind w:firstLine="508" w:firstLineChars="200"/>
        <w:contextualSpacing/>
        <w:rPr>
          <w:rFonts w:ascii="宋体" w:hAnsi="宋体" w:cs="宋体"/>
          <w:spacing w:val="7"/>
          <w:sz w:val="24"/>
          <w:szCs w:val="23"/>
        </w:rPr>
      </w:pPr>
      <w:r>
        <w:rPr>
          <w:rFonts w:hint="eastAsia" w:ascii="宋体" w:hAnsi="宋体" w:cs="宋体"/>
          <w:spacing w:val="7"/>
          <w:sz w:val="24"/>
          <w:szCs w:val="23"/>
        </w:rPr>
        <w:t>1、支付方式：银行转账。</w:t>
      </w:r>
    </w:p>
    <w:p>
      <w:pPr>
        <w:spacing w:line="360" w:lineRule="auto"/>
        <w:ind w:firstLine="508" w:firstLineChars="200"/>
        <w:contextualSpacing/>
        <w:rPr>
          <w:rFonts w:ascii="宋体" w:hAnsi="宋体" w:cs="宋体"/>
          <w:spacing w:val="7"/>
          <w:sz w:val="24"/>
          <w:szCs w:val="23"/>
        </w:rPr>
      </w:pPr>
      <w:r>
        <w:rPr>
          <w:rFonts w:hint="eastAsia" w:ascii="宋体" w:hAnsi="宋体" w:cs="宋体"/>
          <w:spacing w:val="7"/>
          <w:sz w:val="24"/>
          <w:szCs w:val="23"/>
        </w:rPr>
        <w:t>2、支付时间及条件：经采购人验收合格后一次性付清。</w:t>
      </w:r>
    </w:p>
    <w:p>
      <w:pPr>
        <w:spacing w:line="360" w:lineRule="auto"/>
        <w:rPr>
          <w:rFonts w:ascii="宋体" w:hAnsi="宋体" w:cs="宋体"/>
          <w:b/>
          <w:spacing w:val="9"/>
          <w:position w:val="1"/>
          <w:sz w:val="24"/>
          <w:szCs w:val="23"/>
        </w:rPr>
      </w:pPr>
      <w:r>
        <w:rPr>
          <w:rFonts w:hint="eastAsia" w:ascii="宋体" w:hAnsi="宋体" w:cs="宋体"/>
          <w:b/>
          <w:spacing w:val="9"/>
          <w:position w:val="1"/>
          <w:sz w:val="24"/>
          <w:szCs w:val="23"/>
        </w:rPr>
        <w:t>六、补充条款</w:t>
      </w:r>
    </w:p>
    <w:p>
      <w:pPr>
        <w:spacing w:line="360" w:lineRule="auto"/>
        <w:ind w:firstLine="518" w:firstLineChars="200"/>
        <w:jc w:val="left"/>
        <w:rPr>
          <w:rFonts w:ascii="宋体" w:hAnsi="宋体" w:cs="宋体"/>
          <w:b/>
          <w:spacing w:val="9"/>
          <w:position w:val="1"/>
          <w:sz w:val="24"/>
          <w:szCs w:val="23"/>
        </w:rPr>
      </w:pPr>
      <w:r>
        <w:rPr>
          <w:rFonts w:hint="eastAsia" w:ascii="宋体" w:hAnsi="宋体" w:cs="宋体"/>
          <w:b/>
          <w:spacing w:val="9"/>
          <w:position w:val="1"/>
          <w:sz w:val="24"/>
          <w:szCs w:val="23"/>
        </w:rPr>
        <w:t xml:space="preserve">无 </w:t>
      </w:r>
    </w:p>
    <w:p>
      <w:pPr>
        <w:rPr>
          <w:rFonts w:ascii="宋体" w:hAnsi="宋体"/>
          <w:b/>
          <w:kern w:val="0"/>
          <w:sz w:val="32"/>
          <w:szCs w:val="32"/>
        </w:rPr>
      </w:pPr>
      <w:r>
        <w:rPr>
          <w:rFonts w:hint="eastAsia" w:ascii="宋体" w:hAnsi="宋体"/>
          <w:b/>
          <w:kern w:val="0"/>
          <w:sz w:val="32"/>
          <w:szCs w:val="32"/>
        </w:rPr>
        <w:br w:type="page"/>
      </w:r>
    </w:p>
    <w:p>
      <w:pPr>
        <w:widowControl/>
        <w:spacing w:line="360" w:lineRule="auto"/>
        <w:jc w:val="center"/>
        <w:rPr>
          <w:rFonts w:ascii="宋体" w:hAnsi="宋体"/>
          <w:b/>
          <w:kern w:val="0"/>
          <w:sz w:val="32"/>
          <w:szCs w:val="32"/>
        </w:rPr>
      </w:pPr>
      <w:r>
        <w:rPr>
          <w:rFonts w:hint="eastAsia" w:ascii="宋体" w:hAnsi="宋体"/>
          <w:b/>
          <w:kern w:val="0"/>
          <w:sz w:val="32"/>
          <w:szCs w:val="32"/>
        </w:rPr>
        <w:t>第三章、供应商须知前附表</w:t>
      </w:r>
    </w:p>
    <w:p>
      <w:pPr>
        <w:widowControl/>
        <w:spacing w:line="360" w:lineRule="auto"/>
        <w:rPr>
          <w:rFonts w:ascii="宋体" w:hAnsi="宋体"/>
          <w:b/>
          <w:kern w:val="0"/>
        </w:rPr>
      </w:pPr>
      <w:r>
        <w:rPr>
          <w:rFonts w:hint="eastAsia" w:ascii="宋体" w:hAnsi="宋体"/>
          <w:b/>
        </w:rPr>
        <w:t>磋商文件</w:t>
      </w:r>
      <w:r>
        <w:rPr>
          <w:rFonts w:hint="eastAsia" w:ascii="宋体" w:hAnsi="宋体" w:cs="微软雅黑"/>
          <w:b/>
        </w:rPr>
        <w:t>中凡标有★条款均为实质性要求条款，响应文件须完全响应，未实质响应的，按照无效响应处理。</w:t>
      </w:r>
    </w:p>
    <w:tbl>
      <w:tblPr>
        <w:tblStyle w:val="30"/>
        <w:tblW w:w="95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1"/>
        <w:gridCol w:w="1739"/>
        <w:gridCol w:w="7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sz w:val="24"/>
                <w:szCs w:val="24"/>
              </w:rPr>
            </w:pPr>
            <w:r>
              <w:rPr>
                <w:rFonts w:hint="eastAsia" w:ascii="宋体" w:hAnsi="宋体"/>
                <w:b/>
                <w:sz w:val="24"/>
                <w:szCs w:val="24"/>
              </w:rPr>
              <w:t>序号</w:t>
            </w:r>
          </w:p>
        </w:tc>
        <w:tc>
          <w:tcPr>
            <w:tcW w:w="1739"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sz w:val="24"/>
                <w:szCs w:val="24"/>
              </w:rPr>
            </w:pPr>
            <w:r>
              <w:rPr>
                <w:rFonts w:hint="eastAsia" w:ascii="宋体" w:hAnsi="宋体"/>
                <w:b/>
                <w:sz w:val="24"/>
                <w:szCs w:val="24"/>
              </w:rPr>
              <w:t>条款名称</w:t>
            </w:r>
          </w:p>
        </w:tc>
        <w:tc>
          <w:tcPr>
            <w:tcW w:w="7095"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sz w:val="24"/>
                <w:szCs w:val="24"/>
              </w:rPr>
            </w:pPr>
            <w:r>
              <w:rPr>
                <w:rFonts w:hint="eastAsia" w:ascii="宋体" w:hAnsi="宋体"/>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1</w:t>
            </w:r>
          </w:p>
        </w:tc>
        <w:tc>
          <w:tcPr>
            <w:tcW w:w="1739"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ascii="宋体" w:hAnsi="宋体"/>
                <w:bCs/>
                <w:sz w:val="24"/>
                <w:szCs w:val="24"/>
              </w:rPr>
            </w:pPr>
            <w:r>
              <w:rPr>
                <w:rFonts w:hint="eastAsia" w:ascii="宋体" w:hAnsi="宋体"/>
                <w:sz w:val="24"/>
                <w:szCs w:val="24"/>
              </w:rPr>
              <w:t>采购项目</w:t>
            </w:r>
          </w:p>
        </w:tc>
        <w:tc>
          <w:tcPr>
            <w:tcW w:w="7095" w:type="dxa"/>
            <w:tcBorders>
              <w:top w:val="single" w:color="auto" w:sz="4" w:space="0"/>
              <w:left w:val="nil"/>
              <w:bottom w:val="single" w:color="auto" w:sz="4" w:space="0"/>
              <w:right w:val="single" w:color="auto" w:sz="4" w:space="0"/>
            </w:tcBorders>
            <w:vAlign w:val="top"/>
          </w:tcPr>
          <w:p>
            <w:pPr>
              <w:autoSpaceDE w:val="0"/>
              <w:autoSpaceDN w:val="0"/>
              <w:adjustRightInd w:val="0"/>
              <w:snapToGrid w:val="0"/>
              <w:spacing w:line="360" w:lineRule="auto"/>
              <w:jc w:val="left"/>
              <w:rPr>
                <w:rFonts w:ascii="宋体" w:hAnsi="宋体"/>
                <w:sz w:val="24"/>
                <w:szCs w:val="24"/>
              </w:rPr>
            </w:pPr>
            <w:r>
              <w:rPr>
                <w:rFonts w:hint="eastAsia" w:ascii="宋体" w:hAnsi="宋体"/>
                <w:sz w:val="24"/>
                <w:szCs w:val="24"/>
              </w:rPr>
              <w:t>项目名称：</w:t>
            </w:r>
            <w:r>
              <w:rPr>
                <w:rFonts w:hint="eastAsia" w:ascii="宋体" w:hAnsi="宋体"/>
                <w:bCs/>
                <w:kern w:val="0"/>
                <w:sz w:val="24"/>
                <w:szCs w:val="24"/>
              </w:rPr>
              <w:t>长葛市动物疫病预防控制中心2024年重大动物疫病试剂及耗材采购清单项目（不见面开标）</w:t>
            </w:r>
          </w:p>
          <w:p>
            <w:pPr>
              <w:autoSpaceDE w:val="0"/>
              <w:autoSpaceDN w:val="0"/>
              <w:adjustRightInd w:val="0"/>
              <w:snapToGrid w:val="0"/>
              <w:spacing w:line="360" w:lineRule="auto"/>
              <w:jc w:val="left"/>
              <w:rPr>
                <w:rFonts w:ascii="宋体" w:hAnsi="宋体"/>
                <w:sz w:val="24"/>
                <w:szCs w:val="24"/>
              </w:rPr>
            </w:pPr>
            <w:r>
              <w:rPr>
                <w:rFonts w:hint="eastAsia" w:ascii="宋体" w:hAnsi="宋体"/>
                <w:sz w:val="24"/>
                <w:szCs w:val="24"/>
              </w:rPr>
              <w:t>项目编号：长招采磋商【2024】006号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2</w:t>
            </w:r>
          </w:p>
        </w:tc>
        <w:tc>
          <w:tcPr>
            <w:tcW w:w="1739"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采购人</w:t>
            </w:r>
          </w:p>
        </w:tc>
        <w:tc>
          <w:tcPr>
            <w:tcW w:w="7095"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left"/>
              <w:rPr>
                <w:rFonts w:ascii="宋体" w:hAnsi="宋体"/>
                <w:sz w:val="24"/>
                <w:szCs w:val="24"/>
              </w:rPr>
            </w:pPr>
            <w:r>
              <w:rPr>
                <w:rFonts w:hint="eastAsia" w:ascii="宋体" w:hAnsi="宋体"/>
                <w:sz w:val="24"/>
                <w:szCs w:val="24"/>
              </w:rPr>
              <w:t xml:space="preserve">采 购 人：长葛市动物疫病预防控制中心  </w:t>
            </w:r>
          </w:p>
          <w:p>
            <w:pPr>
              <w:autoSpaceDE w:val="0"/>
              <w:autoSpaceDN w:val="0"/>
              <w:adjustRightInd w:val="0"/>
              <w:snapToGrid w:val="0"/>
              <w:spacing w:line="360" w:lineRule="auto"/>
              <w:jc w:val="left"/>
              <w:rPr>
                <w:rFonts w:ascii="宋体" w:hAnsi="宋体"/>
                <w:sz w:val="24"/>
                <w:szCs w:val="24"/>
              </w:rPr>
            </w:pPr>
            <w:r>
              <w:rPr>
                <w:rFonts w:hint="eastAsia" w:ascii="宋体" w:hAnsi="宋体"/>
                <w:sz w:val="24"/>
                <w:szCs w:val="24"/>
              </w:rPr>
              <w:t>联 系 人：郭女士        联系方式：13569977303</w:t>
            </w:r>
          </w:p>
          <w:p>
            <w:pPr>
              <w:autoSpaceDE w:val="0"/>
              <w:autoSpaceDN w:val="0"/>
              <w:adjustRightInd w:val="0"/>
              <w:snapToGrid w:val="0"/>
              <w:spacing w:line="360" w:lineRule="auto"/>
              <w:jc w:val="left"/>
              <w:rPr>
                <w:rFonts w:ascii="宋体" w:hAnsi="宋体"/>
                <w:sz w:val="24"/>
                <w:szCs w:val="24"/>
              </w:rPr>
            </w:pPr>
            <w:r>
              <w:rPr>
                <w:rFonts w:hint="eastAsia" w:ascii="宋体" w:hAnsi="宋体"/>
                <w:sz w:val="24"/>
                <w:szCs w:val="24"/>
              </w:rPr>
              <w:t>地址：河南省长葛市长社路37号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3"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3</w:t>
            </w:r>
          </w:p>
        </w:tc>
        <w:tc>
          <w:tcPr>
            <w:tcW w:w="1739"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代理机构</w:t>
            </w:r>
          </w:p>
        </w:tc>
        <w:tc>
          <w:tcPr>
            <w:tcW w:w="7095"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left"/>
              <w:rPr>
                <w:rFonts w:ascii="宋体" w:hAnsi="宋体"/>
                <w:sz w:val="24"/>
                <w:szCs w:val="24"/>
              </w:rPr>
            </w:pPr>
            <w:r>
              <w:rPr>
                <w:rFonts w:hint="eastAsia" w:ascii="宋体" w:hAnsi="宋体"/>
                <w:sz w:val="24"/>
                <w:szCs w:val="24"/>
              </w:rPr>
              <w:t>集采机构：长葛市公共资源交易中心</w:t>
            </w:r>
          </w:p>
          <w:p>
            <w:pPr>
              <w:autoSpaceDE w:val="0"/>
              <w:autoSpaceDN w:val="0"/>
              <w:adjustRightInd w:val="0"/>
              <w:snapToGrid w:val="0"/>
              <w:spacing w:line="360" w:lineRule="auto"/>
              <w:jc w:val="left"/>
              <w:rPr>
                <w:rFonts w:ascii="宋体" w:hAnsi="宋体"/>
                <w:sz w:val="24"/>
                <w:szCs w:val="24"/>
              </w:rPr>
            </w:pPr>
            <w:r>
              <w:rPr>
                <w:rFonts w:hint="eastAsia" w:ascii="宋体" w:hAnsi="宋体"/>
                <w:sz w:val="24"/>
                <w:szCs w:val="24"/>
              </w:rPr>
              <w:t xml:space="preserve">联系人：长葛市公共资源交易中心采购二部 </w:t>
            </w:r>
          </w:p>
          <w:p>
            <w:pPr>
              <w:spacing w:line="360" w:lineRule="auto"/>
              <w:contextualSpacing/>
              <w:jc w:val="left"/>
              <w:rPr>
                <w:rFonts w:ascii="宋体" w:hAnsi="宋体"/>
                <w:sz w:val="24"/>
                <w:szCs w:val="24"/>
              </w:rPr>
            </w:pPr>
            <w:r>
              <w:rPr>
                <w:rFonts w:hint="eastAsia" w:ascii="宋体" w:hAnsi="宋体"/>
                <w:sz w:val="24"/>
                <w:szCs w:val="24"/>
              </w:rPr>
              <w:t>地址：长葛市葛天大道东段商务区6#楼4楼</w:t>
            </w:r>
          </w:p>
          <w:p>
            <w:pPr>
              <w:spacing w:line="360" w:lineRule="auto"/>
              <w:contextualSpacing/>
              <w:jc w:val="left"/>
              <w:rPr>
                <w:rFonts w:ascii="宋体" w:hAnsi="宋体"/>
                <w:sz w:val="24"/>
                <w:szCs w:val="24"/>
              </w:rPr>
            </w:pPr>
            <w:r>
              <w:rPr>
                <w:rFonts w:hint="eastAsia" w:ascii="宋体" w:hAnsi="宋体" w:cs="宋体"/>
                <w:color w:val="000000"/>
                <w:kern w:val="0"/>
                <w:sz w:val="24"/>
                <w:szCs w:val="24"/>
              </w:rPr>
              <w:t>联系电话：0374-6189667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4</w:t>
            </w:r>
          </w:p>
        </w:tc>
        <w:tc>
          <w:tcPr>
            <w:tcW w:w="1739"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sz w:val="24"/>
                <w:szCs w:val="24"/>
              </w:rPr>
            </w:pPr>
            <w:r>
              <w:rPr>
                <w:rFonts w:hint="eastAsia" w:ascii="宋体" w:hAnsi="宋体" w:cs="微软雅黑"/>
                <w:b/>
                <w:sz w:val="24"/>
                <w:szCs w:val="24"/>
              </w:rPr>
              <w:t>★</w:t>
            </w:r>
            <w:r>
              <w:rPr>
                <w:rFonts w:hint="eastAsia" w:ascii="宋体" w:hAnsi="宋体" w:cs="仿宋_GB2312"/>
                <w:sz w:val="24"/>
                <w:szCs w:val="24"/>
              </w:rPr>
              <w:t>供应商资格</w:t>
            </w:r>
          </w:p>
        </w:tc>
        <w:tc>
          <w:tcPr>
            <w:tcW w:w="7095" w:type="dxa"/>
            <w:tcBorders>
              <w:top w:val="single" w:color="auto" w:sz="4" w:space="0"/>
              <w:left w:val="nil"/>
              <w:bottom w:val="single" w:color="auto" w:sz="4" w:space="0"/>
              <w:right w:val="single" w:color="auto" w:sz="4" w:space="0"/>
            </w:tcBorders>
            <w:vAlign w:val="center"/>
          </w:tcPr>
          <w:p>
            <w:pPr>
              <w:spacing w:line="500" w:lineRule="exact"/>
              <w:ind w:firstLine="480" w:firstLineChars="200"/>
              <w:rPr>
                <w:rFonts w:ascii="宋体" w:hAnsi="宋体"/>
                <w:kern w:val="0"/>
                <w:sz w:val="24"/>
                <w:szCs w:val="24"/>
              </w:rPr>
            </w:pPr>
            <w:r>
              <w:rPr>
                <w:rFonts w:hint="eastAsia" w:ascii="宋体" w:hAnsi="宋体"/>
                <w:kern w:val="0"/>
                <w:sz w:val="24"/>
                <w:szCs w:val="24"/>
              </w:rPr>
              <w:t>一、符合《政府采购法》第二十二条之规定。</w:t>
            </w:r>
          </w:p>
          <w:p>
            <w:pPr>
              <w:spacing w:line="360" w:lineRule="auto"/>
              <w:ind w:firstLine="480" w:firstLineChars="200"/>
              <w:rPr>
                <w:rFonts w:ascii="宋体" w:hAnsi="宋体"/>
                <w:kern w:val="0"/>
                <w:sz w:val="24"/>
                <w:szCs w:val="24"/>
              </w:rPr>
            </w:pPr>
            <w:r>
              <w:rPr>
                <w:rFonts w:hint="eastAsia" w:ascii="宋体" w:hAnsi="宋体"/>
                <w:kern w:val="0"/>
                <w:sz w:val="24"/>
                <w:szCs w:val="24"/>
              </w:rPr>
              <w:t>二、未被列入“信用中国”网站(www.creditchina.gov.cn)失信被执行人、重大税收违法案件当事人名单；“中国政府采购网” (www.ccgp.gov.cn)网站的政府采购严重违法失信行为记录名单的供应商；“中国社会组织公共服务平台”网站（www.chinanpo.gov.cn）严重违法失信名单的供应商。</w:t>
            </w:r>
          </w:p>
          <w:p>
            <w:pPr>
              <w:spacing w:line="360" w:lineRule="auto"/>
              <w:ind w:firstLine="482" w:firstLineChars="200"/>
              <w:rPr>
                <w:rFonts w:ascii="宋体" w:hAnsi="宋体"/>
                <w:b/>
                <w:bCs/>
                <w:kern w:val="0"/>
                <w:sz w:val="24"/>
                <w:szCs w:val="24"/>
              </w:rPr>
            </w:pPr>
            <w:r>
              <w:rPr>
                <w:rFonts w:hint="eastAsia" w:ascii="宋体" w:hAnsi="宋体"/>
                <w:b/>
                <w:bCs/>
                <w:kern w:val="0"/>
                <w:sz w:val="24"/>
                <w:szCs w:val="24"/>
              </w:rPr>
              <w:t xml:space="preserve">注： 1、 供应商在响应时，提供《长葛市政府采购供应商信用承诺函》（详见 磋商文件第八章3.5格式），无需再提交上述证明材料。 </w:t>
            </w:r>
          </w:p>
          <w:p>
            <w:pPr>
              <w:spacing w:line="360" w:lineRule="auto"/>
              <w:ind w:firstLine="482" w:firstLineChars="200"/>
              <w:rPr>
                <w:rFonts w:ascii="宋体" w:hAnsi="宋体"/>
                <w:b/>
                <w:bCs/>
                <w:kern w:val="0"/>
                <w:sz w:val="24"/>
                <w:szCs w:val="24"/>
              </w:rPr>
            </w:pPr>
            <w:r>
              <w:rPr>
                <w:rFonts w:hint="eastAsia" w:ascii="宋体" w:hAnsi="宋体"/>
                <w:b/>
                <w:bCs/>
                <w:kern w:val="0"/>
                <w:sz w:val="24"/>
                <w:szCs w:val="24"/>
              </w:rPr>
              <w:t>2、 采购人有权在签订合同前要求成交供应商提供相关证明材料以核实成交供应商承诺事项的真实性。</w:t>
            </w:r>
          </w:p>
          <w:p>
            <w:pPr>
              <w:spacing w:line="360" w:lineRule="auto"/>
              <w:ind w:firstLine="482" w:firstLineChars="200"/>
              <w:rPr>
                <w:rFonts w:ascii="宋体" w:hAnsi="宋体"/>
                <w:kern w:val="0"/>
                <w:sz w:val="24"/>
                <w:szCs w:val="24"/>
              </w:rPr>
            </w:pPr>
            <w:r>
              <w:rPr>
                <w:rFonts w:hint="eastAsia" w:ascii="宋体" w:hAnsi="宋体"/>
                <w:b/>
                <w:bCs/>
                <w:kern w:val="0"/>
                <w:sz w:val="24"/>
                <w:szCs w:val="24"/>
              </w:rPr>
              <w:t>3、 供应商对信用承诺内容的真实性、合法性、有效性负责。如作出虚假 信用承诺，视同为“提供虚假材料谋取中标”的违法行为。</w:t>
            </w:r>
          </w:p>
          <w:p>
            <w:pPr>
              <w:spacing w:line="360" w:lineRule="auto"/>
              <w:ind w:firstLine="480" w:firstLineChars="200"/>
              <w:rPr>
                <w:rFonts w:ascii="宋体" w:hAnsi="宋体"/>
                <w:kern w:val="0"/>
                <w:sz w:val="24"/>
                <w:szCs w:val="24"/>
              </w:rPr>
            </w:pPr>
            <w:r>
              <w:rPr>
                <w:rFonts w:hint="eastAsia" w:ascii="宋体" w:hAnsi="宋体"/>
                <w:kern w:val="0"/>
                <w:sz w:val="24"/>
                <w:szCs w:val="24"/>
              </w:rPr>
              <w:t>三、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pPr>
              <w:spacing w:line="360" w:lineRule="auto"/>
              <w:ind w:firstLine="480" w:firstLineChars="200"/>
              <w:rPr>
                <w:rFonts w:ascii="宋体" w:hAnsi="宋体"/>
                <w:kern w:val="0"/>
                <w:sz w:val="24"/>
                <w:szCs w:val="24"/>
              </w:rPr>
            </w:pPr>
            <w:r>
              <w:rPr>
                <w:rFonts w:hint="eastAsia" w:ascii="宋体" w:hAnsi="宋体"/>
                <w:kern w:val="0"/>
                <w:sz w:val="24"/>
                <w:szCs w:val="24"/>
              </w:rPr>
              <w:t>四、本项目不接受联合体投标。</w:t>
            </w:r>
          </w:p>
          <w:p>
            <w:pPr>
              <w:spacing w:line="360" w:lineRule="auto"/>
              <w:ind w:firstLine="480" w:firstLineChars="200"/>
              <w:rPr>
                <w:rFonts w:ascii="宋体" w:hAnsi="宋体"/>
                <w:kern w:val="0"/>
                <w:sz w:val="24"/>
                <w:szCs w:val="24"/>
              </w:rPr>
            </w:pPr>
            <w:r>
              <w:rPr>
                <w:rFonts w:hint="eastAsia" w:ascii="宋体" w:hAnsi="宋体"/>
                <w:kern w:val="0"/>
                <w:sz w:val="24"/>
                <w:szCs w:val="24"/>
              </w:rPr>
              <w:t>五、本项目为专门面向中小企业采购，故不再执行价格评审优惠的扶持政策，评审时不再对价格进行扣除。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5</w:t>
            </w:r>
          </w:p>
        </w:tc>
        <w:tc>
          <w:tcPr>
            <w:tcW w:w="1739"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bCs/>
                <w:sz w:val="24"/>
                <w:szCs w:val="24"/>
              </w:rPr>
            </w:pPr>
            <w:r>
              <w:rPr>
                <w:rFonts w:hint="eastAsia" w:ascii="宋体" w:hAnsi="宋体"/>
                <w:b/>
                <w:sz w:val="24"/>
                <w:szCs w:val="24"/>
              </w:rPr>
              <w:t>★</w:t>
            </w:r>
            <w:r>
              <w:rPr>
                <w:rFonts w:hint="eastAsia" w:ascii="宋体" w:hAnsi="宋体"/>
                <w:bCs/>
                <w:sz w:val="24"/>
                <w:szCs w:val="24"/>
              </w:rPr>
              <w:t>联合体投标</w:t>
            </w:r>
          </w:p>
        </w:tc>
        <w:tc>
          <w:tcPr>
            <w:tcW w:w="7095"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rPr>
                <w:rFonts w:ascii="宋体" w:hAnsi="宋体"/>
                <w:bCs/>
                <w:sz w:val="24"/>
                <w:szCs w:val="24"/>
              </w:rPr>
            </w:pPr>
            <w:r>
              <w:rPr>
                <w:rFonts w:hint="eastAsia" w:ascii="宋体" w:hAnsi="宋体"/>
                <w:kern w:val="0"/>
                <w:sz w:val="24"/>
                <w:szCs w:val="24"/>
              </w:rPr>
              <w:t>本项目</w:t>
            </w:r>
            <w:r>
              <w:rPr>
                <w:rFonts w:hint="eastAsia" w:ascii="宋体" w:hAnsi="宋体" w:cs="宋体"/>
                <w:b/>
                <w:sz w:val="24"/>
                <w:szCs w:val="24"/>
              </w:rPr>
              <w:fldChar w:fldCharType="begin"/>
            </w:r>
            <w:r>
              <w:rPr>
                <w:rFonts w:hint="eastAsia" w:ascii="宋体" w:hAnsi="宋体" w:cs="宋体"/>
                <w:b/>
                <w:sz w:val="24"/>
                <w:szCs w:val="24"/>
              </w:rPr>
              <w:instrText xml:space="preserve"> eq \o\ac(</w:instrText>
            </w:r>
            <w:r>
              <w:rPr>
                <w:rFonts w:hint="eastAsia" w:ascii="宋体" w:hAnsi="宋体" w:cs="宋体"/>
                <w:b/>
                <w:position w:val="-4"/>
                <w:sz w:val="36"/>
                <w:szCs w:val="24"/>
              </w:rPr>
              <w:instrText xml:space="preserve">□,</w:instrText>
            </w:r>
            <w:r>
              <w:rPr>
                <w:rFonts w:hint="eastAsia" w:ascii="宋体" w:hAnsi="宋体" w:cs="宋体"/>
                <w:b/>
                <w:sz w:val="25"/>
                <w:szCs w:val="24"/>
              </w:rPr>
              <w:instrText xml:space="preserve">√</w:instrText>
            </w:r>
            <w:r>
              <w:rPr>
                <w:rFonts w:hint="eastAsia" w:ascii="宋体" w:hAnsi="宋体" w:cs="宋体"/>
                <w:b/>
                <w:sz w:val="24"/>
                <w:szCs w:val="24"/>
              </w:rPr>
              <w:instrText xml:space="preserve">)</w:instrText>
            </w:r>
            <w:r>
              <w:rPr>
                <w:rFonts w:hint="eastAsia" w:ascii="宋体" w:hAnsi="宋体" w:cs="宋体"/>
                <w:b/>
                <w:sz w:val="24"/>
                <w:szCs w:val="24"/>
              </w:rPr>
              <w:fldChar w:fldCharType="end"/>
            </w:r>
            <w:r>
              <w:rPr>
                <w:rFonts w:hint="eastAsia" w:ascii="宋体" w:hAnsi="宋体"/>
                <w:kern w:val="0"/>
                <w:sz w:val="24"/>
                <w:szCs w:val="24"/>
              </w:rPr>
              <w:t xml:space="preserve">不接受       </w:t>
            </w:r>
            <w:r>
              <w:rPr>
                <w:rFonts w:hint="eastAsia" w:ascii="宋体" w:hAnsi="宋体" w:cs="宋体"/>
                <w:b/>
                <w:sz w:val="24"/>
                <w:szCs w:val="24"/>
              </w:rPr>
              <w:fldChar w:fldCharType="begin"/>
            </w:r>
            <w:r>
              <w:rPr>
                <w:rFonts w:hint="eastAsia" w:ascii="宋体" w:hAnsi="宋体" w:cs="宋体"/>
                <w:b/>
                <w:sz w:val="24"/>
                <w:szCs w:val="24"/>
              </w:rPr>
              <w:instrText xml:space="preserve"> eq \o\ac(</w:instrText>
            </w:r>
            <w:r>
              <w:rPr>
                <w:rFonts w:hint="eastAsia" w:ascii="宋体" w:hAnsi="宋体" w:cs="宋体"/>
                <w:b/>
                <w:position w:val="-4"/>
                <w:sz w:val="36"/>
                <w:szCs w:val="24"/>
              </w:rPr>
              <w:instrText xml:space="preserve">□</w:instrText>
            </w:r>
            <w:r>
              <w:rPr>
                <w:rFonts w:hint="eastAsia" w:ascii="宋体" w:hAnsi="宋体" w:cs="宋体"/>
                <w:b/>
                <w:sz w:val="24"/>
                <w:szCs w:val="24"/>
              </w:rPr>
              <w:instrText xml:space="preserve">)</w:instrText>
            </w:r>
            <w:r>
              <w:rPr>
                <w:rFonts w:hint="eastAsia" w:ascii="宋体" w:hAnsi="宋体" w:cs="宋体"/>
                <w:b/>
                <w:sz w:val="24"/>
                <w:szCs w:val="24"/>
              </w:rPr>
              <w:fldChar w:fldCharType="end"/>
            </w:r>
            <w:r>
              <w:rPr>
                <w:rFonts w:hint="eastAsia" w:ascii="宋体" w:hAnsi="宋体"/>
                <w:kern w:val="0"/>
                <w:sz w:val="24"/>
                <w:szCs w:val="24"/>
              </w:rPr>
              <w:t>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6</w:t>
            </w:r>
          </w:p>
        </w:tc>
        <w:tc>
          <w:tcPr>
            <w:tcW w:w="1739"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bCs/>
                <w:sz w:val="24"/>
                <w:szCs w:val="24"/>
              </w:rPr>
            </w:pPr>
            <w:r>
              <w:rPr>
                <w:rFonts w:hint="eastAsia" w:ascii="宋体" w:hAnsi="宋体"/>
                <w:b/>
                <w:sz w:val="24"/>
                <w:szCs w:val="24"/>
              </w:rPr>
              <w:t>★</w:t>
            </w:r>
            <w:r>
              <w:rPr>
                <w:rFonts w:hint="eastAsia" w:ascii="宋体" w:hAnsi="宋体"/>
                <w:bCs/>
                <w:sz w:val="24"/>
                <w:szCs w:val="24"/>
              </w:rPr>
              <w:t>最高限价</w:t>
            </w:r>
          </w:p>
        </w:tc>
        <w:tc>
          <w:tcPr>
            <w:tcW w:w="7095" w:type="dxa"/>
            <w:tcBorders>
              <w:top w:val="single" w:color="auto" w:sz="4" w:space="0"/>
              <w:left w:val="nil"/>
              <w:bottom w:val="single" w:color="auto" w:sz="4" w:space="0"/>
              <w:right w:val="single" w:color="auto" w:sz="4" w:space="0"/>
            </w:tcBorders>
            <w:vAlign w:val="center"/>
          </w:tcPr>
          <w:p>
            <w:pPr>
              <w:autoSpaceDE w:val="0"/>
              <w:autoSpaceDN w:val="0"/>
              <w:spacing w:line="360" w:lineRule="auto"/>
              <w:rPr>
                <w:rFonts w:ascii="宋体" w:hAnsi="宋体" w:cs="宋体"/>
                <w:b/>
                <w:bCs/>
                <w:sz w:val="24"/>
              </w:rPr>
            </w:pPr>
            <w:r>
              <w:rPr>
                <w:rFonts w:hint="eastAsia" w:ascii="宋体" w:hAnsi="宋体" w:cs="宋体"/>
                <w:b/>
                <w:sz w:val="24"/>
              </w:rPr>
              <w:t>招标控制价：</w:t>
            </w:r>
            <w:r>
              <w:rPr>
                <w:rFonts w:hint="eastAsia" w:ascii="宋体" w:hAnsi="宋体" w:cs="宋体"/>
                <w:b/>
                <w:bCs/>
                <w:sz w:val="24"/>
              </w:rPr>
              <w:t>790000.00元</w:t>
            </w:r>
            <w:r>
              <w:rPr>
                <w:rFonts w:hint="eastAsia" w:ascii="宋体" w:hAnsi="宋体" w:cs="宋体"/>
                <w:b/>
                <w:sz w:val="24"/>
              </w:rPr>
              <w:t>。</w:t>
            </w:r>
            <w:r>
              <w:rPr>
                <w:rFonts w:hint="eastAsia" w:ascii="宋体" w:hAnsi="宋体" w:cs="宋体"/>
                <w:b/>
                <w:bCs/>
                <w:sz w:val="24"/>
              </w:rPr>
              <w:t>超出预算金额的磋商响应无效。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7</w:t>
            </w:r>
          </w:p>
        </w:tc>
        <w:tc>
          <w:tcPr>
            <w:tcW w:w="1739"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Cs/>
                <w:sz w:val="24"/>
                <w:szCs w:val="24"/>
              </w:rPr>
            </w:pPr>
            <w:r>
              <w:rPr>
                <w:rFonts w:hint="eastAsia" w:ascii="宋体" w:hAnsi="宋体"/>
                <w:bCs/>
                <w:sz w:val="24"/>
                <w:szCs w:val="24"/>
              </w:rPr>
              <w:t>现场考察</w:t>
            </w:r>
          </w:p>
        </w:tc>
        <w:tc>
          <w:tcPr>
            <w:tcW w:w="7095"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ind w:right="-11"/>
              <w:rPr>
                <w:rFonts w:ascii="宋体" w:hAnsi="宋体"/>
                <w:sz w:val="24"/>
                <w:szCs w:val="24"/>
              </w:rPr>
            </w:pPr>
            <w:r>
              <w:rPr>
                <w:rFonts w:hint="eastAsia" w:ascii="宋体" w:hAnsi="宋体" w:cs="宋体"/>
                <w:b/>
                <w:sz w:val="24"/>
                <w:szCs w:val="24"/>
              </w:rPr>
              <w:fldChar w:fldCharType="begin"/>
            </w:r>
            <w:r>
              <w:rPr>
                <w:rFonts w:hint="eastAsia" w:ascii="宋体" w:hAnsi="宋体" w:cs="宋体"/>
                <w:b/>
                <w:sz w:val="24"/>
                <w:szCs w:val="24"/>
              </w:rPr>
              <w:instrText xml:space="preserve"> eq \o\ac(</w:instrText>
            </w:r>
            <w:r>
              <w:rPr>
                <w:rFonts w:hint="eastAsia" w:ascii="宋体" w:hAnsi="宋体" w:cs="宋体"/>
                <w:b/>
                <w:position w:val="-4"/>
                <w:sz w:val="36"/>
                <w:szCs w:val="24"/>
              </w:rPr>
              <w:instrText xml:space="preserve">□</w:instrText>
            </w:r>
            <w:r>
              <w:rPr>
                <w:rFonts w:hint="eastAsia" w:ascii="宋体" w:hAnsi="宋体" w:cs="宋体"/>
                <w:b/>
                <w:sz w:val="24"/>
                <w:szCs w:val="24"/>
              </w:rPr>
              <w:instrText xml:space="preserve">,√)</w:instrText>
            </w:r>
            <w:r>
              <w:rPr>
                <w:rFonts w:hint="eastAsia" w:ascii="宋体" w:hAnsi="宋体" w:cs="宋体"/>
                <w:b/>
                <w:sz w:val="24"/>
                <w:szCs w:val="24"/>
              </w:rPr>
              <w:fldChar w:fldCharType="end"/>
            </w:r>
            <w:r>
              <w:rPr>
                <w:rFonts w:hint="eastAsia" w:ascii="宋体" w:hAnsi="宋体"/>
                <w:sz w:val="24"/>
                <w:szCs w:val="24"/>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8</w:t>
            </w:r>
          </w:p>
        </w:tc>
        <w:tc>
          <w:tcPr>
            <w:tcW w:w="1739"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Cs/>
                <w:sz w:val="24"/>
                <w:szCs w:val="24"/>
              </w:rPr>
            </w:pPr>
            <w:r>
              <w:rPr>
                <w:rFonts w:hint="eastAsia" w:ascii="宋体" w:hAnsi="宋体"/>
                <w:bCs/>
                <w:sz w:val="24"/>
                <w:szCs w:val="24"/>
              </w:rPr>
              <w:t>开标前答疑会</w:t>
            </w:r>
          </w:p>
        </w:tc>
        <w:tc>
          <w:tcPr>
            <w:tcW w:w="7095"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ind w:right="-11"/>
              <w:rPr>
                <w:rFonts w:ascii="宋体" w:hAnsi="宋体"/>
                <w:sz w:val="24"/>
                <w:szCs w:val="24"/>
              </w:rPr>
            </w:pPr>
            <w:r>
              <w:rPr>
                <w:rFonts w:hint="eastAsia" w:ascii="宋体" w:hAnsi="宋体" w:cs="宋体"/>
                <w:b/>
                <w:sz w:val="24"/>
                <w:szCs w:val="24"/>
              </w:rPr>
              <w:fldChar w:fldCharType="begin"/>
            </w:r>
            <w:r>
              <w:rPr>
                <w:rFonts w:hint="eastAsia" w:ascii="宋体" w:hAnsi="宋体" w:cs="宋体"/>
                <w:b/>
                <w:sz w:val="24"/>
                <w:szCs w:val="24"/>
              </w:rPr>
              <w:instrText xml:space="preserve"> eq \o\ac(</w:instrText>
            </w:r>
            <w:r>
              <w:rPr>
                <w:rFonts w:hint="eastAsia" w:ascii="宋体" w:hAnsi="宋体" w:cs="宋体"/>
                <w:b/>
                <w:position w:val="-4"/>
                <w:sz w:val="36"/>
                <w:szCs w:val="24"/>
              </w:rPr>
              <w:instrText xml:space="preserve">□</w:instrText>
            </w:r>
            <w:r>
              <w:rPr>
                <w:rFonts w:hint="eastAsia" w:ascii="宋体" w:hAnsi="宋体" w:cs="宋体"/>
                <w:b/>
                <w:sz w:val="24"/>
                <w:szCs w:val="24"/>
              </w:rPr>
              <w:instrText xml:space="preserve">,√)</w:instrText>
            </w:r>
            <w:r>
              <w:rPr>
                <w:rFonts w:hint="eastAsia" w:ascii="宋体" w:hAnsi="宋体" w:cs="宋体"/>
                <w:b/>
                <w:sz w:val="24"/>
                <w:szCs w:val="24"/>
              </w:rPr>
              <w:fldChar w:fldCharType="end"/>
            </w:r>
            <w:r>
              <w:rPr>
                <w:rFonts w:hint="eastAsia" w:ascii="宋体" w:hAnsi="宋体"/>
                <w:sz w:val="24"/>
                <w:szCs w:val="24"/>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9</w:t>
            </w:r>
          </w:p>
        </w:tc>
        <w:tc>
          <w:tcPr>
            <w:tcW w:w="1739"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进口产品参与</w:t>
            </w:r>
          </w:p>
        </w:tc>
        <w:tc>
          <w:tcPr>
            <w:tcW w:w="7095"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ind w:right="-11"/>
              <w:rPr>
                <w:rFonts w:ascii="宋体" w:hAnsi="宋体"/>
                <w:sz w:val="24"/>
                <w:szCs w:val="24"/>
              </w:rPr>
            </w:pPr>
            <w:r>
              <w:rPr>
                <w:rFonts w:hint="eastAsia" w:ascii="宋体" w:hAnsi="宋体" w:cs="宋体"/>
                <w:b/>
                <w:sz w:val="24"/>
                <w:szCs w:val="24"/>
              </w:rPr>
              <w:fldChar w:fldCharType="begin"/>
            </w:r>
            <w:r>
              <w:rPr>
                <w:rFonts w:hint="eastAsia" w:ascii="宋体" w:hAnsi="宋体" w:cs="宋体"/>
                <w:b/>
                <w:sz w:val="24"/>
                <w:szCs w:val="24"/>
              </w:rPr>
              <w:instrText xml:space="preserve"> eq \o\ac(</w:instrText>
            </w:r>
            <w:r>
              <w:rPr>
                <w:rFonts w:hint="eastAsia" w:ascii="宋体" w:hAnsi="宋体" w:cs="宋体"/>
                <w:b/>
                <w:position w:val="-4"/>
                <w:sz w:val="36"/>
                <w:szCs w:val="24"/>
              </w:rPr>
              <w:instrText xml:space="preserve">□</w:instrText>
            </w:r>
            <w:r>
              <w:rPr>
                <w:rFonts w:hint="eastAsia" w:ascii="宋体" w:hAnsi="宋体" w:cs="宋体"/>
                <w:b/>
                <w:sz w:val="24"/>
                <w:szCs w:val="24"/>
              </w:rPr>
              <w:instrText xml:space="preserve">,√)</w:instrText>
            </w:r>
            <w:r>
              <w:rPr>
                <w:rFonts w:hint="eastAsia" w:ascii="宋体" w:hAnsi="宋体" w:cs="宋体"/>
                <w:b/>
                <w:sz w:val="24"/>
                <w:szCs w:val="24"/>
              </w:rPr>
              <w:fldChar w:fldCharType="end"/>
            </w:r>
            <w:r>
              <w:rPr>
                <w:rFonts w:hint="eastAsia" w:ascii="宋体" w:hAnsi="宋体"/>
                <w:sz w:val="24"/>
                <w:szCs w:val="24"/>
              </w:rPr>
              <w:t>不允许    </w:t>
            </w:r>
            <w:r>
              <w:rPr>
                <w:rFonts w:hint="eastAsia" w:ascii="宋体" w:hAnsi="宋体" w:cs="宋体"/>
                <w:b/>
                <w:sz w:val="24"/>
                <w:szCs w:val="24"/>
              </w:rPr>
              <w:fldChar w:fldCharType="begin"/>
            </w:r>
            <w:r>
              <w:rPr>
                <w:rFonts w:hint="eastAsia" w:ascii="宋体" w:hAnsi="宋体" w:cs="宋体"/>
                <w:b/>
                <w:sz w:val="24"/>
                <w:szCs w:val="24"/>
              </w:rPr>
              <w:instrText xml:space="preserve"> eq \o\ac(</w:instrText>
            </w:r>
            <w:r>
              <w:rPr>
                <w:rFonts w:hint="eastAsia" w:ascii="宋体" w:hAnsi="宋体" w:cs="宋体"/>
                <w:b/>
                <w:position w:val="-4"/>
                <w:sz w:val="36"/>
                <w:szCs w:val="24"/>
              </w:rPr>
              <w:instrText xml:space="preserve">□</w:instrText>
            </w:r>
            <w:r>
              <w:rPr>
                <w:rFonts w:hint="eastAsia" w:ascii="宋体" w:hAnsi="宋体" w:cs="宋体"/>
                <w:b/>
                <w:sz w:val="24"/>
                <w:szCs w:val="24"/>
              </w:rPr>
              <w:instrText xml:space="preserve">)</w:instrText>
            </w:r>
            <w:r>
              <w:rPr>
                <w:rFonts w:hint="eastAsia" w:ascii="宋体" w:hAnsi="宋体" w:cs="宋体"/>
                <w:b/>
                <w:sz w:val="24"/>
                <w:szCs w:val="24"/>
              </w:rPr>
              <w:fldChar w:fldCharType="end"/>
            </w:r>
            <w:r>
              <w:rPr>
                <w:rFonts w:hint="eastAsia" w:ascii="宋体" w:hAnsi="宋体"/>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10</w:t>
            </w:r>
          </w:p>
        </w:tc>
        <w:tc>
          <w:tcPr>
            <w:tcW w:w="1739"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sz w:val="24"/>
                <w:szCs w:val="24"/>
              </w:rPr>
            </w:pPr>
            <w:r>
              <w:rPr>
                <w:rFonts w:hint="eastAsia" w:ascii="宋体" w:hAnsi="宋体"/>
                <w:b/>
                <w:sz w:val="24"/>
                <w:szCs w:val="24"/>
              </w:rPr>
              <w:t>★</w:t>
            </w:r>
            <w:r>
              <w:rPr>
                <w:rFonts w:hint="eastAsia" w:ascii="宋体" w:hAnsi="宋体"/>
                <w:sz w:val="24"/>
                <w:szCs w:val="24"/>
              </w:rPr>
              <w:t>磋商有效期</w:t>
            </w:r>
          </w:p>
        </w:tc>
        <w:tc>
          <w:tcPr>
            <w:tcW w:w="7095"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ind w:right="-11"/>
              <w:rPr>
                <w:rFonts w:ascii="宋体" w:hAnsi="宋体"/>
                <w:sz w:val="24"/>
                <w:szCs w:val="24"/>
              </w:rPr>
            </w:pPr>
            <w:r>
              <w:rPr>
                <w:rFonts w:hint="eastAsia" w:ascii="宋体" w:hAnsi="宋体"/>
                <w:sz w:val="24"/>
                <w:szCs w:val="24"/>
              </w:rPr>
              <w:t>60天（自提交响应文件的截止之日起算）</w:t>
            </w:r>
          </w:p>
          <w:p>
            <w:pPr>
              <w:autoSpaceDE w:val="0"/>
              <w:autoSpaceDN w:val="0"/>
              <w:adjustRightInd w:val="0"/>
              <w:snapToGrid w:val="0"/>
              <w:spacing w:line="360" w:lineRule="auto"/>
              <w:ind w:right="-11"/>
              <w:rPr>
                <w:rFonts w:ascii="宋体" w:hAnsi="宋体"/>
                <w:sz w:val="24"/>
                <w:szCs w:val="24"/>
              </w:rPr>
            </w:pPr>
            <w:r>
              <w:rPr>
                <w:rFonts w:hint="eastAsia" w:ascii="宋体" w:hAnsi="宋体"/>
                <w:sz w:val="24"/>
                <w:szCs w:val="24"/>
              </w:rPr>
              <w:t>成交供应商有效期延至合同验收之日，成交供应商全部合同义务履行完毕为止。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11</w:t>
            </w:r>
          </w:p>
        </w:tc>
        <w:tc>
          <w:tcPr>
            <w:tcW w:w="1739"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rPr>
                <w:rFonts w:ascii="宋体" w:hAnsi="宋体"/>
                <w:sz w:val="24"/>
                <w:szCs w:val="24"/>
              </w:rPr>
            </w:pPr>
            <w:r>
              <w:rPr>
                <w:rFonts w:hint="eastAsia" w:ascii="宋体" w:hAnsi="宋体"/>
                <w:bCs/>
                <w:sz w:val="24"/>
                <w:szCs w:val="24"/>
              </w:rPr>
              <w:t>成交供应商将本项目非主体、非关键性工作分包</w:t>
            </w:r>
          </w:p>
        </w:tc>
        <w:tc>
          <w:tcPr>
            <w:tcW w:w="7095"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ind w:right="-11"/>
              <w:rPr>
                <w:rFonts w:ascii="宋体" w:hAnsi="宋体"/>
                <w:sz w:val="24"/>
                <w:szCs w:val="24"/>
              </w:rPr>
            </w:pPr>
            <w:r>
              <w:rPr>
                <w:rFonts w:hint="eastAsia" w:ascii="宋体" w:hAnsi="宋体" w:cs="宋体"/>
                <w:b/>
                <w:sz w:val="24"/>
                <w:szCs w:val="24"/>
              </w:rPr>
              <w:fldChar w:fldCharType="begin"/>
            </w:r>
            <w:r>
              <w:rPr>
                <w:rFonts w:hint="eastAsia" w:ascii="宋体" w:hAnsi="宋体" w:cs="宋体"/>
                <w:b/>
                <w:sz w:val="24"/>
                <w:szCs w:val="24"/>
              </w:rPr>
              <w:instrText xml:space="preserve"> eq \o\ac(</w:instrText>
            </w:r>
            <w:r>
              <w:rPr>
                <w:rFonts w:hint="eastAsia" w:ascii="宋体" w:hAnsi="宋体" w:cs="宋体"/>
                <w:b/>
                <w:position w:val="-4"/>
                <w:sz w:val="36"/>
                <w:szCs w:val="24"/>
              </w:rPr>
              <w:instrText xml:space="preserve">□</w:instrText>
            </w:r>
            <w:r>
              <w:rPr>
                <w:rFonts w:hint="eastAsia" w:ascii="宋体" w:hAnsi="宋体" w:cs="宋体"/>
                <w:b/>
                <w:sz w:val="24"/>
                <w:szCs w:val="24"/>
              </w:rPr>
              <w:instrText xml:space="preserve">,√)</w:instrText>
            </w:r>
            <w:r>
              <w:rPr>
                <w:rFonts w:hint="eastAsia" w:ascii="宋体" w:hAnsi="宋体" w:cs="宋体"/>
                <w:b/>
                <w:sz w:val="24"/>
                <w:szCs w:val="24"/>
              </w:rPr>
              <w:fldChar w:fldCharType="end"/>
            </w:r>
            <w:r>
              <w:rPr>
                <w:rFonts w:hint="eastAsia" w:ascii="宋体" w:hAnsi="宋体"/>
                <w:sz w:val="24"/>
                <w:szCs w:val="24"/>
              </w:rPr>
              <w:t>不允许   </w:t>
            </w:r>
            <w:r>
              <w:rPr>
                <w:rFonts w:hint="eastAsia" w:ascii="宋体" w:hAnsi="宋体" w:cs="宋体"/>
                <w:b/>
                <w:sz w:val="24"/>
                <w:szCs w:val="24"/>
              </w:rPr>
              <w:fldChar w:fldCharType="begin"/>
            </w:r>
            <w:r>
              <w:rPr>
                <w:rFonts w:hint="eastAsia" w:ascii="宋体" w:hAnsi="宋体" w:cs="宋体"/>
                <w:b/>
                <w:sz w:val="24"/>
                <w:szCs w:val="24"/>
              </w:rPr>
              <w:instrText xml:space="preserve"> eq \o\ac(</w:instrText>
            </w:r>
            <w:r>
              <w:rPr>
                <w:rFonts w:hint="eastAsia" w:ascii="宋体" w:hAnsi="宋体" w:cs="宋体"/>
                <w:b/>
                <w:position w:val="-4"/>
                <w:sz w:val="36"/>
                <w:szCs w:val="24"/>
              </w:rPr>
              <w:instrText xml:space="preserve">□</w:instrText>
            </w:r>
            <w:r>
              <w:rPr>
                <w:rFonts w:hint="eastAsia" w:ascii="宋体" w:hAnsi="宋体" w:cs="宋体"/>
                <w:b/>
                <w:sz w:val="24"/>
                <w:szCs w:val="24"/>
              </w:rPr>
              <w:instrText xml:space="preserve">)</w:instrText>
            </w:r>
            <w:r>
              <w:rPr>
                <w:rFonts w:hint="eastAsia" w:ascii="宋体" w:hAnsi="宋体" w:cs="宋体"/>
                <w:b/>
                <w:sz w:val="24"/>
                <w:szCs w:val="24"/>
              </w:rPr>
              <w:fldChar w:fldCharType="end"/>
            </w:r>
            <w:r>
              <w:rPr>
                <w:rFonts w:hint="eastAsia" w:ascii="宋体" w:hAnsi="宋体"/>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12</w:t>
            </w:r>
          </w:p>
        </w:tc>
        <w:tc>
          <w:tcPr>
            <w:tcW w:w="1739"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sz w:val="24"/>
                <w:szCs w:val="24"/>
              </w:rPr>
            </w:pPr>
            <w:r>
              <w:rPr>
                <w:rFonts w:hint="eastAsia" w:ascii="宋体" w:hAnsi="宋体"/>
                <w:sz w:val="24"/>
                <w:szCs w:val="24"/>
                <w:shd w:val="clear" w:color="auto" w:fill="FFFFFF"/>
              </w:rPr>
              <w:t>响应文件提交截止、</w:t>
            </w:r>
            <w:r>
              <w:rPr>
                <w:rFonts w:hint="eastAsia" w:ascii="宋体" w:hAnsi="宋体"/>
                <w:bCs/>
                <w:sz w:val="24"/>
                <w:szCs w:val="24"/>
              </w:rPr>
              <w:t>磋商响应截止及磋商时间</w:t>
            </w:r>
          </w:p>
        </w:tc>
        <w:tc>
          <w:tcPr>
            <w:tcW w:w="7095" w:type="dxa"/>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sz w:val="24"/>
                <w:szCs w:val="24"/>
              </w:rPr>
            </w:pPr>
            <w:r>
              <w:rPr>
                <w:rFonts w:hint="eastAsia" w:ascii="宋体" w:hAnsi="宋体"/>
                <w:bCs/>
                <w:sz w:val="24"/>
                <w:szCs w:val="24"/>
              </w:rPr>
              <w:t>2024年</w:t>
            </w:r>
            <w:r>
              <w:rPr>
                <w:rFonts w:hint="eastAsia" w:ascii="宋体" w:hAnsi="宋体"/>
                <w:bCs/>
                <w:sz w:val="24"/>
                <w:szCs w:val="24"/>
                <w:lang w:val="en-US" w:eastAsia="zh-CN"/>
              </w:rPr>
              <w:t>06</w:t>
            </w:r>
            <w:r>
              <w:rPr>
                <w:rFonts w:hint="eastAsia" w:ascii="宋体" w:hAnsi="宋体"/>
                <w:bCs/>
                <w:sz w:val="24"/>
                <w:szCs w:val="24"/>
              </w:rPr>
              <w:t xml:space="preserve">月 </w:t>
            </w:r>
            <w:r>
              <w:rPr>
                <w:rFonts w:hint="eastAsia" w:ascii="宋体" w:hAnsi="宋体"/>
                <w:bCs/>
                <w:sz w:val="24"/>
                <w:szCs w:val="24"/>
                <w:lang w:val="en-US" w:eastAsia="zh-CN"/>
              </w:rPr>
              <w:t>06</w:t>
            </w:r>
            <w:r>
              <w:rPr>
                <w:rFonts w:hint="eastAsia" w:ascii="宋体" w:hAnsi="宋体"/>
                <w:bCs/>
                <w:sz w:val="24"/>
                <w:szCs w:val="24"/>
              </w:rPr>
              <w:t xml:space="preserve"> 日 </w:t>
            </w:r>
            <w:r>
              <w:rPr>
                <w:rFonts w:hint="eastAsia" w:ascii="宋体" w:hAnsi="宋体"/>
                <w:bCs/>
                <w:sz w:val="24"/>
                <w:szCs w:val="24"/>
                <w:lang w:val="en-US" w:eastAsia="zh-CN"/>
              </w:rPr>
              <w:t>09</w:t>
            </w:r>
            <w:r>
              <w:rPr>
                <w:rFonts w:hint="eastAsia" w:ascii="宋体" w:hAnsi="宋体"/>
                <w:bCs/>
                <w:sz w:val="24"/>
                <w:szCs w:val="24"/>
              </w:rPr>
              <w:t xml:space="preserve"> 时 </w:t>
            </w:r>
            <w:r>
              <w:rPr>
                <w:rFonts w:hint="eastAsia" w:ascii="宋体" w:hAnsi="宋体"/>
                <w:bCs/>
                <w:sz w:val="24"/>
                <w:szCs w:val="24"/>
                <w:lang w:val="en-US" w:eastAsia="zh-CN"/>
              </w:rPr>
              <w:t>00</w:t>
            </w:r>
            <w:r>
              <w:rPr>
                <w:rFonts w:hint="eastAsia" w:ascii="宋体" w:hAnsi="宋体"/>
                <w:bCs/>
                <w:sz w:val="24"/>
                <w:szCs w:val="24"/>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13</w:t>
            </w:r>
          </w:p>
        </w:tc>
        <w:tc>
          <w:tcPr>
            <w:tcW w:w="1739"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sz w:val="24"/>
                <w:szCs w:val="24"/>
              </w:rPr>
            </w:pPr>
            <w:r>
              <w:rPr>
                <w:rFonts w:hint="eastAsia" w:ascii="宋体" w:hAnsi="宋体"/>
                <w:sz w:val="24"/>
                <w:szCs w:val="24"/>
              </w:rPr>
              <w:t>响应文件</w:t>
            </w:r>
          </w:p>
          <w:p>
            <w:pPr>
              <w:autoSpaceDE w:val="0"/>
              <w:autoSpaceDN w:val="0"/>
              <w:adjustRightInd w:val="0"/>
              <w:spacing w:line="360" w:lineRule="auto"/>
              <w:jc w:val="center"/>
              <w:rPr>
                <w:rFonts w:ascii="宋体" w:hAnsi="宋体"/>
                <w:sz w:val="24"/>
                <w:szCs w:val="24"/>
              </w:rPr>
            </w:pPr>
            <w:r>
              <w:rPr>
                <w:rFonts w:hint="eastAsia" w:ascii="宋体" w:hAnsi="宋体"/>
                <w:sz w:val="24"/>
                <w:szCs w:val="24"/>
              </w:rPr>
              <w:t>及开标地点</w:t>
            </w:r>
          </w:p>
        </w:tc>
        <w:tc>
          <w:tcPr>
            <w:tcW w:w="7095"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rPr>
                <w:rFonts w:ascii="宋体" w:hAnsi="宋体"/>
                <w:bCs/>
                <w:sz w:val="24"/>
                <w:szCs w:val="24"/>
              </w:rPr>
            </w:pPr>
            <w:r>
              <w:rPr>
                <w:rFonts w:hint="eastAsia" w:ascii="宋体" w:hAnsi="宋体"/>
                <w:sz w:val="24"/>
                <w:szCs w:val="24"/>
              </w:rPr>
              <w:t>长葛市公共资源交易中心开标</w:t>
            </w:r>
            <w:r>
              <w:rPr>
                <w:rFonts w:hint="eastAsia" w:ascii="宋体" w:hAnsi="宋体"/>
                <w:sz w:val="24"/>
                <w:szCs w:val="24"/>
                <w:lang w:eastAsia="zh-CN"/>
              </w:rPr>
              <w:t>四</w:t>
            </w:r>
            <w:r>
              <w:rPr>
                <w:rFonts w:hint="eastAsia" w:ascii="宋体" w:hAnsi="宋体"/>
                <w:sz w:val="24"/>
                <w:szCs w:val="24"/>
              </w:rPr>
              <w:t>室（长葛市葛天大道东段商务区6#楼5楼</w:t>
            </w:r>
            <w:r>
              <w:rPr>
                <w:rFonts w:hint="eastAsia" w:ascii="宋体" w:hAnsi="宋体"/>
                <w:sz w:val="24"/>
                <w:szCs w:val="24"/>
                <w:lang w:val="en-US" w:eastAsia="zh-CN"/>
              </w:rPr>
              <w:t>507</w:t>
            </w:r>
            <w:bookmarkStart w:id="11" w:name="_GoBack"/>
            <w:bookmarkEnd w:id="11"/>
            <w:r>
              <w:rPr>
                <w:rFonts w:hint="eastAsia" w:ascii="宋体" w:hAnsi="宋体"/>
                <w:sz w:val="24"/>
                <w:szCs w:val="24"/>
              </w:rPr>
              <w:t>室）（本项目采用远程不见面开标，</w:t>
            </w:r>
            <w:r>
              <w:rPr>
                <w:rFonts w:ascii="宋体" w:hAnsi="宋体"/>
                <w:sz w:val="24"/>
                <w:szCs w:val="24"/>
              </w:rPr>
              <w:t>供应商</w:t>
            </w:r>
            <w:r>
              <w:rPr>
                <w:rFonts w:hint="eastAsia" w:ascii="宋体" w:hAnsi="宋体"/>
                <w:sz w:val="24"/>
                <w:szCs w:val="24"/>
              </w:rPr>
              <w:t>无须到交易中心现场）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14</w:t>
            </w:r>
          </w:p>
        </w:tc>
        <w:tc>
          <w:tcPr>
            <w:tcW w:w="1739"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bCs/>
                <w:sz w:val="24"/>
                <w:szCs w:val="24"/>
              </w:rPr>
            </w:pPr>
            <w:r>
              <w:rPr>
                <w:rFonts w:hint="eastAsia" w:ascii="宋体" w:hAnsi="宋体"/>
                <w:kern w:val="0"/>
                <w:sz w:val="24"/>
                <w:szCs w:val="24"/>
              </w:rPr>
              <w:t>磋商保证金</w:t>
            </w:r>
          </w:p>
        </w:tc>
        <w:tc>
          <w:tcPr>
            <w:tcW w:w="7095" w:type="dxa"/>
            <w:tcBorders>
              <w:top w:val="single" w:color="auto" w:sz="4" w:space="0"/>
              <w:left w:val="nil"/>
              <w:bottom w:val="single" w:color="auto" w:sz="4" w:space="0"/>
              <w:right w:val="single" w:color="auto" w:sz="4" w:space="0"/>
            </w:tcBorders>
            <w:vAlign w:val="center"/>
          </w:tcPr>
          <w:p>
            <w:pPr>
              <w:pStyle w:val="44"/>
              <w:spacing w:line="360" w:lineRule="auto"/>
              <w:rPr>
                <w:rFonts w:ascii="宋体" w:hAnsi="宋体"/>
                <w:bCs/>
                <w:sz w:val="24"/>
              </w:rPr>
            </w:pPr>
            <w:r>
              <w:rPr>
                <w:rFonts w:hint="eastAsia" w:ascii="宋体" w:hAnsi="宋体" w:cs="仿宋_GB2312"/>
                <w:sz w:val="24"/>
              </w:rPr>
              <w:t>按照河南省《关于优化政府采购营商环境有关问题的通知》（豫财购（2019）4号文）的要求，</w:t>
            </w:r>
            <w:r>
              <w:rPr>
                <w:rFonts w:hint="eastAsia" w:ascii="宋体" w:hAnsi="宋体" w:cs="仿宋_GB2312"/>
                <w:b/>
                <w:bCs/>
                <w:sz w:val="24"/>
              </w:rPr>
              <w:t>不收取磋商保证金。</w:t>
            </w:r>
            <w:r>
              <w:rPr>
                <w:rFonts w:hint="eastAsia" w:ascii="宋体" w:hAnsi="宋体" w:cs="仿宋_GB2312"/>
                <w:sz w:val="24"/>
                <w:lang w:val="zh-CN"/>
              </w:rPr>
              <w:t>供应商应提供投标承诺函（按照磋商文件第八章</w:t>
            </w:r>
            <w:r>
              <w:rPr>
                <w:rFonts w:hint="eastAsia" w:ascii="宋体" w:hAnsi="宋体" w:cs="仿宋_GB2312"/>
                <w:sz w:val="24"/>
              </w:rPr>
              <w:t>3.4格式填写</w:t>
            </w:r>
            <w:r>
              <w:rPr>
                <w:rFonts w:hint="eastAsia" w:ascii="宋体" w:hAnsi="宋体" w:cs="仿宋_GB2312"/>
                <w:sz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15</w:t>
            </w:r>
          </w:p>
        </w:tc>
        <w:tc>
          <w:tcPr>
            <w:tcW w:w="1739"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公告发布</w:t>
            </w:r>
          </w:p>
        </w:tc>
        <w:tc>
          <w:tcPr>
            <w:tcW w:w="7095"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rPr>
                <w:rFonts w:ascii="宋体" w:hAnsi="宋体"/>
                <w:bCs/>
                <w:sz w:val="24"/>
                <w:szCs w:val="24"/>
              </w:rPr>
            </w:pPr>
            <w:r>
              <w:rPr>
                <w:rFonts w:hint="eastAsia" w:ascii="宋体" w:hAnsi="宋体"/>
                <w:sz w:val="24"/>
                <w:szCs w:val="24"/>
              </w:rPr>
              <w:t>招标公告、成交公告、变更（更正）公告、现场勘察答复等相关信息同时在以下网站发布：《河南省政府采购网》、《全国公共资源交易平台（河南省·许昌市）》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16</w:t>
            </w:r>
          </w:p>
        </w:tc>
        <w:tc>
          <w:tcPr>
            <w:tcW w:w="1739"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sz w:val="24"/>
                <w:szCs w:val="24"/>
              </w:rPr>
            </w:pPr>
            <w:r>
              <w:rPr>
                <w:rFonts w:hint="eastAsia" w:ascii="宋体" w:hAnsi="宋体"/>
                <w:kern w:val="0"/>
                <w:sz w:val="24"/>
                <w:szCs w:val="24"/>
              </w:rPr>
              <w:t>采购人澄清或修改磋商文件时间</w:t>
            </w:r>
          </w:p>
        </w:tc>
        <w:tc>
          <w:tcPr>
            <w:tcW w:w="7095"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rPr>
                <w:rFonts w:ascii="宋体" w:hAnsi="宋体"/>
                <w:bCs/>
                <w:sz w:val="24"/>
                <w:szCs w:val="24"/>
              </w:rPr>
            </w:pPr>
            <w:r>
              <w:rPr>
                <w:rFonts w:hint="eastAsia" w:ascii="宋体" w:hAnsi="宋体"/>
                <w:kern w:val="0"/>
                <w:sz w:val="24"/>
                <w:szCs w:val="24"/>
              </w:rPr>
              <w:t>磋商响应截止时间5日前（澄清内容可能影响磋商响应文件编制的）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17</w:t>
            </w:r>
          </w:p>
        </w:tc>
        <w:tc>
          <w:tcPr>
            <w:tcW w:w="1739"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sz w:val="24"/>
                <w:szCs w:val="24"/>
              </w:rPr>
            </w:pPr>
            <w:r>
              <w:rPr>
                <w:rFonts w:hint="eastAsia" w:ascii="宋体" w:hAnsi="宋体"/>
                <w:kern w:val="0"/>
                <w:sz w:val="24"/>
                <w:szCs w:val="24"/>
              </w:rPr>
              <w:t>供应商对磋商文件质疑截止时间</w:t>
            </w:r>
          </w:p>
        </w:tc>
        <w:tc>
          <w:tcPr>
            <w:tcW w:w="7095"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rPr>
                <w:rFonts w:ascii="宋体" w:hAnsi="宋体"/>
                <w:bCs/>
                <w:sz w:val="24"/>
                <w:szCs w:val="24"/>
              </w:rPr>
            </w:pPr>
            <w:r>
              <w:rPr>
                <w:rFonts w:hint="eastAsia" w:ascii="宋体" w:hAnsi="宋体"/>
                <w:bCs/>
                <w:sz w:val="24"/>
                <w:szCs w:val="24"/>
              </w:rPr>
              <w:t>采购公告期满之日起七个工作日内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18</w:t>
            </w:r>
          </w:p>
        </w:tc>
        <w:tc>
          <w:tcPr>
            <w:tcW w:w="1739"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sz w:val="24"/>
                <w:szCs w:val="24"/>
              </w:rPr>
            </w:pPr>
            <w:r>
              <w:rPr>
                <w:rFonts w:hint="eastAsia" w:ascii="宋体" w:hAnsi="宋体"/>
                <w:kern w:val="0"/>
                <w:sz w:val="24"/>
                <w:szCs w:val="24"/>
              </w:rPr>
              <w:t>响应文件份数</w:t>
            </w:r>
          </w:p>
        </w:tc>
        <w:tc>
          <w:tcPr>
            <w:tcW w:w="7095"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rPr>
                <w:rFonts w:ascii="宋体" w:hAnsi="宋体"/>
                <w:kern w:val="0"/>
                <w:sz w:val="24"/>
                <w:szCs w:val="24"/>
              </w:rPr>
            </w:pPr>
            <w:r>
              <w:rPr>
                <w:rFonts w:hint="eastAsia" w:ascii="宋体" w:hAnsi="宋体" w:cs="宋体"/>
                <w:b/>
                <w:sz w:val="24"/>
                <w:szCs w:val="24"/>
              </w:rPr>
              <w:fldChar w:fldCharType="begin"/>
            </w:r>
            <w:r>
              <w:rPr>
                <w:rFonts w:hint="eastAsia" w:ascii="宋体" w:hAnsi="宋体" w:cs="宋体"/>
                <w:b/>
                <w:sz w:val="24"/>
                <w:szCs w:val="24"/>
              </w:rPr>
              <w:instrText xml:space="preserve"> eq \o\ac(</w:instrText>
            </w:r>
            <w:r>
              <w:rPr>
                <w:rFonts w:hint="eastAsia" w:ascii="宋体" w:hAnsi="宋体" w:cs="宋体"/>
                <w:b/>
                <w:position w:val="-4"/>
                <w:sz w:val="36"/>
                <w:szCs w:val="24"/>
              </w:rPr>
              <w:instrText xml:space="preserve">□</w:instrText>
            </w:r>
            <w:r>
              <w:rPr>
                <w:rFonts w:hint="eastAsia" w:ascii="宋体" w:hAnsi="宋体" w:cs="宋体"/>
                <w:b/>
                <w:sz w:val="24"/>
                <w:szCs w:val="24"/>
              </w:rPr>
              <w:instrText xml:space="preserve">,√)</w:instrText>
            </w:r>
            <w:r>
              <w:rPr>
                <w:rFonts w:hint="eastAsia" w:ascii="宋体" w:hAnsi="宋体" w:cs="宋体"/>
                <w:b/>
                <w:sz w:val="24"/>
                <w:szCs w:val="24"/>
              </w:rPr>
              <w:fldChar w:fldCharType="end"/>
            </w:r>
            <w:r>
              <w:rPr>
                <w:rFonts w:hint="eastAsia" w:ascii="宋体" w:hAnsi="宋体"/>
                <w:kern w:val="0"/>
                <w:sz w:val="24"/>
                <w:szCs w:val="24"/>
              </w:rPr>
              <w:t>电子响应文件：成功上传至《全国公共资源交易平台（河南省·许昌市）》公共资源交易系统加密电子响应文件1份（文件格式为： XXX公司XXX项目编号.file）。</w:t>
            </w:r>
          </w:p>
          <w:p>
            <w:pPr>
              <w:pStyle w:val="16"/>
              <w:spacing w:line="360" w:lineRule="auto"/>
              <w:rPr>
                <w:rFonts w:ascii="宋体" w:hAnsi="宋体"/>
                <w:bCs/>
                <w:sz w:val="24"/>
                <w:szCs w:val="24"/>
              </w:rPr>
            </w:pPr>
            <w:r>
              <w:rPr>
                <w:rFonts w:hint="eastAsia" w:ascii="宋体" w:hAnsi="宋体"/>
                <w:b/>
                <w:bCs/>
                <w:kern w:val="2"/>
                <w:sz w:val="24"/>
                <w:szCs w:val="24"/>
              </w:rPr>
              <w:t>注:供应商提交的电子响应文件，必须是通过“许昌</w:t>
            </w:r>
            <w:r>
              <w:rPr>
                <w:rFonts w:ascii="宋体" w:hAnsi="宋体"/>
                <w:b/>
                <w:bCs/>
                <w:kern w:val="2"/>
                <w:sz w:val="24"/>
                <w:szCs w:val="24"/>
              </w:rPr>
              <w:t>响应文件</w:t>
            </w:r>
            <w:r>
              <w:rPr>
                <w:rFonts w:hint="eastAsia" w:ascii="宋体" w:hAnsi="宋体"/>
                <w:b/>
                <w:bCs/>
                <w:kern w:val="2"/>
                <w:sz w:val="24"/>
                <w:szCs w:val="24"/>
              </w:rPr>
              <w:t>制作系统SEARUNV最新版”制作，并经过签章和加密后生成的电子</w:t>
            </w:r>
            <w:r>
              <w:rPr>
                <w:rFonts w:ascii="宋体" w:hAnsi="宋体"/>
                <w:b/>
                <w:bCs/>
                <w:kern w:val="2"/>
                <w:sz w:val="24"/>
                <w:szCs w:val="24"/>
              </w:rPr>
              <w:t>响应文件</w:t>
            </w:r>
            <w:r>
              <w:rPr>
                <w:rFonts w:hint="eastAsia" w:ascii="宋体" w:hAnsi="宋体"/>
                <w:b/>
                <w:bCs/>
                <w:kern w:val="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19</w:t>
            </w:r>
          </w:p>
        </w:tc>
        <w:tc>
          <w:tcPr>
            <w:tcW w:w="1739"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sz w:val="24"/>
                <w:szCs w:val="24"/>
              </w:rPr>
            </w:pPr>
            <w:r>
              <w:rPr>
                <w:rFonts w:hint="eastAsia" w:ascii="宋体" w:hAnsi="宋体" w:cs="宋体"/>
                <w:sz w:val="24"/>
                <w:szCs w:val="24"/>
              </w:rPr>
              <w:t>响应文件</w:t>
            </w:r>
            <w:r>
              <w:rPr>
                <w:rFonts w:hint="eastAsia" w:ascii="宋体" w:hAnsi="宋体"/>
                <w:sz w:val="24"/>
                <w:szCs w:val="24"/>
              </w:rPr>
              <w:t>的</w:t>
            </w:r>
          </w:p>
          <w:p>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签署盖章</w:t>
            </w:r>
          </w:p>
        </w:tc>
        <w:tc>
          <w:tcPr>
            <w:tcW w:w="7095"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rPr>
                <w:rFonts w:ascii="宋体" w:hAnsi="宋体"/>
                <w:sz w:val="24"/>
                <w:szCs w:val="24"/>
              </w:rPr>
            </w:pPr>
            <w:r>
              <w:rPr>
                <w:rFonts w:hint="eastAsia" w:ascii="宋体" w:hAnsi="宋体" w:cs="宋体"/>
                <w:b/>
                <w:sz w:val="24"/>
                <w:szCs w:val="24"/>
              </w:rPr>
              <w:fldChar w:fldCharType="begin"/>
            </w:r>
            <w:r>
              <w:rPr>
                <w:rFonts w:hint="eastAsia" w:ascii="宋体" w:hAnsi="宋体" w:cs="宋体"/>
                <w:b/>
                <w:sz w:val="24"/>
                <w:szCs w:val="24"/>
              </w:rPr>
              <w:instrText xml:space="preserve"> eq \o\ac(</w:instrText>
            </w:r>
            <w:r>
              <w:rPr>
                <w:rFonts w:hint="eastAsia" w:ascii="宋体" w:hAnsi="宋体" w:cs="宋体"/>
                <w:b/>
                <w:position w:val="-4"/>
                <w:sz w:val="36"/>
                <w:szCs w:val="24"/>
              </w:rPr>
              <w:instrText xml:space="preserve">□</w:instrText>
            </w:r>
            <w:r>
              <w:rPr>
                <w:rFonts w:hint="eastAsia" w:ascii="宋体" w:hAnsi="宋体" w:cs="宋体"/>
                <w:b/>
                <w:sz w:val="24"/>
                <w:szCs w:val="24"/>
              </w:rPr>
              <w:instrText xml:space="preserve">,√)</w:instrText>
            </w:r>
            <w:r>
              <w:rPr>
                <w:rFonts w:hint="eastAsia" w:ascii="宋体" w:hAnsi="宋体" w:cs="宋体"/>
                <w:b/>
                <w:sz w:val="24"/>
                <w:szCs w:val="24"/>
              </w:rPr>
              <w:fldChar w:fldCharType="end"/>
            </w:r>
            <w:r>
              <w:rPr>
                <w:rFonts w:hint="eastAsia" w:ascii="宋体" w:hAnsi="宋体"/>
                <w:sz w:val="24"/>
                <w:szCs w:val="24"/>
              </w:rPr>
              <w:t>电子响应文件：按磋商文件要求加盖供应商电子印章和法人电子印章。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20</w:t>
            </w:r>
          </w:p>
        </w:tc>
        <w:tc>
          <w:tcPr>
            <w:tcW w:w="1739"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sz w:val="24"/>
                <w:szCs w:val="24"/>
              </w:rPr>
            </w:pPr>
            <w:r>
              <w:rPr>
                <w:rFonts w:hint="eastAsia" w:ascii="宋体" w:hAnsi="宋体" w:cs="宋体"/>
                <w:sz w:val="24"/>
                <w:szCs w:val="24"/>
              </w:rPr>
              <w:t>磋商小组组建</w:t>
            </w:r>
          </w:p>
        </w:tc>
        <w:tc>
          <w:tcPr>
            <w:tcW w:w="7095"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rPr>
                <w:rFonts w:ascii="宋体" w:hAnsi="宋体" w:cs="宋体"/>
                <w:sz w:val="24"/>
                <w:szCs w:val="24"/>
                <w:lang w:val="zh-CN"/>
              </w:rPr>
            </w:pPr>
            <w:r>
              <w:rPr>
                <w:rFonts w:hint="eastAsia" w:ascii="宋体" w:hAnsi="宋体" w:cs="宋体"/>
                <w:b/>
                <w:sz w:val="24"/>
                <w:szCs w:val="24"/>
              </w:rPr>
              <w:fldChar w:fldCharType="begin"/>
            </w:r>
            <w:r>
              <w:rPr>
                <w:rFonts w:hint="eastAsia" w:ascii="宋体" w:hAnsi="宋体" w:cs="宋体"/>
                <w:b/>
                <w:sz w:val="24"/>
                <w:szCs w:val="24"/>
              </w:rPr>
              <w:instrText xml:space="preserve">eq \o\ac(</w:instrText>
            </w:r>
            <w:r>
              <w:rPr>
                <w:rFonts w:hint="eastAsia" w:ascii="宋体" w:hAnsi="宋体" w:cs="宋体"/>
                <w:b/>
                <w:position w:val="-4"/>
                <w:sz w:val="36"/>
                <w:szCs w:val="24"/>
              </w:rPr>
              <w:instrText xml:space="preserve">□</w:instrText>
            </w:r>
            <w:r>
              <w:rPr>
                <w:rFonts w:hint="eastAsia" w:ascii="宋体" w:hAnsi="宋体" w:cs="宋体"/>
                <w:b/>
                <w:sz w:val="24"/>
                <w:szCs w:val="24"/>
              </w:rPr>
              <w:instrText xml:space="preserve">,√)</w:instrText>
            </w:r>
            <w:r>
              <w:rPr>
                <w:rFonts w:hint="eastAsia" w:ascii="宋体" w:hAnsi="宋体" w:cs="宋体"/>
                <w:b/>
                <w:sz w:val="24"/>
                <w:szCs w:val="24"/>
              </w:rPr>
              <w:fldChar w:fldCharType="end"/>
            </w:r>
            <w:r>
              <w:rPr>
                <w:rFonts w:hint="eastAsia" w:ascii="宋体" w:hAnsi="宋体" w:cs="宋体"/>
                <w:sz w:val="24"/>
                <w:szCs w:val="24"/>
                <w:lang w:val="zh-CN"/>
              </w:rPr>
              <w:t>由采购人代表1人和评审专家2人组成，其中评审专家的人数不少于磋商小组成员总数的三分之二。评审专家从政府采购评审专家库中随机抽取。</w:t>
            </w:r>
          </w:p>
          <w:p>
            <w:pPr>
              <w:autoSpaceDE w:val="0"/>
              <w:autoSpaceDN w:val="0"/>
              <w:adjustRightInd w:val="0"/>
              <w:snapToGrid w:val="0"/>
              <w:spacing w:line="360" w:lineRule="auto"/>
              <w:rPr>
                <w:rFonts w:ascii="宋体" w:hAnsi="宋体"/>
                <w:bCs/>
                <w:sz w:val="24"/>
                <w:szCs w:val="24"/>
              </w:rPr>
            </w:pPr>
            <w:r>
              <w:rPr>
                <w:rFonts w:hint="eastAsia" w:ascii="宋体" w:hAnsi="宋体" w:cs="宋体"/>
                <w:b/>
                <w:sz w:val="24"/>
                <w:szCs w:val="24"/>
              </w:rPr>
              <w:fldChar w:fldCharType="begin"/>
            </w:r>
            <w:r>
              <w:rPr>
                <w:rFonts w:hint="eastAsia" w:ascii="宋体" w:hAnsi="宋体" w:cs="宋体"/>
                <w:b/>
                <w:sz w:val="24"/>
                <w:szCs w:val="24"/>
              </w:rPr>
              <w:instrText xml:space="preserve">eq \o\ac(</w:instrText>
            </w:r>
            <w:r>
              <w:rPr>
                <w:rFonts w:hint="eastAsia" w:ascii="宋体" w:hAnsi="宋体" w:cs="宋体"/>
                <w:b/>
                <w:position w:val="-4"/>
                <w:sz w:val="36"/>
                <w:szCs w:val="24"/>
              </w:rPr>
              <w:instrText xml:space="preserve">□</w:instrText>
            </w:r>
            <w:r>
              <w:rPr>
                <w:rFonts w:hint="eastAsia" w:ascii="宋体" w:hAnsi="宋体" w:cs="宋体"/>
                <w:b/>
                <w:sz w:val="24"/>
                <w:szCs w:val="24"/>
              </w:rPr>
              <w:instrText xml:space="preserve">)</w:instrText>
            </w:r>
            <w:r>
              <w:rPr>
                <w:rFonts w:hint="eastAsia" w:ascii="宋体" w:hAnsi="宋体" w:cs="宋体"/>
                <w:b/>
                <w:sz w:val="24"/>
                <w:szCs w:val="24"/>
              </w:rPr>
              <w:fldChar w:fldCharType="end"/>
            </w:r>
            <w:r>
              <w:rPr>
                <w:rFonts w:hint="eastAsia" w:ascii="宋体" w:hAnsi="宋体" w:cs="宋体"/>
                <w:sz w:val="24"/>
                <w:szCs w:val="24"/>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21</w:t>
            </w:r>
          </w:p>
        </w:tc>
        <w:tc>
          <w:tcPr>
            <w:tcW w:w="1739"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评审方法</w:t>
            </w:r>
          </w:p>
        </w:tc>
        <w:tc>
          <w:tcPr>
            <w:tcW w:w="7095"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rPr>
                <w:rFonts w:ascii="宋体" w:hAnsi="宋体"/>
                <w:sz w:val="24"/>
                <w:szCs w:val="24"/>
              </w:rPr>
            </w:pPr>
            <w:r>
              <w:rPr>
                <w:rFonts w:hint="eastAsia" w:ascii="宋体" w:hAnsi="宋体" w:cs="宋体"/>
                <w:b/>
                <w:kern w:val="0"/>
                <w:sz w:val="24"/>
                <w:szCs w:val="24"/>
                <w:lang w:val="zh-CN"/>
              </w:rPr>
              <w:fldChar w:fldCharType="begin"/>
            </w:r>
            <w:r>
              <w:rPr>
                <w:rFonts w:hint="eastAsia" w:ascii="宋体" w:hAnsi="宋体" w:cs="宋体"/>
                <w:b/>
                <w:kern w:val="0"/>
                <w:sz w:val="24"/>
                <w:szCs w:val="24"/>
                <w:lang w:val="zh-CN"/>
              </w:rPr>
              <w:instrText xml:space="preserve"> eq \o\ac(</w:instrText>
            </w:r>
            <w:r>
              <w:rPr>
                <w:rFonts w:hint="eastAsia" w:ascii="宋体" w:hAnsi="宋体" w:cs="宋体"/>
                <w:b/>
                <w:kern w:val="0"/>
                <w:position w:val="-4"/>
                <w:sz w:val="36"/>
                <w:szCs w:val="24"/>
                <w:lang w:val="zh-CN"/>
              </w:rPr>
              <w:instrText xml:space="preserve">□</w:instrText>
            </w:r>
            <w:r>
              <w:rPr>
                <w:rFonts w:hint="eastAsia" w:ascii="宋体" w:hAnsi="宋体" w:cs="宋体"/>
                <w:b/>
                <w:kern w:val="0"/>
                <w:sz w:val="24"/>
                <w:szCs w:val="24"/>
                <w:lang w:val="zh-CN"/>
              </w:rPr>
              <w:instrText xml:space="preserve">,√)</w:instrText>
            </w:r>
            <w:r>
              <w:rPr>
                <w:rFonts w:hint="eastAsia" w:ascii="宋体" w:hAnsi="宋体" w:cs="宋体"/>
                <w:b/>
                <w:kern w:val="0"/>
                <w:sz w:val="24"/>
                <w:szCs w:val="24"/>
                <w:lang w:val="zh-CN"/>
              </w:rPr>
              <w:fldChar w:fldCharType="end"/>
            </w:r>
            <w:r>
              <w:rPr>
                <w:rFonts w:hint="eastAsia" w:ascii="宋体" w:hAnsi="宋体"/>
                <w:sz w:val="24"/>
                <w:szCs w:val="24"/>
              </w:rPr>
              <w:t>综合评分法□最低评标价法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22</w:t>
            </w:r>
          </w:p>
        </w:tc>
        <w:tc>
          <w:tcPr>
            <w:tcW w:w="1739" w:type="dxa"/>
            <w:tcBorders>
              <w:top w:val="single" w:color="auto" w:sz="4" w:space="0"/>
              <w:left w:val="nil"/>
              <w:bottom w:val="single" w:color="auto" w:sz="4" w:space="0"/>
              <w:right w:val="single" w:color="auto" w:sz="4" w:space="0"/>
            </w:tcBorders>
            <w:vAlign w:val="center"/>
          </w:tcPr>
          <w:p>
            <w:pPr>
              <w:adjustRightInd w:val="0"/>
              <w:snapToGrid w:val="0"/>
              <w:spacing w:line="360" w:lineRule="auto"/>
              <w:ind w:right="-23" w:rightChars="-11"/>
              <w:jc w:val="center"/>
              <w:rPr>
                <w:rFonts w:ascii="宋体" w:hAnsi="宋体"/>
                <w:bCs/>
                <w:sz w:val="24"/>
                <w:szCs w:val="24"/>
                <w:lang w:val="zh-CN"/>
              </w:rPr>
            </w:pPr>
            <w:r>
              <w:rPr>
                <w:rFonts w:hint="eastAsia" w:ascii="宋体" w:hAnsi="宋体"/>
                <w:bCs/>
                <w:sz w:val="24"/>
                <w:szCs w:val="24"/>
                <w:lang w:val="zh-CN"/>
              </w:rPr>
              <w:t>履约担保</w:t>
            </w:r>
          </w:p>
        </w:tc>
        <w:tc>
          <w:tcPr>
            <w:tcW w:w="7095" w:type="dxa"/>
            <w:tcBorders>
              <w:top w:val="single" w:color="auto" w:sz="4" w:space="0"/>
              <w:left w:val="nil"/>
              <w:bottom w:val="single" w:color="auto" w:sz="4" w:space="0"/>
              <w:right w:val="single" w:color="auto" w:sz="4" w:space="0"/>
            </w:tcBorders>
            <w:vAlign w:val="center"/>
          </w:tcPr>
          <w:p>
            <w:pPr>
              <w:adjustRightInd w:val="0"/>
              <w:snapToGrid w:val="0"/>
              <w:spacing w:line="360" w:lineRule="auto"/>
              <w:ind w:right="-23" w:rightChars="-11"/>
              <w:jc w:val="left"/>
              <w:rPr>
                <w:rFonts w:ascii="宋体" w:hAnsi="宋体"/>
                <w:bCs/>
                <w:sz w:val="24"/>
                <w:szCs w:val="24"/>
              </w:rPr>
            </w:pPr>
            <w:r>
              <w:rPr>
                <w:rFonts w:hint="eastAsia" w:ascii="宋体" w:hAnsi="宋体" w:cs="宋体"/>
                <w:b/>
                <w:kern w:val="0"/>
                <w:sz w:val="24"/>
                <w:szCs w:val="24"/>
                <w:lang w:val="zh-CN"/>
              </w:rPr>
              <w:fldChar w:fldCharType="begin"/>
            </w:r>
            <w:r>
              <w:rPr>
                <w:rFonts w:hint="eastAsia" w:ascii="宋体" w:hAnsi="宋体" w:cs="宋体"/>
                <w:b/>
                <w:kern w:val="0"/>
                <w:sz w:val="24"/>
                <w:szCs w:val="24"/>
                <w:lang w:val="zh-CN"/>
              </w:rPr>
              <w:instrText xml:space="preserve"> eq \o\ac(</w:instrText>
            </w:r>
            <w:r>
              <w:rPr>
                <w:rFonts w:hint="eastAsia" w:ascii="宋体" w:hAnsi="宋体" w:cs="宋体"/>
                <w:b/>
                <w:kern w:val="0"/>
                <w:position w:val="-4"/>
                <w:sz w:val="36"/>
                <w:szCs w:val="24"/>
                <w:lang w:val="zh-CN"/>
              </w:rPr>
              <w:instrText xml:space="preserve">□</w:instrText>
            </w:r>
            <w:r>
              <w:rPr>
                <w:rFonts w:hint="eastAsia" w:ascii="宋体" w:hAnsi="宋体" w:cs="宋体"/>
                <w:b/>
                <w:kern w:val="0"/>
                <w:sz w:val="24"/>
                <w:szCs w:val="24"/>
                <w:lang w:val="zh-CN"/>
              </w:rPr>
              <w:instrText xml:space="preserve">,√)</w:instrText>
            </w:r>
            <w:r>
              <w:rPr>
                <w:rFonts w:hint="eastAsia" w:ascii="宋体" w:hAnsi="宋体" w:cs="宋体"/>
                <w:b/>
                <w:kern w:val="0"/>
                <w:sz w:val="24"/>
                <w:szCs w:val="24"/>
                <w:lang w:val="zh-CN"/>
              </w:rPr>
              <w:fldChar w:fldCharType="end"/>
            </w:r>
            <w:r>
              <w:rPr>
                <w:rFonts w:hint="eastAsia" w:ascii="宋体" w:hAnsi="宋体"/>
                <w:bCs/>
                <w:sz w:val="24"/>
                <w:szCs w:val="24"/>
              </w:rPr>
              <w:t>无要求。按照《许昌市财政局关于加大政府采购支持中小企业力度有关事项的通知》(许财购【2022】5号）文的要求，不收取履约保证金。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23</w:t>
            </w:r>
          </w:p>
        </w:tc>
        <w:tc>
          <w:tcPr>
            <w:tcW w:w="1739"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Cs/>
                <w:sz w:val="24"/>
                <w:szCs w:val="24"/>
              </w:rPr>
            </w:pPr>
            <w:r>
              <w:rPr>
                <w:rFonts w:hint="eastAsia" w:ascii="宋体" w:hAnsi="宋体"/>
                <w:bCs/>
                <w:sz w:val="24"/>
                <w:szCs w:val="24"/>
              </w:rPr>
              <w:t>代理服务费</w:t>
            </w:r>
          </w:p>
        </w:tc>
        <w:tc>
          <w:tcPr>
            <w:tcW w:w="7095" w:type="dxa"/>
            <w:tcBorders>
              <w:top w:val="single" w:color="auto" w:sz="4" w:space="0"/>
              <w:left w:val="nil"/>
              <w:bottom w:val="single" w:color="auto" w:sz="4" w:space="0"/>
              <w:right w:val="single" w:color="auto" w:sz="4" w:space="0"/>
            </w:tcBorders>
            <w:vAlign w:val="center"/>
          </w:tcPr>
          <w:p>
            <w:pPr>
              <w:adjustRightInd w:val="0"/>
              <w:snapToGrid w:val="0"/>
              <w:spacing w:line="360" w:lineRule="auto"/>
              <w:ind w:right="-23" w:rightChars="-11"/>
              <w:jc w:val="left"/>
              <w:rPr>
                <w:rFonts w:ascii="宋体" w:hAnsi="宋体"/>
                <w:bCs/>
                <w:sz w:val="24"/>
                <w:szCs w:val="24"/>
              </w:rPr>
            </w:pPr>
            <w:r>
              <w:rPr>
                <w:rFonts w:hint="eastAsia" w:ascii="宋体" w:hAnsi="宋体" w:cs="宋体"/>
                <w:kern w:val="0"/>
                <w:sz w:val="24"/>
                <w:szCs w:val="24"/>
                <w:lang w:val="zh-CN"/>
              </w:rPr>
              <w:fldChar w:fldCharType="begin"/>
            </w:r>
            <w:r>
              <w:rPr>
                <w:rFonts w:hint="eastAsia" w:ascii="宋体" w:hAnsi="宋体" w:cs="宋体"/>
                <w:kern w:val="0"/>
                <w:sz w:val="24"/>
                <w:szCs w:val="24"/>
                <w:lang w:val="zh-CN"/>
              </w:rPr>
              <w:instrText xml:space="preserve"> eq \o\ac(□,</w:instrText>
            </w:r>
            <w:r>
              <w:rPr>
                <w:rFonts w:hint="eastAsia" w:ascii="宋体" w:hAnsi="宋体" w:cs="宋体"/>
                <w:kern w:val="0"/>
                <w:position w:val="2"/>
                <w:sz w:val="16"/>
                <w:szCs w:val="24"/>
                <w:lang w:val="zh-CN"/>
              </w:rPr>
              <w:instrText xml:space="preserve">√</w:instrText>
            </w:r>
            <w:r>
              <w:rPr>
                <w:rFonts w:hint="eastAsia" w:ascii="宋体" w:hAnsi="宋体" w:cs="宋体"/>
                <w:kern w:val="0"/>
                <w:sz w:val="24"/>
                <w:szCs w:val="24"/>
                <w:lang w:val="zh-CN"/>
              </w:rPr>
              <w:instrText xml:space="preserve">)</w:instrText>
            </w:r>
            <w:r>
              <w:rPr>
                <w:rFonts w:hint="eastAsia" w:ascii="宋体" w:hAnsi="宋体" w:cs="宋体"/>
                <w:kern w:val="0"/>
                <w:sz w:val="24"/>
                <w:szCs w:val="24"/>
                <w:lang w:val="zh-CN"/>
              </w:rPr>
              <w:fldChar w:fldCharType="end"/>
            </w:r>
            <w:r>
              <w:rPr>
                <w:rFonts w:hint="eastAsia" w:ascii="宋体" w:hAnsi="宋体" w:cs="宋体"/>
                <w:kern w:val="0"/>
                <w:sz w:val="24"/>
                <w:szCs w:val="24"/>
              </w:rPr>
              <w:t>不</w:t>
            </w:r>
            <w:r>
              <w:rPr>
                <w:rFonts w:hint="eastAsia" w:ascii="宋体" w:hAnsi="宋体" w:cs="宋体"/>
                <w:bCs/>
                <w:kern w:val="0"/>
                <w:sz w:val="24"/>
                <w:szCs w:val="24"/>
              </w:rPr>
              <w:t>收取</w:t>
            </w:r>
            <w:r>
              <w:rPr>
                <w:rFonts w:hint="eastAsia" w:ascii="宋体" w:hAnsi="宋体" w:cs="宋体"/>
                <w:bCs/>
                <w:kern w:val="0"/>
                <w:sz w:val="24"/>
                <w:szCs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24</w:t>
            </w:r>
          </w:p>
        </w:tc>
        <w:tc>
          <w:tcPr>
            <w:tcW w:w="1739"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Cs/>
                <w:sz w:val="24"/>
                <w:szCs w:val="24"/>
              </w:rPr>
            </w:pPr>
            <w:r>
              <w:rPr>
                <w:rFonts w:hint="eastAsia" w:ascii="宋体" w:hAnsi="宋体"/>
                <w:bCs/>
                <w:sz w:val="24"/>
                <w:szCs w:val="24"/>
              </w:rPr>
              <w:t>成交供应商资格核验</w:t>
            </w:r>
          </w:p>
        </w:tc>
        <w:tc>
          <w:tcPr>
            <w:tcW w:w="7095" w:type="dxa"/>
            <w:tcBorders>
              <w:top w:val="single" w:color="auto" w:sz="4" w:space="0"/>
              <w:left w:val="nil"/>
              <w:bottom w:val="single" w:color="auto" w:sz="4" w:space="0"/>
              <w:right w:val="single" w:color="auto" w:sz="4" w:space="0"/>
            </w:tcBorders>
            <w:vAlign w:val="center"/>
          </w:tcPr>
          <w:p>
            <w:pPr>
              <w:adjustRightInd w:val="0"/>
              <w:snapToGrid w:val="0"/>
              <w:spacing w:line="360" w:lineRule="auto"/>
              <w:ind w:right="-23" w:rightChars="-11"/>
              <w:jc w:val="left"/>
              <w:rPr>
                <w:rFonts w:ascii="宋体" w:hAnsi="宋体"/>
                <w:bCs/>
                <w:sz w:val="24"/>
                <w:szCs w:val="24"/>
              </w:rPr>
            </w:pPr>
            <w:r>
              <w:rPr>
                <w:rFonts w:hint="eastAsia" w:ascii="宋体" w:hAnsi="宋体"/>
                <w:bCs/>
                <w:sz w:val="24"/>
                <w:szCs w:val="24"/>
              </w:rPr>
              <w:t>供应商在中标后，应将由《长葛市政府采购供应商信用承诺函》替代的证明材料提交采购人核验，经核验无误后，发出成交通知书。</w:t>
            </w:r>
          </w:p>
          <w:p>
            <w:pPr>
              <w:adjustRightInd w:val="0"/>
              <w:snapToGrid w:val="0"/>
              <w:spacing w:line="360" w:lineRule="auto"/>
              <w:ind w:right="-23" w:rightChars="-11"/>
              <w:jc w:val="left"/>
              <w:rPr>
                <w:rFonts w:ascii="宋体" w:hAnsi="宋体"/>
                <w:bCs/>
                <w:sz w:val="24"/>
                <w:szCs w:val="24"/>
              </w:rPr>
            </w:pPr>
            <w:r>
              <w:rPr>
                <w:rFonts w:hint="eastAsia" w:ascii="宋体" w:hAnsi="宋体"/>
                <w:b/>
                <w:sz w:val="24"/>
                <w:szCs w:val="24"/>
              </w:rPr>
              <w:t xml:space="preserve">一、法人或者其他组织的营业执照等证明文件，自然人的身份证明 </w:t>
            </w:r>
          </w:p>
          <w:p>
            <w:pPr>
              <w:adjustRightInd w:val="0"/>
              <w:snapToGrid w:val="0"/>
              <w:spacing w:line="360" w:lineRule="auto"/>
              <w:ind w:right="-23" w:rightChars="-11"/>
              <w:jc w:val="left"/>
              <w:rPr>
                <w:rFonts w:ascii="宋体" w:hAnsi="宋体"/>
                <w:bCs/>
                <w:sz w:val="24"/>
                <w:szCs w:val="24"/>
              </w:rPr>
            </w:pPr>
            <w:r>
              <w:rPr>
                <w:rFonts w:hint="eastAsia" w:ascii="宋体" w:hAnsi="宋体"/>
                <w:bCs/>
                <w:sz w:val="24"/>
                <w:szCs w:val="24"/>
              </w:rPr>
              <w:t>1、企业法人营业执照或营业执照。（企业投标提供）</w:t>
            </w:r>
          </w:p>
          <w:p>
            <w:pPr>
              <w:adjustRightInd w:val="0"/>
              <w:snapToGrid w:val="0"/>
              <w:spacing w:line="360" w:lineRule="auto"/>
              <w:ind w:right="-23" w:rightChars="-11"/>
              <w:jc w:val="left"/>
              <w:rPr>
                <w:rFonts w:ascii="宋体" w:hAnsi="宋体"/>
                <w:bCs/>
                <w:sz w:val="24"/>
                <w:szCs w:val="24"/>
              </w:rPr>
            </w:pPr>
            <w:r>
              <w:rPr>
                <w:rFonts w:hint="eastAsia" w:ascii="宋体" w:hAnsi="宋体"/>
                <w:bCs/>
                <w:sz w:val="24"/>
                <w:szCs w:val="24"/>
              </w:rPr>
              <w:t>2、事业单位法人证书。（事业单位投标提供）</w:t>
            </w:r>
          </w:p>
          <w:p>
            <w:pPr>
              <w:adjustRightInd w:val="0"/>
              <w:snapToGrid w:val="0"/>
              <w:spacing w:line="360" w:lineRule="auto"/>
              <w:ind w:right="-23" w:rightChars="-11"/>
              <w:jc w:val="left"/>
              <w:rPr>
                <w:rFonts w:ascii="宋体" w:hAnsi="宋体"/>
                <w:bCs/>
                <w:sz w:val="24"/>
                <w:szCs w:val="24"/>
              </w:rPr>
            </w:pPr>
            <w:r>
              <w:rPr>
                <w:rFonts w:hint="eastAsia" w:ascii="宋体" w:hAnsi="宋体"/>
                <w:bCs/>
                <w:sz w:val="24"/>
                <w:szCs w:val="24"/>
              </w:rPr>
              <w:t xml:space="preserve">3、执业许可证。（非企业专业服务机构投标提供） </w:t>
            </w:r>
          </w:p>
          <w:p>
            <w:pPr>
              <w:adjustRightInd w:val="0"/>
              <w:snapToGrid w:val="0"/>
              <w:spacing w:line="360" w:lineRule="auto"/>
              <w:ind w:right="-23" w:rightChars="-11"/>
              <w:jc w:val="left"/>
              <w:rPr>
                <w:rFonts w:ascii="宋体" w:hAnsi="宋体"/>
                <w:bCs/>
                <w:sz w:val="24"/>
                <w:szCs w:val="24"/>
              </w:rPr>
            </w:pPr>
            <w:r>
              <w:rPr>
                <w:rFonts w:hint="eastAsia" w:ascii="宋体" w:hAnsi="宋体"/>
                <w:bCs/>
                <w:sz w:val="24"/>
                <w:szCs w:val="24"/>
              </w:rPr>
              <w:t xml:space="preserve">4、个体工商户营业执照。（个体工商户投标提供） </w:t>
            </w:r>
          </w:p>
          <w:p>
            <w:pPr>
              <w:adjustRightInd w:val="0"/>
              <w:snapToGrid w:val="0"/>
              <w:spacing w:line="360" w:lineRule="auto"/>
              <w:ind w:right="-23" w:rightChars="-11"/>
              <w:jc w:val="left"/>
              <w:rPr>
                <w:rFonts w:ascii="宋体" w:hAnsi="宋体"/>
                <w:bCs/>
                <w:sz w:val="24"/>
                <w:szCs w:val="24"/>
              </w:rPr>
            </w:pPr>
            <w:r>
              <w:rPr>
                <w:rFonts w:hint="eastAsia" w:ascii="宋体" w:hAnsi="宋体"/>
                <w:bCs/>
                <w:sz w:val="24"/>
                <w:szCs w:val="24"/>
              </w:rPr>
              <w:t xml:space="preserve">5、自然人身份证明。（自然人投标提供） </w:t>
            </w:r>
          </w:p>
          <w:p>
            <w:pPr>
              <w:adjustRightInd w:val="0"/>
              <w:snapToGrid w:val="0"/>
              <w:spacing w:line="360" w:lineRule="auto"/>
              <w:ind w:right="-23" w:rightChars="-11"/>
              <w:jc w:val="left"/>
              <w:rPr>
                <w:rFonts w:ascii="宋体" w:hAnsi="宋体"/>
                <w:bCs/>
                <w:sz w:val="24"/>
                <w:szCs w:val="24"/>
              </w:rPr>
            </w:pPr>
            <w:r>
              <w:rPr>
                <w:rFonts w:hint="eastAsia" w:ascii="宋体" w:hAnsi="宋体"/>
                <w:bCs/>
                <w:sz w:val="24"/>
                <w:szCs w:val="24"/>
              </w:rPr>
              <w:t>6、民办非企业单位登记证书。（民办非企业单位投标提供）</w:t>
            </w:r>
          </w:p>
          <w:p>
            <w:pPr>
              <w:spacing w:line="360" w:lineRule="auto"/>
              <w:rPr>
                <w:rFonts w:ascii="宋体" w:hAnsi="宋体"/>
                <w:b/>
                <w:bCs/>
                <w:sz w:val="24"/>
                <w:szCs w:val="24"/>
              </w:rPr>
            </w:pPr>
            <w:r>
              <w:rPr>
                <w:rFonts w:ascii="宋体" w:hAnsi="宋体"/>
                <w:b/>
                <w:bCs/>
                <w:sz w:val="24"/>
                <w:szCs w:val="24"/>
              </w:rPr>
              <w:t xml:space="preserve"> 二、财务状况报告相关材料</w:t>
            </w:r>
          </w:p>
          <w:p>
            <w:pPr>
              <w:adjustRightInd w:val="0"/>
              <w:snapToGrid w:val="0"/>
              <w:spacing w:line="360" w:lineRule="auto"/>
              <w:ind w:right="-23" w:rightChars="-11"/>
              <w:jc w:val="left"/>
              <w:rPr>
                <w:rFonts w:ascii="宋体" w:hAnsi="宋体"/>
                <w:bCs/>
                <w:sz w:val="24"/>
                <w:szCs w:val="24"/>
              </w:rPr>
            </w:pPr>
            <w:r>
              <w:rPr>
                <w:rFonts w:hint="eastAsia" w:ascii="宋体" w:hAnsi="宋体"/>
                <w:bCs/>
                <w:sz w:val="24"/>
                <w:szCs w:val="24"/>
              </w:rPr>
              <w:t xml:space="preserve"> 1、</w:t>
            </w:r>
            <w:r>
              <w:rPr>
                <w:rFonts w:ascii="宋体" w:hAnsi="宋体"/>
                <w:bCs/>
                <w:sz w:val="24"/>
                <w:szCs w:val="24"/>
              </w:rPr>
              <w:t>供应商</w:t>
            </w:r>
            <w:r>
              <w:rPr>
                <w:rFonts w:hint="eastAsia" w:ascii="宋体" w:hAnsi="宋体"/>
                <w:bCs/>
                <w:sz w:val="24"/>
                <w:szCs w:val="24"/>
              </w:rPr>
              <w:t>是法人（法人包括企业法人、机关法人、事业单位法人和社会 团体法人），提供本单位：</w:t>
            </w:r>
          </w:p>
          <w:p>
            <w:pPr>
              <w:adjustRightInd w:val="0"/>
              <w:snapToGrid w:val="0"/>
              <w:spacing w:line="360" w:lineRule="auto"/>
              <w:ind w:right="-23" w:rightChars="-11"/>
              <w:jc w:val="left"/>
              <w:rPr>
                <w:rFonts w:ascii="宋体" w:hAnsi="宋体"/>
                <w:bCs/>
                <w:sz w:val="24"/>
                <w:szCs w:val="24"/>
              </w:rPr>
            </w:pPr>
            <w:r>
              <w:rPr>
                <w:rFonts w:hint="eastAsia" w:ascii="宋体" w:hAnsi="宋体"/>
                <w:bCs/>
                <w:sz w:val="24"/>
                <w:szCs w:val="24"/>
              </w:rPr>
              <w:t xml:space="preserve">①2022 年度经审计的财务报告，包括资产负债表、利润表、现金流量表、所有者权益变动表及其附注； </w:t>
            </w:r>
          </w:p>
          <w:p>
            <w:pPr>
              <w:adjustRightInd w:val="0"/>
              <w:snapToGrid w:val="0"/>
              <w:spacing w:line="360" w:lineRule="auto"/>
              <w:ind w:right="-23" w:rightChars="-11"/>
              <w:jc w:val="left"/>
              <w:rPr>
                <w:rFonts w:ascii="宋体" w:hAnsi="宋体"/>
                <w:bCs/>
                <w:sz w:val="24"/>
                <w:szCs w:val="24"/>
              </w:rPr>
            </w:pPr>
            <w:r>
              <w:rPr>
                <w:rFonts w:hint="eastAsia" w:ascii="宋体" w:hAnsi="宋体"/>
                <w:bCs/>
                <w:sz w:val="24"/>
                <w:szCs w:val="24"/>
              </w:rPr>
              <w:t>②基本开户银行出具的资信证明；</w:t>
            </w:r>
          </w:p>
          <w:p>
            <w:pPr>
              <w:adjustRightInd w:val="0"/>
              <w:snapToGrid w:val="0"/>
              <w:spacing w:line="360" w:lineRule="auto"/>
              <w:ind w:right="-23" w:rightChars="-11"/>
              <w:jc w:val="left"/>
              <w:rPr>
                <w:rFonts w:ascii="宋体" w:hAnsi="宋体"/>
                <w:bCs/>
                <w:sz w:val="24"/>
                <w:szCs w:val="24"/>
              </w:rPr>
            </w:pPr>
            <w:r>
              <w:rPr>
                <w:rFonts w:hint="eastAsia" w:ascii="宋体" w:hAnsi="宋体"/>
                <w:bCs/>
                <w:sz w:val="24"/>
                <w:szCs w:val="24"/>
              </w:rPr>
              <w:t xml:space="preserve">③财政部门认可的政府采购专业担保机构的证明文件和担保机构出具的 投标担保函。 </w:t>
            </w:r>
          </w:p>
          <w:p>
            <w:pPr>
              <w:adjustRightInd w:val="0"/>
              <w:snapToGrid w:val="0"/>
              <w:spacing w:line="360" w:lineRule="auto"/>
              <w:ind w:right="-23" w:rightChars="-11"/>
              <w:jc w:val="left"/>
              <w:rPr>
                <w:rFonts w:ascii="宋体" w:hAnsi="宋体"/>
                <w:bCs/>
                <w:sz w:val="24"/>
                <w:szCs w:val="24"/>
              </w:rPr>
            </w:pPr>
            <w:r>
              <w:rPr>
                <w:rFonts w:hint="eastAsia" w:ascii="宋体" w:hAnsi="宋体"/>
                <w:bCs/>
                <w:sz w:val="24"/>
                <w:szCs w:val="24"/>
              </w:rPr>
              <w:t xml:space="preserve">注：仅需提供序号①～③其中之一即可。 </w:t>
            </w:r>
          </w:p>
          <w:p>
            <w:pPr>
              <w:spacing w:line="360" w:lineRule="auto"/>
              <w:rPr>
                <w:rFonts w:ascii="宋体" w:hAnsi="宋体"/>
                <w:bCs/>
                <w:sz w:val="24"/>
                <w:szCs w:val="24"/>
              </w:rPr>
            </w:pPr>
            <w:r>
              <w:rPr>
                <w:rFonts w:ascii="宋体" w:hAnsi="宋体"/>
                <w:bCs/>
                <w:sz w:val="24"/>
                <w:szCs w:val="24"/>
              </w:rPr>
              <w:t>2、供应商（其他组织和自然人）提供本单位：</w:t>
            </w:r>
          </w:p>
          <w:p>
            <w:pPr>
              <w:adjustRightInd w:val="0"/>
              <w:snapToGrid w:val="0"/>
              <w:spacing w:line="360" w:lineRule="auto"/>
              <w:ind w:right="-23" w:rightChars="-11"/>
              <w:jc w:val="left"/>
              <w:rPr>
                <w:rFonts w:ascii="宋体" w:hAnsi="宋体"/>
                <w:bCs/>
                <w:sz w:val="24"/>
                <w:szCs w:val="24"/>
              </w:rPr>
            </w:pPr>
            <w:r>
              <w:rPr>
                <w:rFonts w:hint="eastAsia" w:ascii="宋体" w:hAnsi="宋体"/>
                <w:bCs/>
                <w:sz w:val="24"/>
                <w:szCs w:val="24"/>
              </w:rPr>
              <w:t>①2022 年度经审计的财务报告，包括资产负债表、利润表、现金流量表、 所有者权益变动表及其附注；</w:t>
            </w:r>
          </w:p>
          <w:p>
            <w:pPr>
              <w:adjustRightInd w:val="0"/>
              <w:snapToGrid w:val="0"/>
              <w:spacing w:line="360" w:lineRule="auto"/>
              <w:ind w:right="-23" w:rightChars="-11"/>
              <w:jc w:val="left"/>
              <w:rPr>
                <w:rFonts w:ascii="宋体" w:hAnsi="宋体"/>
                <w:bCs/>
                <w:sz w:val="24"/>
                <w:szCs w:val="24"/>
              </w:rPr>
            </w:pPr>
            <w:r>
              <w:rPr>
                <w:rFonts w:hint="eastAsia" w:ascii="宋体" w:hAnsi="宋体"/>
                <w:bCs/>
                <w:sz w:val="24"/>
                <w:szCs w:val="24"/>
              </w:rPr>
              <w:t>②银行出具的资信证明；</w:t>
            </w:r>
          </w:p>
          <w:p>
            <w:pPr>
              <w:adjustRightInd w:val="0"/>
              <w:snapToGrid w:val="0"/>
              <w:spacing w:line="360" w:lineRule="auto"/>
              <w:ind w:right="-23" w:rightChars="-11"/>
              <w:jc w:val="left"/>
              <w:rPr>
                <w:rFonts w:ascii="宋体" w:hAnsi="宋体"/>
                <w:bCs/>
                <w:sz w:val="24"/>
                <w:szCs w:val="24"/>
              </w:rPr>
            </w:pPr>
            <w:r>
              <w:rPr>
                <w:rFonts w:hint="eastAsia" w:ascii="宋体" w:hAnsi="宋体"/>
                <w:bCs/>
                <w:sz w:val="24"/>
                <w:szCs w:val="24"/>
              </w:rPr>
              <w:t xml:space="preserve">③财政部门认可的政府采购专业担保机构的证明文件和担保机构出具的 投标担保函。 </w:t>
            </w:r>
          </w:p>
          <w:p>
            <w:pPr>
              <w:spacing w:line="360" w:lineRule="auto"/>
              <w:rPr>
                <w:rFonts w:ascii="宋体" w:hAnsi="宋体"/>
                <w:bCs/>
                <w:sz w:val="24"/>
                <w:szCs w:val="24"/>
              </w:rPr>
            </w:pPr>
            <w:r>
              <w:rPr>
                <w:rFonts w:ascii="宋体" w:hAnsi="宋体"/>
                <w:bCs/>
                <w:sz w:val="24"/>
                <w:szCs w:val="24"/>
              </w:rPr>
              <w:t>注：仅需提供序号①～③其中之一即可。</w:t>
            </w:r>
          </w:p>
          <w:p>
            <w:pPr>
              <w:spacing w:line="360" w:lineRule="auto"/>
              <w:rPr>
                <w:rFonts w:ascii="宋体" w:hAnsi="宋体"/>
                <w:b/>
                <w:bCs/>
                <w:sz w:val="24"/>
                <w:szCs w:val="24"/>
              </w:rPr>
            </w:pPr>
            <w:r>
              <w:rPr>
                <w:rFonts w:ascii="宋体" w:hAnsi="宋体"/>
                <w:b/>
                <w:bCs/>
                <w:sz w:val="24"/>
                <w:szCs w:val="24"/>
              </w:rPr>
              <w:t>三、依法缴纳税收相关材料参加本次政府采购项目</w:t>
            </w:r>
            <w:r>
              <w:rPr>
                <w:rFonts w:hint="eastAsia" w:ascii="宋体" w:hAnsi="宋体"/>
                <w:b/>
                <w:bCs/>
                <w:sz w:val="24"/>
                <w:szCs w:val="24"/>
              </w:rPr>
              <w:t>响应截止时间</w:t>
            </w:r>
            <w:r>
              <w:rPr>
                <w:rFonts w:ascii="宋体" w:hAnsi="宋体"/>
                <w:b/>
                <w:bCs/>
                <w:sz w:val="24"/>
                <w:szCs w:val="24"/>
              </w:rPr>
              <w:t>前一年内任意一个月缴纳税收凭据</w:t>
            </w:r>
          </w:p>
          <w:p>
            <w:pPr>
              <w:spacing w:line="360" w:lineRule="auto"/>
              <w:rPr>
                <w:rFonts w:ascii="宋体" w:hAnsi="宋体"/>
                <w:bCs/>
                <w:sz w:val="24"/>
                <w:szCs w:val="24"/>
              </w:rPr>
            </w:pPr>
            <w:r>
              <w:rPr>
                <w:rFonts w:ascii="宋体" w:hAnsi="宋体"/>
                <w:bCs/>
                <w:sz w:val="24"/>
                <w:szCs w:val="24"/>
              </w:rPr>
              <w:t xml:space="preserve">（依法免税的供应商，应提供相应文件证明依法免税） </w:t>
            </w:r>
          </w:p>
          <w:p>
            <w:pPr>
              <w:spacing w:line="360" w:lineRule="auto"/>
              <w:rPr>
                <w:rFonts w:ascii="宋体" w:hAnsi="宋体"/>
                <w:b/>
                <w:bCs/>
                <w:sz w:val="24"/>
                <w:szCs w:val="24"/>
              </w:rPr>
            </w:pPr>
            <w:r>
              <w:rPr>
                <w:rFonts w:ascii="宋体" w:hAnsi="宋体"/>
                <w:b/>
                <w:bCs/>
                <w:sz w:val="24"/>
                <w:szCs w:val="24"/>
              </w:rPr>
              <w:t xml:space="preserve">四、依法缴纳社会保障资金的证明材料 </w:t>
            </w:r>
          </w:p>
          <w:p>
            <w:pPr>
              <w:adjustRightInd w:val="0"/>
              <w:snapToGrid w:val="0"/>
              <w:spacing w:line="360" w:lineRule="auto"/>
              <w:ind w:right="-23" w:rightChars="-11"/>
              <w:jc w:val="left"/>
              <w:rPr>
                <w:rFonts w:ascii="宋体" w:hAnsi="宋体"/>
                <w:bCs/>
                <w:sz w:val="24"/>
                <w:szCs w:val="24"/>
              </w:rPr>
            </w:pPr>
            <w:r>
              <w:rPr>
                <w:rFonts w:hint="eastAsia" w:ascii="宋体" w:hAnsi="宋体"/>
                <w:bCs/>
                <w:sz w:val="24"/>
                <w:szCs w:val="24"/>
              </w:rPr>
              <w:t>参加本次政府采购项目响应截止时间前一年内任意一个月缴纳社会保险凭据。（依法不需要缴纳社会保障资金的</w:t>
            </w:r>
            <w:r>
              <w:rPr>
                <w:rFonts w:ascii="宋体" w:hAnsi="宋体"/>
                <w:bCs/>
                <w:sz w:val="24"/>
                <w:szCs w:val="24"/>
              </w:rPr>
              <w:t>供应商</w:t>
            </w:r>
            <w:r>
              <w:rPr>
                <w:rFonts w:hint="eastAsia" w:ascii="宋体" w:hAnsi="宋体"/>
                <w:bCs/>
                <w:sz w:val="24"/>
                <w:szCs w:val="24"/>
              </w:rPr>
              <w:t xml:space="preserve">，应提供相应文件证明依 法不需要缴纳社会保障资金） </w:t>
            </w:r>
          </w:p>
          <w:p>
            <w:pPr>
              <w:spacing w:line="360" w:lineRule="auto"/>
              <w:rPr>
                <w:rFonts w:ascii="宋体" w:hAnsi="宋体"/>
                <w:b/>
                <w:bCs/>
                <w:sz w:val="24"/>
                <w:szCs w:val="24"/>
              </w:rPr>
            </w:pPr>
            <w:r>
              <w:rPr>
                <w:rFonts w:ascii="宋体" w:hAnsi="宋体"/>
                <w:b/>
                <w:bCs/>
                <w:sz w:val="24"/>
                <w:szCs w:val="24"/>
              </w:rPr>
              <w:t xml:space="preserve">五、履行合同所必须的设备和专业技术能力的证明材料 </w:t>
            </w:r>
          </w:p>
          <w:p>
            <w:pPr>
              <w:spacing w:line="360" w:lineRule="auto"/>
              <w:rPr>
                <w:rFonts w:ascii="宋体" w:hAnsi="宋体"/>
                <w:bCs/>
                <w:sz w:val="24"/>
                <w:szCs w:val="24"/>
              </w:rPr>
            </w:pPr>
            <w:r>
              <w:rPr>
                <w:rFonts w:ascii="宋体" w:hAnsi="宋体"/>
                <w:bCs/>
                <w:sz w:val="24"/>
                <w:szCs w:val="24"/>
              </w:rPr>
              <w:t xml:space="preserve"> 1、相关设备的购置发票、专业技术人员职称证书、用工合同等；</w:t>
            </w:r>
          </w:p>
          <w:p>
            <w:pPr>
              <w:spacing w:line="360" w:lineRule="auto"/>
              <w:rPr>
                <w:rFonts w:ascii="宋体" w:hAnsi="宋体"/>
                <w:bCs/>
                <w:sz w:val="24"/>
                <w:szCs w:val="24"/>
              </w:rPr>
            </w:pPr>
            <w:r>
              <w:rPr>
                <w:rFonts w:ascii="宋体" w:hAnsi="宋体"/>
                <w:bCs/>
                <w:sz w:val="24"/>
                <w:szCs w:val="24"/>
              </w:rPr>
              <w:t xml:space="preserve"> 2、供应商具备履行合同所必须的设备和专业技术能力承诺函或声明（承诺函或声明格式自拟）。</w:t>
            </w:r>
          </w:p>
          <w:p>
            <w:pPr>
              <w:spacing w:line="360" w:lineRule="auto"/>
              <w:rPr>
                <w:rFonts w:ascii="宋体" w:hAnsi="宋体"/>
                <w:bCs/>
                <w:sz w:val="24"/>
                <w:szCs w:val="24"/>
              </w:rPr>
            </w:pPr>
            <w:r>
              <w:rPr>
                <w:rFonts w:ascii="宋体" w:hAnsi="宋体"/>
                <w:bCs/>
                <w:sz w:val="24"/>
                <w:szCs w:val="24"/>
              </w:rPr>
              <w:t xml:space="preserve"> 注：仅需提供序号1～2其中之一即可。 </w:t>
            </w:r>
          </w:p>
          <w:p>
            <w:pPr>
              <w:spacing w:line="360" w:lineRule="auto"/>
              <w:rPr>
                <w:rFonts w:ascii="宋体" w:hAnsi="宋体"/>
                <w:b/>
                <w:bCs/>
                <w:sz w:val="24"/>
                <w:szCs w:val="24"/>
              </w:rPr>
            </w:pPr>
            <w:r>
              <w:rPr>
                <w:rFonts w:ascii="宋体" w:hAnsi="宋体"/>
                <w:b/>
                <w:bCs/>
                <w:sz w:val="24"/>
                <w:szCs w:val="24"/>
              </w:rPr>
              <w:t xml:space="preserve">六、参加政府采购活动前3年内在经营活动中没有重大违法记录的声明 </w:t>
            </w:r>
          </w:p>
          <w:p>
            <w:pPr>
              <w:spacing w:line="360" w:lineRule="auto"/>
              <w:rPr>
                <w:rFonts w:ascii="宋体" w:hAnsi="宋体"/>
                <w:bCs/>
                <w:sz w:val="24"/>
                <w:szCs w:val="24"/>
              </w:rPr>
            </w:pPr>
            <w:r>
              <w:rPr>
                <w:rFonts w:ascii="宋体" w:hAnsi="宋体"/>
                <w:bCs/>
                <w:sz w:val="24"/>
                <w:szCs w:val="24"/>
              </w:rPr>
              <w:t>供应商“参加政府采购活动前3年内在经营活动中没有重大违法记录的书 面声明”。 重大违法记录，是指供应商因违法经营受到刑事处罚或者责 令停产停业、吊销许可证或者执照、较大数额罚款等行政处罚。</w:t>
            </w:r>
          </w:p>
          <w:p>
            <w:pPr>
              <w:spacing w:line="360" w:lineRule="auto"/>
              <w:rPr>
                <w:rFonts w:ascii="宋体" w:hAnsi="宋体"/>
                <w:bCs/>
                <w:sz w:val="24"/>
                <w:szCs w:val="24"/>
              </w:rPr>
            </w:pPr>
            <w:r>
              <w:rPr>
                <w:rFonts w:ascii="宋体" w:hAnsi="宋体"/>
                <w:b/>
                <w:bCs/>
                <w:sz w:val="24"/>
                <w:szCs w:val="24"/>
              </w:rPr>
              <w:t>七、未被列入“信用中国”</w:t>
            </w:r>
            <w:r>
              <w:rPr>
                <w:rFonts w:ascii="宋体" w:hAnsi="宋体"/>
                <w:bCs/>
                <w:sz w:val="24"/>
                <w:szCs w:val="24"/>
              </w:rPr>
              <w:t>网站(www.creditchina.gov.cn)失信被执行人、税收违法黑名单的供应商；“中国政府采购网” (www.ccgp.gov.cn) 政府采购严重违法失信行为记录名单的供应商； “中国社会组织政务服 务平台”网站（https://chinanpo.mca.gov.cn）严重违法失信社会组织 （联合体形式投标的，联合体成员存在不良信用记录，视同联合体存在 不良信用记录）。</w:t>
            </w:r>
          </w:p>
          <w:p>
            <w:pPr>
              <w:spacing w:line="360" w:lineRule="auto"/>
              <w:rPr>
                <w:rFonts w:ascii="宋体" w:hAnsi="宋体"/>
                <w:bCs/>
                <w:sz w:val="24"/>
                <w:szCs w:val="24"/>
              </w:rPr>
            </w:pPr>
            <w:r>
              <w:rPr>
                <w:rFonts w:ascii="宋体" w:hAnsi="宋体"/>
                <w:bCs/>
                <w:sz w:val="24"/>
                <w:szCs w:val="24"/>
              </w:rPr>
              <w:t xml:space="preserve"> 1、查询渠道：</w:t>
            </w:r>
          </w:p>
          <w:p>
            <w:pPr>
              <w:spacing w:line="360" w:lineRule="auto"/>
              <w:rPr>
                <w:rFonts w:ascii="宋体" w:hAnsi="宋体"/>
                <w:bCs/>
                <w:sz w:val="24"/>
                <w:szCs w:val="24"/>
              </w:rPr>
            </w:pPr>
            <w:r>
              <w:rPr>
                <w:rFonts w:ascii="宋体" w:hAnsi="宋体"/>
                <w:bCs/>
                <w:sz w:val="24"/>
                <w:szCs w:val="24"/>
              </w:rPr>
              <w:t>①“信用中国”网站（</w:t>
            </w:r>
            <w:r>
              <w:fldChar w:fldCharType="begin"/>
            </w:r>
            <w:r>
              <w:instrText xml:space="preserve">HYPERLINK "http://www.creditchina.gov.cn/" </w:instrText>
            </w:r>
            <w:r>
              <w:fldChar w:fldCharType="separate"/>
            </w:r>
            <w:r>
              <w:rPr>
                <w:rStyle w:val="35"/>
                <w:rFonts w:ascii="宋体" w:hAnsi="宋体"/>
                <w:bCs/>
                <w:color w:val="auto"/>
                <w:sz w:val="24"/>
                <w:szCs w:val="24"/>
              </w:rPr>
              <w:t>www.creditchina.gov.cn</w:t>
            </w:r>
            <w:r>
              <w:fldChar w:fldCharType="end"/>
            </w:r>
            <w:r>
              <w:rPr>
                <w:rFonts w:ascii="宋体" w:hAnsi="宋体"/>
                <w:bCs/>
                <w:sz w:val="24"/>
                <w:szCs w:val="24"/>
              </w:rPr>
              <w:t xml:space="preserve">） </w:t>
            </w:r>
          </w:p>
          <w:p>
            <w:pPr>
              <w:spacing w:line="360" w:lineRule="auto"/>
              <w:rPr>
                <w:rFonts w:ascii="宋体" w:hAnsi="宋体"/>
                <w:bCs/>
                <w:sz w:val="24"/>
                <w:szCs w:val="24"/>
              </w:rPr>
            </w:pPr>
            <w:r>
              <w:rPr>
                <w:rFonts w:ascii="宋体" w:hAnsi="宋体"/>
                <w:bCs/>
                <w:sz w:val="24"/>
                <w:szCs w:val="24"/>
              </w:rPr>
              <w:t>②“中国政府采购网”（</w:t>
            </w:r>
            <w:r>
              <w:fldChar w:fldCharType="begin"/>
            </w:r>
            <w:r>
              <w:instrText xml:space="preserve">HYPERLINK "http://www.ccgp.gov.cn/" </w:instrText>
            </w:r>
            <w:r>
              <w:fldChar w:fldCharType="separate"/>
            </w:r>
            <w:r>
              <w:rPr>
                <w:rStyle w:val="35"/>
                <w:rFonts w:ascii="宋体" w:hAnsi="宋体"/>
                <w:bCs/>
                <w:color w:val="auto"/>
                <w:sz w:val="24"/>
                <w:szCs w:val="24"/>
              </w:rPr>
              <w:t>www.ccgp.gov.cn</w:t>
            </w:r>
            <w:r>
              <w:fldChar w:fldCharType="end"/>
            </w:r>
            <w:r>
              <w:rPr>
                <w:rFonts w:ascii="宋体" w:hAnsi="宋体"/>
                <w:bCs/>
                <w:sz w:val="24"/>
                <w:szCs w:val="24"/>
              </w:rPr>
              <w:t>）</w:t>
            </w:r>
          </w:p>
          <w:p>
            <w:pPr>
              <w:spacing w:line="360" w:lineRule="auto"/>
              <w:rPr>
                <w:rFonts w:ascii="宋体" w:hAnsi="宋体"/>
                <w:bCs/>
                <w:sz w:val="24"/>
                <w:szCs w:val="24"/>
              </w:rPr>
            </w:pPr>
            <w:r>
              <w:rPr>
                <w:rFonts w:ascii="宋体" w:hAnsi="宋体"/>
                <w:bCs/>
                <w:sz w:val="24"/>
                <w:szCs w:val="24"/>
              </w:rPr>
              <w:t>③“中国社会组织政务服务平台”网站（https://chinanpo.mca.gov.cn） （仅查询社会组织）；</w:t>
            </w:r>
          </w:p>
          <w:p>
            <w:pPr>
              <w:spacing w:line="360" w:lineRule="auto"/>
              <w:rPr>
                <w:rFonts w:ascii="宋体" w:hAnsi="宋体"/>
                <w:bCs/>
                <w:sz w:val="24"/>
                <w:szCs w:val="24"/>
              </w:rPr>
            </w:pPr>
            <w:r>
              <w:rPr>
                <w:rFonts w:ascii="宋体" w:hAnsi="宋体"/>
                <w:bCs/>
                <w:sz w:val="24"/>
                <w:szCs w:val="24"/>
              </w:rPr>
              <w:t>2、截止时间：同</w:t>
            </w:r>
            <w:r>
              <w:rPr>
                <w:rFonts w:hint="eastAsia" w:ascii="宋体" w:hAnsi="宋体"/>
                <w:bCs/>
                <w:sz w:val="24"/>
                <w:szCs w:val="24"/>
              </w:rPr>
              <w:t>响应截止时间</w:t>
            </w:r>
            <w:r>
              <w:rPr>
                <w:rFonts w:ascii="宋体" w:hAnsi="宋体"/>
                <w:bCs/>
                <w:sz w:val="24"/>
                <w:szCs w:val="24"/>
              </w:rPr>
              <w:t xml:space="preserve">； </w:t>
            </w:r>
          </w:p>
          <w:p>
            <w:pPr>
              <w:spacing w:line="360" w:lineRule="auto"/>
              <w:rPr>
                <w:rFonts w:ascii="宋体" w:hAnsi="宋体"/>
                <w:bCs/>
                <w:sz w:val="24"/>
                <w:szCs w:val="24"/>
              </w:rPr>
            </w:pPr>
            <w:r>
              <w:rPr>
                <w:rFonts w:ascii="宋体" w:hAnsi="宋体"/>
                <w:bCs/>
                <w:sz w:val="24"/>
                <w:szCs w:val="24"/>
              </w:rPr>
              <w:t>3、信用信息的使用原则：经采购人认定的被列入失信被执行人、税收违法黑名单、政府采购严重违法失信行为记录名单的供应商、严重违法失信社会组织，将拒绝其参与本次政府采购活动。</w:t>
            </w:r>
          </w:p>
          <w:p>
            <w:pPr>
              <w:spacing w:line="360" w:lineRule="auto"/>
              <w:rPr>
                <w:rFonts w:ascii="宋体" w:hAnsi="宋体"/>
                <w:bCs/>
                <w:sz w:val="24"/>
                <w:szCs w:val="24"/>
              </w:rPr>
            </w:pPr>
            <w:r>
              <w:rPr>
                <w:rFonts w:hint="eastAsia" w:ascii="宋体" w:hAnsi="宋体"/>
                <w:b/>
                <w:bCs/>
                <w:sz w:val="24"/>
                <w:szCs w:val="24"/>
              </w:rPr>
              <w:t>八、</w:t>
            </w:r>
            <w:r>
              <w:rPr>
                <w:rFonts w:hint="eastAsia" w:ascii="宋体" w:hAnsi="宋体" w:cs="宋体"/>
                <w:b/>
                <w:sz w:val="24"/>
                <w:szCs w:val="24"/>
              </w:rPr>
              <w:t>供应商须具备的特殊资质</w:t>
            </w:r>
            <w:r>
              <w:rPr>
                <w:rFonts w:hint="eastAsia" w:ascii="宋体" w:hAnsi="宋体"/>
                <w:kern w:val="0"/>
                <w:sz w:val="24"/>
                <w:szCs w:val="24"/>
              </w:rPr>
              <w:t>：</w:t>
            </w:r>
            <w:r>
              <w:rPr>
                <w:rFonts w:hint="eastAsia" w:ascii="宋体" w:hAnsi="宋体"/>
                <w:bCs/>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25</w:t>
            </w:r>
          </w:p>
        </w:tc>
        <w:tc>
          <w:tcPr>
            <w:tcW w:w="1739"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Cs/>
                <w:sz w:val="24"/>
                <w:szCs w:val="24"/>
              </w:rPr>
            </w:pPr>
            <w:r>
              <w:rPr>
                <w:rFonts w:hint="eastAsia" w:ascii="宋体" w:hAnsi="宋体"/>
                <w:bCs/>
                <w:sz w:val="24"/>
                <w:szCs w:val="24"/>
              </w:rPr>
              <w:t>电子化采购模式</w:t>
            </w:r>
          </w:p>
        </w:tc>
        <w:tc>
          <w:tcPr>
            <w:tcW w:w="7095" w:type="dxa"/>
            <w:tcBorders>
              <w:top w:val="single" w:color="auto" w:sz="4" w:space="0"/>
              <w:left w:val="nil"/>
              <w:bottom w:val="single" w:color="auto" w:sz="4" w:space="0"/>
              <w:right w:val="single" w:color="auto" w:sz="4" w:space="0"/>
            </w:tcBorders>
            <w:vAlign w:val="center"/>
          </w:tcPr>
          <w:p>
            <w:pPr>
              <w:autoSpaceDE w:val="0"/>
              <w:autoSpaceDN w:val="0"/>
              <w:spacing w:line="360" w:lineRule="auto"/>
              <w:contextualSpacing/>
              <w:rPr>
                <w:rFonts w:ascii="宋体" w:hAnsi="宋体"/>
                <w:sz w:val="24"/>
                <w:szCs w:val="24"/>
              </w:rPr>
            </w:pPr>
            <w:r>
              <w:rPr>
                <w:rFonts w:hint="eastAsia" w:ascii="宋体" w:hAnsi="宋体" w:cs="宋体"/>
                <w:b/>
                <w:kern w:val="0"/>
                <w:sz w:val="24"/>
                <w:szCs w:val="24"/>
                <w:lang w:val="zh-CN"/>
              </w:rPr>
              <w:fldChar w:fldCharType="begin"/>
            </w:r>
            <w:r>
              <w:rPr>
                <w:rFonts w:hint="eastAsia" w:ascii="宋体" w:hAnsi="宋体" w:cs="宋体"/>
                <w:b/>
                <w:kern w:val="0"/>
                <w:sz w:val="24"/>
                <w:szCs w:val="24"/>
                <w:lang w:val="zh-CN"/>
              </w:rPr>
              <w:instrText xml:space="preserve"> eq \o\ac(</w:instrText>
            </w:r>
            <w:r>
              <w:rPr>
                <w:rFonts w:hint="eastAsia" w:ascii="宋体" w:hAnsi="宋体" w:cs="宋体"/>
                <w:b/>
                <w:kern w:val="0"/>
                <w:position w:val="-4"/>
                <w:sz w:val="36"/>
                <w:szCs w:val="24"/>
                <w:lang w:val="zh-CN"/>
              </w:rPr>
              <w:instrText xml:space="preserve">□</w:instrText>
            </w:r>
            <w:r>
              <w:rPr>
                <w:rFonts w:hint="eastAsia" w:ascii="宋体" w:hAnsi="宋体" w:cs="宋体"/>
                <w:b/>
                <w:kern w:val="0"/>
                <w:sz w:val="24"/>
                <w:szCs w:val="24"/>
                <w:lang w:val="zh-CN"/>
              </w:rPr>
              <w:instrText xml:space="preserve">,√)</w:instrText>
            </w:r>
            <w:r>
              <w:rPr>
                <w:rFonts w:hint="eastAsia" w:ascii="宋体" w:hAnsi="宋体" w:cs="宋体"/>
                <w:b/>
                <w:kern w:val="0"/>
                <w:sz w:val="24"/>
                <w:szCs w:val="24"/>
                <w:lang w:val="zh-CN"/>
              </w:rPr>
              <w:fldChar w:fldCharType="end"/>
            </w:r>
            <w:r>
              <w:rPr>
                <w:rFonts w:hint="eastAsia" w:ascii="宋体" w:hAnsi="宋体"/>
                <w:bCs/>
                <w:sz w:val="24"/>
                <w:szCs w:val="24"/>
              </w:rPr>
              <w:t>是。供应商投标时须成功上传、解密电子</w:t>
            </w:r>
            <w:r>
              <w:rPr>
                <w:rFonts w:ascii="宋体" w:hAnsi="宋体"/>
                <w:bCs/>
                <w:sz w:val="24"/>
                <w:szCs w:val="24"/>
              </w:rPr>
              <w:t>响应文件</w:t>
            </w:r>
            <w:r>
              <w:rPr>
                <w:rFonts w:hint="eastAsia" w:ascii="宋体" w:hAnsi="宋体"/>
                <w:bCs/>
                <w:sz w:val="24"/>
                <w:szCs w:val="24"/>
              </w:rPr>
              <w:t>。</w:t>
            </w:r>
            <w:r>
              <w:rPr>
                <w:rFonts w:ascii="宋体" w:hAnsi="宋体"/>
                <w:bCs/>
                <w:sz w:val="24"/>
                <w:szCs w:val="24"/>
              </w:rPr>
              <w:t>供应商</w:t>
            </w:r>
            <w:r>
              <w:rPr>
                <w:rFonts w:hint="eastAsia" w:ascii="宋体" w:hAnsi="宋体"/>
                <w:bCs/>
                <w:sz w:val="24"/>
                <w:szCs w:val="24"/>
              </w:rPr>
              <w:t>资质、业绩、荣誉及相关人员证明材料等资料原件不再提交（本磋商文件第六章另有要求提供原件的除外）。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26</w:t>
            </w:r>
          </w:p>
        </w:tc>
        <w:tc>
          <w:tcPr>
            <w:tcW w:w="1739"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宋体"/>
                <w:b/>
                <w:bCs/>
                <w:sz w:val="24"/>
                <w:szCs w:val="24"/>
              </w:rPr>
            </w:pPr>
            <w:r>
              <w:rPr>
                <w:rFonts w:hint="eastAsia" w:ascii="宋体" w:hAnsi="宋体" w:cs="宋体"/>
                <w:sz w:val="24"/>
                <w:szCs w:val="24"/>
              </w:rPr>
              <w:t>中小企业有关政策</w:t>
            </w:r>
          </w:p>
        </w:tc>
        <w:tc>
          <w:tcPr>
            <w:tcW w:w="7095"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rPr>
                <w:rFonts w:hint="eastAsia" w:ascii="宋体" w:hAnsi="宋体" w:cs="宋体"/>
                <w:sz w:val="24"/>
                <w:szCs w:val="24"/>
              </w:rPr>
            </w:pPr>
            <w:r>
              <w:rPr>
                <w:rFonts w:hint="eastAsia" w:ascii="宋体" w:hAnsi="宋体" w:cs="宋体"/>
                <w:b/>
                <w:bCs/>
                <w:color w:val="000000" w:themeColor="text1"/>
                <w:kern w:val="0"/>
                <w:sz w:val="24"/>
                <w:szCs w:val="24"/>
                <w14:textFill>
                  <w14:solidFill>
                    <w14:schemeClr w14:val="tx1"/>
                  </w14:solidFill>
                </w14:textFill>
              </w:rPr>
              <w:t>1</w:t>
            </w:r>
            <w:r>
              <w:rPr>
                <w:rFonts w:hint="eastAsia" w:ascii="宋体" w:hAnsi="宋体" w:cs="宋体"/>
                <w:sz w:val="24"/>
                <w:szCs w:val="24"/>
              </w:rPr>
              <w:t>、本项目为专门面向中小企业采购，故不再执行价格评审优惠的扶持政策，评审时不再对价格进行扣除。</w:t>
            </w:r>
          </w:p>
          <w:p>
            <w:pPr>
              <w:autoSpaceDE w:val="0"/>
              <w:autoSpaceDN w:val="0"/>
              <w:adjustRightInd w:val="0"/>
              <w:snapToGrid w:val="0"/>
              <w:spacing w:line="360" w:lineRule="auto"/>
              <w:rPr>
                <w:rFonts w:ascii="宋体" w:hAnsi="宋体" w:cs="宋体"/>
                <w:sz w:val="24"/>
                <w:szCs w:val="24"/>
              </w:rPr>
            </w:pPr>
            <w:r>
              <w:rPr>
                <w:rFonts w:hint="eastAsia" w:ascii="宋体" w:hAnsi="宋体" w:cs="宋体"/>
                <w:sz w:val="24"/>
                <w:szCs w:val="24"/>
              </w:rPr>
              <w:t xml:space="preserve">2、根据工信部等部委发布的《关于印发中小企业划型标准规定的通知》 （工信部联企业〔2011〕300号），按照本次采购标的所属行业的划型标 准，符合条件的中小企业应按照采购文件格式要求提供《中小企业声明 函》，否则不得享受相关中小企业扶持政策。 </w:t>
            </w:r>
          </w:p>
          <w:p>
            <w:pPr>
              <w:autoSpaceDE w:val="0"/>
              <w:autoSpaceDN w:val="0"/>
              <w:adjustRightInd w:val="0"/>
              <w:snapToGrid w:val="0"/>
              <w:spacing w:line="360" w:lineRule="auto"/>
              <w:rPr>
                <w:rFonts w:hint="eastAsia" w:ascii="宋体" w:hAnsi="宋体" w:cs="宋体"/>
                <w:sz w:val="24"/>
                <w:szCs w:val="24"/>
              </w:rPr>
            </w:pPr>
            <w:r>
              <w:rPr>
                <w:rFonts w:hint="eastAsia" w:ascii="宋体" w:hAnsi="宋体" w:cs="宋体"/>
                <w:sz w:val="24"/>
                <w:szCs w:val="24"/>
              </w:rPr>
              <w:t>3、本次采购标的对应的中小企业划分标准所属行业：制造业。</w:t>
            </w:r>
          </w:p>
          <w:p>
            <w:pPr>
              <w:autoSpaceDE w:val="0"/>
              <w:autoSpaceDN w:val="0"/>
              <w:adjustRightInd w:val="0"/>
              <w:snapToGrid w:val="0"/>
              <w:spacing w:line="360" w:lineRule="auto"/>
              <w:rPr>
                <w:rFonts w:ascii="宋体" w:hAnsi="宋体" w:cs="宋体"/>
                <w:sz w:val="24"/>
                <w:szCs w:val="24"/>
              </w:rPr>
            </w:pPr>
            <w:r>
              <w:rPr>
                <w:rFonts w:hint="eastAsia" w:ascii="宋体" w:hAnsi="宋体" w:cs="宋体"/>
                <w:sz w:val="24"/>
                <w:szCs w:val="24"/>
              </w:rPr>
              <w:t>4、以联合体形式参加政府采购活动，联合体各方均为中小企业的，联合 体视同中小企业。其中，联合体各方均为小微企业的，联合体视同小微企业。</w:t>
            </w:r>
          </w:p>
          <w:p>
            <w:pPr>
              <w:autoSpaceDE w:val="0"/>
              <w:autoSpaceDN w:val="0"/>
              <w:adjustRightInd w:val="0"/>
              <w:snapToGrid w:val="0"/>
              <w:spacing w:line="360" w:lineRule="auto"/>
              <w:rPr>
                <w:rFonts w:ascii="宋体" w:hAnsi="宋体" w:cs="宋体"/>
                <w:sz w:val="24"/>
                <w:szCs w:val="24"/>
              </w:rPr>
            </w:pPr>
            <w:r>
              <w:rPr>
                <w:rFonts w:hint="eastAsia" w:ascii="宋体" w:hAnsi="宋体" w:cs="宋体"/>
                <w:sz w:val="24"/>
                <w:szCs w:val="24"/>
                <w:lang w:val="en-US" w:eastAsia="zh-CN"/>
              </w:rPr>
              <w:t>5</w:t>
            </w:r>
            <w:r>
              <w:rPr>
                <w:rFonts w:hint="eastAsia" w:ascii="宋体" w:hAnsi="宋体" w:cs="宋体"/>
                <w:sz w:val="24"/>
                <w:szCs w:val="24"/>
              </w:rPr>
              <w:t>、符合享受政府采购支持政策的残疾人福利性单位条件且提供《残疾人 福利性单位声明函》的，视同为小型和微型企业。</w:t>
            </w:r>
          </w:p>
          <w:p>
            <w:pPr>
              <w:autoSpaceDE w:val="0"/>
              <w:autoSpaceDN w:val="0"/>
              <w:adjustRightInd w:val="0"/>
              <w:snapToGrid w:val="0"/>
              <w:spacing w:line="360" w:lineRule="auto"/>
              <w:rPr>
                <w:rFonts w:ascii="宋体" w:hAnsi="宋体" w:cs="宋体"/>
                <w:sz w:val="24"/>
                <w:szCs w:val="24"/>
              </w:rPr>
            </w:pPr>
            <w:r>
              <w:rPr>
                <w:rFonts w:hint="eastAsia" w:ascii="宋体" w:hAnsi="宋体" w:cs="宋体"/>
                <w:sz w:val="24"/>
                <w:szCs w:val="24"/>
              </w:rPr>
              <w:t>享受政府采购支持政策的残疾人福利性单位应当同时满足以下条件：</w:t>
            </w:r>
          </w:p>
          <w:p>
            <w:pPr>
              <w:autoSpaceDE w:val="0"/>
              <w:autoSpaceDN w:val="0"/>
              <w:adjustRightInd w:val="0"/>
              <w:snapToGrid w:val="0"/>
              <w:spacing w:line="360" w:lineRule="auto"/>
              <w:rPr>
                <w:rFonts w:ascii="宋体" w:hAnsi="宋体" w:cs="宋体"/>
                <w:sz w:val="24"/>
                <w:szCs w:val="24"/>
              </w:rPr>
            </w:pPr>
            <w:r>
              <w:rPr>
                <w:rFonts w:hint="eastAsia" w:ascii="宋体" w:hAnsi="宋体" w:cs="宋体"/>
                <w:sz w:val="24"/>
                <w:szCs w:val="24"/>
              </w:rPr>
              <w:t>（一）安置的残疾人占本单位在职职工人数的比例不低于 25%（含 25%），并且安置的残疾人人数不少于 10 人（含 10 人）；</w:t>
            </w:r>
          </w:p>
          <w:p>
            <w:pPr>
              <w:autoSpaceDE w:val="0"/>
              <w:autoSpaceDN w:val="0"/>
              <w:adjustRightInd w:val="0"/>
              <w:snapToGrid w:val="0"/>
              <w:spacing w:line="360" w:lineRule="auto"/>
              <w:rPr>
                <w:rFonts w:ascii="宋体" w:hAnsi="宋体" w:cs="宋体"/>
                <w:sz w:val="24"/>
                <w:szCs w:val="24"/>
              </w:rPr>
            </w:pPr>
            <w:r>
              <w:rPr>
                <w:rFonts w:hint="eastAsia" w:ascii="宋体" w:hAnsi="宋体" w:cs="宋体"/>
                <w:sz w:val="24"/>
                <w:szCs w:val="24"/>
              </w:rPr>
              <w:t>（二）依法与安置的每位残疾人签订了一年以上（含一年）的劳动合同或服务协议；</w:t>
            </w:r>
          </w:p>
          <w:p>
            <w:pPr>
              <w:autoSpaceDE w:val="0"/>
              <w:autoSpaceDN w:val="0"/>
              <w:adjustRightInd w:val="0"/>
              <w:snapToGrid w:val="0"/>
              <w:spacing w:line="360" w:lineRule="auto"/>
              <w:rPr>
                <w:rFonts w:ascii="宋体" w:hAnsi="宋体" w:cs="宋体"/>
                <w:sz w:val="24"/>
                <w:szCs w:val="24"/>
              </w:rPr>
            </w:pPr>
            <w:r>
              <w:rPr>
                <w:rFonts w:hint="eastAsia" w:ascii="宋体" w:hAnsi="宋体" w:cs="宋体"/>
                <w:sz w:val="24"/>
                <w:szCs w:val="24"/>
              </w:rPr>
              <w:t>（三）为安置的每位残疾人按月足额缴纳了基本养老保险、基本医疗保险、失业保险、工伤保险和生育保险等社会保险费；</w:t>
            </w:r>
          </w:p>
          <w:p>
            <w:pPr>
              <w:autoSpaceDE w:val="0"/>
              <w:autoSpaceDN w:val="0"/>
              <w:adjustRightInd w:val="0"/>
              <w:snapToGrid w:val="0"/>
              <w:spacing w:line="360" w:lineRule="auto"/>
              <w:rPr>
                <w:rFonts w:ascii="宋体" w:hAnsi="宋体" w:cs="宋体"/>
                <w:sz w:val="24"/>
                <w:szCs w:val="24"/>
              </w:rPr>
            </w:pPr>
            <w:r>
              <w:rPr>
                <w:rFonts w:hint="eastAsia" w:ascii="宋体" w:hAnsi="宋体" w:cs="宋体"/>
                <w:sz w:val="24"/>
                <w:szCs w:val="24"/>
              </w:rPr>
              <w:t>（四）通过银行等金融机构向安置的每位残疾人，按月支付了不低于单位所在区县适用的经省级人民政府批准的月最低工资标准的工资；</w:t>
            </w:r>
          </w:p>
          <w:p>
            <w:pPr>
              <w:autoSpaceDE w:val="0"/>
              <w:autoSpaceDN w:val="0"/>
              <w:adjustRightInd w:val="0"/>
              <w:snapToGrid w:val="0"/>
              <w:spacing w:line="360" w:lineRule="auto"/>
              <w:rPr>
                <w:rFonts w:ascii="宋体" w:hAnsi="宋体" w:cs="宋体"/>
                <w:sz w:val="24"/>
                <w:szCs w:val="24"/>
              </w:rPr>
            </w:pPr>
            <w:r>
              <w:rPr>
                <w:rFonts w:hint="eastAsia" w:ascii="宋体" w:hAnsi="宋体" w:cs="宋体"/>
                <w:sz w:val="24"/>
                <w:szCs w:val="24"/>
              </w:rPr>
              <w:t>（五）提供本单位制造的货物、承担的工程或者服务（以下简称产品），或者提供其他残疾人福利性单位制造的货物（不包括使用非残疾人福利性单位注册商标的货物）。</w:t>
            </w:r>
          </w:p>
          <w:p>
            <w:pPr>
              <w:autoSpaceDE w:val="0"/>
              <w:autoSpaceDN w:val="0"/>
              <w:adjustRightInd w:val="0"/>
              <w:snapToGrid w:val="0"/>
              <w:spacing w:line="360" w:lineRule="auto"/>
              <w:rPr>
                <w:rFonts w:ascii="宋体" w:hAnsi="宋体" w:cs="宋体"/>
                <w:sz w:val="24"/>
                <w:szCs w:val="24"/>
              </w:rPr>
            </w:pPr>
            <w:r>
              <w:rPr>
                <w:rFonts w:hint="eastAsia" w:ascii="宋体" w:hAnsi="宋体" w:cs="宋体"/>
                <w:sz w:val="24"/>
                <w:szCs w:val="24"/>
              </w:rPr>
              <w:t>前款所称残疾人是指法定劳动年龄内，持有《中华人民共和国残疾人证》或者《中华人民共和国残疾军人证（1 至 8 级）》的自然人，包括具有劳动条件和劳动意愿的精神残疾人。在职职工人数是指与残疾人福利性单位建立劳动关系并依法签订劳动合同或者服务协议的雇员人数。</w:t>
            </w:r>
          </w:p>
          <w:p>
            <w:pPr>
              <w:autoSpaceDE w:val="0"/>
              <w:autoSpaceDN w:val="0"/>
              <w:adjustRightInd w:val="0"/>
              <w:snapToGrid w:val="0"/>
              <w:spacing w:line="360" w:lineRule="auto"/>
              <w:rPr>
                <w:rFonts w:ascii="宋体" w:hAnsi="宋体" w:cs="宋体"/>
                <w:sz w:val="24"/>
                <w:szCs w:val="24"/>
              </w:rPr>
            </w:pPr>
            <w:r>
              <w:rPr>
                <w:rFonts w:hint="eastAsia" w:ascii="宋体" w:hAnsi="宋体" w:cs="宋体"/>
                <w:sz w:val="24"/>
                <w:szCs w:val="24"/>
              </w:rPr>
              <w:t>7、小型和微型企业不包括民办非企业单位。</w:t>
            </w:r>
          </w:p>
          <w:p>
            <w:pPr>
              <w:autoSpaceDE w:val="0"/>
              <w:autoSpaceDN w:val="0"/>
              <w:adjustRightInd w:val="0"/>
              <w:snapToGrid w:val="0"/>
              <w:spacing w:line="360" w:lineRule="auto"/>
              <w:rPr>
                <w:rFonts w:ascii="宋体" w:hAnsi="宋体" w:cs="宋体"/>
                <w:sz w:val="24"/>
                <w:szCs w:val="24"/>
              </w:rPr>
            </w:pPr>
            <w:r>
              <w:rPr>
                <w:rFonts w:hint="eastAsia" w:ascii="宋体" w:hAnsi="宋体" w:cs="宋体"/>
                <w:sz w:val="24"/>
                <w:szCs w:val="24"/>
              </w:rPr>
              <w:t>8、符合中小企业划分标准的个体工商户，在政府采购活动中视同中小企业。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27</w:t>
            </w:r>
          </w:p>
        </w:tc>
        <w:tc>
          <w:tcPr>
            <w:tcW w:w="1739"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宋体"/>
                <w:b/>
                <w:bCs/>
                <w:sz w:val="24"/>
                <w:szCs w:val="24"/>
              </w:rPr>
            </w:pPr>
            <w:r>
              <w:rPr>
                <w:rFonts w:hint="eastAsia" w:ascii="宋体" w:hAnsi="宋体" w:cs="宋体"/>
                <w:sz w:val="24"/>
                <w:szCs w:val="24"/>
              </w:rPr>
              <w:t>节能环保要求</w:t>
            </w:r>
          </w:p>
        </w:tc>
        <w:tc>
          <w:tcPr>
            <w:tcW w:w="7095"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rPr>
                <w:rFonts w:ascii="宋体" w:hAnsi="宋体" w:cs="宋体"/>
                <w:b/>
                <w:sz w:val="24"/>
                <w:szCs w:val="24"/>
              </w:rPr>
            </w:pPr>
            <w:r>
              <w:rPr>
                <w:sz w:val="24"/>
                <w:szCs w:val="24"/>
              </w:rPr>
              <w:t>执行《财政部发展改革委生态环境部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属于政府强制采购产品的，须提供国家确定的认证机构出具的、处于有效期之内的节能产品认证证书，否则</w:t>
            </w:r>
            <w:r>
              <w:rPr>
                <w:rFonts w:hint="eastAsia"/>
                <w:sz w:val="24"/>
                <w:szCs w:val="24"/>
              </w:rPr>
              <w:t>响应</w:t>
            </w:r>
            <w:r>
              <w:rPr>
                <w:sz w:val="24"/>
                <w:szCs w:val="24"/>
              </w:rPr>
              <w:t>无效；属于政府优先采购产品的，须提供国家确定的认证机构出具的、处于有效期之内的节能产品、环境标志产品认证证书，否则不予认定。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28</w:t>
            </w:r>
          </w:p>
        </w:tc>
        <w:tc>
          <w:tcPr>
            <w:tcW w:w="1739"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宋体"/>
                <w:bCs/>
                <w:sz w:val="24"/>
                <w:szCs w:val="24"/>
                <w:lang w:val="zh-CN"/>
              </w:rPr>
            </w:pPr>
            <w:r>
              <w:rPr>
                <w:rFonts w:hint="eastAsia" w:ascii="宋体" w:hAnsi="宋体" w:cs="宋体"/>
                <w:bCs/>
                <w:sz w:val="24"/>
                <w:szCs w:val="24"/>
                <w:lang w:val="zh-CN"/>
              </w:rPr>
              <w:t>最后报价</w:t>
            </w:r>
          </w:p>
        </w:tc>
        <w:tc>
          <w:tcPr>
            <w:tcW w:w="7095"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contextualSpacing/>
              <w:rPr>
                <w:rFonts w:ascii="ˎ̥" w:hAnsi="ˎ̥"/>
                <w:sz w:val="24"/>
                <w:szCs w:val="24"/>
              </w:rPr>
            </w:pPr>
            <w:r>
              <w:rPr>
                <w:rFonts w:hint="eastAsia" w:ascii="宋体" w:hAnsi="宋体"/>
                <w:sz w:val="24"/>
                <w:szCs w:val="24"/>
              </w:rPr>
              <w:t>根据磋商小组要求，供应商须使用</w:t>
            </w:r>
            <w:r>
              <w:rPr>
                <w:rFonts w:ascii="ˎ̥" w:hAnsi="ˎ̥"/>
                <w:sz w:val="24"/>
                <w:szCs w:val="24"/>
              </w:rPr>
              <w:t>CA</w:t>
            </w:r>
            <w:r>
              <w:rPr>
                <w:rFonts w:ascii="宋体" w:hAnsi="宋体"/>
                <w:sz w:val="24"/>
                <w:szCs w:val="24"/>
              </w:rPr>
              <w:t>数字证书</w:t>
            </w:r>
            <w:r>
              <w:rPr>
                <w:rFonts w:hint="eastAsia" w:ascii="宋体" w:hAnsi="宋体"/>
                <w:sz w:val="24"/>
                <w:szCs w:val="24"/>
              </w:rPr>
              <w:t>登录《全国公共资源交易平台</w:t>
            </w:r>
            <w:r>
              <w:rPr>
                <w:rFonts w:hint="eastAsia"/>
                <w:sz w:val="24"/>
                <w:szCs w:val="24"/>
              </w:rPr>
              <w:t>(</w:t>
            </w:r>
            <w:r>
              <w:rPr>
                <w:rFonts w:hint="eastAsia" w:ascii="宋体" w:hAnsi="宋体"/>
                <w:sz w:val="24"/>
                <w:szCs w:val="24"/>
              </w:rPr>
              <w:t>河南省</w:t>
            </w:r>
            <w:r>
              <w:rPr>
                <w:rFonts w:hint="eastAsia" w:ascii="MS Mincho" w:hAnsi="MS Mincho" w:eastAsia="MS Mincho"/>
                <w:sz w:val="24"/>
                <w:szCs w:val="24"/>
              </w:rPr>
              <w:t>▪</w:t>
            </w:r>
            <w:r>
              <w:rPr>
                <w:rFonts w:hint="eastAsia" w:ascii="宋体" w:hAnsi="宋体"/>
                <w:sz w:val="24"/>
                <w:szCs w:val="24"/>
              </w:rPr>
              <w:t>许昌市</w:t>
            </w:r>
            <w:r>
              <w:rPr>
                <w:rFonts w:hint="eastAsia"/>
                <w:sz w:val="24"/>
                <w:szCs w:val="24"/>
              </w:rPr>
              <w:t>)</w:t>
            </w:r>
            <w:r>
              <w:rPr>
                <w:rFonts w:hint="eastAsia" w:ascii="宋体" w:hAnsi="宋体"/>
                <w:sz w:val="24"/>
                <w:szCs w:val="24"/>
              </w:rPr>
              <w:t>》公共资源交易系统（</w:t>
            </w:r>
            <w:r>
              <w:rPr>
                <w:sz w:val="24"/>
                <w:szCs w:val="24"/>
              </w:rPr>
              <w:t>http://ggzy.xuchang.gov.cn:8088/ggzy/</w:t>
            </w:r>
            <w:r>
              <w:rPr>
                <w:rFonts w:hint="eastAsia" w:ascii="宋体" w:hAnsi="宋体"/>
                <w:sz w:val="24"/>
                <w:szCs w:val="24"/>
              </w:rPr>
              <w:t>）进行最后报价，最后报价应包括：总报价。</w:t>
            </w:r>
          </w:p>
          <w:p>
            <w:pPr>
              <w:autoSpaceDE w:val="0"/>
              <w:autoSpaceDN w:val="0"/>
              <w:adjustRightInd w:val="0"/>
              <w:spacing w:line="360" w:lineRule="auto"/>
              <w:contextualSpacing/>
              <w:rPr>
                <w:rFonts w:ascii="宋体" w:hAnsi="宋体" w:cs="宋体"/>
                <w:sz w:val="24"/>
                <w:szCs w:val="24"/>
                <w:lang w:val="zh-CN"/>
              </w:rPr>
            </w:pPr>
            <w:r>
              <w:rPr>
                <w:rFonts w:hint="eastAsia" w:ascii="宋体" w:hAnsi="宋体"/>
                <w:sz w:val="24"/>
                <w:szCs w:val="24"/>
              </w:rPr>
              <w:t>注：磋商小组要求供应商提交最后报价时，在磋商小组规定时间内，供应商未提交最后报价则以其初次提交响应文件报价为最后报价。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sz w:val="24"/>
                <w:szCs w:val="24"/>
              </w:rPr>
            </w:pPr>
            <w:r>
              <w:rPr>
                <w:rFonts w:hint="eastAsia" w:ascii="宋体" w:hAnsi="宋体"/>
                <w:sz w:val="24"/>
                <w:szCs w:val="24"/>
              </w:rPr>
              <w:t>29</w:t>
            </w:r>
          </w:p>
        </w:tc>
        <w:tc>
          <w:tcPr>
            <w:tcW w:w="1739"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contextualSpacing/>
              <w:jc w:val="center"/>
              <w:rPr>
                <w:rFonts w:ascii="宋体" w:hAnsi="宋体" w:cs="宋体"/>
                <w:bCs/>
                <w:sz w:val="24"/>
                <w:szCs w:val="24"/>
                <w:lang w:val="zh-CN"/>
              </w:rPr>
            </w:pPr>
            <w:r>
              <w:rPr>
                <w:rFonts w:hint="eastAsia" w:ascii="宋体" w:hAnsi="宋体"/>
                <w:sz w:val="24"/>
                <w:szCs w:val="24"/>
              </w:rPr>
              <w:t>解释权</w:t>
            </w:r>
          </w:p>
        </w:tc>
        <w:tc>
          <w:tcPr>
            <w:tcW w:w="7095"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contextualSpacing/>
              <w:rPr>
                <w:rFonts w:ascii="宋体" w:hAnsi="宋体"/>
                <w:sz w:val="24"/>
                <w:szCs w:val="24"/>
              </w:rPr>
            </w:pPr>
            <w:r>
              <w:rPr>
                <w:rFonts w:hint="eastAsia" w:ascii="宋体" w:hAnsi="宋体"/>
                <w:sz w:val="24"/>
                <w:szCs w:val="24"/>
              </w:rPr>
              <w:t>构成本磋商文件的各个组成文件应互为解释，互为说明；</w:t>
            </w:r>
          </w:p>
          <w:p>
            <w:pPr>
              <w:autoSpaceDE w:val="0"/>
              <w:autoSpaceDN w:val="0"/>
              <w:adjustRightInd w:val="0"/>
              <w:spacing w:line="360" w:lineRule="auto"/>
              <w:contextualSpacing/>
              <w:rPr>
                <w:rFonts w:ascii="宋体" w:hAnsi="宋体"/>
                <w:sz w:val="24"/>
                <w:szCs w:val="24"/>
              </w:rPr>
            </w:pPr>
            <w:r>
              <w:rPr>
                <w:rFonts w:hint="eastAsia" w:ascii="宋体" w:hAnsi="宋体"/>
                <w:sz w:val="24"/>
                <w:szCs w:val="24"/>
              </w:rPr>
              <w:t>1、除磋商文件中有特别规定外，仅适用于磋商阶段的规定，按磋商公告（磋商邀请书）、供应商须知、评标办法的先后顺序解释；</w:t>
            </w:r>
          </w:p>
          <w:p>
            <w:pPr>
              <w:autoSpaceDE w:val="0"/>
              <w:autoSpaceDN w:val="0"/>
              <w:adjustRightInd w:val="0"/>
              <w:spacing w:line="360" w:lineRule="auto"/>
              <w:contextualSpacing/>
              <w:rPr>
                <w:rFonts w:ascii="宋体" w:hAnsi="宋体"/>
                <w:sz w:val="24"/>
                <w:szCs w:val="24"/>
              </w:rPr>
            </w:pPr>
            <w:r>
              <w:rPr>
                <w:rFonts w:hint="eastAsia" w:ascii="宋体" w:hAnsi="宋体"/>
                <w:sz w:val="24"/>
                <w:szCs w:val="24"/>
              </w:rPr>
              <w:t>2、同一组成文件中就同一事项的规定或约定不一致的，以编排顺序在后者为准；</w:t>
            </w:r>
          </w:p>
          <w:p>
            <w:pPr>
              <w:autoSpaceDE w:val="0"/>
              <w:autoSpaceDN w:val="0"/>
              <w:adjustRightInd w:val="0"/>
              <w:spacing w:line="360" w:lineRule="auto"/>
              <w:contextualSpacing/>
              <w:rPr>
                <w:rFonts w:ascii="宋体" w:hAnsi="宋体"/>
                <w:sz w:val="24"/>
                <w:szCs w:val="24"/>
              </w:rPr>
            </w:pPr>
            <w:r>
              <w:rPr>
                <w:rFonts w:hint="eastAsia" w:ascii="宋体" w:hAnsi="宋体"/>
                <w:sz w:val="24"/>
                <w:szCs w:val="24"/>
              </w:rPr>
              <w:t>3、同一组成文件不同版本之间有不一致的，以形成时间在后者为准；</w:t>
            </w:r>
          </w:p>
          <w:p>
            <w:pPr>
              <w:autoSpaceDE w:val="0"/>
              <w:autoSpaceDN w:val="0"/>
              <w:adjustRightInd w:val="0"/>
              <w:spacing w:line="360" w:lineRule="auto"/>
              <w:contextualSpacing/>
              <w:rPr>
                <w:rFonts w:ascii="宋体" w:hAnsi="宋体"/>
                <w:sz w:val="24"/>
                <w:szCs w:val="24"/>
              </w:rPr>
            </w:pPr>
            <w:r>
              <w:rPr>
                <w:rFonts w:hint="eastAsia" w:ascii="宋体" w:hAnsi="宋体"/>
                <w:sz w:val="24"/>
                <w:szCs w:val="24"/>
              </w:rPr>
              <w:t>按本款前述规定仍不能形成结论的，由采购人负责解释。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sz w:val="24"/>
                <w:szCs w:val="24"/>
              </w:rPr>
            </w:pPr>
            <w:r>
              <w:rPr>
                <w:rFonts w:hint="eastAsia" w:ascii="宋体" w:hAnsi="宋体"/>
                <w:sz w:val="24"/>
                <w:szCs w:val="24"/>
              </w:rPr>
              <w:t>30</w:t>
            </w:r>
          </w:p>
        </w:tc>
        <w:tc>
          <w:tcPr>
            <w:tcW w:w="1739"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contextualSpacing/>
              <w:jc w:val="center"/>
              <w:rPr>
                <w:rFonts w:ascii="宋体" w:hAnsi="宋体" w:cs="宋体"/>
                <w:bCs/>
                <w:sz w:val="24"/>
                <w:szCs w:val="24"/>
                <w:lang w:val="zh-CN"/>
              </w:rPr>
            </w:pPr>
            <w:r>
              <w:rPr>
                <w:rFonts w:hint="eastAsia" w:ascii="宋体" w:hAnsi="宋体"/>
                <w:sz w:val="24"/>
                <w:szCs w:val="24"/>
              </w:rPr>
              <w:t>知识产权</w:t>
            </w:r>
          </w:p>
        </w:tc>
        <w:tc>
          <w:tcPr>
            <w:tcW w:w="7095"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contextualSpacing/>
              <w:rPr>
                <w:rFonts w:ascii="宋体" w:hAnsi="宋体"/>
                <w:sz w:val="24"/>
                <w:szCs w:val="24"/>
              </w:rPr>
            </w:pPr>
            <w:r>
              <w:rPr>
                <w:rFonts w:hint="eastAsia" w:ascii="宋体" w:hAnsi="宋体"/>
                <w:sz w:val="24"/>
                <w:szCs w:val="24"/>
              </w:rPr>
              <w:t>构成本采购文件各个组成部分的文件，未经采购人书面同意，供应商不得擅自复印和用于非本磋商项目所需的其他目的。采购人全部或者部分使用未成交供应商响应文件中的技术成果或技术方案时，需征得其书面同意，并不得擅自复印或提供给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85"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rPr>
                <w:rFonts w:ascii="宋体" w:hAnsi="宋体"/>
                <w:sz w:val="24"/>
                <w:szCs w:val="24"/>
              </w:rPr>
            </w:pPr>
            <w:r>
              <w:rPr>
                <w:rFonts w:hint="eastAsia" w:ascii="宋体" w:hAnsi="宋体"/>
                <w:position w:val="6"/>
                <w:sz w:val="24"/>
                <w:szCs w:val="24"/>
              </w:rPr>
              <w:t>未尽事宜，按国家有关规定执行。</w:t>
            </w:r>
          </w:p>
        </w:tc>
      </w:tr>
    </w:tbl>
    <w:p>
      <w:pPr>
        <w:autoSpaceDE w:val="0"/>
        <w:autoSpaceDN w:val="0"/>
        <w:adjustRightInd w:val="0"/>
        <w:spacing w:line="360" w:lineRule="auto"/>
        <w:ind w:firstLine="2811" w:firstLineChars="700"/>
        <w:rPr>
          <w:rFonts w:ascii="宋体" w:hAnsi="宋体"/>
          <w:b/>
          <w:kern w:val="0"/>
          <w:sz w:val="56"/>
          <w:szCs w:val="32"/>
        </w:rPr>
      </w:pPr>
      <w:r>
        <w:rPr>
          <w:b/>
          <w:kern w:val="0"/>
          <w:sz w:val="40"/>
        </w:rPr>
        <w:br w:type="page"/>
      </w:r>
      <w:r>
        <w:rPr>
          <w:rFonts w:hint="eastAsia"/>
          <w:b/>
          <w:kern w:val="0"/>
          <w:sz w:val="40"/>
        </w:rPr>
        <w:t>第四章供应商须知</w:t>
      </w:r>
    </w:p>
    <w:p>
      <w:pPr>
        <w:tabs>
          <w:tab w:val="left" w:pos="1260"/>
        </w:tabs>
        <w:autoSpaceDE w:val="0"/>
        <w:autoSpaceDN w:val="0"/>
        <w:adjustRightInd w:val="0"/>
        <w:spacing w:line="360" w:lineRule="auto"/>
        <w:jc w:val="center"/>
        <w:rPr>
          <w:rFonts w:ascii="宋体" w:hAnsi="宋体" w:cs="宋体"/>
          <w:b/>
          <w:kern w:val="0"/>
          <w:sz w:val="24"/>
          <w:szCs w:val="24"/>
        </w:rPr>
      </w:pPr>
      <w:r>
        <w:rPr>
          <w:rFonts w:hint="eastAsia" w:ascii="宋体" w:hAnsi="宋体" w:cs="宋体"/>
          <w:b/>
          <w:kern w:val="0"/>
          <w:sz w:val="24"/>
          <w:szCs w:val="24"/>
        </w:rPr>
        <w:t>一、概念释义</w:t>
      </w:r>
    </w:p>
    <w:p>
      <w:pPr>
        <w:pStyle w:val="37"/>
        <w:numPr>
          <w:ilvl w:val="0"/>
          <w:numId w:val="3"/>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适用范围</w:t>
      </w:r>
    </w:p>
    <w:p>
      <w:pPr>
        <w:pStyle w:val="37"/>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1.1 本磋商文件仅适用于本次“采购邀请”</w:t>
      </w:r>
      <w:r>
        <w:rPr>
          <w:rFonts w:hint="eastAsia" w:ascii="宋体" w:hAnsi="宋体"/>
          <w:sz w:val="24"/>
          <w:szCs w:val="24"/>
        </w:rPr>
        <w:t>和“供应商须知前附表”中所述采购项目的采购。</w:t>
      </w:r>
    </w:p>
    <w:p>
      <w:pPr>
        <w:pStyle w:val="37"/>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1.2 本磋商文件解释权属于“采购邀请”</w:t>
      </w:r>
      <w:r>
        <w:rPr>
          <w:rFonts w:hint="eastAsia" w:ascii="宋体" w:hAnsi="宋体"/>
          <w:sz w:val="24"/>
          <w:szCs w:val="24"/>
        </w:rPr>
        <w:t xml:space="preserve"> 和“供应商须知前附表”</w:t>
      </w:r>
      <w:r>
        <w:rPr>
          <w:rFonts w:hint="eastAsia" w:ascii="宋体" w:hAnsi="宋体" w:cs="宋体"/>
          <w:kern w:val="0"/>
          <w:sz w:val="24"/>
          <w:szCs w:val="24"/>
        </w:rPr>
        <w:t>所述的采购人、采购代理公司。</w:t>
      </w:r>
    </w:p>
    <w:p>
      <w:pPr>
        <w:pStyle w:val="37"/>
        <w:numPr>
          <w:ilvl w:val="0"/>
          <w:numId w:val="3"/>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定义</w:t>
      </w:r>
    </w:p>
    <w:p>
      <w:pPr>
        <w:pStyle w:val="37"/>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2.1“采购项目”：</w:t>
      </w:r>
      <w:r>
        <w:rPr>
          <w:rFonts w:hint="eastAsia" w:ascii="宋体" w:hAnsi="宋体"/>
          <w:sz w:val="24"/>
          <w:szCs w:val="24"/>
        </w:rPr>
        <w:t>系指</w:t>
      </w:r>
      <w:r>
        <w:rPr>
          <w:rFonts w:hint="eastAsia" w:ascii="宋体" w:hAnsi="宋体" w:cs="宋体"/>
          <w:kern w:val="0"/>
          <w:sz w:val="24"/>
          <w:szCs w:val="24"/>
        </w:rPr>
        <w:t>“供应商须知前附表”中所述的采购项目。</w:t>
      </w:r>
    </w:p>
    <w:p>
      <w:pPr>
        <w:pStyle w:val="37"/>
        <w:autoSpaceDE w:val="0"/>
        <w:autoSpaceDN w:val="0"/>
        <w:spacing w:line="360" w:lineRule="auto"/>
        <w:ind w:left="420" w:firstLine="0" w:firstLineChars="0"/>
        <w:contextualSpacing/>
        <w:rPr>
          <w:rFonts w:ascii="宋体" w:hAnsi="宋体" w:cs="宋体"/>
          <w:kern w:val="0"/>
          <w:sz w:val="24"/>
          <w:szCs w:val="24"/>
        </w:rPr>
      </w:pPr>
      <w:r>
        <w:rPr>
          <w:rFonts w:hint="eastAsia" w:ascii="宋体" w:hAnsi="宋体" w:cs="宋体"/>
          <w:kern w:val="0"/>
          <w:sz w:val="24"/>
          <w:szCs w:val="24"/>
        </w:rPr>
        <w:t>2.2“采购人、 集中采购机构”：</w:t>
      </w:r>
      <w:r>
        <w:rPr>
          <w:rFonts w:hint="eastAsia" w:ascii="宋体" w:hAnsi="宋体"/>
          <w:sz w:val="24"/>
          <w:szCs w:val="24"/>
        </w:rPr>
        <w:t>系指“供应商须知前附表”中所述的组织本次采购的代理公司和采购人。</w:t>
      </w:r>
    </w:p>
    <w:p>
      <w:pPr>
        <w:pStyle w:val="37"/>
        <w:autoSpaceDE w:val="0"/>
        <w:autoSpaceDN w:val="0"/>
        <w:spacing w:line="360" w:lineRule="auto"/>
        <w:ind w:firstLineChars="0"/>
        <w:rPr>
          <w:rFonts w:ascii="宋体" w:hAnsi="宋体" w:cs="宋体"/>
          <w:kern w:val="0"/>
          <w:sz w:val="24"/>
          <w:szCs w:val="24"/>
        </w:rPr>
      </w:pPr>
      <w:r>
        <w:rPr>
          <w:rFonts w:hint="eastAsia" w:ascii="宋体" w:hAnsi="宋体"/>
          <w:sz w:val="24"/>
          <w:szCs w:val="24"/>
        </w:rPr>
        <w:t>2.3“供应商”系指从采购人、代理机构处按规定获取磋商文件，并按照磋商文件向采购人、代理公司提交响应文件的供应商。</w:t>
      </w:r>
    </w:p>
    <w:p>
      <w:pPr>
        <w:pStyle w:val="37"/>
        <w:autoSpaceDE w:val="0"/>
        <w:autoSpaceDN w:val="0"/>
        <w:spacing w:line="360" w:lineRule="auto"/>
        <w:ind w:firstLineChars="0"/>
        <w:rPr>
          <w:rFonts w:ascii="宋体" w:hAnsi="宋体" w:cs="宋体"/>
          <w:kern w:val="0"/>
          <w:sz w:val="24"/>
          <w:szCs w:val="24"/>
        </w:rPr>
      </w:pPr>
      <w:r>
        <w:rPr>
          <w:rFonts w:hint="eastAsia" w:ascii="宋体" w:hAnsi="宋体"/>
          <w:sz w:val="24"/>
          <w:szCs w:val="24"/>
        </w:rPr>
        <w:t>2.4“成交供应商”系指成交的供应商。</w:t>
      </w:r>
    </w:p>
    <w:p>
      <w:pPr>
        <w:pStyle w:val="37"/>
        <w:autoSpaceDE w:val="0"/>
        <w:autoSpaceDN w:val="0"/>
        <w:spacing w:line="360" w:lineRule="auto"/>
        <w:ind w:firstLineChars="0"/>
        <w:rPr>
          <w:rFonts w:ascii="宋体" w:hAnsi="宋体" w:cs="宋体"/>
          <w:kern w:val="0"/>
          <w:sz w:val="24"/>
          <w:szCs w:val="24"/>
        </w:rPr>
      </w:pPr>
      <w:r>
        <w:rPr>
          <w:rFonts w:hint="eastAsia" w:ascii="宋体" w:hAnsi="宋体"/>
          <w:sz w:val="24"/>
          <w:szCs w:val="24"/>
        </w:rPr>
        <w:t>2.5“甲方”系指采购人。</w:t>
      </w:r>
    </w:p>
    <w:p>
      <w:pPr>
        <w:pStyle w:val="37"/>
        <w:autoSpaceDE w:val="0"/>
        <w:autoSpaceDN w:val="0"/>
        <w:spacing w:line="360" w:lineRule="auto"/>
        <w:ind w:firstLineChars="0"/>
        <w:rPr>
          <w:rFonts w:ascii="宋体" w:hAnsi="宋体" w:cs="宋体"/>
          <w:kern w:val="0"/>
          <w:sz w:val="24"/>
          <w:szCs w:val="24"/>
        </w:rPr>
      </w:pPr>
      <w:r>
        <w:rPr>
          <w:rFonts w:hint="eastAsia" w:ascii="宋体" w:hAnsi="宋体"/>
          <w:sz w:val="24"/>
          <w:szCs w:val="24"/>
        </w:rPr>
        <w:t>2.6“乙方”系指成交并向采购人提供服务的供应商。</w:t>
      </w:r>
    </w:p>
    <w:p>
      <w:pPr>
        <w:pStyle w:val="37"/>
        <w:autoSpaceDE w:val="0"/>
        <w:autoSpaceDN w:val="0"/>
        <w:spacing w:line="360" w:lineRule="auto"/>
        <w:ind w:firstLineChars="0"/>
        <w:rPr>
          <w:rFonts w:ascii="宋体" w:hAnsi="宋体" w:cs="宋体"/>
          <w:kern w:val="0"/>
          <w:sz w:val="24"/>
          <w:szCs w:val="24"/>
        </w:rPr>
      </w:pPr>
      <w:r>
        <w:rPr>
          <w:rFonts w:hint="eastAsia" w:ascii="宋体" w:hAnsi="宋体"/>
          <w:sz w:val="24"/>
          <w:szCs w:val="24"/>
        </w:rPr>
        <w:t>2.7“服务”系指磋商文件规定的供应商为完成采购项目所需承担的全部义务。</w:t>
      </w:r>
    </w:p>
    <w:p>
      <w:pPr>
        <w:pStyle w:val="37"/>
        <w:autoSpaceDE w:val="0"/>
        <w:autoSpaceDN w:val="0"/>
        <w:spacing w:line="360" w:lineRule="auto"/>
        <w:ind w:firstLineChars="175"/>
        <w:contextualSpacing/>
        <w:rPr>
          <w:rFonts w:ascii="宋体" w:hAnsi="宋体" w:cs="宋体"/>
          <w:kern w:val="0"/>
          <w:sz w:val="24"/>
          <w:szCs w:val="24"/>
        </w:rPr>
      </w:pPr>
      <w:r>
        <w:rPr>
          <w:rFonts w:hint="eastAsia" w:ascii="宋体" w:hAnsi="宋体" w:cs="宋体"/>
          <w:kern w:val="0"/>
          <w:sz w:val="24"/>
          <w:szCs w:val="24"/>
        </w:rPr>
        <w:t>2.8“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pPr>
        <w:autoSpaceDE w:val="0"/>
        <w:autoSpaceDN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2.8.1磋商文件列明不允许或未列明允许进口产品参加响应的，均视为拒绝进口产品参加响应。</w:t>
      </w:r>
    </w:p>
    <w:p>
      <w:pPr>
        <w:autoSpaceDE w:val="0"/>
        <w:autoSpaceDN w:val="0"/>
        <w:spacing w:line="360" w:lineRule="auto"/>
        <w:ind w:firstLine="360" w:firstLineChars="150"/>
        <w:rPr>
          <w:rFonts w:ascii="宋体" w:hAnsi="宋体" w:cs="宋体"/>
          <w:kern w:val="0"/>
          <w:sz w:val="24"/>
          <w:szCs w:val="24"/>
        </w:rPr>
      </w:pPr>
      <w:r>
        <w:rPr>
          <w:rFonts w:hint="eastAsia" w:ascii="宋体" w:hAnsi="宋体" w:cs="宋体"/>
          <w:kern w:val="0"/>
          <w:sz w:val="24"/>
          <w:szCs w:val="24"/>
        </w:rPr>
        <w:t>2.8.2如响应文件中已说明，经财政部门审核同意，允许部分或全部产品采购进口产品，供应商既可提供本国产品，也可以提供进口产品。</w:t>
      </w:r>
    </w:p>
    <w:p>
      <w:pPr>
        <w:pStyle w:val="37"/>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2.9磋商文件中凡标有“★”的条款均系实质性要求条款。</w:t>
      </w:r>
    </w:p>
    <w:p>
      <w:pPr>
        <w:pStyle w:val="37"/>
        <w:numPr>
          <w:ilvl w:val="0"/>
          <w:numId w:val="3"/>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合格的供应商</w:t>
      </w:r>
    </w:p>
    <w:p>
      <w:pPr>
        <w:pStyle w:val="37"/>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3.1具有本项目生产、制造、供应或实施能力，符合、承认并承诺履行本磋商文件各项规定的法人、其他组织或者自然人。</w:t>
      </w:r>
    </w:p>
    <w:p>
      <w:pPr>
        <w:pStyle w:val="37"/>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3.2符合本项目“采购邀请”和“供应商须知前附表”中规定的合格供应商所必须具备的条件。</w:t>
      </w:r>
    </w:p>
    <w:p>
      <w:pPr>
        <w:pStyle w:val="37"/>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3.3政府采购活动中查询及使用供应商信用记录的具体要求为：供应商未被列入失信被执行人、重大税收违法失信主体、政府采购严重违法失信行为记录名单、严重违法失信社会组织名单（联合体形响应的，联合体成员存在不良信用记录，视同联合体存在不良信用记录）。</w:t>
      </w:r>
    </w:p>
    <w:p>
      <w:pPr>
        <w:pStyle w:val="37"/>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3.4单位负责人为同一人或者存在直接控股、管理关系的不同供应商，不得参加同一合同项下的政府采购活动。违反规定的，相关响应均无效。</w:t>
      </w:r>
    </w:p>
    <w:p>
      <w:pPr>
        <w:pStyle w:val="37"/>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3.5除单一来源外，为采购项目提供整体设计、规范编制或者项目管理、监理、检测等服务的供应商，不得再参加该采购项目的其他采购活动。</w:t>
      </w:r>
    </w:p>
    <w:p>
      <w:pPr>
        <w:pStyle w:val="37"/>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3.6“采购邀请”和“供应商须知前附表”规定接受联合体响应的，除应符合本章第3.1项和3.2项要求外，还应遵守以下规定：</w:t>
      </w:r>
    </w:p>
    <w:p>
      <w:pPr>
        <w:pStyle w:val="37"/>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3.6.1在响应文件中向采购人提交联合体协议书，明确联合体各方承担的工作和义务；</w:t>
      </w:r>
    </w:p>
    <w:p>
      <w:pPr>
        <w:pStyle w:val="37"/>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3.6.2联合体中有同类资质的供应商按联合体分工承担相同工作的，应当按照资质等级较低的供应商确定资质等级；</w:t>
      </w:r>
    </w:p>
    <w:p>
      <w:pPr>
        <w:pStyle w:val="37"/>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3.6.3采购人根据采购项目的特殊要求规定供应商特定条件的，联合体各方中至少应当有一方符合采购规定的特定条件。</w:t>
      </w:r>
    </w:p>
    <w:p>
      <w:pPr>
        <w:pStyle w:val="37"/>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3.6.4联合体各方不得再单独参加或者与其他供应商另外组成联合体参加同一合同项下的政府采购活动。</w:t>
      </w:r>
    </w:p>
    <w:p>
      <w:pPr>
        <w:pStyle w:val="37"/>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3.6.5联合体各方应当共同与采购人签订采购合同，就采购合同约定的事项对采购人</w:t>
      </w:r>
      <w:r>
        <w:fldChar w:fldCharType="begin"/>
      </w:r>
      <w:r>
        <w:instrText xml:space="preserve">HYPERLINK "https://baike.baidu.com/item/æ¿æè¿å¸¦è´£ä»»" \t "_blank" </w:instrText>
      </w:r>
      <w:r>
        <w:fldChar w:fldCharType="separate"/>
      </w:r>
      <w:r>
        <w:rPr>
          <w:rStyle w:val="35"/>
          <w:rFonts w:hint="eastAsia" w:ascii="宋体" w:hAnsi="宋体" w:cs="宋体"/>
          <w:color w:val="auto"/>
          <w:sz w:val="24"/>
          <w:szCs w:val="24"/>
        </w:rPr>
        <w:t>承担连带责任</w:t>
      </w:r>
      <w:r>
        <w:fldChar w:fldCharType="end"/>
      </w:r>
      <w:r>
        <w:rPr>
          <w:rFonts w:hint="eastAsia" w:ascii="宋体" w:hAnsi="宋体" w:cs="宋体"/>
          <w:kern w:val="0"/>
          <w:sz w:val="24"/>
          <w:szCs w:val="24"/>
        </w:rPr>
        <w:t>。</w:t>
      </w:r>
    </w:p>
    <w:p>
      <w:pPr>
        <w:pStyle w:val="37"/>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3.7法律、行政法规规定的其他条件。</w:t>
      </w:r>
    </w:p>
    <w:p>
      <w:pPr>
        <w:pStyle w:val="37"/>
        <w:numPr>
          <w:ilvl w:val="0"/>
          <w:numId w:val="3"/>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合格的货物和服务</w:t>
      </w:r>
    </w:p>
    <w:p>
      <w:pPr>
        <w:pStyle w:val="37"/>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4.1供应商提供的货物和服务应当符合磋商文件的要求，并且其质量完全符合国家标准、行业标准或地方标准，均有标准的以高（严格）者为准。没有国家标准、行业标准和企业标准的，按照通常标准或者符合采购目的的特定标准确定。</w:t>
      </w:r>
    </w:p>
    <w:p>
      <w:pPr>
        <w:pStyle w:val="37"/>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4.2供应商所提供的服务应当没有侵犯任何第三方的知识产权、技术秘密等合法权利。</w:t>
      </w:r>
    </w:p>
    <w:p>
      <w:pPr>
        <w:pStyle w:val="37"/>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4.3如供应商所投产品被列入《中华人民共和国实施强制性产品认证的产品目录》，则该产品应具备国家认监委指定强制性产品认证机构颁发的《中国国家强制性产品认证证书》（CCC 认证）。供应商不能提供超出此目录范畴外的替代品。</w:t>
      </w:r>
    </w:p>
    <w:p>
      <w:pPr>
        <w:pStyle w:val="37"/>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供应商所投产品如被列入《信息安全产品强制性认证目录》，则该产品应具备中国信息安全认证中心颁发的《</w:t>
      </w:r>
      <w:r>
        <w:fldChar w:fldCharType="begin"/>
      </w:r>
      <w:r>
        <w:instrText xml:space="preserve">HYPERLINK "http://www.cnca.gov.cn/cnca/zwxx/ggxx/images/2010/07/19/A6C32D2A507AC2A38326896013A67542.doc" \t "_blank" </w:instrText>
      </w:r>
      <w:r>
        <w:fldChar w:fldCharType="separate"/>
      </w:r>
      <w:r>
        <w:rPr>
          <w:rStyle w:val="35"/>
          <w:rFonts w:hint="eastAsia" w:ascii="宋体" w:hAnsi="宋体" w:cs="宋体"/>
          <w:color w:val="auto"/>
          <w:sz w:val="24"/>
          <w:szCs w:val="24"/>
        </w:rPr>
        <w:t>中国国家信息安全产品认证证书</w:t>
      </w:r>
      <w:r>
        <w:fldChar w:fldCharType="end"/>
      </w:r>
      <w:r>
        <w:rPr>
          <w:rFonts w:hint="eastAsia" w:ascii="宋体" w:hAnsi="宋体" w:cs="宋体"/>
          <w:kern w:val="0"/>
          <w:sz w:val="24"/>
          <w:szCs w:val="24"/>
        </w:rPr>
        <w:t>》。供应商不能提供超出此目录范畴外的替代品。</w:t>
      </w:r>
    </w:p>
    <w:p>
      <w:pPr>
        <w:pStyle w:val="37"/>
        <w:numPr>
          <w:ilvl w:val="0"/>
          <w:numId w:val="3"/>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磋商费用</w:t>
      </w:r>
    </w:p>
    <w:p>
      <w:pPr>
        <w:autoSpaceDE w:val="0"/>
        <w:autoSpaceDN w:val="0"/>
        <w:spacing w:line="360" w:lineRule="auto"/>
        <w:ind w:firstLine="360" w:firstLineChars="150"/>
        <w:rPr>
          <w:rFonts w:ascii="宋体" w:hAnsi="宋体" w:cs="宋体"/>
          <w:kern w:val="0"/>
          <w:sz w:val="24"/>
          <w:szCs w:val="24"/>
        </w:rPr>
      </w:pPr>
      <w:r>
        <w:rPr>
          <w:rFonts w:hint="eastAsia" w:ascii="宋体" w:hAnsi="宋体" w:cs="宋体"/>
          <w:kern w:val="0"/>
          <w:sz w:val="24"/>
          <w:szCs w:val="24"/>
        </w:rPr>
        <w:t>不论采购的结果如何，供应商均应自行承担所有与采购有关的全部费用，采购人、采购代理公司在任何情况下均无义务和责任承担这些费用。</w:t>
      </w:r>
    </w:p>
    <w:p>
      <w:pPr>
        <w:pStyle w:val="37"/>
        <w:numPr>
          <w:ilvl w:val="0"/>
          <w:numId w:val="3"/>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信息发布</w:t>
      </w:r>
    </w:p>
    <w:p>
      <w:pPr>
        <w:autoSpaceDE w:val="0"/>
        <w:autoSpaceDN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本采购项目需要公开的有关信息，包括采购公告、磋商文件澄清或修改公告、成交公告以及延长响应文件提交截止时间等与采购活动有关的通知，采购人、集中采购机构均将通过在 《河南省政府采购网》、 《长葛市人民政府门户网站》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采购代理公司在任何情况下均不对此承担任何责任。</w:t>
      </w:r>
    </w:p>
    <w:p>
      <w:pPr>
        <w:pStyle w:val="37"/>
        <w:numPr>
          <w:ilvl w:val="0"/>
          <w:numId w:val="3"/>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代理费用</w:t>
      </w:r>
    </w:p>
    <w:p>
      <w:pPr>
        <w:pStyle w:val="37"/>
        <w:numPr>
          <w:ilvl w:val="0"/>
          <w:numId w:val="4"/>
        </w:numPr>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收取标准：收取。详见供应商须知前附表。</w:t>
      </w:r>
    </w:p>
    <w:p>
      <w:pPr>
        <w:pStyle w:val="37"/>
        <w:autoSpaceDE w:val="0"/>
        <w:autoSpaceDN w:val="0"/>
        <w:spacing w:line="360" w:lineRule="auto"/>
        <w:ind w:left="420" w:firstLine="0" w:firstLineChars="0"/>
        <w:contextualSpacing/>
        <w:rPr>
          <w:rFonts w:ascii="宋体" w:hAnsi="宋体" w:cs="宋体"/>
          <w:kern w:val="0"/>
          <w:sz w:val="24"/>
          <w:szCs w:val="24"/>
        </w:rPr>
      </w:pPr>
      <w:r>
        <w:rPr>
          <w:rFonts w:hint="eastAsia" w:ascii="宋体" w:hAnsi="宋体" w:cs="宋体"/>
          <w:kern w:val="0"/>
          <w:sz w:val="24"/>
          <w:szCs w:val="24"/>
        </w:rPr>
        <w:t>7.2 收取方式：</w:t>
      </w:r>
      <w:r>
        <w:rPr>
          <w:rFonts w:hint="eastAsia" w:ascii="宋体" w:hAnsi="宋体" w:cs="宋体"/>
          <w:kern w:val="0"/>
          <w:sz w:val="24"/>
          <w:szCs w:val="24"/>
          <w:lang w:val="zh-CN"/>
        </w:rPr>
        <w:t>成交通知书发出前，以现金或转账形式交纳</w:t>
      </w:r>
      <w:r>
        <w:rPr>
          <w:rFonts w:hint="eastAsia" w:ascii="宋体" w:hAnsi="宋体" w:cs="宋体"/>
          <w:kern w:val="0"/>
          <w:sz w:val="24"/>
          <w:szCs w:val="24"/>
        </w:rPr>
        <w:t>。</w:t>
      </w:r>
    </w:p>
    <w:p>
      <w:pPr>
        <w:pStyle w:val="37"/>
        <w:numPr>
          <w:ilvl w:val="0"/>
          <w:numId w:val="3"/>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其他</w:t>
      </w:r>
    </w:p>
    <w:p>
      <w:pPr>
        <w:autoSpaceDE w:val="0"/>
        <w:autoSpaceDN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本“供应商须知”的条款如与“磋商邀请”、“采购需求”、“供应商须知前附表”和“对响应文件审查与评审”就同一内容的表述不一致的，以“磋商邀请”、“ 采购需求”、 “供应商须知前附表”和“对响应文件审查与评审”中规定的内容为准。</w:t>
      </w:r>
    </w:p>
    <w:p>
      <w:pPr>
        <w:pStyle w:val="29"/>
        <w:ind w:firstLine="340"/>
      </w:pPr>
    </w:p>
    <w:p>
      <w:pPr>
        <w:tabs>
          <w:tab w:val="left" w:pos="1260"/>
        </w:tabs>
        <w:autoSpaceDE w:val="0"/>
        <w:autoSpaceDN w:val="0"/>
        <w:spacing w:line="360" w:lineRule="auto"/>
        <w:jc w:val="center"/>
        <w:rPr>
          <w:rFonts w:ascii="宋体" w:hAnsi="宋体" w:cs="宋体"/>
          <w:b/>
          <w:kern w:val="0"/>
          <w:sz w:val="24"/>
          <w:szCs w:val="24"/>
        </w:rPr>
      </w:pPr>
      <w:r>
        <w:rPr>
          <w:rFonts w:hint="eastAsia" w:ascii="宋体" w:hAnsi="宋体" w:cs="宋体"/>
          <w:b/>
          <w:kern w:val="0"/>
          <w:sz w:val="24"/>
          <w:szCs w:val="24"/>
        </w:rPr>
        <w:t>二、磋商文件说明</w:t>
      </w:r>
    </w:p>
    <w:p>
      <w:pPr>
        <w:pStyle w:val="37"/>
        <w:numPr>
          <w:ilvl w:val="0"/>
          <w:numId w:val="3"/>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磋商文件构成</w:t>
      </w:r>
    </w:p>
    <w:p>
      <w:pPr>
        <w:pStyle w:val="37"/>
        <w:numPr>
          <w:ilvl w:val="0"/>
          <w:numId w:val="5"/>
        </w:numPr>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磋商文件由以下部分组成：</w:t>
      </w:r>
    </w:p>
    <w:p>
      <w:pPr>
        <w:autoSpaceDE w:val="0"/>
        <w:autoSpaceDN w:val="0"/>
        <w:spacing w:line="360" w:lineRule="auto"/>
        <w:ind w:left="964"/>
        <w:contextualSpacing/>
        <w:rPr>
          <w:rFonts w:ascii="宋体" w:hAnsi="宋体" w:cs="宋体"/>
          <w:kern w:val="0"/>
          <w:sz w:val="24"/>
          <w:szCs w:val="24"/>
        </w:rPr>
      </w:pPr>
      <w:r>
        <w:rPr>
          <w:rFonts w:hint="eastAsia" w:ascii="宋体" w:hAnsi="宋体" w:cs="宋体"/>
          <w:kern w:val="0"/>
          <w:sz w:val="24"/>
          <w:szCs w:val="24"/>
        </w:rPr>
        <w:t>第一章 采购邀请（竞争性磋商公告）</w:t>
      </w:r>
    </w:p>
    <w:p>
      <w:pPr>
        <w:autoSpaceDE w:val="0"/>
        <w:autoSpaceDN w:val="0"/>
        <w:spacing w:line="360" w:lineRule="auto"/>
        <w:ind w:left="964"/>
        <w:contextualSpacing/>
        <w:rPr>
          <w:rFonts w:ascii="宋体" w:hAnsi="宋体" w:cs="宋体"/>
          <w:kern w:val="0"/>
          <w:sz w:val="24"/>
          <w:szCs w:val="24"/>
        </w:rPr>
      </w:pPr>
      <w:r>
        <w:rPr>
          <w:rFonts w:hint="eastAsia" w:ascii="宋体" w:hAnsi="宋体" w:cs="宋体"/>
          <w:kern w:val="0"/>
          <w:sz w:val="24"/>
          <w:szCs w:val="24"/>
        </w:rPr>
        <w:t>第二章 采购需求</w:t>
      </w:r>
    </w:p>
    <w:p>
      <w:pPr>
        <w:autoSpaceDE w:val="0"/>
        <w:autoSpaceDN w:val="0"/>
        <w:spacing w:line="360" w:lineRule="auto"/>
        <w:ind w:left="964"/>
        <w:contextualSpacing/>
        <w:rPr>
          <w:rFonts w:ascii="宋体" w:hAnsi="宋体" w:cs="宋体"/>
          <w:kern w:val="0"/>
          <w:sz w:val="24"/>
          <w:szCs w:val="24"/>
        </w:rPr>
      </w:pPr>
      <w:r>
        <w:rPr>
          <w:rFonts w:hint="eastAsia" w:ascii="宋体" w:hAnsi="宋体" w:cs="宋体"/>
          <w:kern w:val="0"/>
          <w:sz w:val="24"/>
          <w:szCs w:val="24"/>
        </w:rPr>
        <w:t>第三章 供应商须知前附表</w:t>
      </w:r>
    </w:p>
    <w:p>
      <w:pPr>
        <w:autoSpaceDE w:val="0"/>
        <w:autoSpaceDN w:val="0"/>
        <w:spacing w:line="360" w:lineRule="auto"/>
        <w:ind w:left="964"/>
        <w:contextualSpacing/>
        <w:rPr>
          <w:rFonts w:ascii="宋体" w:hAnsi="宋体" w:cs="宋体"/>
          <w:kern w:val="0"/>
          <w:sz w:val="24"/>
          <w:szCs w:val="24"/>
        </w:rPr>
      </w:pPr>
      <w:r>
        <w:rPr>
          <w:rFonts w:hint="eastAsia" w:ascii="宋体" w:hAnsi="宋体" w:cs="宋体"/>
          <w:kern w:val="0"/>
          <w:sz w:val="24"/>
          <w:szCs w:val="24"/>
        </w:rPr>
        <w:t>第四章 供应商须知</w:t>
      </w:r>
    </w:p>
    <w:p>
      <w:pPr>
        <w:autoSpaceDE w:val="0"/>
        <w:autoSpaceDN w:val="0"/>
        <w:spacing w:line="360" w:lineRule="auto"/>
        <w:ind w:left="964"/>
        <w:contextualSpacing/>
        <w:rPr>
          <w:rFonts w:ascii="宋体" w:hAnsi="宋体" w:cs="宋体"/>
          <w:kern w:val="0"/>
          <w:sz w:val="24"/>
          <w:szCs w:val="24"/>
        </w:rPr>
      </w:pPr>
      <w:r>
        <w:rPr>
          <w:rFonts w:hint="eastAsia" w:ascii="宋体" w:hAnsi="宋体" w:cs="宋体"/>
          <w:kern w:val="0"/>
          <w:sz w:val="24"/>
          <w:szCs w:val="24"/>
        </w:rPr>
        <w:t>第五章 政府采购政策功能</w:t>
      </w:r>
    </w:p>
    <w:p>
      <w:pPr>
        <w:autoSpaceDE w:val="0"/>
        <w:autoSpaceDN w:val="0"/>
        <w:spacing w:line="360" w:lineRule="auto"/>
        <w:ind w:left="964"/>
        <w:contextualSpacing/>
        <w:rPr>
          <w:rFonts w:ascii="宋体" w:hAnsi="宋体" w:cs="宋体"/>
          <w:kern w:val="0"/>
          <w:sz w:val="24"/>
          <w:szCs w:val="24"/>
        </w:rPr>
      </w:pPr>
      <w:r>
        <w:rPr>
          <w:rFonts w:hint="eastAsia" w:ascii="宋体" w:hAnsi="宋体" w:cs="宋体"/>
          <w:kern w:val="0"/>
          <w:sz w:val="24"/>
          <w:szCs w:val="24"/>
        </w:rPr>
        <w:t>第六章 资格审查与评审</w:t>
      </w:r>
    </w:p>
    <w:p>
      <w:pPr>
        <w:autoSpaceDE w:val="0"/>
        <w:autoSpaceDN w:val="0"/>
        <w:spacing w:line="360" w:lineRule="auto"/>
        <w:ind w:left="964"/>
        <w:contextualSpacing/>
        <w:rPr>
          <w:rFonts w:ascii="宋体" w:hAnsi="宋体" w:cs="宋体"/>
          <w:kern w:val="0"/>
          <w:sz w:val="24"/>
          <w:szCs w:val="24"/>
        </w:rPr>
      </w:pPr>
      <w:r>
        <w:rPr>
          <w:rFonts w:hint="eastAsia" w:ascii="宋体" w:hAnsi="宋体" w:cs="宋体"/>
          <w:kern w:val="0"/>
          <w:sz w:val="24"/>
          <w:szCs w:val="24"/>
        </w:rPr>
        <w:t>第七章 合同书格式及合同条款</w:t>
      </w:r>
    </w:p>
    <w:p>
      <w:pPr>
        <w:autoSpaceDE w:val="0"/>
        <w:autoSpaceDN w:val="0"/>
        <w:spacing w:line="360" w:lineRule="auto"/>
        <w:ind w:left="964"/>
        <w:contextualSpacing/>
        <w:rPr>
          <w:rFonts w:ascii="宋体" w:hAnsi="宋体" w:cs="宋体"/>
          <w:kern w:val="0"/>
          <w:sz w:val="24"/>
          <w:szCs w:val="24"/>
        </w:rPr>
      </w:pPr>
      <w:r>
        <w:rPr>
          <w:rFonts w:hint="eastAsia" w:ascii="宋体" w:hAnsi="宋体" w:cs="宋体"/>
          <w:kern w:val="0"/>
          <w:sz w:val="24"/>
          <w:szCs w:val="24"/>
        </w:rPr>
        <w:t>第八章 响应文件有关格式</w:t>
      </w:r>
    </w:p>
    <w:p>
      <w:pPr>
        <w:pStyle w:val="37"/>
        <w:autoSpaceDE w:val="0"/>
        <w:autoSpaceDN w:val="0"/>
        <w:spacing w:line="360" w:lineRule="auto"/>
        <w:ind w:firstLine="480"/>
        <w:rPr>
          <w:rFonts w:ascii="宋体" w:hAnsi="宋体" w:cs="宋体"/>
          <w:kern w:val="0"/>
          <w:sz w:val="24"/>
          <w:szCs w:val="24"/>
        </w:rPr>
      </w:pPr>
      <w:r>
        <w:rPr>
          <w:rFonts w:hint="eastAsia" w:ascii="宋体" w:hAnsi="宋体" w:cs="宋体"/>
          <w:kern w:val="0"/>
          <w:sz w:val="24"/>
          <w:szCs w:val="24"/>
        </w:rPr>
        <w:t>9.2供应商应认真阅读、并充分理解磋商文件的全部内容（包括所有的补充、修改内容、重要事项、格式、条款和技术规范、参数及要求等），按磋商文件要求和规定编制响应文件，并保证所提供的全部资料的真实性，否则有可能导致响应被拒绝，其风险由供应商自行承担。</w:t>
      </w:r>
    </w:p>
    <w:p>
      <w:pPr>
        <w:pStyle w:val="37"/>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9.3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numPr>
          <w:ilvl w:val="0"/>
          <w:numId w:val="3"/>
        </w:numPr>
        <w:autoSpaceDE w:val="0"/>
        <w:autoSpaceDN w:val="0"/>
        <w:spacing w:line="360" w:lineRule="auto"/>
        <w:contextualSpacing/>
        <w:rPr>
          <w:rFonts w:ascii="宋体" w:hAnsi="宋体" w:cs="宋体"/>
          <w:b/>
          <w:kern w:val="0"/>
          <w:sz w:val="24"/>
        </w:rPr>
      </w:pPr>
      <w:r>
        <w:rPr>
          <w:rFonts w:hint="eastAsia" w:ascii="宋体" w:hAnsi="宋体" w:cs="宋体"/>
          <w:b/>
          <w:kern w:val="0"/>
          <w:sz w:val="24"/>
        </w:rPr>
        <w:t>现场考察、磋商前答疑会</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10.1 采购人根据采购项目的具体情况，可以在磋商文件公告期满后，组织已获取磋商文件的供应商现场考察或者召开磋商前答疑会。</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采购人组织现场考察或者召开磋商前答疑会的，所有供应商应按“供应商须知前附表”规定的时间、地点前往参加现场考察或者开标前答疑会。供应商如不参加，其风险由供应商自行承担，采购人不承担任何责任。</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10.2 采购人组织现场考察或者召开答疑会的，应当在磋商文件中载明，或者在磋商文件公告期满后在财政部门指定的政府采购信息发布媒体和《全国公共资源交易平台（河南省·许昌市）》发布更正公告。</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10.3 采购人在考察现场和开标前答疑会口头介绍的情况，除采购人事后形成书面记录、并以澄清或修改公告的形式发布、构成磋商文件的组成部分以外，其他内容仅供供应商在编制响应文件时参考，采购人不对供应商据此作出的判断和决策负责。</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10.4 现场考察及参加开标前答疑会所发生的费用及一切责任由供应商自行承担。</w:t>
      </w:r>
    </w:p>
    <w:p>
      <w:pPr>
        <w:pStyle w:val="37"/>
        <w:numPr>
          <w:ilvl w:val="0"/>
          <w:numId w:val="3"/>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磋商文件的澄清或修改</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11.1 在磋商响应截止期前，无论出于何种原因，采购人可主动地或在解答潜在供应商提出的澄清问题时对磋商文件进行修改。</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11.2采购人可以对已发出的磋商文件进行必要的澄清或者修改。澄清或者修改的内容可能影响响应文件编制的，</w:t>
      </w:r>
      <w:r>
        <w:rPr>
          <w:rFonts w:hint="eastAsia" w:ascii="宋体" w:hAnsi="宋体" w:cs="宋体"/>
          <w:bCs/>
          <w:kern w:val="0"/>
          <w:sz w:val="24"/>
          <w:szCs w:val="24"/>
        </w:rPr>
        <w:t>采购人将在磋商响应截止时间5日前</w:t>
      </w:r>
      <w:r>
        <w:rPr>
          <w:rFonts w:hint="eastAsia" w:ascii="宋体" w:hAnsi="宋体" w:cs="宋体"/>
          <w:kern w:val="0"/>
          <w:sz w:val="24"/>
          <w:szCs w:val="24"/>
        </w:rPr>
        <w:t>，在财政部门指定的政府采购信息发布媒体和《全国公共资源交易平台（河南省·许昌市）》发布更正公告。</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11.3 澄清或修改公告的内容为磋商文件的组成部分，并对供应商具有约束力。当磋商文件与澄清或修改公告就同一内容的表述不一致时，以最后发出的文件内容为准。</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11.4 如果澄清或者修改发出的时间距规定的磋商响应截止时间不足5日的，采购人将顺延提交响应文件的截止时间。</w:t>
      </w:r>
    </w:p>
    <w:p>
      <w:pPr>
        <w:tabs>
          <w:tab w:val="left" w:pos="1260"/>
        </w:tabs>
        <w:autoSpaceDE w:val="0"/>
        <w:autoSpaceDN w:val="0"/>
        <w:spacing w:line="360" w:lineRule="auto"/>
        <w:jc w:val="center"/>
        <w:rPr>
          <w:rFonts w:ascii="宋体" w:hAnsi="宋体" w:cs="宋体"/>
          <w:b/>
          <w:kern w:val="0"/>
          <w:sz w:val="24"/>
          <w:szCs w:val="24"/>
        </w:rPr>
      </w:pPr>
      <w:r>
        <w:rPr>
          <w:rFonts w:hint="eastAsia" w:ascii="宋体" w:hAnsi="宋体" w:cs="宋体"/>
          <w:b/>
          <w:kern w:val="0"/>
          <w:sz w:val="24"/>
          <w:szCs w:val="24"/>
        </w:rPr>
        <w:t>三、响应文件的编制</w:t>
      </w:r>
    </w:p>
    <w:p>
      <w:pPr>
        <w:pStyle w:val="37"/>
        <w:numPr>
          <w:ilvl w:val="0"/>
          <w:numId w:val="3"/>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响应文件的语言及计量单位</w:t>
      </w:r>
    </w:p>
    <w:p>
      <w:pPr>
        <w:pStyle w:val="37"/>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12.1供应商提交的响应文件以及供应商与采购人、 采购代理公司就有关采购事宜的所有来往书面文件均应使用中文。除签名、盖章、专用名称等特殊情形外，以中文以外的文字表述的响应文件视同未提供。</w:t>
      </w:r>
    </w:p>
    <w:p>
      <w:pPr>
        <w:pStyle w:val="37"/>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12.2响应文件计量单位，磋商文件已有明确规定的，使用磋商文件规定的计量单位；磋商文件没有规定的，一律采用中华人民共和国法定计量单位。</w:t>
      </w:r>
    </w:p>
    <w:p>
      <w:pPr>
        <w:pStyle w:val="37"/>
        <w:numPr>
          <w:ilvl w:val="0"/>
          <w:numId w:val="3"/>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报价</w:t>
      </w:r>
    </w:p>
    <w:p>
      <w:pPr>
        <w:pStyle w:val="37"/>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13.1本次采购项目的报价均以人民币为计算单位。</w:t>
      </w:r>
    </w:p>
    <w:p>
      <w:pPr>
        <w:pStyle w:val="37"/>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13.2采购人不得向供应商索要或者接受其给予的赠品、回扣或者与采购无关的其他商品、服务。</w:t>
      </w:r>
    </w:p>
    <w:p>
      <w:pPr>
        <w:pStyle w:val="37"/>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13.3供应商应对项目要求的全部内容进行报价，少报漏报将导致其响应为非实质性响应予以拒绝。</w:t>
      </w:r>
    </w:p>
    <w:p>
      <w:pPr>
        <w:pStyle w:val="37"/>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13.4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37"/>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13.5本项目所涉及的运输、施工、安装、集成、调试、验收、备品和工具等费用均包含在响应报价中。</w:t>
      </w:r>
    </w:p>
    <w:p>
      <w:pPr>
        <w:pStyle w:val="37"/>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13.6报价不得高于本项目预算金额，且不低于成本价。供应商的响应报价高于预算金额（项目控制金额上限）的，该供应商的响应文件将被视为非实质性响应予以拒绝。</w:t>
      </w:r>
    </w:p>
    <w:p>
      <w:pPr>
        <w:pStyle w:val="37"/>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13.7最低报价不能做为成交的保证。</w:t>
      </w:r>
    </w:p>
    <w:p>
      <w:pPr>
        <w:pStyle w:val="37"/>
        <w:numPr>
          <w:ilvl w:val="0"/>
          <w:numId w:val="3"/>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响应文件有效期</w:t>
      </w:r>
    </w:p>
    <w:p>
      <w:pPr>
        <w:pStyle w:val="37"/>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14.1响应文件有效期从提交响应文件的截止之日起算。本项目响应文件有效期详见供应商须知前附表。响应文件中承诺的有效期应当不少于“供应商须知前附表”载明的响应文件有效期。响应文件有效期比磋商文件规定短的属于非实质性响应，将被认定为无效响应。</w:t>
      </w:r>
    </w:p>
    <w:p>
      <w:pPr>
        <w:pStyle w:val="37"/>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14.2响应有效期内供应商撤销响应文件的，供应商将承担违背磋商承诺函的责任追究。</w:t>
      </w:r>
    </w:p>
    <w:p>
      <w:pPr>
        <w:pStyle w:val="37"/>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14.3采购人可根据实际情况，在原报价有效期截止之前，征询供应商是否同意延长响应文件的有效期，供应商同意延长的须作出书面答复。在延长的报价有效期内，供应商将不会被要求和允许修正其报价。</w:t>
      </w:r>
    </w:p>
    <w:p>
      <w:pPr>
        <w:pStyle w:val="37"/>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14.4成交供应商的响应文件作为项目合同的附件，其有效期至成交供应商全部合同义务履行完毕为止。</w:t>
      </w:r>
    </w:p>
    <w:p>
      <w:pPr>
        <w:pStyle w:val="37"/>
        <w:numPr>
          <w:ilvl w:val="0"/>
          <w:numId w:val="3"/>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响应文件构成</w:t>
      </w:r>
    </w:p>
    <w:p>
      <w:pPr>
        <w:pStyle w:val="37"/>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15.1响应文件的构成应符合法律法规及磋商文件的要求。</w:t>
      </w:r>
    </w:p>
    <w:p>
      <w:pPr>
        <w:pStyle w:val="37"/>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15.2供应商应当按照磋商文件的要求编制响应文件。响应文件应当对磋商文件提出的要求和条件作出明确响应。</w:t>
      </w:r>
    </w:p>
    <w:p>
      <w:pPr>
        <w:pStyle w:val="37"/>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15.3响应文件由资格证明材料、符合性证明材料、其它材料等组成。</w:t>
      </w:r>
    </w:p>
    <w:p>
      <w:pPr>
        <w:pStyle w:val="37"/>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15.4供应商根据磋商文件的规定和采购项目的实际情况，拟在成交后将成交项目的非主体、非关键性工作分包的，应当在响应文件中载明分包承担主体，分包承担主体应当具备相应资质条件且不得再次分包。</w:t>
      </w:r>
    </w:p>
    <w:p>
      <w:pPr>
        <w:pStyle w:val="37"/>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15.5供应商登录许昌公共资源交易系统下载“许昌响应文件制作系统SEARUN 最新版本”，按磋商文件要求根据所响应段制作电子响应文件。 一个标段对应生成一个文件夹（xxxx项目xx标段）,后缀名为“.file”的文件用于电子响应使用。</w:t>
      </w:r>
    </w:p>
    <w:p>
      <w:pPr>
        <w:autoSpaceDE w:val="0"/>
        <w:autoSpaceDN w:val="0"/>
        <w:spacing w:line="360" w:lineRule="auto"/>
        <w:ind w:firstLine="480" w:firstLineChars="200"/>
        <w:rPr>
          <w:rFonts w:ascii="宋体" w:hAnsi="宋体"/>
          <w:sz w:val="24"/>
          <w:szCs w:val="24"/>
        </w:rPr>
      </w:pPr>
      <w:r>
        <w:rPr>
          <w:rFonts w:hint="eastAsia" w:ascii="宋体" w:hAnsi="宋体" w:cs="宋体"/>
          <w:kern w:val="0"/>
          <w:sz w:val="24"/>
          <w:szCs w:val="24"/>
        </w:rPr>
        <w:t>电子响应文件制作技术咨询：</w:t>
      </w:r>
      <w:r>
        <w:rPr>
          <w:rFonts w:hint="eastAsia" w:ascii="宋体" w:hAnsi="宋体" w:cs="宋体"/>
          <w:b/>
          <w:kern w:val="0"/>
          <w:sz w:val="24"/>
          <w:szCs w:val="24"/>
        </w:rPr>
        <w:t>0374-2961598</w:t>
      </w:r>
      <w:r>
        <w:rPr>
          <w:rFonts w:hint="eastAsia" w:ascii="宋体" w:hAnsi="宋体" w:cs="宋体"/>
          <w:kern w:val="0"/>
          <w:sz w:val="24"/>
          <w:szCs w:val="24"/>
        </w:rPr>
        <w:t>。</w:t>
      </w:r>
    </w:p>
    <w:p>
      <w:pPr>
        <w:pStyle w:val="37"/>
        <w:numPr>
          <w:ilvl w:val="0"/>
          <w:numId w:val="3"/>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响应文件格式</w:t>
      </w:r>
    </w:p>
    <w:p>
      <w:pPr>
        <w:autoSpaceDE w:val="0"/>
        <w:autoSpaceDN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16.1</w:t>
      </w:r>
      <w:r>
        <w:rPr>
          <w:rStyle w:val="82"/>
          <w:rFonts w:hint="eastAsia" w:ascii="宋体" w:hAnsi="宋体"/>
          <w:sz w:val="24"/>
          <w:szCs w:val="24"/>
        </w:rPr>
        <w:t>响应文件应参照磋商文</w:t>
      </w:r>
      <w:r>
        <w:rPr>
          <w:rFonts w:hint="eastAsia" w:ascii="宋体" w:hAnsi="宋体" w:cs="宋体"/>
          <w:kern w:val="0"/>
          <w:sz w:val="24"/>
          <w:szCs w:val="24"/>
        </w:rPr>
        <w:t>件第八章（响应文件有关格式）的内容要求、编排顺序和格式要求，供应商应按照以上要求以A4幅将响应文件编上唯一的连贯页码，并在响应文件封面上注明：所投项目名称、项目编号、供应商名称、日期等字样。</w:t>
      </w:r>
    </w:p>
    <w:p>
      <w:pPr>
        <w:pStyle w:val="37"/>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16.2供应商应按磋商文件提供的格式编写响应文件。磋商文件未提供标准格式的供应商可自行拟定。</w:t>
      </w:r>
    </w:p>
    <w:p>
      <w:pPr>
        <w:pStyle w:val="37"/>
        <w:numPr>
          <w:ilvl w:val="0"/>
          <w:numId w:val="3"/>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磋商保证金：</w:t>
      </w:r>
      <w:r>
        <w:rPr>
          <w:rFonts w:hint="eastAsia" w:ascii="宋体" w:hAnsi="宋体" w:cs="仿宋_GB2312"/>
          <w:sz w:val="24"/>
          <w:szCs w:val="24"/>
        </w:rPr>
        <w:t>按照河南省《关于优化政府采购营商环境有关问题的通知》（豫财购（2019）4号文）的要求，</w:t>
      </w:r>
      <w:r>
        <w:rPr>
          <w:rFonts w:hint="eastAsia" w:ascii="宋体" w:hAnsi="宋体" w:cs="仿宋_GB2312"/>
          <w:b/>
          <w:bCs/>
          <w:sz w:val="24"/>
          <w:szCs w:val="24"/>
        </w:rPr>
        <w:t>不收取磋商保证金。</w:t>
      </w:r>
      <w:r>
        <w:rPr>
          <w:rFonts w:hint="eastAsia" w:ascii="宋体" w:hAnsi="宋体" w:cs="仿宋_GB2312"/>
          <w:sz w:val="24"/>
          <w:szCs w:val="24"/>
          <w:lang w:val="zh-CN"/>
        </w:rPr>
        <w:t>供应商应提供磋商承诺函（按照磋商文件第八章</w:t>
      </w:r>
      <w:r>
        <w:rPr>
          <w:rFonts w:hint="eastAsia" w:ascii="宋体" w:hAnsi="宋体" w:cs="仿宋_GB2312"/>
          <w:sz w:val="24"/>
          <w:szCs w:val="24"/>
        </w:rPr>
        <w:t>3.4格式填写</w:t>
      </w:r>
      <w:r>
        <w:rPr>
          <w:rFonts w:hint="eastAsia" w:ascii="宋体" w:hAnsi="宋体" w:cs="仿宋_GB2312"/>
          <w:sz w:val="24"/>
          <w:szCs w:val="24"/>
          <w:lang w:val="zh-CN"/>
        </w:rPr>
        <w:t>）。</w:t>
      </w:r>
    </w:p>
    <w:p>
      <w:pPr>
        <w:pStyle w:val="37"/>
        <w:numPr>
          <w:ilvl w:val="0"/>
          <w:numId w:val="3"/>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磋商文件的数量和签署盖章</w:t>
      </w:r>
    </w:p>
    <w:p>
      <w:pPr>
        <w:pStyle w:val="37"/>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18.1供应商应提交响应文件份数见“供应商须知前附表”。</w:t>
      </w:r>
    </w:p>
    <w:p>
      <w:pPr>
        <w:pStyle w:val="37"/>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18.2在磋商文件中已明示需盖章及签名之处，电子响应文件应按磋商文件要求加盖供应商电子印章和法人电子印章或授权代表电子印章。</w:t>
      </w:r>
    </w:p>
    <w:p>
      <w:pPr>
        <w:tabs>
          <w:tab w:val="left" w:pos="1260"/>
        </w:tabs>
        <w:autoSpaceDE w:val="0"/>
        <w:autoSpaceDN w:val="0"/>
        <w:spacing w:line="360" w:lineRule="auto"/>
        <w:jc w:val="center"/>
        <w:rPr>
          <w:rFonts w:ascii="宋体" w:hAnsi="宋体" w:cs="宋体"/>
          <w:b/>
          <w:kern w:val="0"/>
          <w:sz w:val="24"/>
          <w:szCs w:val="24"/>
        </w:rPr>
      </w:pPr>
      <w:r>
        <w:rPr>
          <w:rFonts w:hint="eastAsia" w:ascii="宋体" w:hAnsi="宋体" w:cs="宋体"/>
          <w:b/>
          <w:kern w:val="0"/>
          <w:sz w:val="24"/>
          <w:szCs w:val="24"/>
        </w:rPr>
        <w:t>四、响应文件的提交</w:t>
      </w:r>
    </w:p>
    <w:p>
      <w:pPr>
        <w:autoSpaceDE w:val="0"/>
        <w:autoSpaceDN w:val="0"/>
        <w:spacing w:line="360" w:lineRule="auto"/>
        <w:rPr>
          <w:rFonts w:ascii="宋体" w:hAnsi="宋体" w:cs="宋体"/>
          <w:b/>
          <w:kern w:val="0"/>
          <w:sz w:val="24"/>
          <w:szCs w:val="24"/>
        </w:rPr>
      </w:pPr>
      <w:r>
        <w:rPr>
          <w:rFonts w:hint="eastAsia" w:ascii="宋体" w:hAnsi="宋体" w:cs="宋体"/>
          <w:b/>
          <w:kern w:val="0"/>
          <w:sz w:val="24"/>
          <w:szCs w:val="24"/>
        </w:rPr>
        <w:t>19.磋商响应截止时间</w:t>
      </w:r>
    </w:p>
    <w:p>
      <w:pPr>
        <w:autoSpaceDE w:val="0"/>
        <w:autoSpaceDN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19.1供应商必须在“采购邀请”和“供应商须知前附表”中规定的响应截止时间前，将加密电子响应文件（.file格式）通过《全国公共资源交易平台(河南省</w:t>
      </w:r>
      <w:r>
        <w:rPr>
          <w:rFonts w:ascii="Segoe UI Emoji" w:hAnsi="Segoe UI Emoji" w:cs="Segoe UI Emoji"/>
          <w:kern w:val="0"/>
          <w:sz w:val="24"/>
          <w:szCs w:val="24"/>
        </w:rPr>
        <w:t>▪</w:t>
      </w:r>
      <w:r>
        <w:rPr>
          <w:rFonts w:hint="eastAsia" w:ascii="宋体" w:hAnsi="宋体" w:cs="宋体"/>
          <w:kern w:val="0"/>
          <w:sz w:val="24"/>
          <w:szCs w:val="24"/>
        </w:rPr>
        <w:t>许昌市)》公共资源交易系统成功上传。</w:t>
      </w:r>
    </w:p>
    <w:p>
      <w:pPr>
        <w:autoSpaceDE w:val="0"/>
        <w:autoSpaceDN w:val="0"/>
        <w:spacing w:line="360" w:lineRule="auto"/>
        <w:ind w:left="198" w:firstLine="240" w:firstLineChars="100"/>
        <w:contextualSpacing/>
        <w:rPr>
          <w:rFonts w:ascii="宋体" w:hAnsi="宋体" w:cs="宋体"/>
          <w:kern w:val="0"/>
          <w:sz w:val="24"/>
          <w:szCs w:val="24"/>
        </w:rPr>
      </w:pPr>
      <w:r>
        <w:rPr>
          <w:rFonts w:hint="eastAsia" w:ascii="宋体" w:hAnsi="宋体" w:cs="宋体"/>
          <w:kern w:val="0"/>
          <w:sz w:val="24"/>
          <w:szCs w:val="24"/>
        </w:rPr>
        <w:t>19.2采购人可以按本须知第10条规定，通过修改磋商文件自行决定酌情延长磋商响应截止期。在此情况下，采购人和供应商受磋商响应截止期制约的所有权利和义务均应延长至新的截止日期和时间。供应商按采购人修改通知规定的时间提交响应文件。</w:t>
      </w:r>
    </w:p>
    <w:p>
      <w:pPr>
        <w:autoSpaceDE w:val="0"/>
        <w:autoSpaceDN w:val="0"/>
        <w:spacing w:line="360" w:lineRule="auto"/>
        <w:rPr>
          <w:rFonts w:ascii="宋体" w:hAnsi="宋体" w:cs="宋体"/>
          <w:b/>
          <w:kern w:val="0"/>
          <w:sz w:val="24"/>
          <w:szCs w:val="24"/>
        </w:rPr>
      </w:pPr>
      <w:r>
        <w:rPr>
          <w:rFonts w:hint="eastAsia" w:ascii="宋体" w:hAnsi="宋体" w:cs="宋体"/>
          <w:b/>
          <w:kern w:val="0"/>
          <w:sz w:val="24"/>
          <w:szCs w:val="24"/>
        </w:rPr>
        <w:t>20.迟交的响应文件</w:t>
      </w:r>
    </w:p>
    <w:p>
      <w:pPr>
        <w:autoSpaceDE w:val="0"/>
        <w:autoSpaceDN w:val="0"/>
        <w:spacing w:line="360" w:lineRule="auto"/>
        <w:ind w:firstLine="360" w:firstLineChars="150"/>
        <w:rPr>
          <w:rFonts w:ascii="宋体" w:hAnsi="宋体" w:cs="宋体"/>
          <w:kern w:val="0"/>
          <w:sz w:val="24"/>
          <w:szCs w:val="24"/>
        </w:rPr>
      </w:pPr>
      <w:r>
        <w:rPr>
          <w:rFonts w:hint="eastAsia" w:ascii="宋体" w:hAnsi="宋体" w:cs="宋体"/>
          <w:kern w:val="0"/>
          <w:sz w:val="24"/>
          <w:szCs w:val="24"/>
        </w:rPr>
        <w:t>磋商响应截止时间之后上传的响应文件，采购人将拒绝接收。</w:t>
      </w:r>
    </w:p>
    <w:p>
      <w:pPr>
        <w:autoSpaceDE w:val="0"/>
        <w:autoSpaceDN w:val="0"/>
        <w:spacing w:line="360" w:lineRule="auto"/>
        <w:rPr>
          <w:rFonts w:ascii="宋体" w:hAnsi="宋体" w:cs="宋体"/>
          <w:b/>
          <w:kern w:val="0"/>
          <w:sz w:val="24"/>
          <w:szCs w:val="24"/>
        </w:rPr>
      </w:pPr>
      <w:r>
        <w:rPr>
          <w:rFonts w:hint="eastAsia" w:ascii="宋体" w:hAnsi="宋体" w:cs="宋体"/>
          <w:b/>
          <w:kern w:val="0"/>
          <w:sz w:val="24"/>
          <w:szCs w:val="24"/>
        </w:rPr>
        <w:t>21.响应文件的修改和撤回</w:t>
      </w:r>
    </w:p>
    <w:p>
      <w:pPr>
        <w:autoSpaceDE w:val="0"/>
        <w:autoSpaceDN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21.1.供应商应当在磋商响应截止时间前完成电子响应文件的提交，可以补充、修改或撤回。磋商响应截止时间前未完成电子响应文件提交、取得“响应文件提交回执单”的，视为撤回响应文件。</w:t>
      </w:r>
    </w:p>
    <w:p>
      <w:pPr>
        <w:autoSpaceDE w:val="0"/>
        <w:autoSpaceDN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21.2.供应商补充、修改的内容并作为响应文件的组成部分。补充或修改应当按磋商文件要求签署、盖章、提交，并应注明“修改”或“补充”字样。</w:t>
      </w:r>
    </w:p>
    <w:p>
      <w:pPr>
        <w:autoSpaceDE w:val="0"/>
        <w:autoSpaceDN w:val="0"/>
        <w:spacing w:line="360" w:lineRule="auto"/>
        <w:ind w:firstLine="480" w:firstLineChars="200"/>
        <w:jc w:val="left"/>
        <w:rPr>
          <w:rFonts w:ascii="宋体" w:hAnsi="宋体" w:cs="仿宋_GB2312"/>
          <w:sz w:val="24"/>
          <w:szCs w:val="24"/>
          <w:lang w:val="zh-CN"/>
        </w:rPr>
      </w:pPr>
      <w:r>
        <w:rPr>
          <w:rFonts w:hint="eastAsia" w:ascii="宋体" w:hAnsi="宋体" w:cs="宋体"/>
          <w:kern w:val="0"/>
          <w:sz w:val="24"/>
          <w:szCs w:val="24"/>
        </w:rPr>
        <w:t>21.3.供应商不得在磋商响应</w:t>
      </w:r>
      <w:r>
        <w:rPr>
          <w:rFonts w:hint="eastAsia" w:ascii="宋体" w:hAnsi="宋体" w:cs="仿宋_GB2312"/>
          <w:sz w:val="24"/>
          <w:szCs w:val="24"/>
          <w:lang w:val="zh-CN"/>
        </w:rPr>
        <w:t>有效期内撤销响应文件，否则供应商将承担违背磋商承诺函的责任追究。</w:t>
      </w:r>
    </w:p>
    <w:p>
      <w:pPr>
        <w:autoSpaceDE w:val="0"/>
        <w:autoSpaceDN w:val="0"/>
        <w:spacing w:line="360" w:lineRule="auto"/>
      </w:pPr>
      <w:r>
        <w:rPr>
          <w:rFonts w:hint="eastAsia" w:ascii="宋体" w:hAnsi="宋体" w:cs="宋体"/>
          <w:b/>
          <w:kern w:val="0"/>
          <w:sz w:val="24"/>
          <w:szCs w:val="24"/>
        </w:rPr>
        <w:t>除供应商须知前附表另有规定外，供应商所提交的电子响应文件不予退还。</w:t>
      </w:r>
    </w:p>
    <w:p>
      <w:pPr>
        <w:tabs>
          <w:tab w:val="left" w:pos="1260"/>
        </w:tabs>
        <w:autoSpaceDE w:val="0"/>
        <w:autoSpaceDN w:val="0"/>
        <w:spacing w:line="360" w:lineRule="auto"/>
        <w:jc w:val="center"/>
        <w:rPr>
          <w:rFonts w:ascii="宋体" w:hAnsi="宋体" w:cs="宋体"/>
          <w:b/>
          <w:kern w:val="0"/>
          <w:sz w:val="24"/>
          <w:szCs w:val="24"/>
        </w:rPr>
      </w:pPr>
      <w:r>
        <w:rPr>
          <w:rFonts w:hint="eastAsia" w:ascii="宋体" w:hAnsi="宋体" w:cs="宋体"/>
          <w:b/>
          <w:kern w:val="0"/>
          <w:sz w:val="24"/>
          <w:szCs w:val="24"/>
        </w:rPr>
        <w:t>五、响应文件开启和磋商</w:t>
      </w:r>
    </w:p>
    <w:p>
      <w:pPr>
        <w:pStyle w:val="37"/>
        <w:autoSpaceDE w:val="0"/>
        <w:autoSpaceDN w:val="0"/>
        <w:spacing w:line="360" w:lineRule="auto"/>
        <w:ind w:firstLine="0" w:firstLineChars="0"/>
        <w:contextualSpacing/>
        <w:rPr>
          <w:rFonts w:ascii="宋体" w:hAnsi="宋体" w:cs="宋体"/>
          <w:b/>
          <w:kern w:val="0"/>
          <w:sz w:val="24"/>
          <w:szCs w:val="24"/>
        </w:rPr>
      </w:pPr>
      <w:r>
        <w:rPr>
          <w:rFonts w:hint="eastAsia" w:ascii="宋体" w:hAnsi="宋体" w:cs="宋体"/>
          <w:b/>
          <w:kern w:val="0"/>
          <w:sz w:val="24"/>
          <w:szCs w:val="24"/>
        </w:rPr>
        <w:t>22.响应文件开启</w:t>
      </w:r>
    </w:p>
    <w:p>
      <w:pPr>
        <w:autoSpaceDE w:val="0"/>
        <w:autoSpaceDN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22.1 采购人将按磋商文件规定的磋商响应截止时间和地点解密电子响应文件。由集中采购机构主持，供应商无须到现场。</w:t>
      </w:r>
    </w:p>
    <w:p>
      <w:pPr>
        <w:autoSpaceDE w:val="0"/>
        <w:autoSpaceDN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22.2磋商响应截止时间，由集中采购机构开通远程不见面开标大厅及开启“文字互动”等功能；供应商、集中采购机构进行电子响应文件的解密。解密后供应商选择功能栏“开标记录”按钮可查看供应商名称、修改和撤回响应的通知（如有的话）和磋商文件规定的需要宣布的其他内容。</w:t>
      </w:r>
    </w:p>
    <w:p>
      <w:pPr>
        <w:autoSpaceDE w:val="0"/>
        <w:autoSpaceDN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22.2.1 电子响应文件的解密：全流程电子化交易项目电子响应文件采用双重加密。解密需分标段进行两次解密。</w:t>
      </w:r>
    </w:p>
    <w:p>
      <w:pPr>
        <w:autoSpaceDE w:val="0"/>
        <w:autoSpaceDN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22.2.1.1 供应商解密：供应商使用本单位CA数字证书进行远程解密。</w:t>
      </w:r>
    </w:p>
    <w:p>
      <w:pPr>
        <w:autoSpaceDE w:val="0"/>
        <w:autoSpaceDN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22.2.1.2 集中采购机构解密：集中采购机构按电子响应文件到达交易系统的先后顺序，使用本单位CA数字证书进行再次解密。</w:t>
      </w:r>
    </w:p>
    <w:p>
      <w:pPr>
        <w:autoSpaceDE w:val="0"/>
        <w:autoSpaceDN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22.2.1.3 供应商未在规定时间内解密或因供应商原因解密失败的，其响应文件将被拒绝。</w:t>
      </w:r>
    </w:p>
    <w:p>
      <w:pPr>
        <w:autoSpaceDE w:val="0"/>
        <w:autoSpaceDN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22.3 供应商不足3家的，本项目磋商活动终止。（如符合《《政府采购非招标采购方式管理办法》》（财政部令第74号）第二十七条第二款中的情形的，供应商最低数量可以为两家）</w:t>
      </w:r>
    </w:p>
    <w:p>
      <w:pPr>
        <w:autoSpaceDE w:val="0"/>
        <w:autoSpaceDN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22.4 响应文件解密过程由集中采购机构负责记录。</w:t>
      </w:r>
    </w:p>
    <w:p>
      <w:pPr>
        <w:autoSpaceDE w:val="0"/>
        <w:autoSpaceDN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22.5 供应商对解密过程和记录有疑义，以及认为采购人、集中采购机构相关工作人员有需要回避的情形的，应当场提出询问或者回避申请。采购人、集中采购机构对供应商提出的询问或者回避申请应当及时处理。</w:t>
      </w:r>
    </w:p>
    <w:p>
      <w:pPr>
        <w:autoSpaceDE w:val="0"/>
        <w:autoSpaceDN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22.6 响应文件解密活动结束时，供应商应在《开标记录表》上进行电子签章。供应商未签章的，视同认可解密结果。</w:t>
      </w:r>
    </w:p>
    <w:p>
      <w:pPr>
        <w:pStyle w:val="37"/>
        <w:autoSpaceDE w:val="0"/>
        <w:autoSpaceDN w:val="0"/>
        <w:spacing w:line="360" w:lineRule="auto"/>
        <w:ind w:left="142" w:firstLine="0" w:firstLineChars="0"/>
        <w:contextualSpacing/>
        <w:rPr>
          <w:rFonts w:ascii="宋体" w:hAnsi="宋体" w:cs="宋体"/>
          <w:b/>
          <w:kern w:val="0"/>
          <w:sz w:val="24"/>
          <w:szCs w:val="24"/>
        </w:rPr>
      </w:pPr>
      <w:r>
        <w:rPr>
          <w:rFonts w:hint="eastAsia" w:ascii="宋体" w:hAnsi="宋体" w:cs="宋体"/>
          <w:b/>
          <w:kern w:val="0"/>
          <w:sz w:val="24"/>
          <w:szCs w:val="24"/>
        </w:rPr>
        <w:t>23．磋商小组组成</w:t>
      </w:r>
    </w:p>
    <w:p>
      <w:pPr>
        <w:pStyle w:val="37"/>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23.1采购人将依法组建磋商小组，磋商小组</w:t>
      </w:r>
      <w:r>
        <w:rPr>
          <w:rFonts w:hint="eastAsia" w:ascii="宋体" w:hAnsi="宋体" w:cs="宋体"/>
          <w:sz w:val="24"/>
          <w:szCs w:val="24"/>
        </w:rPr>
        <w:t>由采购人代表1人和评审专家2人共3人组成</w:t>
      </w:r>
      <w:r>
        <w:rPr>
          <w:rFonts w:hint="eastAsia" w:ascii="宋体" w:hAnsi="宋体" w:cs="宋体"/>
          <w:kern w:val="0"/>
          <w:sz w:val="24"/>
          <w:szCs w:val="24"/>
        </w:rPr>
        <w:t>。评审专家依法从政府采购评审专家库中随机抽取。</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23.1.1采购人将依法组建磋商小组，磋商小组由评审专家组成，成员人数应当为</w:t>
      </w:r>
      <w:r>
        <w:rPr>
          <w:rFonts w:hint="eastAsia" w:ascii="宋体" w:hAnsi="宋体" w:cs="宋体"/>
          <w:sz w:val="24"/>
          <w:szCs w:val="24"/>
        </w:rPr>
        <w:t>3人以上单数组成</w:t>
      </w:r>
      <w:r>
        <w:rPr>
          <w:rFonts w:hint="eastAsia" w:ascii="宋体" w:hAnsi="宋体" w:cs="宋体"/>
          <w:kern w:val="0"/>
          <w:sz w:val="24"/>
          <w:szCs w:val="24"/>
        </w:rPr>
        <w:t>。评审专家依法从政府采购评审专家库中随机抽取。</w:t>
      </w:r>
    </w:p>
    <w:p>
      <w:pPr>
        <w:autoSpaceDE w:val="0"/>
        <w:autoSpaceDN w:val="0"/>
        <w:spacing w:line="360" w:lineRule="auto"/>
        <w:ind w:firstLine="480" w:firstLineChars="200"/>
        <w:contextualSpacing/>
        <w:rPr>
          <w:rFonts w:ascii="宋体" w:hAnsi="宋体" w:cs="宋体"/>
          <w:sz w:val="24"/>
          <w:szCs w:val="24"/>
        </w:rPr>
      </w:pPr>
      <w:r>
        <w:rPr>
          <w:rFonts w:hint="eastAsia" w:ascii="宋体" w:hAnsi="宋体" w:cs="宋体"/>
          <w:sz w:val="24"/>
          <w:szCs w:val="24"/>
        </w:rPr>
        <w:t>23.1.2达到公开招标数额标准的货物或者服务采购项目，或者达到招标规模标准的政府采购工程，竞争性磋商小组应当由5人以上单数组成。</w:t>
      </w:r>
    </w:p>
    <w:p>
      <w:pPr>
        <w:pStyle w:val="37"/>
        <w:autoSpaceDE w:val="0"/>
        <w:autoSpaceDN w:val="0"/>
        <w:spacing w:line="360" w:lineRule="auto"/>
        <w:ind w:firstLine="480"/>
        <w:contextualSpacing/>
        <w:rPr>
          <w:rFonts w:ascii="宋体" w:hAnsi="宋体" w:cs="宋体"/>
          <w:kern w:val="0"/>
          <w:sz w:val="24"/>
          <w:szCs w:val="24"/>
        </w:rPr>
      </w:pPr>
      <w:r>
        <w:rPr>
          <w:rFonts w:hint="eastAsia" w:ascii="宋体" w:hAnsi="宋体" w:cs="宋体"/>
          <w:sz w:val="24"/>
          <w:szCs w:val="24"/>
        </w:rPr>
        <w:t>23.2采购人不得以评审专家身份参加本部门或本单位采购项目的评审</w:t>
      </w:r>
      <w:r>
        <w:rPr>
          <w:rFonts w:hint="eastAsia" w:ascii="宋体" w:hAnsi="宋体" w:cs="宋体"/>
          <w:kern w:val="0"/>
          <w:sz w:val="24"/>
          <w:szCs w:val="24"/>
        </w:rPr>
        <w:t>。</w:t>
      </w:r>
    </w:p>
    <w:p>
      <w:pPr>
        <w:pStyle w:val="37"/>
        <w:autoSpaceDE w:val="0"/>
        <w:autoSpaceDN w:val="0"/>
        <w:spacing w:line="360" w:lineRule="auto"/>
        <w:ind w:firstLine="480"/>
        <w:contextualSpacing/>
        <w:rPr>
          <w:rFonts w:ascii="宋体" w:hAnsi="宋体" w:cs="宋体"/>
          <w:kern w:val="0"/>
          <w:sz w:val="24"/>
          <w:szCs w:val="24"/>
        </w:rPr>
      </w:pPr>
      <w:r>
        <w:rPr>
          <w:rFonts w:hint="eastAsia" w:ascii="宋体" w:hAnsi="宋体" w:cs="宋体"/>
          <w:kern w:val="0"/>
          <w:sz w:val="24"/>
          <w:szCs w:val="24"/>
        </w:rPr>
        <w:t>23.3磋商小组成员与供应商存在下列利害关系之一的,应当回避:</w:t>
      </w:r>
    </w:p>
    <w:p>
      <w:pPr>
        <w:autoSpaceDE w:val="0"/>
        <w:autoSpaceDN w:val="0"/>
        <w:spacing w:line="360" w:lineRule="auto"/>
        <w:ind w:firstLine="480" w:firstLineChars="200"/>
        <w:contextualSpacing/>
        <w:rPr>
          <w:rFonts w:ascii="宋体" w:hAnsi="宋体" w:cs="宋体"/>
          <w:sz w:val="24"/>
          <w:szCs w:val="24"/>
        </w:rPr>
      </w:pPr>
      <w:r>
        <w:rPr>
          <w:rFonts w:hint="eastAsia" w:ascii="宋体" w:hAnsi="宋体" w:cs="宋体"/>
          <w:sz w:val="24"/>
          <w:szCs w:val="24"/>
        </w:rPr>
        <w:t>参加采购活动前三年内,与供应商存在劳动关系,或者担任过供应商的董事、监事,或者是供应商的控股股东或实际控制人；</w:t>
      </w:r>
    </w:p>
    <w:p>
      <w:pPr>
        <w:autoSpaceDE w:val="0"/>
        <w:autoSpaceDN w:val="0"/>
        <w:spacing w:line="360" w:lineRule="auto"/>
        <w:ind w:firstLine="480" w:firstLineChars="200"/>
        <w:contextualSpacing/>
        <w:rPr>
          <w:rFonts w:ascii="宋体" w:hAnsi="宋体" w:cs="宋体"/>
          <w:sz w:val="24"/>
          <w:szCs w:val="24"/>
        </w:rPr>
      </w:pPr>
      <w:r>
        <w:rPr>
          <w:rFonts w:hint="eastAsia" w:ascii="宋体" w:hAnsi="宋体" w:cs="宋体"/>
          <w:sz w:val="24"/>
          <w:szCs w:val="24"/>
        </w:rPr>
        <w:t>与供应商的法定代表人或者负责人有夫妻、直系血亲、三代以内旁系血亲或者近姻亲关系；</w:t>
      </w:r>
    </w:p>
    <w:p>
      <w:pPr>
        <w:autoSpaceDE w:val="0"/>
        <w:autoSpaceDN w:val="0"/>
        <w:spacing w:line="360" w:lineRule="auto"/>
        <w:ind w:firstLine="480" w:firstLineChars="200"/>
        <w:contextualSpacing/>
        <w:rPr>
          <w:rFonts w:ascii="宋体" w:hAnsi="宋体" w:cs="宋体"/>
          <w:sz w:val="24"/>
          <w:szCs w:val="24"/>
        </w:rPr>
      </w:pPr>
      <w:r>
        <w:rPr>
          <w:rFonts w:hint="eastAsia" w:ascii="宋体" w:hAnsi="宋体" w:cs="宋体"/>
          <w:sz w:val="24"/>
          <w:szCs w:val="24"/>
        </w:rPr>
        <w:t>与供应商有其他可能影响政府采购活动公平、公正进行的关系。</w:t>
      </w:r>
    </w:p>
    <w:p>
      <w:pPr>
        <w:pStyle w:val="37"/>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评审专家发现本人与参加采购活动的供应商有利害关系的,应当主动提出回避。采购人或者采购代理公司发现评审专家与参加采购活动的供应商有利害关系的,应当要求其回避。</w:t>
      </w:r>
    </w:p>
    <w:p>
      <w:pPr>
        <w:pStyle w:val="37"/>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23.4采购人不得担任磋商小组组长。</w:t>
      </w:r>
    </w:p>
    <w:p>
      <w:pPr>
        <w:pStyle w:val="37"/>
        <w:autoSpaceDE w:val="0"/>
        <w:autoSpaceDN w:val="0"/>
        <w:spacing w:line="360" w:lineRule="auto"/>
        <w:ind w:firstLine="480"/>
        <w:contextualSpacing/>
        <w:rPr>
          <w:rFonts w:ascii="宋体" w:hAnsi="宋体" w:cs="宋体"/>
          <w:kern w:val="0"/>
          <w:sz w:val="24"/>
          <w:szCs w:val="24"/>
        </w:rPr>
      </w:pPr>
      <w:r>
        <w:rPr>
          <w:rFonts w:hint="eastAsia" w:ascii="宋体" w:hAnsi="宋体" w:cs="宋体"/>
          <w:kern w:val="0"/>
          <w:sz w:val="24"/>
          <w:szCs w:val="24"/>
        </w:rPr>
        <w:t>23.5磋商小组成员名单在成交结果公告前应当保密。</w:t>
      </w:r>
    </w:p>
    <w:p>
      <w:pPr>
        <w:pStyle w:val="37"/>
        <w:autoSpaceDE w:val="0"/>
        <w:autoSpaceDN w:val="0"/>
        <w:spacing w:line="360" w:lineRule="auto"/>
        <w:ind w:firstLine="0" w:firstLineChars="0"/>
        <w:contextualSpacing/>
        <w:rPr>
          <w:rFonts w:ascii="宋体" w:hAnsi="宋体" w:cs="宋体"/>
          <w:b/>
          <w:kern w:val="0"/>
          <w:sz w:val="24"/>
          <w:szCs w:val="24"/>
        </w:rPr>
      </w:pPr>
      <w:r>
        <w:rPr>
          <w:rFonts w:hint="eastAsia" w:ascii="宋体" w:hAnsi="宋体" w:cs="宋体"/>
          <w:b/>
          <w:kern w:val="0"/>
          <w:sz w:val="24"/>
          <w:szCs w:val="24"/>
        </w:rPr>
        <w:t>24.资格审查和符合性审查</w:t>
      </w:r>
    </w:p>
    <w:p>
      <w:pPr>
        <w:pStyle w:val="37"/>
        <w:autoSpaceDE w:val="0"/>
        <w:autoSpaceDN w:val="0"/>
        <w:spacing w:line="360" w:lineRule="auto"/>
        <w:ind w:firstLine="480"/>
        <w:contextualSpacing/>
        <w:rPr>
          <w:rFonts w:ascii="宋体" w:hAnsi="宋体" w:cs="宋体"/>
          <w:kern w:val="0"/>
          <w:sz w:val="24"/>
          <w:szCs w:val="24"/>
        </w:rPr>
      </w:pPr>
      <w:r>
        <w:rPr>
          <w:rFonts w:hint="eastAsia" w:ascii="宋体" w:hAnsi="宋体" w:cs="宋体"/>
          <w:kern w:val="0"/>
          <w:sz w:val="24"/>
          <w:szCs w:val="24"/>
        </w:rPr>
        <w:t>24.1资格审查：磋商小组依据有关法律法规和磋商文件的规定对供应商的资格进行审查。</w:t>
      </w:r>
    </w:p>
    <w:p>
      <w:pPr>
        <w:pStyle w:val="37"/>
        <w:autoSpaceDE w:val="0"/>
        <w:autoSpaceDN w:val="0"/>
        <w:spacing w:line="360" w:lineRule="auto"/>
        <w:ind w:firstLine="482"/>
        <w:contextualSpacing/>
        <w:rPr>
          <w:rFonts w:ascii="宋体" w:hAnsi="宋体" w:cs="宋体"/>
          <w:kern w:val="0"/>
          <w:sz w:val="24"/>
          <w:szCs w:val="24"/>
        </w:rPr>
      </w:pPr>
      <w:r>
        <w:rPr>
          <w:rFonts w:hint="eastAsia" w:ascii="宋体" w:hAnsi="宋体" w:cs="宋体"/>
          <w:b/>
          <w:kern w:val="0"/>
          <w:sz w:val="24"/>
          <w:szCs w:val="24"/>
        </w:rPr>
        <w:t>本项目具体资格审查详见（第六章 对响应文件审查与评审）</w:t>
      </w:r>
      <w:r>
        <w:rPr>
          <w:rFonts w:hint="eastAsia" w:ascii="宋体" w:hAnsi="宋体" w:cs="宋体"/>
          <w:kern w:val="0"/>
          <w:sz w:val="24"/>
          <w:szCs w:val="24"/>
        </w:rPr>
        <w:t>。</w:t>
      </w:r>
    </w:p>
    <w:p>
      <w:pPr>
        <w:pStyle w:val="37"/>
        <w:autoSpaceDE w:val="0"/>
        <w:autoSpaceDN w:val="0"/>
        <w:spacing w:line="360" w:lineRule="auto"/>
        <w:ind w:firstLine="480"/>
        <w:contextualSpacing/>
        <w:rPr>
          <w:rFonts w:ascii="宋体" w:hAnsi="宋体" w:cs="宋体"/>
          <w:kern w:val="0"/>
          <w:sz w:val="24"/>
          <w:szCs w:val="24"/>
        </w:rPr>
      </w:pPr>
      <w:r>
        <w:rPr>
          <w:rFonts w:hint="eastAsia" w:ascii="宋体" w:hAnsi="宋体" w:cs="宋体"/>
          <w:kern w:val="0"/>
          <w:sz w:val="24"/>
          <w:szCs w:val="24"/>
        </w:rPr>
        <w:t>24.2符合性审查：</w:t>
      </w:r>
      <w:r>
        <w:rPr>
          <w:rFonts w:hint="eastAsia" w:ascii="宋体" w:hAnsi="宋体" w:cs="宋体"/>
          <w:sz w:val="24"/>
          <w:szCs w:val="24"/>
        </w:rPr>
        <w:t>依据磋商文件的规定，从响应文件的有效性、完整性和对磋商文件的响应程度进行审查，以确定是否对磋商文件的全部实质性要求作出响应。</w:t>
      </w:r>
    </w:p>
    <w:p>
      <w:pPr>
        <w:autoSpaceDE w:val="0"/>
        <w:autoSpaceDN w:val="0"/>
        <w:spacing w:line="360" w:lineRule="auto"/>
        <w:rPr>
          <w:rFonts w:ascii="宋体" w:hAnsi="宋体" w:cs="宋体"/>
          <w:b/>
          <w:kern w:val="0"/>
          <w:sz w:val="24"/>
          <w:szCs w:val="24"/>
        </w:rPr>
      </w:pPr>
      <w:r>
        <w:rPr>
          <w:rFonts w:hint="eastAsia" w:ascii="宋体" w:hAnsi="宋体" w:cs="宋体"/>
          <w:b/>
          <w:kern w:val="0"/>
          <w:sz w:val="24"/>
          <w:szCs w:val="24"/>
        </w:rPr>
        <w:t>27.响应文件的澄清</w:t>
      </w:r>
    </w:p>
    <w:p>
      <w:pPr>
        <w:autoSpaceDE w:val="0"/>
        <w:autoSpaceDN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27.1 对于响应文件中含义不明确、同类问题表述不一致或者有明显文字和计算错误的内容，磋商小组应当以书面形式要求供应商作出必要的澄清、说明或者补正。</w:t>
      </w:r>
    </w:p>
    <w:p>
      <w:pPr>
        <w:autoSpaceDE w:val="0"/>
        <w:autoSpaceDN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27.2 供应商的澄清、说明或者补正应当采用书面形式，并加盖公章，或者由法定代表人或其授权的代表签字。供应商的澄清、说明或者补正不得超出响应文件的范围或者改变响应文件的实质性内容。</w:t>
      </w:r>
    </w:p>
    <w:p>
      <w:pPr>
        <w:autoSpaceDE w:val="0"/>
        <w:autoSpaceDN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27.3 供应商的澄清文件是其响应文件的组成部分。</w:t>
      </w:r>
    </w:p>
    <w:p>
      <w:pPr>
        <w:autoSpaceDE w:val="0"/>
        <w:autoSpaceDN w:val="0"/>
        <w:spacing w:line="360" w:lineRule="auto"/>
        <w:rPr>
          <w:rFonts w:ascii="宋体" w:hAnsi="宋体" w:cs="宋体"/>
          <w:b/>
          <w:kern w:val="0"/>
          <w:sz w:val="24"/>
          <w:szCs w:val="24"/>
        </w:rPr>
      </w:pPr>
      <w:r>
        <w:rPr>
          <w:rFonts w:hint="eastAsia" w:ascii="宋体" w:hAnsi="宋体" w:cs="宋体"/>
          <w:b/>
          <w:kern w:val="0"/>
          <w:sz w:val="24"/>
          <w:szCs w:val="24"/>
        </w:rPr>
        <w:t>28.响应文件报价出现前后不一致的修正</w:t>
      </w:r>
    </w:p>
    <w:p>
      <w:pPr>
        <w:autoSpaceDE w:val="0"/>
        <w:autoSpaceDN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（1）响应文件中开标一览表(报价表)内容与响应文件中相应内容不一致的，以开标一览表(报价表)为准；</w:t>
      </w:r>
    </w:p>
    <w:p>
      <w:pPr>
        <w:autoSpaceDE w:val="0"/>
        <w:autoSpaceDN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（2）大写金额和小写金额不一致的，以大写金额为准；</w:t>
      </w:r>
    </w:p>
    <w:p>
      <w:pPr>
        <w:autoSpaceDE w:val="0"/>
        <w:autoSpaceDN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（3） 单价金额小数点或者百分比有明显错位的，以开标一览表的总价为准，并修改单价；</w:t>
      </w:r>
    </w:p>
    <w:p>
      <w:pPr>
        <w:autoSpaceDE w:val="0"/>
        <w:autoSpaceDN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（4） 总价金额与按单价汇总金额不一致的，以单价金额计算结果为准。同时出现两种以上不一致的，按照前款规定的顺序修正。修正后的报价按照“供应商须知”</w:t>
      </w:r>
    </w:p>
    <w:p>
      <w:pPr>
        <w:autoSpaceDE w:val="0"/>
        <w:autoSpaceDN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27.2规定经供应商确认后产生约束力，供应商不确认的，其响应无效。</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29.响应文件的评审与评价</w:t>
      </w:r>
    </w:p>
    <w:p>
      <w:pPr>
        <w:autoSpaceDE w:val="0"/>
        <w:autoSpaceDN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磋商小组按照磋商文件中规定的评标方法和标准，对符合性审查合格的响应文件进行商务和技术评估，综合比较与评价。</w:t>
      </w:r>
    </w:p>
    <w:p>
      <w:pPr>
        <w:autoSpaceDE w:val="0"/>
        <w:autoSpaceDN w:val="0"/>
        <w:spacing w:line="360" w:lineRule="auto"/>
        <w:rPr>
          <w:rFonts w:ascii="宋体" w:hAnsi="宋体" w:cs="宋体"/>
          <w:kern w:val="0"/>
          <w:sz w:val="24"/>
        </w:rPr>
      </w:pPr>
      <w:r>
        <w:rPr>
          <w:rFonts w:hint="eastAsia" w:ascii="宋体" w:hAnsi="宋体" w:cs="宋体"/>
          <w:b/>
          <w:kern w:val="0"/>
          <w:sz w:val="24"/>
          <w:szCs w:val="24"/>
        </w:rPr>
        <w:t>30.评</w:t>
      </w:r>
      <w:r>
        <w:rPr>
          <w:rFonts w:hint="eastAsia" w:ascii="宋体" w:hAnsi="宋体" w:cs="宋体"/>
          <w:b/>
          <w:bCs/>
          <w:kern w:val="0"/>
          <w:sz w:val="24"/>
        </w:rPr>
        <w:t>标方法、评审标准</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30.1评标方法为综合评分法。</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 xml:space="preserve"> 综合评分法，是指响应文件满足磋商文件全部实质性要求，且按照评审因素的量化指标评审得分最高的供应商为成交候选人的评标方法。</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30.2价格分</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（1）价格分采用低价优先法计算，即满足磋商文件要求且最后报价最低的供应商的价格为磋商基准价，其价格分为满分。</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（2）评审过程中，不得去掉最后报价中的最高报价和最低报价。</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（3）因落实政府采购政策进行价格调整的，以调整后的价格计算磋商基准价和磋商报价。</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30.3 本次磋商具体磋商方法、磋商标准见（第六章 对响应文件审查与评审）。</w:t>
      </w:r>
    </w:p>
    <w:p>
      <w:pPr>
        <w:pStyle w:val="29"/>
        <w:ind w:firstLine="0" w:firstLineChars="0"/>
        <w:rPr>
          <w:rFonts w:hAnsi="宋体" w:cs="宋体"/>
          <w:b/>
          <w:bCs/>
          <w:sz w:val="24"/>
          <w:szCs w:val="24"/>
        </w:rPr>
      </w:pPr>
      <w:r>
        <w:rPr>
          <w:rFonts w:hint="eastAsia" w:hAnsi="宋体" w:cs="宋体"/>
          <w:b/>
          <w:bCs/>
          <w:sz w:val="24"/>
          <w:szCs w:val="24"/>
        </w:rPr>
        <w:t>31.磋商</w:t>
      </w:r>
    </w:p>
    <w:p>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 xml:space="preserve">31. 1 磋商小组与通过符合性审查合格的响应文件，即实质性响应磋商文件的供应商分别进行磋商。 </w:t>
      </w:r>
    </w:p>
    <w:p>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 xml:space="preserve">31. 2 磋商小组所有成员应当集中与单一供应商分别进行磋商，并给予所有参加磋商的供应商平等的磋商机会。 </w:t>
      </w:r>
    </w:p>
    <w:p>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 xml:space="preserve">31. 3 在磋商中，磋商的任何一方不得透露与磋商有关的其他供应商的技术资料、价格和其他信息。 </w:t>
      </w:r>
    </w:p>
    <w:p>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 xml:space="preserve">31. 4 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将及时以书面形式同时通知所有参加磋商的供应商。 </w:t>
      </w:r>
    </w:p>
    <w:p>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 xml:space="preserve">31. 5 磋商文件能够详细列明采购标的的技术、服务要求的，磋商结束后，磋商小组应当要求所有实质性响应的供应商在规定时间内提交最后报价，提交最后报价的供应商不得少于3家。 </w:t>
      </w:r>
    </w:p>
    <w:p>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 xml:space="preserve">31. 6 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 </w:t>
      </w:r>
    </w:p>
    <w:p>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31. 7 如磋商中出现符合《财政部关于政府采购竞争性磋商采购方式管理暂行办法有关问题的补充通知》（财库〔2015〕124号）中的情形，则按财政部通知要求执行。</w:t>
      </w:r>
    </w:p>
    <w:p>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31. 8 最后报价是供应商响应文件的有效组成部分。符合《政府采购竞争性磋商采购方式管理暂行办法》【（财库2014）214号】第三条第四项情形的，提交最后报价的供应商可以为2家 。</w:t>
      </w:r>
    </w:p>
    <w:p>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 xml:space="preserve">31. 9 已提交响应文件的供应商，在提交最后报价之前，可以根据磋商情况退出磋商。 </w:t>
      </w:r>
    </w:p>
    <w:p>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31. 10 按照《关于推进全流程电子化交易和在线监管工作有关问题的通知》（许公管办</w:t>
      </w:r>
      <w:r>
        <w:rPr>
          <w:rFonts w:ascii="宋体" w:hAnsi="宋体" w:cs="宋体"/>
          <w:kern w:val="0"/>
          <w:sz w:val="24"/>
          <w:szCs w:val="24"/>
        </w:rPr>
        <w:t>[2019]3</w:t>
      </w:r>
      <w:r>
        <w:rPr>
          <w:rFonts w:hint="eastAsia" w:ascii="宋体" w:hAnsi="宋体" w:cs="宋体"/>
          <w:kern w:val="0"/>
          <w:sz w:val="24"/>
          <w:szCs w:val="24"/>
        </w:rPr>
        <w:t xml:space="preserve">号）规定，评审专家应严格按照要求查看“硬件特征码相”关信息并进行评审。 </w:t>
      </w:r>
    </w:p>
    <w:p>
      <w:pPr>
        <w:autoSpaceDE w:val="0"/>
        <w:autoSpaceDN w:val="0"/>
        <w:spacing w:line="360" w:lineRule="auto"/>
        <w:rPr>
          <w:rFonts w:ascii="宋体" w:hAnsi="宋体" w:cs="宋体"/>
          <w:b/>
          <w:bCs/>
          <w:kern w:val="0"/>
          <w:sz w:val="24"/>
          <w:szCs w:val="24"/>
        </w:rPr>
      </w:pPr>
      <w:r>
        <w:rPr>
          <w:rFonts w:hint="eastAsia" w:ascii="宋体" w:hAnsi="宋体" w:cs="宋体"/>
          <w:b/>
          <w:bCs/>
          <w:kern w:val="0"/>
          <w:sz w:val="24"/>
          <w:szCs w:val="24"/>
        </w:rPr>
        <w:t>32.推荐成交候选人</w:t>
      </w:r>
    </w:p>
    <w:p>
      <w:pPr>
        <w:autoSpaceDE w:val="0"/>
        <w:autoSpaceDN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32.1磋商小组应当根据综合评分情况，按照评审得分由高到低顺序推荐3名以上成交候选供应商，并编写评审报告。符合《政府采购竞争性磋商采购方式管理暂行办法》【（财库2014）214号】第二十一条第三款情形的，可以推荐</w:t>
      </w:r>
      <w:r>
        <w:rPr>
          <w:rFonts w:ascii="宋体" w:hAnsi="宋体" w:cs="宋体"/>
          <w:kern w:val="0"/>
          <w:sz w:val="24"/>
          <w:szCs w:val="24"/>
        </w:rPr>
        <w:t>2</w:t>
      </w:r>
      <w:r>
        <w:rPr>
          <w:rFonts w:hint="eastAsia" w:ascii="宋体" w:hAnsi="宋体" w:cs="宋体"/>
          <w:kern w:val="0"/>
          <w:sz w:val="24"/>
          <w:szCs w:val="24"/>
        </w:rPr>
        <w:t xml:space="preserve">家成交候选供应商。评审得分相同的，按照最后报价由低到高的顺序推荐。评审得分且最后报价相同的，按照技术指标优劣顺序推荐。 </w:t>
      </w:r>
    </w:p>
    <w:p>
      <w:pPr>
        <w:autoSpaceDE w:val="0"/>
        <w:autoSpaceDN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32.2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autoSpaceDE w:val="0"/>
        <w:autoSpaceDN w:val="0"/>
        <w:spacing w:line="360" w:lineRule="auto"/>
        <w:rPr>
          <w:rFonts w:ascii="宋体" w:hAnsi="宋体" w:cs="宋体"/>
          <w:b/>
          <w:kern w:val="0"/>
          <w:sz w:val="24"/>
          <w:szCs w:val="24"/>
        </w:rPr>
      </w:pPr>
      <w:r>
        <w:rPr>
          <w:rFonts w:hint="eastAsia" w:ascii="宋体" w:hAnsi="宋体" w:cs="宋体"/>
          <w:b/>
          <w:kern w:val="0"/>
          <w:sz w:val="24"/>
          <w:szCs w:val="24"/>
        </w:rPr>
        <w:t>33.保密</w:t>
      </w:r>
    </w:p>
    <w:p>
      <w:pPr>
        <w:autoSpaceDE w:val="0"/>
        <w:autoSpaceDN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33.1评审专家应当遵守评审工作纪律，不得泄露评审文件、评审情况和评审中获悉的商业秘密。</w:t>
      </w:r>
    </w:p>
    <w:p>
      <w:pPr>
        <w:autoSpaceDE w:val="0"/>
        <w:autoSpaceDN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33.2 采购人、集中采购机构应当采取必要措施，保证评标在严格保密的情况下进行。有关人员对评标情况以及在评标过程中获悉的国家秘密、商业秘密负有保密责任。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jc w:val="center"/>
        <w:rPr>
          <w:rFonts w:ascii="宋体" w:hAnsi="宋体" w:cs="宋体"/>
          <w:b/>
          <w:kern w:val="0"/>
          <w:sz w:val="24"/>
          <w:szCs w:val="24"/>
        </w:rPr>
      </w:pPr>
      <w:r>
        <w:rPr>
          <w:rFonts w:hint="eastAsia" w:ascii="宋体" w:hAnsi="宋体" w:cs="宋体"/>
          <w:b/>
          <w:kern w:val="0"/>
          <w:sz w:val="24"/>
          <w:szCs w:val="24"/>
        </w:rPr>
        <w:t>六、定标和授予合同</w:t>
      </w:r>
    </w:p>
    <w:p>
      <w:pPr>
        <w:autoSpaceDE w:val="0"/>
        <w:autoSpaceDN w:val="0"/>
        <w:spacing w:line="360" w:lineRule="auto"/>
        <w:rPr>
          <w:rFonts w:ascii="宋体" w:hAnsi="宋体" w:cs="宋体"/>
          <w:b/>
          <w:kern w:val="0"/>
          <w:sz w:val="24"/>
          <w:szCs w:val="24"/>
        </w:rPr>
      </w:pPr>
      <w:r>
        <w:rPr>
          <w:rFonts w:hint="eastAsia" w:ascii="宋体" w:hAnsi="宋体" w:cs="宋体"/>
          <w:b/>
          <w:kern w:val="0"/>
          <w:sz w:val="24"/>
          <w:szCs w:val="24"/>
        </w:rPr>
        <w:t>34.确定成交供应商</w:t>
      </w:r>
    </w:p>
    <w:p>
      <w:pPr>
        <w:autoSpaceDE w:val="0"/>
        <w:autoSpaceDN w:val="0"/>
        <w:spacing w:line="360" w:lineRule="auto"/>
        <w:ind w:firstLine="360" w:firstLineChars="150"/>
        <w:rPr>
          <w:rFonts w:ascii="宋体" w:hAnsi="宋体" w:cs="宋体"/>
          <w:kern w:val="0"/>
          <w:sz w:val="24"/>
          <w:szCs w:val="24"/>
        </w:rPr>
      </w:pPr>
      <w:r>
        <w:rPr>
          <w:rFonts w:hint="eastAsia" w:ascii="宋体" w:hAnsi="宋体" w:cs="宋体"/>
          <w:kern w:val="0"/>
          <w:sz w:val="24"/>
          <w:szCs w:val="24"/>
        </w:rPr>
        <w:t>34.1采购人应当自收到评标报告之日起5个工作日内，在评标报告确定的成交候选人名单中按顺序确定成交人。成交候选人并列的，由采购人采取随机抽取的方式确定。</w:t>
      </w:r>
    </w:p>
    <w:p>
      <w:pPr>
        <w:autoSpaceDE w:val="0"/>
        <w:autoSpaceDN w:val="0"/>
        <w:spacing w:line="360" w:lineRule="auto"/>
        <w:ind w:firstLine="360" w:firstLineChars="150"/>
        <w:rPr>
          <w:rFonts w:ascii="宋体" w:hAnsi="宋体" w:cs="宋体"/>
          <w:kern w:val="0"/>
          <w:sz w:val="24"/>
          <w:szCs w:val="24"/>
        </w:rPr>
      </w:pPr>
      <w:r>
        <w:rPr>
          <w:rFonts w:hint="eastAsia" w:ascii="宋体" w:hAnsi="宋体" w:cs="宋体"/>
          <w:kern w:val="0"/>
          <w:sz w:val="24"/>
          <w:szCs w:val="24"/>
        </w:rPr>
        <w:t>34.2采购人在收到评标报告5个工作日内未按评标报告推荐的成交候选人顺序确定成交人，又不能说明合法理由的，视同按评标报告推荐的顺序确定排名第一的成交候选人为成交人。</w:t>
      </w:r>
    </w:p>
    <w:p>
      <w:pPr>
        <w:autoSpaceDE w:val="0"/>
        <w:autoSpaceDN w:val="0"/>
        <w:spacing w:line="360" w:lineRule="auto"/>
        <w:rPr>
          <w:rFonts w:ascii="宋体" w:hAnsi="宋体" w:cs="宋体"/>
          <w:b/>
          <w:kern w:val="0"/>
          <w:sz w:val="24"/>
          <w:szCs w:val="24"/>
        </w:rPr>
      </w:pPr>
      <w:r>
        <w:rPr>
          <w:rFonts w:hint="eastAsia" w:ascii="宋体" w:hAnsi="宋体" w:cs="宋体"/>
          <w:b/>
          <w:kern w:val="0"/>
          <w:sz w:val="24"/>
          <w:szCs w:val="24"/>
        </w:rPr>
        <w:t>35.成交公告、发出成交通知书</w:t>
      </w:r>
    </w:p>
    <w:p>
      <w:pPr>
        <w:autoSpaceDE w:val="0"/>
        <w:autoSpaceDN w:val="0"/>
        <w:spacing w:line="360" w:lineRule="auto"/>
        <w:ind w:firstLine="360" w:firstLineChars="150"/>
        <w:rPr>
          <w:rFonts w:ascii="宋体" w:hAnsi="宋体" w:cs="宋体"/>
          <w:kern w:val="0"/>
          <w:sz w:val="24"/>
          <w:szCs w:val="24"/>
        </w:rPr>
      </w:pPr>
      <w:r>
        <w:rPr>
          <w:rFonts w:hint="eastAsia" w:ascii="宋体" w:hAnsi="宋体" w:cs="宋体"/>
          <w:kern w:val="0"/>
          <w:sz w:val="24"/>
          <w:szCs w:val="24"/>
        </w:rPr>
        <w:t>35.1采购人确认成交人后，采购人在公告中标结果和《中小企业声明函》（如有）的同时，向成交人发出成交通知书。</w:t>
      </w:r>
    </w:p>
    <w:p>
      <w:pPr>
        <w:autoSpaceDE w:val="0"/>
        <w:autoSpaceDN w:val="0"/>
        <w:spacing w:line="360" w:lineRule="auto"/>
        <w:ind w:firstLine="360" w:firstLineChars="150"/>
        <w:rPr>
          <w:rFonts w:ascii="宋体" w:hAnsi="宋体" w:cs="宋体"/>
          <w:kern w:val="0"/>
          <w:sz w:val="24"/>
          <w:szCs w:val="24"/>
        </w:rPr>
      </w:pPr>
      <w:r>
        <w:rPr>
          <w:rFonts w:hint="eastAsia" w:ascii="宋体" w:hAnsi="宋体" w:cs="宋体"/>
          <w:kern w:val="0"/>
          <w:sz w:val="24"/>
          <w:szCs w:val="24"/>
        </w:rPr>
        <w:t>35.2成交通知书发出后，采购人不得违法改变成交结果，成交人无正当理由不得放弃成交。</w:t>
      </w:r>
    </w:p>
    <w:p>
      <w:pPr>
        <w:autoSpaceDE w:val="0"/>
        <w:autoSpaceDN w:val="0"/>
        <w:spacing w:line="360" w:lineRule="auto"/>
        <w:ind w:firstLine="360" w:firstLineChars="150"/>
        <w:rPr>
          <w:rFonts w:ascii="宋体" w:hAnsi="宋体" w:cs="宋体"/>
          <w:kern w:val="0"/>
          <w:sz w:val="24"/>
          <w:szCs w:val="24"/>
        </w:rPr>
      </w:pPr>
      <w:r>
        <w:rPr>
          <w:rFonts w:hint="eastAsia" w:ascii="宋体" w:hAnsi="宋体" w:cs="宋体"/>
          <w:kern w:val="0"/>
          <w:sz w:val="24"/>
          <w:szCs w:val="24"/>
        </w:rPr>
        <w:t>35.3成交供应商在接到成交通知时，须向代理机构发送投标报价及分项报价一览表（包含主要成交标的的名称、规格型号、数量、单价、服务要求等）电子文档，并同时通知代理机构联系人。</w:t>
      </w:r>
    </w:p>
    <w:p>
      <w:pPr>
        <w:autoSpaceDE w:val="0"/>
        <w:autoSpaceDN w:val="0"/>
        <w:spacing w:line="360" w:lineRule="auto"/>
        <w:rPr>
          <w:rFonts w:ascii="宋体" w:hAnsi="宋体" w:cs="宋体"/>
          <w:kern w:val="0"/>
          <w:sz w:val="24"/>
          <w:szCs w:val="24"/>
        </w:rPr>
      </w:pPr>
      <w:r>
        <w:rPr>
          <w:rFonts w:hint="eastAsia" w:ascii="宋体" w:hAnsi="宋体" w:cs="宋体"/>
          <w:b/>
          <w:kern w:val="0"/>
          <w:sz w:val="24"/>
          <w:szCs w:val="24"/>
        </w:rPr>
        <w:t>36.质疑提出与答复</w:t>
      </w:r>
    </w:p>
    <w:p>
      <w:pPr>
        <w:autoSpaceDE w:val="0"/>
        <w:autoSpaceDN w:val="0"/>
        <w:spacing w:line="360" w:lineRule="auto"/>
        <w:ind w:firstLine="360" w:firstLineChars="150"/>
        <w:rPr>
          <w:rFonts w:ascii="宋体" w:hAnsi="宋体" w:cs="宋体"/>
          <w:kern w:val="0"/>
          <w:sz w:val="24"/>
          <w:szCs w:val="24"/>
        </w:rPr>
      </w:pPr>
      <w:r>
        <w:rPr>
          <w:rFonts w:hint="eastAsia" w:ascii="宋体" w:hAnsi="宋体" w:cs="宋体"/>
          <w:kern w:val="0"/>
          <w:sz w:val="24"/>
          <w:szCs w:val="24"/>
        </w:rPr>
        <w:t>36.1供应商认为磋商文件、采购过程和成交结果使自己的权益受到损害的，可以按照《政府采购质疑和投诉办法》（财政部令第94号）提出质疑。提出质疑的供应商应当是参与本项目采购活动的供应商。</w:t>
      </w:r>
    </w:p>
    <w:p>
      <w:pPr>
        <w:autoSpaceDE w:val="0"/>
        <w:autoSpaceDN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1）对磋商文件提出质疑的，潜在供应商应已依法获取磋商文件，且应当在获取磋商文件或者磋商文件公告期限届满之日起7个工作日内通过《全国公共资源交易平台（河南省·许昌市）》一次性提出，提出后联系采购公告中代理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（2）对采购过程提出质疑的，为各采购程序环节结束之日起七个工作日内，以书面形式向采购人和集中采购机构一次性提出；</w:t>
      </w:r>
    </w:p>
    <w:p>
      <w:pPr>
        <w:autoSpaceDE w:val="0"/>
        <w:autoSpaceDN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（3）对成交结果提出质疑的，为成交结果公告期限届满之日起七个工作日内，以书面形式向采购人和集中采购机构一次性提出。</w:t>
      </w:r>
    </w:p>
    <w:p>
      <w:pPr>
        <w:autoSpaceDE w:val="0"/>
        <w:autoSpaceDN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36.2采购人认为供应商质疑不成立，或者成立但未对成交结果构成影响的，在收到质疑函7个工作日内通过《全国公共资源交易平台（河南省·许昌市）》交易系 统作出答复，并继续开展采购活动；认为供应商质疑成立且影响或者可能影响成交结果的，在收到质疑函7个工作日内通过《全国公共资源交易平台（河南省·许昌市）》交 易系统作出答复，并按照下列情况处理：</w:t>
      </w:r>
    </w:p>
    <w:p>
      <w:pPr>
        <w:autoSpaceDE w:val="0"/>
        <w:autoSpaceDN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对磋商文件提出的质疑，依法通过澄清或者修改可以继续开展采购活动的，澄清或 者修改磋商文件后继续开展采购活动；否则应当修改磋商文件后重新开展采购活动。</w:t>
      </w:r>
    </w:p>
    <w:p>
      <w:pPr>
        <w:autoSpaceDE w:val="0"/>
        <w:autoSpaceDN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对采购过程、成交结果提出的质疑，合格供应商符合法定数量时，可以从合格的成交候选人中另行确定成交供应商的，应当依法另行确定成交供应商；否则应当重新开展采购活动。</w:t>
      </w:r>
    </w:p>
    <w:p>
      <w:pPr>
        <w:autoSpaceDE w:val="0"/>
        <w:autoSpaceDN w:val="0"/>
        <w:spacing w:line="360" w:lineRule="auto"/>
        <w:rPr>
          <w:rFonts w:ascii="宋体" w:hAnsi="宋体" w:cs="宋体"/>
          <w:b/>
          <w:kern w:val="0"/>
          <w:sz w:val="24"/>
          <w:szCs w:val="24"/>
        </w:rPr>
      </w:pPr>
      <w:r>
        <w:rPr>
          <w:rFonts w:hint="eastAsia" w:ascii="宋体" w:hAnsi="宋体" w:cs="宋体"/>
          <w:b/>
          <w:kern w:val="0"/>
          <w:sz w:val="24"/>
          <w:szCs w:val="24"/>
        </w:rPr>
        <w:t>37.签订合同</w:t>
      </w:r>
    </w:p>
    <w:p>
      <w:pPr>
        <w:autoSpaceDE w:val="0"/>
        <w:autoSpaceDN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采购人应当自成交通知书发出之日起30日内，按照磋商文件和成交人响应文件的规定，与成交人签订书面合同。所签订的合同不得对磋商文件确定的事项和成交人响应文件作实质性修改。</w:t>
      </w:r>
    </w:p>
    <w:p>
      <w:pPr>
        <w:autoSpaceDE w:val="0"/>
        <w:autoSpaceDN w:val="0"/>
        <w:spacing w:line="360" w:lineRule="auto"/>
        <w:rPr>
          <w:rFonts w:ascii="宋体" w:hAnsi="宋体" w:cs="宋体"/>
          <w:b/>
          <w:kern w:val="0"/>
          <w:sz w:val="24"/>
          <w:szCs w:val="24"/>
        </w:rPr>
      </w:pPr>
      <w:r>
        <w:rPr>
          <w:rFonts w:hint="eastAsia" w:ascii="宋体" w:hAnsi="宋体" w:cs="宋体"/>
          <w:b/>
          <w:kern w:val="0"/>
          <w:sz w:val="24"/>
          <w:szCs w:val="24"/>
        </w:rPr>
        <w:t>38.履约担保</w:t>
      </w:r>
    </w:p>
    <w:p>
      <w:pPr>
        <w:autoSpaceDE w:val="0"/>
        <w:autoSpaceDN w:val="0"/>
        <w:spacing w:line="360" w:lineRule="auto"/>
        <w:ind w:firstLine="480" w:firstLineChars="200"/>
        <w:rPr>
          <w:rFonts w:ascii="宋体" w:hAnsi="宋体" w:cs="宋体"/>
          <w:kern w:val="0"/>
          <w:sz w:val="24"/>
        </w:rPr>
      </w:pPr>
      <w:r>
        <w:rPr>
          <w:rFonts w:hint="eastAsia" w:ascii="宋体" w:hAnsi="宋体"/>
          <w:bCs/>
          <w:sz w:val="24"/>
          <w:szCs w:val="24"/>
        </w:rPr>
        <w:t>按照《许昌市财政局关于加大政府采购支持中小企业力度有关事项的通知》(许财购【2022】5号）文的要求，不收取履约保证金。</w:t>
      </w:r>
    </w:p>
    <w:p>
      <w:pPr>
        <w:autoSpaceDE w:val="0"/>
        <w:autoSpaceDN w:val="0"/>
        <w:spacing w:line="360" w:lineRule="auto"/>
        <w:rPr>
          <w:rFonts w:ascii="宋体" w:hAnsi="宋体" w:cs="宋体"/>
          <w:b/>
          <w:kern w:val="0"/>
          <w:sz w:val="24"/>
          <w:szCs w:val="24"/>
        </w:rPr>
      </w:pPr>
      <w:r>
        <w:rPr>
          <w:rFonts w:hint="eastAsia" w:ascii="宋体" w:hAnsi="宋体" w:cs="宋体"/>
          <w:b/>
          <w:kern w:val="0"/>
          <w:sz w:val="24"/>
          <w:szCs w:val="24"/>
        </w:rPr>
        <w:t>39.政府采购合同融资</w:t>
      </w:r>
    </w:p>
    <w:p>
      <w:pPr>
        <w:autoSpaceDE w:val="0"/>
        <w:autoSpaceDN w:val="0"/>
        <w:spacing w:line="360" w:lineRule="auto"/>
        <w:rPr>
          <w:rFonts w:ascii="宋体" w:hAnsi="宋体" w:cs="宋体"/>
          <w:kern w:val="0"/>
          <w:sz w:val="24"/>
        </w:rPr>
      </w:pPr>
      <w:r>
        <w:rPr>
          <w:rFonts w:hint="eastAsia" w:ascii="宋体" w:hAnsi="宋体" w:cs="宋体"/>
          <w:kern w:val="0"/>
          <w:sz w:val="24"/>
        </w:rPr>
        <w:t>39.1 缓解中小企业融资难题</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成交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39.2 合作金融机构（排名不分先后）</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合作金融机构名称：中原银行许昌分行（小微金融部）</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联系人及电话：陈阳 13137407575 方金龙 15836539901</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地址：许昌市建安大道与紫云路交汇处中原银行</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合作金融机构名称：浦发银行许昌分行</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联系人及电话：赵勇 0374-7313569、7313502 18937459920</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地址：许昌市许继大道1163号许继花园</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合作金融机构名称：交通银行许昌分行</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联系人：宋纪刚 0374-2369912 13733951305</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地址：许昌市莲城大道114号</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合作金融机构名称：光大银行许昌分行</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联系人：李东磊 0374-2928168 18569936868</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地址：许昌市魏都区八一路文峰路交叉口西北角</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合作金融机构名称：招商银行许昌分行</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联系人及电话：崔星迪 0374-5376058 18839983051</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地址：许昌市建安大道中段新天下AB座</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合作金融机构名称：邮储银行许昌市分行</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联系人及电话：张彦峰13839001972 武松涛18839902679</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徐亚爽15038297574</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地址：许昌市莲城大道邮储银行莲城支行二楼</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合作金融机构名称：中国银行许昌分行</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联系人及电话：白炜 13938772680 刘晓飞 0374-3338596</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地址：许昌市魏都区建设路1488号</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合作金融机构名称：中信银行郑州红专路支行</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联系人：韩晨 13253490679</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地址：郑州市金水区经三路北26号中信银行郑州红专路支行</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39.3 “许昌市政府采购合同融资金融产品推介名录”链接</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http://xuchang.hngp.gov.cn/xuchang/content?infoId=1606365368231095&amp;channelCode=H711001</w:t>
      </w:r>
    </w:p>
    <w:p>
      <w:pPr>
        <w:autoSpaceDE w:val="0"/>
        <w:autoSpaceDN w:val="0"/>
        <w:spacing w:line="360" w:lineRule="auto"/>
        <w:jc w:val="center"/>
        <w:rPr>
          <w:rFonts w:ascii="宋体" w:cs="宋体"/>
          <w:b/>
          <w:kern w:val="0"/>
          <w:sz w:val="36"/>
          <w:szCs w:val="36"/>
        </w:rPr>
      </w:pPr>
      <w:r>
        <w:rPr>
          <w:rFonts w:hint="eastAsia" w:ascii="宋体" w:hAnsi="宋体" w:cs="宋体"/>
          <w:b/>
          <w:kern w:val="0"/>
          <w:sz w:val="32"/>
          <w:szCs w:val="32"/>
        </w:rPr>
        <w:br w:type="page"/>
      </w:r>
      <w:r>
        <w:rPr>
          <w:rFonts w:hint="eastAsia" w:ascii="宋体" w:hAnsi="宋体" w:cs="宋体"/>
          <w:b/>
          <w:kern w:val="0"/>
          <w:sz w:val="32"/>
          <w:szCs w:val="32"/>
        </w:rPr>
        <w:t>第五章 政府采购政策功能</w:t>
      </w:r>
    </w:p>
    <w:p>
      <w:pPr>
        <w:adjustRightInd w:val="0"/>
        <w:snapToGrid w:val="0"/>
        <w:spacing w:line="360" w:lineRule="auto"/>
        <w:ind w:firstLine="484" w:firstLineChars="200"/>
        <w:rPr>
          <w:rFonts w:ascii="宋体" w:hAnsi="宋体" w:cs="宋体"/>
          <w:sz w:val="24"/>
          <w:szCs w:val="24"/>
        </w:rPr>
      </w:pPr>
      <w:r>
        <w:rPr>
          <w:rFonts w:hint="eastAsia" w:ascii="宋体" w:hAnsi="宋体" w:cs="宋体"/>
          <w:spacing w:val="1"/>
          <w:sz w:val="24"/>
          <w:szCs w:val="24"/>
        </w:rPr>
        <w:t>根据《中华人民共和国政府采</w:t>
      </w:r>
      <w:r>
        <w:rPr>
          <w:rFonts w:hint="eastAsia" w:ascii="宋体" w:hAnsi="宋体" w:cs="宋体"/>
          <w:sz w:val="24"/>
          <w:szCs w:val="24"/>
        </w:rPr>
        <w:t xml:space="preserve">购法》、《中华人民共和国政府采购法实施条例》、《政府采购货 </w:t>
      </w:r>
      <w:r>
        <w:rPr>
          <w:rFonts w:hint="eastAsia" w:ascii="宋体" w:hAnsi="宋体" w:cs="宋体"/>
          <w:spacing w:val="20"/>
          <w:sz w:val="24"/>
          <w:szCs w:val="24"/>
        </w:rPr>
        <w:t>物</w:t>
      </w:r>
      <w:r>
        <w:rPr>
          <w:rFonts w:hint="eastAsia" w:ascii="宋体" w:hAnsi="宋体" w:cs="宋体"/>
          <w:spacing w:val="13"/>
          <w:sz w:val="24"/>
          <w:szCs w:val="24"/>
        </w:rPr>
        <w:t>和</w:t>
      </w:r>
      <w:r>
        <w:rPr>
          <w:rFonts w:hint="eastAsia" w:ascii="宋体" w:hAnsi="宋体" w:cs="宋体"/>
          <w:spacing w:val="10"/>
          <w:sz w:val="24"/>
          <w:szCs w:val="24"/>
        </w:rPr>
        <w:t>服务招标投标管理办法》等规定，政府采购项目应落实节约能源、保护环境、促进中小企业</w:t>
      </w:r>
      <w:r>
        <w:rPr>
          <w:rFonts w:hint="eastAsia" w:ascii="宋体" w:hAnsi="宋体" w:cs="宋体"/>
          <w:spacing w:val="15"/>
          <w:sz w:val="24"/>
          <w:szCs w:val="24"/>
        </w:rPr>
        <w:t>发</w:t>
      </w:r>
      <w:r>
        <w:rPr>
          <w:rFonts w:hint="eastAsia" w:ascii="宋体" w:hAnsi="宋体" w:cs="宋体"/>
          <w:spacing w:val="9"/>
          <w:sz w:val="24"/>
          <w:szCs w:val="24"/>
        </w:rPr>
        <w:t>展、支持监狱企业发展、促进残疾人就业等政府采购政策。</w:t>
      </w:r>
    </w:p>
    <w:p>
      <w:pPr>
        <w:adjustRightInd w:val="0"/>
        <w:snapToGrid w:val="0"/>
        <w:spacing w:line="360" w:lineRule="auto"/>
        <w:ind w:firstLine="536" w:firstLineChars="200"/>
        <w:rPr>
          <w:rFonts w:ascii="宋体" w:hAnsi="宋体" w:cs="宋体"/>
          <w:sz w:val="24"/>
          <w:szCs w:val="24"/>
        </w:rPr>
      </w:pPr>
      <w:r>
        <w:rPr>
          <w:rFonts w:hint="eastAsia" w:ascii="宋体" w:hAnsi="宋体" w:cs="宋体"/>
          <w:spacing w:val="14"/>
          <w:position w:val="2"/>
          <w:sz w:val="24"/>
          <w:szCs w:val="24"/>
        </w:rPr>
        <w:t>一</w:t>
      </w:r>
      <w:r>
        <w:rPr>
          <w:rFonts w:hint="eastAsia" w:ascii="宋体" w:hAnsi="宋体" w:cs="宋体"/>
          <w:spacing w:val="9"/>
          <w:position w:val="2"/>
          <w:sz w:val="24"/>
          <w:szCs w:val="24"/>
        </w:rPr>
        <w:t>、节约能源、保护环境</w:t>
      </w:r>
    </w:p>
    <w:p>
      <w:pPr>
        <w:adjustRightInd w:val="0"/>
        <w:snapToGrid w:val="0"/>
        <w:spacing w:line="360" w:lineRule="auto"/>
        <w:ind w:firstLine="560" w:firstLineChars="200"/>
        <w:rPr>
          <w:rFonts w:ascii="宋体" w:hAnsi="宋体" w:cs="宋体"/>
          <w:sz w:val="24"/>
          <w:szCs w:val="24"/>
        </w:rPr>
      </w:pPr>
      <w:r>
        <w:rPr>
          <w:rFonts w:hint="eastAsia" w:ascii="宋体" w:hAnsi="宋体" w:cs="宋体"/>
          <w:spacing w:val="20"/>
          <w:sz w:val="24"/>
          <w:szCs w:val="24"/>
        </w:rPr>
        <w:t>按</w:t>
      </w:r>
      <w:r>
        <w:rPr>
          <w:rFonts w:hint="eastAsia" w:ascii="宋体" w:hAnsi="宋体" w:cs="宋体"/>
          <w:spacing w:val="11"/>
          <w:sz w:val="24"/>
          <w:szCs w:val="24"/>
        </w:rPr>
        <w:t>照</w:t>
      </w:r>
      <w:r>
        <w:rPr>
          <w:rFonts w:hint="eastAsia" w:ascii="宋体" w:hAnsi="宋体" w:cs="宋体"/>
          <w:spacing w:val="10"/>
          <w:sz w:val="24"/>
          <w:szCs w:val="24"/>
        </w:rPr>
        <w:t>《财政部、发展改革委、生态环境部、市场监管总局关于调整优化节能产品、环境标志</w:t>
      </w:r>
      <w:r>
        <w:rPr>
          <w:rFonts w:hint="eastAsia" w:ascii="宋体" w:hAnsi="宋体" w:cs="宋体"/>
          <w:spacing w:val="11"/>
          <w:sz w:val="24"/>
          <w:szCs w:val="24"/>
        </w:rPr>
        <w:t>产</w:t>
      </w:r>
      <w:r>
        <w:rPr>
          <w:rFonts w:hint="eastAsia" w:ascii="宋体" w:hAnsi="宋体" w:cs="宋体"/>
          <w:spacing w:val="7"/>
          <w:sz w:val="24"/>
          <w:szCs w:val="24"/>
        </w:rPr>
        <w:t>品政府采购执行机制的通知》(财库〔2019〕9 号) 和财政部、生态环境部《关于印发环境标志</w:t>
      </w:r>
      <w:r>
        <w:rPr>
          <w:rFonts w:hint="eastAsia" w:ascii="宋体" w:hAnsi="宋体" w:cs="宋体"/>
          <w:spacing w:val="9"/>
          <w:sz w:val="24"/>
          <w:szCs w:val="24"/>
        </w:rPr>
        <w:t>产品政府采购品目清单的通知》(财库[2019]18 号) 以及财政部、发展改革委《关于印发节能</w:t>
      </w:r>
      <w:r>
        <w:rPr>
          <w:rFonts w:hint="eastAsia" w:ascii="宋体" w:hAnsi="宋体" w:cs="宋体"/>
          <w:spacing w:val="8"/>
          <w:sz w:val="24"/>
          <w:szCs w:val="24"/>
        </w:rPr>
        <w:t>产</w:t>
      </w:r>
      <w:r>
        <w:rPr>
          <w:rFonts w:hint="eastAsia" w:ascii="宋体" w:hAnsi="宋体" w:cs="宋体"/>
          <w:spacing w:val="7"/>
          <w:sz w:val="24"/>
          <w:szCs w:val="24"/>
        </w:rPr>
        <w:t>品政府采购品目清单的通知》(财库[2019]19 号)，采购政府强制采购产品的，该产品必须具有</w:t>
      </w:r>
      <w:r>
        <w:rPr>
          <w:rFonts w:hint="eastAsia" w:ascii="宋体" w:hAnsi="宋体" w:cs="宋体"/>
          <w:spacing w:val="4"/>
          <w:sz w:val="24"/>
          <w:szCs w:val="24"/>
        </w:rPr>
        <w:t>国</w:t>
      </w:r>
      <w:r>
        <w:rPr>
          <w:rFonts w:hint="eastAsia" w:ascii="宋体" w:hAnsi="宋体" w:cs="宋体"/>
          <w:spacing w:val="20"/>
          <w:sz w:val="24"/>
          <w:szCs w:val="24"/>
        </w:rPr>
        <w:t>家</w:t>
      </w:r>
      <w:r>
        <w:rPr>
          <w:rFonts w:hint="eastAsia" w:ascii="宋体" w:hAnsi="宋体" w:cs="宋体"/>
          <w:spacing w:val="13"/>
          <w:sz w:val="24"/>
          <w:szCs w:val="24"/>
        </w:rPr>
        <w:t>确</w:t>
      </w:r>
      <w:r>
        <w:rPr>
          <w:rFonts w:hint="eastAsia" w:ascii="宋体" w:hAnsi="宋体" w:cs="宋体"/>
          <w:spacing w:val="10"/>
          <w:sz w:val="24"/>
          <w:szCs w:val="24"/>
        </w:rPr>
        <w:t>定的认证机构出具的、处于有效期之内的节能产品认证证书；采购政府优先采购产品的，该</w:t>
      </w:r>
      <w:r>
        <w:rPr>
          <w:rFonts w:hint="eastAsia" w:ascii="宋体" w:hAnsi="宋体" w:cs="宋体"/>
          <w:spacing w:val="20"/>
          <w:sz w:val="24"/>
          <w:szCs w:val="24"/>
        </w:rPr>
        <w:t>产</w:t>
      </w:r>
      <w:r>
        <w:rPr>
          <w:rFonts w:hint="eastAsia" w:ascii="宋体" w:hAnsi="宋体" w:cs="宋体"/>
          <w:spacing w:val="13"/>
          <w:sz w:val="24"/>
          <w:szCs w:val="24"/>
        </w:rPr>
        <w:t>品</w:t>
      </w:r>
      <w:r>
        <w:rPr>
          <w:rFonts w:hint="eastAsia" w:ascii="宋体" w:hAnsi="宋体" w:cs="宋体"/>
          <w:spacing w:val="10"/>
          <w:sz w:val="24"/>
          <w:szCs w:val="24"/>
        </w:rPr>
        <w:t>具有国家确定的认证机构出具的、处于有效期之内的节能产品、环境标志产品认证证书，应</w:t>
      </w:r>
      <w:r>
        <w:rPr>
          <w:rFonts w:hint="eastAsia" w:ascii="宋体" w:hAnsi="宋体" w:cs="宋体"/>
          <w:spacing w:val="7"/>
          <w:sz w:val="24"/>
          <w:szCs w:val="24"/>
        </w:rPr>
        <w:t>当优先采购</w:t>
      </w:r>
      <w:r>
        <w:rPr>
          <w:rFonts w:hint="eastAsia" w:ascii="宋体" w:hAnsi="宋体" w:cs="宋体"/>
          <w:spacing w:val="5"/>
          <w:sz w:val="24"/>
          <w:szCs w:val="24"/>
        </w:rPr>
        <w:t>。</w:t>
      </w:r>
    </w:p>
    <w:p>
      <w:pPr>
        <w:adjustRightInd w:val="0"/>
        <w:snapToGrid w:val="0"/>
        <w:spacing w:line="360" w:lineRule="auto"/>
        <w:ind w:firstLine="516" w:firstLineChars="200"/>
        <w:rPr>
          <w:rFonts w:ascii="宋体" w:hAnsi="宋体" w:cs="宋体"/>
          <w:sz w:val="24"/>
          <w:szCs w:val="24"/>
        </w:rPr>
      </w:pPr>
      <w:r>
        <w:rPr>
          <w:rFonts w:hint="eastAsia" w:ascii="宋体" w:hAnsi="宋体" w:cs="宋体"/>
          <w:spacing w:val="9"/>
          <w:sz w:val="24"/>
          <w:szCs w:val="24"/>
        </w:rPr>
        <w:t>二、促进中小企业发展 (不含民办非企业)</w:t>
      </w:r>
    </w:p>
    <w:p>
      <w:pPr>
        <w:adjustRightInd w:val="0"/>
        <w:snapToGrid w:val="0"/>
        <w:spacing w:line="360" w:lineRule="auto"/>
        <w:ind w:firstLine="532" w:firstLineChars="200"/>
        <w:rPr>
          <w:rFonts w:ascii="宋体" w:hAnsi="宋体" w:cs="宋体"/>
          <w:spacing w:val="13"/>
          <w:sz w:val="24"/>
          <w:szCs w:val="24"/>
        </w:rPr>
      </w:pPr>
      <w:r>
        <w:rPr>
          <w:rFonts w:hint="eastAsia" w:ascii="宋体" w:hAnsi="宋体" w:cs="宋体"/>
          <w:spacing w:val="13"/>
          <w:sz w:val="24"/>
          <w:szCs w:val="24"/>
        </w:rPr>
        <w:t>(一)专门面向中小企业预留采购份额</w:t>
      </w:r>
    </w:p>
    <w:p>
      <w:pPr>
        <w:adjustRightInd w:val="0"/>
        <w:snapToGrid w:val="0"/>
        <w:spacing w:line="360" w:lineRule="auto"/>
        <w:ind w:firstLine="580" w:firstLineChars="200"/>
        <w:rPr>
          <w:rFonts w:ascii="宋体" w:hAnsi="宋体" w:cs="宋体"/>
          <w:sz w:val="24"/>
          <w:szCs w:val="24"/>
        </w:rPr>
      </w:pPr>
      <w:r>
        <w:rPr>
          <w:rFonts w:hint="eastAsia" w:ascii="宋体" w:hAnsi="宋体" w:cs="宋体"/>
          <w:spacing w:val="25"/>
          <w:sz w:val="24"/>
          <w:szCs w:val="24"/>
        </w:rPr>
        <w:t>(</w:t>
      </w:r>
      <w:r>
        <w:rPr>
          <w:rFonts w:hint="eastAsia" w:ascii="宋体" w:hAnsi="宋体" w:cs="宋体"/>
          <w:spacing w:val="13"/>
          <w:sz w:val="24"/>
          <w:szCs w:val="24"/>
        </w:rPr>
        <w:t>二)非专门面向中小企业预留采购份额</w:t>
      </w:r>
    </w:p>
    <w:p>
      <w:pPr>
        <w:adjustRightInd w:val="0"/>
        <w:snapToGrid w:val="0"/>
        <w:spacing w:line="360" w:lineRule="auto"/>
        <w:ind w:firstLine="496" w:firstLineChars="200"/>
        <w:rPr>
          <w:rFonts w:ascii="宋体" w:hAnsi="宋体" w:cs="宋体"/>
          <w:sz w:val="24"/>
          <w:szCs w:val="24"/>
        </w:rPr>
      </w:pPr>
      <w:r>
        <w:rPr>
          <w:rFonts w:hint="eastAsia" w:ascii="宋体" w:hAnsi="宋体" w:cs="宋体"/>
          <w:spacing w:val="4"/>
          <w:sz w:val="24"/>
          <w:szCs w:val="24"/>
        </w:rPr>
        <w:t>1、根据财政部、工业和信息化部《政府采购促进中小企业发展管理办法》(财库[2020]46 号</w:t>
      </w:r>
      <w:r>
        <w:rPr>
          <w:rFonts w:hint="eastAsia" w:ascii="宋体" w:hAnsi="宋体" w:cs="宋体"/>
          <w:sz w:val="24"/>
          <w:szCs w:val="24"/>
        </w:rPr>
        <w:t>)</w:t>
      </w:r>
      <w:r>
        <w:rPr>
          <w:rFonts w:hint="eastAsia" w:ascii="宋体" w:hAnsi="宋体" w:cs="宋体"/>
          <w:spacing w:val="14"/>
          <w:sz w:val="24"/>
          <w:szCs w:val="24"/>
        </w:rPr>
        <w:t>规定，对</w:t>
      </w:r>
      <w:r>
        <w:rPr>
          <w:rFonts w:hint="eastAsia" w:ascii="宋体" w:hAnsi="宋体" w:cs="宋体"/>
          <w:spacing w:val="11"/>
          <w:sz w:val="24"/>
          <w:szCs w:val="24"/>
        </w:rPr>
        <w:t>符</w:t>
      </w:r>
      <w:r>
        <w:rPr>
          <w:rFonts w:hint="eastAsia" w:ascii="宋体" w:hAnsi="宋体" w:cs="宋体"/>
          <w:spacing w:val="7"/>
          <w:sz w:val="24"/>
          <w:szCs w:val="24"/>
        </w:rPr>
        <w:t>合该办法规定的小型和微型企业报价给予 3%-5%的扣除，用扣除后的价格参与评审。</w:t>
      </w:r>
    </w:p>
    <w:p>
      <w:pPr>
        <w:adjustRightInd w:val="0"/>
        <w:snapToGrid w:val="0"/>
        <w:spacing w:line="360" w:lineRule="auto"/>
        <w:ind w:firstLine="512" w:firstLineChars="200"/>
        <w:rPr>
          <w:rFonts w:ascii="宋体" w:hAnsi="宋体" w:cs="宋体"/>
          <w:sz w:val="24"/>
          <w:szCs w:val="24"/>
        </w:rPr>
      </w:pPr>
      <w:r>
        <w:rPr>
          <w:rFonts w:hint="eastAsia" w:ascii="宋体" w:hAnsi="宋体" w:cs="宋体"/>
          <w:spacing w:val="8"/>
          <w:sz w:val="24"/>
          <w:szCs w:val="24"/>
        </w:rPr>
        <w:t>2</w:t>
      </w:r>
      <w:r>
        <w:rPr>
          <w:rFonts w:hint="eastAsia" w:ascii="宋体" w:hAnsi="宋体" w:cs="宋体"/>
          <w:spacing w:val="5"/>
          <w:sz w:val="24"/>
          <w:szCs w:val="24"/>
        </w:rPr>
        <w:t>、</w:t>
      </w:r>
      <w:r>
        <w:rPr>
          <w:rFonts w:hint="eastAsia" w:ascii="宋体" w:hAnsi="宋体" w:cs="宋体"/>
          <w:spacing w:val="4"/>
          <w:sz w:val="24"/>
          <w:szCs w:val="24"/>
        </w:rPr>
        <w:t>在货物采购项目中，供应商提供的货物既有中小企业制造货物，也有大型企业制造货物的，</w:t>
      </w:r>
      <w:r>
        <w:rPr>
          <w:rFonts w:hint="eastAsia" w:ascii="宋体" w:hAnsi="宋体" w:cs="宋体"/>
          <w:spacing w:val="14"/>
          <w:sz w:val="24"/>
          <w:szCs w:val="24"/>
        </w:rPr>
        <w:t>不</w:t>
      </w:r>
      <w:r>
        <w:rPr>
          <w:rFonts w:hint="eastAsia" w:ascii="宋体" w:hAnsi="宋体" w:cs="宋体"/>
          <w:spacing w:val="8"/>
          <w:sz w:val="24"/>
          <w:szCs w:val="24"/>
        </w:rPr>
        <w:t>享</w:t>
      </w:r>
      <w:r>
        <w:rPr>
          <w:rFonts w:hint="eastAsia" w:ascii="宋体" w:hAnsi="宋体" w:cs="宋体"/>
          <w:spacing w:val="7"/>
          <w:sz w:val="24"/>
          <w:szCs w:val="24"/>
        </w:rPr>
        <w:t>受《政府采购促进中小企业发展管理办法》(财库[2020]46 号) 规定的中小企业扶持政策。</w:t>
      </w:r>
    </w:p>
    <w:p>
      <w:pPr>
        <w:adjustRightInd w:val="0"/>
        <w:snapToGrid w:val="0"/>
        <w:spacing w:line="360" w:lineRule="auto"/>
        <w:ind w:firstLine="528" w:firstLineChars="200"/>
        <w:rPr>
          <w:rFonts w:ascii="宋体" w:hAnsi="宋体" w:cs="宋体"/>
          <w:sz w:val="24"/>
          <w:szCs w:val="24"/>
        </w:rPr>
      </w:pPr>
      <w:r>
        <w:rPr>
          <w:rFonts w:hint="eastAsia" w:ascii="宋体" w:hAnsi="宋体" w:cs="宋体"/>
          <w:spacing w:val="12"/>
          <w:position w:val="1"/>
          <w:sz w:val="24"/>
          <w:szCs w:val="24"/>
        </w:rPr>
        <w:t>3</w:t>
      </w:r>
      <w:r>
        <w:rPr>
          <w:rFonts w:hint="eastAsia" w:ascii="宋体" w:hAnsi="宋体" w:cs="宋体"/>
          <w:spacing w:val="6"/>
          <w:position w:val="1"/>
          <w:sz w:val="24"/>
          <w:szCs w:val="24"/>
        </w:rPr>
        <w:t>、以联合体形式参加政府采购活动，联合体各方均为中小企业的，联合体视同中小企业。其</w:t>
      </w:r>
      <w:r>
        <w:rPr>
          <w:rFonts w:hint="eastAsia" w:ascii="宋体" w:hAnsi="宋体" w:cs="宋体"/>
          <w:spacing w:val="16"/>
          <w:sz w:val="24"/>
          <w:szCs w:val="24"/>
        </w:rPr>
        <w:t>中</w:t>
      </w:r>
      <w:r>
        <w:rPr>
          <w:rFonts w:hint="eastAsia" w:ascii="宋体" w:hAnsi="宋体" w:cs="宋体"/>
          <w:spacing w:val="9"/>
          <w:sz w:val="24"/>
          <w:szCs w:val="24"/>
        </w:rPr>
        <w:t>，</w:t>
      </w:r>
      <w:r>
        <w:rPr>
          <w:rFonts w:hint="eastAsia" w:ascii="宋体" w:hAnsi="宋体" w:cs="宋体"/>
          <w:spacing w:val="8"/>
          <w:sz w:val="24"/>
          <w:szCs w:val="24"/>
        </w:rPr>
        <w:t>联合体各方均为小微企业的，联合体视同小微企业。</w:t>
      </w:r>
    </w:p>
    <w:p>
      <w:pPr>
        <w:adjustRightInd w:val="0"/>
        <w:snapToGrid w:val="0"/>
        <w:spacing w:line="360" w:lineRule="auto"/>
        <w:ind w:firstLine="536" w:firstLineChars="200"/>
        <w:rPr>
          <w:rFonts w:ascii="宋体" w:hAnsi="宋体" w:cs="宋体"/>
          <w:sz w:val="24"/>
          <w:szCs w:val="24"/>
        </w:rPr>
      </w:pPr>
      <w:r>
        <w:rPr>
          <w:rFonts w:hint="eastAsia" w:ascii="宋体" w:hAnsi="宋体" w:cs="宋体"/>
          <w:spacing w:val="14"/>
          <w:sz w:val="24"/>
          <w:szCs w:val="24"/>
        </w:rPr>
        <w:t>4、接受</w:t>
      </w:r>
      <w:r>
        <w:rPr>
          <w:rFonts w:hint="eastAsia" w:ascii="宋体" w:hAnsi="宋体" w:cs="宋体"/>
          <w:spacing w:val="10"/>
          <w:sz w:val="24"/>
          <w:szCs w:val="24"/>
        </w:rPr>
        <w:t>大</w:t>
      </w:r>
      <w:r>
        <w:rPr>
          <w:rFonts w:hint="eastAsia" w:ascii="宋体" w:hAnsi="宋体" w:cs="宋体"/>
          <w:spacing w:val="7"/>
          <w:sz w:val="24"/>
          <w:szCs w:val="24"/>
        </w:rPr>
        <w:t>中型企业与小微企业组成联合体或者允许大中型企业向一家或者多家小微企业分包</w:t>
      </w:r>
      <w:r>
        <w:rPr>
          <w:rFonts w:hint="eastAsia" w:ascii="宋体" w:hAnsi="宋体" w:cs="宋体"/>
          <w:spacing w:val="16"/>
          <w:sz w:val="24"/>
          <w:szCs w:val="24"/>
        </w:rPr>
        <w:t>的</w:t>
      </w:r>
      <w:r>
        <w:rPr>
          <w:rFonts w:hint="eastAsia" w:ascii="宋体" w:hAnsi="宋体" w:cs="宋体"/>
          <w:spacing w:val="14"/>
          <w:sz w:val="24"/>
          <w:szCs w:val="24"/>
        </w:rPr>
        <w:t>采</w:t>
      </w:r>
      <w:r>
        <w:rPr>
          <w:rFonts w:hint="eastAsia" w:ascii="宋体" w:hAnsi="宋体" w:cs="宋体"/>
          <w:spacing w:val="8"/>
          <w:sz w:val="24"/>
          <w:szCs w:val="24"/>
        </w:rPr>
        <w:t>购项目，对于联合协议或者分包意向协议约定小微企业的合同份额占到合同总金额 30%以上</w:t>
      </w:r>
      <w:r>
        <w:rPr>
          <w:rFonts w:hint="eastAsia" w:ascii="宋体" w:hAnsi="宋体" w:cs="宋体"/>
          <w:spacing w:val="16"/>
          <w:sz w:val="24"/>
          <w:szCs w:val="24"/>
        </w:rPr>
        <w:t>的</w:t>
      </w:r>
      <w:r>
        <w:rPr>
          <w:rFonts w:hint="eastAsia" w:ascii="宋体" w:hAnsi="宋体" w:cs="宋体"/>
          <w:spacing w:val="9"/>
          <w:sz w:val="24"/>
          <w:szCs w:val="24"/>
        </w:rPr>
        <w:t>，</w:t>
      </w:r>
      <w:r>
        <w:rPr>
          <w:rFonts w:hint="eastAsia" w:ascii="宋体" w:hAnsi="宋体" w:cs="宋体"/>
          <w:spacing w:val="8"/>
          <w:sz w:val="24"/>
          <w:szCs w:val="24"/>
        </w:rPr>
        <w:t>对联合体或者大中型企业的报价给予 1—2%的扣除，用扣除后的价格参加评审。组成联合体</w:t>
      </w:r>
      <w:r>
        <w:rPr>
          <w:rFonts w:hint="eastAsia" w:ascii="宋体" w:hAnsi="宋体" w:cs="宋体"/>
          <w:spacing w:val="20"/>
          <w:sz w:val="24"/>
          <w:szCs w:val="24"/>
        </w:rPr>
        <w:t>或</w:t>
      </w:r>
      <w:r>
        <w:rPr>
          <w:rFonts w:hint="eastAsia" w:ascii="宋体" w:hAnsi="宋体" w:cs="宋体"/>
          <w:spacing w:val="10"/>
          <w:sz w:val="24"/>
          <w:szCs w:val="24"/>
        </w:rPr>
        <w:t>者接受分包的小微企业与联合体内其他企业、分包企业之间存在直接控股、 管理关系的，不享</w:t>
      </w:r>
      <w:r>
        <w:rPr>
          <w:rFonts w:hint="eastAsia" w:ascii="宋体" w:hAnsi="宋体" w:cs="宋体"/>
          <w:spacing w:val="13"/>
          <w:sz w:val="24"/>
          <w:szCs w:val="24"/>
        </w:rPr>
        <w:t>受</w:t>
      </w:r>
      <w:r>
        <w:rPr>
          <w:rFonts w:hint="eastAsia" w:ascii="宋体" w:hAnsi="宋体" w:cs="宋体"/>
          <w:spacing w:val="7"/>
          <w:sz w:val="24"/>
          <w:szCs w:val="24"/>
        </w:rPr>
        <w:t>价格扣除优惠政策。</w:t>
      </w:r>
    </w:p>
    <w:p>
      <w:pPr>
        <w:adjustRightInd w:val="0"/>
        <w:snapToGrid w:val="0"/>
        <w:spacing w:line="360" w:lineRule="auto"/>
        <w:ind w:firstLine="536" w:firstLineChars="200"/>
        <w:rPr>
          <w:rFonts w:ascii="宋体" w:hAnsi="宋体" w:cs="宋体"/>
          <w:sz w:val="24"/>
          <w:szCs w:val="24"/>
        </w:rPr>
      </w:pPr>
      <w:r>
        <w:rPr>
          <w:rFonts w:hint="eastAsia" w:ascii="宋体" w:hAnsi="宋体" w:cs="宋体"/>
          <w:spacing w:val="14"/>
          <w:sz w:val="24"/>
          <w:szCs w:val="24"/>
        </w:rPr>
        <w:t>5、按</w:t>
      </w:r>
      <w:r>
        <w:rPr>
          <w:rFonts w:hint="eastAsia" w:ascii="宋体" w:hAnsi="宋体" w:cs="宋体"/>
          <w:spacing w:val="10"/>
          <w:sz w:val="24"/>
          <w:szCs w:val="24"/>
        </w:rPr>
        <w:t>照</w:t>
      </w:r>
      <w:r>
        <w:rPr>
          <w:rFonts w:hint="eastAsia" w:ascii="宋体" w:hAnsi="宋体" w:cs="宋体"/>
          <w:spacing w:val="7"/>
          <w:sz w:val="24"/>
          <w:szCs w:val="24"/>
        </w:rPr>
        <w:t>本次采购标的所属行业的划型标准，符合条件的中小企业应按照采购文件格式要求提</w:t>
      </w:r>
      <w:r>
        <w:rPr>
          <w:rFonts w:hint="eastAsia" w:ascii="宋体" w:hAnsi="宋体" w:cs="宋体"/>
          <w:spacing w:val="10"/>
          <w:sz w:val="24"/>
          <w:szCs w:val="24"/>
        </w:rPr>
        <w:t>供《</w:t>
      </w:r>
      <w:r>
        <w:rPr>
          <w:rFonts w:hint="eastAsia" w:ascii="宋体" w:hAnsi="宋体" w:cs="宋体"/>
          <w:spacing w:val="7"/>
          <w:sz w:val="24"/>
          <w:szCs w:val="24"/>
        </w:rPr>
        <w:t>中</w:t>
      </w:r>
      <w:r>
        <w:rPr>
          <w:rFonts w:hint="eastAsia" w:ascii="宋体" w:hAnsi="宋体" w:cs="宋体"/>
          <w:spacing w:val="5"/>
          <w:sz w:val="24"/>
          <w:szCs w:val="24"/>
        </w:rPr>
        <w:t>小企业声明函》，否则不得享受相关中小企业扶持政策。</w:t>
      </w:r>
    </w:p>
    <w:p>
      <w:pPr>
        <w:adjustRightInd w:val="0"/>
        <w:snapToGrid w:val="0"/>
        <w:spacing w:line="360" w:lineRule="auto"/>
        <w:ind w:firstLine="520" w:firstLineChars="200"/>
        <w:rPr>
          <w:rFonts w:ascii="宋体" w:hAnsi="宋体" w:cs="宋体"/>
          <w:sz w:val="24"/>
          <w:szCs w:val="24"/>
        </w:rPr>
      </w:pPr>
      <w:r>
        <w:rPr>
          <w:rFonts w:hint="eastAsia" w:ascii="宋体" w:hAnsi="宋体" w:cs="宋体"/>
          <w:spacing w:val="10"/>
          <w:position w:val="1"/>
          <w:sz w:val="24"/>
          <w:szCs w:val="24"/>
        </w:rPr>
        <w:t>三、支持监狱企业发</w:t>
      </w:r>
      <w:r>
        <w:rPr>
          <w:rFonts w:hint="eastAsia" w:ascii="宋体" w:hAnsi="宋体" w:cs="宋体"/>
          <w:spacing w:val="9"/>
          <w:position w:val="1"/>
          <w:sz w:val="24"/>
          <w:szCs w:val="24"/>
        </w:rPr>
        <w:t>展</w:t>
      </w:r>
    </w:p>
    <w:p>
      <w:pPr>
        <w:adjustRightInd w:val="0"/>
        <w:snapToGrid w:val="0"/>
        <w:spacing w:line="360" w:lineRule="auto"/>
        <w:ind w:firstLine="496" w:firstLineChars="200"/>
        <w:rPr>
          <w:rFonts w:ascii="宋体" w:hAnsi="宋体" w:cs="宋体"/>
          <w:sz w:val="24"/>
          <w:szCs w:val="24"/>
        </w:rPr>
      </w:pPr>
      <w:r>
        <w:rPr>
          <w:rFonts w:hint="eastAsia" w:ascii="宋体" w:hAnsi="宋体" w:cs="宋体"/>
          <w:spacing w:val="4"/>
          <w:sz w:val="24"/>
          <w:szCs w:val="24"/>
        </w:rPr>
        <w:t>按照财政部、司法部发</w:t>
      </w:r>
      <w:r>
        <w:rPr>
          <w:rFonts w:hint="eastAsia" w:ascii="宋体" w:hAnsi="宋体" w:cs="宋体"/>
          <w:spacing w:val="3"/>
          <w:sz w:val="24"/>
          <w:szCs w:val="24"/>
        </w:rPr>
        <w:t>布</w:t>
      </w:r>
      <w:r>
        <w:rPr>
          <w:rFonts w:hint="eastAsia" w:ascii="宋体" w:hAnsi="宋体" w:cs="宋体"/>
          <w:spacing w:val="2"/>
          <w:sz w:val="24"/>
          <w:szCs w:val="24"/>
        </w:rPr>
        <w:t>的《关于政府采购支持监狱企业发展有关问题的通知》(财库[2014]68</w:t>
      </w:r>
      <w:r>
        <w:rPr>
          <w:rFonts w:hint="eastAsia" w:ascii="宋体" w:hAnsi="宋体" w:cs="宋体"/>
          <w:spacing w:val="10"/>
          <w:sz w:val="24"/>
          <w:szCs w:val="24"/>
        </w:rPr>
        <w:t>号) 规定，在政府采购活动中，监狱企业视同小型、微型企业，享受评审中价格扣除的政府采</w:t>
      </w:r>
      <w:r>
        <w:rPr>
          <w:rFonts w:hint="eastAsia" w:ascii="宋体" w:hAnsi="宋体" w:cs="宋体"/>
          <w:spacing w:val="8"/>
          <w:sz w:val="24"/>
          <w:szCs w:val="24"/>
        </w:rPr>
        <w:t>购</w:t>
      </w:r>
      <w:r>
        <w:rPr>
          <w:rFonts w:hint="eastAsia" w:ascii="宋体" w:hAnsi="宋体" w:cs="宋体"/>
          <w:spacing w:val="14"/>
          <w:sz w:val="24"/>
          <w:szCs w:val="24"/>
        </w:rPr>
        <w:t>政策，用</w:t>
      </w:r>
      <w:r>
        <w:rPr>
          <w:rFonts w:hint="eastAsia" w:ascii="宋体" w:hAnsi="宋体" w:cs="宋体"/>
          <w:spacing w:val="12"/>
          <w:sz w:val="24"/>
          <w:szCs w:val="24"/>
        </w:rPr>
        <w:t>扣</w:t>
      </w:r>
      <w:r>
        <w:rPr>
          <w:rFonts w:hint="eastAsia" w:ascii="宋体" w:hAnsi="宋体" w:cs="宋体"/>
          <w:spacing w:val="7"/>
          <w:sz w:val="24"/>
          <w:szCs w:val="24"/>
        </w:rPr>
        <w:t>除后的价格参与评审。监狱企业应当提供由省级以上监狱管理局、戒毒管理局(含新疆</w:t>
      </w:r>
      <w:r>
        <w:rPr>
          <w:rFonts w:hint="eastAsia" w:ascii="宋体" w:hAnsi="宋体" w:cs="宋体"/>
          <w:spacing w:val="16"/>
          <w:sz w:val="24"/>
          <w:szCs w:val="24"/>
        </w:rPr>
        <w:t>生产</w:t>
      </w:r>
      <w:r>
        <w:rPr>
          <w:rFonts w:hint="eastAsia" w:ascii="宋体" w:hAnsi="宋体" w:cs="宋体"/>
          <w:spacing w:val="9"/>
          <w:sz w:val="24"/>
          <w:szCs w:val="24"/>
        </w:rPr>
        <w:t>建</w:t>
      </w:r>
      <w:r>
        <w:rPr>
          <w:rFonts w:hint="eastAsia" w:ascii="宋体" w:hAnsi="宋体" w:cs="宋体"/>
          <w:spacing w:val="8"/>
          <w:sz w:val="24"/>
          <w:szCs w:val="24"/>
        </w:rPr>
        <w:t>设兵团)出具的属于监狱企业的证明文件。</w:t>
      </w:r>
    </w:p>
    <w:p>
      <w:pPr>
        <w:adjustRightInd w:val="0"/>
        <w:snapToGrid w:val="0"/>
        <w:spacing w:line="360" w:lineRule="auto"/>
        <w:ind w:firstLine="528" w:firstLineChars="200"/>
        <w:rPr>
          <w:rFonts w:ascii="宋体" w:hAnsi="宋体" w:cs="宋体"/>
          <w:sz w:val="24"/>
          <w:szCs w:val="24"/>
        </w:rPr>
      </w:pPr>
      <w:r>
        <w:rPr>
          <w:rFonts w:hint="eastAsia" w:ascii="宋体" w:hAnsi="宋体" w:cs="宋体"/>
          <w:spacing w:val="12"/>
          <w:sz w:val="24"/>
          <w:szCs w:val="24"/>
        </w:rPr>
        <w:t>四</w:t>
      </w:r>
      <w:r>
        <w:rPr>
          <w:rFonts w:hint="eastAsia" w:ascii="宋体" w:hAnsi="宋体" w:cs="宋体"/>
          <w:spacing w:val="7"/>
          <w:sz w:val="24"/>
          <w:szCs w:val="24"/>
        </w:rPr>
        <w:t>、促进残疾人就业</w:t>
      </w:r>
    </w:p>
    <w:p>
      <w:pPr>
        <w:adjustRightInd w:val="0"/>
        <w:snapToGrid w:val="0"/>
        <w:spacing w:line="360" w:lineRule="auto"/>
        <w:ind w:firstLine="536" w:firstLineChars="200"/>
        <w:rPr>
          <w:rFonts w:ascii="宋体" w:hAnsi="宋体" w:cs="宋体"/>
          <w:sz w:val="24"/>
          <w:szCs w:val="24"/>
        </w:rPr>
      </w:pPr>
      <w:r>
        <w:rPr>
          <w:rFonts w:hint="eastAsia" w:ascii="宋体" w:hAnsi="宋体" w:cs="宋体"/>
          <w:spacing w:val="14"/>
          <w:sz w:val="24"/>
          <w:szCs w:val="24"/>
        </w:rPr>
        <w:t>1</w:t>
      </w:r>
      <w:r>
        <w:rPr>
          <w:rFonts w:hint="eastAsia" w:ascii="宋体" w:hAnsi="宋体" w:cs="宋体"/>
          <w:spacing w:val="11"/>
          <w:sz w:val="24"/>
          <w:szCs w:val="24"/>
        </w:rPr>
        <w:t>、</w:t>
      </w:r>
      <w:r>
        <w:rPr>
          <w:rFonts w:hint="eastAsia" w:ascii="宋体" w:hAnsi="宋体" w:cs="宋体"/>
          <w:spacing w:val="7"/>
          <w:sz w:val="24"/>
          <w:szCs w:val="24"/>
        </w:rPr>
        <w:t>按照财政部、民政部、中国残疾人联合会和残疾人发布的《三部门联合发布关于促进残疾人就业政府采购政策的通知》(财库[2017]141 号) 规定，在政府采购活动中，残疾人福利性</w:t>
      </w:r>
      <w:r>
        <w:rPr>
          <w:rFonts w:hint="eastAsia" w:ascii="宋体" w:hAnsi="宋体" w:cs="宋体"/>
          <w:spacing w:val="5"/>
          <w:sz w:val="24"/>
          <w:szCs w:val="24"/>
        </w:rPr>
        <w:t>单</w:t>
      </w:r>
      <w:r>
        <w:rPr>
          <w:rFonts w:hint="eastAsia" w:ascii="宋体" w:hAnsi="宋体" w:cs="宋体"/>
          <w:sz w:val="24"/>
          <w:szCs w:val="24"/>
        </w:rPr>
        <w:t xml:space="preserve">位 </w:t>
      </w:r>
      <w:r>
        <w:rPr>
          <w:rFonts w:hint="eastAsia" w:ascii="宋体" w:hAnsi="宋体" w:cs="宋体"/>
          <w:spacing w:val="20"/>
          <w:sz w:val="24"/>
          <w:szCs w:val="24"/>
        </w:rPr>
        <w:t>视</w:t>
      </w:r>
      <w:r>
        <w:rPr>
          <w:rFonts w:hint="eastAsia" w:ascii="宋体" w:hAnsi="宋体" w:cs="宋体"/>
          <w:spacing w:val="14"/>
          <w:sz w:val="24"/>
          <w:szCs w:val="24"/>
        </w:rPr>
        <w:t>同</w:t>
      </w:r>
      <w:r>
        <w:rPr>
          <w:rFonts w:hint="eastAsia" w:ascii="宋体" w:hAnsi="宋体" w:cs="宋体"/>
          <w:spacing w:val="10"/>
          <w:sz w:val="24"/>
          <w:szCs w:val="24"/>
        </w:rPr>
        <w:t>小型、微型企业，享受评审中价格扣除的政府采购政策。对残疾人福利性单位提供本单位制</w:t>
      </w:r>
      <w:r>
        <w:rPr>
          <w:rFonts w:hint="eastAsia" w:ascii="宋体" w:hAnsi="宋体" w:cs="宋体"/>
          <w:spacing w:val="14"/>
          <w:sz w:val="24"/>
          <w:szCs w:val="24"/>
        </w:rPr>
        <w:t>造</w:t>
      </w:r>
      <w:r>
        <w:rPr>
          <w:rFonts w:hint="eastAsia" w:ascii="宋体" w:hAnsi="宋体" w:cs="宋体"/>
          <w:spacing w:val="10"/>
          <w:sz w:val="24"/>
          <w:szCs w:val="24"/>
        </w:rPr>
        <w:t>的货物、承担的工程或者服务，或者提供其他残疾人福利性单位制造的货物 (不包括使用非残</w:t>
      </w:r>
      <w:r>
        <w:rPr>
          <w:rFonts w:hint="eastAsia" w:ascii="宋体" w:hAnsi="宋体" w:cs="宋体"/>
          <w:spacing w:val="11"/>
          <w:sz w:val="24"/>
          <w:szCs w:val="24"/>
        </w:rPr>
        <w:t>疾</w:t>
      </w:r>
      <w:r>
        <w:rPr>
          <w:rFonts w:hint="eastAsia" w:ascii="宋体" w:hAnsi="宋体" w:cs="宋体"/>
          <w:spacing w:val="10"/>
          <w:sz w:val="24"/>
          <w:szCs w:val="24"/>
        </w:rPr>
        <w:t>人福利性单位注册商标的货物) 用扣除后的价格参与评审。残疾人福利性单位属于小型、微型</w:t>
      </w:r>
      <w:r>
        <w:rPr>
          <w:rFonts w:hint="eastAsia" w:ascii="宋体" w:hAnsi="宋体" w:cs="宋体"/>
          <w:spacing w:val="13"/>
          <w:sz w:val="24"/>
          <w:szCs w:val="24"/>
        </w:rPr>
        <w:t>企</w:t>
      </w:r>
      <w:r>
        <w:rPr>
          <w:rFonts w:hint="eastAsia" w:ascii="宋体" w:hAnsi="宋体" w:cs="宋体"/>
          <w:spacing w:val="8"/>
          <w:sz w:val="24"/>
          <w:szCs w:val="24"/>
        </w:rPr>
        <w:t>业的，不重复享受政策。</w:t>
      </w:r>
    </w:p>
    <w:p>
      <w:pPr>
        <w:adjustRightInd w:val="0"/>
        <w:snapToGrid w:val="0"/>
        <w:spacing w:line="360" w:lineRule="auto"/>
        <w:ind w:firstLine="536" w:firstLineChars="200"/>
        <w:rPr>
          <w:rFonts w:ascii="宋体" w:hAnsi="宋体" w:cs="宋体"/>
          <w:sz w:val="24"/>
          <w:szCs w:val="24"/>
        </w:rPr>
      </w:pPr>
      <w:r>
        <w:rPr>
          <w:rFonts w:hint="eastAsia" w:ascii="宋体" w:hAnsi="宋体" w:cs="宋体"/>
          <w:spacing w:val="14"/>
          <w:sz w:val="24"/>
          <w:szCs w:val="24"/>
        </w:rPr>
        <w:t>2、符</w:t>
      </w:r>
      <w:r>
        <w:rPr>
          <w:rFonts w:hint="eastAsia" w:ascii="宋体" w:hAnsi="宋体" w:cs="宋体"/>
          <w:spacing w:val="10"/>
          <w:sz w:val="24"/>
          <w:szCs w:val="24"/>
        </w:rPr>
        <w:t>合</w:t>
      </w:r>
      <w:r>
        <w:rPr>
          <w:rFonts w:hint="eastAsia" w:ascii="宋体" w:hAnsi="宋体" w:cs="宋体"/>
          <w:spacing w:val="7"/>
          <w:sz w:val="24"/>
          <w:szCs w:val="24"/>
        </w:rPr>
        <w:t>条件的残疾人福利性单位在参加政府采购活动时，应当提供《三部门联合发布关于促</w:t>
      </w:r>
      <w:r>
        <w:rPr>
          <w:rFonts w:hint="eastAsia" w:ascii="宋体" w:hAnsi="宋体" w:cs="宋体"/>
          <w:spacing w:val="4"/>
          <w:sz w:val="24"/>
          <w:szCs w:val="24"/>
        </w:rPr>
        <w:t>进残疾人就业政府采</w:t>
      </w:r>
      <w:r>
        <w:rPr>
          <w:rFonts w:hint="eastAsia" w:ascii="宋体" w:hAnsi="宋体" w:cs="宋体"/>
          <w:spacing w:val="2"/>
          <w:sz w:val="24"/>
          <w:szCs w:val="24"/>
        </w:rPr>
        <w:t>购政策的通知》规定的《残疾人福利性单位声明函》，并对声明的真实性负责。</w:t>
      </w:r>
      <w:r>
        <w:rPr>
          <w:rFonts w:hint="eastAsia" w:ascii="宋体" w:hAnsi="宋体" w:cs="宋体"/>
          <w:spacing w:val="20"/>
          <w:sz w:val="24"/>
          <w:szCs w:val="24"/>
        </w:rPr>
        <w:t>任</w:t>
      </w:r>
      <w:r>
        <w:rPr>
          <w:rFonts w:hint="eastAsia" w:ascii="宋体" w:hAnsi="宋体" w:cs="宋体"/>
          <w:spacing w:val="14"/>
          <w:sz w:val="24"/>
          <w:szCs w:val="24"/>
        </w:rPr>
        <w:t>何</w:t>
      </w:r>
      <w:r>
        <w:rPr>
          <w:rFonts w:hint="eastAsia" w:ascii="宋体" w:hAnsi="宋体" w:cs="宋体"/>
          <w:spacing w:val="10"/>
          <w:sz w:val="24"/>
          <w:szCs w:val="24"/>
        </w:rPr>
        <w:t>单位或者个人在政府采购活动中均不得要求残疾人福利性单位提供其他证明声明函内容的材</w:t>
      </w:r>
      <w:r>
        <w:rPr>
          <w:rFonts w:hint="eastAsia" w:ascii="宋体" w:hAnsi="宋体" w:cs="宋体"/>
          <w:spacing w:val="1"/>
          <w:sz w:val="24"/>
          <w:szCs w:val="24"/>
        </w:rPr>
        <w:t>料。</w:t>
      </w:r>
    </w:p>
    <w:p>
      <w:pPr>
        <w:adjustRightInd w:val="0"/>
        <w:snapToGrid w:val="0"/>
        <w:spacing w:line="360" w:lineRule="auto"/>
        <w:ind w:firstLine="536" w:firstLineChars="200"/>
        <w:jc w:val="center"/>
        <w:rPr>
          <w:rFonts w:ascii="宋体" w:hAnsi="宋体"/>
        </w:rPr>
      </w:pPr>
      <w:r>
        <w:rPr>
          <w:rFonts w:hint="eastAsia" w:ascii="宋体" w:hAnsi="宋体" w:cs="宋体"/>
          <w:spacing w:val="14"/>
          <w:sz w:val="24"/>
          <w:szCs w:val="24"/>
        </w:rPr>
        <w:t>3、成交供应商</w:t>
      </w:r>
      <w:r>
        <w:rPr>
          <w:rFonts w:hint="eastAsia" w:ascii="宋体" w:hAnsi="宋体" w:cs="宋体"/>
          <w:spacing w:val="7"/>
          <w:sz w:val="24"/>
          <w:szCs w:val="24"/>
        </w:rPr>
        <w:t>为残疾人福利性单位的，采购人人应当随成交结果同时公告其《残疾人福利性单位声</w:t>
      </w:r>
      <w:r>
        <w:rPr>
          <w:rFonts w:hint="eastAsia" w:ascii="宋体" w:hAnsi="宋体" w:cs="宋体"/>
          <w:spacing w:val="-6"/>
          <w:sz w:val="24"/>
          <w:szCs w:val="24"/>
        </w:rPr>
        <w:t>明</w:t>
      </w:r>
      <w:r>
        <w:rPr>
          <w:rFonts w:hint="eastAsia" w:ascii="宋体" w:hAnsi="宋体" w:cs="宋体"/>
          <w:spacing w:val="-3"/>
          <w:sz w:val="24"/>
          <w:szCs w:val="24"/>
        </w:rPr>
        <w:t>函》，接受社会监督。</w:t>
      </w:r>
      <w:r>
        <w:rPr>
          <w:rFonts w:hint="eastAsia" w:ascii="宋体" w:hAnsi="宋体"/>
          <w:b/>
          <w:kern w:val="0"/>
          <w:sz w:val="32"/>
          <w:szCs w:val="32"/>
        </w:rPr>
        <w:br w:type="page"/>
      </w:r>
      <w:r>
        <w:rPr>
          <w:rFonts w:hint="eastAsia" w:ascii="宋体" w:hAnsi="宋体"/>
          <w:b/>
          <w:kern w:val="0"/>
          <w:sz w:val="32"/>
          <w:szCs w:val="32"/>
        </w:rPr>
        <w:t>第六章 对响应文件审查与评审</w:t>
      </w:r>
    </w:p>
    <w:p>
      <w:pPr>
        <w:pStyle w:val="21"/>
        <w:spacing w:line="360" w:lineRule="auto"/>
        <w:rPr>
          <w:rFonts w:ascii="宋体" w:hAnsi="宋体"/>
          <w:b/>
        </w:rPr>
      </w:pPr>
      <w:r>
        <w:rPr>
          <w:rFonts w:hint="eastAsia" w:ascii="宋体" w:hAnsi="宋体"/>
          <w:b/>
        </w:rPr>
        <w:t>一、资格审查</w:t>
      </w:r>
    </w:p>
    <w:p>
      <w:pPr>
        <w:pStyle w:val="21"/>
        <w:spacing w:line="360" w:lineRule="auto"/>
        <w:ind w:firstLine="480" w:firstLineChars="200"/>
        <w:contextualSpacing/>
        <w:rPr>
          <w:rFonts w:ascii="宋体" w:hAnsi="宋体" w:cs="宋体"/>
          <w:bCs/>
          <w:lang w:val="zh-CN"/>
        </w:rPr>
      </w:pPr>
      <w:r>
        <w:rPr>
          <w:rFonts w:hint="eastAsia" w:ascii="宋体" w:hAnsi="宋体" w:cs="宋体"/>
          <w:bCs/>
          <w:lang w:val="zh-CN"/>
        </w:rPr>
        <w:t>(一)磋商小组依法对供应商资格进行审查。确定符合资格的供应商不少于3家，将对响应文件的有效性、完整性和响应程度进行审查并对响应文件进行评审。</w:t>
      </w:r>
    </w:p>
    <w:p>
      <w:pPr>
        <w:pStyle w:val="21"/>
        <w:spacing w:line="360" w:lineRule="auto"/>
        <w:ind w:firstLine="480" w:firstLineChars="200"/>
        <w:contextualSpacing/>
        <w:rPr>
          <w:rFonts w:ascii="宋体" w:hAnsi="宋体" w:cs="宋体"/>
          <w:bCs/>
          <w:lang w:val="zh-CN"/>
        </w:rPr>
      </w:pPr>
      <w:r>
        <w:rPr>
          <w:rFonts w:hint="eastAsia" w:ascii="宋体" w:hAnsi="宋体" w:cs="宋体"/>
          <w:bCs/>
          <w:lang w:val="zh-CN"/>
        </w:rPr>
        <w:t>(二)资格证明材料 (本栏所列内容为本项目的资格审查条件，如有一项不符合要求，则不能进入下一步评审)。</w:t>
      </w:r>
    </w:p>
    <w:p>
      <w:pPr>
        <w:pStyle w:val="21"/>
        <w:spacing w:line="360" w:lineRule="auto"/>
        <w:ind w:firstLine="480" w:firstLineChars="200"/>
        <w:contextualSpacing/>
        <w:rPr>
          <w:rFonts w:ascii="宋体" w:hAnsi="宋体"/>
          <w:b/>
        </w:rPr>
      </w:pPr>
      <w:r>
        <w:rPr>
          <w:rFonts w:hint="eastAsia" w:ascii="宋体" w:hAnsi="宋体" w:cs="宋体"/>
          <w:bCs/>
          <w:lang w:val="zh-CN"/>
        </w:rPr>
        <w:t>(三)资格审查中所涉及到的证书及材料，均须在电子响应文件中提供原件扫描件(或图片)。</w:t>
      </w:r>
    </w:p>
    <w:tbl>
      <w:tblPr>
        <w:tblStyle w:val="30"/>
        <w:tblW w:w="921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2516"/>
        <w:gridCol w:w="5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 w:val="24"/>
              </w:rPr>
            </w:pPr>
            <w:r>
              <w:rPr>
                <w:rFonts w:hint="eastAsia" w:ascii="宋体" w:hAnsi="宋体"/>
                <w:b/>
                <w:sz w:val="24"/>
              </w:rPr>
              <w:t>序号</w:t>
            </w:r>
          </w:p>
        </w:tc>
        <w:tc>
          <w:tcPr>
            <w:tcW w:w="25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 w:val="24"/>
              </w:rPr>
            </w:pPr>
            <w:r>
              <w:rPr>
                <w:rFonts w:hint="eastAsia" w:ascii="宋体" w:hAnsi="宋体"/>
                <w:b/>
                <w:sz w:val="24"/>
              </w:rPr>
              <w:t>资格审查因素</w:t>
            </w:r>
          </w:p>
        </w:tc>
        <w:tc>
          <w:tcPr>
            <w:tcW w:w="584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 w:val="24"/>
              </w:rPr>
            </w:pPr>
            <w:r>
              <w:rPr>
                <w:rFonts w:hint="eastAsia" w:ascii="宋体" w:hAnsi="宋体"/>
                <w:b/>
                <w:sz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 w:val="24"/>
              </w:rPr>
            </w:pPr>
            <w:r>
              <w:rPr>
                <w:rFonts w:hint="eastAsia" w:ascii="宋体" w:hAnsi="宋体"/>
                <w:b/>
                <w:sz w:val="24"/>
              </w:rPr>
              <w:t>1</w:t>
            </w:r>
          </w:p>
        </w:tc>
        <w:tc>
          <w:tcPr>
            <w:tcW w:w="25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sz w:val="24"/>
                <w:lang w:val="zh-CN"/>
              </w:rPr>
            </w:pPr>
            <w:r>
              <w:rPr>
                <w:rFonts w:hint="eastAsia" w:ascii="宋体" w:hAnsi="宋体" w:cs="宋体"/>
                <w:kern w:val="0"/>
                <w:sz w:val="24"/>
                <w:szCs w:val="24"/>
              </w:rPr>
              <w:t>响应</w:t>
            </w:r>
            <w:r>
              <w:rPr>
                <w:rFonts w:hint="eastAsia" w:ascii="宋体" w:hAnsi="宋体" w:cs="宋体"/>
                <w:bCs/>
                <w:sz w:val="24"/>
                <w:lang w:val="zh-CN"/>
              </w:rPr>
              <w:t>函</w:t>
            </w:r>
          </w:p>
        </w:tc>
        <w:tc>
          <w:tcPr>
            <w:tcW w:w="584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bCs/>
                <w:sz w:val="24"/>
                <w:lang w:val="zh-CN"/>
              </w:rPr>
            </w:pPr>
            <w:r>
              <w:rPr>
                <w:rFonts w:hint="eastAsia" w:ascii="宋体" w:hAnsi="宋体" w:cs="宋体"/>
                <w:bCs/>
                <w:sz w:val="24"/>
                <w:lang w:val="zh-CN"/>
              </w:rPr>
              <w:t>按照磋商文件第八章3.1格式填写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sz w:val="24"/>
              </w:rPr>
            </w:pPr>
            <w:r>
              <w:rPr>
                <w:rFonts w:hint="eastAsia" w:ascii="宋体" w:hAnsi="宋体"/>
                <w:b/>
                <w:bCs/>
                <w:sz w:val="24"/>
              </w:rPr>
              <w:t>2</w:t>
            </w:r>
          </w:p>
        </w:tc>
        <w:tc>
          <w:tcPr>
            <w:tcW w:w="25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sz w:val="24"/>
                <w:lang w:val="zh-CN"/>
              </w:rPr>
            </w:pPr>
            <w:r>
              <w:rPr>
                <w:rFonts w:hint="eastAsia" w:ascii="宋体" w:hAnsi="宋体" w:cs="宋体"/>
                <w:bCs/>
                <w:sz w:val="24"/>
                <w:lang w:val="zh-CN"/>
              </w:rPr>
              <w:t>政府采购</w:t>
            </w:r>
          </w:p>
          <w:p>
            <w:pPr>
              <w:spacing w:line="360" w:lineRule="auto"/>
              <w:jc w:val="center"/>
              <w:rPr>
                <w:rFonts w:ascii="宋体" w:hAnsi="宋体" w:cs="宋体"/>
                <w:bCs/>
                <w:sz w:val="24"/>
                <w:lang w:val="zh-CN"/>
              </w:rPr>
            </w:pPr>
            <w:r>
              <w:rPr>
                <w:rFonts w:hint="eastAsia" w:ascii="宋体" w:hAnsi="宋体" w:cs="宋体"/>
                <w:bCs/>
                <w:sz w:val="24"/>
                <w:lang w:val="zh-CN"/>
              </w:rPr>
              <w:t>供应商信用承诺函</w:t>
            </w:r>
          </w:p>
        </w:tc>
        <w:tc>
          <w:tcPr>
            <w:tcW w:w="5844"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bCs/>
                <w:sz w:val="24"/>
                <w:lang w:val="zh-CN"/>
              </w:rPr>
            </w:pPr>
            <w:r>
              <w:rPr>
                <w:rFonts w:hint="eastAsia" w:ascii="宋体" w:hAnsi="宋体" w:cs="宋体"/>
                <w:bCs/>
                <w:sz w:val="24"/>
                <w:lang w:val="zh-CN"/>
              </w:rPr>
              <w:t>按照磋商文件第八章3.5格式填写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sz w:val="24"/>
              </w:rPr>
            </w:pPr>
            <w:r>
              <w:rPr>
                <w:rFonts w:hint="eastAsia" w:ascii="宋体" w:hAnsi="宋体"/>
                <w:b/>
                <w:bCs/>
                <w:sz w:val="24"/>
              </w:rPr>
              <w:t>3</w:t>
            </w:r>
          </w:p>
        </w:tc>
        <w:tc>
          <w:tcPr>
            <w:tcW w:w="25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sz w:val="24"/>
                <w:lang w:val="zh-CN"/>
              </w:rPr>
            </w:pPr>
            <w:r>
              <w:rPr>
                <w:rFonts w:hint="eastAsia" w:ascii="宋体" w:hAnsi="宋体" w:cs="宋体"/>
                <w:bCs/>
                <w:sz w:val="24"/>
                <w:lang w:val="zh-CN"/>
              </w:rPr>
              <w:t>磋商报价</w:t>
            </w:r>
          </w:p>
        </w:tc>
        <w:tc>
          <w:tcPr>
            <w:tcW w:w="5844" w:type="dxa"/>
            <w:tcBorders>
              <w:top w:val="single" w:color="auto" w:sz="4" w:space="0"/>
              <w:left w:val="single" w:color="auto" w:sz="4" w:space="0"/>
              <w:bottom w:val="single" w:color="auto" w:sz="4" w:space="0"/>
              <w:right w:val="single" w:color="auto" w:sz="4" w:space="0"/>
            </w:tcBorders>
            <w:vAlign w:val="top"/>
          </w:tcPr>
          <w:p>
            <w:pPr>
              <w:spacing w:line="360" w:lineRule="auto"/>
              <w:rPr>
                <w:rFonts w:ascii="宋体" w:hAnsi="宋体" w:cs="宋体"/>
                <w:bCs/>
                <w:sz w:val="24"/>
                <w:lang w:val="zh-CN"/>
              </w:rPr>
            </w:pPr>
            <w:r>
              <w:rPr>
                <w:rFonts w:hint="eastAsia" w:ascii="宋体" w:hAnsi="宋体" w:cs="宋体"/>
                <w:bCs/>
                <w:sz w:val="24"/>
                <w:lang w:val="zh-CN"/>
              </w:rPr>
              <w:t>响应报价是否超出磋商文件中规定的预算金额，超出预算金额的投标无效。如供应商须知前附表规定最高限价，则超出预算金额和最高限价的投标无效。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sz w:val="24"/>
              </w:rPr>
            </w:pPr>
            <w:r>
              <w:rPr>
                <w:rFonts w:hint="eastAsia" w:ascii="宋体" w:hAnsi="宋体"/>
                <w:b/>
                <w:bCs/>
                <w:sz w:val="24"/>
              </w:rPr>
              <w:t>4</w:t>
            </w:r>
          </w:p>
        </w:tc>
        <w:tc>
          <w:tcPr>
            <w:tcW w:w="25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sz w:val="24"/>
                <w:lang w:val="zh-CN"/>
              </w:rPr>
            </w:pPr>
            <w:r>
              <w:rPr>
                <w:rFonts w:hint="eastAsia" w:ascii="宋体" w:hAnsi="宋体" w:cs="宋体"/>
                <w:bCs/>
                <w:sz w:val="24"/>
                <w:lang w:val="zh-CN"/>
              </w:rPr>
              <w:t>磋商承诺函</w:t>
            </w:r>
          </w:p>
        </w:tc>
        <w:tc>
          <w:tcPr>
            <w:tcW w:w="584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bCs/>
                <w:sz w:val="24"/>
                <w:lang w:val="zh-CN"/>
              </w:rPr>
            </w:pPr>
            <w:r>
              <w:rPr>
                <w:rFonts w:hint="eastAsia" w:ascii="宋体" w:hAnsi="宋体" w:cs="宋体"/>
                <w:bCs/>
                <w:sz w:val="24"/>
                <w:lang w:val="zh-CN"/>
              </w:rPr>
              <w:t>按照磋商文件第八章3.4格式填写。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sz w:val="24"/>
              </w:rPr>
            </w:pPr>
            <w:r>
              <w:rPr>
                <w:rFonts w:hint="eastAsia" w:ascii="宋体" w:hAnsi="宋体"/>
                <w:b/>
                <w:bCs/>
                <w:sz w:val="24"/>
              </w:rPr>
              <w:t>5</w:t>
            </w:r>
          </w:p>
        </w:tc>
        <w:tc>
          <w:tcPr>
            <w:tcW w:w="25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sz w:val="24"/>
                <w:lang w:val="zh-CN"/>
              </w:rPr>
            </w:pPr>
            <w:r>
              <w:rPr>
                <w:rFonts w:hint="eastAsia" w:ascii="宋体" w:hAnsi="宋体" w:cs="宋体"/>
                <w:bCs/>
                <w:sz w:val="24"/>
                <w:lang w:val="zh-CN"/>
              </w:rPr>
              <w:t>联合体协议</w:t>
            </w:r>
          </w:p>
        </w:tc>
        <w:tc>
          <w:tcPr>
            <w:tcW w:w="5844" w:type="dxa"/>
            <w:tcBorders>
              <w:top w:val="single" w:color="auto" w:sz="4" w:space="0"/>
              <w:left w:val="single" w:color="auto" w:sz="4" w:space="0"/>
              <w:bottom w:val="single" w:color="auto" w:sz="4" w:space="0"/>
              <w:right w:val="single" w:color="auto" w:sz="4" w:space="0"/>
            </w:tcBorders>
            <w:vAlign w:val="top"/>
          </w:tcPr>
          <w:p>
            <w:pPr>
              <w:spacing w:line="360" w:lineRule="auto"/>
              <w:rPr>
                <w:rFonts w:ascii="宋体" w:hAnsi="宋体" w:cs="宋体"/>
                <w:bCs/>
                <w:sz w:val="24"/>
                <w:lang w:val="zh-CN"/>
              </w:rPr>
            </w:pPr>
            <w:r>
              <w:rPr>
                <w:rFonts w:hint="eastAsia" w:ascii="宋体" w:hAnsi="宋体" w:cs="宋体"/>
                <w:bCs/>
                <w:sz w:val="24"/>
                <w:lang w:val="zh-CN"/>
              </w:rPr>
              <w:t>磋商文件接受联合体投标且供应商为联合体的，供应商应提供本协议；否则无须提供。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 w:val="24"/>
              </w:rPr>
            </w:pPr>
            <w:r>
              <w:rPr>
                <w:rFonts w:hint="eastAsia" w:ascii="宋体" w:hAnsi="宋体"/>
                <w:b/>
                <w:sz w:val="24"/>
              </w:rPr>
              <w:t>6</w:t>
            </w:r>
          </w:p>
        </w:tc>
        <w:tc>
          <w:tcPr>
            <w:tcW w:w="25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sz w:val="24"/>
                <w:lang w:val="zh-CN"/>
              </w:rPr>
            </w:pPr>
            <w:r>
              <w:rPr>
                <w:rFonts w:hint="eastAsia" w:ascii="宋体" w:hAnsi="宋体" w:cs="宋体"/>
                <w:bCs/>
                <w:sz w:val="24"/>
                <w:lang w:val="zh-CN"/>
              </w:rPr>
              <w:t>供应商身份证明</w:t>
            </w:r>
          </w:p>
          <w:p>
            <w:pPr>
              <w:spacing w:line="360" w:lineRule="auto"/>
              <w:jc w:val="center"/>
              <w:rPr>
                <w:rFonts w:ascii="宋体" w:hAnsi="宋体" w:cs="宋体"/>
                <w:bCs/>
                <w:sz w:val="24"/>
                <w:lang w:val="zh-CN"/>
              </w:rPr>
            </w:pPr>
            <w:r>
              <w:rPr>
                <w:rFonts w:hint="eastAsia" w:ascii="宋体" w:hAnsi="宋体" w:cs="宋体"/>
                <w:bCs/>
                <w:sz w:val="24"/>
                <w:lang w:val="zh-CN"/>
              </w:rPr>
              <w:t>及授权</w:t>
            </w:r>
          </w:p>
        </w:tc>
        <w:tc>
          <w:tcPr>
            <w:tcW w:w="5844" w:type="dxa"/>
            <w:tcBorders>
              <w:top w:val="single" w:color="auto" w:sz="4" w:space="0"/>
              <w:left w:val="single" w:color="auto" w:sz="4" w:space="0"/>
              <w:bottom w:val="single" w:color="auto" w:sz="4" w:space="0"/>
              <w:right w:val="single" w:color="auto" w:sz="4" w:space="0"/>
            </w:tcBorders>
            <w:vAlign w:val="top"/>
          </w:tcPr>
          <w:p>
            <w:pPr>
              <w:spacing w:line="360" w:lineRule="auto"/>
              <w:rPr>
                <w:rFonts w:ascii="宋体" w:hAnsi="宋体" w:cs="宋体"/>
                <w:bCs/>
                <w:sz w:val="24"/>
                <w:lang w:val="zh-CN"/>
              </w:rPr>
            </w:pPr>
            <w:r>
              <w:rPr>
                <w:rFonts w:hint="eastAsia" w:ascii="宋体" w:hAnsi="宋体" w:cs="宋体"/>
                <w:bCs/>
                <w:sz w:val="24"/>
                <w:lang w:val="zh-CN"/>
              </w:rPr>
              <w:t>（1）法定代表人身份证明或提供法定代表人授权委托书及被授权人身份证明。（法人提供）</w:t>
            </w:r>
          </w:p>
          <w:p>
            <w:pPr>
              <w:spacing w:line="360" w:lineRule="auto"/>
              <w:rPr>
                <w:rFonts w:ascii="宋体" w:hAnsi="宋体" w:cs="宋体"/>
                <w:bCs/>
                <w:sz w:val="24"/>
                <w:lang w:val="zh-CN"/>
              </w:rPr>
            </w:pPr>
            <w:r>
              <w:rPr>
                <w:rFonts w:hint="eastAsia" w:ascii="宋体" w:hAnsi="宋体" w:cs="宋体"/>
                <w:bCs/>
                <w:sz w:val="24"/>
                <w:lang w:val="zh-CN"/>
              </w:rPr>
              <w:t>（2）单位负责人身份证明或提供单位负责人授权委托书及被授权人身份证明。（非法人提供）</w:t>
            </w:r>
          </w:p>
          <w:p>
            <w:pPr>
              <w:spacing w:line="360" w:lineRule="auto"/>
              <w:rPr>
                <w:rFonts w:ascii="宋体" w:hAnsi="宋体" w:cs="宋体"/>
                <w:bCs/>
                <w:sz w:val="24"/>
                <w:lang w:val="zh-CN"/>
              </w:rPr>
            </w:pPr>
            <w:r>
              <w:rPr>
                <w:rFonts w:hint="eastAsia" w:ascii="宋体" w:hAnsi="宋体" w:cs="宋体"/>
                <w:bCs/>
                <w:sz w:val="24"/>
                <w:lang w:val="zh-CN"/>
              </w:rPr>
              <w:t>注：</w:t>
            </w:r>
          </w:p>
          <w:p>
            <w:pPr>
              <w:spacing w:line="360" w:lineRule="auto"/>
              <w:rPr>
                <w:rFonts w:ascii="宋体" w:hAnsi="宋体" w:cs="宋体"/>
                <w:bCs/>
                <w:sz w:val="24"/>
                <w:lang w:val="zh-CN"/>
              </w:rPr>
            </w:pPr>
            <w:r>
              <w:rPr>
                <w:rFonts w:hint="eastAsia" w:ascii="宋体" w:hAnsi="宋体" w:cs="宋体"/>
                <w:bCs/>
                <w:sz w:val="24"/>
                <w:lang w:val="zh-CN"/>
              </w:rPr>
              <w:t>①企业（银行、保险、石油石化、电力、电信等行业除外）、事业单位和社会团体以法人身份参加磋商的，法定代表人应与实际提交的“营业执照等证明文件”载明的一致。</w:t>
            </w:r>
          </w:p>
          <w:p>
            <w:pPr>
              <w:spacing w:line="360" w:lineRule="auto"/>
              <w:rPr>
                <w:rFonts w:ascii="宋体" w:hAnsi="宋体" w:cs="宋体"/>
                <w:bCs/>
                <w:sz w:val="24"/>
                <w:lang w:val="zh-CN"/>
              </w:rPr>
            </w:pPr>
            <w:r>
              <w:rPr>
                <w:rFonts w:hint="eastAsia" w:ascii="宋体" w:hAnsi="宋体" w:cs="宋体"/>
                <w:bCs/>
                <w:sz w:val="24"/>
                <w:lang w:val="zh-CN"/>
              </w:rPr>
              <w:t>②银行、保险、石油石化、电力、电信等行业：以法人身份参加磋商的，法定代表人应与实际提交的“营业执照等证明文件”载明的一致；以非法人身份参加磋商的，“单位负责人”指代表单位行使职权的主要负责人，应与实际提交的“营业执照等证明文件”载明的一致。</w:t>
            </w:r>
          </w:p>
          <w:p>
            <w:pPr>
              <w:spacing w:line="360" w:lineRule="auto"/>
              <w:rPr>
                <w:rFonts w:ascii="宋体" w:hAnsi="宋体" w:cs="宋体"/>
                <w:bCs/>
                <w:sz w:val="24"/>
                <w:lang w:val="zh-CN"/>
              </w:rPr>
            </w:pPr>
            <w:r>
              <w:rPr>
                <w:rFonts w:hint="eastAsia" w:ascii="宋体" w:hAnsi="宋体" w:cs="宋体"/>
                <w:bCs/>
                <w:sz w:val="24"/>
                <w:lang w:val="zh-CN"/>
              </w:rPr>
              <w:t>③供应商为自然人的，无需填写法定代表人授权书。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 w:val="24"/>
              </w:rPr>
            </w:pPr>
            <w:r>
              <w:rPr>
                <w:rFonts w:hint="eastAsia" w:ascii="宋体" w:hAnsi="宋体"/>
                <w:b/>
                <w:sz w:val="24"/>
              </w:rPr>
              <w:t>7</w:t>
            </w:r>
          </w:p>
        </w:tc>
        <w:tc>
          <w:tcPr>
            <w:tcW w:w="25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r>
              <w:rPr>
                <w:rFonts w:hint="eastAsia" w:ascii="宋体" w:hAnsi="宋体"/>
                <w:sz w:val="24"/>
              </w:rPr>
              <w:t>单位负责人为同一人或者存在直接控股、管理关系的不同供应商，不得参加同一合同项下的政府采购活动</w:t>
            </w:r>
          </w:p>
        </w:tc>
        <w:tc>
          <w:tcPr>
            <w:tcW w:w="5844"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仿宋_GB2312"/>
                <w:sz w:val="24"/>
                <w:szCs w:val="24"/>
                <w:lang w:val="zh-CN"/>
              </w:rPr>
            </w:pPr>
            <w:r>
              <w:rPr>
                <w:rFonts w:hint="eastAsia" w:ascii="宋体" w:hAnsi="宋体" w:cs="仿宋_GB2312"/>
                <w:sz w:val="24"/>
                <w:szCs w:val="24"/>
                <w:lang w:val="zh-CN"/>
              </w:rPr>
              <w:t>供应商提供与参加本项目响应的其他供应商之间，单位负责人不为同一人并且不存在直接控股、管理关系承诺函（承诺函格式自拟）。</w:t>
            </w:r>
          </w:p>
          <w:p>
            <w:pPr>
              <w:spacing w:line="360" w:lineRule="auto"/>
              <w:jc w:val="left"/>
              <w:rPr>
                <w:rFonts w:ascii="宋体" w:hAnsi="宋体" w:cs="仿宋_GB2312"/>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 w:val="24"/>
              </w:rPr>
            </w:pPr>
            <w:r>
              <w:rPr>
                <w:rFonts w:hint="eastAsia" w:ascii="宋体" w:hAnsi="宋体"/>
                <w:b/>
                <w:sz w:val="24"/>
              </w:rPr>
              <w:t>8</w:t>
            </w:r>
          </w:p>
        </w:tc>
        <w:tc>
          <w:tcPr>
            <w:tcW w:w="25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r>
              <w:rPr>
                <w:rFonts w:hint="eastAsia" w:ascii="宋体" w:hAnsi="宋体"/>
                <w:sz w:val="24"/>
              </w:rPr>
              <w:t>为本项目提供整体设计、规范编制或者项目管理、监理、检测等服务的供应商不得参加本项目响应</w:t>
            </w:r>
          </w:p>
        </w:tc>
        <w:tc>
          <w:tcPr>
            <w:tcW w:w="5844"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仿宋_GB2312"/>
                <w:sz w:val="24"/>
                <w:szCs w:val="24"/>
              </w:rPr>
            </w:pPr>
            <w:bookmarkStart w:id="3" w:name="baidusnap2"/>
            <w:bookmarkEnd w:id="3"/>
            <w:r>
              <w:rPr>
                <w:rFonts w:hint="eastAsia" w:ascii="宋体" w:hAnsi="宋体" w:cs="仿宋_GB2312"/>
                <w:sz w:val="24"/>
                <w:szCs w:val="24"/>
                <w:lang w:val="zh-CN"/>
              </w:rPr>
              <w:t>供应商提供未为本项目提供整体设计、</w:t>
            </w:r>
            <w:bookmarkStart w:id="4" w:name="baidusnap9"/>
            <w:bookmarkEnd w:id="4"/>
            <w:r>
              <w:rPr>
                <w:rFonts w:hint="eastAsia" w:ascii="宋体" w:hAnsi="宋体" w:cs="仿宋_GB2312"/>
                <w:sz w:val="24"/>
                <w:szCs w:val="24"/>
                <w:lang w:val="zh-CN"/>
              </w:rPr>
              <w:t>规范编制或者项目管理、监理、检测等服务承诺函（承诺函格式自拟）。</w:t>
            </w:r>
            <w:r>
              <w:rPr>
                <w:rFonts w:hint="eastAsia" w:ascii="宋体" w:hAnsi="宋体" w:cs="仿宋_GB2312"/>
                <w:sz w:val="24"/>
                <w:szCs w:val="24"/>
              </w:rPr>
              <w:t>(工程项目须提供承诺函，货物和服务项目不提供承诺函。)</w:t>
            </w:r>
          </w:p>
          <w:p>
            <w:pPr>
              <w:spacing w:line="360" w:lineRule="auto"/>
              <w:jc w:val="lef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 w:val="22"/>
              </w:rPr>
            </w:pPr>
            <w:r>
              <w:rPr>
                <w:rFonts w:hint="eastAsia" w:ascii="宋体" w:hAnsi="宋体"/>
                <w:b/>
                <w:sz w:val="22"/>
                <w:szCs w:val="22"/>
              </w:rPr>
              <w:t>9</w:t>
            </w:r>
          </w:p>
        </w:tc>
        <w:tc>
          <w:tcPr>
            <w:tcW w:w="25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2"/>
              </w:rPr>
            </w:pPr>
            <w:r>
              <w:rPr>
                <w:rFonts w:hint="eastAsia" w:ascii="宋体" w:hAnsi="宋体" w:cs="宋体"/>
                <w:sz w:val="24"/>
                <w:szCs w:val="24"/>
              </w:rPr>
              <w:t>中小企业</w:t>
            </w:r>
          </w:p>
        </w:tc>
        <w:tc>
          <w:tcPr>
            <w:tcW w:w="5844" w:type="dxa"/>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宋体" w:hAnsi="宋体" w:cs="宋体"/>
                <w:sz w:val="24"/>
                <w:szCs w:val="24"/>
              </w:rPr>
            </w:pPr>
            <w:r>
              <w:rPr>
                <w:rFonts w:hint="eastAsia" w:ascii="宋体" w:hAnsi="宋体" w:cs="宋体"/>
                <w:sz w:val="24"/>
                <w:szCs w:val="24"/>
              </w:rPr>
              <w:t>如果本项目是专门面向中小企业采购的，须出具《中小企业声明函》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b/>
                <w:sz w:val="22"/>
              </w:rPr>
            </w:pPr>
            <w:r>
              <w:rPr>
                <w:rFonts w:hint="eastAsia" w:ascii="宋体" w:hAnsi="宋体"/>
                <w:b/>
                <w:sz w:val="22"/>
                <w:szCs w:val="22"/>
              </w:rPr>
              <w:t>10</w:t>
            </w:r>
          </w:p>
        </w:tc>
        <w:tc>
          <w:tcPr>
            <w:tcW w:w="25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
                <w:bCs/>
                <w:sz w:val="22"/>
              </w:rPr>
            </w:pPr>
            <w:r>
              <w:rPr>
                <w:rFonts w:hint="eastAsia" w:ascii="宋体" w:hAnsi="宋体"/>
                <w:b/>
                <w:bCs/>
                <w:sz w:val="24"/>
              </w:rPr>
              <w:t>供应商须具备的特殊资质证书</w:t>
            </w:r>
          </w:p>
        </w:tc>
        <w:tc>
          <w:tcPr>
            <w:tcW w:w="5844"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宋体" w:hAnsi="宋体"/>
                <w:kern w:val="0"/>
                <w:sz w:val="24"/>
                <w:szCs w:val="24"/>
              </w:rPr>
            </w:pPr>
            <w:r>
              <w:rPr>
                <w:rFonts w:hint="eastAsia" w:ascii="宋体" w:hAnsi="宋体"/>
                <w:kern w:val="0"/>
                <w:sz w:val="24"/>
                <w:szCs w:val="24"/>
              </w:rPr>
              <w:t>无</w:t>
            </w:r>
          </w:p>
        </w:tc>
      </w:tr>
    </w:tbl>
    <w:p>
      <w:pPr>
        <w:pStyle w:val="21"/>
        <w:spacing w:line="360" w:lineRule="auto"/>
        <w:rPr>
          <w:rFonts w:ascii="宋体" w:hAnsi="宋体"/>
          <w:b/>
        </w:rPr>
      </w:pPr>
      <w:r>
        <w:rPr>
          <w:rFonts w:hint="eastAsia" w:ascii="宋体" w:hAnsi="宋体"/>
          <w:b/>
        </w:rPr>
        <w:t>二、评审</w:t>
      </w:r>
    </w:p>
    <w:p>
      <w:pPr>
        <w:spacing w:line="360" w:lineRule="auto"/>
        <w:ind w:firstLine="482" w:firstLineChars="200"/>
        <w:rPr>
          <w:rFonts w:ascii="宋体" w:hAnsi="宋体" w:cs="宋体"/>
          <w:b/>
          <w:sz w:val="24"/>
          <w:szCs w:val="24"/>
          <w:lang w:val="zh-CN"/>
        </w:rPr>
      </w:pPr>
      <w:r>
        <w:rPr>
          <w:rFonts w:hint="eastAsia" w:ascii="宋体" w:hAnsi="宋体" w:cs="宋体"/>
          <w:b/>
          <w:sz w:val="24"/>
          <w:szCs w:val="24"/>
          <w:lang w:val="zh-CN"/>
        </w:rPr>
        <w:t>（一）评标方法</w:t>
      </w:r>
    </w:p>
    <w:p>
      <w:pPr>
        <w:spacing w:line="360" w:lineRule="auto"/>
        <w:ind w:firstLine="480" w:firstLineChars="200"/>
        <w:rPr>
          <w:rFonts w:ascii="宋体" w:hAnsi="宋体" w:cs="宋体"/>
          <w:sz w:val="24"/>
          <w:szCs w:val="24"/>
          <w:lang w:val="zh-CN"/>
        </w:rPr>
      </w:pPr>
      <w:r>
        <w:rPr>
          <w:rFonts w:hint="eastAsia" w:ascii="宋体" w:hAnsi="宋体" w:cs="宋体"/>
          <w:sz w:val="24"/>
          <w:szCs w:val="24"/>
          <w:lang w:val="zh-CN"/>
        </w:rPr>
        <w:t>本项目采用综合评分法，总分为100分。</w:t>
      </w:r>
    </w:p>
    <w:p>
      <w:pPr>
        <w:spacing w:line="360" w:lineRule="auto"/>
        <w:ind w:firstLine="482" w:firstLineChars="200"/>
        <w:rPr>
          <w:rFonts w:ascii="宋体" w:hAnsi="宋体" w:cs="宋体"/>
          <w:b/>
          <w:sz w:val="24"/>
          <w:szCs w:val="24"/>
          <w:lang w:val="zh-CN"/>
        </w:rPr>
      </w:pPr>
      <w:r>
        <w:rPr>
          <w:rFonts w:hint="eastAsia" w:ascii="宋体" w:hAnsi="宋体" w:cs="宋体"/>
          <w:b/>
          <w:sz w:val="24"/>
          <w:szCs w:val="24"/>
          <w:lang w:val="zh-CN"/>
        </w:rPr>
        <w:t>（二）磋商小组负责具体评标事务，并独立履行下列职责</w:t>
      </w:r>
    </w:p>
    <w:p>
      <w:pPr>
        <w:spacing w:line="360" w:lineRule="auto"/>
        <w:ind w:firstLine="482" w:firstLineChars="200"/>
        <w:jc w:val="left"/>
        <w:rPr>
          <w:rFonts w:ascii="宋体" w:hAnsi="宋体" w:cs="宋体"/>
          <w:b/>
          <w:sz w:val="24"/>
          <w:szCs w:val="24"/>
          <w:lang w:val="zh-CN"/>
        </w:rPr>
      </w:pPr>
      <w:r>
        <w:rPr>
          <w:rFonts w:hint="eastAsia" w:ascii="宋体" w:hAnsi="宋体" w:cs="宋体"/>
          <w:b/>
          <w:sz w:val="24"/>
          <w:szCs w:val="24"/>
          <w:lang w:val="zh-CN"/>
        </w:rPr>
        <w:t>1、审查、评价响应文件是否符合磋商文件的商务、技术等实质性要求；</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磋商小组对符合资格的供应商的响应文件进行符合性审查，以确定其是否满足采购需求等实质性要求。</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注：符合性审查中所涉及到的证书及材料，均须在电子响应文件中提供原件扫描件（或图片）。</w:t>
      </w:r>
    </w:p>
    <w:p>
      <w:pPr>
        <w:spacing w:line="360" w:lineRule="auto"/>
        <w:ind w:firstLine="482" w:firstLineChars="200"/>
        <w:rPr>
          <w:rFonts w:ascii="宋体" w:hAnsi="宋体" w:cs="宋体"/>
          <w:b/>
          <w:sz w:val="24"/>
          <w:szCs w:val="24"/>
          <w:lang w:val="zh-CN"/>
        </w:rPr>
      </w:pPr>
      <w:r>
        <w:rPr>
          <w:rFonts w:hint="eastAsia" w:ascii="宋体" w:hAnsi="宋体" w:cs="宋体"/>
          <w:b/>
          <w:sz w:val="24"/>
          <w:szCs w:val="24"/>
          <w:lang w:val="zh-CN"/>
        </w:rPr>
        <w:t>2、要求供应商对响应文件有关事项作出澄清或者说明；</w:t>
      </w:r>
    </w:p>
    <w:p>
      <w:pPr>
        <w:spacing w:line="360" w:lineRule="auto"/>
        <w:ind w:firstLine="480" w:firstLineChars="200"/>
        <w:rPr>
          <w:rFonts w:ascii="宋体" w:hAnsi="宋体" w:cs="宋体"/>
          <w:sz w:val="24"/>
          <w:szCs w:val="24"/>
          <w:lang w:val="zh-CN"/>
        </w:rPr>
      </w:pPr>
      <w:r>
        <w:rPr>
          <w:rFonts w:hint="eastAsia" w:ascii="宋体" w:hAnsi="宋体" w:cs="宋体"/>
          <w:sz w:val="24"/>
          <w:szCs w:val="24"/>
          <w:lang w:val="zh-CN"/>
        </w:rPr>
        <w:t>对于响应文件中含义不明确、同类问题表述不一致或者有明显文字和计算错误的内容，磋商小组应当以书面形式要求供应商作出必要的澄清、说明或者补正。</w:t>
      </w:r>
    </w:p>
    <w:p>
      <w:pPr>
        <w:spacing w:line="360" w:lineRule="auto"/>
        <w:ind w:firstLine="480" w:firstLineChars="200"/>
        <w:rPr>
          <w:rFonts w:ascii="宋体" w:hAnsi="宋体" w:cs="宋体"/>
          <w:sz w:val="24"/>
          <w:szCs w:val="24"/>
          <w:lang w:val="zh-CN"/>
        </w:rPr>
      </w:pPr>
      <w:r>
        <w:rPr>
          <w:rFonts w:hint="eastAsia" w:ascii="宋体" w:hAnsi="宋体" w:cs="宋体"/>
          <w:sz w:val="24"/>
          <w:szCs w:val="24"/>
          <w:lang w:val="zh-CN"/>
        </w:rPr>
        <w:t>供应商的澄清、说明或者补正应当采用书面形式，并加盖公章，或者由法定代表人或其授权的代表签字。供应商的澄清、说明或者补正不得超出响应文件的范围或者改变响应文件的实质性内容。</w:t>
      </w:r>
    </w:p>
    <w:p>
      <w:pPr>
        <w:numPr>
          <w:ilvl w:val="0"/>
          <w:numId w:val="6"/>
        </w:numPr>
        <w:spacing w:line="360" w:lineRule="auto"/>
        <w:ind w:firstLine="465"/>
        <w:contextualSpacing/>
        <w:jc w:val="left"/>
        <w:rPr>
          <w:rFonts w:ascii="宋体" w:hAnsi="宋体" w:cs="宋体"/>
          <w:b/>
          <w:sz w:val="24"/>
          <w:szCs w:val="24"/>
          <w:lang w:val="zh-CN"/>
        </w:rPr>
      </w:pPr>
      <w:r>
        <w:rPr>
          <w:rFonts w:hint="eastAsia" w:ascii="宋体" w:hAnsi="宋体" w:cs="宋体"/>
          <w:b/>
          <w:sz w:val="24"/>
          <w:szCs w:val="24"/>
          <w:lang w:val="zh-CN"/>
        </w:rPr>
        <w:t>对响应文件进行比较和评价；</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磋商小组按照磋商文件中规定的评标方法和标准，对符合性审查合格的响应文件进行商务和技术评估，综合比较与评价。评标时，磋商小组各成员应当独立对每个供应商的响应文件进行评价，并汇总每个供应商的得分。评标过程中，不得去掉报价中的最高报价和最低报价。</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注：评标标准中所涉及到的证书及材料，均须在电子响应文件中提供原件扫描件（或图片）。</w:t>
      </w:r>
    </w:p>
    <w:p>
      <w:pPr>
        <w:pStyle w:val="21"/>
        <w:numPr>
          <w:ilvl w:val="0"/>
          <w:numId w:val="7"/>
        </w:numPr>
        <w:spacing w:line="360" w:lineRule="auto"/>
        <w:ind w:firstLine="482" w:firstLineChars="200"/>
        <w:rPr>
          <w:rFonts w:ascii="宋体" w:hAnsi="宋体" w:cs="宋体"/>
          <w:b/>
          <w:kern w:val="2"/>
          <w:lang w:val="zh-CN"/>
        </w:rPr>
      </w:pPr>
      <w:r>
        <w:rPr>
          <w:rFonts w:hint="eastAsia" w:ascii="宋体" w:hAnsi="宋体" w:cs="宋体"/>
          <w:b/>
          <w:kern w:val="2"/>
          <w:lang w:val="zh-CN"/>
        </w:rPr>
        <w:t>价格分计算</w:t>
      </w:r>
    </w:p>
    <w:p>
      <w:pPr>
        <w:spacing w:line="360" w:lineRule="auto"/>
        <w:ind w:firstLine="480" w:firstLineChars="200"/>
        <w:jc w:val="left"/>
        <w:rPr>
          <w:rFonts w:ascii="宋体" w:hAnsi="宋体" w:cs="宋体"/>
          <w:sz w:val="24"/>
          <w:szCs w:val="24"/>
          <w:lang w:val="zh-CN"/>
        </w:rPr>
      </w:pPr>
      <w:r>
        <w:rPr>
          <w:rFonts w:ascii="宋体" w:hAnsi="宋体" w:cs="宋体"/>
          <w:sz w:val="24"/>
          <w:szCs w:val="24"/>
          <w:lang w:val="zh-CN"/>
        </w:rPr>
        <w:t>价格分采用低价优先法计算，即满足</w:t>
      </w:r>
      <w:r>
        <w:rPr>
          <w:rFonts w:hint="eastAsia" w:ascii="宋体" w:hAnsi="宋体" w:cs="宋体"/>
          <w:sz w:val="24"/>
          <w:szCs w:val="24"/>
        </w:rPr>
        <w:t>响应</w:t>
      </w:r>
      <w:r>
        <w:rPr>
          <w:rFonts w:ascii="宋体" w:hAnsi="宋体" w:cs="宋体"/>
          <w:sz w:val="24"/>
          <w:szCs w:val="24"/>
          <w:lang w:val="zh-CN"/>
        </w:rPr>
        <w:t>文件要求且</w:t>
      </w:r>
      <w:r>
        <w:rPr>
          <w:rFonts w:hint="eastAsia" w:ascii="宋体" w:hAnsi="宋体" w:cs="宋体"/>
          <w:sz w:val="24"/>
          <w:szCs w:val="24"/>
        </w:rPr>
        <w:t>最终报价</w:t>
      </w:r>
      <w:r>
        <w:rPr>
          <w:rFonts w:ascii="宋体" w:hAnsi="宋体" w:cs="宋体"/>
          <w:sz w:val="24"/>
          <w:szCs w:val="24"/>
          <w:lang w:val="zh-CN"/>
        </w:rPr>
        <w:t>最低的</w:t>
      </w:r>
      <w:r>
        <w:rPr>
          <w:rFonts w:hint="eastAsia" w:ascii="宋体" w:hAnsi="宋体" w:cs="宋体"/>
          <w:sz w:val="24"/>
          <w:szCs w:val="24"/>
        </w:rPr>
        <w:t>供应商的</w:t>
      </w:r>
      <w:r>
        <w:rPr>
          <w:rFonts w:ascii="宋体" w:hAnsi="宋体" w:cs="宋体"/>
          <w:sz w:val="24"/>
          <w:szCs w:val="24"/>
          <w:lang w:val="zh-CN"/>
        </w:rPr>
        <w:t>报价为评标基准价，其价格分为满分。因落实政府采购政策进行价格调整的，以调整后的价格计算评标基准价和投标报价。</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1）如果本项目非专门面向中小企业采购，对</w:t>
      </w:r>
      <w:r>
        <w:rPr>
          <w:rFonts w:ascii="宋体" w:hAnsi="宋体" w:cs="宋体"/>
          <w:sz w:val="24"/>
          <w:szCs w:val="24"/>
          <w:lang w:val="zh-CN"/>
        </w:rPr>
        <w:t>符合</w:t>
      </w:r>
      <w:r>
        <w:rPr>
          <w:rFonts w:hint="eastAsia" w:ascii="宋体" w:hAnsi="宋体" w:cs="宋体"/>
          <w:sz w:val="24"/>
          <w:szCs w:val="24"/>
          <w:lang w:val="zh-CN"/>
        </w:rPr>
        <w:t>《政府采购促进中小企业发展管理办法》(财库〔2020〕46号、《关于进一步加大政府采购支持中小企业力度的通知》（财库〔2022〕19号）</w:t>
      </w:r>
      <w:r>
        <w:rPr>
          <w:rFonts w:ascii="宋体" w:hAnsi="宋体" w:cs="宋体"/>
          <w:sz w:val="24"/>
          <w:szCs w:val="24"/>
          <w:lang w:val="zh-CN"/>
        </w:rPr>
        <w:t>规定的小微企业报价</w:t>
      </w:r>
      <w:r>
        <w:rPr>
          <w:rFonts w:hint="eastAsia" w:ascii="宋体" w:hAnsi="宋体" w:cs="宋体"/>
          <w:sz w:val="24"/>
          <w:szCs w:val="24"/>
          <w:lang w:val="zh-CN"/>
        </w:rPr>
        <w:t>给予20%（工程项目5%）的扣除，用扣除后的价格参与评审。</w:t>
      </w:r>
      <w:r>
        <w:rPr>
          <w:rFonts w:ascii="宋体" w:hAnsi="宋体" w:cs="宋体"/>
          <w:sz w:val="24"/>
          <w:szCs w:val="24"/>
          <w:lang w:val="zh-CN"/>
        </w:rPr>
        <w:t>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hint="eastAsia" w:ascii="宋体" w:hAnsi="宋体" w:cs="宋体"/>
          <w:sz w:val="24"/>
          <w:szCs w:val="24"/>
          <w:lang w:val="zh-CN"/>
        </w:rPr>
        <w:t>6</w:t>
      </w:r>
      <w:r>
        <w:rPr>
          <w:rFonts w:ascii="宋体" w:hAnsi="宋体" w:cs="宋体"/>
          <w:sz w:val="24"/>
          <w:szCs w:val="24"/>
          <w:lang w:val="zh-CN"/>
        </w:rPr>
        <w:t>%</w:t>
      </w:r>
      <w:r>
        <w:rPr>
          <w:rFonts w:hint="eastAsia" w:ascii="宋体" w:hAnsi="宋体" w:cs="宋体"/>
          <w:sz w:val="24"/>
          <w:szCs w:val="24"/>
          <w:lang w:val="zh-CN"/>
        </w:rPr>
        <w:t>（工程项目2%）</w:t>
      </w:r>
      <w:r>
        <w:rPr>
          <w:rFonts w:ascii="宋体" w:hAnsi="宋体" w:cs="宋体"/>
          <w:sz w:val="24"/>
          <w:szCs w:val="24"/>
          <w:lang w:val="zh-CN"/>
        </w:rPr>
        <w:t>的扣除，用扣除后的价格参加评审。组成联合体或者接受分包的小微企业与联合体内其他企业、分包企业之间存在直接控股、管理关系的，不享受价格扣除优惠政策。</w:t>
      </w:r>
      <w:r>
        <w:rPr>
          <w:rFonts w:hint="eastAsia" w:ascii="宋体" w:hAnsi="宋体" w:cs="宋体"/>
          <w:sz w:val="24"/>
          <w:szCs w:val="24"/>
          <w:lang w:val="zh-CN"/>
        </w:rPr>
        <w:t>按照本次采购标的所属行业的划型标准，符合条件的中小企业应按照磋商文件格式要求提供《中小企业声明函》，</w:t>
      </w:r>
      <w:r>
        <w:rPr>
          <w:rFonts w:ascii="宋体" w:hAnsi="宋体" w:cs="宋体"/>
          <w:sz w:val="24"/>
          <w:szCs w:val="24"/>
          <w:lang w:val="zh-CN"/>
        </w:rPr>
        <w:t>否则不得享受相关中小企业扶持政策。</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小型和微型企业不包含民办非企业单位。</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符合中小企业划分标准的个体工商户，在政府采购活动中视同中小企业。</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2）对监狱企业价格给予20%（工程项目为5%）的扣除，用扣除后的价格参与评审。监狱企业应当提供由省级以上监狱管理局、戒毒管理局(含新疆生产建设兵团)出具的属于监狱企业的证明文件。</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3）对残疾人福利性单位提供本单位制造的货物、承担的工程或者服务，或者提供其他残疾人福利性单位制造的货物（不包括使用非残疾人福利性单位注册商标的货物）价格给予20%（工程项目为5%）的扣除，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享受政府采购支持政策的残疾人福利性单位应当同时满足以下条件：</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（一）安置的残疾人占本单位在职职工人数的比例不低于 25%（含 25%），并且安置的残疾人人数不少于 10 人（含 10 人）；</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（二）依法与安置的每位残疾人签订了一年以上（含一年）的劳动合同或服务协议；</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（三）为安置的每位残疾人按月足额缴纳了基本养老保险、基本医疗保险、失业保险、工伤保险和生育保险等社会保险费；</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（四）通过银行等金融机构向安置的每位残疾人，按月支付了不低于单位所在区县适用的经省级人民政府批准的月最低工资标准的工资；</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（五）提供本单位制造的货物、承担的工程或者服务（以下简称产品），或者提供其他残疾人福利性单位制造的货物（不包括使用非残疾人福利性单位注册商标的货物）。</w:t>
      </w:r>
    </w:p>
    <w:p>
      <w:pPr>
        <w:pStyle w:val="21"/>
        <w:spacing w:line="360" w:lineRule="auto"/>
        <w:ind w:firstLine="480" w:firstLineChars="200"/>
        <w:contextualSpacing/>
        <w:rPr>
          <w:rFonts w:ascii="宋体" w:hAnsi="宋体" w:cs="宋体"/>
          <w:lang w:val="zh-CN"/>
        </w:rPr>
      </w:pPr>
      <w:r>
        <w:rPr>
          <w:rFonts w:hint="eastAsia" w:ascii="宋体" w:hAnsi="宋体" w:cs="宋体"/>
          <w:lang w:val="zh-CN"/>
        </w:rPr>
        <w:t>前款所称残疾人是指法定劳动年龄内，持有《中华人民共和国残疾人证》或者《中华人民共和国残疾军人证（1 至 8 级）》的自然人，包括具有劳动条件和劳动意愿的精神残疾人。在职职工人数是指与残疾人福利性单位建立劳动关系并依法签订劳动合同或者服务协议的雇员人数。</w:t>
      </w:r>
    </w:p>
    <w:p>
      <w:pPr>
        <w:pStyle w:val="21"/>
        <w:spacing w:line="360" w:lineRule="auto"/>
        <w:ind w:firstLine="482" w:firstLineChars="200"/>
        <w:contextualSpacing/>
        <w:rPr>
          <w:rFonts w:ascii="宋体" w:hAnsi="宋体" w:cs="宋体"/>
          <w:b/>
          <w:kern w:val="2"/>
          <w:lang w:val="zh-CN"/>
        </w:rPr>
      </w:pPr>
      <w:r>
        <w:rPr>
          <w:rFonts w:hint="eastAsia" w:ascii="宋体" w:hAnsi="宋体" w:cs="宋体"/>
          <w:b/>
          <w:kern w:val="2"/>
          <w:lang w:val="zh-CN"/>
        </w:rPr>
        <w:t>（2）</w:t>
      </w:r>
      <w:r>
        <w:rPr>
          <w:rFonts w:ascii="宋体" w:hAnsi="宋体" w:cs="宋体"/>
          <w:b/>
          <w:kern w:val="2"/>
          <w:lang w:val="zh-CN"/>
        </w:rPr>
        <w:t>关于相同品牌产品（服务类项目不适用本条款规定）</w:t>
      </w:r>
    </w:p>
    <w:p>
      <w:pPr>
        <w:spacing w:line="360" w:lineRule="auto"/>
        <w:ind w:firstLine="480" w:firstLineChars="200"/>
        <w:jc w:val="left"/>
        <w:rPr>
          <w:rFonts w:ascii="宋体" w:hAnsi="宋体" w:cs="宋体"/>
          <w:sz w:val="24"/>
          <w:szCs w:val="24"/>
          <w:lang w:val="zh-CN"/>
        </w:rPr>
      </w:pPr>
      <w:r>
        <w:rPr>
          <w:rFonts w:ascii="宋体" w:hAnsi="宋体" w:cs="宋体"/>
          <w:sz w:val="24"/>
          <w:szCs w:val="24"/>
          <w:lang w:val="zh-CN"/>
        </w:rPr>
        <w:t>采用最低评标价法的，提供相同品牌产品的不同</w:t>
      </w:r>
      <w:r>
        <w:rPr>
          <w:rFonts w:hint="eastAsia" w:ascii="宋体" w:hAnsi="宋体" w:cs="宋体"/>
          <w:sz w:val="24"/>
          <w:szCs w:val="24"/>
        </w:rPr>
        <w:t>供应商</w:t>
      </w:r>
      <w:r>
        <w:rPr>
          <w:rFonts w:ascii="宋体" w:hAnsi="宋体" w:cs="宋体"/>
          <w:sz w:val="24"/>
          <w:szCs w:val="24"/>
          <w:lang w:val="zh-CN"/>
        </w:rPr>
        <w:t>参加同一合同项下</w:t>
      </w:r>
      <w:r>
        <w:rPr>
          <w:rFonts w:hint="eastAsia" w:ascii="宋体" w:hAnsi="宋体" w:cs="宋体"/>
          <w:kern w:val="0"/>
          <w:sz w:val="24"/>
          <w:szCs w:val="24"/>
        </w:rPr>
        <w:t>响应</w:t>
      </w:r>
      <w:r>
        <w:rPr>
          <w:rFonts w:ascii="宋体" w:hAnsi="宋体" w:cs="宋体"/>
          <w:sz w:val="24"/>
          <w:szCs w:val="24"/>
          <w:lang w:val="zh-CN"/>
        </w:rPr>
        <w:t>的，以其中通过资格审查、符合性审查且报价最低的参加评标；报价相同的，由采购人或者采购人委托评标委员会</w:t>
      </w:r>
      <w:r>
        <w:rPr>
          <w:rFonts w:hint="eastAsia" w:ascii="宋体" w:hAnsi="宋体" w:cs="宋体"/>
          <w:sz w:val="24"/>
          <w:szCs w:val="24"/>
          <w:lang w:val="zh-CN"/>
        </w:rPr>
        <w:t>采取随机抽取</w:t>
      </w:r>
      <w:r>
        <w:rPr>
          <w:rFonts w:ascii="宋体" w:hAnsi="宋体" w:cs="宋体"/>
          <w:sz w:val="24"/>
          <w:szCs w:val="24"/>
          <w:lang w:val="zh-CN"/>
        </w:rPr>
        <w:t>方式确定一个参加评标的</w:t>
      </w:r>
      <w:r>
        <w:rPr>
          <w:rFonts w:hint="eastAsia" w:ascii="宋体" w:hAnsi="宋体" w:cs="宋体"/>
          <w:sz w:val="24"/>
          <w:szCs w:val="24"/>
        </w:rPr>
        <w:t>供应商</w:t>
      </w:r>
      <w:r>
        <w:rPr>
          <w:rFonts w:ascii="宋体" w:hAnsi="宋体" w:cs="宋体"/>
          <w:sz w:val="24"/>
          <w:szCs w:val="24"/>
          <w:lang w:val="zh-CN"/>
        </w:rPr>
        <w:t>人，其他</w:t>
      </w:r>
      <w:r>
        <w:rPr>
          <w:rFonts w:hint="eastAsia" w:ascii="宋体" w:hAnsi="宋体" w:cs="宋体"/>
          <w:kern w:val="0"/>
          <w:sz w:val="24"/>
          <w:szCs w:val="24"/>
        </w:rPr>
        <w:t>响应</w:t>
      </w:r>
      <w:r>
        <w:rPr>
          <w:rFonts w:ascii="宋体" w:hAnsi="宋体" w:cs="宋体"/>
          <w:sz w:val="24"/>
          <w:szCs w:val="24"/>
          <w:lang w:val="zh-CN"/>
        </w:rPr>
        <w:t>无效。</w:t>
      </w:r>
    </w:p>
    <w:p>
      <w:pPr>
        <w:spacing w:line="360" w:lineRule="auto"/>
        <w:ind w:firstLine="480" w:firstLineChars="200"/>
        <w:jc w:val="left"/>
        <w:rPr>
          <w:rFonts w:ascii="宋体" w:hAnsi="宋体" w:cs="宋体"/>
          <w:sz w:val="24"/>
          <w:szCs w:val="24"/>
          <w:lang w:val="zh-CN"/>
        </w:rPr>
      </w:pPr>
      <w:r>
        <w:rPr>
          <w:rFonts w:ascii="宋体" w:hAnsi="宋体" w:cs="宋体"/>
          <w:sz w:val="24"/>
          <w:szCs w:val="24"/>
          <w:lang w:val="zh-CN"/>
        </w:rPr>
        <w:t>采用综合评分法的，提供相同品牌产品</w:t>
      </w:r>
      <w:r>
        <w:rPr>
          <w:rFonts w:hint="eastAsia" w:ascii="宋体" w:hAnsi="宋体" w:cs="宋体"/>
          <w:sz w:val="24"/>
          <w:szCs w:val="24"/>
          <w:lang w:val="zh-CN"/>
        </w:rPr>
        <w:t>（</w:t>
      </w:r>
      <w:r>
        <w:rPr>
          <w:rFonts w:ascii="宋体" w:hAnsi="宋体" w:cs="宋体"/>
          <w:sz w:val="24"/>
          <w:szCs w:val="24"/>
          <w:lang w:val="zh-CN"/>
        </w:rPr>
        <w:t>非单一产品采购项目，多家</w:t>
      </w:r>
      <w:r>
        <w:rPr>
          <w:rFonts w:hint="eastAsia" w:ascii="宋体" w:hAnsi="宋体" w:cs="宋体"/>
          <w:sz w:val="24"/>
          <w:szCs w:val="24"/>
          <w:lang w:val="zh-CN"/>
        </w:rPr>
        <w:t>供应商</w:t>
      </w:r>
      <w:r>
        <w:rPr>
          <w:rFonts w:ascii="宋体" w:hAnsi="宋体" w:cs="宋体"/>
          <w:sz w:val="24"/>
          <w:szCs w:val="24"/>
          <w:lang w:val="zh-CN"/>
        </w:rPr>
        <w:t>提供的核心产品品牌相同</w:t>
      </w:r>
      <w:r>
        <w:rPr>
          <w:rFonts w:hint="eastAsia" w:ascii="宋体" w:hAnsi="宋体" w:cs="宋体"/>
          <w:sz w:val="24"/>
          <w:szCs w:val="24"/>
          <w:lang w:val="zh-CN"/>
        </w:rPr>
        <w:t>）</w:t>
      </w:r>
      <w:r>
        <w:rPr>
          <w:rFonts w:ascii="宋体" w:hAnsi="宋体" w:cs="宋体"/>
          <w:sz w:val="24"/>
          <w:szCs w:val="24"/>
          <w:lang w:val="zh-CN"/>
        </w:rPr>
        <w:t>且通过资格审查、符合性审查的不同</w:t>
      </w:r>
      <w:r>
        <w:rPr>
          <w:rFonts w:hint="eastAsia" w:ascii="宋体" w:hAnsi="宋体" w:cs="宋体"/>
          <w:sz w:val="24"/>
          <w:szCs w:val="24"/>
          <w:lang w:val="zh-CN"/>
        </w:rPr>
        <w:t>供应商</w:t>
      </w:r>
      <w:r>
        <w:rPr>
          <w:rFonts w:ascii="宋体" w:hAnsi="宋体" w:cs="宋体"/>
          <w:sz w:val="24"/>
          <w:szCs w:val="24"/>
          <w:lang w:val="zh-CN"/>
        </w:rPr>
        <w:t>参加同一合同项下</w:t>
      </w:r>
      <w:r>
        <w:rPr>
          <w:rFonts w:hint="eastAsia" w:ascii="宋体" w:hAnsi="宋体" w:cs="宋体"/>
          <w:kern w:val="0"/>
          <w:sz w:val="24"/>
          <w:szCs w:val="24"/>
        </w:rPr>
        <w:t>响应</w:t>
      </w:r>
      <w:r>
        <w:rPr>
          <w:rFonts w:ascii="宋体" w:hAnsi="宋体" w:cs="宋体"/>
          <w:sz w:val="24"/>
          <w:szCs w:val="24"/>
          <w:lang w:val="zh-CN"/>
        </w:rPr>
        <w:t>的，按一家</w:t>
      </w:r>
      <w:r>
        <w:rPr>
          <w:rFonts w:hint="eastAsia" w:ascii="宋体" w:hAnsi="宋体" w:cs="宋体"/>
          <w:sz w:val="24"/>
          <w:szCs w:val="24"/>
          <w:lang w:val="zh-CN"/>
        </w:rPr>
        <w:t>供应商</w:t>
      </w:r>
      <w:r>
        <w:rPr>
          <w:rFonts w:ascii="宋体" w:hAnsi="宋体" w:cs="宋体"/>
          <w:sz w:val="24"/>
          <w:szCs w:val="24"/>
          <w:lang w:val="zh-CN"/>
        </w:rPr>
        <w:t>计算，评审后得分最高的同品牌</w:t>
      </w:r>
      <w:r>
        <w:rPr>
          <w:rFonts w:hint="eastAsia" w:ascii="宋体" w:hAnsi="宋体" w:cs="宋体"/>
          <w:sz w:val="24"/>
          <w:szCs w:val="24"/>
          <w:lang w:val="zh-CN"/>
        </w:rPr>
        <w:t>供应商</w:t>
      </w:r>
      <w:r>
        <w:rPr>
          <w:rFonts w:ascii="宋体" w:hAnsi="宋体" w:cs="宋体"/>
          <w:sz w:val="24"/>
          <w:szCs w:val="24"/>
          <w:lang w:val="zh-CN"/>
        </w:rPr>
        <w:t>作为</w:t>
      </w:r>
      <w:r>
        <w:rPr>
          <w:rFonts w:hint="eastAsia" w:ascii="宋体" w:hAnsi="宋体" w:cs="宋体"/>
          <w:sz w:val="24"/>
          <w:szCs w:val="24"/>
          <w:lang w:val="zh-CN"/>
        </w:rPr>
        <w:t>成交</w:t>
      </w:r>
      <w:r>
        <w:rPr>
          <w:rFonts w:ascii="宋体" w:hAnsi="宋体" w:cs="宋体"/>
          <w:sz w:val="24"/>
          <w:szCs w:val="24"/>
          <w:lang w:val="zh-CN"/>
        </w:rPr>
        <w:t>候选人推荐；评审得分相同的，</w:t>
      </w:r>
      <w:r>
        <w:rPr>
          <w:rFonts w:hint="eastAsia" w:ascii="宋体" w:hAnsi="宋体" w:cs="宋体"/>
          <w:sz w:val="24"/>
          <w:szCs w:val="24"/>
          <w:lang w:val="zh-CN"/>
        </w:rPr>
        <w:t>由采购人或者采购人委托评标委员会</w:t>
      </w:r>
      <w:r>
        <w:rPr>
          <w:rFonts w:ascii="宋体" w:hAnsi="宋体" w:cs="宋体"/>
          <w:sz w:val="24"/>
          <w:szCs w:val="24"/>
          <w:lang w:val="zh-CN"/>
        </w:rPr>
        <w:t>采取随机抽取方式确定</w:t>
      </w:r>
      <w:r>
        <w:rPr>
          <w:rFonts w:hint="eastAsia" w:ascii="宋体" w:hAnsi="宋体" w:cs="宋体"/>
          <w:sz w:val="24"/>
          <w:szCs w:val="24"/>
          <w:lang w:val="zh-CN"/>
        </w:rPr>
        <w:t>一个供应商获得成交人推荐资格</w:t>
      </w:r>
      <w:r>
        <w:rPr>
          <w:rFonts w:ascii="宋体" w:hAnsi="宋体" w:cs="宋体"/>
          <w:sz w:val="24"/>
          <w:szCs w:val="24"/>
          <w:lang w:val="zh-CN"/>
        </w:rPr>
        <w:t>，其他同品牌</w:t>
      </w:r>
      <w:r>
        <w:rPr>
          <w:rFonts w:hint="eastAsia" w:ascii="宋体" w:hAnsi="宋体" w:cs="宋体"/>
          <w:sz w:val="24"/>
          <w:szCs w:val="24"/>
          <w:lang w:val="zh-CN"/>
        </w:rPr>
        <w:t>供应商</w:t>
      </w:r>
      <w:r>
        <w:rPr>
          <w:rFonts w:ascii="宋体" w:hAnsi="宋体" w:cs="宋体"/>
          <w:sz w:val="24"/>
          <w:szCs w:val="24"/>
          <w:lang w:val="zh-CN"/>
        </w:rPr>
        <w:t>不作为</w:t>
      </w:r>
      <w:r>
        <w:rPr>
          <w:rFonts w:hint="eastAsia" w:ascii="宋体" w:hAnsi="宋体" w:cs="宋体"/>
          <w:sz w:val="24"/>
          <w:szCs w:val="24"/>
          <w:lang w:val="zh-CN"/>
        </w:rPr>
        <w:t>成交</w:t>
      </w:r>
      <w:r>
        <w:rPr>
          <w:rFonts w:ascii="宋体" w:hAnsi="宋体" w:cs="宋体"/>
          <w:sz w:val="24"/>
          <w:szCs w:val="24"/>
          <w:lang w:val="zh-CN"/>
        </w:rPr>
        <w:t>候选人。</w:t>
      </w:r>
    </w:p>
    <w:p>
      <w:pPr>
        <w:pStyle w:val="21"/>
        <w:spacing w:line="360" w:lineRule="auto"/>
        <w:ind w:firstLine="482" w:firstLineChars="200"/>
        <w:rPr>
          <w:rFonts w:ascii="宋体" w:hAnsi="宋体" w:cs="宋体"/>
          <w:b/>
          <w:kern w:val="2"/>
          <w:lang w:val="zh-CN"/>
        </w:rPr>
      </w:pPr>
      <w:r>
        <w:rPr>
          <w:rFonts w:hint="eastAsia" w:ascii="宋体" w:hAnsi="宋体" w:cs="宋体"/>
          <w:b/>
          <w:kern w:val="2"/>
          <w:lang w:val="zh-CN"/>
        </w:rPr>
        <w:t>（</w:t>
      </w:r>
      <w:r>
        <w:rPr>
          <w:rFonts w:hint="eastAsia" w:ascii="宋体" w:hAnsi="宋体" w:cs="宋体"/>
          <w:b/>
          <w:kern w:val="2"/>
        </w:rPr>
        <w:t>3</w:t>
      </w:r>
      <w:r>
        <w:rPr>
          <w:rFonts w:hint="eastAsia" w:ascii="宋体" w:hAnsi="宋体" w:cs="宋体"/>
          <w:b/>
          <w:kern w:val="2"/>
          <w:lang w:val="zh-CN"/>
        </w:rPr>
        <w:t>）强制采购节能产品和优先采购节能产品、优先采购环保产品</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1）对《节能产品政府采购品目清单》所列的政府强制采购节能产品，供应商响应文件中应提供具有国家确定的认证机构出具的、处于有效期之内的节能产品认证证书，否则将承担其</w:t>
      </w:r>
      <w:r>
        <w:rPr>
          <w:rFonts w:hint="eastAsia" w:ascii="宋体" w:hAnsi="宋体" w:cs="宋体"/>
          <w:kern w:val="0"/>
          <w:sz w:val="24"/>
          <w:szCs w:val="24"/>
        </w:rPr>
        <w:t>响应</w:t>
      </w:r>
      <w:r>
        <w:rPr>
          <w:rFonts w:hint="eastAsia" w:ascii="宋体" w:hAnsi="宋体" w:cs="宋体"/>
          <w:sz w:val="24"/>
          <w:szCs w:val="24"/>
          <w:lang w:val="zh-CN"/>
        </w:rPr>
        <w:t>被视为非实质性响应投标的风险。</w:t>
      </w:r>
    </w:p>
    <w:p>
      <w:pPr>
        <w:spacing w:line="360" w:lineRule="auto"/>
        <w:ind w:firstLine="720" w:firstLineChars="300"/>
        <w:jc w:val="left"/>
        <w:rPr>
          <w:rFonts w:ascii="宋体" w:hAnsi="宋体" w:cs="宋体"/>
          <w:sz w:val="24"/>
          <w:szCs w:val="24"/>
          <w:lang w:val="zh-CN"/>
        </w:rPr>
      </w:pPr>
      <w:r>
        <w:rPr>
          <w:rFonts w:hint="eastAsia" w:ascii="宋体" w:hAnsi="宋体" w:cs="宋体"/>
          <w:sz w:val="24"/>
          <w:szCs w:val="24"/>
          <w:lang w:val="zh-CN"/>
        </w:rPr>
        <w:t>供应商所投产品若属于《节能产品政府采购品目清单》优先采购产品，响应文件中应提供具有国家确定的认证机构出具的、处于有效期之内的节能产品认证证书，磋商小组根据本项目评标标准予以判定并赋分。</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2）供应商所投产品若属于《环境标志产品政府采购品目清单》内产品，响应文件中应提供具有国家确定的认证机构出具的、处于有效期之内的环境标志产品认证证书，磋商小组根据本项目评标标准予以判定并赋分。</w:t>
      </w:r>
    </w:p>
    <w:p>
      <w:pPr>
        <w:pStyle w:val="21"/>
        <w:spacing w:line="360" w:lineRule="auto"/>
        <w:ind w:firstLine="482" w:firstLineChars="200"/>
        <w:rPr>
          <w:rFonts w:ascii="宋体" w:hAnsi="宋体" w:cs="宋体"/>
          <w:b/>
          <w:kern w:val="2"/>
          <w:lang w:val="zh-CN"/>
        </w:rPr>
      </w:pPr>
      <w:r>
        <w:rPr>
          <w:rFonts w:hint="eastAsia" w:ascii="宋体" w:hAnsi="宋体" w:cs="宋体"/>
          <w:b/>
          <w:kern w:val="2"/>
          <w:lang w:val="zh-CN"/>
        </w:rPr>
        <w:t>（</w:t>
      </w:r>
      <w:r>
        <w:rPr>
          <w:rFonts w:hint="eastAsia" w:ascii="宋体" w:hAnsi="宋体" w:cs="宋体"/>
          <w:b/>
          <w:kern w:val="2"/>
        </w:rPr>
        <w:t>4</w:t>
      </w:r>
      <w:r>
        <w:rPr>
          <w:rFonts w:hint="eastAsia" w:ascii="宋体" w:hAnsi="宋体" w:cs="宋体"/>
          <w:b/>
          <w:kern w:val="2"/>
          <w:lang w:val="zh-CN"/>
        </w:rPr>
        <w:t>）信息产品要求</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1）供应商所投产品如被列入《信息安全产品强制性认证目录》，应提供由中国信息安全认证中心按国家标准认证颁发的有效认证证书。</w:t>
      </w:r>
    </w:p>
    <w:p>
      <w:pPr>
        <w:pStyle w:val="21"/>
        <w:spacing w:line="360" w:lineRule="auto"/>
        <w:ind w:firstLine="482" w:firstLineChars="200"/>
        <w:rPr>
          <w:rFonts w:ascii="宋体" w:hAnsi="宋体" w:cs="宋体"/>
          <w:b/>
          <w:kern w:val="2"/>
          <w:lang w:val="zh-CN"/>
        </w:rPr>
      </w:pPr>
      <w:r>
        <w:rPr>
          <w:rFonts w:hint="eastAsia" w:ascii="宋体" w:hAnsi="宋体" w:cs="宋体"/>
          <w:b/>
          <w:kern w:val="2"/>
          <w:lang w:val="zh-CN"/>
        </w:rPr>
        <w:t>（</w:t>
      </w:r>
      <w:r>
        <w:rPr>
          <w:rFonts w:hint="eastAsia" w:ascii="宋体" w:hAnsi="宋体" w:cs="宋体"/>
          <w:b/>
          <w:kern w:val="2"/>
        </w:rPr>
        <w:t>5</w:t>
      </w:r>
      <w:r>
        <w:rPr>
          <w:rFonts w:hint="eastAsia" w:ascii="宋体" w:hAnsi="宋体" w:cs="宋体"/>
          <w:b/>
          <w:kern w:val="2"/>
          <w:lang w:val="zh-CN"/>
        </w:rPr>
        <w:t>）响应无效情形</w:t>
      </w:r>
    </w:p>
    <w:p>
      <w:pPr>
        <w:autoSpaceDE w:val="0"/>
        <w:autoSpaceDN w:val="0"/>
        <w:spacing w:line="360" w:lineRule="auto"/>
        <w:ind w:firstLine="480" w:firstLineChars="200"/>
        <w:contextualSpacing/>
      </w:pPr>
      <w:r>
        <w:rPr>
          <w:rFonts w:hint="eastAsia" w:ascii="宋体" w:hAnsi="宋体" w:cs="宋体"/>
          <w:kern w:val="0"/>
          <w:sz w:val="24"/>
          <w:szCs w:val="24"/>
        </w:rPr>
        <w:t>根据《河南省财政厅关于防范供应商串通投标促进政府采购公平竞争的通知》（豫财购 ﹝2021﹞6号）要求，参与同一个标段的供应商存在下列情形之一的，其</w:t>
      </w:r>
      <w:r>
        <w:rPr>
          <w:rFonts w:ascii="宋体" w:hAnsi="宋体" w:cs="宋体"/>
          <w:kern w:val="0"/>
          <w:sz w:val="24"/>
          <w:szCs w:val="24"/>
        </w:rPr>
        <w:t>响应文件</w:t>
      </w:r>
      <w:r>
        <w:rPr>
          <w:rFonts w:hint="eastAsia" w:ascii="宋体" w:hAnsi="宋体" w:cs="宋体"/>
          <w:kern w:val="0"/>
          <w:sz w:val="24"/>
          <w:szCs w:val="24"/>
        </w:rPr>
        <w:t>无效：</w:t>
      </w:r>
    </w:p>
    <w:p>
      <w:pPr>
        <w:autoSpaceDE w:val="0"/>
        <w:autoSpaceDN w:val="0"/>
        <w:spacing w:line="360" w:lineRule="auto"/>
        <w:ind w:firstLine="480" w:firstLineChars="200"/>
        <w:contextualSpacing/>
        <w:rPr>
          <w:rFonts w:ascii="宋体" w:hAnsi="宋体" w:cs="宋体"/>
          <w:kern w:val="0"/>
          <w:sz w:val="24"/>
          <w:szCs w:val="24"/>
          <w:lang w:val="zh-CN"/>
        </w:rPr>
      </w:pPr>
      <w:r>
        <w:rPr>
          <w:rFonts w:hint="eastAsia" w:ascii="宋体" w:hAnsi="宋体" w:cs="宋体"/>
          <w:kern w:val="0"/>
          <w:sz w:val="24"/>
          <w:szCs w:val="24"/>
          <w:lang w:val="zh-CN"/>
        </w:rPr>
        <w:t>(一)不同供应商的电子投标(响应)文件上传计算机的网卡MAC地址、CPU序列号和硬盘序列号等硬件信息相同的；</w:t>
      </w:r>
    </w:p>
    <w:p>
      <w:pPr>
        <w:autoSpaceDE w:val="0"/>
        <w:autoSpaceDN w:val="0"/>
        <w:spacing w:line="360" w:lineRule="auto"/>
        <w:ind w:firstLine="480" w:firstLineChars="200"/>
        <w:contextualSpacing/>
        <w:rPr>
          <w:rFonts w:ascii="宋体" w:hAnsi="宋体" w:cs="宋体"/>
          <w:kern w:val="0"/>
          <w:sz w:val="24"/>
          <w:szCs w:val="24"/>
          <w:lang w:val="zh-CN"/>
        </w:rPr>
      </w:pPr>
      <w:r>
        <w:rPr>
          <w:rFonts w:hint="eastAsia" w:ascii="宋体" w:hAnsi="宋体" w:cs="宋体"/>
          <w:kern w:val="0"/>
          <w:sz w:val="24"/>
          <w:szCs w:val="24"/>
          <w:lang w:val="zh-CN"/>
        </w:rPr>
        <w:t>(二)不同供应商的投标(响应)文件由同一电子设备编制、打印加密或者上传；</w:t>
      </w:r>
    </w:p>
    <w:p>
      <w:pPr>
        <w:autoSpaceDE w:val="0"/>
        <w:autoSpaceDN w:val="0"/>
        <w:spacing w:line="360" w:lineRule="auto"/>
        <w:ind w:firstLine="480" w:firstLineChars="200"/>
        <w:contextualSpacing/>
        <w:rPr>
          <w:rFonts w:ascii="宋体" w:hAnsi="宋体" w:cs="宋体"/>
          <w:kern w:val="0"/>
          <w:sz w:val="24"/>
          <w:szCs w:val="24"/>
          <w:lang w:val="zh-CN"/>
        </w:rPr>
      </w:pPr>
      <w:r>
        <w:rPr>
          <w:rFonts w:hint="eastAsia" w:ascii="宋体" w:hAnsi="宋体" w:cs="宋体"/>
          <w:kern w:val="0"/>
          <w:sz w:val="24"/>
          <w:szCs w:val="24"/>
          <w:lang w:val="zh-CN"/>
        </w:rPr>
        <w:t>(三)不同供应商的投标(响应)文件由同一电子设备打印、复印；</w:t>
      </w:r>
    </w:p>
    <w:p>
      <w:pPr>
        <w:autoSpaceDE w:val="0"/>
        <w:autoSpaceDN w:val="0"/>
        <w:spacing w:line="360" w:lineRule="auto"/>
        <w:ind w:firstLine="480" w:firstLineChars="200"/>
        <w:contextualSpacing/>
        <w:rPr>
          <w:rFonts w:ascii="宋体" w:hAnsi="宋体" w:cs="宋体"/>
          <w:kern w:val="0"/>
          <w:sz w:val="24"/>
          <w:szCs w:val="24"/>
          <w:lang w:val="zh-CN"/>
        </w:rPr>
      </w:pPr>
      <w:r>
        <w:rPr>
          <w:rFonts w:hint="eastAsia" w:ascii="宋体" w:hAnsi="宋体" w:cs="宋体"/>
          <w:kern w:val="0"/>
          <w:sz w:val="24"/>
          <w:szCs w:val="24"/>
          <w:lang w:val="zh-CN"/>
        </w:rPr>
        <w:t>(四)不同供应商的投标(响应)文件由同一人送达或者分发，或者不同供应商联系人为同一人或不同联系人的联系电话一致的；</w:t>
      </w:r>
    </w:p>
    <w:p>
      <w:pPr>
        <w:autoSpaceDE w:val="0"/>
        <w:autoSpaceDN w:val="0"/>
        <w:spacing w:line="360" w:lineRule="auto"/>
        <w:ind w:firstLine="480" w:firstLineChars="200"/>
        <w:contextualSpacing/>
        <w:rPr>
          <w:rFonts w:ascii="宋体" w:hAnsi="宋体" w:cs="宋体"/>
          <w:kern w:val="0"/>
          <w:sz w:val="24"/>
          <w:szCs w:val="24"/>
          <w:lang w:val="zh-CN"/>
        </w:rPr>
      </w:pPr>
      <w:r>
        <w:rPr>
          <w:rFonts w:hint="eastAsia" w:ascii="宋体" w:hAnsi="宋体" w:cs="宋体"/>
          <w:kern w:val="0"/>
          <w:sz w:val="24"/>
          <w:szCs w:val="24"/>
          <w:lang w:val="zh-CN"/>
        </w:rPr>
        <w:t>(五)不同供应商的投标(响应)文件的内容存在两处以上细节错误一致；</w:t>
      </w:r>
    </w:p>
    <w:p>
      <w:pPr>
        <w:autoSpaceDE w:val="0"/>
        <w:autoSpaceDN w:val="0"/>
        <w:spacing w:line="360" w:lineRule="auto"/>
        <w:ind w:firstLine="480" w:firstLineChars="200"/>
        <w:contextualSpacing/>
        <w:rPr>
          <w:rFonts w:ascii="宋体" w:hAnsi="宋体" w:cs="宋体"/>
          <w:kern w:val="0"/>
          <w:sz w:val="24"/>
          <w:szCs w:val="24"/>
          <w:lang w:val="zh-CN"/>
        </w:rPr>
      </w:pPr>
      <w:r>
        <w:rPr>
          <w:rFonts w:hint="eastAsia" w:ascii="宋体" w:hAnsi="宋体" w:cs="宋体"/>
          <w:kern w:val="0"/>
          <w:sz w:val="24"/>
          <w:szCs w:val="24"/>
          <w:lang w:val="zh-CN"/>
        </w:rPr>
        <w:t>(六)不同供应商的法定代表人、委托代理人、项目经理、项目负责人等由同一个单位缴纳社会保险或者领取报酬的；</w:t>
      </w:r>
    </w:p>
    <w:p>
      <w:pPr>
        <w:autoSpaceDE w:val="0"/>
        <w:autoSpaceDN w:val="0"/>
        <w:spacing w:line="360" w:lineRule="auto"/>
        <w:ind w:firstLine="480" w:firstLineChars="200"/>
        <w:contextualSpacing/>
        <w:rPr>
          <w:rFonts w:ascii="宋体" w:hAnsi="宋体" w:cs="宋体"/>
          <w:kern w:val="0"/>
          <w:sz w:val="24"/>
          <w:szCs w:val="24"/>
          <w:lang w:val="zh-CN"/>
        </w:rPr>
      </w:pPr>
      <w:r>
        <w:rPr>
          <w:rFonts w:hint="eastAsia" w:ascii="宋体" w:hAnsi="宋体" w:cs="宋体"/>
          <w:kern w:val="0"/>
          <w:sz w:val="24"/>
          <w:szCs w:val="24"/>
          <w:lang w:val="zh-CN"/>
        </w:rPr>
        <w:t>(七)不同供应商投标(响应)文件中法定代表人或者负责人签字出自同一人之手；</w:t>
      </w:r>
    </w:p>
    <w:p>
      <w:pPr>
        <w:autoSpaceDE w:val="0"/>
        <w:autoSpaceDN w:val="0"/>
        <w:spacing w:line="360" w:lineRule="auto"/>
        <w:ind w:firstLine="480" w:firstLineChars="200"/>
        <w:contextualSpacing/>
        <w:rPr>
          <w:rFonts w:ascii="宋体" w:hAnsi="宋体" w:cs="宋体"/>
          <w:kern w:val="0"/>
          <w:sz w:val="24"/>
          <w:szCs w:val="24"/>
          <w:lang w:val="zh-CN"/>
        </w:rPr>
      </w:pPr>
      <w:r>
        <w:rPr>
          <w:rFonts w:hint="eastAsia" w:ascii="宋体" w:hAnsi="宋体" w:cs="宋体"/>
          <w:kern w:val="0"/>
          <w:sz w:val="24"/>
          <w:szCs w:val="24"/>
          <w:lang w:val="zh-CN"/>
        </w:rPr>
        <w:t>(八)其它涉嫌串通的情形。</w:t>
      </w:r>
    </w:p>
    <w:p>
      <w:pPr>
        <w:tabs>
          <w:tab w:val="left" w:pos="1260"/>
        </w:tabs>
        <w:autoSpaceDE w:val="0"/>
        <w:autoSpaceDN w:val="0"/>
        <w:spacing w:line="360" w:lineRule="auto"/>
        <w:ind w:firstLine="482" w:firstLineChars="200"/>
        <w:rPr>
          <w:rFonts w:ascii="宋体" w:hAnsi="宋体" w:cs="宋体"/>
          <w:b/>
          <w:sz w:val="24"/>
          <w:lang w:val="zh-CN"/>
        </w:rPr>
      </w:pPr>
      <w:r>
        <w:rPr>
          <w:rFonts w:hint="eastAsia" w:ascii="宋体" w:hAnsi="宋体" w:cs="宋体"/>
          <w:b/>
          <w:sz w:val="24"/>
          <w:szCs w:val="24"/>
          <w:lang w:val="zh-CN"/>
        </w:rPr>
        <w:t>（</w:t>
      </w:r>
      <w:r>
        <w:rPr>
          <w:rFonts w:hint="eastAsia" w:ascii="宋体" w:hAnsi="宋体" w:cs="宋体"/>
          <w:b/>
          <w:sz w:val="24"/>
          <w:szCs w:val="24"/>
        </w:rPr>
        <w:t>6</w:t>
      </w:r>
      <w:r>
        <w:rPr>
          <w:rFonts w:hint="eastAsia" w:ascii="宋体" w:hAnsi="宋体" w:cs="宋体"/>
          <w:b/>
          <w:sz w:val="24"/>
          <w:szCs w:val="24"/>
          <w:lang w:val="zh-CN"/>
        </w:rPr>
        <w:t>）</w:t>
      </w:r>
      <w:r>
        <w:rPr>
          <w:rFonts w:hint="eastAsia" w:ascii="宋体" w:hAnsi="宋体" w:cs="宋体"/>
          <w:b/>
          <w:sz w:val="24"/>
          <w:lang w:val="zh-CN"/>
        </w:rPr>
        <w:t>评标标准</w:t>
      </w:r>
    </w:p>
    <w:tbl>
      <w:tblPr>
        <w:tblStyle w:val="30"/>
        <w:tblW w:w="89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9"/>
        <w:gridCol w:w="5865"/>
        <w:gridCol w:w="244"/>
        <w:gridCol w:w="1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62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分值构成</w:t>
            </w:r>
          </w:p>
          <w:p>
            <w:pPr>
              <w:spacing w:line="360" w:lineRule="auto"/>
              <w:jc w:val="center"/>
              <w:rPr>
                <w:rFonts w:ascii="宋体" w:hAnsi="宋体" w:cs="宋体"/>
                <w:sz w:val="24"/>
              </w:rPr>
            </w:pPr>
            <w:r>
              <w:rPr>
                <w:rFonts w:hint="eastAsia" w:ascii="宋体" w:hAnsi="宋体" w:cs="宋体"/>
                <w:sz w:val="24"/>
              </w:rPr>
              <w:t>(总分100分)</w:t>
            </w:r>
          </w:p>
        </w:tc>
        <w:tc>
          <w:tcPr>
            <w:tcW w:w="7359"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atLeast"/>
              <w:ind w:firstLine="480"/>
              <w:jc w:val="center"/>
              <w:rPr>
                <w:rFonts w:ascii="宋体" w:hAnsi="宋体" w:cs="宋体"/>
                <w:kern w:val="0"/>
                <w:sz w:val="24"/>
              </w:rPr>
            </w:pPr>
            <w:r>
              <w:rPr>
                <w:rFonts w:hint="eastAsia" w:ascii="宋体" w:hAnsi="宋体" w:cs="宋体"/>
                <w:kern w:val="0"/>
                <w:sz w:val="24"/>
              </w:rPr>
              <w:t>价格部分：</w:t>
            </w:r>
            <w:r>
              <w:rPr>
                <w:rFonts w:hint="eastAsia" w:ascii="宋体" w:hAnsi="宋体" w:cs="宋体"/>
                <w:color w:val="FF0000"/>
                <w:kern w:val="0"/>
                <w:sz w:val="24"/>
              </w:rPr>
              <w:t>30</w:t>
            </w:r>
            <w:r>
              <w:rPr>
                <w:rFonts w:hint="eastAsia" w:ascii="宋体" w:hAnsi="宋体" w:cs="宋体"/>
                <w:kern w:val="0"/>
                <w:sz w:val="24"/>
              </w:rPr>
              <w:t>分</w:t>
            </w:r>
          </w:p>
          <w:p>
            <w:pPr>
              <w:widowControl/>
              <w:spacing w:line="360" w:lineRule="atLeast"/>
              <w:ind w:firstLine="480"/>
              <w:jc w:val="center"/>
              <w:rPr>
                <w:rFonts w:ascii="宋体" w:hAnsi="宋体" w:cs="宋体"/>
                <w:kern w:val="0"/>
                <w:sz w:val="24"/>
              </w:rPr>
            </w:pPr>
            <w:r>
              <w:rPr>
                <w:rFonts w:hint="eastAsia" w:ascii="宋体" w:hAnsi="宋体" w:cs="宋体"/>
                <w:kern w:val="0"/>
                <w:sz w:val="24"/>
              </w:rPr>
              <w:t>商务部分：20分</w:t>
            </w:r>
          </w:p>
          <w:p>
            <w:pPr>
              <w:widowControl/>
              <w:spacing w:line="360" w:lineRule="atLeast"/>
              <w:ind w:firstLine="480"/>
              <w:jc w:val="center"/>
              <w:rPr>
                <w:rFonts w:ascii="宋体" w:hAnsi="宋体" w:cs="宋体"/>
                <w:kern w:val="0"/>
                <w:sz w:val="24"/>
              </w:rPr>
            </w:pPr>
            <w:r>
              <w:rPr>
                <w:rFonts w:hint="eastAsia" w:ascii="宋体" w:hAnsi="宋体" w:cs="宋体"/>
                <w:kern w:val="0"/>
                <w:sz w:val="24"/>
              </w:rPr>
              <w:t>技术部分：</w:t>
            </w:r>
            <w:r>
              <w:rPr>
                <w:rFonts w:hint="eastAsia" w:ascii="宋体" w:hAnsi="宋体" w:cs="宋体"/>
                <w:color w:val="FF0000"/>
                <w:kern w:val="0"/>
                <w:sz w:val="24"/>
              </w:rPr>
              <w:t>50</w:t>
            </w:r>
            <w:r>
              <w:rPr>
                <w:rFonts w:hint="eastAsia" w:ascii="宋体" w:hAnsi="宋体" w:cs="宋体"/>
                <w:kern w:val="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8988" w:type="dxa"/>
            <w:gridSpan w:val="4"/>
            <w:tcBorders>
              <w:top w:val="single" w:color="auto" w:sz="4" w:space="0"/>
              <w:left w:val="single" w:color="auto" w:sz="4" w:space="0"/>
              <w:bottom w:val="single" w:color="auto" w:sz="4" w:space="0"/>
              <w:right w:val="single" w:color="auto" w:sz="4" w:space="0"/>
            </w:tcBorders>
            <w:vAlign w:val="center"/>
          </w:tcPr>
          <w:p>
            <w:pPr>
              <w:widowControl/>
              <w:spacing w:line="360" w:lineRule="atLeast"/>
              <w:ind w:firstLine="480"/>
              <w:jc w:val="center"/>
              <w:rPr>
                <w:rFonts w:ascii="宋体" w:hAnsi="宋体" w:cs="宋体"/>
                <w:b/>
                <w:kern w:val="0"/>
                <w:sz w:val="24"/>
              </w:rPr>
            </w:pPr>
            <w:r>
              <w:rPr>
                <w:rFonts w:hint="eastAsia" w:ascii="宋体" w:hAnsi="宋体" w:cs="宋体"/>
                <w:b/>
                <w:kern w:val="0"/>
                <w:sz w:val="24"/>
              </w:rPr>
              <w:t>一、价格部分（满分</w:t>
            </w:r>
            <w:r>
              <w:rPr>
                <w:rFonts w:hint="eastAsia" w:ascii="宋体" w:hAnsi="宋体" w:cs="宋体"/>
                <w:b/>
                <w:color w:val="FF0000"/>
                <w:kern w:val="0"/>
                <w:sz w:val="24"/>
              </w:rPr>
              <w:t>30</w:t>
            </w:r>
            <w:r>
              <w:rPr>
                <w:rFonts w:hint="eastAsia" w:ascii="宋体" w:hAnsi="宋体" w:cs="宋体"/>
                <w:b/>
                <w:kern w:val="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62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 w:val="24"/>
              </w:rPr>
            </w:pPr>
            <w:r>
              <w:rPr>
                <w:rFonts w:hint="eastAsia" w:ascii="宋体" w:hAnsi="宋体" w:cs="宋体"/>
                <w:b/>
                <w:sz w:val="24"/>
              </w:rPr>
              <w:t>评分因素</w:t>
            </w:r>
          </w:p>
        </w:tc>
        <w:tc>
          <w:tcPr>
            <w:tcW w:w="586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 w:val="24"/>
              </w:rPr>
            </w:pPr>
            <w:r>
              <w:rPr>
                <w:rFonts w:hint="eastAsia" w:ascii="宋体" w:hAnsi="宋体" w:cs="宋体"/>
                <w:b/>
                <w:sz w:val="24"/>
              </w:rPr>
              <w:t>评标标准</w:t>
            </w:r>
          </w:p>
        </w:tc>
        <w:tc>
          <w:tcPr>
            <w:tcW w:w="149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 w:val="24"/>
              </w:rPr>
            </w:pPr>
            <w:r>
              <w:rPr>
                <w:rFonts w:hint="eastAsia" w:ascii="宋体" w:hAnsi="宋体" w:cs="宋体"/>
                <w:b/>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jc w:val="center"/>
        </w:trPr>
        <w:tc>
          <w:tcPr>
            <w:tcW w:w="1629"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宋体" w:hAnsi="宋体" w:cs="宋体"/>
                <w:kern w:val="0"/>
                <w:sz w:val="24"/>
              </w:rPr>
            </w:pPr>
            <w:r>
              <w:rPr>
                <w:rFonts w:hint="eastAsia" w:ascii="宋体" w:hAnsi="宋体" w:cs="宋体"/>
                <w:kern w:val="0"/>
                <w:sz w:val="24"/>
              </w:rPr>
              <w:t>投标报价</w:t>
            </w:r>
          </w:p>
          <w:p>
            <w:pPr>
              <w:widowControl/>
              <w:spacing w:line="240" w:lineRule="atLeast"/>
              <w:jc w:val="center"/>
              <w:rPr>
                <w:rFonts w:ascii="宋体" w:hAnsi="宋体" w:cs="宋体"/>
                <w:kern w:val="0"/>
                <w:sz w:val="24"/>
              </w:rPr>
            </w:pPr>
            <w:r>
              <w:rPr>
                <w:rFonts w:hint="eastAsia" w:ascii="宋体" w:hAnsi="宋体" w:cs="宋体"/>
                <w:kern w:val="0"/>
                <w:sz w:val="24"/>
              </w:rPr>
              <w:t>评分标准</w:t>
            </w:r>
          </w:p>
        </w:tc>
        <w:tc>
          <w:tcPr>
            <w:tcW w:w="5865" w:type="dxa"/>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adjustRightInd w:val="0"/>
              <w:snapToGrid w:val="0"/>
              <w:spacing w:before="76" w:line="336" w:lineRule="auto"/>
              <w:ind w:left="113" w:right="108"/>
              <w:textAlignment w:val="baseline"/>
              <w:rPr>
                <w:rFonts w:ascii="宋体" w:hAnsi="宋体" w:cs="宋体"/>
                <w:sz w:val="24"/>
                <w:szCs w:val="24"/>
              </w:rPr>
            </w:pPr>
            <w:r>
              <w:rPr>
                <w:rFonts w:hint="eastAsia" w:ascii="宋体" w:hAnsi="宋体" w:cs="宋体"/>
                <w:kern w:val="0"/>
                <w:sz w:val="24"/>
                <w:szCs w:val="24"/>
              </w:rPr>
              <w:t>满</w:t>
            </w:r>
            <w:r>
              <w:rPr>
                <w:rFonts w:hint="eastAsia" w:ascii="宋体" w:hAnsi="宋体" w:cs="宋体"/>
                <w:sz w:val="24"/>
                <w:szCs w:val="24"/>
              </w:rPr>
              <w:t>足磋商文件要求且最后报价最低的供应商的价格为磋商基准价其价格为满分。因落实政府采购政策进行价格调整，以调整后的价格计算。</w:t>
            </w:r>
          </w:p>
          <w:p>
            <w:pPr>
              <w:widowControl/>
              <w:kinsoku w:val="0"/>
              <w:autoSpaceDE w:val="0"/>
              <w:autoSpaceDN w:val="0"/>
              <w:adjustRightInd w:val="0"/>
              <w:snapToGrid w:val="0"/>
              <w:spacing w:before="76" w:line="336" w:lineRule="auto"/>
              <w:ind w:left="113" w:right="108"/>
              <w:textAlignment w:val="baseline"/>
              <w:rPr>
                <w:rFonts w:ascii="宋体" w:hAnsi="宋体" w:cs="宋体"/>
                <w:sz w:val="24"/>
                <w:szCs w:val="24"/>
              </w:rPr>
            </w:pPr>
            <w:r>
              <w:rPr>
                <w:rFonts w:hint="eastAsia" w:ascii="宋体" w:hAnsi="宋体" w:cs="宋体"/>
                <w:sz w:val="24"/>
                <w:szCs w:val="24"/>
              </w:rPr>
              <w:t>其他供应商的价格分统一按照下列公式计算：</w:t>
            </w:r>
          </w:p>
          <w:p>
            <w:pPr>
              <w:widowControl/>
              <w:kinsoku w:val="0"/>
              <w:autoSpaceDE w:val="0"/>
              <w:autoSpaceDN w:val="0"/>
              <w:adjustRightInd w:val="0"/>
              <w:snapToGrid w:val="0"/>
              <w:spacing w:before="76" w:line="336" w:lineRule="auto"/>
              <w:ind w:left="113" w:right="108"/>
              <w:textAlignment w:val="baseline"/>
              <w:rPr>
                <w:rFonts w:ascii="宋体" w:hAnsi="宋体" w:cs="宋体"/>
                <w:sz w:val="24"/>
                <w:szCs w:val="24"/>
              </w:rPr>
            </w:pPr>
            <w:r>
              <w:rPr>
                <w:rFonts w:hint="eastAsia" w:ascii="宋体" w:hAnsi="宋体" w:cs="宋体"/>
                <w:sz w:val="24"/>
                <w:szCs w:val="24"/>
              </w:rPr>
              <w:t>磋商报价得分=(磋商基准价／最后磋商报价)×</w:t>
            </w:r>
            <w:r>
              <w:rPr>
                <w:rFonts w:hint="eastAsia" w:ascii="宋体" w:hAnsi="宋体" w:cs="宋体"/>
                <w:color w:val="FF0000"/>
                <w:sz w:val="24"/>
                <w:szCs w:val="24"/>
              </w:rPr>
              <w:t>30</w:t>
            </w:r>
            <w:r>
              <w:rPr>
                <w:rFonts w:hint="eastAsia" w:ascii="宋体" w:hAnsi="宋体" w:cs="宋体"/>
                <w:sz w:val="24"/>
                <w:szCs w:val="24"/>
              </w:rPr>
              <w:t>%×100。</w:t>
            </w:r>
          </w:p>
          <w:p>
            <w:pPr>
              <w:widowControl/>
              <w:jc w:val="left"/>
              <w:rPr>
                <w:rFonts w:ascii="宋体" w:hAnsi="宋体" w:cs="宋体"/>
                <w:kern w:val="0"/>
                <w:sz w:val="24"/>
                <w:u w:val="single"/>
              </w:rPr>
            </w:pPr>
            <w:r>
              <w:rPr>
                <w:rFonts w:hint="eastAsia" w:ascii="宋体" w:hAnsi="宋体" w:cs="宋体"/>
                <w:sz w:val="24"/>
                <w:szCs w:val="24"/>
              </w:rPr>
              <w:t>项目评审过程中，不得去掉最后报价中的最高报价和最低报价。</w:t>
            </w:r>
          </w:p>
        </w:tc>
        <w:tc>
          <w:tcPr>
            <w:tcW w:w="149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color w:val="FF0000"/>
                <w:sz w:val="24"/>
              </w:rPr>
              <w:t>30</w:t>
            </w:r>
            <w:r>
              <w:rPr>
                <w:rFonts w:hint="eastAsia" w:ascii="宋体" w:hAnsi="宋体" w:cs="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8988"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b/>
                <w:sz w:val="24"/>
              </w:rPr>
              <w:t>二、商务部分</w:t>
            </w:r>
            <w:r>
              <w:rPr>
                <w:rFonts w:hint="eastAsia" w:ascii="宋体" w:hAnsi="宋体" w:cs="宋体"/>
                <w:b/>
                <w:kern w:val="0"/>
                <w:sz w:val="24"/>
              </w:rPr>
              <w:t>（满分20分）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162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 w:val="24"/>
              </w:rPr>
            </w:pPr>
            <w:r>
              <w:rPr>
                <w:rFonts w:hint="eastAsia" w:ascii="宋体" w:hAnsi="宋体" w:cs="宋体"/>
                <w:b/>
                <w:sz w:val="24"/>
              </w:rPr>
              <w:t>评分因素</w:t>
            </w:r>
          </w:p>
        </w:tc>
        <w:tc>
          <w:tcPr>
            <w:tcW w:w="610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 w:val="24"/>
              </w:rPr>
            </w:pPr>
            <w:r>
              <w:rPr>
                <w:rFonts w:hint="eastAsia" w:ascii="宋体" w:hAnsi="宋体" w:cs="宋体"/>
                <w:b/>
                <w:sz w:val="24"/>
              </w:rPr>
              <w:t>评标标准</w:t>
            </w:r>
          </w:p>
        </w:tc>
        <w:tc>
          <w:tcPr>
            <w:tcW w:w="12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 w:val="24"/>
              </w:rPr>
            </w:pPr>
            <w:r>
              <w:rPr>
                <w:rFonts w:hint="eastAsia" w:ascii="宋体" w:hAnsi="宋体" w:cs="宋体"/>
                <w:b/>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629" w:type="dxa"/>
            <w:tcBorders>
              <w:top w:val="single" w:color="auto" w:sz="4" w:space="0"/>
              <w:left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企业综合实力</w:t>
            </w:r>
          </w:p>
        </w:tc>
        <w:tc>
          <w:tcPr>
            <w:tcW w:w="6109" w:type="dxa"/>
            <w:gridSpan w:val="2"/>
            <w:tcBorders>
              <w:top w:val="single" w:color="auto" w:sz="4" w:space="0"/>
              <w:left w:val="single" w:color="auto" w:sz="4" w:space="0"/>
              <w:right w:val="single" w:color="auto" w:sz="4" w:space="0"/>
            </w:tcBorders>
            <w:vAlign w:val="center"/>
          </w:tcPr>
          <w:p>
            <w:pPr>
              <w:spacing w:line="360" w:lineRule="auto"/>
              <w:rPr>
                <w:rFonts w:ascii="宋体" w:hAnsi="宋体" w:cs="宋体"/>
                <w:sz w:val="24"/>
                <w:szCs w:val="24"/>
              </w:rPr>
            </w:pPr>
            <w:r>
              <w:rPr>
                <w:rFonts w:hint="eastAsia" w:ascii="宋体" w:hAnsi="宋体" w:cs="宋体"/>
                <w:sz w:val="24"/>
                <w:szCs w:val="24"/>
              </w:rPr>
              <w:t>1供应商通过质量管理体系认证、环境管理体系认证、职业健康安全管理体系认证，每项的1分，最多得3分，没有不得分。</w:t>
            </w:r>
          </w:p>
          <w:p>
            <w:pPr>
              <w:spacing w:line="360" w:lineRule="auto"/>
            </w:pPr>
            <w:r>
              <w:rPr>
                <w:rFonts w:hint="eastAsia" w:ascii="宋体" w:hAnsi="宋体" w:cs="宋体"/>
                <w:sz w:val="24"/>
                <w:szCs w:val="24"/>
              </w:rPr>
              <w:t>2、供应商或生产厂家2021年1月1日以来获得过县（市）级荣誉的每项得2分，获得过省级及以上荣誉的每项得4，本项最多得8分。（以证书为准）</w:t>
            </w:r>
          </w:p>
        </w:tc>
        <w:tc>
          <w:tcPr>
            <w:tcW w:w="12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11分</w:t>
            </w:r>
          </w:p>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1629" w:type="dxa"/>
            <w:tcBorders>
              <w:top w:val="single" w:color="auto" w:sz="4" w:space="0"/>
              <w:left w:val="single" w:color="auto" w:sz="4" w:space="0"/>
              <w:right w:val="single" w:color="auto" w:sz="4" w:space="0"/>
            </w:tcBorders>
            <w:vAlign w:val="center"/>
          </w:tcPr>
          <w:p>
            <w:pPr>
              <w:rPr>
                <w:rFonts w:ascii="宋体" w:hAnsi="宋体" w:cs="宋体"/>
                <w:sz w:val="24"/>
              </w:rPr>
            </w:pPr>
            <w:r>
              <w:rPr>
                <w:rFonts w:hint="eastAsia" w:ascii="宋体" w:hAnsi="宋体" w:cs="宋体"/>
                <w:sz w:val="24"/>
              </w:rPr>
              <w:t>企业业绩</w:t>
            </w:r>
          </w:p>
        </w:tc>
        <w:tc>
          <w:tcPr>
            <w:tcW w:w="6109" w:type="dxa"/>
            <w:gridSpan w:val="2"/>
            <w:tcBorders>
              <w:top w:val="single" w:color="auto" w:sz="4" w:space="0"/>
              <w:left w:val="single" w:color="auto" w:sz="4" w:space="0"/>
              <w:right w:val="single" w:color="auto" w:sz="4" w:space="0"/>
            </w:tcBorders>
            <w:vAlign w:val="center"/>
          </w:tcPr>
          <w:p>
            <w:pPr>
              <w:rPr>
                <w:rFonts w:ascii="宋体" w:hAnsi="宋体" w:cs="宋体"/>
                <w:sz w:val="24"/>
              </w:rPr>
            </w:pPr>
            <w:r>
              <w:rPr>
                <w:rFonts w:hint="eastAsia" w:ascii="宋体" w:hAnsi="宋体" w:cs="宋体"/>
                <w:sz w:val="24"/>
              </w:rPr>
              <w:t>供应商2</w:t>
            </w:r>
            <w:r>
              <w:rPr>
                <w:rFonts w:ascii="宋体" w:hAnsi="宋体" w:cs="宋体"/>
                <w:sz w:val="24"/>
              </w:rPr>
              <w:t>02</w:t>
            </w:r>
            <w:r>
              <w:rPr>
                <w:rFonts w:hint="eastAsia" w:ascii="宋体" w:hAnsi="宋体" w:cs="宋体"/>
                <w:sz w:val="24"/>
              </w:rPr>
              <w:t>1年1月以来具有类似业绩者，每项业绩得3分，本项目最多得9分。应提供法定媒介中标（成交）公示网页截图、合同、中标通知书、缺一项不得分）</w:t>
            </w:r>
          </w:p>
        </w:tc>
        <w:tc>
          <w:tcPr>
            <w:tcW w:w="12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8988"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 w:val="24"/>
              </w:rPr>
            </w:pPr>
          </w:p>
          <w:p>
            <w:pPr>
              <w:jc w:val="center"/>
              <w:rPr>
                <w:rFonts w:ascii="宋体" w:hAnsi="宋体" w:cs="宋体"/>
                <w:b/>
                <w:sz w:val="24"/>
              </w:rPr>
            </w:pPr>
            <w:r>
              <w:rPr>
                <w:rFonts w:hint="eastAsia" w:ascii="宋体" w:hAnsi="宋体" w:cs="宋体"/>
                <w:b/>
                <w:sz w:val="24"/>
              </w:rPr>
              <w:t>三、技术部分</w:t>
            </w:r>
            <w:r>
              <w:rPr>
                <w:rFonts w:hint="eastAsia" w:ascii="宋体" w:hAnsi="宋体" w:cs="宋体"/>
                <w:b/>
                <w:kern w:val="0"/>
                <w:sz w:val="24"/>
              </w:rPr>
              <w:t>（满分</w:t>
            </w:r>
            <w:r>
              <w:rPr>
                <w:rFonts w:hint="eastAsia" w:ascii="宋体" w:hAnsi="宋体" w:cs="宋体"/>
                <w:b/>
                <w:color w:val="FF0000"/>
                <w:kern w:val="0"/>
                <w:sz w:val="24"/>
              </w:rPr>
              <w:t>50</w:t>
            </w:r>
            <w:r>
              <w:rPr>
                <w:rFonts w:hint="eastAsia" w:ascii="宋体" w:hAnsi="宋体" w:cs="宋体"/>
                <w:b/>
                <w:kern w:val="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62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 w:val="24"/>
              </w:rPr>
            </w:pPr>
            <w:r>
              <w:rPr>
                <w:rFonts w:hint="eastAsia" w:ascii="宋体" w:hAnsi="宋体" w:cs="宋体"/>
                <w:b/>
                <w:sz w:val="24"/>
              </w:rPr>
              <w:t>评分因素</w:t>
            </w:r>
          </w:p>
        </w:tc>
        <w:tc>
          <w:tcPr>
            <w:tcW w:w="610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 w:val="24"/>
              </w:rPr>
            </w:pPr>
            <w:r>
              <w:rPr>
                <w:rFonts w:hint="eastAsia" w:ascii="宋体" w:hAnsi="宋体" w:cs="宋体"/>
                <w:b/>
                <w:sz w:val="24"/>
              </w:rPr>
              <w:t>评标标准</w:t>
            </w:r>
          </w:p>
        </w:tc>
        <w:tc>
          <w:tcPr>
            <w:tcW w:w="12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 w:val="24"/>
              </w:rPr>
            </w:pPr>
            <w:r>
              <w:rPr>
                <w:rFonts w:hint="eastAsia" w:ascii="宋体" w:hAnsi="宋体" w:cs="宋体"/>
                <w:b/>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62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FF0000"/>
                <w:sz w:val="24"/>
              </w:rPr>
            </w:pPr>
            <w:r>
              <w:rPr>
                <w:rFonts w:hint="eastAsia" w:ascii="宋体" w:hAnsi="宋体" w:cs="宋体"/>
                <w:color w:val="FF0000"/>
                <w:sz w:val="24"/>
              </w:rPr>
              <w:t>技术参数</w:t>
            </w:r>
          </w:p>
        </w:tc>
        <w:tc>
          <w:tcPr>
            <w:tcW w:w="6109"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FF0000"/>
                <w:sz w:val="24"/>
              </w:rPr>
            </w:pPr>
            <w:r>
              <w:rPr>
                <w:rFonts w:hint="eastAsia" w:ascii="宋体" w:hAnsi="宋体" w:cs="宋体"/>
                <w:color w:val="FF0000"/>
                <w:sz w:val="24"/>
              </w:rPr>
              <w:t>技术参数完全满足招标文件要求得30分，每有一项负偏离或者未进行实质性应答扣3分，扣完为止。</w:t>
            </w:r>
          </w:p>
        </w:tc>
        <w:tc>
          <w:tcPr>
            <w:tcW w:w="12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
                <w:color w:val="FF0000"/>
                <w:sz w:val="24"/>
              </w:rPr>
            </w:pPr>
            <w:r>
              <w:rPr>
                <w:rFonts w:hint="eastAsia" w:ascii="宋体" w:hAnsi="宋体" w:cs="宋体"/>
                <w:b/>
                <w:color w:val="FF0000"/>
                <w:sz w:val="24"/>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jc w:val="center"/>
        </w:trPr>
        <w:tc>
          <w:tcPr>
            <w:tcW w:w="1629" w:type="dxa"/>
            <w:tcBorders>
              <w:top w:val="single" w:color="auto" w:sz="4" w:space="0"/>
              <w:left w:val="single" w:color="auto" w:sz="4" w:space="0"/>
              <w:bottom w:val="single" w:color="auto" w:sz="4" w:space="0"/>
              <w:right w:val="single" w:color="auto" w:sz="4" w:space="0"/>
            </w:tcBorders>
            <w:vAlign w:val="center"/>
          </w:tcPr>
          <w:p>
            <w:pPr>
              <w:pStyle w:val="29"/>
              <w:widowControl/>
              <w:ind w:firstLine="0" w:firstLineChars="0"/>
              <w:jc w:val="center"/>
              <w:rPr>
                <w:rFonts w:hAnsi="宋体" w:cs="宋体"/>
                <w:kern w:val="2"/>
                <w:sz w:val="24"/>
                <w:szCs w:val="24"/>
              </w:rPr>
            </w:pPr>
            <w:r>
              <w:rPr>
                <w:rFonts w:hint="eastAsia" w:hAnsi="宋体" w:cs="宋体"/>
                <w:kern w:val="2"/>
                <w:sz w:val="24"/>
                <w:szCs w:val="24"/>
                <w:lang w:val="zh-CN"/>
              </w:rPr>
              <w:t>供货方案</w:t>
            </w:r>
          </w:p>
        </w:tc>
        <w:tc>
          <w:tcPr>
            <w:tcW w:w="6109" w:type="dxa"/>
            <w:gridSpan w:val="2"/>
            <w:tcBorders>
              <w:top w:val="single" w:color="auto" w:sz="4" w:space="0"/>
              <w:left w:val="single" w:color="auto" w:sz="4" w:space="0"/>
              <w:bottom w:val="single" w:color="auto" w:sz="4" w:space="0"/>
              <w:right w:val="single" w:color="auto" w:sz="4" w:space="0"/>
            </w:tcBorders>
            <w:vAlign w:val="center"/>
          </w:tcPr>
          <w:p>
            <w:pPr>
              <w:pStyle w:val="29"/>
              <w:widowControl/>
              <w:numPr>
                <w:ilvl w:val="0"/>
                <w:numId w:val="8"/>
              </w:numPr>
              <w:ind w:firstLine="0" w:firstLineChars="0"/>
              <w:rPr>
                <w:rFonts w:hAnsi="宋体" w:cs="宋体"/>
                <w:kern w:val="2"/>
                <w:sz w:val="24"/>
                <w:szCs w:val="24"/>
                <w:lang w:val="zh-CN"/>
              </w:rPr>
            </w:pPr>
            <w:r>
              <w:rPr>
                <w:rFonts w:hint="eastAsia" w:hAnsi="宋体" w:cs="宋体"/>
                <w:kern w:val="2"/>
                <w:sz w:val="24"/>
                <w:szCs w:val="24"/>
                <w:lang w:val="zh-CN"/>
              </w:rPr>
              <w:t>有详细的供货方案，且具有详细可行的实施计划和明确的工作流程，措施科学、完整，得</w:t>
            </w:r>
            <w:r>
              <w:rPr>
                <w:rFonts w:hint="eastAsia" w:hAnsi="宋体" w:cs="宋体"/>
                <w:kern w:val="2"/>
                <w:sz w:val="24"/>
                <w:szCs w:val="24"/>
              </w:rPr>
              <w:t>5</w:t>
            </w:r>
            <w:r>
              <w:rPr>
                <w:rFonts w:hint="eastAsia" w:hAnsi="宋体" w:cs="宋体"/>
                <w:kern w:val="2"/>
                <w:sz w:val="24"/>
                <w:szCs w:val="24"/>
                <w:lang w:val="zh-CN"/>
              </w:rPr>
              <w:t xml:space="preserve"> 分。 </w:t>
            </w:r>
          </w:p>
          <w:p>
            <w:pPr>
              <w:pStyle w:val="29"/>
              <w:widowControl/>
              <w:numPr>
                <w:ilvl w:val="0"/>
                <w:numId w:val="8"/>
              </w:numPr>
              <w:ind w:firstLine="0" w:firstLineChars="0"/>
              <w:rPr>
                <w:rFonts w:hAnsi="宋体" w:cs="宋体"/>
                <w:kern w:val="2"/>
                <w:sz w:val="24"/>
                <w:szCs w:val="24"/>
                <w:lang w:val="zh-CN"/>
              </w:rPr>
            </w:pPr>
            <w:r>
              <w:rPr>
                <w:rFonts w:hint="eastAsia" w:hAnsi="宋体" w:cs="宋体"/>
                <w:kern w:val="2"/>
                <w:sz w:val="24"/>
                <w:szCs w:val="24"/>
                <w:lang w:val="zh-CN"/>
              </w:rPr>
              <w:t xml:space="preserve">有较详细的供货方案，且具有较为详细可行的实施计 划和的工作流程，措施较科学、完整，得 </w:t>
            </w:r>
            <w:r>
              <w:rPr>
                <w:rFonts w:hint="eastAsia" w:hAnsi="宋体" w:cs="宋体"/>
                <w:kern w:val="2"/>
                <w:sz w:val="24"/>
                <w:szCs w:val="24"/>
              </w:rPr>
              <w:t>3</w:t>
            </w:r>
            <w:r>
              <w:rPr>
                <w:rFonts w:hint="eastAsia" w:hAnsi="宋体" w:cs="宋体"/>
                <w:kern w:val="2"/>
                <w:sz w:val="24"/>
                <w:szCs w:val="24"/>
                <w:lang w:val="zh-CN"/>
              </w:rPr>
              <w:t xml:space="preserve"> 分。</w:t>
            </w:r>
          </w:p>
          <w:p>
            <w:pPr>
              <w:pStyle w:val="29"/>
              <w:widowControl/>
              <w:numPr>
                <w:ilvl w:val="0"/>
                <w:numId w:val="8"/>
              </w:numPr>
              <w:ind w:firstLine="0" w:firstLineChars="0"/>
              <w:rPr>
                <w:rFonts w:hAnsi="宋体" w:cs="宋体"/>
                <w:kern w:val="2"/>
                <w:sz w:val="24"/>
                <w:szCs w:val="24"/>
                <w:lang w:val="zh-CN"/>
              </w:rPr>
            </w:pPr>
            <w:r>
              <w:rPr>
                <w:rFonts w:hint="eastAsia" w:hAnsi="宋体" w:cs="宋体"/>
                <w:kern w:val="2"/>
                <w:sz w:val="24"/>
                <w:szCs w:val="24"/>
                <w:lang w:val="zh-CN"/>
              </w:rPr>
              <w:t xml:space="preserve">有较详细的供货方案，但实施计划和的工作流程一般， 得 </w:t>
            </w:r>
            <w:r>
              <w:rPr>
                <w:rFonts w:hint="eastAsia" w:hAnsi="宋体" w:cs="宋体"/>
                <w:kern w:val="2"/>
                <w:sz w:val="24"/>
                <w:szCs w:val="24"/>
              </w:rPr>
              <w:t>1</w:t>
            </w:r>
            <w:r>
              <w:rPr>
                <w:rFonts w:hint="eastAsia" w:hAnsi="宋体" w:cs="宋体"/>
                <w:kern w:val="2"/>
                <w:sz w:val="24"/>
                <w:szCs w:val="24"/>
                <w:lang w:val="zh-CN"/>
              </w:rPr>
              <w:t xml:space="preserve">分。 </w:t>
            </w:r>
          </w:p>
          <w:p>
            <w:pPr>
              <w:pStyle w:val="29"/>
              <w:widowControl/>
              <w:numPr>
                <w:ilvl w:val="0"/>
                <w:numId w:val="8"/>
              </w:numPr>
              <w:ind w:firstLine="0" w:firstLineChars="0"/>
              <w:rPr>
                <w:rFonts w:hAnsi="宋体" w:cs="宋体"/>
                <w:kern w:val="2"/>
                <w:sz w:val="24"/>
                <w:szCs w:val="24"/>
              </w:rPr>
            </w:pPr>
            <w:r>
              <w:rPr>
                <w:rFonts w:hint="eastAsia" w:hAnsi="宋体" w:cs="宋体"/>
                <w:kern w:val="2"/>
                <w:sz w:val="24"/>
                <w:szCs w:val="24"/>
                <w:lang w:val="zh-CN"/>
              </w:rPr>
              <w:t>缺项得 0 分。</w:t>
            </w:r>
          </w:p>
        </w:tc>
        <w:tc>
          <w:tcPr>
            <w:tcW w:w="1250" w:type="dxa"/>
            <w:tcBorders>
              <w:top w:val="single" w:color="auto" w:sz="4" w:space="0"/>
              <w:left w:val="single" w:color="auto" w:sz="4" w:space="0"/>
              <w:bottom w:val="single" w:color="auto" w:sz="4" w:space="0"/>
              <w:right w:val="single" w:color="auto" w:sz="4" w:space="0"/>
            </w:tcBorders>
            <w:vAlign w:val="center"/>
          </w:tcPr>
          <w:p>
            <w:pPr>
              <w:pStyle w:val="29"/>
              <w:widowControl/>
              <w:ind w:firstLine="0" w:firstLineChars="0"/>
              <w:rPr>
                <w:rFonts w:hAnsi="宋体" w:cs="宋体"/>
                <w:kern w:val="2"/>
                <w:sz w:val="24"/>
                <w:szCs w:val="24"/>
              </w:rPr>
            </w:pPr>
            <w:r>
              <w:rPr>
                <w:rFonts w:hint="eastAsia" w:hAnsi="宋体" w:cs="宋体"/>
                <w:color w:val="FF0000"/>
                <w:kern w:val="2"/>
                <w:sz w:val="24"/>
                <w:szCs w:val="24"/>
              </w:rPr>
              <w:t>5</w:t>
            </w:r>
            <w:r>
              <w:rPr>
                <w:rFonts w:hint="eastAsia" w:hAnsi="宋体" w:cs="宋体"/>
                <w:kern w:val="2"/>
                <w:sz w:val="24"/>
                <w:szCs w:val="24"/>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29" w:type="dxa"/>
            <w:tcBorders>
              <w:top w:val="single" w:color="auto" w:sz="4" w:space="0"/>
              <w:left w:val="single" w:color="auto" w:sz="4" w:space="0"/>
              <w:bottom w:val="single" w:color="auto" w:sz="4" w:space="0"/>
              <w:right w:val="single" w:color="auto" w:sz="4" w:space="0"/>
            </w:tcBorders>
            <w:vAlign w:val="center"/>
          </w:tcPr>
          <w:p>
            <w:pPr>
              <w:pStyle w:val="29"/>
              <w:widowControl/>
              <w:ind w:firstLine="0" w:firstLineChars="0"/>
              <w:jc w:val="center"/>
              <w:rPr>
                <w:rFonts w:hAnsi="宋体" w:cs="宋体"/>
                <w:kern w:val="2"/>
                <w:sz w:val="24"/>
                <w:szCs w:val="24"/>
              </w:rPr>
            </w:pPr>
            <w:r>
              <w:rPr>
                <w:rFonts w:hint="eastAsia" w:hAnsi="宋体" w:cs="宋体"/>
                <w:kern w:val="2"/>
                <w:sz w:val="24"/>
                <w:szCs w:val="24"/>
              </w:rPr>
              <w:t>培训方案</w:t>
            </w:r>
          </w:p>
        </w:tc>
        <w:tc>
          <w:tcPr>
            <w:tcW w:w="6109" w:type="dxa"/>
            <w:gridSpan w:val="2"/>
            <w:tcBorders>
              <w:top w:val="single" w:color="auto" w:sz="4" w:space="0"/>
              <w:left w:val="single" w:color="auto" w:sz="4" w:space="0"/>
              <w:bottom w:val="single" w:color="auto" w:sz="4" w:space="0"/>
              <w:right w:val="single" w:color="auto" w:sz="4" w:space="0"/>
            </w:tcBorders>
            <w:vAlign w:val="center"/>
          </w:tcPr>
          <w:p>
            <w:pPr>
              <w:pStyle w:val="29"/>
              <w:widowControl/>
              <w:numPr>
                <w:ilvl w:val="0"/>
                <w:numId w:val="9"/>
              </w:numPr>
              <w:ind w:firstLine="0" w:firstLineChars="0"/>
              <w:rPr>
                <w:rFonts w:hAnsi="宋体" w:cs="宋体"/>
                <w:kern w:val="2"/>
                <w:sz w:val="24"/>
                <w:szCs w:val="24"/>
              </w:rPr>
            </w:pPr>
            <w:r>
              <w:rPr>
                <w:rFonts w:hint="eastAsia" w:hAnsi="宋体" w:cs="宋体"/>
                <w:kern w:val="2"/>
                <w:sz w:val="24"/>
                <w:szCs w:val="24"/>
              </w:rPr>
              <w:t xml:space="preserve">根据供应商提供的技术培训方案合理性、可操作性、 承诺培训人员数量优越的得 5分。 </w:t>
            </w:r>
          </w:p>
          <w:p>
            <w:pPr>
              <w:pStyle w:val="29"/>
              <w:widowControl/>
              <w:numPr>
                <w:ilvl w:val="0"/>
                <w:numId w:val="9"/>
              </w:numPr>
              <w:ind w:firstLine="0" w:firstLineChars="0"/>
              <w:rPr>
                <w:rFonts w:hAnsi="宋体" w:cs="宋体"/>
                <w:kern w:val="2"/>
                <w:sz w:val="24"/>
                <w:szCs w:val="24"/>
              </w:rPr>
            </w:pPr>
            <w:r>
              <w:rPr>
                <w:rFonts w:hint="eastAsia" w:hAnsi="宋体" w:cs="宋体"/>
                <w:kern w:val="2"/>
                <w:sz w:val="24"/>
                <w:szCs w:val="24"/>
              </w:rPr>
              <w:t xml:space="preserve">根据供应商提供的技术培训方案合理性、可操作性、 承诺培训人员数量良好的得 3分。 </w:t>
            </w:r>
          </w:p>
          <w:p>
            <w:pPr>
              <w:pStyle w:val="29"/>
              <w:widowControl/>
              <w:numPr>
                <w:ilvl w:val="0"/>
                <w:numId w:val="9"/>
              </w:numPr>
              <w:ind w:firstLine="0" w:firstLineChars="0"/>
              <w:rPr>
                <w:rFonts w:hAnsi="宋体" w:cs="宋体"/>
                <w:kern w:val="2"/>
                <w:sz w:val="24"/>
                <w:szCs w:val="24"/>
              </w:rPr>
            </w:pPr>
            <w:r>
              <w:rPr>
                <w:rFonts w:hint="eastAsia" w:hAnsi="宋体" w:cs="宋体"/>
                <w:kern w:val="2"/>
                <w:sz w:val="24"/>
                <w:szCs w:val="24"/>
              </w:rPr>
              <w:t xml:space="preserve">根据供应商提供的技术培训方案合理性、可操作性、 承诺培训人员数量一般的得 1分。 </w:t>
            </w:r>
          </w:p>
          <w:p>
            <w:pPr>
              <w:pStyle w:val="29"/>
              <w:widowControl/>
              <w:ind w:firstLine="0" w:firstLineChars="0"/>
              <w:rPr>
                <w:rFonts w:hAnsi="宋体" w:cs="宋体"/>
                <w:kern w:val="2"/>
                <w:sz w:val="24"/>
                <w:szCs w:val="24"/>
              </w:rPr>
            </w:pPr>
            <w:r>
              <w:rPr>
                <w:rFonts w:hint="eastAsia" w:hAnsi="宋体" w:cs="宋体"/>
                <w:kern w:val="2"/>
                <w:sz w:val="24"/>
                <w:szCs w:val="24"/>
              </w:rPr>
              <w:t>4.缺项得 0 分。</w:t>
            </w:r>
          </w:p>
        </w:tc>
        <w:tc>
          <w:tcPr>
            <w:tcW w:w="1250" w:type="dxa"/>
            <w:tcBorders>
              <w:top w:val="single" w:color="auto" w:sz="4" w:space="0"/>
              <w:left w:val="single" w:color="auto" w:sz="4" w:space="0"/>
              <w:bottom w:val="single" w:color="auto" w:sz="4" w:space="0"/>
              <w:right w:val="single" w:color="auto" w:sz="4" w:space="0"/>
            </w:tcBorders>
            <w:vAlign w:val="center"/>
          </w:tcPr>
          <w:p>
            <w:pPr>
              <w:pStyle w:val="29"/>
              <w:widowControl/>
              <w:ind w:firstLine="0" w:firstLineChars="0"/>
              <w:rPr>
                <w:rFonts w:hAnsi="宋体" w:cs="宋体"/>
                <w:kern w:val="2"/>
                <w:sz w:val="24"/>
                <w:szCs w:val="24"/>
              </w:rPr>
            </w:pPr>
            <w:r>
              <w:rPr>
                <w:rFonts w:hint="eastAsia" w:hAnsi="宋体" w:cs="宋体"/>
                <w:color w:val="FF0000"/>
                <w:kern w:val="2"/>
                <w:sz w:val="24"/>
                <w:szCs w:val="24"/>
              </w:rPr>
              <w:t>5</w:t>
            </w:r>
            <w:r>
              <w:rPr>
                <w:rFonts w:hint="eastAsia" w:hAnsi="宋体" w:cs="宋体"/>
                <w:kern w:val="2"/>
                <w:sz w:val="24"/>
                <w:szCs w:val="24"/>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jc w:val="center"/>
        </w:trPr>
        <w:tc>
          <w:tcPr>
            <w:tcW w:w="1629" w:type="dxa"/>
            <w:tcBorders>
              <w:top w:val="single" w:color="auto" w:sz="4" w:space="0"/>
              <w:left w:val="single" w:color="auto" w:sz="4" w:space="0"/>
              <w:bottom w:val="single" w:color="auto" w:sz="4" w:space="0"/>
              <w:right w:val="single" w:color="auto" w:sz="4" w:space="0"/>
            </w:tcBorders>
            <w:vAlign w:val="center"/>
          </w:tcPr>
          <w:p>
            <w:pPr>
              <w:spacing w:after="50" w:line="360" w:lineRule="auto"/>
              <w:ind w:right="-10"/>
              <w:rPr>
                <w:rFonts w:ascii="宋体" w:hAnsi="宋体" w:cs="宋体"/>
                <w:sz w:val="24"/>
                <w:szCs w:val="24"/>
              </w:rPr>
            </w:pPr>
            <w:r>
              <w:rPr>
                <w:rFonts w:hint="eastAsia" w:ascii="宋体" w:hAnsi="宋体" w:cs="宋体"/>
                <w:kern w:val="0"/>
                <w:sz w:val="24"/>
                <w:szCs w:val="24"/>
              </w:rPr>
              <w:t>保证质量的措施和方案</w:t>
            </w:r>
          </w:p>
        </w:tc>
        <w:tc>
          <w:tcPr>
            <w:tcW w:w="6109" w:type="dxa"/>
            <w:gridSpan w:val="2"/>
            <w:tcBorders>
              <w:top w:val="single" w:color="auto" w:sz="4" w:space="0"/>
              <w:left w:val="single" w:color="auto" w:sz="4" w:space="0"/>
              <w:bottom w:val="single" w:color="auto" w:sz="4" w:space="0"/>
              <w:right w:val="single" w:color="auto" w:sz="4" w:space="0"/>
            </w:tcBorders>
            <w:vAlign w:val="center"/>
          </w:tcPr>
          <w:p>
            <w:pPr>
              <w:pStyle w:val="29"/>
              <w:spacing w:before="0" w:beforeAutospacing="0" w:after="0" w:line="460" w:lineRule="exact"/>
              <w:ind w:firstLine="0" w:firstLineChars="0"/>
              <w:contextualSpacing/>
              <w:rPr>
                <w:rFonts w:hAnsi="宋体" w:cs="宋体"/>
                <w:sz w:val="24"/>
                <w:szCs w:val="24"/>
              </w:rPr>
            </w:pPr>
            <w:r>
              <w:rPr>
                <w:rFonts w:hint="eastAsia" w:hAnsi="宋体" w:cs="宋体"/>
                <w:sz w:val="24"/>
                <w:szCs w:val="24"/>
              </w:rPr>
              <w:t>供应商应对本项目的特点写出保证质量的措施和方案，评委根据各供应商承诺的内容。</w:t>
            </w:r>
          </w:p>
          <w:p>
            <w:pPr>
              <w:spacing w:line="312" w:lineRule="auto"/>
              <w:rPr>
                <w:rFonts w:ascii="宋体" w:hAnsi="宋体" w:cs="宋体"/>
                <w:sz w:val="24"/>
                <w:szCs w:val="24"/>
              </w:rPr>
            </w:pPr>
            <w:r>
              <w:rPr>
                <w:rFonts w:hint="eastAsia" w:ascii="宋体" w:hAnsi="宋体" w:cs="宋体"/>
                <w:sz w:val="24"/>
                <w:szCs w:val="24"/>
              </w:rPr>
              <w:t>1.能完全满足采购需求，且优于采购需求，方案详尽、切实可行得5分；</w:t>
            </w:r>
          </w:p>
          <w:p>
            <w:pPr>
              <w:spacing w:line="312" w:lineRule="auto"/>
              <w:rPr>
                <w:rFonts w:ascii="宋体" w:hAnsi="宋体" w:cs="宋体"/>
                <w:sz w:val="24"/>
                <w:szCs w:val="24"/>
              </w:rPr>
            </w:pPr>
            <w:r>
              <w:rPr>
                <w:rFonts w:hint="eastAsia" w:ascii="宋体" w:hAnsi="宋体" w:cs="宋体"/>
                <w:sz w:val="24"/>
                <w:szCs w:val="24"/>
              </w:rPr>
              <w:t>2.满足采购需求，方案比较详尽的得3分；</w:t>
            </w:r>
          </w:p>
          <w:p>
            <w:pPr>
              <w:spacing w:line="312" w:lineRule="auto"/>
            </w:pPr>
            <w:r>
              <w:rPr>
                <w:rFonts w:hint="eastAsia" w:ascii="宋体" w:hAnsi="宋体" w:cs="宋体"/>
                <w:sz w:val="24"/>
                <w:szCs w:val="24"/>
              </w:rPr>
              <w:t>3.满足采购需求，方案不够详尽的得1分；</w:t>
            </w:r>
          </w:p>
          <w:p>
            <w:pPr>
              <w:spacing w:line="360" w:lineRule="auto"/>
              <w:rPr>
                <w:rFonts w:ascii="宋体" w:hAnsi="宋体" w:cs="宋体"/>
                <w:sz w:val="24"/>
                <w:szCs w:val="24"/>
              </w:rPr>
            </w:pPr>
            <w:r>
              <w:rPr>
                <w:rFonts w:hint="eastAsia" w:ascii="宋体" w:hAnsi="宋体" w:cs="宋体"/>
                <w:sz w:val="24"/>
                <w:szCs w:val="24"/>
              </w:rPr>
              <w:t>4.不能满足采购需求，或无具体方案的不得分。</w:t>
            </w:r>
            <w:r>
              <w:rPr>
                <w:rFonts w:hint="eastAsia" w:ascii="宋体" w:hAnsi="宋体" w:cs="宋体"/>
                <w:sz w:val="24"/>
              </w:rPr>
              <w:t xml:space="preserve"> </w:t>
            </w:r>
          </w:p>
        </w:tc>
        <w:tc>
          <w:tcPr>
            <w:tcW w:w="1250" w:type="dxa"/>
            <w:tcBorders>
              <w:top w:val="single" w:color="auto" w:sz="4" w:space="0"/>
              <w:left w:val="single" w:color="auto" w:sz="4" w:space="0"/>
              <w:bottom w:val="single" w:color="auto" w:sz="4" w:space="0"/>
              <w:right w:val="single" w:color="auto" w:sz="4" w:space="0"/>
            </w:tcBorders>
            <w:vAlign w:val="center"/>
          </w:tcPr>
          <w:p>
            <w:pPr>
              <w:pStyle w:val="29"/>
              <w:widowControl/>
              <w:ind w:firstLine="0" w:firstLineChars="0"/>
              <w:rPr>
                <w:rFonts w:hAnsi="宋体" w:cs="宋体"/>
                <w:kern w:val="2"/>
                <w:sz w:val="24"/>
                <w:szCs w:val="24"/>
              </w:rPr>
            </w:pPr>
            <w:r>
              <w:rPr>
                <w:rFonts w:hint="eastAsia" w:hAnsi="宋体" w:cs="宋体"/>
                <w:color w:val="FF0000"/>
                <w:kern w:val="2"/>
                <w:sz w:val="24"/>
                <w:szCs w:val="24"/>
              </w:rPr>
              <w:t>5</w:t>
            </w:r>
            <w:r>
              <w:rPr>
                <w:rFonts w:hint="eastAsia" w:hAnsi="宋体" w:cs="宋体"/>
                <w:kern w:val="2"/>
                <w:sz w:val="24"/>
                <w:szCs w:val="24"/>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2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rPr>
                <w:rFonts w:ascii="宋体" w:hAnsi="宋体" w:cs="宋体"/>
                <w:sz w:val="24"/>
                <w:szCs w:val="24"/>
              </w:rPr>
            </w:pPr>
            <w:r>
              <w:rPr>
                <w:rFonts w:hint="eastAsia" w:ascii="宋体" w:hAnsi="宋体" w:cs="宋体"/>
                <w:sz w:val="24"/>
                <w:szCs w:val="24"/>
              </w:rPr>
              <w:t>售后服务方案</w:t>
            </w:r>
          </w:p>
        </w:tc>
        <w:tc>
          <w:tcPr>
            <w:tcW w:w="610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textAlignment w:val="baseline"/>
              <w:rPr>
                <w:rFonts w:ascii="宋体" w:hAnsi="宋体"/>
                <w:sz w:val="24"/>
                <w:szCs w:val="24"/>
              </w:rPr>
            </w:pPr>
            <w:r>
              <w:rPr>
                <w:rFonts w:hint="eastAsia" w:ascii="宋体" w:hAnsi="宋体"/>
                <w:sz w:val="24"/>
                <w:szCs w:val="24"/>
              </w:rPr>
              <w:t>供应商针对本项目服务计划提供详细售后服务方案，包含售后服务响应时间、设置的服务机构、服务范围、</w:t>
            </w:r>
            <w:r>
              <w:rPr>
                <w:rFonts w:hint="eastAsia" w:ascii="宋体" w:hAnsi="宋体" w:cs="宋体"/>
                <w:sz w:val="24"/>
                <w:szCs w:val="24"/>
              </w:rPr>
              <w:t>质保期外的优惠政策</w:t>
            </w:r>
            <w:r>
              <w:rPr>
                <w:rFonts w:hint="eastAsia" w:ascii="宋体" w:hAnsi="宋体"/>
                <w:sz w:val="24"/>
                <w:szCs w:val="24"/>
              </w:rPr>
              <w:t>，建立完善的技术支持体系，能够提供满足要求的服务承诺等。</w:t>
            </w:r>
          </w:p>
          <w:p>
            <w:pPr>
              <w:spacing w:line="312" w:lineRule="auto"/>
              <w:rPr>
                <w:rFonts w:ascii="宋体" w:hAnsi="宋体" w:cs="宋体"/>
                <w:sz w:val="24"/>
                <w:szCs w:val="24"/>
              </w:rPr>
            </w:pPr>
            <w:r>
              <w:rPr>
                <w:rFonts w:hint="eastAsia" w:ascii="宋体" w:hAnsi="宋体" w:cs="宋体"/>
                <w:sz w:val="24"/>
                <w:szCs w:val="24"/>
              </w:rPr>
              <w:t>1.能完全满足采购需求，且优于采购需求，方案详尽、切实可行得5分；</w:t>
            </w:r>
          </w:p>
          <w:p>
            <w:pPr>
              <w:spacing w:line="312" w:lineRule="auto"/>
              <w:rPr>
                <w:rFonts w:ascii="宋体" w:hAnsi="宋体" w:cs="宋体"/>
                <w:sz w:val="24"/>
                <w:szCs w:val="24"/>
              </w:rPr>
            </w:pPr>
            <w:r>
              <w:rPr>
                <w:rFonts w:hint="eastAsia" w:ascii="宋体" w:hAnsi="宋体" w:cs="宋体"/>
                <w:sz w:val="24"/>
                <w:szCs w:val="24"/>
              </w:rPr>
              <w:t>2.满足采购需求，方案比较详尽的得3分；</w:t>
            </w:r>
          </w:p>
          <w:p>
            <w:pPr>
              <w:spacing w:line="312" w:lineRule="auto"/>
            </w:pPr>
            <w:r>
              <w:rPr>
                <w:rFonts w:hint="eastAsia" w:ascii="宋体" w:hAnsi="宋体" w:cs="宋体"/>
                <w:sz w:val="24"/>
                <w:szCs w:val="24"/>
              </w:rPr>
              <w:t>3.满足采购需求，方案不够详尽的得1分；</w:t>
            </w:r>
          </w:p>
          <w:p>
            <w:pPr>
              <w:spacing w:line="460" w:lineRule="exact"/>
              <w:rPr>
                <w:rFonts w:ascii="宋体" w:hAnsi="宋体" w:cs="宋体"/>
                <w:sz w:val="24"/>
                <w:szCs w:val="24"/>
              </w:rPr>
            </w:pPr>
            <w:r>
              <w:rPr>
                <w:rFonts w:hint="eastAsia" w:ascii="宋体" w:hAnsi="宋体" w:cs="宋体"/>
                <w:sz w:val="24"/>
                <w:szCs w:val="24"/>
              </w:rPr>
              <w:t>4.不能满足采购需求，或无具体方案的不得分。</w:t>
            </w:r>
            <w:r>
              <w:rPr>
                <w:rFonts w:hint="eastAsia" w:ascii="宋体" w:hAnsi="宋体" w:cs="宋体"/>
                <w:sz w:val="24"/>
              </w:rPr>
              <w:t xml:space="preserve"> </w:t>
            </w:r>
          </w:p>
        </w:tc>
        <w:tc>
          <w:tcPr>
            <w:tcW w:w="1250" w:type="dxa"/>
            <w:tcBorders>
              <w:top w:val="single" w:color="auto" w:sz="4" w:space="0"/>
              <w:left w:val="single" w:color="auto" w:sz="4" w:space="0"/>
              <w:bottom w:val="single" w:color="auto" w:sz="4" w:space="0"/>
              <w:right w:val="single" w:color="auto" w:sz="4" w:space="0"/>
            </w:tcBorders>
            <w:vAlign w:val="center"/>
          </w:tcPr>
          <w:p>
            <w:pPr>
              <w:pStyle w:val="29"/>
              <w:widowControl/>
              <w:ind w:firstLine="0" w:firstLineChars="0"/>
              <w:rPr>
                <w:rFonts w:hAnsi="宋体" w:cs="宋体"/>
                <w:kern w:val="2"/>
                <w:sz w:val="24"/>
                <w:szCs w:val="24"/>
              </w:rPr>
            </w:pPr>
            <w:r>
              <w:rPr>
                <w:rFonts w:hint="eastAsia" w:hAnsi="宋体" w:cs="宋体"/>
                <w:color w:val="FF0000"/>
                <w:kern w:val="2"/>
                <w:sz w:val="24"/>
                <w:szCs w:val="24"/>
              </w:rPr>
              <w:t>5</w:t>
            </w:r>
            <w:r>
              <w:rPr>
                <w:rFonts w:hint="eastAsia" w:hAnsi="宋体" w:cs="宋体"/>
                <w:kern w:val="2"/>
                <w:sz w:val="24"/>
                <w:szCs w:val="24"/>
                <w:lang w:val="zh-CN"/>
              </w:rPr>
              <w:t>分</w:t>
            </w:r>
          </w:p>
        </w:tc>
      </w:tr>
    </w:tbl>
    <w:p>
      <w:pPr>
        <w:spacing w:line="360" w:lineRule="auto"/>
        <w:rPr>
          <w:rFonts w:ascii="宋体" w:hAnsi="宋体" w:cs="仿宋_GB2312"/>
          <w:b/>
          <w:lang w:val="zh-CN"/>
        </w:rPr>
      </w:pPr>
      <w:r>
        <w:rPr>
          <w:rFonts w:hint="eastAsia" w:hAnsi="宋体" w:cs="仿宋_GB2312"/>
          <w:b/>
          <w:sz w:val="24"/>
          <w:szCs w:val="24"/>
          <w:lang w:val="zh-CN"/>
        </w:rPr>
        <w:t>注：评标标准中所涉及到的证书及材料不需提供原件，均应在电子响应文件中提供原件扫描件（或图片）</w:t>
      </w:r>
    </w:p>
    <w:p>
      <w:pPr>
        <w:pStyle w:val="21"/>
        <w:spacing w:line="360" w:lineRule="auto"/>
        <w:ind w:firstLine="241" w:firstLineChars="100"/>
        <w:rPr>
          <w:rFonts w:ascii="宋体" w:hAnsi="宋体" w:cs="仿宋_GB2312"/>
          <w:szCs w:val="21"/>
          <w:lang w:val="zh-CN"/>
        </w:rPr>
      </w:pPr>
      <w:r>
        <w:rPr>
          <w:rFonts w:hint="eastAsia" w:ascii="宋体" w:hAnsi="宋体" w:cs="仿宋_GB2312"/>
          <w:b/>
          <w:szCs w:val="21"/>
          <w:lang w:val="zh-CN"/>
        </w:rPr>
        <w:t>（</w:t>
      </w:r>
      <w:r>
        <w:rPr>
          <w:rFonts w:hint="eastAsia" w:ascii="宋体" w:hAnsi="宋体" w:cs="仿宋_GB2312"/>
          <w:b/>
          <w:szCs w:val="21"/>
        </w:rPr>
        <w:t>7</w:t>
      </w:r>
      <w:r>
        <w:rPr>
          <w:rFonts w:hint="eastAsia" w:ascii="宋体" w:hAnsi="宋体" w:cs="仿宋_GB2312"/>
          <w:b/>
          <w:szCs w:val="21"/>
          <w:lang w:val="zh-CN"/>
        </w:rPr>
        <w:t>）评标结果汇总完成后，除下列情形外，任何人不得修改评标结果：</w:t>
      </w:r>
    </w:p>
    <w:p>
      <w:pPr>
        <w:tabs>
          <w:tab w:val="left" w:pos="1260"/>
        </w:tabs>
        <w:autoSpaceDE w:val="0"/>
        <w:autoSpaceDN w:val="0"/>
        <w:spacing w:line="360" w:lineRule="auto"/>
        <w:ind w:firstLine="480" w:firstLineChars="200"/>
        <w:rPr>
          <w:rFonts w:ascii="宋体" w:hAnsi="宋体" w:cs="仿宋_GB2312"/>
          <w:sz w:val="24"/>
          <w:lang w:val="zh-CN"/>
        </w:rPr>
      </w:pPr>
      <w:r>
        <w:rPr>
          <w:rFonts w:hint="eastAsia" w:ascii="宋体" w:hAnsi="宋体" w:cs="仿宋_GB2312"/>
          <w:sz w:val="24"/>
          <w:lang w:val="zh-CN"/>
        </w:rPr>
        <w:t>1） 分值汇总计算错误的；</w:t>
      </w:r>
    </w:p>
    <w:p>
      <w:pPr>
        <w:tabs>
          <w:tab w:val="left" w:pos="1260"/>
        </w:tabs>
        <w:autoSpaceDE w:val="0"/>
        <w:autoSpaceDN w:val="0"/>
        <w:spacing w:line="360" w:lineRule="auto"/>
        <w:ind w:firstLine="480" w:firstLineChars="200"/>
        <w:rPr>
          <w:rFonts w:ascii="宋体" w:hAnsi="宋体" w:cs="仿宋_GB2312"/>
          <w:sz w:val="24"/>
          <w:lang w:val="zh-CN"/>
        </w:rPr>
      </w:pPr>
      <w:r>
        <w:rPr>
          <w:rFonts w:hint="eastAsia" w:ascii="宋体" w:hAnsi="宋体" w:cs="仿宋_GB2312"/>
          <w:sz w:val="24"/>
          <w:lang w:val="zh-CN"/>
        </w:rPr>
        <w:t>2） 分项评分超出评分标准范围的；</w:t>
      </w:r>
    </w:p>
    <w:p>
      <w:pPr>
        <w:tabs>
          <w:tab w:val="left" w:pos="1260"/>
        </w:tabs>
        <w:autoSpaceDE w:val="0"/>
        <w:autoSpaceDN w:val="0"/>
        <w:spacing w:line="360" w:lineRule="auto"/>
        <w:ind w:firstLine="480" w:firstLineChars="200"/>
        <w:rPr>
          <w:rFonts w:ascii="宋体" w:hAnsi="宋体" w:cs="仿宋_GB2312"/>
          <w:sz w:val="24"/>
          <w:lang w:val="zh-CN"/>
        </w:rPr>
      </w:pPr>
      <w:r>
        <w:rPr>
          <w:rFonts w:hint="eastAsia" w:ascii="宋体" w:hAnsi="宋体" w:cs="仿宋_GB2312"/>
          <w:sz w:val="24"/>
          <w:lang w:val="zh-CN"/>
        </w:rPr>
        <w:t>3） 磋商小组成员对客观评审因素评分不一致的；</w:t>
      </w:r>
    </w:p>
    <w:p>
      <w:pPr>
        <w:tabs>
          <w:tab w:val="left" w:pos="1260"/>
        </w:tabs>
        <w:autoSpaceDE w:val="0"/>
        <w:autoSpaceDN w:val="0"/>
        <w:spacing w:line="360" w:lineRule="auto"/>
        <w:ind w:firstLine="480" w:firstLineChars="200"/>
        <w:rPr>
          <w:rFonts w:ascii="宋体" w:hAnsi="宋体" w:cs="仿宋_GB2312"/>
          <w:sz w:val="24"/>
          <w:lang w:val="zh-CN"/>
        </w:rPr>
      </w:pPr>
      <w:r>
        <w:rPr>
          <w:rFonts w:hint="eastAsia" w:ascii="宋体" w:hAnsi="宋体" w:cs="仿宋_GB2312"/>
          <w:sz w:val="24"/>
          <w:lang w:val="zh-CN"/>
        </w:rPr>
        <w:t>4） 经磋商小组认定评分畸高、畸低的。</w:t>
      </w:r>
    </w:p>
    <w:p>
      <w:pPr>
        <w:tabs>
          <w:tab w:val="left" w:pos="1260"/>
        </w:tabs>
        <w:autoSpaceDE w:val="0"/>
        <w:autoSpaceDN w:val="0"/>
        <w:spacing w:line="360" w:lineRule="auto"/>
        <w:ind w:firstLine="480" w:firstLineChars="200"/>
        <w:rPr>
          <w:rFonts w:ascii="宋体" w:hAnsi="宋体" w:cs="仿宋_GB2312"/>
          <w:sz w:val="24"/>
          <w:lang w:val="zh-CN"/>
        </w:rPr>
      </w:pPr>
      <w:r>
        <w:rPr>
          <w:rFonts w:hint="eastAsia" w:ascii="宋体" w:hAnsi="宋体" w:cs="仿宋_GB2312"/>
          <w:sz w:val="24"/>
          <w:lang w:val="zh-CN"/>
        </w:rPr>
        <w:t>评标报告签署前，经复核发现存在以上情形之一的，磋商小组应当当场修改评标结果，并在评标报告中记载；评标报告签署后，采购人或者集中采购机构发现存在以上情形之一的，应当组织原磋商小组进行重新评审，重新评审改变评标结果的，书面报告本级财政部门。</w:t>
      </w:r>
    </w:p>
    <w:p>
      <w:pPr>
        <w:tabs>
          <w:tab w:val="left" w:pos="1260"/>
        </w:tabs>
        <w:autoSpaceDE w:val="0"/>
        <w:autoSpaceDN w:val="0"/>
        <w:spacing w:line="360" w:lineRule="auto"/>
        <w:ind w:firstLine="480" w:firstLineChars="200"/>
        <w:rPr>
          <w:rFonts w:ascii="宋体" w:hAnsi="宋体" w:cs="仿宋_GB2312"/>
          <w:sz w:val="24"/>
          <w:lang w:val="zh-CN"/>
        </w:rPr>
      </w:pPr>
      <w:r>
        <w:rPr>
          <w:rFonts w:hint="eastAsia" w:ascii="宋体" w:hAnsi="宋体" w:cs="仿宋_GB2312"/>
          <w:sz w:val="24"/>
          <w:lang w:val="zh-CN"/>
        </w:rPr>
        <w:t>供应商对本条第一款情形提出质疑的，采购人或者集中采购机构可以组织原磋商小组进行重新评审，重新评审改变评标结果的，应当书面报告本级财政部门。</w:t>
      </w:r>
    </w:p>
    <w:p>
      <w:pPr>
        <w:numPr>
          <w:ilvl w:val="0"/>
          <w:numId w:val="10"/>
        </w:numPr>
        <w:wordWrap w:val="0"/>
        <w:spacing w:line="360" w:lineRule="auto"/>
        <w:ind w:firstLine="480" w:firstLineChars="200"/>
      </w:pPr>
      <w:r>
        <w:rPr>
          <w:rFonts w:hint="eastAsia" w:ascii="宋体" w:hAnsi="宋体" w:cs="仿宋_GB2312"/>
          <w:sz w:val="24"/>
          <w:lang w:val="zh-CN"/>
        </w:rPr>
        <w:t>按照《关于推进全流程电子化交易和在线监管工作有关问题的通知》（许公管办[2019]3号）规定：评标专家应严格按照要求查看“硬件特征码”相关信息并进行评审，在评审报告中显示“不同供应商电子响应文件制作硬件特征码”是否雷同的分析及判定结果。</w:t>
      </w:r>
    </w:p>
    <w:p>
      <w:pPr>
        <w:wordWrap w:val="0"/>
        <w:spacing w:line="360" w:lineRule="auto"/>
        <w:ind w:firstLine="482" w:firstLineChars="200"/>
      </w:pPr>
      <w:r>
        <w:rPr>
          <w:rFonts w:hint="eastAsia" w:ascii="宋体" w:hAnsi="宋体" w:cs="仿宋_GB2312"/>
          <w:b/>
          <w:bCs/>
          <w:sz w:val="24"/>
          <w:lang w:val="zh-CN"/>
        </w:rPr>
        <w:t>（</w:t>
      </w:r>
      <w:r>
        <w:rPr>
          <w:rFonts w:ascii="宋体" w:hAnsi="宋体" w:cs="仿宋_GB2312"/>
          <w:b/>
          <w:bCs/>
          <w:sz w:val="24"/>
        </w:rPr>
        <w:t>8</w:t>
      </w:r>
      <w:r>
        <w:rPr>
          <w:rFonts w:hint="eastAsia" w:ascii="宋体" w:hAnsi="宋体" w:cs="仿宋_GB2312"/>
          <w:b/>
          <w:bCs/>
          <w:sz w:val="24"/>
          <w:lang w:val="zh-CN"/>
        </w:rPr>
        <w:t>）</w:t>
      </w:r>
      <w:r>
        <w:rPr>
          <w:rFonts w:hint="eastAsia" w:ascii="宋体" w:hAnsi="宋体" w:cs="仿宋_GB2312"/>
          <w:sz w:val="24"/>
          <w:lang w:val="zh-CN"/>
        </w:rPr>
        <w:t>按照《关于推进全流程电子化交易和在线监管工作有关问题的通知》（许公管办[2019]3号）规定：评标专家应严格按照要求查看“硬件特征码”相关信息并进行评审，在评审报告中显示“不同供应商电子响应文件制作硬件特征码”是否雷同的分析及判定结果。</w:t>
      </w:r>
    </w:p>
    <w:p>
      <w:pPr>
        <w:wordWrap w:val="0"/>
        <w:spacing w:line="360" w:lineRule="auto"/>
        <w:ind w:firstLine="482" w:firstLineChars="200"/>
        <w:rPr>
          <w:rFonts w:ascii="宋体" w:hAnsi="宋体" w:cs="仿宋_GB2312"/>
          <w:b/>
          <w:bCs/>
          <w:sz w:val="24"/>
          <w:lang w:val="zh-CN"/>
        </w:rPr>
      </w:pPr>
      <w:r>
        <w:rPr>
          <w:rFonts w:hint="eastAsia" w:ascii="宋体" w:hAnsi="宋体" w:cs="仿宋_GB2312"/>
          <w:b/>
          <w:bCs/>
          <w:sz w:val="24"/>
          <w:lang w:val="zh-CN"/>
        </w:rPr>
        <w:t>（</w:t>
      </w:r>
      <w:r>
        <w:rPr>
          <w:rFonts w:hint="eastAsia" w:ascii="宋体" w:hAnsi="宋体" w:cs="仿宋_GB2312"/>
          <w:b/>
          <w:bCs/>
          <w:sz w:val="24"/>
        </w:rPr>
        <w:t xml:space="preserve">9）推荐成交候选供应商 </w:t>
      </w:r>
    </w:p>
    <w:p>
      <w:pPr>
        <w:wordWrap w:val="0"/>
        <w:spacing w:line="360" w:lineRule="auto"/>
        <w:ind w:firstLine="480" w:firstLineChars="200"/>
        <w:rPr>
          <w:lang w:val="zh-CN"/>
        </w:rPr>
      </w:pPr>
      <w:r>
        <w:rPr>
          <w:rFonts w:hint="eastAsia" w:ascii="宋体" w:hAnsi="宋体" w:cs="仿宋_GB2312"/>
          <w:sz w:val="24"/>
        </w:rPr>
        <w:t>磋商小组应当根据综合评分情况，按照评审得分由高到低顺序推荐3名以上成交候选供应商，并编写评审报告。符合《政府采购竞争性磋商采购方式管理暂行办法》【（财库2014）214号】第二十一条第三款情形的，可以推荐</w:t>
      </w:r>
      <w:r>
        <w:rPr>
          <w:rFonts w:ascii="宋体" w:hAnsi="宋体" w:cs="仿宋_GB2312"/>
          <w:sz w:val="24"/>
        </w:rPr>
        <w:t>2</w:t>
      </w:r>
      <w:r>
        <w:rPr>
          <w:rFonts w:hint="eastAsia" w:ascii="宋体" w:hAnsi="宋体" w:cs="仿宋_GB2312"/>
          <w:sz w:val="24"/>
        </w:rPr>
        <w:t>家成交候选供应商。评审得分相同的，按照最后报价由低到高的顺序推荐。评审得分且最后报价相同的，按照技术指标优劣顺序推荐。</w:t>
      </w:r>
    </w:p>
    <w:p>
      <w:pPr>
        <w:tabs>
          <w:tab w:val="left" w:pos="1260"/>
        </w:tabs>
        <w:autoSpaceDE w:val="0"/>
        <w:autoSpaceDN w:val="0"/>
        <w:spacing w:line="360" w:lineRule="auto"/>
        <w:ind w:firstLine="482" w:firstLineChars="200"/>
        <w:rPr>
          <w:rFonts w:ascii="宋体" w:hAnsi="宋体" w:cs="仿宋_GB2312"/>
          <w:b/>
          <w:sz w:val="24"/>
          <w:szCs w:val="24"/>
          <w:lang w:val="zh-CN"/>
        </w:rPr>
      </w:pPr>
      <w:r>
        <w:rPr>
          <w:rFonts w:hint="eastAsia" w:ascii="宋体" w:hAnsi="宋体" w:cs="仿宋_GB2312"/>
          <w:b/>
          <w:sz w:val="24"/>
          <w:szCs w:val="24"/>
          <w:lang w:val="zh-CN"/>
        </w:rPr>
        <w:t>（</w:t>
      </w:r>
      <w:r>
        <w:rPr>
          <w:rFonts w:hint="eastAsia" w:ascii="宋体" w:hAnsi="宋体" w:cs="仿宋_GB2312"/>
          <w:b/>
          <w:sz w:val="24"/>
          <w:szCs w:val="24"/>
        </w:rPr>
        <w:t>10</w:t>
      </w:r>
      <w:r>
        <w:rPr>
          <w:rFonts w:hint="eastAsia" w:ascii="宋体" w:hAnsi="宋体" w:cs="仿宋_GB2312"/>
          <w:b/>
          <w:sz w:val="24"/>
          <w:szCs w:val="24"/>
          <w:lang w:val="zh-CN"/>
        </w:rPr>
        <w:t>）磋商小组争议处理</w:t>
      </w:r>
    </w:p>
    <w:p>
      <w:pPr>
        <w:tabs>
          <w:tab w:val="left" w:pos="1260"/>
        </w:tabs>
        <w:autoSpaceDE w:val="0"/>
        <w:autoSpaceDN w:val="0"/>
        <w:spacing w:line="360" w:lineRule="auto"/>
        <w:ind w:firstLine="480" w:firstLineChars="200"/>
        <w:rPr>
          <w:rFonts w:ascii="宋体" w:hAnsi="宋体" w:cs="仿宋_GB2312"/>
          <w:sz w:val="24"/>
          <w:szCs w:val="24"/>
          <w:lang w:val="zh-CN"/>
        </w:rPr>
      </w:pPr>
      <w:r>
        <w:rPr>
          <w:rFonts w:hint="eastAsia" w:ascii="宋体" w:hAnsi="宋体" w:cs="仿宋_GB2312"/>
          <w:sz w:val="24"/>
          <w:szCs w:val="24"/>
          <w:lang w:val="zh-CN"/>
        </w:rPr>
        <w:t>磋商小组成员对需要共同认定的事项存在争议的，应当按照少数服从多数的原则作出结论。持不同意见的磋商小组成员应当在评标报告上签署不同意见及理由，否则视为同意评标报告。</w:t>
      </w:r>
    </w:p>
    <w:p>
      <w:pPr>
        <w:pStyle w:val="3"/>
        <w:rPr>
          <w:rFonts w:ascii="宋体" w:hAnsi="宋体" w:eastAsia="宋体"/>
          <w:sz w:val="24"/>
          <w:szCs w:val="24"/>
          <w:lang w:val="zh-CN"/>
        </w:rPr>
      </w:pPr>
      <w:r>
        <w:rPr>
          <w:rFonts w:hint="eastAsia" w:ascii="宋体" w:hAnsi="宋体" w:eastAsia="宋体" w:cs="仿宋_GB2312"/>
          <w:sz w:val="24"/>
          <w:szCs w:val="24"/>
          <w:lang w:val="zh-CN"/>
        </w:rPr>
        <w:t>4、确定成交候选人名单，以及根据采购人委托直接确定成交人。</w:t>
      </w:r>
    </w:p>
    <w:p>
      <w:pPr>
        <w:rPr>
          <w:lang w:val="zh-CN"/>
        </w:rPr>
      </w:pPr>
    </w:p>
    <w:p>
      <w:pPr>
        <w:autoSpaceDE w:val="0"/>
        <w:autoSpaceDN w:val="0"/>
        <w:adjustRightInd w:val="0"/>
        <w:spacing w:line="360" w:lineRule="auto"/>
        <w:rPr>
          <w:rFonts w:ascii="宋体" w:hAnsi="宋体"/>
          <w:b/>
          <w:kern w:val="0"/>
          <w:sz w:val="36"/>
          <w:szCs w:val="36"/>
        </w:rPr>
      </w:pPr>
      <w:r>
        <w:rPr>
          <w:rFonts w:hint="eastAsia" w:ascii="宋体" w:hAnsi="宋体"/>
          <w:b/>
          <w:kern w:val="0"/>
          <w:sz w:val="32"/>
          <w:szCs w:val="32"/>
        </w:rPr>
        <w:br w:type="page"/>
      </w:r>
      <w:r>
        <w:rPr>
          <w:rFonts w:hint="eastAsia" w:ascii="宋体" w:hAnsi="宋体"/>
          <w:b/>
          <w:kern w:val="0"/>
          <w:sz w:val="32"/>
          <w:szCs w:val="32"/>
        </w:rPr>
        <w:t xml:space="preserve">               第七章 合同条款及格式</w:t>
      </w:r>
    </w:p>
    <w:p>
      <w:pPr>
        <w:spacing w:line="360" w:lineRule="auto"/>
        <w:jc w:val="center"/>
        <w:rPr>
          <w:rFonts w:ascii="宋体" w:hAnsi="宋体"/>
          <w:b/>
          <w:bCs/>
        </w:rPr>
      </w:pPr>
      <w:r>
        <w:rPr>
          <w:rFonts w:hint="eastAsia" w:ascii="宋体" w:hAnsi="宋体"/>
          <w:b/>
          <w:bCs/>
        </w:rPr>
        <w:t>（此合同仅供参考。以最终采购人与成交供应商签定的合同条款为准进行公示，</w:t>
      </w:r>
    </w:p>
    <w:p>
      <w:pPr>
        <w:spacing w:line="360" w:lineRule="auto"/>
        <w:jc w:val="center"/>
        <w:rPr>
          <w:rFonts w:ascii="宋体" w:hAnsi="宋体"/>
          <w:b/>
          <w:bCs/>
        </w:rPr>
      </w:pPr>
      <w:r>
        <w:rPr>
          <w:rFonts w:hint="eastAsia" w:ascii="宋体" w:hAnsi="宋体"/>
          <w:b/>
          <w:bCs/>
        </w:rPr>
        <w:t>最终签定合同的主要条款不能与磋商文件有冲突）</w:t>
      </w:r>
    </w:p>
    <w:p>
      <w:pPr>
        <w:pStyle w:val="28"/>
        <w:spacing w:line="360" w:lineRule="auto"/>
      </w:pPr>
      <w:r>
        <w:rPr>
          <w:rFonts w:hint="eastAsia"/>
        </w:rPr>
        <w:t>甲方：</w:t>
      </w:r>
      <w:r>
        <w:rPr>
          <w:rFonts w:hint="eastAsia"/>
          <w:u w:val="single"/>
        </w:rPr>
        <w:t>（采购人全称）</w:t>
      </w:r>
    </w:p>
    <w:p>
      <w:pPr>
        <w:pStyle w:val="28"/>
        <w:spacing w:before="0" w:beforeAutospacing="0" w:after="0" w:afterAutospacing="0" w:line="360" w:lineRule="auto"/>
        <w:contextualSpacing/>
      </w:pPr>
      <w:r>
        <w:rPr>
          <w:rFonts w:hint="eastAsia"/>
        </w:rPr>
        <w:t>乙方：</w:t>
      </w:r>
      <w:r>
        <w:rPr>
          <w:rFonts w:hint="eastAsia"/>
          <w:u w:val="single"/>
        </w:rPr>
        <w:t>（成交人全称）</w:t>
      </w:r>
    </w:p>
    <w:p>
      <w:pPr>
        <w:pStyle w:val="28"/>
        <w:spacing w:before="0" w:beforeAutospacing="0" w:after="0" w:afterAutospacing="0" w:line="360" w:lineRule="auto"/>
        <w:ind w:firstLine="482"/>
        <w:contextualSpacing/>
      </w:pPr>
      <w:r>
        <w:rPr>
          <w:rFonts w:hint="eastAsia"/>
        </w:rPr>
        <w:t>根据招标编号为的</w:t>
      </w:r>
      <w:r>
        <w:rPr>
          <w:rFonts w:hint="eastAsia"/>
          <w:u w:val="single"/>
        </w:rPr>
        <w:t>（填写“项目名称”）</w:t>
      </w:r>
      <w:r>
        <w:rPr>
          <w:rFonts w:hint="eastAsia"/>
        </w:rPr>
        <w:t>项目（以下简称：“本项目”）的招标结果，乙方为成交人。现经甲乙双方友好协商，就以下事项达成一致并签订本合同：</w:t>
      </w:r>
    </w:p>
    <w:p>
      <w:pPr>
        <w:pStyle w:val="28"/>
        <w:spacing w:before="0" w:beforeAutospacing="0" w:after="0" w:afterAutospacing="0" w:line="360" w:lineRule="auto"/>
        <w:ind w:firstLine="482"/>
        <w:contextualSpacing/>
      </w:pPr>
      <w:r>
        <w:rPr>
          <w:rFonts w:hint="eastAsia"/>
        </w:rPr>
        <w:t>1、下列合同文件是构成本合同不可分割的部分：</w:t>
      </w:r>
    </w:p>
    <w:p>
      <w:pPr>
        <w:pStyle w:val="28"/>
        <w:spacing w:before="0" w:beforeAutospacing="0" w:after="0" w:afterAutospacing="0" w:line="360" w:lineRule="auto"/>
        <w:ind w:firstLine="482"/>
        <w:contextualSpacing/>
      </w:pPr>
      <w:r>
        <w:rPr>
          <w:rFonts w:hint="eastAsia"/>
        </w:rPr>
        <w:t>1.1合同条款；</w:t>
      </w:r>
    </w:p>
    <w:p>
      <w:pPr>
        <w:pStyle w:val="28"/>
        <w:spacing w:before="0" w:beforeAutospacing="0" w:after="0" w:afterAutospacing="0" w:line="360" w:lineRule="auto"/>
        <w:ind w:firstLine="482"/>
        <w:contextualSpacing/>
      </w:pPr>
      <w:r>
        <w:rPr>
          <w:rFonts w:hint="eastAsia"/>
        </w:rPr>
        <w:t>1.2磋商文件、乙方的响应文件；</w:t>
      </w:r>
    </w:p>
    <w:p>
      <w:pPr>
        <w:pStyle w:val="28"/>
        <w:spacing w:before="0" w:beforeAutospacing="0" w:after="0" w:afterAutospacing="0" w:line="360" w:lineRule="auto"/>
        <w:ind w:firstLine="482"/>
        <w:contextualSpacing/>
      </w:pPr>
      <w:r>
        <w:rPr>
          <w:rFonts w:hint="eastAsia"/>
        </w:rPr>
        <w:t>1.3其他文件或材料：□无。□</w:t>
      </w:r>
      <w:r>
        <w:rPr>
          <w:rFonts w:hint="eastAsia"/>
          <w:u w:val="single"/>
        </w:rPr>
        <w:t>（按照实际情况编制填写需要增加的内容）</w:t>
      </w:r>
      <w:r>
        <w:rPr>
          <w:rFonts w:hint="eastAsia"/>
        </w:rPr>
        <w:t>。</w:t>
      </w:r>
    </w:p>
    <w:p>
      <w:pPr>
        <w:pStyle w:val="28"/>
        <w:spacing w:before="0" w:beforeAutospacing="0" w:after="0" w:afterAutospacing="0" w:line="360" w:lineRule="auto"/>
        <w:ind w:firstLine="482"/>
        <w:contextualSpacing/>
      </w:pPr>
      <w:r>
        <w:rPr>
          <w:rFonts w:hint="eastAsia"/>
        </w:rPr>
        <w:t>2、合同标的</w:t>
      </w:r>
    </w:p>
    <w:p>
      <w:pPr>
        <w:pStyle w:val="28"/>
        <w:spacing w:before="0" w:beforeAutospacing="0" w:after="0" w:afterAutospacing="0" w:line="360" w:lineRule="auto"/>
        <w:ind w:firstLine="482"/>
        <w:contextualSpacing/>
      </w:pPr>
      <w:r>
        <w:rPr>
          <w:rFonts w:hint="eastAsia"/>
          <w:u w:val="single"/>
        </w:rPr>
        <w:t>（按照实际情况编制填写，可以是表格或文字描述）</w:t>
      </w:r>
      <w:r>
        <w:rPr>
          <w:rFonts w:hint="eastAsia"/>
        </w:rPr>
        <w:t>。</w:t>
      </w:r>
    </w:p>
    <w:p>
      <w:pPr>
        <w:pStyle w:val="28"/>
        <w:spacing w:before="0" w:beforeAutospacing="0" w:after="0" w:afterAutospacing="0" w:line="360" w:lineRule="auto"/>
        <w:ind w:firstLine="482"/>
        <w:contextualSpacing/>
      </w:pPr>
      <w:r>
        <w:rPr>
          <w:rFonts w:hint="eastAsia"/>
        </w:rPr>
        <w:t>3、合同总金额</w:t>
      </w:r>
    </w:p>
    <w:p>
      <w:pPr>
        <w:pStyle w:val="28"/>
        <w:spacing w:before="0" w:beforeAutospacing="0" w:after="0" w:afterAutospacing="0" w:line="360" w:lineRule="auto"/>
        <w:ind w:firstLine="482"/>
        <w:contextualSpacing/>
      </w:pPr>
      <w:r>
        <w:rPr>
          <w:rFonts w:hint="eastAsia"/>
        </w:rPr>
        <w:t>3.1合同总金额为人民币大写：元（￥）。</w:t>
      </w:r>
    </w:p>
    <w:p>
      <w:pPr>
        <w:pStyle w:val="28"/>
        <w:spacing w:before="0" w:beforeAutospacing="0" w:after="0" w:afterAutospacing="0" w:line="360" w:lineRule="auto"/>
        <w:ind w:firstLine="482"/>
        <w:contextualSpacing/>
      </w:pPr>
      <w:r>
        <w:rPr>
          <w:rFonts w:hint="eastAsia"/>
        </w:rPr>
        <w:t>4、合同标的交付时间、地点和条件</w:t>
      </w:r>
    </w:p>
    <w:p>
      <w:pPr>
        <w:pStyle w:val="28"/>
        <w:spacing w:before="0" w:beforeAutospacing="0" w:after="0" w:afterAutospacing="0" w:line="360" w:lineRule="auto"/>
        <w:ind w:firstLine="482"/>
        <w:contextualSpacing/>
      </w:pPr>
      <w:r>
        <w:rPr>
          <w:rFonts w:hint="eastAsia"/>
        </w:rPr>
        <w:t>4.1交付时间：；</w:t>
      </w:r>
    </w:p>
    <w:p>
      <w:pPr>
        <w:pStyle w:val="28"/>
        <w:spacing w:before="0" w:beforeAutospacing="0" w:after="0" w:afterAutospacing="0" w:line="360" w:lineRule="auto"/>
        <w:ind w:firstLine="482"/>
        <w:contextualSpacing/>
      </w:pPr>
      <w:r>
        <w:rPr>
          <w:rFonts w:hint="eastAsia"/>
        </w:rPr>
        <w:t>4.2交付地点：；</w:t>
      </w:r>
    </w:p>
    <w:p>
      <w:pPr>
        <w:pStyle w:val="28"/>
        <w:spacing w:before="0" w:beforeAutospacing="0" w:after="0" w:afterAutospacing="0" w:line="360" w:lineRule="auto"/>
        <w:ind w:firstLine="482"/>
        <w:contextualSpacing/>
      </w:pPr>
      <w:r>
        <w:rPr>
          <w:rFonts w:hint="eastAsia"/>
        </w:rPr>
        <w:t>4.3交付条件：。</w:t>
      </w:r>
    </w:p>
    <w:p>
      <w:pPr>
        <w:pStyle w:val="28"/>
        <w:spacing w:before="0" w:beforeAutospacing="0" w:after="0" w:afterAutospacing="0" w:line="360" w:lineRule="auto"/>
        <w:ind w:firstLine="482"/>
        <w:contextualSpacing/>
      </w:pPr>
      <w:r>
        <w:rPr>
          <w:rFonts w:hint="eastAsia"/>
        </w:rPr>
        <w:t>5、合同标的应符合磋商文件、乙方响应文件的规定或约定，具体如下：</w:t>
      </w:r>
    </w:p>
    <w:p>
      <w:pPr>
        <w:pStyle w:val="28"/>
        <w:spacing w:before="0" w:beforeAutospacing="0" w:after="0" w:afterAutospacing="0" w:line="360" w:lineRule="auto"/>
        <w:ind w:firstLine="482"/>
        <w:contextualSpacing/>
      </w:pPr>
      <w:r>
        <w:rPr>
          <w:rFonts w:hint="eastAsia"/>
          <w:u w:val="single"/>
        </w:rPr>
        <w:t>（按照实际情况编制填写，可以是表格或文字描述）</w:t>
      </w:r>
      <w:r>
        <w:rPr>
          <w:rFonts w:hint="eastAsia"/>
        </w:rPr>
        <w:t>。</w:t>
      </w:r>
    </w:p>
    <w:p>
      <w:pPr>
        <w:pStyle w:val="28"/>
        <w:spacing w:before="0" w:beforeAutospacing="0" w:after="0" w:afterAutospacing="0" w:line="360" w:lineRule="auto"/>
        <w:ind w:firstLine="482"/>
        <w:contextualSpacing/>
      </w:pPr>
      <w:r>
        <w:rPr>
          <w:rFonts w:hint="eastAsia"/>
        </w:rPr>
        <w:t>6、验收</w:t>
      </w:r>
    </w:p>
    <w:p>
      <w:pPr>
        <w:pStyle w:val="28"/>
        <w:spacing w:before="0" w:beforeAutospacing="0" w:after="0" w:afterAutospacing="0" w:line="360" w:lineRule="auto"/>
        <w:ind w:firstLine="482"/>
        <w:contextualSpacing/>
      </w:pPr>
      <w:r>
        <w:rPr>
          <w:rFonts w:hint="eastAsia"/>
        </w:rPr>
        <w:t>6.1验收应按照磋商文件、乙方响应文件的规定或约定进行，具体如下：</w:t>
      </w:r>
    </w:p>
    <w:p>
      <w:pPr>
        <w:pStyle w:val="28"/>
        <w:spacing w:before="0" w:beforeAutospacing="0" w:after="0" w:afterAutospacing="0" w:line="360" w:lineRule="auto"/>
        <w:ind w:firstLine="482"/>
        <w:contextualSpacing/>
      </w:pPr>
      <w:r>
        <w:rPr>
          <w:rFonts w:hint="eastAsia"/>
          <w:u w:val="single"/>
        </w:rPr>
        <w:t>（按照实际情况编制填写，可以是表格或文字描述）</w:t>
      </w:r>
      <w:r>
        <w:rPr>
          <w:rFonts w:hint="eastAsia"/>
        </w:rPr>
        <w:t>。</w:t>
      </w:r>
    </w:p>
    <w:p>
      <w:pPr>
        <w:pStyle w:val="28"/>
        <w:spacing w:before="0" w:beforeAutospacing="0" w:after="0" w:afterAutospacing="0" w:line="360" w:lineRule="auto"/>
        <w:ind w:firstLine="482"/>
        <w:contextualSpacing/>
      </w:pPr>
      <w:r>
        <w:rPr>
          <w:rFonts w:hint="eastAsia"/>
        </w:rPr>
        <w:t>6.2本项目是否邀请其他供应商参与验收：</w:t>
      </w:r>
    </w:p>
    <w:p>
      <w:pPr>
        <w:pStyle w:val="28"/>
        <w:spacing w:before="0" w:beforeAutospacing="0" w:after="0" w:afterAutospacing="0" w:line="360" w:lineRule="auto"/>
        <w:ind w:firstLine="482"/>
        <w:contextualSpacing/>
      </w:pPr>
      <w:r>
        <w:rPr>
          <w:rFonts w:hint="eastAsia"/>
        </w:rPr>
        <w:t>□不邀请。□邀请，具体如下：</w:t>
      </w:r>
      <w:r>
        <w:rPr>
          <w:rFonts w:hint="eastAsia"/>
          <w:u w:val="single"/>
        </w:rPr>
        <w:t>（按照磋商文件规定填写）</w:t>
      </w:r>
      <w:r>
        <w:rPr>
          <w:rFonts w:hint="eastAsia"/>
        </w:rPr>
        <w:t>。</w:t>
      </w:r>
    </w:p>
    <w:p>
      <w:pPr>
        <w:pStyle w:val="28"/>
        <w:spacing w:before="0" w:beforeAutospacing="0" w:after="0" w:afterAutospacing="0" w:line="360" w:lineRule="auto"/>
        <w:ind w:firstLine="482"/>
        <w:contextualSpacing/>
      </w:pPr>
      <w:r>
        <w:rPr>
          <w:rFonts w:hint="eastAsia"/>
        </w:rPr>
        <w:t>7、合同款项的支付应按照磋商文件的规定进行，具体如下：</w:t>
      </w:r>
    </w:p>
    <w:p>
      <w:pPr>
        <w:pStyle w:val="28"/>
        <w:spacing w:before="0" w:beforeAutospacing="0" w:after="0" w:afterAutospacing="0" w:line="360" w:lineRule="auto"/>
        <w:ind w:firstLine="482"/>
        <w:contextualSpacing/>
      </w:pPr>
      <w:r>
        <w:rPr>
          <w:rFonts w:hint="eastAsia"/>
          <w:u w:val="single"/>
        </w:rPr>
        <w:t>（按照实际情况编制填写，可以是表格或文字描述，包括一次性支付等）</w:t>
      </w:r>
      <w:r>
        <w:rPr>
          <w:rFonts w:hint="eastAsia"/>
        </w:rPr>
        <w:t>。</w:t>
      </w:r>
    </w:p>
    <w:p>
      <w:pPr>
        <w:pStyle w:val="28"/>
        <w:spacing w:before="0" w:beforeAutospacing="0" w:after="0" w:afterAutospacing="0" w:line="360" w:lineRule="auto"/>
        <w:ind w:firstLine="482"/>
        <w:contextualSpacing/>
      </w:pPr>
      <w:r>
        <w:rPr>
          <w:rFonts w:hint="eastAsia"/>
        </w:rPr>
        <w:t>8、履约担保</w:t>
      </w:r>
    </w:p>
    <w:p>
      <w:pPr>
        <w:pStyle w:val="28"/>
        <w:spacing w:before="0" w:beforeAutospacing="0" w:after="0" w:afterAutospacing="0" w:line="360" w:lineRule="auto"/>
        <w:ind w:firstLine="482"/>
        <w:contextualSpacing/>
      </w:pPr>
      <w:r>
        <w:rPr>
          <w:rFonts w:hint="eastAsia"/>
        </w:rPr>
        <w:t>□无。□有，具体如下：</w:t>
      </w:r>
      <w:r>
        <w:rPr>
          <w:rFonts w:hint="eastAsia"/>
          <w:u w:val="single"/>
        </w:rPr>
        <w:t>（按照磋商文件规定填写）</w:t>
      </w:r>
      <w:r>
        <w:rPr>
          <w:rFonts w:hint="eastAsia"/>
        </w:rPr>
        <w:t>。</w:t>
      </w:r>
    </w:p>
    <w:p>
      <w:pPr>
        <w:pStyle w:val="28"/>
        <w:spacing w:before="0" w:beforeAutospacing="0" w:after="0" w:afterAutospacing="0" w:line="360" w:lineRule="auto"/>
        <w:ind w:firstLine="482"/>
        <w:contextualSpacing/>
      </w:pPr>
      <w:r>
        <w:rPr>
          <w:rFonts w:hint="eastAsia"/>
        </w:rPr>
        <w:t>9、合同有效期</w:t>
      </w:r>
    </w:p>
    <w:p>
      <w:pPr>
        <w:pStyle w:val="28"/>
        <w:spacing w:before="0" w:beforeAutospacing="0" w:after="0" w:afterAutospacing="0" w:line="360" w:lineRule="auto"/>
        <w:ind w:firstLine="482"/>
        <w:contextualSpacing/>
      </w:pPr>
      <w:r>
        <w:rPr>
          <w:rFonts w:hint="eastAsia"/>
          <w:u w:val="single"/>
        </w:rPr>
        <w:t>（按照实际情况编制填写，可以是表格或文字描述）</w:t>
      </w:r>
      <w:r>
        <w:rPr>
          <w:rFonts w:hint="eastAsia"/>
        </w:rPr>
        <w:t>。</w:t>
      </w:r>
    </w:p>
    <w:p>
      <w:pPr>
        <w:pStyle w:val="28"/>
        <w:spacing w:before="0" w:beforeAutospacing="0" w:after="0" w:afterAutospacing="0" w:line="360" w:lineRule="auto"/>
        <w:ind w:firstLine="482"/>
        <w:contextualSpacing/>
      </w:pPr>
      <w:r>
        <w:rPr>
          <w:rFonts w:hint="eastAsia"/>
        </w:rPr>
        <w:t>10、违约责任</w:t>
      </w:r>
    </w:p>
    <w:p>
      <w:pPr>
        <w:pStyle w:val="28"/>
        <w:spacing w:before="0" w:beforeAutospacing="0" w:after="0" w:afterAutospacing="0" w:line="360" w:lineRule="auto"/>
        <w:ind w:firstLine="482"/>
        <w:contextualSpacing/>
      </w:pPr>
      <w:r>
        <w:rPr>
          <w:rFonts w:hint="eastAsia"/>
          <w:u w:val="single"/>
        </w:rPr>
        <w:t>（按照实际情况编制填写，可以是表格或文字描述）</w:t>
      </w:r>
      <w:r>
        <w:rPr>
          <w:rFonts w:hint="eastAsia"/>
        </w:rPr>
        <w:t>。</w:t>
      </w:r>
    </w:p>
    <w:p>
      <w:pPr>
        <w:pStyle w:val="28"/>
        <w:spacing w:before="0" w:beforeAutospacing="0" w:after="0" w:afterAutospacing="0" w:line="360" w:lineRule="auto"/>
        <w:ind w:firstLine="482"/>
        <w:contextualSpacing/>
      </w:pPr>
      <w:r>
        <w:rPr>
          <w:rFonts w:hint="eastAsia"/>
        </w:rPr>
        <w:t>11、知识产权</w:t>
      </w:r>
    </w:p>
    <w:p>
      <w:pPr>
        <w:pStyle w:val="28"/>
        <w:spacing w:before="0" w:beforeAutospacing="0" w:after="0" w:afterAutospacing="0" w:line="360" w:lineRule="auto"/>
        <w:ind w:firstLine="482"/>
        <w:contextualSpacing/>
      </w:pPr>
      <w:r>
        <w:rPr>
          <w:rFonts w:hint="eastAsia"/>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8"/>
        <w:spacing w:before="0" w:beforeAutospacing="0" w:after="0" w:afterAutospacing="0" w:line="360" w:lineRule="auto"/>
        <w:ind w:firstLine="482"/>
        <w:contextualSpacing/>
      </w:pPr>
      <w:r>
        <w:rPr>
          <w:rFonts w:hint="eastAsia"/>
        </w:rPr>
        <w:t>11.2若乙方提供的采购标的不符合国家知识产权法律、法规的规定或被有关主管机关认定为假冒伪劣品，则乙方成交资格将被取消；甲方还将按照有关法律、法规和规章的规定进行处理，具体如下：</w:t>
      </w:r>
      <w:r>
        <w:rPr>
          <w:rFonts w:hint="eastAsia"/>
          <w:u w:val="single"/>
        </w:rPr>
        <w:t>（按照实际情况编制填写）</w:t>
      </w:r>
      <w:r>
        <w:rPr>
          <w:rFonts w:hint="eastAsia"/>
        </w:rPr>
        <w:t>。</w:t>
      </w:r>
    </w:p>
    <w:p>
      <w:pPr>
        <w:pStyle w:val="28"/>
        <w:spacing w:before="0" w:beforeAutospacing="0" w:after="0" w:afterAutospacing="0" w:line="360" w:lineRule="auto"/>
        <w:ind w:firstLine="482"/>
        <w:contextualSpacing/>
      </w:pPr>
      <w:r>
        <w:rPr>
          <w:rFonts w:hint="eastAsia"/>
        </w:rPr>
        <w:t>12、解决争议的方法</w:t>
      </w:r>
    </w:p>
    <w:p>
      <w:pPr>
        <w:pStyle w:val="28"/>
        <w:spacing w:before="0" w:beforeAutospacing="0" w:after="0" w:afterAutospacing="0" w:line="360" w:lineRule="auto"/>
        <w:ind w:firstLine="482"/>
        <w:contextualSpacing/>
      </w:pPr>
      <w:r>
        <w:rPr>
          <w:rFonts w:hint="eastAsia"/>
        </w:rPr>
        <w:t>12.1甲、乙双方协商解决。</w:t>
      </w:r>
    </w:p>
    <w:p>
      <w:pPr>
        <w:pStyle w:val="28"/>
        <w:spacing w:before="0" w:beforeAutospacing="0" w:after="0" w:afterAutospacing="0" w:line="360" w:lineRule="auto"/>
        <w:ind w:firstLine="482"/>
        <w:contextualSpacing/>
      </w:pPr>
      <w:r>
        <w:rPr>
          <w:rFonts w:hint="eastAsia"/>
        </w:rPr>
        <w:t>12.2若协商解决不成，则通过下列途径之一解决：</w:t>
      </w:r>
    </w:p>
    <w:p>
      <w:pPr>
        <w:pStyle w:val="28"/>
        <w:spacing w:before="0" w:beforeAutospacing="0" w:after="0" w:afterAutospacing="0" w:line="360" w:lineRule="auto"/>
        <w:ind w:firstLine="482"/>
        <w:contextualSpacing/>
      </w:pPr>
      <w:r>
        <w:rPr>
          <w:rFonts w:hint="eastAsia"/>
        </w:rPr>
        <w:t>□提交仲裁委员会仲裁，具体如下：</w:t>
      </w:r>
      <w:r>
        <w:rPr>
          <w:rFonts w:hint="eastAsia"/>
          <w:u w:val="single"/>
        </w:rPr>
        <w:t>（按照实际情况编制填写）</w:t>
      </w:r>
      <w:r>
        <w:rPr>
          <w:rFonts w:hint="eastAsia"/>
        </w:rPr>
        <w:t>。</w:t>
      </w:r>
    </w:p>
    <w:p>
      <w:pPr>
        <w:pStyle w:val="28"/>
        <w:spacing w:before="0" w:beforeAutospacing="0" w:after="0" w:afterAutospacing="0" w:line="360" w:lineRule="auto"/>
        <w:ind w:firstLine="482"/>
        <w:contextualSpacing/>
      </w:pPr>
      <w:r>
        <w:rPr>
          <w:rFonts w:hint="eastAsia"/>
        </w:rPr>
        <w:t>□向人民法院提起诉讼，具体如下：</w:t>
      </w:r>
      <w:r>
        <w:rPr>
          <w:rFonts w:hint="eastAsia"/>
          <w:u w:val="single"/>
        </w:rPr>
        <w:t>（按照实际情况编制填写）</w:t>
      </w:r>
      <w:r>
        <w:rPr>
          <w:rFonts w:hint="eastAsia"/>
        </w:rPr>
        <w:t>。</w:t>
      </w:r>
    </w:p>
    <w:p>
      <w:pPr>
        <w:pStyle w:val="28"/>
        <w:spacing w:before="0" w:beforeAutospacing="0" w:after="0" w:afterAutospacing="0" w:line="360" w:lineRule="auto"/>
        <w:ind w:firstLine="482"/>
        <w:contextualSpacing/>
      </w:pPr>
      <w:r>
        <w:rPr>
          <w:rFonts w:hint="eastAsia"/>
        </w:rPr>
        <w:t>13、不可抗力</w:t>
      </w:r>
    </w:p>
    <w:p>
      <w:pPr>
        <w:pStyle w:val="28"/>
        <w:spacing w:before="0" w:beforeAutospacing="0" w:after="0" w:afterAutospacing="0" w:line="360" w:lineRule="auto"/>
        <w:ind w:firstLine="482"/>
        <w:contextualSpacing/>
      </w:pPr>
      <w:r>
        <w:rPr>
          <w:rFonts w:hint="eastAsia"/>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8"/>
        <w:spacing w:before="0" w:beforeAutospacing="0" w:after="0" w:afterAutospacing="0" w:line="360" w:lineRule="auto"/>
        <w:ind w:firstLine="482"/>
        <w:contextualSpacing/>
      </w:pPr>
      <w:r>
        <w:rPr>
          <w:rFonts w:hint="eastAsia"/>
        </w:rPr>
        <w:t>13.2本合同中的不可抗力指不能预见、不能避免、不能克服的客观情况，包括但不限于：自然灾害如地震、台风、洪水、火灾及政府行为、法律规定或其适用的变化或其他任何无法预见、避免或控制的事件。</w:t>
      </w:r>
    </w:p>
    <w:p>
      <w:pPr>
        <w:pStyle w:val="28"/>
        <w:spacing w:before="0" w:beforeAutospacing="0" w:after="0" w:afterAutospacing="0" w:line="360" w:lineRule="auto"/>
        <w:ind w:firstLine="482"/>
        <w:contextualSpacing/>
      </w:pPr>
      <w:r>
        <w:rPr>
          <w:rFonts w:hint="eastAsia"/>
        </w:rPr>
        <w:t>14、合同条款</w:t>
      </w:r>
    </w:p>
    <w:p>
      <w:pPr>
        <w:pStyle w:val="28"/>
        <w:spacing w:before="0" w:beforeAutospacing="0" w:after="0" w:afterAutospacing="0" w:line="360" w:lineRule="auto"/>
        <w:ind w:firstLine="482"/>
        <w:contextualSpacing/>
      </w:pPr>
      <w:r>
        <w:rPr>
          <w:rFonts w:hint="eastAsia"/>
          <w:u w:val="single"/>
        </w:rPr>
        <w:t>（按照实际情况编制填写。磋商文件第五章已有规定的，双方均不得变更或调整；磋商文件第五章未作规定的，双方可通过友好协商进行约定）</w:t>
      </w:r>
      <w:r>
        <w:rPr>
          <w:rFonts w:hint="eastAsia"/>
        </w:rPr>
        <w:t>。</w:t>
      </w:r>
    </w:p>
    <w:p>
      <w:pPr>
        <w:pStyle w:val="28"/>
        <w:spacing w:before="0" w:beforeAutospacing="0" w:after="0" w:afterAutospacing="0" w:line="360" w:lineRule="auto"/>
        <w:ind w:firstLine="482"/>
        <w:contextualSpacing/>
      </w:pPr>
      <w:r>
        <w:rPr>
          <w:rFonts w:hint="eastAsia"/>
        </w:rPr>
        <w:t>15、其他约定</w:t>
      </w:r>
    </w:p>
    <w:p>
      <w:pPr>
        <w:pStyle w:val="28"/>
        <w:spacing w:before="0" w:beforeAutospacing="0" w:after="0" w:afterAutospacing="0" w:line="360" w:lineRule="auto"/>
        <w:ind w:firstLine="482"/>
        <w:contextualSpacing/>
      </w:pPr>
      <w:r>
        <w:rPr>
          <w:rFonts w:hint="eastAsia"/>
        </w:rPr>
        <w:t>15.1合同文件与本合同具有同等法律效力。</w:t>
      </w:r>
    </w:p>
    <w:p>
      <w:pPr>
        <w:pStyle w:val="28"/>
        <w:spacing w:before="0" w:beforeAutospacing="0" w:after="0" w:afterAutospacing="0" w:line="360" w:lineRule="auto"/>
        <w:ind w:firstLine="482"/>
        <w:contextualSpacing/>
      </w:pPr>
      <w:r>
        <w:rPr>
          <w:rFonts w:hint="eastAsia"/>
        </w:rPr>
        <w:t>15.2本合同未尽事宜，双方可另行补充。</w:t>
      </w:r>
    </w:p>
    <w:p>
      <w:pPr>
        <w:pStyle w:val="28"/>
        <w:spacing w:before="0" w:beforeAutospacing="0" w:after="0" w:afterAutospacing="0" w:line="360" w:lineRule="auto"/>
        <w:ind w:firstLine="482"/>
        <w:contextualSpacing/>
      </w:pPr>
      <w:r>
        <w:rPr>
          <w:rFonts w:hint="eastAsia"/>
        </w:rPr>
        <w:t>15.3合同生效：自签订之日起生效。</w:t>
      </w:r>
    </w:p>
    <w:p>
      <w:pPr>
        <w:pStyle w:val="28"/>
        <w:spacing w:before="0" w:beforeAutospacing="0" w:after="0" w:afterAutospacing="0" w:line="360" w:lineRule="auto"/>
        <w:ind w:firstLine="482"/>
        <w:contextualSpacing/>
      </w:pPr>
      <w:r>
        <w:rPr>
          <w:rFonts w:hint="eastAsia"/>
        </w:rPr>
        <w:t>15.4本合同一式</w:t>
      </w:r>
      <w:r>
        <w:rPr>
          <w:rFonts w:hint="eastAsia"/>
          <w:u w:val="single"/>
        </w:rPr>
        <w:t>（填写具体份数）</w:t>
      </w:r>
      <w:r>
        <w:rPr>
          <w:rFonts w:hint="eastAsia"/>
        </w:rPr>
        <w:t>份，经双方授权代表签字并盖章后生效。甲方、乙方各执</w:t>
      </w:r>
      <w:r>
        <w:rPr>
          <w:rFonts w:hint="eastAsia"/>
          <w:u w:val="single"/>
        </w:rPr>
        <w:t>（填写具体份数）</w:t>
      </w:r>
      <w:r>
        <w:rPr>
          <w:rFonts w:hint="eastAsia"/>
        </w:rPr>
        <w:t>份，送</w:t>
      </w:r>
      <w:r>
        <w:rPr>
          <w:rFonts w:hint="eastAsia"/>
          <w:u w:val="single"/>
        </w:rPr>
        <w:t>（填写需要备案的监管部门的全称）</w:t>
      </w:r>
      <w:r>
        <w:rPr>
          <w:rFonts w:hint="eastAsia"/>
        </w:rPr>
        <w:t>备案</w:t>
      </w:r>
      <w:r>
        <w:rPr>
          <w:rFonts w:hint="eastAsia"/>
          <w:u w:val="single"/>
        </w:rPr>
        <w:t>（填写具体份数）</w:t>
      </w:r>
      <w:r>
        <w:rPr>
          <w:rFonts w:hint="eastAsia"/>
        </w:rPr>
        <w:t>份，具有同等效力。</w:t>
      </w:r>
    </w:p>
    <w:p>
      <w:pPr>
        <w:pStyle w:val="28"/>
        <w:spacing w:before="0" w:beforeAutospacing="0" w:after="0" w:afterAutospacing="0" w:line="360" w:lineRule="auto"/>
        <w:ind w:firstLine="482"/>
        <w:contextualSpacing/>
      </w:pPr>
      <w:r>
        <w:rPr>
          <w:rFonts w:hint="eastAsia"/>
        </w:rPr>
        <w:t>15.5其他：□无。□</w:t>
      </w:r>
      <w:r>
        <w:rPr>
          <w:rFonts w:hint="eastAsia"/>
          <w:u w:val="single"/>
        </w:rPr>
        <w:t>（按照实际情况编制填写需要增加的内容）</w:t>
      </w:r>
      <w:r>
        <w:rPr>
          <w:rFonts w:hint="eastAsia"/>
        </w:rPr>
        <w:t>。</w:t>
      </w:r>
    </w:p>
    <w:p>
      <w:pPr>
        <w:pStyle w:val="28"/>
        <w:spacing w:before="0" w:beforeAutospacing="0" w:after="0" w:afterAutospacing="0"/>
        <w:contextualSpacing/>
      </w:pPr>
    </w:p>
    <w:p>
      <w:pPr>
        <w:pStyle w:val="28"/>
        <w:spacing w:before="0" w:beforeAutospacing="0" w:after="0" w:afterAutospacing="0"/>
        <w:contextualSpacing/>
      </w:pPr>
    </w:p>
    <w:p>
      <w:pPr>
        <w:pStyle w:val="28"/>
        <w:spacing w:before="0" w:beforeAutospacing="0" w:after="0" w:afterAutospacing="0" w:line="360" w:lineRule="auto"/>
        <w:contextualSpacing/>
      </w:pPr>
      <w:r>
        <w:rPr>
          <w:rFonts w:hint="eastAsia"/>
        </w:rPr>
        <w:t>甲方：                        乙方：</w:t>
      </w:r>
    </w:p>
    <w:p>
      <w:pPr>
        <w:pStyle w:val="28"/>
        <w:spacing w:before="0" w:beforeAutospacing="0" w:after="0" w:afterAutospacing="0" w:line="360" w:lineRule="auto"/>
        <w:contextualSpacing/>
      </w:pPr>
      <w:r>
        <w:rPr>
          <w:rFonts w:hint="eastAsia"/>
        </w:rPr>
        <w:t>住所：                        住所：</w:t>
      </w:r>
    </w:p>
    <w:p>
      <w:pPr>
        <w:pStyle w:val="28"/>
        <w:spacing w:before="0" w:beforeAutospacing="0" w:after="0" w:afterAutospacing="0" w:line="360" w:lineRule="auto"/>
        <w:contextualSpacing/>
      </w:pPr>
      <w:r>
        <w:rPr>
          <w:rFonts w:hint="eastAsia"/>
        </w:rPr>
        <w:t>法定代表人（单位负责人）：              法定代表人（单位负责人）：</w:t>
      </w:r>
    </w:p>
    <w:p>
      <w:pPr>
        <w:pStyle w:val="28"/>
        <w:spacing w:before="0" w:beforeAutospacing="0" w:after="0" w:afterAutospacing="0" w:line="360" w:lineRule="auto"/>
        <w:contextualSpacing/>
      </w:pPr>
      <w:r>
        <w:rPr>
          <w:rFonts w:hint="eastAsia"/>
        </w:rPr>
        <w:t>联系方法：                      联系方法：</w:t>
      </w:r>
    </w:p>
    <w:p>
      <w:pPr>
        <w:pStyle w:val="28"/>
        <w:spacing w:before="0" w:beforeAutospacing="0" w:after="0" w:afterAutospacing="0" w:line="360" w:lineRule="auto"/>
        <w:contextualSpacing/>
      </w:pPr>
      <w:r>
        <w:rPr>
          <w:rFonts w:hint="eastAsia"/>
        </w:rPr>
        <w:t>开户银行：                      开户银行：</w:t>
      </w:r>
    </w:p>
    <w:p>
      <w:pPr>
        <w:pStyle w:val="28"/>
        <w:spacing w:before="0" w:beforeAutospacing="0" w:after="0" w:afterAutospacing="0" w:line="360" w:lineRule="auto"/>
        <w:contextualSpacing/>
      </w:pPr>
      <w:r>
        <w:rPr>
          <w:rFonts w:hint="eastAsia"/>
        </w:rPr>
        <w:t>账号：                       账号：</w:t>
      </w:r>
    </w:p>
    <w:p>
      <w:pPr>
        <w:pStyle w:val="28"/>
        <w:spacing w:before="0" w:beforeAutospacing="0" w:after="0" w:afterAutospacing="0" w:line="360" w:lineRule="auto"/>
        <w:contextualSpacing/>
      </w:pPr>
      <w:r>
        <w:rPr>
          <w:rFonts w:hint="eastAsia"/>
        </w:rPr>
        <w:t>签订地点：</w:t>
      </w:r>
    </w:p>
    <w:p>
      <w:pPr>
        <w:pStyle w:val="28"/>
        <w:spacing w:before="0" w:beforeAutospacing="0" w:after="0" w:afterAutospacing="0" w:line="360" w:lineRule="auto"/>
        <w:contextualSpacing/>
      </w:pPr>
      <w:r>
        <w:rPr>
          <w:rFonts w:hint="eastAsia"/>
        </w:rPr>
        <w:t>签订日期：年月日</w:t>
      </w:r>
    </w:p>
    <w:p>
      <w:pPr>
        <w:pStyle w:val="21"/>
        <w:spacing w:line="360" w:lineRule="auto"/>
        <w:rPr>
          <w:rFonts w:hAnsi="宋体"/>
          <w:sz w:val="36"/>
          <w:szCs w:val="36"/>
        </w:rPr>
      </w:pPr>
    </w:p>
    <w:p>
      <w:pPr>
        <w:pStyle w:val="21"/>
        <w:adjustRightInd w:val="0"/>
        <w:snapToGrid w:val="0"/>
        <w:spacing w:line="440" w:lineRule="exact"/>
        <w:jc w:val="center"/>
        <w:rPr>
          <w:rFonts w:ascii="宋体" w:hAnsi="宋体"/>
          <w:b/>
          <w:sz w:val="36"/>
          <w:szCs w:val="36"/>
        </w:rPr>
      </w:pPr>
    </w:p>
    <w:p>
      <w:pPr>
        <w:pStyle w:val="21"/>
        <w:adjustRightInd w:val="0"/>
        <w:snapToGrid w:val="0"/>
        <w:spacing w:line="440" w:lineRule="exact"/>
        <w:jc w:val="center"/>
        <w:rPr>
          <w:rFonts w:ascii="宋体" w:hAnsi="宋体"/>
          <w:b/>
          <w:sz w:val="36"/>
          <w:szCs w:val="36"/>
        </w:rPr>
      </w:pPr>
    </w:p>
    <w:p>
      <w:pPr>
        <w:pStyle w:val="21"/>
        <w:adjustRightInd w:val="0"/>
        <w:snapToGrid w:val="0"/>
        <w:spacing w:line="440" w:lineRule="exact"/>
        <w:jc w:val="center"/>
        <w:rPr>
          <w:rFonts w:ascii="宋体" w:hAnsi="宋体"/>
          <w:b/>
          <w:sz w:val="36"/>
          <w:szCs w:val="36"/>
        </w:rPr>
      </w:pPr>
    </w:p>
    <w:p/>
    <w:p>
      <w:pPr>
        <w:autoSpaceDE w:val="0"/>
        <w:autoSpaceDN w:val="0"/>
        <w:adjustRightInd w:val="0"/>
        <w:spacing w:line="360" w:lineRule="auto"/>
        <w:rPr>
          <w:rFonts w:ascii="宋体" w:hAnsi="宋体"/>
          <w:b/>
          <w:kern w:val="0"/>
          <w:sz w:val="32"/>
          <w:szCs w:val="32"/>
        </w:rPr>
      </w:pPr>
    </w:p>
    <w:p>
      <w:pPr>
        <w:tabs>
          <w:tab w:val="left" w:pos="1260"/>
        </w:tabs>
        <w:autoSpaceDE w:val="0"/>
        <w:autoSpaceDN w:val="0"/>
        <w:adjustRightInd w:val="0"/>
        <w:spacing w:line="360" w:lineRule="auto"/>
        <w:jc w:val="center"/>
        <w:rPr>
          <w:rFonts w:ascii="宋体" w:hAnsi="宋体" w:cs="宋体"/>
          <w:b/>
          <w:kern w:val="0"/>
          <w:sz w:val="32"/>
          <w:szCs w:val="32"/>
        </w:rPr>
      </w:pPr>
      <w:r>
        <w:rPr>
          <w:rFonts w:hint="eastAsia" w:ascii="宋体" w:hAnsi="宋体" w:cs="宋体"/>
          <w:b/>
          <w:kern w:val="0"/>
          <w:sz w:val="32"/>
          <w:szCs w:val="32"/>
        </w:rPr>
        <w:t>第八章 响应文件有关格式</w:t>
      </w:r>
    </w:p>
    <w:p>
      <w:pPr>
        <w:tabs>
          <w:tab w:val="left" w:pos="1260"/>
        </w:tabs>
        <w:autoSpaceDE w:val="0"/>
        <w:autoSpaceDN w:val="0"/>
        <w:adjustRightInd w:val="0"/>
        <w:spacing w:line="360" w:lineRule="auto"/>
        <w:jc w:val="center"/>
        <w:rPr>
          <w:rFonts w:ascii="宋体" w:hAnsi="宋体" w:cs="宋体"/>
          <w:b/>
          <w:kern w:val="0"/>
          <w:sz w:val="32"/>
          <w:szCs w:val="32"/>
        </w:rPr>
      </w:pPr>
      <w:r>
        <w:rPr>
          <w:rFonts w:hint="eastAsia" w:ascii="宋体" w:hAnsi="宋体" w:cs="宋体"/>
          <w:b/>
          <w:kern w:val="0"/>
          <w:sz w:val="32"/>
          <w:szCs w:val="32"/>
        </w:rPr>
        <w:t>（如涉及本项目的提供）</w:t>
      </w:r>
    </w:p>
    <w:p>
      <w:pPr>
        <w:spacing w:line="360" w:lineRule="auto"/>
        <w:jc w:val="center"/>
        <w:rPr>
          <w:rFonts w:ascii="宋体" w:hAnsi="宋体" w:cs="宋体"/>
          <w:b/>
          <w:sz w:val="32"/>
          <w:szCs w:val="32"/>
        </w:rPr>
      </w:pPr>
    </w:p>
    <w:p>
      <w:pPr>
        <w:spacing w:line="360" w:lineRule="auto"/>
        <w:jc w:val="center"/>
        <w:rPr>
          <w:rFonts w:ascii="宋体" w:hAnsi="宋体"/>
          <w:b/>
          <w:sz w:val="52"/>
          <w:szCs w:val="52"/>
          <w:u w:val="single"/>
        </w:rPr>
      </w:pPr>
      <w:r>
        <w:rPr>
          <w:rFonts w:hint="eastAsia" w:ascii="宋体" w:hAnsi="宋体"/>
          <w:b/>
          <w:sz w:val="52"/>
          <w:szCs w:val="52"/>
          <w:u w:val="single"/>
        </w:rPr>
        <w:t xml:space="preserve">                 项目</w:t>
      </w:r>
    </w:p>
    <w:p>
      <w:pPr>
        <w:spacing w:line="360" w:lineRule="auto"/>
        <w:jc w:val="center"/>
        <w:rPr>
          <w:rFonts w:ascii="宋体" w:hAnsi="宋体"/>
          <w:b/>
          <w:sz w:val="72"/>
          <w:szCs w:val="72"/>
          <w:u w:val="single"/>
        </w:rPr>
      </w:pPr>
    </w:p>
    <w:p>
      <w:pPr>
        <w:spacing w:line="360" w:lineRule="auto"/>
        <w:jc w:val="center"/>
        <w:rPr>
          <w:rFonts w:ascii="宋体" w:hAnsi="宋体"/>
          <w:b/>
          <w:sz w:val="72"/>
          <w:szCs w:val="72"/>
          <w:u w:val="single"/>
        </w:rPr>
      </w:pPr>
    </w:p>
    <w:p>
      <w:pPr>
        <w:spacing w:line="360" w:lineRule="auto"/>
        <w:jc w:val="center"/>
        <w:rPr>
          <w:rFonts w:ascii="宋体" w:hAnsi="宋体"/>
          <w:b/>
          <w:sz w:val="72"/>
          <w:szCs w:val="72"/>
        </w:rPr>
      </w:pPr>
      <w:r>
        <w:rPr>
          <w:rFonts w:hint="eastAsia" w:ascii="宋体" w:hAnsi="宋体"/>
          <w:b/>
          <w:sz w:val="72"/>
          <w:szCs w:val="72"/>
        </w:rPr>
        <w:t>响应文件</w:t>
      </w:r>
    </w:p>
    <w:p>
      <w:pPr>
        <w:adjustRightInd w:val="0"/>
        <w:spacing w:line="360" w:lineRule="auto"/>
        <w:jc w:val="center"/>
        <w:textAlignment w:val="baseline"/>
        <w:rPr>
          <w:rFonts w:ascii="宋体" w:hAnsi="宋体" w:cs="宋体"/>
          <w:b/>
          <w:bCs/>
          <w:sz w:val="84"/>
          <w:szCs w:val="96"/>
        </w:rPr>
      </w:pPr>
    </w:p>
    <w:p>
      <w:pPr>
        <w:adjustRightInd w:val="0"/>
        <w:spacing w:line="360" w:lineRule="auto"/>
        <w:jc w:val="center"/>
        <w:textAlignment w:val="baseline"/>
        <w:rPr>
          <w:rFonts w:ascii="宋体" w:hAnsi="宋体" w:cs="宋体"/>
          <w:b/>
          <w:bCs/>
          <w:sz w:val="48"/>
          <w:szCs w:val="96"/>
        </w:rPr>
      </w:pPr>
    </w:p>
    <w:p>
      <w:pPr>
        <w:spacing w:line="360" w:lineRule="auto"/>
        <w:rPr>
          <w:rFonts w:ascii="宋体" w:hAnsi="宋体" w:cs="宋体"/>
          <w:b/>
          <w:sz w:val="32"/>
          <w:szCs w:val="32"/>
        </w:rPr>
      </w:pPr>
    </w:p>
    <w:p>
      <w:pPr>
        <w:spacing w:line="480" w:lineRule="exact"/>
        <w:rPr>
          <w:rFonts w:ascii="宋体" w:hAnsi="宋体" w:cs="Lucida Sans Unicode"/>
        </w:rPr>
      </w:pPr>
    </w:p>
    <w:p>
      <w:pPr>
        <w:spacing w:line="360" w:lineRule="auto"/>
        <w:ind w:firstLine="900" w:firstLineChars="249"/>
        <w:rPr>
          <w:rFonts w:ascii="宋体" w:hAnsi="宋体"/>
          <w:b/>
          <w:sz w:val="36"/>
          <w:szCs w:val="36"/>
        </w:rPr>
      </w:pPr>
      <w:r>
        <w:rPr>
          <w:rFonts w:hint="eastAsia" w:ascii="宋体" w:hAnsi="宋体"/>
          <w:b/>
          <w:sz w:val="36"/>
          <w:szCs w:val="36"/>
        </w:rPr>
        <w:t>采购项目名称：</w:t>
      </w:r>
    </w:p>
    <w:p>
      <w:pPr>
        <w:spacing w:line="360" w:lineRule="auto"/>
        <w:ind w:firstLine="900" w:firstLineChars="249"/>
        <w:rPr>
          <w:rFonts w:ascii="宋体" w:hAnsi="宋体"/>
          <w:b/>
          <w:sz w:val="36"/>
          <w:szCs w:val="36"/>
        </w:rPr>
      </w:pPr>
      <w:r>
        <w:rPr>
          <w:rFonts w:hint="eastAsia" w:ascii="宋体" w:hAnsi="宋体"/>
          <w:b/>
          <w:sz w:val="36"/>
          <w:szCs w:val="36"/>
        </w:rPr>
        <w:t>采购项目编号：</w:t>
      </w:r>
    </w:p>
    <w:p>
      <w:pPr>
        <w:spacing w:line="360" w:lineRule="auto"/>
        <w:ind w:firstLine="900" w:firstLineChars="249"/>
        <w:rPr>
          <w:rFonts w:ascii="宋体" w:hAnsi="宋体" w:cs="Lucida Sans Unicode"/>
          <w:b/>
          <w:sz w:val="36"/>
          <w:szCs w:val="36"/>
        </w:rPr>
      </w:pPr>
      <w:r>
        <w:rPr>
          <w:rFonts w:hint="eastAsia" w:ascii="宋体" w:hAnsi="宋体"/>
          <w:b/>
          <w:sz w:val="36"/>
          <w:szCs w:val="36"/>
        </w:rPr>
        <w:t>供应商名称 ：</w:t>
      </w:r>
    </w:p>
    <w:p>
      <w:pPr>
        <w:spacing w:line="360" w:lineRule="auto"/>
        <w:rPr>
          <w:rFonts w:ascii="宋体" w:hAnsi="宋体" w:cs="宋体"/>
          <w:b/>
          <w:sz w:val="32"/>
          <w:szCs w:val="32"/>
        </w:rPr>
      </w:pPr>
      <w:r>
        <w:rPr>
          <w:rFonts w:hint="eastAsia" w:ascii="宋体" w:hAnsi="宋体" w:cs="Lucida Sans Unicode"/>
          <w:b/>
          <w:sz w:val="36"/>
          <w:szCs w:val="36"/>
        </w:rPr>
        <w:t xml:space="preserve">     时间：</w:t>
      </w:r>
    </w:p>
    <w:p>
      <w:pPr>
        <w:spacing w:line="360" w:lineRule="auto"/>
        <w:rPr>
          <w:rFonts w:ascii="宋体" w:hAnsi="宋体" w:cs="宋体"/>
          <w:sz w:val="28"/>
        </w:rPr>
      </w:pPr>
    </w:p>
    <w:p>
      <w:pPr>
        <w:autoSpaceDE w:val="0"/>
        <w:autoSpaceDN w:val="0"/>
        <w:adjustRightInd w:val="0"/>
        <w:spacing w:line="700" w:lineRule="exact"/>
        <w:rPr>
          <w:rFonts w:ascii="宋体" w:hAnsi="宋体" w:cs="黑体"/>
          <w:b/>
          <w:bCs/>
          <w:sz w:val="44"/>
          <w:szCs w:val="44"/>
          <w:lang w:val="zh-CN"/>
        </w:rPr>
      </w:pPr>
      <w:r>
        <w:rPr>
          <w:rFonts w:cs="黑体"/>
          <w:sz w:val="28"/>
          <w:szCs w:val="28"/>
          <w:lang w:val="zh-CN"/>
        </w:rPr>
        <w:br w:type="page"/>
      </w:r>
    </w:p>
    <w:p>
      <w:pPr>
        <w:pStyle w:val="43"/>
        <w:tabs>
          <w:tab w:val="left" w:pos="660"/>
        </w:tabs>
        <w:snapToGrid w:val="0"/>
        <w:spacing w:before="0" w:line="400" w:lineRule="exact"/>
        <w:rPr>
          <w:rFonts w:cs="黑体"/>
          <w:color w:val="auto"/>
          <w:kern w:val="2"/>
          <w:sz w:val="28"/>
          <w:szCs w:val="28"/>
          <w:lang w:val="zh-CN"/>
        </w:rPr>
      </w:pPr>
      <w:bookmarkStart w:id="5" w:name="_Toc186274126"/>
      <w:bookmarkStart w:id="6" w:name="_Toc184023138"/>
      <w:bookmarkStart w:id="7" w:name="_Toc174185203"/>
      <w:r>
        <w:rPr>
          <w:rFonts w:hint="eastAsia" w:cs="黑体"/>
          <w:color w:val="auto"/>
          <w:kern w:val="2"/>
          <w:sz w:val="28"/>
          <w:szCs w:val="28"/>
          <w:lang w:val="zh-CN"/>
        </w:rPr>
        <w:t>一、供应商应答索引表</w:t>
      </w:r>
      <w:bookmarkEnd w:id="5"/>
      <w:bookmarkEnd w:id="6"/>
      <w:bookmarkEnd w:id="7"/>
    </w:p>
    <w:tbl>
      <w:tblPr>
        <w:tblStyle w:val="30"/>
        <w:tblW w:w="9360"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7"/>
        <w:gridCol w:w="3753"/>
        <w:gridCol w:w="1560"/>
        <w:gridCol w:w="1561"/>
        <w:gridCol w:w="201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7"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rPr>
                <w:rFonts w:ascii="宋体" w:hAnsi="宋体" w:cs="微软雅黑"/>
                <w:b/>
              </w:rPr>
            </w:pPr>
            <w:r>
              <w:rPr>
                <w:rFonts w:hint="eastAsia" w:ascii="宋体" w:hAnsi="宋体" w:cs="微软雅黑"/>
                <w:b/>
              </w:rPr>
              <w:t>序号</w:t>
            </w:r>
          </w:p>
        </w:tc>
        <w:tc>
          <w:tcPr>
            <w:tcW w:w="3753"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rPr>
                <w:rFonts w:ascii="宋体" w:hAnsi="宋体" w:cs="微软雅黑"/>
                <w:b/>
              </w:rPr>
            </w:pPr>
            <w:r>
              <w:rPr>
                <w:rFonts w:hint="eastAsia" w:ascii="宋体" w:hAnsi="宋体" w:cs="微软雅黑"/>
                <w:b/>
              </w:rPr>
              <w:t>项  目</w:t>
            </w: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rPr>
                <w:rFonts w:ascii="宋体" w:hAnsi="宋体" w:cs="微软雅黑"/>
                <w:b/>
              </w:rPr>
            </w:pPr>
            <w:r>
              <w:rPr>
                <w:rFonts w:hint="eastAsia" w:ascii="宋体" w:hAnsi="宋体" w:cs="微软雅黑"/>
                <w:b/>
              </w:rPr>
              <w:t>供应商应答</w:t>
            </w:r>
          </w:p>
          <w:p>
            <w:pPr>
              <w:snapToGrid w:val="0"/>
              <w:spacing w:line="400" w:lineRule="exact"/>
              <w:jc w:val="center"/>
              <w:rPr>
                <w:rFonts w:ascii="宋体" w:hAnsi="宋体" w:cs="微软雅黑"/>
                <w:b/>
              </w:rPr>
            </w:pPr>
            <w:r>
              <w:rPr>
                <w:rFonts w:hint="eastAsia" w:ascii="宋体" w:hAnsi="宋体" w:cs="微软雅黑"/>
                <w:b/>
              </w:rPr>
              <w:t>（有/没有）</w:t>
            </w:r>
          </w:p>
        </w:tc>
        <w:tc>
          <w:tcPr>
            <w:tcW w:w="1561"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rPr>
                <w:rFonts w:ascii="宋体" w:hAnsi="宋体" w:cs="微软雅黑"/>
                <w:b/>
              </w:rPr>
            </w:pPr>
            <w:r>
              <w:rPr>
                <w:rFonts w:hint="eastAsia" w:ascii="宋体" w:hAnsi="宋体" w:cs="微软雅黑"/>
                <w:b/>
              </w:rPr>
              <w:t>响应文件中所在页码</w:t>
            </w:r>
          </w:p>
        </w:tc>
        <w:tc>
          <w:tcPr>
            <w:tcW w:w="201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rPr>
                <w:rFonts w:ascii="宋体" w:hAnsi="宋体" w:cs="微软雅黑"/>
                <w:b/>
              </w:rPr>
            </w:pPr>
            <w:r>
              <w:rPr>
                <w:rFonts w:hint="eastAsia" w:ascii="宋体" w:hAnsi="宋体" w:cs="微软雅黑"/>
                <w:b/>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1</w:t>
            </w:r>
          </w:p>
        </w:tc>
        <w:tc>
          <w:tcPr>
            <w:tcW w:w="3753" w:type="dxa"/>
            <w:tcBorders>
              <w:top w:val="single" w:color="000000" w:sz="6" w:space="0"/>
              <w:left w:val="single" w:color="000000" w:sz="6" w:space="0"/>
              <w:bottom w:val="single" w:color="000000" w:sz="6" w:space="0"/>
              <w:right w:val="single" w:color="000000" w:sz="6" w:space="0"/>
            </w:tcBorders>
            <w:vAlign w:val="center"/>
          </w:tcPr>
          <w:p>
            <w:pPr>
              <w:pStyle w:val="21"/>
              <w:kinsoku w:val="0"/>
              <w:overflowPunct w:val="0"/>
              <w:autoSpaceDE w:val="0"/>
              <w:autoSpaceDN w:val="0"/>
              <w:spacing w:line="320" w:lineRule="exact"/>
              <w:rPr>
                <w:rFonts w:hAnsi="宋体" w:cs="微软雅黑"/>
                <w:bCs/>
                <w:sz w:val="21"/>
                <w:szCs w:val="21"/>
              </w:rPr>
            </w:pPr>
            <w:r>
              <w:rPr>
                <w:rFonts w:hint="eastAsia" w:hAnsi="宋体"/>
                <w:sz w:val="21"/>
                <w:szCs w:val="21"/>
              </w:rPr>
              <w:t>供应商应答索引表</w:t>
            </w: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rPr>
                <w:rFonts w:ascii="宋体" w:hAnsi="宋体" w:cs="微软雅黑"/>
              </w:rPr>
            </w:pPr>
          </w:p>
        </w:tc>
        <w:tc>
          <w:tcPr>
            <w:tcW w:w="1561"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rPr>
            </w:pPr>
          </w:p>
        </w:tc>
        <w:tc>
          <w:tcPr>
            <w:tcW w:w="201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2</w:t>
            </w:r>
          </w:p>
        </w:tc>
        <w:tc>
          <w:tcPr>
            <w:tcW w:w="3753" w:type="dxa"/>
            <w:tcBorders>
              <w:top w:val="single" w:color="000000" w:sz="6" w:space="0"/>
              <w:left w:val="single" w:color="000000" w:sz="6" w:space="0"/>
              <w:bottom w:val="single" w:color="000000" w:sz="6" w:space="0"/>
              <w:right w:val="single" w:color="000000" w:sz="6" w:space="0"/>
            </w:tcBorders>
            <w:vAlign w:val="center"/>
          </w:tcPr>
          <w:p>
            <w:pPr>
              <w:pStyle w:val="21"/>
              <w:kinsoku w:val="0"/>
              <w:overflowPunct w:val="0"/>
              <w:autoSpaceDE w:val="0"/>
              <w:autoSpaceDN w:val="0"/>
              <w:spacing w:line="320" w:lineRule="exact"/>
              <w:rPr>
                <w:rFonts w:hAnsi="宋体"/>
                <w:sz w:val="21"/>
                <w:szCs w:val="21"/>
              </w:rPr>
            </w:pPr>
            <w:r>
              <w:rPr>
                <w:rFonts w:hint="eastAsia" w:hAnsi="宋体"/>
                <w:sz w:val="21"/>
                <w:szCs w:val="21"/>
              </w:rPr>
              <w:t>开标一览表</w:t>
            </w: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rPr>
                <w:rFonts w:ascii="宋体" w:hAnsi="宋体" w:cs="微软雅黑"/>
              </w:rPr>
            </w:pPr>
          </w:p>
        </w:tc>
        <w:tc>
          <w:tcPr>
            <w:tcW w:w="1561"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rPr>
            </w:pPr>
          </w:p>
        </w:tc>
        <w:tc>
          <w:tcPr>
            <w:tcW w:w="201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3</w:t>
            </w:r>
          </w:p>
        </w:tc>
        <w:tc>
          <w:tcPr>
            <w:tcW w:w="3753" w:type="dxa"/>
            <w:tcBorders>
              <w:top w:val="single" w:color="000000" w:sz="6" w:space="0"/>
              <w:left w:val="single" w:color="000000" w:sz="6" w:space="0"/>
              <w:bottom w:val="single" w:color="000000" w:sz="6" w:space="0"/>
              <w:right w:val="single" w:color="000000" w:sz="6" w:space="0"/>
            </w:tcBorders>
            <w:vAlign w:val="center"/>
          </w:tcPr>
          <w:p>
            <w:pPr>
              <w:pStyle w:val="21"/>
              <w:kinsoku w:val="0"/>
              <w:overflowPunct w:val="0"/>
              <w:autoSpaceDE w:val="0"/>
              <w:autoSpaceDN w:val="0"/>
              <w:spacing w:line="320" w:lineRule="exact"/>
              <w:rPr>
                <w:rFonts w:hAnsi="宋体" w:cs="微软雅黑"/>
                <w:bCs/>
                <w:sz w:val="21"/>
                <w:szCs w:val="21"/>
              </w:rPr>
            </w:pPr>
            <w:r>
              <w:rPr>
                <w:rFonts w:hint="eastAsia" w:ascii="宋体" w:hAnsi="宋体" w:cs="宋体"/>
              </w:rPr>
              <w:t>响应</w:t>
            </w:r>
            <w:r>
              <w:rPr>
                <w:rFonts w:hint="eastAsia" w:hAnsi="宋体"/>
                <w:sz w:val="21"/>
                <w:szCs w:val="21"/>
              </w:rPr>
              <w:t>函</w:t>
            </w: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rPr>
                <w:rFonts w:ascii="宋体" w:hAnsi="宋体" w:cs="微软雅黑"/>
              </w:rPr>
            </w:pPr>
          </w:p>
        </w:tc>
        <w:tc>
          <w:tcPr>
            <w:tcW w:w="1561"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rPr>
            </w:pPr>
          </w:p>
        </w:tc>
        <w:tc>
          <w:tcPr>
            <w:tcW w:w="201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4</w:t>
            </w:r>
          </w:p>
        </w:tc>
        <w:tc>
          <w:tcPr>
            <w:tcW w:w="3753" w:type="dxa"/>
            <w:tcBorders>
              <w:top w:val="single" w:color="000000" w:sz="6" w:space="0"/>
              <w:left w:val="single" w:color="000000" w:sz="6" w:space="0"/>
              <w:bottom w:val="single" w:color="000000" w:sz="6" w:space="0"/>
              <w:right w:val="single" w:color="000000" w:sz="6" w:space="0"/>
            </w:tcBorders>
            <w:vAlign w:val="center"/>
          </w:tcPr>
          <w:p>
            <w:pPr>
              <w:pStyle w:val="21"/>
              <w:kinsoku w:val="0"/>
              <w:overflowPunct w:val="0"/>
              <w:autoSpaceDE w:val="0"/>
              <w:autoSpaceDN w:val="0"/>
              <w:spacing w:line="320" w:lineRule="exact"/>
              <w:rPr>
                <w:rFonts w:hAnsi="宋体"/>
                <w:sz w:val="21"/>
                <w:szCs w:val="21"/>
              </w:rPr>
            </w:pPr>
            <w:r>
              <w:rPr>
                <w:rFonts w:hint="eastAsia" w:ascii="宋体" w:hAnsi="宋体" w:cs="宋体"/>
                <w:bCs/>
                <w:sz w:val="21"/>
                <w:szCs w:val="21"/>
                <w:lang w:val="zh-CN"/>
              </w:rPr>
              <w:t>法定代表人（单位负责人）资格证明书</w:t>
            </w: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rPr>
                <w:rFonts w:ascii="宋体" w:hAnsi="宋体" w:cs="微软雅黑"/>
              </w:rPr>
            </w:pPr>
          </w:p>
        </w:tc>
        <w:tc>
          <w:tcPr>
            <w:tcW w:w="1561"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rPr>
            </w:pPr>
          </w:p>
        </w:tc>
        <w:tc>
          <w:tcPr>
            <w:tcW w:w="201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5</w:t>
            </w:r>
          </w:p>
        </w:tc>
        <w:tc>
          <w:tcPr>
            <w:tcW w:w="3753" w:type="dxa"/>
            <w:tcBorders>
              <w:top w:val="single" w:color="000000" w:sz="6" w:space="0"/>
              <w:left w:val="single" w:color="000000" w:sz="6" w:space="0"/>
              <w:bottom w:val="single" w:color="000000" w:sz="6" w:space="0"/>
              <w:right w:val="single" w:color="000000" w:sz="6" w:space="0"/>
            </w:tcBorders>
            <w:vAlign w:val="center"/>
          </w:tcPr>
          <w:p>
            <w:pPr>
              <w:pStyle w:val="21"/>
              <w:kinsoku w:val="0"/>
              <w:overflowPunct w:val="0"/>
              <w:autoSpaceDE w:val="0"/>
              <w:autoSpaceDN w:val="0"/>
              <w:spacing w:line="320" w:lineRule="exact"/>
              <w:rPr>
                <w:rFonts w:hAnsi="宋体"/>
                <w:sz w:val="21"/>
                <w:szCs w:val="21"/>
              </w:rPr>
            </w:pPr>
            <w:r>
              <w:rPr>
                <w:rFonts w:hint="eastAsia" w:hAnsi="宋体"/>
                <w:sz w:val="21"/>
                <w:szCs w:val="21"/>
              </w:rPr>
              <w:t>法定代表人（单位负责人）授权书</w:t>
            </w: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rPr>
                <w:rFonts w:ascii="宋体" w:hAnsi="宋体" w:cs="微软雅黑"/>
              </w:rPr>
            </w:pPr>
          </w:p>
        </w:tc>
        <w:tc>
          <w:tcPr>
            <w:tcW w:w="1561"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rPr>
            </w:pPr>
          </w:p>
        </w:tc>
        <w:tc>
          <w:tcPr>
            <w:tcW w:w="201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6</w:t>
            </w:r>
          </w:p>
        </w:tc>
        <w:tc>
          <w:tcPr>
            <w:tcW w:w="3753" w:type="dxa"/>
            <w:tcBorders>
              <w:top w:val="single" w:color="000000" w:sz="6" w:space="0"/>
              <w:left w:val="single" w:color="000000" w:sz="6" w:space="0"/>
              <w:bottom w:val="single" w:color="000000" w:sz="6" w:space="0"/>
              <w:right w:val="single" w:color="000000" w:sz="6" w:space="0"/>
            </w:tcBorders>
            <w:vAlign w:val="center"/>
          </w:tcPr>
          <w:p>
            <w:pPr>
              <w:pStyle w:val="21"/>
              <w:kinsoku w:val="0"/>
              <w:overflowPunct w:val="0"/>
              <w:autoSpaceDE w:val="0"/>
              <w:autoSpaceDN w:val="0"/>
              <w:spacing w:line="320" w:lineRule="exact"/>
              <w:rPr>
                <w:rFonts w:hAnsi="宋体" w:cs="微软雅黑"/>
                <w:bCs/>
                <w:sz w:val="21"/>
                <w:szCs w:val="21"/>
              </w:rPr>
            </w:pPr>
            <w:r>
              <w:rPr>
                <w:rFonts w:hint="eastAsia" w:ascii="宋体" w:hAnsi="宋体" w:cs="宋体"/>
                <w:bCs/>
                <w:sz w:val="21"/>
                <w:szCs w:val="21"/>
                <w:lang w:val="zh-CN"/>
              </w:rPr>
              <w:t>磋商承诺函</w:t>
            </w: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rPr>
                <w:rFonts w:ascii="宋体" w:hAnsi="宋体" w:cs="微软雅黑"/>
              </w:rPr>
            </w:pPr>
          </w:p>
        </w:tc>
        <w:tc>
          <w:tcPr>
            <w:tcW w:w="1561"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rPr>
            </w:pPr>
          </w:p>
        </w:tc>
        <w:tc>
          <w:tcPr>
            <w:tcW w:w="201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7</w:t>
            </w:r>
          </w:p>
        </w:tc>
        <w:tc>
          <w:tcPr>
            <w:tcW w:w="3753" w:type="dxa"/>
            <w:tcBorders>
              <w:top w:val="single" w:color="000000" w:sz="6" w:space="0"/>
              <w:left w:val="single" w:color="000000" w:sz="6" w:space="0"/>
              <w:bottom w:val="single" w:color="000000" w:sz="6" w:space="0"/>
              <w:right w:val="single" w:color="000000" w:sz="6" w:space="0"/>
            </w:tcBorders>
            <w:vAlign w:val="center"/>
          </w:tcPr>
          <w:p>
            <w:pPr>
              <w:pStyle w:val="21"/>
              <w:kinsoku w:val="0"/>
              <w:overflowPunct w:val="0"/>
              <w:autoSpaceDE w:val="0"/>
              <w:autoSpaceDN w:val="0"/>
              <w:spacing w:line="320" w:lineRule="exact"/>
              <w:rPr>
                <w:rFonts w:hAnsi="宋体" w:cs="微软雅黑"/>
                <w:bCs/>
                <w:sz w:val="21"/>
                <w:szCs w:val="21"/>
              </w:rPr>
            </w:pPr>
            <w:r>
              <w:rPr>
                <w:rFonts w:hint="eastAsia" w:hAnsi="宋体"/>
                <w:sz w:val="21"/>
                <w:szCs w:val="21"/>
              </w:rPr>
              <w:t>长葛市政府采购供应商信用承诺函</w:t>
            </w:r>
          </w:p>
        </w:tc>
        <w:tc>
          <w:tcPr>
            <w:tcW w:w="1560" w:type="dxa"/>
            <w:tcBorders>
              <w:top w:val="single" w:color="000000" w:sz="6" w:space="0"/>
              <w:left w:val="single" w:color="000000" w:sz="6" w:space="0"/>
              <w:bottom w:val="single" w:color="000000" w:sz="6" w:space="0"/>
              <w:right w:val="single" w:color="000000" w:sz="6" w:space="0"/>
            </w:tcBorders>
            <w:vAlign w:val="center"/>
          </w:tcPr>
          <w:p>
            <w:pPr>
              <w:jc w:val="center"/>
            </w:pPr>
          </w:p>
        </w:tc>
        <w:tc>
          <w:tcPr>
            <w:tcW w:w="1561"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rPr>
            </w:pPr>
          </w:p>
        </w:tc>
        <w:tc>
          <w:tcPr>
            <w:tcW w:w="201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cs="宋体"/>
                <w:bCs/>
                <w:lang w:val="zh-CN"/>
              </w:rPr>
            </w:pPr>
            <w:r>
              <w:rPr>
                <w:rFonts w:hint="eastAsia" w:ascii="宋体" w:hAnsi="宋体" w:cs="宋体"/>
                <w:bCs/>
                <w:lang w:val="zh-CN"/>
              </w:rPr>
              <w:t>8</w:t>
            </w:r>
          </w:p>
        </w:tc>
        <w:tc>
          <w:tcPr>
            <w:tcW w:w="3753" w:type="dxa"/>
            <w:tcBorders>
              <w:top w:val="single" w:color="000000" w:sz="6" w:space="0"/>
              <w:left w:val="single" w:color="000000" w:sz="6" w:space="0"/>
              <w:bottom w:val="single" w:color="000000" w:sz="6" w:space="0"/>
              <w:right w:val="single" w:color="000000" w:sz="6" w:space="0"/>
            </w:tcBorders>
            <w:vAlign w:val="center"/>
          </w:tcPr>
          <w:p>
            <w:pPr>
              <w:pStyle w:val="21"/>
              <w:kinsoku w:val="0"/>
              <w:overflowPunct w:val="0"/>
              <w:autoSpaceDE w:val="0"/>
              <w:autoSpaceDN w:val="0"/>
              <w:spacing w:line="320" w:lineRule="exact"/>
              <w:rPr>
                <w:rFonts w:ascii="宋体" w:hAnsi="宋体" w:cs="宋体"/>
                <w:bCs/>
                <w:sz w:val="21"/>
                <w:szCs w:val="21"/>
                <w:lang w:val="zh-CN"/>
              </w:rPr>
            </w:pPr>
            <w:r>
              <w:rPr>
                <w:rFonts w:hint="eastAsia" w:ascii="宋体" w:hAnsi="宋体" w:cs="宋体"/>
                <w:bCs/>
                <w:sz w:val="21"/>
                <w:szCs w:val="21"/>
                <w:lang w:val="zh-CN"/>
              </w:rPr>
              <w:t>联合体协议</w:t>
            </w:r>
          </w:p>
        </w:tc>
        <w:tc>
          <w:tcPr>
            <w:tcW w:w="1560" w:type="dxa"/>
            <w:tcBorders>
              <w:top w:val="single" w:color="000000" w:sz="6" w:space="0"/>
              <w:left w:val="single" w:color="000000" w:sz="6" w:space="0"/>
              <w:bottom w:val="single" w:color="000000" w:sz="6" w:space="0"/>
              <w:right w:val="single" w:color="000000" w:sz="6" w:space="0"/>
            </w:tcBorders>
            <w:vAlign w:val="center"/>
          </w:tcPr>
          <w:p>
            <w:pPr>
              <w:jc w:val="center"/>
            </w:pPr>
          </w:p>
        </w:tc>
        <w:tc>
          <w:tcPr>
            <w:tcW w:w="1561"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rPr>
            </w:pPr>
          </w:p>
        </w:tc>
        <w:tc>
          <w:tcPr>
            <w:tcW w:w="201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cs="宋体"/>
                <w:bCs/>
                <w:lang w:val="zh-CN"/>
              </w:rPr>
            </w:pPr>
            <w:r>
              <w:rPr>
                <w:rFonts w:hint="eastAsia" w:ascii="宋体" w:hAnsi="宋体" w:cs="宋体"/>
                <w:bCs/>
                <w:lang w:val="zh-CN"/>
              </w:rPr>
              <w:t>9</w:t>
            </w:r>
          </w:p>
        </w:tc>
        <w:tc>
          <w:tcPr>
            <w:tcW w:w="3753" w:type="dxa"/>
            <w:tcBorders>
              <w:top w:val="single" w:color="000000" w:sz="6" w:space="0"/>
              <w:left w:val="single" w:color="000000" w:sz="6" w:space="0"/>
              <w:bottom w:val="single" w:color="000000" w:sz="6" w:space="0"/>
              <w:right w:val="single" w:color="000000" w:sz="6" w:space="0"/>
            </w:tcBorders>
            <w:vAlign w:val="center"/>
          </w:tcPr>
          <w:p>
            <w:pPr>
              <w:pStyle w:val="21"/>
              <w:kinsoku w:val="0"/>
              <w:overflowPunct w:val="0"/>
              <w:autoSpaceDE w:val="0"/>
              <w:autoSpaceDN w:val="0"/>
              <w:spacing w:line="320" w:lineRule="exact"/>
              <w:rPr>
                <w:rFonts w:ascii="宋体" w:hAnsi="宋体" w:cs="宋体"/>
                <w:bCs/>
                <w:sz w:val="21"/>
                <w:szCs w:val="21"/>
                <w:lang w:val="zh-CN"/>
              </w:rPr>
            </w:pPr>
            <w:r>
              <w:rPr>
                <w:rFonts w:hint="eastAsia" w:ascii="宋体" w:hAnsi="宋体" w:cs="宋体"/>
                <w:bCs/>
                <w:sz w:val="21"/>
                <w:szCs w:val="21"/>
                <w:lang w:val="zh-CN"/>
              </w:rPr>
              <w:t>供应商与参加本项目响应的其他供应商之间，单位负责人不为同一人并且不存在直接控股、管理关系承诺函</w:t>
            </w:r>
          </w:p>
        </w:tc>
        <w:tc>
          <w:tcPr>
            <w:tcW w:w="1560" w:type="dxa"/>
            <w:tcBorders>
              <w:top w:val="single" w:color="000000" w:sz="6" w:space="0"/>
              <w:left w:val="single" w:color="000000" w:sz="6" w:space="0"/>
              <w:bottom w:val="single" w:color="000000" w:sz="6" w:space="0"/>
              <w:right w:val="single" w:color="000000" w:sz="6" w:space="0"/>
            </w:tcBorders>
            <w:vAlign w:val="center"/>
          </w:tcPr>
          <w:p>
            <w:pPr>
              <w:jc w:val="center"/>
            </w:pPr>
          </w:p>
        </w:tc>
        <w:tc>
          <w:tcPr>
            <w:tcW w:w="1561"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rPr>
            </w:pPr>
          </w:p>
        </w:tc>
        <w:tc>
          <w:tcPr>
            <w:tcW w:w="201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cs="宋体"/>
                <w:bCs/>
                <w:lang w:val="zh-CN"/>
              </w:rPr>
            </w:pPr>
            <w:r>
              <w:rPr>
                <w:rFonts w:hint="eastAsia" w:ascii="宋体" w:hAnsi="宋体" w:cs="宋体"/>
                <w:bCs/>
                <w:lang w:val="zh-CN"/>
              </w:rPr>
              <w:t>10</w:t>
            </w:r>
          </w:p>
        </w:tc>
        <w:tc>
          <w:tcPr>
            <w:tcW w:w="3753" w:type="dxa"/>
            <w:tcBorders>
              <w:top w:val="single" w:color="000000" w:sz="6" w:space="0"/>
              <w:left w:val="single" w:color="000000" w:sz="6" w:space="0"/>
              <w:bottom w:val="single" w:color="000000" w:sz="6" w:space="0"/>
              <w:right w:val="single" w:color="000000" w:sz="6" w:space="0"/>
            </w:tcBorders>
            <w:vAlign w:val="center"/>
          </w:tcPr>
          <w:p>
            <w:pPr>
              <w:pStyle w:val="21"/>
              <w:kinsoku w:val="0"/>
              <w:overflowPunct w:val="0"/>
              <w:autoSpaceDE w:val="0"/>
              <w:autoSpaceDN w:val="0"/>
              <w:spacing w:line="320" w:lineRule="exact"/>
              <w:rPr>
                <w:rFonts w:ascii="宋体" w:hAnsi="宋体" w:cs="宋体"/>
                <w:bCs/>
                <w:sz w:val="21"/>
                <w:szCs w:val="21"/>
                <w:lang w:val="zh-CN"/>
              </w:rPr>
            </w:pPr>
            <w:r>
              <w:rPr>
                <w:rFonts w:hint="eastAsia" w:ascii="宋体" w:hAnsi="宋体" w:cs="仿宋_GB2312"/>
                <w:sz w:val="21"/>
                <w:szCs w:val="21"/>
                <w:lang w:val="zh-CN"/>
              </w:rPr>
              <w:t>供应商未为本项目提供整体设计、规范编制或者项目管理、监理、检测等服务承诺函</w:t>
            </w:r>
          </w:p>
        </w:tc>
        <w:tc>
          <w:tcPr>
            <w:tcW w:w="1560" w:type="dxa"/>
            <w:tcBorders>
              <w:top w:val="single" w:color="000000" w:sz="6" w:space="0"/>
              <w:left w:val="single" w:color="000000" w:sz="6" w:space="0"/>
              <w:bottom w:val="single" w:color="000000" w:sz="6" w:space="0"/>
              <w:right w:val="single" w:color="000000" w:sz="6" w:space="0"/>
            </w:tcBorders>
            <w:vAlign w:val="center"/>
          </w:tcPr>
          <w:p>
            <w:pPr>
              <w:jc w:val="center"/>
            </w:pPr>
          </w:p>
        </w:tc>
        <w:tc>
          <w:tcPr>
            <w:tcW w:w="1561"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rPr>
            </w:pPr>
          </w:p>
        </w:tc>
        <w:tc>
          <w:tcPr>
            <w:tcW w:w="201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double" w:color="auto" w:sz="4"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11</w:t>
            </w:r>
          </w:p>
        </w:tc>
        <w:tc>
          <w:tcPr>
            <w:tcW w:w="3753" w:type="dxa"/>
            <w:tcBorders>
              <w:top w:val="double" w:color="auto" w:sz="4" w:space="0"/>
              <w:left w:val="single" w:color="000000" w:sz="6" w:space="0"/>
              <w:bottom w:val="single" w:color="000000" w:sz="6" w:space="0"/>
              <w:right w:val="single" w:color="000000" w:sz="6" w:space="0"/>
            </w:tcBorders>
            <w:vAlign w:val="center"/>
          </w:tcPr>
          <w:p>
            <w:pPr>
              <w:pStyle w:val="21"/>
              <w:kinsoku w:val="0"/>
              <w:overflowPunct w:val="0"/>
              <w:autoSpaceDE w:val="0"/>
              <w:autoSpaceDN w:val="0"/>
              <w:spacing w:line="320" w:lineRule="exact"/>
              <w:rPr>
                <w:rFonts w:hAnsi="宋体" w:cs="微软雅黑"/>
                <w:bCs/>
                <w:sz w:val="21"/>
                <w:szCs w:val="21"/>
              </w:rPr>
            </w:pPr>
            <w:r>
              <w:rPr>
                <w:rFonts w:hint="eastAsia" w:hAnsi="宋体" w:cs="微软雅黑"/>
                <w:bCs/>
                <w:sz w:val="21"/>
                <w:szCs w:val="21"/>
              </w:rPr>
              <w:t>投标分项报价表</w:t>
            </w:r>
          </w:p>
        </w:tc>
        <w:tc>
          <w:tcPr>
            <w:tcW w:w="1560" w:type="dxa"/>
            <w:tcBorders>
              <w:top w:val="double" w:color="auto" w:sz="4" w:space="0"/>
              <w:left w:val="single" w:color="000000" w:sz="6" w:space="0"/>
              <w:bottom w:val="single" w:color="000000" w:sz="6" w:space="0"/>
              <w:right w:val="single" w:color="000000" w:sz="6" w:space="0"/>
            </w:tcBorders>
            <w:vAlign w:val="center"/>
          </w:tcPr>
          <w:p>
            <w:pPr>
              <w:jc w:val="center"/>
            </w:pPr>
          </w:p>
        </w:tc>
        <w:tc>
          <w:tcPr>
            <w:tcW w:w="1561" w:type="dxa"/>
            <w:tcBorders>
              <w:top w:val="double" w:color="auto" w:sz="4"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rPr>
            </w:pPr>
          </w:p>
        </w:tc>
        <w:tc>
          <w:tcPr>
            <w:tcW w:w="2019" w:type="dxa"/>
            <w:tcBorders>
              <w:top w:val="double" w:color="auto" w:sz="4"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12</w:t>
            </w:r>
          </w:p>
        </w:tc>
        <w:tc>
          <w:tcPr>
            <w:tcW w:w="3753" w:type="dxa"/>
            <w:tcBorders>
              <w:top w:val="single" w:color="000000" w:sz="6" w:space="0"/>
              <w:left w:val="single" w:color="000000" w:sz="6" w:space="0"/>
              <w:bottom w:val="single" w:color="000000" w:sz="6" w:space="0"/>
              <w:right w:val="single" w:color="000000" w:sz="6" w:space="0"/>
            </w:tcBorders>
            <w:vAlign w:val="center"/>
          </w:tcPr>
          <w:p>
            <w:pPr>
              <w:pStyle w:val="21"/>
              <w:kinsoku w:val="0"/>
              <w:overflowPunct w:val="0"/>
              <w:autoSpaceDE w:val="0"/>
              <w:autoSpaceDN w:val="0"/>
              <w:spacing w:line="320" w:lineRule="exact"/>
              <w:rPr>
                <w:rFonts w:hAnsi="宋体" w:cs="微软雅黑"/>
                <w:bCs/>
                <w:sz w:val="21"/>
                <w:szCs w:val="21"/>
              </w:rPr>
            </w:pPr>
            <w:r>
              <w:rPr>
                <w:rFonts w:hint="eastAsia" w:hAnsi="宋体" w:cs="微软雅黑"/>
                <w:bCs/>
                <w:sz w:val="21"/>
                <w:szCs w:val="21"/>
              </w:rPr>
              <w:t>技术方案（实施方案）</w:t>
            </w:r>
          </w:p>
        </w:tc>
        <w:tc>
          <w:tcPr>
            <w:tcW w:w="1560" w:type="dxa"/>
            <w:tcBorders>
              <w:top w:val="single" w:color="000000" w:sz="6" w:space="0"/>
              <w:left w:val="single" w:color="000000" w:sz="6" w:space="0"/>
              <w:bottom w:val="single" w:color="000000" w:sz="6" w:space="0"/>
              <w:right w:val="single" w:color="000000" w:sz="6" w:space="0"/>
            </w:tcBorders>
            <w:vAlign w:val="center"/>
          </w:tcPr>
          <w:p>
            <w:pPr>
              <w:jc w:val="center"/>
            </w:pPr>
          </w:p>
        </w:tc>
        <w:tc>
          <w:tcPr>
            <w:tcW w:w="1561"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rPr>
            </w:pPr>
          </w:p>
        </w:tc>
        <w:tc>
          <w:tcPr>
            <w:tcW w:w="201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13</w:t>
            </w:r>
          </w:p>
        </w:tc>
        <w:tc>
          <w:tcPr>
            <w:tcW w:w="3753" w:type="dxa"/>
            <w:tcBorders>
              <w:top w:val="single" w:color="000000" w:sz="6" w:space="0"/>
              <w:left w:val="single" w:color="000000" w:sz="6" w:space="0"/>
              <w:bottom w:val="single" w:color="000000" w:sz="6" w:space="0"/>
              <w:right w:val="single" w:color="000000" w:sz="6" w:space="0"/>
            </w:tcBorders>
            <w:vAlign w:val="center"/>
          </w:tcPr>
          <w:p>
            <w:pPr>
              <w:pStyle w:val="21"/>
              <w:kinsoku w:val="0"/>
              <w:overflowPunct w:val="0"/>
              <w:autoSpaceDE w:val="0"/>
              <w:autoSpaceDN w:val="0"/>
              <w:spacing w:line="320" w:lineRule="exact"/>
              <w:rPr>
                <w:rFonts w:hAnsi="宋体" w:cs="微软雅黑"/>
                <w:bCs/>
                <w:sz w:val="21"/>
                <w:szCs w:val="21"/>
              </w:rPr>
            </w:pPr>
            <w:r>
              <w:rPr>
                <w:rFonts w:hint="eastAsia" w:hAnsi="宋体" w:cs="微软雅黑"/>
                <w:bCs/>
                <w:sz w:val="21"/>
                <w:szCs w:val="21"/>
              </w:rPr>
              <w:t>服务方案</w:t>
            </w:r>
          </w:p>
        </w:tc>
        <w:tc>
          <w:tcPr>
            <w:tcW w:w="1560" w:type="dxa"/>
            <w:tcBorders>
              <w:top w:val="single" w:color="000000" w:sz="6" w:space="0"/>
              <w:left w:val="single" w:color="000000" w:sz="6" w:space="0"/>
              <w:bottom w:val="single" w:color="000000" w:sz="6" w:space="0"/>
              <w:right w:val="single" w:color="000000" w:sz="6" w:space="0"/>
            </w:tcBorders>
            <w:vAlign w:val="center"/>
          </w:tcPr>
          <w:p>
            <w:pPr>
              <w:jc w:val="center"/>
            </w:pPr>
          </w:p>
        </w:tc>
        <w:tc>
          <w:tcPr>
            <w:tcW w:w="1561" w:type="dxa"/>
            <w:tcBorders>
              <w:top w:val="single" w:color="auto" w:sz="4"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rPr>
            </w:pPr>
          </w:p>
        </w:tc>
        <w:tc>
          <w:tcPr>
            <w:tcW w:w="2019" w:type="dxa"/>
            <w:tcBorders>
              <w:top w:val="single" w:color="auto" w:sz="4"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14</w:t>
            </w:r>
          </w:p>
        </w:tc>
        <w:tc>
          <w:tcPr>
            <w:tcW w:w="3753" w:type="dxa"/>
            <w:tcBorders>
              <w:top w:val="single" w:color="000000" w:sz="6" w:space="0"/>
              <w:left w:val="single" w:color="000000" w:sz="6" w:space="0"/>
              <w:bottom w:val="single" w:color="000000" w:sz="6" w:space="0"/>
              <w:right w:val="single" w:color="000000" w:sz="6" w:space="0"/>
            </w:tcBorders>
            <w:vAlign w:val="center"/>
          </w:tcPr>
          <w:p>
            <w:pPr>
              <w:pStyle w:val="21"/>
              <w:kinsoku w:val="0"/>
              <w:overflowPunct w:val="0"/>
              <w:autoSpaceDE w:val="0"/>
              <w:autoSpaceDN w:val="0"/>
              <w:spacing w:line="320" w:lineRule="exact"/>
              <w:rPr>
                <w:rFonts w:hAnsi="宋体" w:cs="微软雅黑"/>
                <w:bCs/>
                <w:sz w:val="21"/>
                <w:szCs w:val="21"/>
              </w:rPr>
            </w:pPr>
            <w:r>
              <w:rPr>
                <w:rFonts w:hint="eastAsia" w:hAnsi="宋体" w:cs="微软雅黑"/>
                <w:bCs/>
                <w:sz w:val="21"/>
                <w:szCs w:val="21"/>
              </w:rPr>
              <w:t>业绩情况表</w:t>
            </w:r>
          </w:p>
        </w:tc>
        <w:tc>
          <w:tcPr>
            <w:tcW w:w="1560" w:type="dxa"/>
            <w:tcBorders>
              <w:top w:val="single" w:color="000000" w:sz="6" w:space="0"/>
              <w:left w:val="single" w:color="000000" w:sz="6" w:space="0"/>
              <w:bottom w:val="single" w:color="000000" w:sz="6" w:space="0"/>
              <w:right w:val="single" w:color="000000" w:sz="6" w:space="0"/>
            </w:tcBorders>
            <w:vAlign w:val="center"/>
          </w:tcPr>
          <w:p>
            <w:pPr>
              <w:jc w:val="center"/>
            </w:pPr>
          </w:p>
        </w:tc>
        <w:tc>
          <w:tcPr>
            <w:tcW w:w="1561"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rPr>
            </w:pPr>
          </w:p>
        </w:tc>
        <w:tc>
          <w:tcPr>
            <w:tcW w:w="201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15</w:t>
            </w:r>
          </w:p>
        </w:tc>
        <w:tc>
          <w:tcPr>
            <w:tcW w:w="3753" w:type="dxa"/>
            <w:tcBorders>
              <w:top w:val="single" w:color="000000" w:sz="6" w:space="0"/>
              <w:left w:val="single" w:color="000000" w:sz="6" w:space="0"/>
              <w:bottom w:val="single" w:color="000000" w:sz="6" w:space="0"/>
              <w:right w:val="single" w:color="000000" w:sz="6" w:space="0"/>
            </w:tcBorders>
            <w:vAlign w:val="center"/>
          </w:tcPr>
          <w:p>
            <w:pPr>
              <w:pStyle w:val="21"/>
              <w:kinsoku w:val="0"/>
              <w:overflowPunct w:val="0"/>
              <w:autoSpaceDE w:val="0"/>
              <w:autoSpaceDN w:val="0"/>
              <w:spacing w:line="320" w:lineRule="exact"/>
              <w:rPr>
                <w:rFonts w:hAnsi="宋体" w:cs="微软雅黑"/>
                <w:bCs/>
                <w:sz w:val="21"/>
                <w:szCs w:val="21"/>
              </w:rPr>
            </w:pPr>
            <w:r>
              <w:rPr>
                <w:rFonts w:hint="eastAsia" w:hAnsi="宋体" w:cs="微软雅黑"/>
                <w:bCs/>
                <w:sz w:val="21"/>
                <w:szCs w:val="21"/>
              </w:rPr>
              <w:t>政府强制采购节能产品品目清单情况</w:t>
            </w:r>
          </w:p>
        </w:tc>
        <w:tc>
          <w:tcPr>
            <w:tcW w:w="1560" w:type="dxa"/>
            <w:tcBorders>
              <w:top w:val="single" w:color="000000" w:sz="6" w:space="0"/>
              <w:left w:val="single" w:color="000000" w:sz="6" w:space="0"/>
              <w:bottom w:val="single" w:color="000000" w:sz="6" w:space="0"/>
              <w:right w:val="single" w:color="000000" w:sz="6" w:space="0"/>
            </w:tcBorders>
            <w:vAlign w:val="center"/>
          </w:tcPr>
          <w:p>
            <w:pPr>
              <w:jc w:val="center"/>
            </w:pPr>
          </w:p>
        </w:tc>
        <w:tc>
          <w:tcPr>
            <w:tcW w:w="1561"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rPr>
            </w:pPr>
          </w:p>
        </w:tc>
        <w:tc>
          <w:tcPr>
            <w:tcW w:w="201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16</w:t>
            </w:r>
          </w:p>
        </w:tc>
        <w:tc>
          <w:tcPr>
            <w:tcW w:w="3753" w:type="dxa"/>
            <w:tcBorders>
              <w:top w:val="single" w:color="000000" w:sz="6" w:space="0"/>
              <w:left w:val="single" w:color="000000" w:sz="6" w:space="0"/>
              <w:bottom w:val="single" w:color="000000" w:sz="6" w:space="0"/>
              <w:right w:val="single" w:color="000000" w:sz="6" w:space="0"/>
            </w:tcBorders>
            <w:vAlign w:val="center"/>
          </w:tcPr>
          <w:p>
            <w:pPr>
              <w:pStyle w:val="21"/>
              <w:kinsoku w:val="0"/>
              <w:overflowPunct w:val="0"/>
              <w:autoSpaceDE w:val="0"/>
              <w:autoSpaceDN w:val="0"/>
              <w:spacing w:line="320" w:lineRule="exact"/>
              <w:rPr>
                <w:rFonts w:hAnsi="宋体" w:cs="微软雅黑"/>
                <w:bCs/>
                <w:sz w:val="21"/>
                <w:szCs w:val="21"/>
              </w:rPr>
            </w:pPr>
            <w:r>
              <w:rPr>
                <w:rFonts w:hint="eastAsia" w:hAnsi="宋体" w:cs="微软雅黑"/>
                <w:bCs/>
                <w:sz w:val="21"/>
                <w:szCs w:val="21"/>
              </w:rPr>
              <w:t>优先采购节能产品政府采购品目清单情况</w:t>
            </w:r>
          </w:p>
        </w:tc>
        <w:tc>
          <w:tcPr>
            <w:tcW w:w="1560" w:type="dxa"/>
            <w:tcBorders>
              <w:top w:val="single" w:color="000000" w:sz="6" w:space="0"/>
              <w:left w:val="single" w:color="000000" w:sz="6" w:space="0"/>
              <w:bottom w:val="single" w:color="000000" w:sz="6" w:space="0"/>
              <w:right w:val="single" w:color="000000" w:sz="6" w:space="0"/>
            </w:tcBorders>
            <w:vAlign w:val="center"/>
          </w:tcPr>
          <w:p>
            <w:pPr>
              <w:jc w:val="center"/>
            </w:pPr>
          </w:p>
        </w:tc>
        <w:tc>
          <w:tcPr>
            <w:tcW w:w="1561"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rPr>
            </w:pPr>
          </w:p>
        </w:tc>
        <w:tc>
          <w:tcPr>
            <w:tcW w:w="201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17</w:t>
            </w:r>
          </w:p>
        </w:tc>
        <w:tc>
          <w:tcPr>
            <w:tcW w:w="3753" w:type="dxa"/>
            <w:tcBorders>
              <w:top w:val="single" w:color="000000" w:sz="6" w:space="0"/>
              <w:left w:val="single" w:color="000000" w:sz="6" w:space="0"/>
              <w:bottom w:val="single" w:color="000000" w:sz="6" w:space="0"/>
              <w:right w:val="single" w:color="000000" w:sz="6" w:space="0"/>
            </w:tcBorders>
            <w:vAlign w:val="center"/>
          </w:tcPr>
          <w:p>
            <w:pPr>
              <w:pStyle w:val="21"/>
              <w:kinsoku w:val="0"/>
              <w:overflowPunct w:val="0"/>
              <w:autoSpaceDE w:val="0"/>
              <w:autoSpaceDN w:val="0"/>
              <w:spacing w:line="320" w:lineRule="exact"/>
              <w:rPr>
                <w:rFonts w:hAnsi="宋体" w:cs="微软雅黑"/>
                <w:bCs/>
                <w:sz w:val="21"/>
                <w:szCs w:val="21"/>
              </w:rPr>
            </w:pPr>
            <w:r>
              <w:rPr>
                <w:rFonts w:hint="eastAsia" w:ascii="宋体" w:hAnsi="宋体"/>
                <w:sz w:val="21"/>
                <w:szCs w:val="21"/>
              </w:rPr>
              <w:t>优先采购环境标志产品政府采购品目清单情况</w:t>
            </w:r>
          </w:p>
        </w:tc>
        <w:tc>
          <w:tcPr>
            <w:tcW w:w="1560" w:type="dxa"/>
            <w:tcBorders>
              <w:top w:val="single" w:color="000000" w:sz="6" w:space="0"/>
              <w:left w:val="single" w:color="000000" w:sz="6" w:space="0"/>
              <w:bottom w:val="single" w:color="000000" w:sz="6" w:space="0"/>
              <w:right w:val="single" w:color="000000" w:sz="6" w:space="0"/>
            </w:tcBorders>
            <w:vAlign w:val="center"/>
          </w:tcPr>
          <w:p>
            <w:pPr>
              <w:jc w:val="center"/>
            </w:pPr>
          </w:p>
        </w:tc>
        <w:tc>
          <w:tcPr>
            <w:tcW w:w="1561"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rPr>
            </w:pPr>
          </w:p>
        </w:tc>
        <w:tc>
          <w:tcPr>
            <w:tcW w:w="201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18</w:t>
            </w:r>
          </w:p>
        </w:tc>
        <w:tc>
          <w:tcPr>
            <w:tcW w:w="3753" w:type="dxa"/>
            <w:tcBorders>
              <w:top w:val="single" w:color="000000" w:sz="6" w:space="0"/>
              <w:left w:val="single" w:color="000000" w:sz="6" w:space="0"/>
              <w:bottom w:val="single" w:color="000000" w:sz="6" w:space="0"/>
              <w:right w:val="single" w:color="000000" w:sz="6" w:space="0"/>
            </w:tcBorders>
            <w:vAlign w:val="center"/>
          </w:tcPr>
          <w:p>
            <w:pPr>
              <w:pStyle w:val="21"/>
              <w:kinsoku w:val="0"/>
              <w:overflowPunct w:val="0"/>
              <w:autoSpaceDE w:val="0"/>
              <w:autoSpaceDN w:val="0"/>
              <w:spacing w:line="320" w:lineRule="exact"/>
              <w:rPr>
                <w:rFonts w:hAnsi="宋体" w:cs="微软雅黑"/>
                <w:bCs/>
                <w:sz w:val="21"/>
                <w:szCs w:val="21"/>
              </w:rPr>
            </w:pPr>
            <w:r>
              <w:rPr>
                <w:rFonts w:hint="eastAsia" w:hAnsi="宋体" w:cs="微软雅黑"/>
                <w:bCs/>
                <w:sz w:val="21"/>
                <w:szCs w:val="21"/>
              </w:rPr>
              <w:t>中小企业声明函</w:t>
            </w:r>
          </w:p>
        </w:tc>
        <w:tc>
          <w:tcPr>
            <w:tcW w:w="1560" w:type="dxa"/>
            <w:tcBorders>
              <w:top w:val="single" w:color="000000" w:sz="6" w:space="0"/>
              <w:left w:val="single" w:color="000000" w:sz="6" w:space="0"/>
              <w:bottom w:val="single" w:color="000000" w:sz="6" w:space="0"/>
              <w:right w:val="single" w:color="000000" w:sz="6" w:space="0"/>
            </w:tcBorders>
            <w:vAlign w:val="center"/>
          </w:tcPr>
          <w:p>
            <w:pPr>
              <w:jc w:val="center"/>
            </w:pPr>
          </w:p>
        </w:tc>
        <w:tc>
          <w:tcPr>
            <w:tcW w:w="1561"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rPr>
            </w:pPr>
          </w:p>
        </w:tc>
        <w:tc>
          <w:tcPr>
            <w:tcW w:w="201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19</w:t>
            </w:r>
          </w:p>
        </w:tc>
        <w:tc>
          <w:tcPr>
            <w:tcW w:w="3753" w:type="dxa"/>
            <w:tcBorders>
              <w:top w:val="single" w:color="000000" w:sz="6" w:space="0"/>
              <w:left w:val="single" w:color="000000" w:sz="6" w:space="0"/>
              <w:bottom w:val="single" w:color="000000" w:sz="6" w:space="0"/>
              <w:right w:val="single" w:color="000000" w:sz="6" w:space="0"/>
            </w:tcBorders>
            <w:vAlign w:val="center"/>
          </w:tcPr>
          <w:p>
            <w:pPr>
              <w:pStyle w:val="21"/>
              <w:kinsoku w:val="0"/>
              <w:overflowPunct w:val="0"/>
              <w:autoSpaceDE w:val="0"/>
              <w:autoSpaceDN w:val="0"/>
              <w:spacing w:line="320" w:lineRule="exact"/>
              <w:rPr>
                <w:rFonts w:hAnsi="宋体" w:cs="微软雅黑"/>
                <w:bCs/>
                <w:sz w:val="21"/>
                <w:szCs w:val="21"/>
              </w:rPr>
            </w:pPr>
            <w:r>
              <w:rPr>
                <w:rFonts w:hint="eastAsia" w:ascii="宋体" w:hAnsi="宋体" w:cs="仿宋_GB2312"/>
                <w:sz w:val="21"/>
                <w:szCs w:val="21"/>
                <w:lang w:val="zh-CN"/>
              </w:rPr>
              <w:t>残疾人福利性单位声明函</w:t>
            </w:r>
          </w:p>
        </w:tc>
        <w:tc>
          <w:tcPr>
            <w:tcW w:w="1560" w:type="dxa"/>
            <w:tcBorders>
              <w:top w:val="single" w:color="000000" w:sz="6" w:space="0"/>
              <w:left w:val="single" w:color="000000" w:sz="6" w:space="0"/>
              <w:bottom w:val="single" w:color="000000" w:sz="6" w:space="0"/>
              <w:right w:val="single" w:color="000000" w:sz="6" w:space="0"/>
            </w:tcBorders>
            <w:vAlign w:val="center"/>
          </w:tcPr>
          <w:p>
            <w:pPr>
              <w:jc w:val="center"/>
            </w:pPr>
          </w:p>
        </w:tc>
        <w:tc>
          <w:tcPr>
            <w:tcW w:w="1561"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rPr>
            </w:pPr>
          </w:p>
        </w:tc>
        <w:tc>
          <w:tcPr>
            <w:tcW w:w="201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20</w:t>
            </w:r>
          </w:p>
        </w:tc>
        <w:tc>
          <w:tcPr>
            <w:tcW w:w="3753" w:type="dxa"/>
            <w:tcBorders>
              <w:top w:val="single" w:color="000000" w:sz="6" w:space="0"/>
              <w:left w:val="single" w:color="000000" w:sz="6" w:space="0"/>
              <w:bottom w:val="single" w:color="000000" w:sz="6" w:space="0"/>
              <w:right w:val="single" w:color="000000" w:sz="6" w:space="0"/>
            </w:tcBorders>
            <w:vAlign w:val="center"/>
          </w:tcPr>
          <w:p>
            <w:pPr>
              <w:pStyle w:val="21"/>
              <w:kinsoku w:val="0"/>
              <w:overflowPunct w:val="0"/>
              <w:autoSpaceDE w:val="0"/>
              <w:autoSpaceDN w:val="0"/>
              <w:spacing w:line="320" w:lineRule="exact"/>
              <w:rPr>
                <w:rFonts w:hAnsi="宋体" w:cs="微软雅黑"/>
                <w:bCs/>
                <w:sz w:val="21"/>
                <w:szCs w:val="21"/>
              </w:rPr>
            </w:pPr>
            <w:r>
              <w:rPr>
                <w:rFonts w:hint="eastAsia" w:hAnsi="宋体" w:cs="微软雅黑"/>
                <w:bCs/>
                <w:sz w:val="21"/>
                <w:szCs w:val="21"/>
              </w:rPr>
              <w:t>监狱企业证明文件</w:t>
            </w:r>
          </w:p>
        </w:tc>
        <w:tc>
          <w:tcPr>
            <w:tcW w:w="1560" w:type="dxa"/>
            <w:tcBorders>
              <w:top w:val="single" w:color="000000" w:sz="6" w:space="0"/>
              <w:left w:val="single" w:color="000000" w:sz="6" w:space="0"/>
              <w:bottom w:val="single" w:color="000000" w:sz="6" w:space="0"/>
              <w:right w:val="single" w:color="000000" w:sz="6" w:space="0"/>
            </w:tcBorders>
            <w:vAlign w:val="center"/>
          </w:tcPr>
          <w:p>
            <w:pPr>
              <w:jc w:val="center"/>
            </w:pPr>
          </w:p>
        </w:tc>
        <w:tc>
          <w:tcPr>
            <w:tcW w:w="1561"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rPr>
            </w:pPr>
          </w:p>
        </w:tc>
        <w:tc>
          <w:tcPr>
            <w:tcW w:w="201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400" w:lineRule="exact"/>
              <w:jc w:val="center"/>
              <w:textAlignment w:val="baseline"/>
              <w:rPr>
                <w:rFonts w:ascii="宋体" w:hAnsi="宋体" w:cs="微软雅黑"/>
              </w:rPr>
            </w:pPr>
            <w:r>
              <w:rPr>
                <w:rFonts w:hint="eastAsia" w:ascii="宋体" w:hAnsi="宋体" w:cs="微软雅黑"/>
              </w:rPr>
              <w:t>21</w:t>
            </w:r>
          </w:p>
        </w:tc>
        <w:tc>
          <w:tcPr>
            <w:tcW w:w="3753" w:type="dxa"/>
            <w:tcBorders>
              <w:top w:val="single" w:color="000000" w:sz="6" w:space="0"/>
              <w:left w:val="single" w:color="000000" w:sz="6" w:space="0"/>
              <w:bottom w:val="single" w:color="000000" w:sz="6" w:space="0"/>
              <w:right w:val="single" w:color="000000" w:sz="6" w:space="0"/>
            </w:tcBorders>
            <w:vAlign w:val="center"/>
          </w:tcPr>
          <w:p>
            <w:pPr>
              <w:pStyle w:val="21"/>
              <w:kinsoku w:val="0"/>
              <w:overflowPunct w:val="0"/>
              <w:autoSpaceDE w:val="0"/>
              <w:autoSpaceDN w:val="0"/>
              <w:spacing w:line="320" w:lineRule="exact"/>
              <w:rPr>
                <w:rFonts w:hAnsi="宋体" w:cs="微软雅黑"/>
                <w:bCs/>
                <w:sz w:val="21"/>
                <w:szCs w:val="21"/>
              </w:rPr>
            </w:pPr>
            <w:r>
              <w:rPr>
                <w:rFonts w:hint="eastAsia" w:hAnsi="宋体" w:cs="微软雅黑"/>
                <w:bCs/>
                <w:sz w:val="21"/>
                <w:szCs w:val="21"/>
              </w:rPr>
              <w:t>其它资料</w:t>
            </w:r>
          </w:p>
        </w:tc>
        <w:tc>
          <w:tcPr>
            <w:tcW w:w="1560" w:type="dxa"/>
            <w:tcBorders>
              <w:top w:val="single" w:color="000000" w:sz="6" w:space="0"/>
              <w:left w:val="single" w:color="000000" w:sz="6" w:space="0"/>
              <w:bottom w:val="single" w:color="000000" w:sz="6" w:space="0"/>
              <w:right w:val="single" w:color="000000" w:sz="6" w:space="0"/>
            </w:tcBorders>
            <w:vAlign w:val="center"/>
          </w:tcPr>
          <w:p>
            <w:pPr>
              <w:jc w:val="center"/>
            </w:pPr>
          </w:p>
        </w:tc>
        <w:tc>
          <w:tcPr>
            <w:tcW w:w="1561"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rPr>
            </w:pPr>
          </w:p>
        </w:tc>
        <w:tc>
          <w:tcPr>
            <w:tcW w:w="201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rPr>
                <w:rFonts w:ascii="宋体" w:hAnsi="宋体" w:cs="微软雅黑"/>
              </w:rPr>
            </w:pPr>
          </w:p>
        </w:tc>
      </w:tr>
    </w:tbl>
    <w:p>
      <w:pPr>
        <w:pStyle w:val="21"/>
        <w:spacing w:line="360" w:lineRule="auto"/>
        <w:jc w:val="center"/>
        <w:rPr>
          <w:rFonts w:ascii="等线 Light" w:hAnsi="等线 Light" w:eastAsia="等线 Light"/>
          <w:snapToGrid w:val="0"/>
          <w:sz w:val="28"/>
          <w:szCs w:val="28"/>
        </w:rPr>
      </w:pPr>
      <w:r>
        <w:rPr>
          <w:rFonts w:hAnsi="宋体"/>
          <w:snapToGrid w:val="0"/>
          <w:sz w:val="28"/>
          <w:szCs w:val="28"/>
        </w:rPr>
        <w:br w:type="page"/>
      </w:r>
      <w:r>
        <w:rPr>
          <w:rFonts w:hint="eastAsia" w:hAnsi="宋体"/>
          <w:b/>
          <w:bCs/>
          <w:snapToGrid w:val="0"/>
          <w:sz w:val="28"/>
          <w:szCs w:val="28"/>
        </w:rPr>
        <w:t>二、报价一览表</w:t>
      </w:r>
    </w:p>
    <w:p>
      <w:pPr>
        <w:spacing w:before="50" w:afterLines="50" w:line="360" w:lineRule="auto"/>
        <w:contextualSpacing/>
        <w:jc w:val="left"/>
        <w:rPr>
          <w:rFonts w:ascii="等线" w:hAnsi="等线"/>
          <w:sz w:val="24"/>
          <w:szCs w:val="24"/>
        </w:rPr>
      </w:pPr>
      <w:r>
        <w:rPr>
          <w:rFonts w:hint="eastAsia" w:ascii="等线" w:hAnsi="等线"/>
          <w:sz w:val="24"/>
          <w:szCs w:val="24"/>
        </w:rPr>
        <w:t>项目编号：</w:t>
      </w:r>
    </w:p>
    <w:p>
      <w:pPr>
        <w:spacing w:line="360" w:lineRule="auto"/>
        <w:contextualSpacing/>
        <w:jc w:val="right"/>
        <w:rPr>
          <w:rFonts w:ascii="等线" w:hAnsi="等线"/>
          <w:sz w:val="24"/>
          <w:szCs w:val="24"/>
        </w:rPr>
      </w:pPr>
      <w:r>
        <w:rPr>
          <w:rFonts w:hint="eastAsia" w:ascii="等线" w:hAnsi="等线"/>
          <w:sz w:val="24"/>
          <w:szCs w:val="24"/>
        </w:rPr>
        <w:t xml:space="preserve">项目名称：                                          </w:t>
      </w:r>
      <w:r>
        <w:rPr>
          <w:rFonts w:hint="eastAsia" w:ascii="等线" w:hAnsi="等线" w:cs="Arial"/>
          <w:sz w:val="24"/>
          <w:szCs w:val="24"/>
        </w:rPr>
        <w:t>单位：元（人民币）</w:t>
      </w:r>
    </w:p>
    <w:tbl>
      <w:tblPr>
        <w:tblStyle w:val="30"/>
        <w:tblW w:w="939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98"/>
        <w:gridCol w:w="2552"/>
        <w:gridCol w:w="2851"/>
        <w:gridCol w:w="1773"/>
        <w:gridCol w:w="10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jc w:val="center"/>
        </w:trPr>
        <w:tc>
          <w:tcPr>
            <w:tcW w:w="1198"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等线" w:hAnsi="等线" w:cs="宋体"/>
                <w:b/>
                <w:sz w:val="24"/>
                <w:szCs w:val="24"/>
                <w:lang w:val="zh-CN"/>
              </w:rPr>
            </w:pPr>
            <w:r>
              <w:rPr>
                <w:rFonts w:hint="eastAsia" w:ascii="等线" w:hAnsi="等线" w:cs="宋体"/>
                <w:b/>
                <w:bCs/>
                <w:sz w:val="24"/>
                <w:szCs w:val="24"/>
              </w:rPr>
              <w:t>序号</w:t>
            </w:r>
          </w:p>
        </w:tc>
        <w:tc>
          <w:tcPr>
            <w:tcW w:w="2552"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等线" w:hAnsi="等线" w:cs="宋体"/>
                <w:b/>
                <w:sz w:val="24"/>
                <w:szCs w:val="24"/>
                <w:lang w:val="zh-CN"/>
              </w:rPr>
            </w:pPr>
            <w:r>
              <w:rPr>
                <w:rFonts w:hint="eastAsia" w:ascii="等线" w:hAnsi="等线" w:cs="宋体"/>
                <w:b/>
                <w:sz w:val="24"/>
                <w:szCs w:val="24"/>
                <w:lang w:val="zh-CN"/>
              </w:rPr>
              <w:t>供应商名称</w:t>
            </w:r>
          </w:p>
        </w:tc>
        <w:tc>
          <w:tcPr>
            <w:tcW w:w="2851"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等线" w:hAnsi="等线" w:cs="宋体"/>
                <w:b/>
                <w:sz w:val="24"/>
                <w:szCs w:val="24"/>
                <w:lang w:val="zh-CN"/>
              </w:rPr>
            </w:pPr>
            <w:r>
              <w:rPr>
                <w:rFonts w:hint="eastAsia" w:ascii="等线" w:hAnsi="等线" w:cs="宋体"/>
                <w:b/>
                <w:sz w:val="24"/>
                <w:szCs w:val="24"/>
                <w:lang w:val="zh-CN"/>
              </w:rPr>
              <w:t xml:space="preserve">  投标报价</w:t>
            </w:r>
          </w:p>
        </w:tc>
        <w:tc>
          <w:tcPr>
            <w:tcW w:w="1773"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等线" w:hAnsi="等线" w:cs="宋体"/>
                <w:b/>
                <w:sz w:val="24"/>
                <w:szCs w:val="24"/>
                <w:lang w:val="zh-CN"/>
              </w:rPr>
            </w:pPr>
            <w:r>
              <w:rPr>
                <w:rFonts w:hint="eastAsia" w:ascii="等线" w:hAnsi="等线" w:cs="宋体"/>
                <w:b/>
                <w:sz w:val="24"/>
                <w:szCs w:val="24"/>
                <w:lang w:val="zh-CN"/>
              </w:rPr>
              <w:t>交付时间</w:t>
            </w:r>
          </w:p>
        </w:tc>
        <w:tc>
          <w:tcPr>
            <w:tcW w:w="1022"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等线" w:hAnsi="等线" w:cs="宋体"/>
                <w:b/>
                <w:sz w:val="24"/>
                <w:szCs w:val="24"/>
                <w:lang w:val="zh-CN"/>
              </w:rPr>
            </w:pPr>
            <w:r>
              <w:rPr>
                <w:rFonts w:hint="eastAsia" w:ascii="等线" w:hAnsi="等线" w:cs="宋体"/>
                <w:b/>
                <w:sz w:val="24"/>
                <w:szCs w:val="24"/>
                <w:lang w:val="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jc w:val="center"/>
        </w:trPr>
        <w:tc>
          <w:tcPr>
            <w:tcW w:w="1198"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ind w:firstLine="240"/>
              <w:rPr>
                <w:rFonts w:ascii="等线" w:hAnsi="等线"/>
                <w:sz w:val="24"/>
                <w:szCs w:val="24"/>
              </w:rPr>
            </w:pPr>
          </w:p>
        </w:tc>
        <w:tc>
          <w:tcPr>
            <w:tcW w:w="25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等线" w:hAnsi="等线"/>
                <w:sz w:val="24"/>
                <w:szCs w:val="24"/>
              </w:rPr>
            </w:pPr>
          </w:p>
        </w:tc>
        <w:tc>
          <w:tcPr>
            <w:tcW w:w="28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等线" w:hAnsi="等线" w:cs="宋体"/>
                <w:sz w:val="24"/>
                <w:szCs w:val="24"/>
                <w:lang w:val="zh-CN"/>
              </w:rPr>
            </w:pPr>
            <w:r>
              <w:rPr>
                <w:rFonts w:hint="eastAsia" w:ascii="等线" w:hAnsi="等线" w:cs="宋体"/>
                <w:sz w:val="24"/>
                <w:szCs w:val="24"/>
                <w:lang w:val="zh-CN"/>
              </w:rPr>
              <w:t>大写：　</w:t>
            </w:r>
          </w:p>
          <w:p>
            <w:pPr>
              <w:autoSpaceDE w:val="0"/>
              <w:autoSpaceDN w:val="0"/>
              <w:adjustRightInd w:val="0"/>
              <w:spacing w:line="480" w:lineRule="exact"/>
              <w:rPr>
                <w:rFonts w:ascii="等线" w:hAnsi="等线" w:cs="宋体"/>
                <w:sz w:val="24"/>
                <w:szCs w:val="24"/>
                <w:lang w:val="zh-CN"/>
              </w:rPr>
            </w:pPr>
            <w:r>
              <w:rPr>
                <w:rFonts w:hint="eastAsia" w:ascii="等线" w:hAnsi="等线" w:cs="宋体"/>
                <w:sz w:val="24"/>
                <w:szCs w:val="24"/>
                <w:lang w:val="zh-CN"/>
              </w:rPr>
              <w:t>小写：</w:t>
            </w:r>
          </w:p>
        </w:tc>
        <w:tc>
          <w:tcPr>
            <w:tcW w:w="177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等线" w:hAnsi="等线" w:cs="宋体"/>
                <w:sz w:val="24"/>
                <w:szCs w:val="24"/>
                <w:lang w:val="zh-CN"/>
              </w:rPr>
            </w:pPr>
          </w:p>
        </w:tc>
        <w:tc>
          <w:tcPr>
            <w:tcW w:w="102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等线" w:hAnsi="等线" w:cs="宋体"/>
                <w:sz w:val="24"/>
                <w:szCs w:val="24"/>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jc w:val="center"/>
        </w:trPr>
        <w:tc>
          <w:tcPr>
            <w:tcW w:w="1198"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ind w:firstLine="240"/>
              <w:rPr>
                <w:rFonts w:ascii="等线" w:hAnsi="等线"/>
                <w:sz w:val="24"/>
                <w:szCs w:val="24"/>
              </w:rPr>
            </w:pPr>
            <w:r>
              <w:rPr>
                <w:rFonts w:hint="eastAsia" w:ascii="等线" w:hAnsi="等线"/>
                <w:sz w:val="24"/>
                <w:szCs w:val="24"/>
              </w:rPr>
              <w:t>...</w:t>
            </w:r>
          </w:p>
        </w:tc>
        <w:tc>
          <w:tcPr>
            <w:tcW w:w="25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等线" w:hAnsi="等线"/>
                <w:sz w:val="24"/>
                <w:szCs w:val="24"/>
              </w:rPr>
            </w:pPr>
          </w:p>
        </w:tc>
        <w:tc>
          <w:tcPr>
            <w:tcW w:w="28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等线" w:hAnsi="等线" w:cs="宋体"/>
                <w:sz w:val="24"/>
                <w:szCs w:val="24"/>
                <w:lang w:val="zh-CN"/>
              </w:rPr>
            </w:pPr>
          </w:p>
        </w:tc>
        <w:tc>
          <w:tcPr>
            <w:tcW w:w="177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等线" w:hAnsi="等线" w:cs="宋体"/>
                <w:sz w:val="24"/>
                <w:szCs w:val="24"/>
                <w:lang w:val="zh-CN"/>
              </w:rPr>
            </w:pPr>
          </w:p>
        </w:tc>
        <w:tc>
          <w:tcPr>
            <w:tcW w:w="102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等线" w:hAnsi="等线" w:cs="宋体"/>
                <w:sz w:val="24"/>
                <w:szCs w:val="24"/>
                <w:lang w:val="zh-CN"/>
              </w:rPr>
            </w:pPr>
          </w:p>
        </w:tc>
      </w:tr>
    </w:tbl>
    <w:p>
      <w:pPr>
        <w:autoSpaceDE w:val="0"/>
        <w:autoSpaceDN w:val="0"/>
        <w:adjustRightInd w:val="0"/>
        <w:spacing w:line="480" w:lineRule="auto"/>
        <w:rPr>
          <w:rFonts w:ascii="等线" w:hAnsi="等线" w:cs="宋体"/>
          <w:sz w:val="28"/>
          <w:szCs w:val="28"/>
          <w:lang w:val="zh-CN"/>
        </w:rPr>
      </w:pPr>
    </w:p>
    <w:p>
      <w:pPr>
        <w:autoSpaceDE w:val="0"/>
        <w:autoSpaceDN w:val="0"/>
        <w:adjustRightInd w:val="0"/>
        <w:spacing w:line="480" w:lineRule="auto"/>
        <w:rPr>
          <w:rFonts w:ascii="等线" w:hAnsi="等线" w:cs="宋体"/>
          <w:sz w:val="28"/>
          <w:szCs w:val="28"/>
          <w:lang w:val="zh-CN"/>
        </w:rPr>
      </w:pPr>
    </w:p>
    <w:p>
      <w:pPr>
        <w:autoSpaceDE w:val="0"/>
        <w:autoSpaceDN w:val="0"/>
        <w:adjustRightInd w:val="0"/>
        <w:spacing w:line="480" w:lineRule="auto"/>
        <w:rPr>
          <w:rFonts w:ascii="等线" w:hAnsi="等线" w:cs="宋体"/>
          <w:sz w:val="24"/>
          <w:szCs w:val="24"/>
          <w:lang w:val="zh-CN"/>
        </w:rPr>
      </w:pPr>
      <w:r>
        <w:rPr>
          <w:rFonts w:hint="eastAsia" w:ascii="等线" w:hAnsi="等线" w:cs="宋体"/>
          <w:sz w:val="24"/>
          <w:szCs w:val="24"/>
          <w:lang w:val="zh-CN"/>
        </w:rPr>
        <w:t>供应商名称：</w:t>
      </w:r>
      <w:r>
        <w:rPr>
          <w:rFonts w:hint="eastAsia" w:ascii="等线" w:hAnsi="等线" w:cs="宋体"/>
          <w:sz w:val="24"/>
          <w:szCs w:val="24"/>
          <w:u w:val="single"/>
          <w:lang w:val="zh-CN"/>
        </w:rPr>
        <w:t>（全称）</w:t>
      </w:r>
      <w:r>
        <w:rPr>
          <w:rFonts w:hint="eastAsia" w:ascii="等线" w:hAnsi="等线" w:cs="宋体"/>
          <w:sz w:val="24"/>
          <w:szCs w:val="24"/>
          <w:lang w:val="zh-CN"/>
        </w:rPr>
        <w:t>（公章）</w:t>
      </w:r>
    </w:p>
    <w:p>
      <w:pPr>
        <w:autoSpaceDE w:val="0"/>
        <w:autoSpaceDN w:val="0"/>
        <w:adjustRightInd w:val="0"/>
        <w:spacing w:line="480" w:lineRule="auto"/>
        <w:rPr>
          <w:rFonts w:ascii="等线" w:hAnsi="等线" w:cs="宋体"/>
          <w:sz w:val="24"/>
          <w:szCs w:val="24"/>
          <w:lang w:val="zh-CN"/>
        </w:rPr>
      </w:pPr>
      <w:r>
        <w:rPr>
          <w:rFonts w:hint="eastAsia" w:ascii="等线" w:hAnsi="等线" w:cs="宋体"/>
          <w:sz w:val="24"/>
          <w:szCs w:val="24"/>
          <w:lang w:val="zh-CN"/>
        </w:rPr>
        <w:t>供应商法定代表人（单位负责人）或授权代表签字：</w:t>
      </w:r>
    </w:p>
    <w:p>
      <w:pPr>
        <w:autoSpaceDE w:val="0"/>
        <w:autoSpaceDN w:val="0"/>
        <w:adjustRightInd w:val="0"/>
        <w:spacing w:line="480" w:lineRule="auto"/>
        <w:rPr>
          <w:rFonts w:ascii="等线" w:hAnsi="等线" w:cs="宋体"/>
          <w:sz w:val="24"/>
          <w:szCs w:val="24"/>
          <w:lang w:val="zh-CN"/>
        </w:rPr>
      </w:pPr>
      <w:r>
        <w:rPr>
          <w:rFonts w:hint="eastAsia" w:ascii="等线" w:hAnsi="等线" w:cs="宋体"/>
          <w:sz w:val="24"/>
          <w:szCs w:val="24"/>
          <w:lang w:val="zh-CN"/>
        </w:rPr>
        <w:t>日期：年月日</w:t>
      </w:r>
    </w:p>
    <w:p>
      <w:pPr>
        <w:widowControl/>
        <w:jc w:val="left"/>
        <w:rPr>
          <w:rFonts w:ascii="等线 Light" w:hAnsi="等线 Light" w:eastAsia="等线 Light" w:cs="Times New Roman"/>
          <w:snapToGrid w:val="0"/>
          <w:kern w:val="0"/>
          <w:sz w:val="28"/>
          <w:szCs w:val="28"/>
        </w:rPr>
      </w:pPr>
      <w:r>
        <w:rPr>
          <w:rFonts w:ascii="等线 Light" w:hAnsi="等线 Light" w:eastAsia="等线 Light"/>
          <w:snapToGrid w:val="0"/>
          <w:sz w:val="28"/>
          <w:szCs w:val="28"/>
        </w:rPr>
        <w:br w:type="page"/>
      </w:r>
    </w:p>
    <w:p>
      <w:pPr>
        <w:autoSpaceDE w:val="0"/>
        <w:autoSpaceDN w:val="0"/>
        <w:adjustRightInd w:val="0"/>
        <w:spacing w:line="360" w:lineRule="auto"/>
        <w:jc w:val="center"/>
        <w:rPr>
          <w:rFonts w:ascii="宋体" w:hAnsi="宋体"/>
          <w:b/>
          <w:sz w:val="28"/>
          <w:szCs w:val="24"/>
        </w:rPr>
      </w:pPr>
      <w:bookmarkStart w:id="8" w:name="_Hlk51678110"/>
      <w:r>
        <w:rPr>
          <w:rFonts w:hint="eastAsia" w:ascii="宋体" w:hAnsi="宋体" w:cs="黑体"/>
          <w:b/>
          <w:bCs/>
          <w:sz w:val="28"/>
          <w:szCs w:val="28"/>
          <w:lang w:val="zh-CN"/>
        </w:rPr>
        <w:t>三、资格审查证明材料</w:t>
      </w:r>
    </w:p>
    <w:p>
      <w:pPr>
        <w:autoSpaceDE w:val="0"/>
        <w:autoSpaceDN w:val="0"/>
        <w:spacing w:line="480" w:lineRule="auto"/>
        <w:jc w:val="center"/>
        <w:rPr>
          <w:rFonts w:ascii="宋体" w:hAnsi="宋体"/>
          <w:b/>
          <w:sz w:val="28"/>
          <w:szCs w:val="24"/>
        </w:rPr>
      </w:pPr>
      <w:r>
        <w:rPr>
          <w:rFonts w:hint="eastAsia" w:ascii="宋体" w:hAnsi="宋体"/>
          <w:b/>
          <w:sz w:val="28"/>
          <w:szCs w:val="24"/>
        </w:rPr>
        <w:t>3.1 响 应 函</w:t>
      </w:r>
    </w:p>
    <w:p>
      <w:pPr>
        <w:autoSpaceDE w:val="0"/>
        <w:autoSpaceDN w:val="0"/>
        <w:adjustRightInd w:val="0"/>
        <w:spacing w:line="480" w:lineRule="auto"/>
        <w:rPr>
          <w:rFonts w:ascii="宋体" w:hAnsi="宋体"/>
          <w:b/>
          <w:snapToGrid w:val="0"/>
          <w:kern w:val="0"/>
          <w:sz w:val="24"/>
        </w:rPr>
      </w:pPr>
      <w:r>
        <w:rPr>
          <w:rFonts w:hint="eastAsia"/>
          <w:sz w:val="28"/>
          <w:szCs w:val="24"/>
        </w:rPr>
        <w:t>致：</w:t>
      </w:r>
      <w:r>
        <w:rPr>
          <w:rFonts w:hint="eastAsia" w:ascii="宋体" w:hAnsi="宋体"/>
          <w:b/>
          <w:snapToGrid w:val="0"/>
          <w:kern w:val="0"/>
          <w:sz w:val="24"/>
        </w:rPr>
        <w:t>（采购人）</w:t>
      </w:r>
    </w:p>
    <w:p>
      <w:pPr>
        <w:adjustRightInd w:val="0"/>
        <w:spacing w:line="360" w:lineRule="auto"/>
        <w:ind w:firstLine="480" w:firstLineChars="200"/>
        <w:outlineLvl w:val="0"/>
        <w:rPr>
          <w:rFonts w:ascii="宋体" w:hAnsi="宋体"/>
          <w:snapToGrid w:val="0"/>
          <w:kern w:val="0"/>
          <w:sz w:val="24"/>
        </w:rPr>
      </w:pPr>
      <w:r>
        <w:rPr>
          <w:rFonts w:hint="eastAsia" w:ascii="宋体" w:hAnsi="宋体"/>
          <w:snapToGrid w:val="0"/>
          <w:kern w:val="0"/>
          <w:sz w:val="24"/>
        </w:rPr>
        <w:t>根据贵方</w:t>
      </w:r>
      <w:r>
        <w:rPr>
          <w:rFonts w:hint="eastAsia" w:ascii="宋体" w:hAnsi="宋体"/>
          <w:snapToGrid w:val="0"/>
          <w:kern w:val="0"/>
          <w:sz w:val="24"/>
          <w:u w:val="single"/>
        </w:rPr>
        <w:t>（项目名称、招标编号）</w:t>
      </w:r>
      <w:r>
        <w:rPr>
          <w:rFonts w:hint="eastAsia" w:ascii="宋体" w:hAnsi="宋体"/>
          <w:snapToGrid w:val="0"/>
          <w:kern w:val="0"/>
          <w:sz w:val="24"/>
        </w:rPr>
        <w:t>采购的采购公告及磋商邀请，_______（姓名和职务）被正式授权并代表供应商</w:t>
      </w:r>
      <w:r>
        <w:rPr>
          <w:rFonts w:hint="eastAsia" w:ascii="宋体" w:hAnsi="宋体"/>
          <w:snapToGrid w:val="0"/>
          <w:kern w:val="0"/>
          <w:sz w:val="24"/>
          <w:u w:val="single"/>
        </w:rPr>
        <w:t>（供应商名称、地址）</w:t>
      </w:r>
      <w:r>
        <w:rPr>
          <w:rFonts w:hint="eastAsia" w:ascii="宋体" w:hAnsi="宋体"/>
          <w:snapToGrid w:val="0"/>
          <w:kern w:val="0"/>
          <w:sz w:val="24"/>
        </w:rPr>
        <w:t>提交。</w:t>
      </w:r>
    </w:p>
    <w:p>
      <w:pPr>
        <w:pStyle w:val="21"/>
        <w:adjustRightInd w:val="0"/>
        <w:spacing w:line="360" w:lineRule="auto"/>
        <w:ind w:firstLine="480" w:firstLineChars="200"/>
        <w:rPr>
          <w:rFonts w:ascii="宋体" w:hAnsi="宋体"/>
          <w:snapToGrid w:val="0"/>
          <w:szCs w:val="21"/>
        </w:rPr>
      </w:pPr>
      <w:r>
        <w:rPr>
          <w:rFonts w:hint="eastAsia" w:ascii="宋体" w:hAnsi="宋体"/>
          <w:snapToGrid w:val="0"/>
          <w:szCs w:val="21"/>
        </w:rPr>
        <w:t>我方确认收到贵方提供的</w:t>
      </w:r>
      <w:r>
        <w:rPr>
          <w:rFonts w:hint="eastAsia" w:ascii="宋体" w:hAnsi="宋体"/>
          <w:snapToGrid w:val="0"/>
          <w:szCs w:val="21"/>
          <w:u w:val="single"/>
        </w:rPr>
        <w:t>（项目名称、招标编号）</w:t>
      </w:r>
      <w:r>
        <w:rPr>
          <w:rFonts w:hint="eastAsia" w:ascii="宋体" w:hAnsi="宋体"/>
          <w:snapToGrid w:val="0"/>
          <w:szCs w:val="21"/>
        </w:rPr>
        <w:t>磋商文件的全部内容。</w:t>
      </w:r>
    </w:p>
    <w:p>
      <w:pPr>
        <w:pStyle w:val="21"/>
        <w:adjustRightInd w:val="0"/>
        <w:spacing w:line="360" w:lineRule="auto"/>
        <w:ind w:firstLine="480" w:firstLineChars="200"/>
        <w:rPr>
          <w:rFonts w:ascii="宋体" w:hAnsi="宋体"/>
          <w:snapToGrid w:val="0"/>
          <w:szCs w:val="21"/>
        </w:rPr>
      </w:pPr>
      <w:r>
        <w:rPr>
          <w:rFonts w:hint="eastAsia" w:ascii="宋体" w:hAnsi="宋体"/>
          <w:snapToGrid w:val="0"/>
          <w:szCs w:val="21"/>
        </w:rPr>
        <w:t>我方在参与磋商前已详细研究了《磋商文件》的所有内容，包括澄清、修改文件（如果有）和所有已提供的参考资料以及有关附件，我方完全明白并认为此磋商文件没有倾向性，也不存在排斥潜在投标供应商的内容，我方同意磋商文件的相关条款和</w:t>
      </w:r>
      <w:r>
        <w:rPr>
          <w:rFonts w:hint="eastAsia" w:ascii="宋体" w:hAnsi="宋体"/>
          <w:szCs w:val="21"/>
        </w:rPr>
        <w:t>已完全理解并接受磋商文件的各项规定和要求及资金支付规定，对磋商文件的合理性、合法性不再有异议，并承诺在发生争议时不会以对《磋商文件》存在误解、不明白的条款为由，对贵中心行使任何法律上的抗辩权。</w:t>
      </w:r>
    </w:p>
    <w:p>
      <w:pPr>
        <w:adjustRightInd w:val="0"/>
        <w:spacing w:line="360" w:lineRule="auto"/>
        <w:ind w:firstLine="480" w:firstLineChars="200"/>
        <w:rPr>
          <w:rFonts w:ascii="宋体" w:hAnsi="宋体" w:cs="Courier New"/>
          <w:sz w:val="24"/>
        </w:rPr>
      </w:pPr>
      <w:r>
        <w:rPr>
          <w:rFonts w:hint="eastAsia" w:ascii="宋体" w:hAnsi="宋体" w:cs="Courier New"/>
          <w:sz w:val="24"/>
        </w:rPr>
        <w:t>我方已完全明白磋商文件的所有条款要求，并申明如下：</w:t>
      </w:r>
    </w:p>
    <w:p>
      <w:pPr>
        <w:adjustRightInd w:val="0"/>
        <w:spacing w:line="360" w:lineRule="auto"/>
        <w:ind w:firstLine="480" w:firstLineChars="200"/>
        <w:rPr>
          <w:rFonts w:ascii="宋体" w:hAnsi="宋体" w:cs="Courier New"/>
          <w:sz w:val="24"/>
        </w:rPr>
      </w:pPr>
      <w:r>
        <w:rPr>
          <w:rFonts w:hint="eastAsia" w:ascii="宋体" w:hAnsi="宋体" w:cs="Courier New"/>
          <w:sz w:val="24"/>
        </w:rPr>
        <w:t>一、按磋商文件提供的全部货物与相关服务的投标总价详见《开标一览表》。</w:t>
      </w:r>
    </w:p>
    <w:p>
      <w:pPr>
        <w:adjustRightInd w:val="0"/>
        <w:spacing w:line="360" w:lineRule="auto"/>
        <w:ind w:firstLine="480" w:firstLineChars="200"/>
        <w:rPr>
          <w:rFonts w:ascii="宋体" w:hAnsi="宋体" w:cs="Courier New"/>
          <w:sz w:val="24"/>
        </w:rPr>
      </w:pPr>
      <w:r>
        <w:rPr>
          <w:rFonts w:hint="eastAsia" w:ascii="宋体" w:hAnsi="宋体" w:cs="Courier New"/>
          <w:sz w:val="24"/>
        </w:rPr>
        <w:t>二、</w:t>
      </w:r>
      <w:r>
        <w:rPr>
          <w:rFonts w:hint="eastAsia" w:ascii="宋体" w:hAnsi="宋体"/>
          <w:sz w:val="24"/>
        </w:rPr>
        <w:t>我方同意在本项目磋商文件中规定的开标日起</w:t>
      </w:r>
      <w:r>
        <w:rPr>
          <w:rFonts w:hint="eastAsia" w:ascii="宋体" w:hAnsi="宋体"/>
          <w:sz w:val="24"/>
          <w:u w:val="single"/>
        </w:rPr>
        <w:t>60</w:t>
      </w:r>
      <w:r>
        <w:rPr>
          <w:rFonts w:hint="eastAsia" w:ascii="宋体" w:hAnsi="宋体"/>
          <w:sz w:val="24"/>
        </w:rPr>
        <w:t>天内遵守本响应文件中的承诺且在此期限期满之前均具有约束力。我方同意并遵守本磋商文件“供应商须知”中第十四条第三款关于延长磋商有效期的规定。</w:t>
      </w:r>
      <w:r>
        <w:rPr>
          <w:rFonts w:hint="eastAsia" w:ascii="宋体" w:hAnsi="宋体" w:cs="Courier New"/>
          <w:sz w:val="24"/>
        </w:rPr>
        <w:t>如成交，有效期将延至供货终止日为止。在此提交的资格证明文件均至磋商响应截止日有效，如有在磋商有效期内失效的，我方承诺在成交后补齐一切手续，保证所有资格证明文件能在签订采购合同时直至采购合同终止日有效。</w:t>
      </w:r>
    </w:p>
    <w:p>
      <w:pPr>
        <w:pStyle w:val="28"/>
        <w:adjustRightInd w:val="0"/>
        <w:spacing w:line="360" w:lineRule="auto"/>
        <w:ind w:firstLine="480" w:firstLineChars="200"/>
        <w:rPr>
          <w:rFonts w:cs="Courier New"/>
          <w:szCs w:val="21"/>
        </w:rPr>
      </w:pPr>
      <w:r>
        <w:rPr>
          <w:rFonts w:hint="eastAsia" w:cs="Courier New"/>
          <w:szCs w:val="21"/>
        </w:rPr>
        <w:t>三、我方明白并同意，在规定的开标日之后，磋商有效期之内撤销响应的，则我方承担违背磋商承诺的责任追究。</w:t>
      </w:r>
    </w:p>
    <w:p>
      <w:pPr>
        <w:pStyle w:val="28"/>
        <w:adjustRightInd w:val="0"/>
        <w:spacing w:line="360" w:lineRule="auto"/>
        <w:ind w:firstLine="480" w:firstLineChars="200"/>
        <w:rPr>
          <w:rFonts w:cs="Courier New"/>
          <w:szCs w:val="21"/>
        </w:rPr>
      </w:pPr>
      <w:r>
        <w:rPr>
          <w:rFonts w:hint="eastAsia" w:cs="Courier New"/>
          <w:szCs w:val="21"/>
        </w:rPr>
        <w:t>四、我方同意按照贵方可能提出的要求而提供与响应有关的任何其它数据、信息或资料。</w:t>
      </w:r>
    </w:p>
    <w:p>
      <w:pPr>
        <w:pStyle w:val="28"/>
        <w:adjustRightInd w:val="0"/>
        <w:spacing w:line="360" w:lineRule="auto"/>
        <w:ind w:firstLine="480" w:firstLineChars="200"/>
        <w:rPr>
          <w:rFonts w:cs="Courier New"/>
          <w:szCs w:val="21"/>
        </w:rPr>
      </w:pPr>
      <w:r>
        <w:rPr>
          <w:rFonts w:hint="eastAsia" w:cs="Courier New"/>
          <w:szCs w:val="21"/>
        </w:rPr>
        <w:t>五、我方理解贵方不一定接受最低响应价或任何贵方可能收到的响应。</w:t>
      </w:r>
    </w:p>
    <w:p>
      <w:pPr>
        <w:pStyle w:val="28"/>
        <w:adjustRightInd w:val="0"/>
        <w:spacing w:line="360" w:lineRule="auto"/>
        <w:ind w:firstLine="480" w:firstLineChars="200"/>
        <w:rPr>
          <w:rFonts w:cs="Courier New"/>
          <w:szCs w:val="21"/>
        </w:rPr>
      </w:pPr>
      <w:r>
        <w:rPr>
          <w:rFonts w:hint="eastAsia" w:cs="Courier New"/>
          <w:szCs w:val="21"/>
        </w:rPr>
        <w:t>六、我方如果成交，将保证履行磋商文件及其澄清、修改文件（如果有）中的全部责任和义务，按质、按量、按期完成《项目需求》及《合同书》中的全部任务。</w:t>
      </w:r>
    </w:p>
    <w:p>
      <w:pPr>
        <w:pStyle w:val="28"/>
        <w:adjustRightInd w:val="0"/>
        <w:spacing w:line="360" w:lineRule="auto"/>
        <w:ind w:firstLine="480" w:firstLineChars="200"/>
        <w:rPr>
          <w:szCs w:val="21"/>
        </w:rPr>
      </w:pPr>
      <w:r>
        <w:rPr>
          <w:rFonts w:hint="eastAsia" w:cs="Courier New"/>
          <w:szCs w:val="21"/>
        </w:rPr>
        <w:t>七、我方在此保证所提交的所有文件和全部说明是真实的和正确的。</w:t>
      </w:r>
    </w:p>
    <w:p>
      <w:pPr>
        <w:pStyle w:val="21"/>
        <w:adjustRightInd w:val="0"/>
        <w:spacing w:line="360" w:lineRule="auto"/>
        <w:ind w:firstLine="480" w:firstLineChars="200"/>
        <w:rPr>
          <w:rFonts w:ascii="宋体" w:hAnsi="宋体"/>
          <w:szCs w:val="21"/>
        </w:rPr>
      </w:pPr>
      <w:r>
        <w:rPr>
          <w:rFonts w:hint="eastAsia" w:ascii="宋体" w:hAnsi="宋体"/>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21"/>
        <w:adjustRightInd w:val="0"/>
        <w:spacing w:line="360" w:lineRule="auto"/>
        <w:ind w:firstLine="480" w:firstLineChars="200"/>
        <w:rPr>
          <w:rFonts w:ascii="宋体" w:hAnsi="宋体" w:cs="Arial"/>
          <w:szCs w:val="21"/>
        </w:rPr>
      </w:pPr>
      <w:r>
        <w:rPr>
          <w:rFonts w:hint="eastAsia" w:ascii="宋体" w:hAnsi="宋体" w:cs="Arial"/>
          <w:szCs w:val="21"/>
        </w:rPr>
        <w:t>九、我方具备《政府采购法》第二十二条规定的条件；承诺如下：</w:t>
      </w:r>
    </w:p>
    <w:p>
      <w:pPr>
        <w:pStyle w:val="21"/>
        <w:adjustRightInd w:val="0"/>
        <w:spacing w:line="360" w:lineRule="auto"/>
        <w:ind w:firstLine="480" w:firstLineChars="200"/>
        <w:rPr>
          <w:rFonts w:ascii="宋体" w:hAnsi="宋体" w:cs="Arial"/>
          <w:szCs w:val="21"/>
        </w:rPr>
      </w:pPr>
      <w:r>
        <w:rPr>
          <w:rFonts w:hint="eastAsia" w:ascii="宋体" w:hAnsi="宋体" w:cs="Arial"/>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rPr>
          <w:rFonts w:ascii="宋体" w:hAnsi="宋体" w:cs="Arial"/>
          <w:sz w:val="24"/>
        </w:rPr>
      </w:pPr>
      <w:r>
        <w:rPr>
          <w:rFonts w:hint="eastAsia" w:ascii="宋体" w:hAnsi="宋体" w:cs="Arial"/>
          <w:sz w:val="24"/>
        </w:rPr>
        <w:t>2. 我方已依法缴纳了各项税费及社会保险费用，如有需要，可随时向采购人提供近三个月内的相关缴费证明，以便核查。</w:t>
      </w:r>
    </w:p>
    <w:p>
      <w:pPr>
        <w:adjustRightInd w:val="0"/>
        <w:spacing w:line="360" w:lineRule="auto"/>
        <w:ind w:firstLine="504" w:firstLineChars="210"/>
        <w:rPr>
          <w:rFonts w:ascii="宋体" w:hAnsi="宋体" w:cs="Arial"/>
          <w:sz w:val="24"/>
        </w:rPr>
      </w:pPr>
      <w:r>
        <w:rPr>
          <w:rFonts w:hint="eastAsia" w:ascii="宋体" w:hAnsi="宋体" w:cs="Arial"/>
          <w:sz w:val="24"/>
        </w:rPr>
        <w:t>3. 我方已依法建立健全的财务会计制度，如有需要，可随时向采购人提供相关证明材料，以便核查。</w:t>
      </w:r>
    </w:p>
    <w:p>
      <w:pPr>
        <w:adjustRightInd w:val="0"/>
        <w:spacing w:line="360" w:lineRule="auto"/>
        <w:ind w:firstLine="504" w:firstLineChars="210"/>
        <w:rPr>
          <w:rFonts w:ascii="宋体" w:hAnsi="宋体" w:cs="Arial"/>
          <w:sz w:val="24"/>
        </w:rPr>
      </w:pPr>
      <w:r>
        <w:rPr>
          <w:rFonts w:hint="eastAsia" w:ascii="宋体" w:hAnsi="宋体" w:cs="Arial"/>
          <w:sz w:val="24"/>
        </w:rPr>
        <w:t>4. 参加政府采购活动前三年内，在经营活动中没有重大违法记录。</w:t>
      </w:r>
    </w:p>
    <w:p>
      <w:pPr>
        <w:adjustRightInd w:val="0"/>
        <w:spacing w:line="360" w:lineRule="auto"/>
        <w:ind w:firstLine="504" w:firstLineChars="210"/>
        <w:rPr>
          <w:rFonts w:ascii="宋体" w:hAnsi="宋体" w:cs="Arial"/>
          <w:sz w:val="24"/>
        </w:rPr>
      </w:pPr>
      <w:r>
        <w:rPr>
          <w:rFonts w:hint="eastAsia" w:ascii="宋体" w:hAnsi="宋体" w:cs="Arial"/>
          <w:sz w:val="24"/>
        </w:rPr>
        <w:t>5. 符合法律、行政法规规定的其他条件。</w:t>
      </w:r>
    </w:p>
    <w:p>
      <w:pPr>
        <w:adjustRightInd w:val="0"/>
        <w:spacing w:line="360" w:lineRule="auto"/>
        <w:ind w:firstLine="504" w:firstLineChars="210"/>
        <w:rPr>
          <w:rFonts w:ascii="宋体" w:hAnsi="宋体" w:cs="Arial"/>
          <w:sz w:val="24"/>
        </w:rPr>
      </w:pPr>
      <w:r>
        <w:rPr>
          <w:rFonts w:hint="eastAsia" w:ascii="宋体" w:hAnsi="宋体" w:cs="宋体"/>
          <w:sz w:val="24"/>
        </w:rPr>
        <w:t>以上内容如有虚假或与事实不符的，评审委员会可将</w:t>
      </w:r>
      <w:r>
        <w:rPr>
          <w:rFonts w:hint="eastAsia" w:ascii="宋体" w:hAnsi="宋体" w:cs="Arial"/>
          <w:sz w:val="24"/>
        </w:rPr>
        <w:t>我方做无效响应处理，我方愿意承担相应的法律责任。</w:t>
      </w:r>
    </w:p>
    <w:p>
      <w:pPr>
        <w:pStyle w:val="21"/>
        <w:adjustRightInd w:val="0"/>
        <w:spacing w:line="360" w:lineRule="auto"/>
        <w:ind w:firstLine="480" w:firstLineChars="200"/>
        <w:rPr>
          <w:rFonts w:ascii="宋体" w:hAnsi="宋体"/>
          <w:szCs w:val="21"/>
        </w:rPr>
      </w:pPr>
      <w:r>
        <w:rPr>
          <w:rFonts w:hint="eastAsia" w:ascii="宋体" w:hAnsi="宋体"/>
          <w:szCs w:val="21"/>
        </w:rPr>
        <w:t>十、我方具备履行合同所必需的设备和专业技术能力。</w:t>
      </w:r>
    </w:p>
    <w:p>
      <w:pPr>
        <w:pStyle w:val="21"/>
        <w:adjustRightInd w:val="0"/>
        <w:spacing w:line="360" w:lineRule="auto"/>
        <w:ind w:firstLine="480" w:firstLineChars="200"/>
        <w:rPr>
          <w:rFonts w:ascii="宋体" w:hAnsi="宋体"/>
          <w:szCs w:val="21"/>
        </w:rPr>
      </w:pPr>
      <w:r>
        <w:rPr>
          <w:rFonts w:hint="eastAsia" w:ascii="宋体" w:hAnsi="宋体"/>
          <w:snapToGrid w:val="0"/>
          <w:szCs w:val="21"/>
        </w:rPr>
        <w:t>十一、</w:t>
      </w:r>
      <w:r>
        <w:rPr>
          <w:rFonts w:hint="eastAsia" w:ascii="宋体" w:hAnsi="宋体"/>
          <w:szCs w:val="21"/>
        </w:rPr>
        <w:t>我方对在本函及响应文件中所作的所有承诺承担法律责任。</w:t>
      </w:r>
    </w:p>
    <w:p>
      <w:pPr>
        <w:pStyle w:val="21"/>
        <w:adjustRightInd w:val="0"/>
        <w:snapToGrid w:val="0"/>
        <w:spacing w:line="360" w:lineRule="auto"/>
        <w:rPr>
          <w:rFonts w:ascii="宋体" w:hAnsi="宋体"/>
          <w:szCs w:val="21"/>
        </w:rPr>
      </w:pPr>
    </w:p>
    <w:p>
      <w:pPr>
        <w:pStyle w:val="21"/>
        <w:adjustRightInd w:val="0"/>
        <w:snapToGrid w:val="0"/>
        <w:spacing w:line="360" w:lineRule="auto"/>
        <w:rPr>
          <w:rFonts w:ascii="宋体" w:hAnsi="宋体"/>
          <w:szCs w:val="21"/>
        </w:rPr>
      </w:pPr>
      <w:r>
        <w:rPr>
          <w:rFonts w:hint="eastAsia" w:ascii="宋体" w:hAnsi="宋体"/>
          <w:szCs w:val="21"/>
        </w:rPr>
        <w:t>所有与本招标有关的一切正式往来请寄：</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地    址：  邮政编码：</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电    话：  传    真：</w:t>
      </w:r>
    </w:p>
    <w:p>
      <w:pPr>
        <w:adjustRightInd w:val="0"/>
        <w:snapToGrid w:val="0"/>
        <w:spacing w:line="360" w:lineRule="auto"/>
        <w:ind w:firstLine="480" w:firstLineChars="200"/>
        <w:rPr>
          <w:rFonts w:ascii="宋体" w:hAnsi="宋体" w:cs="宋体"/>
          <w:sz w:val="24"/>
          <w:u w:val="single"/>
        </w:rPr>
      </w:pPr>
      <w:r>
        <w:rPr>
          <w:rFonts w:hint="eastAsia" w:ascii="宋体" w:hAnsi="宋体" w:cs="宋体"/>
          <w:sz w:val="24"/>
        </w:rPr>
        <w:t>供应商代表姓名：  职    务：</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供应商名称（并加盖公章）：</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日期：年月 日</w:t>
      </w:r>
    </w:p>
    <w:p>
      <w:pPr>
        <w:spacing w:line="480" w:lineRule="exact"/>
        <w:jc w:val="center"/>
        <w:rPr>
          <w:rFonts w:ascii="宋体" w:hAnsi="宋体"/>
          <w:b/>
          <w:bCs/>
          <w:sz w:val="24"/>
          <w:szCs w:val="24"/>
        </w:rPr>
      </w:pPr>
      <w:r>
        <w:rPr>
          <w:rFonts w:hint="eastAsia" w:ascii="宋体" w:hAnsi="宋体"/>
          <w:b/>
          <w:bCs/>
          <w:sz w:val="24"/>
          <w:szCs w:val="24"/>
        </w:rPr>
        <w:br w:type="page"/>
      </w:r>
      <w:r>
        <w:rPr>
          <w:rFonts w:hint="eastAsia" w:ascii="宋体" w:hAnsi="宋体"/>
          <w:b/>
          <w:bCs/>
          <w:sz w:val="24"/>
          <w:szCs w:val="24"/>
        </w:rPr>
        <w:t>3.2 法定代表人（单位负责人）资格证明书</w:t>
      </w:r>
    </w:p>
    <w:p>
      <w:pPr>
        <w:autoSpaceDE w:val="0"/>
        <w:autoSpaceDN w:val="0"/>
        <w:adjustRightInd w:val="0"/>
        <w:spacing w:line="480" w:lineRule="auto"/>
        <w:ind w:firstLine="616" w:firstLineChars="257"/>
        <w:rPr>
          <w:rFonts w:ascii="宋体" w:hAnsi="宋体"/>
          <w:sz w:val="24"/>
          <w:szCs w:val="24"/>
        </w:rPr>
      </w:pPr>
    </w:p>
    <w:p>
      <w:pPr>
        <w:pStyle w:val="45"/>
        <w:spacing w:line="480" w:lineRule="auto"/>
        <w:ind w:firstLine="472" w:firstLineChars="225"/>
        <w:jc w:val="left"/>
        <w:rPr>
          <w:rFonts w:hAnsi="宋体"/>
          <w:sz w:val="21"/>
          <w:szCs w:val="21"/>
          <w:u w:val="single"/>
        </w:rPr>
      </w:pPr>
      <w:r>
        <w:rPr>
          <w:rFonts w:hint="eastAsia" w:hAnsi="宋体"/>
          <w:sz w:val="21"/>
          <w:szCs w:val="21"/>
        </w:rPr>
        <w:t xml:space="preserve">单位名称：   </w:t>
      </w:r>
    </w:p>
    <w:p>
      <w:pPr>
        <w:pStyle w:val="45"/>
        <w:spacing w:line="480" w:lineRule="auto"/>
        <w:ind w:firstLine="472" w:firstLineChars="225"/>
        <w:jc w:val="left"/>
        <w:rPr>
          <w:rFonts w:hAnsi="宋体"/>
          <w:sz w:val="21"/>
          <w:szCs w:val="21"/>
          <w:u w:val="single"/>
        </w:rPr>
      </w:pPr>
      <w:r>
        <w:rPr>
          <w:rFonts w:hint="eastAsia" w:hAnsi="宋体"/>
          <w:sz w:val="21"/>
          <w:szCs w:val="21"/>
        </w:rPr>
        <w:t xml:space="preserve">地址： </w:t>
      </w:r>
    </w:p>
    <w:p>
      <w:pPr>
        <w:pStyle w:val="45"/>
        <w:spacing w:line="480" w:lineRule="auto"/>
        <w:ind w:firstLine="472" w:firstLineChars="225"/>
        <w:jc w:val="left"/>
        <w:rPr>
          <w:rFonts w:hAnsi="宋体"/>
          <w:sz w:val="21"/>
          <w:szCs w:val="21"/>
          <w:u w:val="single"/>
        </w:rPr>
      </w:pPr>
      <w:r>
        <w:rPr>
          <w:rFonts w:hint="eastAsia" w:hAnsi="宋体"/>
          <w:sz w:val="21"/>
          <w:szCs w:val="21"/>
        </w:rPr>
        <w:t>姓名： 性别：  年龄：职务：</w:t>
      </w:r>
    </w:p>
    <w:p>
      <w:pPr>
        <w:pStyle w:val="45"/>
        <w:spacing w:line="480" w:lineRule="auto"/>
        <w:ind w:firstLine="472" w:firstLineChars="225"/>
        <w:jc w:val="left"/>
        <w:rPr>
          <w:rFonts w:hAnsi="宋体"/>
          <w:sz w:val="21"/>
          <w:szCs w:val="21"/>
        </w:rPr>
      </w:pPr>
      <w:r>
        <w:rPr>
          <w:rFonts w:hint="eastAsia" w:hAnsi="宋体"/>
          <w:sz w:val="21"/>
          <w:szCs w:val="21"/>
        </w:rPr>
        <w:t>本人系</w:t>
      </w:r>
      <w:r>
        <w:rPr>
          <w:rFonts w:hint="eastAsia" w:hAnsi="宋体"/>
          <w:i/>
          <w:snapToGrid w:val="0"/>
          <w:sz w:val="21"/>
          <w:szCs w:val="21"/>
          <w:u w:val="single"/>
        </w:rPr>
        <w:t xml:space="preserve">供应商名称  </w:t>
      </w:r>
      <w:r>
        <w:rPr>
          <w:rFonts w:hint="eastAsia" w:hAnsi="宋体"/>
          <w:sz w:val="21"/>
          <w:szCs w:val="21"/>
        </w:rPr>
        <w:t>的法定代表人（单位负责人）。就参加贵方招标编号为</w:t>
      </w:r>
      <w:r>
        <w:rPr>
          <w:rFonts w:hint="eastAsia" w:hAnsi="宋体"/>
          <w:i/>
          <w:sz w:val="21"/>
          <w:szCs w:val="21"/>
          <w:u w:val="single"/>
        </w:rPr>
        <w:t xml:space="preserve">项目编号 </w:t>
      </w:r>
      <w:r>
        <w:rPr>
          <w:rFonts w:hint="eastAsia" w:hAnsi="宋体"/>
          <w:sz w:val="21"/>
          <w:szCs w:val="21"/>
        </w:rPr>
        <w:t>的</w:t>
      </w:r>
      <w:r>
        <w:rPr>
          <w:rFonts w:hint="eastAsia" w:hAnsi="宋体"/>
          <w:i/>
          <w:sz w:val="21"/>
          <w:szCs w:val="21"/>
          <w:u w:val="single"/>
        </w:rPr>
        <w:t xml:space="preserve">项目名称 </w:t>
      </w:r>
      <w:r>
        <w:rPr>
          <w:rFonts w:hint="eastAsia" w:hAnsi="宋体"/>
          <w:sz w:val="21"/>
          <w:szCs w:val="21"/>
        </w:rPr>
        <w:t>采购项目的磋商响应报价，签署上述项目的响应文件及合同的执行、完成、服务和保修，签署合同和处理与之有关的一切事务。</w:t>
      </w:r>
    </w:p>
    <w:p>
      <w:pPr>
        <w:pStyle w:val="45"/>
        <w:spacing w:line="480" w:lineRule="auto"/>
        <w:ind w:firstLine="472" w:firstLineChars="225"/>
        <w:jc w:val="left"/>
        <w:rPr>
          <w:rFonts w:hAnsi="宋体"/>
          <w:sz w:val="21"/>
          <w:szCs w:val="21"/>
        </w:rPr>
      </w:pPr>
      <w:r>
        <w:rPr>
          <w:rFonts w:hint="eastAsia" w:hAnsi="宋体"/>
          <w:sz w:val="21"/>
          <w:szCs w:val="21"/>
        </w:rPr>
        <w:t>特此证明。</w:t>
      </w:r>
    </w:p>
    <w:p>
      <w:pPr>
        <w:pStyle w:val="45"/>
        <w:spacing w:line="480" w:lineRule="auto"/>
        <w:ind w:firstLine="472" w:firstLineChars="225"/>
        <w:jc w:val="left"/>
        <w:rPr>
          <w:rFonts w:hAnsi="宋体"/>
          <w:sz w:val="21"/>
          <w:szCs w:val="21"/>
        </w:rPr>
      </w:pPr>
    </w:p>
    <w:p>
      <w:pPr>
        <w:pStyle w:val="45"/>
        <w:spacing w:line="480" w:lineRule="auto"/>
        <w:ind w:firstLine="472" w:firstLineChars="225"/>
        <w:jc w:val="left"/>
        <w:rPr>
          <w:rFonts w:hAnsi="宋体"/>
          <w:sz w:val="21"/>
          <w:szCs w:val="21"/>
        </w:rPr>
      </w:pPr>
    </w:p>
    <w:p>
      <w:pPr>
        <w:pStyle w:val="45"/>
        <w:spacing w:line="480" w:lineRule="auto"/>
        <w:ind w:left="-538" w:leftChars="-256" w:firstLine="539" w:firstLineChars="257"/>
        <w:jc w:val="center"/>
        <w:rPr>
          <w:rFonts w:hAnsi="宋体"/>
          <w:bCs/>
          <w:sz w:val="21"/>
          <w:szCs w:val="21"/>
        </w:rPr>
      </w:pPr>
      <w:r>
        <w:rPr>
          <w:rFonts w:hint="eastAsia" w:hAnsi="宋体"/>
          <w:bCs/>
          <w:sz w:val="21"/>
          <w:szCs w:val="21"/>
        </w:rPr>
        <w:t>【此处请粘贴法定代表人（单位负责人）身份证复印件，需清晰反映身份证有效期限】</w:t>
      </w:r>
    </w:p>
    <w:p>
      <w:pPr>
        <w:pStyle w:val="45"/>
        <w:spacing w:line="480" w:lineRule="auto"/>
        <w:ind w:left="-538" w:leftChars="-256" w:firstLine="539" w:firstLineChars="257"/>
        <w:jc w:val="center"/>
        <w:rPr>
          <w:rFonts w:hAnsi="宋体"/>
          <w:bCs/>
          <w:sz w:val="21"/>
          <w:szCs w:val="21"/>
        </w:rPr>
      </w:pPr>
    </w:p>
    <w:p>
      <w:pPr>
        <w:autoSpaceDE w:val="0"/>
        <w:autoSpaceDN w:val="0"/>
        <w:adjustRightInd w:val="0"/>
        <w:spacing w:line="360" w:lineRule="auto"/>
        <w:ind w:right="-11"/>
        <w:rPr>
          <w:rFonts w:ascii="宋体" w:hAnsi="宋体" w:cs="宋体"/>
          <w:lang w:val="zh-CN"/>
        </w:rPr>
      </w:pPr>
    </w:p>
    <w:p>
      <w:pPr>
        <w:autoSpaceDE w:val="0"/>
        <w:autoSpaceDN w:val="0"/>
        <w:adjustRightInd w:val="0"/>
        <w:spacing w:line="360" w:lineRule="auto"/>
        <w:ind w:right="-11"/>
        <w:rPr>
          <w:rFonts w:ascii="宋体" w:hAnsi="宋体" w:cs="宋体"/>
          <w:lang w:val="zh-CN"/>
        </w:rPr>
      </w:pPr>
    </w:p>
    <w:p>
      <w:pPr>
        <w:autoSpaceDE w:val="0"/>
        <w:autoSpaceDN w:val="0"/>
        <w:adjustRightInd w:val="0"/>
        <w:spacing w:line="360" w:lineRule="auto"/>
        <w:ind w:right="-11"/>
        <w:rPr>
          <w:rFonts w:ascii="宋体" w:hAnsi="宋体" w:cs="宋体"/>
          <w:lang w:val="zh-CN"/>
        </w:rPr>
      </w:pPr>
    </w:p>
    <w:p>
      <w:pPr>
        <w:spacing w:line="480" w:lineRule="auto"/>
        <w:ind w:firstLine="3937" w:firstLineChars="1875"/>
        <w:rPr>
          <w:rFonts w:ascii="宋体" w:hAnsi="宋体" w:cs="Arial"/>
          <w:u w:val="single"/>
        </w:rPr>
      </w:pPr>
      <w:r>
        <w:rPr>
          <w:rFonts w:hint="eastAsia" w:ascii="宋体" w:hAnsi="宋体" w:cs="Arial"/>
        </w:rPr>
        <w:t>供应商名称（并加盖公章）：</w:t>
      </w:r>
    </w:p>
    <w:p>
      <w:pPr>
        <w:pStyle w:val="40"/>
        <w:spacing w:before="60" w:line="480" w:lineRule="auto"/>
        <w:ind w:firstLine="3937" w:firstLineChars="1875"/>
        <w:rPr>
          <w:rFonts w:ascii="宋体" w:hAnsi="宋体" w:cs="Arial"/>
          <w:sz w:val="21"/>
          <w:szCs w:val="21"/>
        </w:rPr>
      </w:pPr>
      <w:r>
        <w:rPr>
          <w:rFonts w:hint="eastAsia" w:ascii="宋体" w:hAnsi="宋体" w:cs="Arial"/>
          <w:sz w:val="21"/>
          <w:szCs w:val="21"/>
        </w:rPr>
        <w:t>签署日期：   年   月  日</w:t>
      </w:r>
    </w:p>
    <w:p>
      <w:pPr>
        <w:pStyle w:val="41"/>
        <w:spacing w:line="480" w:lineRule="auto"/>
        <w:rPr>
          <w:rFonts w:ascii="宋体" w:hAnsi="宋体" w:cs="Arial"/>
          <w:sz w:val="21"/>
          <w:szCs w:val="21"/>
        </w:rPr>
      </w:pPr>
    </w:p>
    <w:p/>
    <w:p>
      <w:pPr>
        <w:spacing w:line="320" w:lineRule="exact"/>
        <w:ind w:firstLine="420" w:firstLineChars="200"/>
        <w:rPr>
          <w:rFonts w:ascii="宋体" w:hAnsi="宋体"/>
          <w:bCs/>
          <w:kern w:val="12"/>
        </w:rPr>
      </w:pPr>
      <w:r>
        <w:rPr>
          <w:rFonts w:hint="eastAsia" w:ascii="宋体" w:hAnsi="宋体"/>
          <w:bCs/>
          <w:kern w:val="12"/>
        </w:rPr>
        <w:t>说明：法定代表人（单位负责人）参加本采购项目磋商响应的，仅须出具此证明书。</w:t>
      </w:r>
    </w:p>
    <w:p>
      <w:pPr>
        <w:spacing w:line="480" w:lineRule="exact"/>
        <w:jc w:val="center"/>
        <w:rPr>
          <w:rFonts w:ascii="宋体" w:hAnsi="宋体"/>
          <w:b/>
          <w:bCs/>
          <w:sz w:val="36"/>
          <w:szCs w:val="36"/>
        </w:rPr>
      </w:pPr>
    </w:p>
    <w:p>
      <w:pPr>
        <w:spacing w:line="480" w:lineRule="exact"/>
        <w:jc w:val="center"/>
        <w:rPr>
          <w:rFonts w:ascii="宋体" w:hAnsi="宋体"/>
          <w:b/>
          <w:bCs/>
          <w:sz w:val="24"/>
          <w:szCs w:val="24"/>
        </w:rPr>
      </w:pPr>
      <w:r>
        <w:rPr>
          <w:rFonts w:hint="eastAsia" w:ascii="宋体" w:hAnsi="宋体"/>
          <w:b/>
          <w:bCs/>
          <w:sz w:val="24"/>
          <w:szCs w:val="24"/>
        </w:rPr>
        <w:br w:type="page"/>
      </w:r>
      <w:r>
        <w:rPr>
          <w:rFonts w:hint="eastAsia" w:ascii="宋体" w:hAnsi="宋体"/>
          <w:b/>
          <w:bCs/>
          <w:sz w:val="24"/>
          <w:szCs w:val="24"/>
        </w:rPr>
        <w:t>3.3 法定代表人（单位负责人）授权书</w:t>
      </w:r>
    </w:p>
    <w:p>
      <w:pPr>
        <w:spacing w:line="480" w:lineRule="exact"/>
        <w:jc w:val="center"/>
        <w:rPr>
          <w:rFonts w:ascii="宋体" w:hAnsi="宋体"/>
          <w:b/>
          <w:bCs/>
          <w:sz w:val="36"/>
          <w:szCs w:val="36"/>
        </w:rPr>
      </w:pPr>
    </w:p>
    <w:p>
      <w:pPr>
        <w:adjustRightInd w:val="0"/>
        <w:spacing w:line="360" w:lineRule="auto"/>
        <w:ind w:firstLine="441" w:firstLineChars="210"/>
        <w:rPr>
          <w:rFonts w:ascii="宋体" w:hAnsi="宋体" w:cs="Arial"/>
        </w:rPr>
      </w:pPr>
      <w:r>
        <w:rPr>
          <w:rFonts w:hint="eastAsia" w:ascii="宋体" w:hAnsi="宋体" w:cs="Arial"/>
        </w:rPr>
        <w:t>本人</w:t>
      </w:r>
      <w:r>
        <w:rPr>
          <w:rFonts w:hint="eastAsia" w:ascii="宋体" w:hAnsi="宋体" w:cs="Arial"/>
          <w:u w:val="single"/>
        </w:rPr>
        <w:t xml:space="preserve">　 </w:t>
      </w:r>
      <w:r>
        <w:rPr>
          <w:rFonts w:hint="eastAsia" w:ascii="宋体" w:hAnsi="宋体"/>
          <w:i/>
          <w:snapToGrid w:val="0"/>
          <w:u w:val="single"/>
        </w:rPr>
        <w:t>法人姓名</w:t>
      </w:r>
      <w:r>
        <w:rPr>
          <w:rFonts w:hint="eastAsia" w:ascii="宋体" w:hAnsi="宋体" w:cs="Arial"/>
        </w:rPr>
        <w:t>系</w:t>
      </w:r>
      <w:r>
        <w:rPr>
          <w:rFonts w:hint="eastAsia" w:ascii="宋体" w:hAnsi="宋体" w:cs="Arial"/>
          <w:u w:val="single"/>
        </w:rPr>
        <w:t>　</w:t>
      </w:r>
      <w:r>
        <w:rPr>
          <w:rFonts w:hint="eastAsia" w:ascii="宋体" w:hAnsi="宋体"/>
          <w:i/>
          <w:snapToGrid w:val="0"/>
          <w:u w:val="single"/>
        </w:rPr>
        <w:t xml:space="preserve">供应商名称  </w:t>
      </w:r>
      <w:r>
        <w:rPr>
          <w:rFonts w:hint="eastAsia" w:ascii="宋体" w:hAnsi="宋体" w:cs="Arial"/>
        </w:rPr>
        <w:t>的法定代表人（单位负责人），现委托</w:t>
      </w:r>
      <w:r>
        <w:rPr>
          <w:rFonts w:hint="eastAsia" w:ascii="宋体" w:hAnsi="宋体" w:cs="Arial"/>
          <w:u w:val="single"/>
        </w:rPr>
        <w:t xml:space="preserve">　 </w:t>
      </w:r>
      <w:r>
        <w:rPr>
          <w:rFonts w:hint="eastAsia" w:ascii="宋体" w:hAnsi="宋体"/>
          <w:i/>
          <w:snapToGrid w:val="0"/>
          <w:u w:val="single"/>
        </w:rPr>
        <w:t>姓名，职务</w:t>
      </w:r>
      <w:r>
        <w:rPr>
          <w:rFonts w:hint="eastAsia" w:ascii="宋体" w:hAnsi="宋体" w:cs="Arial"/>
        </w:rPr>
        <w:t>以我方的名义参加贵方______________________项目的磋商响应活动，并代表我方全权办理针对上述项目的磋商、响应文件澄清、签约等一切具体事务和签署相关文件。</w:t>
      </w:r>
    </w:p>
    <w:p>
      <w:pPr>
        <w:adjustRightInd w:val="0"/>
        <w:spacing w:line="360" w:lineRule="auto"/>
        <w:ind w:firstLine="441" w:firstLineChars="210"/>
        <w:rPr>
          <w:rFonts w:ascii="宋体" w:hAnsi="宋体" w:cs="Arial"/>
        </w:rPr>
      </w:pPr>
      <w:r>
        <w:rPr>
          <w:rFonts w:hint="eastAsia" w:ascii="宋体" w:hAnsi="宋体" w:cs="Arial"/>
        </w:rPr>
        <w:t>我方对被授权人的签名事项负全部责任。</w:t>
      </w:r>
    </w:p>
    <w:p>
      <w:pPr>
        <w:adjustRightInd w:val="0"/>
        <w:spacing w:line="360" w:lineRule="auto"/>
        <w:ind w:firstLine="441" w:firstLineChars="210"/>
        <w:rPr>
          <w:rFonts w:ascii="宋体" w:hAnsi="宋体" w:cs="Arial"/>
        </w:rPr>
      </w:pPr>
      <w:r>
        <w:rPr>
          <w:rFonts w:hint="eastAsia" w:ascii="宋体" w:hAnsi="宋体" w:cs="Arial"/>
        </w:rPr>
        <w:t>在贵方收到我方撤销授权的书面通知以前，本授权书一直有效。被授权人在授权书有效期内签署的所有文件不因授权的撤销而失效。除我方书面撤销授权外，本授权书自响应截止之日起直至我方的响应文件有效期结束前始终有效。</w:t>
      </w:r>
    </w:p>
    <w:p>
      <w:pPr>
        <w:adjustRightInd w:val="0"/>
        <w:spacing w:line="360" w:lineRule="auto"/>
        <w:ind w:firstLine="441" w:firstLineChars="210"/>
        <w:rPr>
          <w:rFonts w:ascii="宋体" w:hAnsi="宋体" w:cs="Arial"/>
        </w:rPr>
      </w:pPr>
      <w:r>
        <w:rPr>
          <w:rFonts w:hint="eastAsia" w:ascii="宋体" w:hAnsi="宋体" w:cs="Arial"/>
        </w:rPr>
        <w:t>被授权人无转委托权，特此委托。</w:t>
      </w:r>
    </w:p>
    <w:p>
      <w:pPr>
        <w:spacing w:line="480" w:lineRule="auto"/>
        <w:ind w:firstLine="420" w:firstLineChars="200"/>
        <w:rPr>
          <w:rFonts w:ascii="宋体" w:hAnsi="宋体"/>
        </w:rPr>
      </w:pPr>
      <w:r>
        <w:rPr>
          <w:rFonts w:hint="eastAsia" w:ascii="宋体" w:hAnsi="宋体"/>
        </w:rPr>
        <w:t xml:space="preserve">供应商名称： </w:t>
      </w:r>
      <w:r>
        <w:rPr>
          <w:rFonts w:hint="eastAsia" w:ascii="宋体" w:hAnsi="宋体"/>
          <w:u w:val="single"/>
        </w:rPr>
        <w:t xml:space="preserve">       （全称）       </w:t>
      </w:r>
      <w:r>
        <w:rPr>
          <w:rFonts w:hint="eastAsia" w:ascii="宋体" w:hAnsi="宋体"/>
        </w:rPr>
        <w:t xml:space="preserve"> （盖单位公章）</w:t>
      </w:r>
    </w:p>
    <w:p>
      <w:pPr>
        <w:spacing w:line="480" w:lineRule="auto"/>
        <w:ind w:firstLine="420" w:firstLineChars="200"/>
        <w:rPr>
          <w:rFonts w:ascii="宋体" w:hAnsi="宋体" w:cs="Arial"/>
        </w:rPr>
      </w:pPr>
      <w:r>
        <w:rPr>
          <w:rFonts w:hint="eastAsia" w:ascii="宋体" w:hAnsi="宋体" w:cs="Arial"/>
        </w:rPr>
        <w:t>法定代表人（单位负责人）：（签字或加盖名章）</w:t>
      </w:r>
    </w:p>
    <w:p>
      <w:pPr>
        <w:spacing w:line="480" w:lineRule="auto"/>
        <w:ind w:firstLine="420" w:firstLineChars="200"/>
        <w:rPr>
          <w:rFonts w:ascii="宋体" w:hAnsi="宋体"/>
        </w:rPr>
      </w:pPr>
      <w:r>
        <w:rPr>
          <w:rFonts w:hint="eastAsia" w:ascii="宋体" w:hAnsi="宋体" w:cs="Arial"/>
        </w:rPr>
        <w:t>法定代表人（单位负责人）</w:t>
      </w:r>
      <w:r>
        <w:rPr>
          <w:rFonts w:hint="eastAsia" w:ascii="宋体" w:hAnsi="宋体"/>
        </w:rPr>
        <w:t>授权代表：  （签字或加盖名章）</w:t>
      </w:r>
    </w:p>
    <w:tbl>
      <w:tblPr>
        <w:tblStyle w:val="30"/>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法定代表人（单位负责人）身份证（正面）</w:t>
            </w:r>
          </w:p>
        </w:tc>
        <w:tc>
          <w:tcPr>
            <w:tcW w:w="448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法定代表人（单位负责人）授权代表身份证</w:t>
            </w:r>
          </w:p>
          <w:p>
            <w:pPr>
              <w:jc w:val="center"/>
              <w:rPr>
                <w:rFonts w:ascii="宋体" w:hAnsi="宋体"/>
              </w:rPr>
            </w:pPr>
            <w:r>
              <w:rPr>
                <w:rFonts w:hint="eastAsia" w:ascii="宋体" w:hAnsi="宋体"/>
              </w:rPr>
              <w:t>（正面）</w:t>
            </w:r>
          </w:p>
        </w:tc>
        <w:tc>
          <w:tcPr>
            <w:tcW w:w="449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法定代表人（单位负责人）授权代表身份证</w:t>
            </w:r>
          </w:p>
          <w:p>
            <w:pPr>
              <w:jc w:val="center"/>
              <w:rPr>
                <w:rFonts w:ascii="宋体" w:hAnsi="宋体"/>
              </w:rPr>
            </w:pPr>
            <w:r>
              <w:rPr>
                <w:rFonts w:hint="eastAsia" w:ascii="宋体" w:hAnsi="宋体"/>
              </w:rPr>
              <w:t>（反面）</w:t>
            </w:r>
          </w:p>
        </w:tc>
      </w:tr>
    </w:tbl>
    <w:p>
      <w:pPr>
        <w:spacing w:line="320" w:lineRule="exact"/>
        <w:ind w:left="2" w:firstLine="357" w:firstLineChars="149"/>
        <w:rPr>
          <w:rFonts w:ascii="宋体" w:hAnsi="宋体" w:cs="Courier New"/>
          <w:sz w:val="24"/>
          <w:szCs w:val="24"/>
        </w:rPr>
      </w:pPr>
    </w:p>
    <w:p>
      <w:pPr>
        <w:widowControl/>
        <w:spacing w:before="100" w:beforeAutospacing="1" w:after="100" w:afterAutospacing="1" w:line="360" w:lineRule="auto"/>
        <w:jc w:val="center"/>
        <w:rPr>
          <w:rFonts w:ascii="宋体" w:hAnsi="宋体"/>
          <w:b/>
          <w:bCs/>
          <w:sz w:val="24"/>
          <w:szCs w:val="24"/>
        </w:rPr>
      </w:pPr>
      <w:r>
        <w:rPr>
          <w:rFonts w:hint="eastAsia" w:ascii="宋体" w:hAnsi="宋体"/>
          <w:b/>
          <w:bCs/>
          <w:sz w:val="24"/>
          <w:szCs w:val="24"/>
        </w:rPr>
        <w:br w:type="page"/>
      </w:r>
      <w:bookmarkEnd w:id="8"/>
      <w:r>
        <w:rPr>
          <w:rFonts w:hint="eastAsia" w:ascii="宋体" w:hAnsi="宋体"/>
          <w:b/>
          <w:bCs/>
          <w:sz w:val="24"/>
          <w:szCs w:val="24"/>
        </w:rPr>
        <w:t>3.4 磋商承诺函</w:t>
      </w:r>
    </w:p>
    <w:p>
      <w:pPr>
        <w:autoSpaceDE w:val="0"/>
        <w:autoSpaceDN w:val="0"/>
        <w:snapToGrid w:val="0"/>
        <w:spacing w:line="360" w:lineRule="auto"/>
        <w:jc w:val="center"/>
        <w:rPr>
          <w:rFonts w:ascii="宋体" w:hAnsi="宋体"/>
          <w:b/>
          <w:bCs/>
          <w:sz w:val="24"/>
          <w:szCs w:val="24"/>
        </w:rPr>
      </w:pPr>
    </w:p>
    <w:p>
      <w:pPr>
        <w:spacing w:beforeLines="50" w:afterLines="50" w:line="360" w:lineRule="auto"/>
        <w:contextualSpacing/>
        <w:rPr>
          <w:rFonts w:ascii="宋体" w:hAnsi="宋体" w:cs="宋体"/>
          <w:sz w:val="20"/>
          <w:lang w:val="zh-CN"/>
        </w:rPr>
      </w:pPr>
      <w:r>
        <w:rPr>
          <w:rFonts w:hint="eastAsia" w:ascii="宋体" w:hAnsi="宋体" w:eastAsia="宋体" w:cs="仿宋_GB2312"/>
          <w:sz w:val="22"/>
          <w:szCs w:val="32"/>
        </w:rPr>
        <w:t>致：</w:t>
      </w:r>
      <w:r>
        <w:rPr>
          <w:rFonts w:hint="eastAsia" w:ascii="宋体" w:hAnsi="宋体" w:eastAsia="宋体" w:cs="仿宋_GB2312"/>
          <w:sz w:val="22"/>
          <w:szCs w:val="32"/>
          <w:u w:val="single"/>
        </w:rPr>
        <w:t>采购人</w:t>
      </w:r>
    </w:p>
    <w:p>
      <w:pPr>
        <w:spacing w:beforeLines="50" w:afterLines="50" w:line="360" w:lineRule="auto"/>
        <w:ind w:firstLine="420" w:firstLineChars="200"/>
        <w:contextualSpacing/>
        <w:rPr>
          <w:rFonts w:ascii="宋体" w:hAnsi="宋体" w:cs="宋体"/>
          <w:lang w:val="zh-CN"/>
        </w:rPr>
      </w:pPr>
      <w:r>
        <w:rPr>
          <w:rFonts w:hint="eastAsia" w:ascii="宋体" w:hAnsi="宋体" w:cs="宋体"/>
          <w:lang w:val="zh-CN"/>
        </w:rPr>
        <w:t>经研究，我方自愿参与贵方</w:t>
      </w:r>
      <w:r>
        <w:rPr>
          <w:rFonts w:hint="eastAsia" w:ascii="宋体" w:hAnsi="宋体" w:cs="宋体"/>
          <w:u w:val="single"/>
        </w:rPr>
        <w:t xml:space="preserve">   </w:t>
      </w:r>
      <w:r>
        <w:rPr>
          <w:rFonts w:hint="eastAsia" w:ascii="宋体" w:hAnsi="宋体" w:cs="宋体"/>
          <w:lang w:val="zh-CN"/>
        </w:rPr>
        <w:t>年</w:t>
      </w:r>
      <w:r>
        <w:rPr>
          <w:rFonts w:hint="eastAsia" w:ascii="宋体" w:hAnsi="宋体" w:cs="宋体"/>
          <w:u w:val="single"/>
        </w:rPr>
        <w:t xml:space="preserve">   </w:t>
      </w:r>
      <w:r>
        <w:rPr>
          <w:rFonts w:hint="eastAsia" w:ascii="宋体" w:hAnsi="宋体" w:cs="宋体"/>
          <w:lang w:val="zh-CN"/>
        </w:rPr>
        <w:t>月</w:t>
      </w:r>
      <w:r>
        <w:rPr>
          <w:rFonts w:hint="eastAsia" w:ascii="宋体" w:hAnsi="宋体" w:cs="宋体"/>
          <w:u w:val="single"/>
        </w:rPr>
        <w:t xml:space="preserve">   </w:t>
      </w:r>
      <w:r>
        <w:rPr>
          <w:rFonts w:hint="eastAsia" w:ascii="宋体" w:hAnsi="宋体" w:cs="宋体"/>
          <w:lang w:val="zh-CN"/>
        </w:rPr>
        <w:t>日</w:t>
      </w:r>
      <w:r>
        <w:rPr>
          <w:rFonts w:hint="eastAsia" w:ascii="宋体" w:hAnsi="宋体" w:cs="宋体"/>
          <w:i/>
          <w:u w:val="single"/>
          <w:lang w:val="zh-CN"/>
        </w:rPr>
        <w:t>（招标编号、项目名称）</w:t>
      </w:r>
      <w:r>
        <w:rPr>
          <w:rFonts w:hint="eastAsia" w:ascii="宋体" w:hAnsi="宋体" w:cs="宋体"/>
          <w:lang w:val="zh-CN"/>
        </w:rPr>
        <w:t>的投标响应，将严格遵守《中华人民共和国政府采购法》等相关法律法规规定，并无条件地遵守本次采购活动各项规定。我们郑重承诺：我方如果在本次磋商响应活动中有下列情形之一的，愿接受政府采购监督管理部门给予相关处罚并承诺依法承担相关的经济赔偿责任和法律责任。</w:t>
      </w:r>
    </w:p>
    <w:p>
      <w:pPr>
        <w:spacing w:beforeLines="50" w:afterLines="50" w:line="360" w:lineRule="auto"/>
        <w:ind w:firstLine="420" w:firstLineChars="200"/>
        <w:contextualSpacing/>
        <w:rPr>
          <w:rFonts w:ascii="宋体" w:hAnsi="宋体" w:cs="宋体"/>
          <w:lang w:val="zh-CN"/>
        </w:rPr>
      </w:pPr>
      <w:r>
        <w:rPr>
          <w:rFonts w:hint="eastAsia" w:ascii="宋体" w:hAnsi="宋体" w:cs="宋体"/>
          <w:lang w:val="zh-CN"/>
        </w:rPr>
        <w:t>一、在响应有效期内撤销响应文件；</w:t>
      </w:r>
    </w:p>
    <w:p>
      <w:pPr>
        <w:spacing w:beforeLines="50" w:afterLines="50" w:line="360" w:lineRule="auto"/>
        <w:ind w:firstLine="420" w:firstLineChars="200"/>
        <w:contextualSpacing/>
        <w:rPr>
          <w:rFonts w:ascii="宋体" w:hAnsi="宋体" w:cs="宋体"/>
          <w:lang w:val="zh-CN"/>
        </w:rPr>
      </w:pPr>
      <w:r>
        <w:rPr>
          <w:rFonts w:hint="eastAsia" w:ascii="宋体" w:hAnsi="宋体" w:cs="宋体"/>
          <w:lang w:val="zh-CN"/>
        </w:rPr>
        <w:t>二、在响应文件中提供虚假材料；</w:t>
      </w:r>
    </w:p>
    <w:p>
      <w:pPr>
        <w:spacing w:beforeLines="50" w:afterLines="50" w:line="360" w:lineRule="auto"/>
        <w:ind w:firstLine="420" w:firstLineChars="200"/>
        <w:contextualSpacing/>
        <w:rPr>
          <w:rFonts w:ascii="宋体" w:hAnsi="宋体" w:cs="宋体"/>
          <w:lang w:val="zh-CN"/>
        </w:rPr>
      </w:pPr>
      <w:r>
        <w:rPr>
          <w:rFonts w:hint="eastAsia" w:ascii="宋体" w:hAnsi="宋体" w:cs="宋体"/>
          <w:lang w:val="zh-CN"/>
        </w:rPr>
        <w:t>三、除因不可抗力或磋商文件认可的情形以外，成交后不与采购人签订合同；</w:t>
      </w:r>
    </w:p>
    <w:p>
      <w:pPr>
        <w:spacing w:beforeLines="50" w:afterLines="50" w:line="360" w:lineRule="auto"/>
        <w:ind w:firstLine="420" w:firstLineChars="200"/>
        <w:contextualSpacing/>
        <w:rPr>
          <w:rFonts w:ascii="宋体" w:hAnsi="宋体" w:cs="宋体"/>
          <w:lang w:val="zh-CN"/>
        </w:rPr>
      </w:pPr>
      <w:r>
        <w:rPr>
          <w:rFonts w:hint="eastAsia" w:ascii="宋体" w:hAnsi="宋体" w:cs="宋体"/>
          <w:lang w:val="zh-CN"/>
        </w:rPr>
        <w:t>四、与采购人、其他供应商或者集中采购机构恶意串通；</w:t>
      </w:r>
    </w:p>
    <w:p>
      <w:pPr>
        <w:spacing w:beforeLines="50" w:afterLines="50" w:line="360" w:lineRule="auto"/>
        <w:ind w:firstLine="420" w:firstLineChars="200"/>
        <w:contextualSpacing/>
        <w:rPr>
          <w:rFonts w:ascii="宋体" w:hAnsi="宋体" w:cs="宋体"/>
          <w:lang w:val="zh-CN"/>
        </w:rPr>
      </w:pPr>
      <w:r>
        <w:rPr>
          <w:rFonts w:hint="eastAsia" w:ascii="宋体" w:hAnsi="宋体" w:cs="宋体"/>
          <w:lang w:val="zh-CN"/>
        </w:rPr>
        <w:t>五、法律法规及本磋商文件规定的其他严重违法行为。</w:t>
      </w:r>
    </w:p>
    <w:p>
      <w:pPr>
        <w:rPr>
          <w:sz w:val="28"/>
          <w:szCs w:val="28"/>
          <w:u w:val="single"/>
        </w:rPr>
      </w:pPr>
    </w:p>
    <w:p>
      <w:pPr>
        <w:rPr>
          <w:sz w:val="28"/>
          <w:szCs w:val="28"/>
          <w:u w:val="single"/>
        </w:rPr>
      </w:pPr>
    </w:p>
    <w:p>
      <w:pPr>
        <w:spacing w:line="480" w:lineRule="auto"/>
        <w:ind w:firstLine="4357" w:firstLineChars="2075"/>
        <w:rPr>
          <w:rFonts w:ascii="宋体" w:hAnsi="宋体" w:cs="Arial"/>
        </w:rPr>
      </w:pPr>
      <w:r>
        <w:rPr>
          <w:rFonts w:hint="eastAsia" w:ascii="宋体" w:hAnsi="宋体" w:cs="Arial"/>
        </w:rPr>
        <w:t>供应商名称（并加盖公章）：　　　　　　　　　</w:t>
      </w:r>
    </w:p>
    <w:p>
      <w:pPr>
        <w:spacing w:line="480" w:lineRule="auto"/>
        <w:ind w:firstLine="4357" w:firstLineChars="2075"/>
        <w:rPr>
          <w:rFonts w:ascii="宋体" w:hAnsi="宋体" w:cs="Arial"/>
        </w:rPr>
      </w:pPr>
      <w:r>
        <w:rPr>
          <w:rFonts w:hint="eastAsia" w:ascii="宋体" w:hAnsi="宋体" w:cs="Arial"/>
        </w:rPr>
        <w:t>日　  期：      年    月    日</w:t>
      </w:r>
    </w:p>
    <w:p>
      <w:pPr>
        <w:autoSpaceDE w:val="0"/>
        <w:autoSpaceDN w:val="0"/>
        <w:adjustRightInd w:val="0"/>
        <w:spacing w:line="360" w:lineRule="auto"/>
        <w:jc w:val="center"/>
        <w:outlineLvl w:val="0"/>
        <w:rPr>
          <w:rFonts w:hAnsi="宋体"/>
          <w:b/>
          <w:snapToGrid w:val="0"/>
          <w:kern w:val="0"/>
          <w:sz w:val="36"/>
          <w:szCs w:val="36"/>
        </w:rPr>
      </w:pPr>
    </w:p>
    <w:p>
      <w:pPr>
        <w:autoSpaceDE w:val="0"/>
        <w:autoSpaceDN w:val="0"/>
        <w:adjustRightInd w:val="0"/>
        <w:spacing w:line="360" w:lineRule="auto"/>
        <w:jc w:val="center"/>
        <w:rPr>
          <w:rFonts w:ascii="宋体" w:cs="宋体"/>
          <w:lang w:val="zh-CN"/>
        </w:rPr>
      </w:pPr>
    </w:p>
    <w:p>
      <w:pPr>
        <w:autoSpaceDE w:val="0"/>
        <w:autoSpaceDN w:val="0"/>
        <w:adjustRightInd w:val="0"/>
        <w:spacing w:line="360" w:lineRule="auto"/>
        <w:jc w:val="center"/>
        <w:rPr>
          <w:rFonts w:ascii="宋体" w:cs="宋体"/>
          <w:lang w:val="zh-CN"/>
        </w:rPr>
      </w:pPr>
    </w:p>
    <w:p>
      <w:pPr>
        <w:autoSpaceDE w:val="0"/>
        <w:autoSpaceDN w:val="0"/>
        <w:adjustRightInd w:val="0"/>
        <w:spacing w:line="360" w:lineRule="auto"/>
        <w:jc w:val="center"/>
        <w:rPr>
          <w:rFonts w:ascii="宋体" w:cs="宋体"/>
          <w:lang w:val="zh-CN"/>
        </w:rPr>
      </w:pPr>
    </w:p>
    <w:p>
      <w:pPr>
        <w:autoSpaceDE w:val="0"/>
        <w:autoSpaceDN w:val="0"/>
        <w:adjustRightInd w:val="0"/>
        <w:spacing w:line="360" w:lineRule="auto"/>
        <w:jc w:val="center"/>
        <w:rPr>
          <w:rFonts w:ascii="宋体" w:cs="宋体"/>
          <w:lang w:val="zh-CN"/>
        </w:rPr>
      </w:pPr>
    </w:p>
    <w:p>
      <w:pPr>
        <w:autoSpaceDE w:val="0"/>
        <w:autoSpaceDN w:val="0"/>
        <w:adjustRightInd w:val="0"/>
        <w:spacing w:line="360" w:lineRule="auto"/>
        <w:jc w:val="center"/>
        <w:rPr>
          <w:rFonts w:ascii="宋体" w:cs="宋体"/>
          <w:lang w:val="zh-CN"/>
        </w:rPr>
      </w:pPr>
    </w:p>
    <w:p>
      <w:pPr>
        <w:autoSpaceDE w:val="0"/>
        <w:autoSpaceDN w:val="0"/>
        <w:adjustRightInd w:val="0"/>
        <w:spacing w:line="360" w:lineRule="auto"/>
        <w:ind w:right="-11"/>
        <w:rPr>
          <w:rFonts w:ascii="宋体" w:cs="宋体"/>
          <w:lang w:val="zh-CN"/>
        </w:rPr>
      </w:pPr>
    </w:p>
    <w:p>
      <w:pPr>
        <w:autoSpaceDE w:val="0"/>
        <w:autoSpaceDN w:val="0"/>
        <w:adjustRightInd w:val="0"/>
        <w:spacing w:line="360" w:lineRule="auto"/>
        <w:jc w:val="center"/>
        <w:rPr>
          <w:rFonts w:ascii="宋体" w:hAnsi="宋体" w:cs="宋体"/>
          <w:sz w:val="24"/>
          <w:szCs w:val="24"/>
          <w:lang w:val="zh-CN"/>
        </w:rPr>
      </w:pPr>
    </w:p>
    <w:p>
      <w:pPr>
        <w:autoSpaceDE w:val="0"/>
        <w:autoSpaceDN w:val="0"/>
        <w:adjustRightInd w:val="0"/>
        <w:spacing w:line="360" w:lineRule="auto"/>
        <w:jc w:val="center"/>
        <w:rPr>
          <w:rFonts w:ascii="宋体" w:hAnsi="宋体" w:cs="宋体"/>
          <w:sz w:val="24"/>
          <w:szCs w:val="24"/>
          <w:lang w:val="zh-CN"/>
        </w:rPr>
      </w:pPr>
    </w:p>
    <w:p>
      <w:pPr>
        <w:jc w:val="center"/>
        <w:rPr>
          <w:rFonts w:ascii="方正小标宋简体" w:hAnsi="方正小标宋简体" w:eastAsia="方正小标宋简体" w:cs="方正小标宋简体"/>
          <w:sz w:val="36"/>
          <w:szCs w:val="36"/>
        </w:rPr>
      </w:pPr>
      <w:r>
        <w:rPr>
          <w:rFonts w:hint="eastAsia" w:ascii="宋体" w:hAnsi="宋体"/>
          <w:b/>
          <w:bCs/>
          <w:sz w:val="24"/>
          <w:szCs w:val="24"/>
        </w:rPr>
        <w:br w:type="page"/>
      </w:r>
      <w:r>
        <w:rPr>
          <w:rFonts w:hint="eastAsia" w:ascii="宋体" w:hAnsi="宋体"/>
          <w:b/>
          <w:bCs/>
          <w:sz w:val="28"/>
          <w:szCs w:val="24"/>
        </w:rPr>
        <w:t>3.5</w:t>
      </w:r>
      <w:r>
        <w:rPr>
          <w:rFonts w:hint="eastAsia" w:ascii="宋体" w:hAnsi="宋体" w:eastAsia="宋体" w:cs="方正小标宋简体"/>
          <w:b/>
          <w:sz w:val="32"/>
          <w:szCs w:val="36"/>
        </w:rPr>
        <w:t>长葛市政府采购供应商信用承诺函</w:t>
      </w:r>
    </w:p>
    <w:p>
      <w:pPr>
        <w:rPr>
          <w:rFonts w:ascii="仿宋_GB2312" w:hAnsi="仿宋_GB2312" w:eastAsia="仿宋_GB2312" w:cs="仿宋_GB2312"/>
          <w:sz w:val="32"/>
          <w:szCs w:val="32"/>
        </w:rPr>
      </w:pPr>
    </w:p>
    <w:p>
      <w:pPr>
        <w:spacing w:line="600" w:lineRule="exact"/>
        <w:rPr>
          <w:rFonts w:ascii="宋体" w:hAnsi="宋体" w:eastAsia="宋体" w:cs="仿宋_GB2312"/>
          <w:sz w:val="24"/>
          <w:szCs w:val="32"/>
        </w:rPr>
      </w:pPr>
      <w:r>
        <w:rPr>
          <w:rFonts w:hint="eastAsia" w:ascii="宋体" w:hAnsi="宋体" w:eastAsia="宋体" w:cs="仿宋_GB2312"/>
          <w:sz w:val="24"/>
          <w:szCs w:val="32"/>
        </w:rPr>
        <w:t>致</w:t>
      </w:r>
      <w:r>
        <w:rPr>
          <w:rFonts w:hint="eastAsia" w:ascii="宋体" w:hAnsi="宋体" w:eastAsia="宋体" w:cs="仿宋_GB2312"/>
          <w:sz w:val="24"/>
          <w:szCs w:val="32"/>
          <w:u w:val="single"/>
        </w:rPr>
        <w:t>（采购人或集中采购机构）</w:t>
      </w:r>
      <w:r>
        <w:rPr>
          <w:rFonts w:hint="eastAsia" w:ascii="宋体" w:hAnsi="宋体" w:eastAsia="宋体" w:cs="仿宋_GB2312"/>
          <w:sz w:val="24"/>
          <w:szCs w:val="32"/>
        </w:rPr>
        <w:t>：</w:t>
      </w:r>
    </w:p>
    <w:p>
      <w:pPr>
        <w:spacing w:line="600" w:lineRule="exact"/>
        <w:ind w:firstLine="436" w:firstLineChars="200"/>
        <w:rPr>
          <w:rFonts w:ascii="宋体" w:hAnsi="宋体" w:eastAsia="宋体" w:cs="仿宋_GB2312"/>
          <w:spacing w:val="-11"/>
          <w:sz w:val="24"/>
          <w:szCs w:val="32"/>
          <w:u w:val="single"/>
        </w:rPr>
      </w:pPr>
      <w:r>
        <w:rPr>
          <w:rFonts w:hint="eastAsia" w:ascii="宋体" w:hAnsi="宋体" w:eastAsia="宋体" w:cs="仿宋_GB2312"/>
          <w:spacing w:val="-11"/>
          <w:sz w:val="24"/>
          <w:szCs w:val="32"/>
        </w:rPr>
        <w:t>单位名称（自然人姓名）:</w:t>
      </w:r>
      <w:r>
        <w:rPr>
          <w:rFonts w:hint="eastAsia" w:ascii="宋体" w:hAnsi="宋体" w:eastAsia="宋体" w:cs="仿宋_GB2312"/>
          <w:spacing w:val="-11"/>
          <w:sz w:val="24"/>
          <w:szCs w:val="32"/>
          <w:u w:val="single"/>
        </w:rPr>
        <w:t xml:space="preserve">               </w:t>
      </w:r>
    </w:p>
    <w:p>
      <w:pPr>
        <w:spacing w:line="600" w:lineRule="exact"/>
        <w:ind w:firstLine="436" w:firstLineChars="200"/>
        <w:rPr>
          <w:rFonts w:ascii="宋体" w:hAnsi="宋体" w:eastAsia="宋体" w:cs="仿宋_GB2312"/>
          <w:spacing w:val="-11"/>
          <w:sz w:val="24"/>
          <w:szCs w:val="32"/>
          <w:u w:val="single"/>
        </w:rPr>
      </w:pPr>
      <w:r>
        <w:rPr>
          <w:rFonts w:hint="eastAsia" w:ascii="宋体" w:hAnsi="宋体" w:eastAsia="宋体" w:cs="仿宋_GB2312"/>
          <w:spacing w:val="-11"/>
          <w:sz w:val="24"/>
          <w:szCs w:val="32"/>
        </w:rPr>
        <w:t>统一社会信用代码（身份证号码）:</w:t>
      </w:r>
      <w:r>
        <w:rPr>
          <w:rFonts w:hint="eastAsia" w:ascii="宋体" w:hAnsi="宋体" w:eastAsia="宋体" w:cs="仿宋_GB2312"/>
          <w:spacing w:val="-11"/>
          <w:sz w:val="24"/>
          <w:szCs w:val="32"/>
          <w:u w:val="single"/>
        </w:rPr>
        <w:t xml:space="preserve">             </w:t>
      </w:r>
    </w:p>
    <w:p>
      <w:pPr>
        <w:spacing w:line="600" w:lineRule="exact"/>
        <w:ind w:firstLine="436" w:firstLineChars="200"/>
        <w:rPr>
          <w:rFonts w:ascii="宋体" w:hAnsi="宋体" w:eastAsia="宋体" w:cs="仿宋_GB2312"/>
          <w:spacing w:val="-11"/>
          <w:sz w:val="24"/>
          <w:szCs w:val="32"/>
          <w:u w:val="single"/>
        </w:rPr>
      </w:pPr>
      <w:r>
        <w:rPr>
          <w:rFonts w:hint="eastAsia" w:ascii="宋体" w:hAnsi="宋体" w:eastAsia="宋体" w:cs="仿宋_GB2312"/>
          <w:spacing w:val="-11"/>
          <w:sz w:val="24"/>
          <w:szCs w:val="32"/>
        </w:rPr>
        <w:t>法定代表人（负责人）:</w:t>
      </w:r>
      <w:r>
        <w:rPr>
          <w:rFonts w:hint="eastAsia" w:ascii="宋体" w:hAnsi="宋体" w:eastAsia="宋体" w:cs="仿宋_GB2312"/>
          <w:spacing w:val="-11"/>
          <w:sz w:val="24"/>
          <w:szCs w:val="32"/>
          <w:u w:val="single"/>
        </w:rPr>
        <w:t xml:space="preserve">             </w:t>
      </w:r>
    </w:p>
    <w:p>
      <w:pPr>
        <w:spacing w:line="600" w:lineRule="exact"/>
        <w:ind w:firstLine="436" w:firstLineChars="200"/>
        <w:rPr>
          <w:rFonts w:ascii="宋体" w:hAnsi="宋体" w:eastAsia="宋体" w:cs="仿宋_GB2312"/>
          <w:spacing w:val="-11"/>
          <w:sz w:val="24"/>
          <w:szCs w:val="32"/>
          <w:u w:val="single"/>
        </w:rPr>
      </w:pPr>
      <w:r>
        <w:rPr>
          <w:rFonts w:hint="eastAsia" w:ascii="宋体" w:hAnsi="宋体" w:eastAsia="宋体" w:cs="仿宋_GB2312"/>
          <w:spacing w:val="-11"/>
          <w:sz w:val="24"/>
          <w:szCs w:val="32"/>
        </w:rPr>
        <w:t>联系地址和电话：</w:t>
      </w:r>
      <w:r>
        <w:rPr>
          <w:rFonts w:hint="eastAsia" w:ascii="宋体" w:hAnsi="宋体" w:eastAsia="宋体" w:cs="仿宋_GB2312"/>
          <w:spacing w:val="-11"/>
          <w:sz w:val="24"/>
          <w:szCs w:val="32"/>
          <w:u w:val="single"/>
        </w:rPr>
        <w:t xml:space="preserve">              </w:t>
      </w:r>
    </w:p>
    <w:p>
      <w:pPr>
        <w:spacing w:line="600" w:lineRule="exact"/>
        <w:ind w:firstLine="436" w:firstLineChars="200"/>
        <w:rPr>
          <w:rFonts w:ascii="宋体" w:hAnsi="宋体" w:eastAsia="宋体" w:cs="仿宋_GB2312"/>
          <w:spacing w:val="-11"/>
          <w:sz w:val="24"/>
          <w:szCs w:val="32"/>
        </w:rPr>
      </w:pPr>
      <w:r>
        <w:rPr>
          <w:rFonts w:hint="eastAsia" w:ascii="宋体" w:hAnsi="宋体" w:eastAsia="宋体" w:cs="仿宋_GB2312"/>
          <w:spacing w:val="-11"/>
          <w:sz w:val="24"/>
          <w:szCs w:val="32"/>
        </w:rPr>
        <w:t>为维护公平、公正、公开的政府采购市场秩序，树立诚实守信的政府采购供应商形象，我单位（本人）自愿作出以下承诺：</w:t>
      </w:r>
    </w:p>
    <w:p>
      <w:pPr>
        <w:spacing w:line="600" w:lineRule="exact"/>
        <w:ind w:firstLine="436" w:firstLineChars="200"/>
        <w:rPr>
          <w:rFonts w:ascii="宋体" w:hAnsi="宋体" w:eastAsia="宋体" w:cs="仿宋_GB2312"/>
          <w:spacing w:val="-11"/>
          <w:sz w:val="24"/>
          <w:szCs w:val="32"/>
        </w:rPr>
      </w:pPr>
      <w:r>
        <w:rPr>
          <w:rFonts w:hint="eastAsia" w:ascii="宋体" w:hAnsi="宋体" w:eastAsia="宋体" w:cs="仿宋_GB2312"/>
          <w:spacing w:val="-11"/>
          <w:sz w:val="24"/>
          <w:szCs w:val="32"/>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磋商文件、本承诺书的条件：</w:t>
      </w:r>
    </w:p>
    <w:p>
      <w:pPr>
        <w:spacing w:line="600" w:lineRule="exact"/>
        <w:ind w:firstLine="436" w:firstLineChars="200"/>
        <w:rPr>
          <w:rFonts w:ascii="宋体" w:hAnsi="宋体" w:eastAsia="宋体" w:cs="仿宋_GB2312"/>
          <w:spacing w:val="-11"/>
          <w:sz w:val="24"/>
          <w:szCs w:val="32"/>
        </w:rPr>
      </w:pPr>
      <w:r>
        <w:rPr>
          <w:rFonts w:hint="eastAsia" w:ascii="宋体" w:hAnsi="宋体" w:eastAsia="宋体" w:cs="仿宋_GB2312"/>
          <w:spacing w:val="-11"/>
          <w:sz w:val="24"/>
          <w:szCs w:val="32"/>
        </w:rPr>
        <w:t>（一）具有独立承担民事责任的能力；</w:t>
      </w:r>
    </w:p>
    <w:p>
      <w:pPr>
        <w:spacing w:line="600" w:lineRule="exact"/>
        <w:ind w:firstLine="436" w:firstLineChars="200"/>
        <w:rPr>
          <w:rFonts w:ascii="宋体" w:hAnsi="宋体" w:eastAsia="宋体" w:cs="仿宋_GB2312"/>
          <w:spacing w:val="-11"/>
          <w:sz w:val="24"/>
          <w:szCs w:val="32"/>
        </w:rPr>
      </w:pPr>
      <w:r>
        <w:rPr>
          <w:rFonts w:hint="eastAsia" w:ascii="宋体" w:hAnsi="宋体" w:eastAsia="宋体" w:cs="仿宋_GB2312"/>
          <w:spacing w:val="-11"/>
          <w:sz w:val="24"/>
          <w:szCs w:val="32"/>
        </w:rPr>
        <w:t>（二）具有良好的商业信誉和健全的财务会计制度；</w:t>
      </w:r>
    </w:p>
    <w:p>
      <w:pPr>
        <w:spacing w:line="600" w:lineRule="exact"/>
        <w:ind w:firstLine="436" w:firstLineChars="200"/>
        <w:rPr>
          <w:rFonts w:ascii="宋体" w:hAnsi="宋体" w:eastAsia="宋体" w:cs="仿宋_GB2312"/>
          <w:spacing w:val="-11"/>
          <w:sz w:val="24"/>
          <w:szCs w:val="32"/>
        </w:rPr>
      </w:pPr>
      <w:r>
        <w:rPr>
          <w:rFonts w:hint="eastAsia" w:ascii="宋体" w:hAnsi="宋体" w:eastAsia="宋体" w:cs="仿宋_GB2312"/>
          <w:spacing w:val="-11"/>
          <w:sz w:val="24"/>
          <w:szCs w:val="32"/>
        </w:rPr>
        <w:t>（三）具有履行合同所必需的设备和专业技术能力；</w:t>
      </w:r>
    </w:p>
    <w:p>
      <w:pPr>
        <w:spacing w:line="600" w:lineRule="exact"/>
        <w:ind w:firstLine="436" w:firstLineChars="200"/>
        <w:rPr>
          <w:rFonts w:ascii="宋体" w:hAnsi="宋体" w:eastAsia="宋体" w:cs="仿宋_GB2312"/>
          <w:spacing w:val="-11"/>
          <w:sz w:val="24"/>
          <w:szCs w:val="32"/>
        </w:rPr>
      </w:pPr>
      <w:r>
        <w:rPr>
          <w:rFonts w:hint="eastAsia" w:ascii="宋体" w:hAnsi="宋体" w:eastAsia="宋体" w:cs="仿宋_GB2312"/>
          <w:spacing w:val="-11"/>
          <w:sz w:val="24"/>
          <w:szCs w:val="32"/>
        </w:rPr>
        <w:t>（四）有依法缴纳税收和社会保障资金的良好记录；</w:t>
      </w:r>
    </w:p>
    <w:p>
      <w:pPr>
        <w:spacing w:line="600" w:lineRule="exact"/>
        <w:ind w:firstLine="436" w:firstLineChars="200"/>
        <w:rPr>
          <w:rFonts w:ascii="宋体" w:hAnsi="宋体" w:eastAsia="宋体" w:cs="仿宋_GB2312"/>
          <w:spacing w:val="-11"/>
          <w:sz w:val="24"/>
          <w:szCs w:val="32"/>
        </w:rPr>
      </w:pPr>
      <w:r>
        <w:rPr>
          <w:rFonts w:hint="eastAsia" w:ascii="宋体" w:hAnsi="宋体" w:eastAsia="宋体" w:cs="仿宋_GB2312"/>
          <w:spacing w:val="-11"/>
          <w:sz w:val="24"/>
          <w:szCs w:val="32"/>
        </w:rPr>
        <w:t>（五）参加政府采购活动前三年内，在经营活动中没有重大违法记录；</w:t>
      </w:r>
    </w:p>
    <w:p>
      <w:pPr>
        <w:spacing w:line="600" w:lineRule="exact"/>
        <w:ind w:firstLine="436" w:firstLineChars="200"/>
        <w:rPr>
          <w:rFonts w:ascii="宋体" w:hAnsi="宋体" w:eastAsia="宋体" w:cs="仿宋_GB2312"/>
          <w:spacing w:val="-11"/>
          <w:sz w:val="24"/>
          <w:szCs w:val="32"/>
        </w:rPr>
      </w:pPr>
      <w:r>
        <w:rPr>
          <w:rFonts w:hint="eastAsia" w:ascii="宋体" w:hAnsi="宋体" w:eastAsia="宋体" w:cs="仿宋_GB2312"/>
          <w:spacing w:val="-11"/>
          <w:sz w:val="24"/>
          <w:szCs w:val="32"/>
        </w:rPr>
        <w:t>（六）未被列入经营异常名录或者严重违法失信名单、失信被执行人，重大税收违法案件当事人名单、政府采购严重违法失信行为记录名单；</w:t>
      </w:r>
    </w:p>
    <w:p>
      <w:pPr>
        <w:spacing w:line="600" w:lineRule="exact"/>
        <w:ind w:firstLine="436" w:firstLineChars="200"/>
        <w:rPr>
          <w:rFonts w:ascii="宋体" w:hAnsi="宋体" w:eastAsia="宋体" w:cs="仿宋_GB2312"/>
          <w:spacing w:val="-11"/>
          <w:sz w:val="24"/>
          <w:szCs w:val="32"/>
        </w:rPr>
      </w:pPr>
      <w:r>
        <w:rPr>
          <w:rFonts w:hint="eastAsia" w:ascii="宋体" w:hAnsi="宋体" w:eastAsia="宋体" w:cs="仿宋_GB2312"/>
          <w:spacing w:val="-11"/>
          <w:sz w:val="24"/>
          <w:szCs w:val="32"/>
        </w:rPr>
        <w:t>（七）未被相关监管部门作出行政处罚且尚在处罚有效期的；</w:t>
      </w:r>
    </w:p>
    <w:p>
      <w:pPr>
        <w:spacing w:line="600" w:lineRule="exact"/>
        <w:ind w:firstLine="436" w:firstLineChars="200"/>
        <w:rPr>
          <w:rFonts w:ascii="宋体" w:hAnsi="宋体" w:eastAsia="宋体" w:cs="仿宋_GB2312"/>
          <w:spacing w:val="-11"/>
          <w:sz w:val="24"/>
          <w:szCs w:val="32"/>
        </w:rPr>
      </w:pPr>
      <w:r>
        <w:rPr>
          <w:rFonts w:hint="eastAsia" w:ascii="宋体" w:hAnsi="宋体" w:eastAsia="宋体" w:cs="仿宋_GB2312"/>
          <w:spacing w:val="-11"/>
          <w:sz w:val="24"/>
          <w:szCs w:val="32"/>
        </w:rPr>
        <w:t>（八）未曾作出虚假采购承诺；</w:t>
      </w:r>
    </w:p>
    <w:p>
      <w:pPr>
        <w:spacing w:line="600" w:lineRule="exact"/>
        <w:ind w:firstLine="436" w:firstLineChars="200"/>
        <w:rPr>
          <w:rFonts w:ascii="宋体" w:hAnsi="宋体" w:eastAsia="宋体" w:cs="仿宋_GB2312"/>
          <w:spacing w:val="-11"/>
          <w:sz w:val="24"/>
          <w:szCs w:val="32"/>
        </w:rPr>
      </w:pPr>
      <w:r>
        <w:rPr>
          <w:rFonts w:hint="eastAsia" w:ascii="宋体" w:hAnsi="宋体" w:eastAsia="宋体" w:cs="仿宋_GB2312"/>
          <w:spacing w:val="-11"/>
          <w:sz w:val="24"/>
          <w:szCs w:val="32"/>
        </w:rPr>
        <w:t>（九）符合法律、行政法规规定的其他条件。</w:t>
      </w:r>
    </w:p>
    <w:p>
      <w:pPr>
        <w:spacing w:line="600" w:lineRule="exact"/>
        <w:ind w:firstLine="436" w:firstLineChars="200"/>
        <w:rPr>
          <w:rFonts w:ascii="宋体" w:hAnsi="宋体" w:eastAsia="宋体" w:cs="仿宋_GB2312"/>
          <w:spacing w:val="-11"/>
          <w:sz w:val="24"/>
          <w:szCs w:val="32"/>
        </w:rPr>
      </w:pPr>
      <w:r>
        <w:rPr>
          <w:rFonts w:hint="eastAsia" w:ascii="宋体" w:hAnsi="宋体" w:eastAsia="宋体" w:cs="仿宋_GB2312"/>
          <w:spacing w:val="-11"/>
          <w:sz w:val="24"/>
          <w:szCs w:val="32"/>
        </w:rPr>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pPr>
        <w:spacing w:line="600" w:lineRule="exact"/>
        <w:ind w:firstLine="436" w:firstLineChars="200"/>
        <w:rPr>
          <w:rFonts w:ascii="宋体" w:hAnsi="宋体" w:eastAsia="宋体" w:cs="仿宋_GB2312"/>
          <w:spacing w:val="-11"/>
          <w:sz w:val="24"/>
          <w:szCs w:val="32"/>
        </w:rPr>
      </w:pPr>
      <w:r>
        <w:rPr>
          <w:rFonts w:hint="eastAsia" w:ascii="宋体" w:hAnsi="宋体" w:eastAsia="宋体" w:cs="仿宋_GB2312"/>
          <w:spacing w:val="-11"/>
          <w:sz w:val="24"/>
          <w:szCs w:val="32"/>
        </w:rPr>
        <w:t>供应商（电子章）:</w:t>
      </w:r>
    </w:p>
    <w:p>
      <w:pPr>
        <w:spacing w:line="600" w:lineRule="exact"/>
        <w:ind w:firstLine="436" w:firstLineChars="200"/>
        <w:rPr>
          <w:rFonts w:ascii="宋体" w:hAnsi="宋体" w:eastAsia="宋体" w:cs="仿宋_GB2312"/>
          <w:spacing w:val="-11"/>
          <w:sz w:val="24"/>
          <w:szCs w:val="32"/>
        </w:rPr>
      </w:pPr>
      <w:r>
        <w:rPr>
          <w:rFonts w:hint="eastAsia" w:ascii="宋体" w:hAnsi="宋体" w:eastAsia="宋体" w:cs="仿宋_GB2312"/>
          <w:spacing w:val="-11"/>
          <w:sz w:val="24"/>
          <w:szCs w:val="32"/>
        </w:rPr>
        <w:t>法定代表人、负责人、本人、或授权代表（签字或电子印章）:</w:t>
      </w:r>
    </w:p>
    <w:p>
      <w:pPr>
        <w:spacing w:line="600" w:lineRule="exact"/>
        <w:ind w:firstLine="436" w:firstLineChars="200"/>
        <w:rPr>
          <w:rFonts w:ascii="宋体" w:hAnsi="宋体" w:eastAsia="宋体" w:cs="仿宋_GB2312"/>
          <w:spacing w:val="-11"/>
          <w:sz w:val="24"/>
          <w:szCs w:val="32"/>
        </w:rPr>
      </w:pPr>
      <w:r>
        <w:rPr>
          <w:rFonts w:hint="eastAsia" w:ascii="宋体" w:hAnsi="宋体" w:eastAsia="宋体" w:cs="仿宋_GB2312"/>
          <w:spacing w:val="-11"/>
          <w:sz w:val="24"/>
          <w:szCs w:val="32"/>
        </w:rPr>
        <w:t>日期：    年   月  日</w:t>
      </w:r>
    </w:p>
    <w:p>
      <w:pPr>
        <w:rPr>
          <w:rFonts w:ascii="仿宋_GB2312" w:hAnsi="仿宋_GB2312" w:eastAsia="仿宋_GB2312" w:cs="仿宋_GB2312"/>
          <w:sz w:val="32"/>
          <w:szCs w:val="32"/>
        </w:rPr>
      </w:pPr>
    </w:p>
    <w:p>
      <w:pPr>
        <w:rPr>
          <w:rFonts w:ascii="华文仿宋" w:hAnsi="华文仿宋" w:eastAsia="华文仿宋" w:cs="华文仿宋"/>
        </w:rPr>
      </w:pPr>
    </w:p>
    <w:p>
      <w:pPr>
        <w:rPr>
          <w:rFonts w:ascii="宋体" w:hAnsi="宋体" w:eastAsia="宋体" w:cs="华文仿宋"/>
          <w:b/>
          <w:sz w:val="22"/>
        </w:rPr>
      </w:pPr>
      <w:r>
        <w:rPr>
          <w:rFonts w:hint="eastAsia" w:ascii="宋体" w:hAnsi="宋体" w:eastAsia="宋体" w:cs="华文仿宋"/>
          <w:b/>
          <w:sz w:val="22"/>
        </w:rPr>
        <w:t>注：1.供应商须在响应文件中按此模板提供承诺函，未提供视为未实质性响应磋商文件要求，按无效响应处理。</w:t>
      </w:r>
    </w:p>
    <w:p>
      <w:pPr>
        <w:rPr>
          <w:rFonts w:ascii="宋体" w:hAnsi="宋体" w:eastAsia="宋体" w:cs="华文仿宋"/>
          <w:b/>
          <w:sz w:val="22"/>
        </w:rPr>
      </w:pPr>
      <w:r>
        <w:rPr>
          <w:rFonts w:hint="eastAsia" w:ascii="宋体" w:hAnsi="宋体" w:eastAsia="宋体" w:cs="华文仿宋"/>
          <w:b/>
          <w:sz w:val="22"/>
        </w:rPr>
        <w:t>2.供应商的法定代表人或者授权代表的签字或盖章应真实、有效，如由授权代表签字或盖章的，应提供“法定代表人授权书”。</w:t>
      </w:r>
    </w:p>
    <w:p>
      <w:pPr>
        <w:spacing w:line="360" w:lineRule="auto"/>
        <w:jc w:val="cente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pStyle w:val="16"/>
        <w:rPr>
          <w:rFonts w:ascii="宋体" w:cs="宋体"/>
          <w:sz w:val="24"/>
          <w:lang w:val="zh-CN"/>
        </w:rPr>
      </w:pPr>
    </w:p>
    <w:p>
      <w:pPr>
        <w:pStyle w:val="16"/>
        <w:rPr>
          <w:rFonts w:ascii="宋体" w:cs="宋体"/>
          <w:sz w:val="24"/>
          <w:lang w:val="zh-CN"/>
        </w:rPr>
      </w:pPr>
    </w:p>
    <w:p>
      <w:pPr>
        <w:pStyle w:val="16"/>
        <w:rPr>
          <w:rFonts w:ascii="宋体" w:cs="宋体"/>
          <w:sz w:val="24"/>
          <w:lang w:val="zh-CN"/>
        </w:rPr>
      </w:pPr>
    </w:p>
    <w:p>
      <w:pPr>
        <w:spacing w:line="360" w:lineRule="auto"/>
        <w:rPr>
          <w:rFonts w:ascii="宋体" w:hAnsi="宋体"/>
          <w:b/>
          <w:bCs/>
          <w:sz w:val="24"/>
          <w:szCs w:val="24"/>
        </w:rPr>
      </w:pPr>
    </w:p>
    <w:p>
      <w:pPr>
        <w:spacing w:line="360" w:lineRule="auto"/>
        <w:jc w:val="center"/>
        <w:rPr>
          <w:rFonts w:ascii="宋体" w:hAnsi="宋体"/>
          <w:b/>
          <w:bCs/>
          <w:sz w:val="24"/>
          <w:szCs w:val="24"/>
        </w:rPr>
      </w:pPr>
      <w:r>
        <w:rPr>
          <w:rFonts w:hint="eastAsia" w:ascii="宋体" w:hAnsi="宋体"/>
          <w:b/>
          <w:bCs/>
          <w:sz w:val="24"/>
          <w:szCs w:val="24"/>
        </w:rPr>
        <w:br w:type="page"/>
      </w:r>
    </w:p>
    <w:p>
      <w:pPr>
        <w:spacing w:line="360" w:lineRule="auto"/>
        <w:jc w:val="center"/>
        <w:rPr>
          <w:rFonts w:ascii="宋体" w:hAnsi="宋体"/>
          <w:b/>
          <w:bCs/>
          <w:sz w:val="24"/>
          <w:szCs w:val="24"/>
        </w:rPr>
      </w:pPr>
      <w:r>
        <w:rPr>
          <w:rFonts w:hint="eastAsia" w:ascii="宋体" w:hAnsi="宋体"/>
          <w:b/>
          <w:bCs/>
          <w:sz w:val="24"/>
          <w:szCs w:val="24"/>
        </w:rPr>
        <w:t>3.6供应商提供与参加本项目磋商响应的其他供应商之间，单位负责人不为同一人并且不存在直接控股、管理关系承诺函</w:t>
      </w:r>
    </w:p>
    <w:p>
      <w:pPr>
        <w:spacing w:line="360" w:lineRule="auto"/>
        <w:jc w:val="center"/>
        <w:rPr>
          <w:rFonts w:ascii="宋体" w:hAnsi="宋体"/>
          <w:bCs/>
          <w:sz w:val="24"/>
          <w:szCs w:val="24"/>
        </w:rPr>
      </w:pPr>
      <w:r>
        <w:rPr>
          <w:rFonts w:hint="eastAsia" w:ascii="宋体" w:hAnsi="宋体"/>
          <w:bCs/>
          <w:sz w:val="24"/>
          <w:szCs w:val="24"/>
        </w:rPr>
        <w:t>（承诺函格式自拟）</w:t>
      </w:r>
    </w:p>
    <w:p>
      <w:pPr>
        <w:autoSpaceDE w:val="0"/>
        <w:autoSpaceDN w:val="0"/>
        <w:adjustRightInd w:val="0"/>
        <w:spacing w:line="360" w:lineRule="auto"/>
        <w:jc w:val="center"/>
        <w:outlineLvl w:val="0"/>
        <w:rPr>
          <w:rFonts w:ascii="宋体" w:hAnsi="宋体"/>
          <w:b/>
          <w:bCs/>
          <w:sz w:val="24"/>
          <w:szCs w:val="24"/>
        </w:rPr>
      </w:pPr>
    </w:p>
    <w:p>
      <w:pPr>
        <w:widowControl/>
        <w:jc w:val="left"/>
        <w:rPr>
          <w:rFonts w:ascii="宋体" w:hAnsi="宋体"/>
          <w:b/>
          <w:bCs/>
          <w:sz w:val="24"/>
          <w:szCs w:val="24"/>
        </w:rPr>
      </w:pPr>
    </w:p>
    <w:p>
      <w:pPr>
        <w:widowControl/>
        <w:jc w:val="left"/>
        <w:rPr>
          <w:rFonts w:ascii="宋体" w:hAnsi="宋体"/>
          <w:b/>
          <w:bCs/>
          <w:sz w:val="24"/>
          <w:szCs w:val="24"/>
        </w:rPr>
      </w:pPr>
    </w:p>
    <w:p>
      <w:pPr>
        <w:widowControl/>
        <w:jc w:val="left"/>
        <w:rPr>
          <w:rFonts w:ascii="宋体" w:hAnsi="宋体"/>
          <w:b/>
          <w:bCs/>
          <w:sz w:val="24"/>
          <w:szCs w:val="24"/>
        </w:rPr>
      </w:pPr>
    </w:p>
    <w:p>
      <w:pPr>
        <w:widowControl/>
        <w:jc w:val="left"/>
        <w:rPr>
          <w:rFonts w:ascii="宋体" w:hAnsi="宋体"/>
          <w:b/>
          <w:bCs/>
          <w:sz w:val="24"/>
          <w:szCs w:val="24"/>
        </w:rPr>
      </w:pPr>
    </w:p>
    <w:p>
      <w:pPr>
        <w:widowControl/>
        <w:jc w:val="left"/>
        <w:rPr>
          <w:rFonts w:ascii="宋体" w:hAnsi="宋体"/>
          <w:b/>
          <w:bCs/>
          <w:sz w:val="24"/>
          <w:szCs w:val="24"/>
        </w:rPr>
      </w:pPr>
    </w:p>
    <w:p>
      <w:pPr>
        <w:widowControl/>
        <w:jc w:val="left"/>
        <w:rPr>
          <w:rFonts w:ascii="宋体" w:hAnsi="宋体"/>
          <w:b/>
          <w:bCs/>
          <w:sz w:val="24"/>
          <w:szCs w:val="24"/>
        </w:rPr>
      </w:pPr>
      <w:r>
        <w:rPr>
          <w:rFonts w:hint="eastAsia" w:ascii="宋体" w:hAnsi="宋体"/>
          <w:b/>
          <w:bCs/>
          <w:sz w:val="24"/>
          <w:szCs w:val="24"/>
        </w:rPr>
        <w:t>3.7供应商提供未为本项目提供整体设计、规范编制或者项目管理、监理、检测等服务承诺函</w:t>
      </w:r>
    </w:p>
    <w:p>
      <w:pPr>
        <w:spacing w:line="360" w:lineRule="auto"/>
        <w:jc w:val="center"/>
        <w:rPr>
          <w:rFonts w:ascii="宋体" w:hAnsi="宋体"/>
          <w:bCs/>
          <w:sz w:val="24"/>
          <w:szCs w:val="24"/>
        </w:rPr>
      </w:pPr>
      <w:r>
        <w:rPr>
          <w:rFonts w:hint="eastAsia" w:ascii="宋体" w:hAnsi="宋体"/>
          <w:bCs/>
          <w:sz w:val="24"/>
          <w:szCs w:val="24"/>
        </w:rPr>
        <w:t>（承诺函格式自拟）</w:t>
      </w:r>
    </w:p>
    <w:p>
      <w:pPr>
        <w:spacing w:line="360" w:lineRule="auto"/>
        <w:jc w:val="center"/>
        <w:rPr>
          <w:rFonts w:ascii="宋体" w:hAnsi="宋体"/>
          <w:bCs/>
          <w:sz w:val="24"/>
          <w:szCs w:val="24"/>
        </w:rPr>
      </w:pPr>
    </w:p>
    <w:p>
      <w:pPr>
        <w:widowControl/>
        <w:jc w:val="left"/>
        <w:rPr>
          <w:rFonts w:ascii="宋体" w:hAnsi="宋体"/>
          <w:b/>
          <w:bCs/>
          <w:sz w:val="24"/>
          <w:szCs w:val="24"/>
        </w:rPr>
      </w:pPr>
      <w:r>
        <w:rPr>
          <w:rFonts w:ascii="宋体" w:hAnsi="宋体"/>
          <w:b/>
          <w:bCs/>
          <w:sz w:val="24"/>
          <w:szCs w:val="24"/>
        </w:rPr>
        <w:br w:type="page"/>
      </w: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3.8</w:t>
      </w:r>
      <w:r>
        <w:rPr>
          <w:rFonts w:ascii="宋体" w:hAnsi="宋体"/>
          <w:b/>
          <w:bCs/>
          <w:sz w:val="24"/>
          <w:szCs w:val="24"/>
        </w:rPr>
        <w:t>中小企业声明函（货物）</w:t>
      </w:r>
    </w:p>
    <w:p>
      <w:pPr>
        <w:spacing w:line="360" w:lineRule="auto"/>
        <w:jc w:val="center"/>
        <w:rPr>
          <w:rFonts w:ascii="宋体" w:hAnsi="宋体"/>
          <w:b/>
          <w:bCs/>
        </w:rPr>
      </w:pPr>
    </w:p>
    <w:p>
      <w:pPr>
        <w:spacing w:line="360" w:lineRule="auto"/>
        <w:ind w:firstLine="707" w:firstLineChars="337"/>
        <w:jc w:val="left"/>
      </w:pPr>
      <w:r>
        <w:t>本公司（联合体）郑重声明，根据《政府采购促进中小企业发展管理办法》（财库﹝2020﹞46 号）的规定，本公司（联合体）参加</w:t>
      </w:r>
      <w:r>
        <w:rPr>
          <w:i/>
          <w:u w:val="single"/>
        </w:rPr>
        <w:t>（单位名称）</w:t>
      </w:r>
      <w:r>
        <w:t>的</w:t>
      </w:r>
      <w:r>
        <w:rPr>
          <w:i/>
          <w:u w:val="single"/>
        </w:rPr>
        <w:t>（项目名称）</w:t>
      </w:r>
      <w:r>
        <w:t>采购活动，提供的货物全部由符合政策要求的中小企业制造。相关企业（含联合体中的中小企业、签订分包意向协议的中小企业）的具体情况如下：</w:t>
      </w:r>
    </w:p>
    <w:p>
      <w:pPr>
        <w:spacing w:line="360" w:lineRule="auto"/>
        <w:ind w:firstLine="707" w:firstLineChars="337"/>
        <w:jc w:val="left"/>
      </w:pPr>
      <w:r>
        <w:t xml:space="preserve">1. </w:t>
      </w:r>
      <w:r>
        <w:rPr>
          <w:i/>
          <w:u w:val="single"/>
        </w:rPr>
        <w:t>（标的名称）</w:t>
      </w:r>
      <w:r>
        <w:t>，属于</w:t>
      </w:r>
      <w:r>
        <w:rPr>
          <w:i/>
          <w:u w:val="single"/>
        </w:rPr>
        <w:t>（采购文件中明确的所属行业）</w:t>
      </w:r>
      <w:r>
        <w:t>行业；制造商为</w:t>
      </w:r>
      <w:r>
        <w:rPr>
          <w:i/>
          <w:u w:val="single"/>
        </w:rPr>
        <w:t>（企业名称）</w:t>
      </w:r>
      <w:r>
        <w:t>，从业人员人，营业收入为万元，资产总额为万元，属于</w:t>
      </w:r>
      <w:r>
        <w:rPr>
          <w:i/>
          <w:u w:val="single"/>
        </w:rPr>
        <w:t>（中型企业、小型企业、微型企业）</w:t>
      </w:r>
      <w:r>
        <w:t>；</w:t>
      </w:r>
    </w:p>
    <w:p>
      <w:pPr>
        <w:spacing w:line="360" w:lineRule="auto"/>
        <w:ind w:firstLine="707" w:firstLineChars="337"/>
        <w:jc w:val="left"/>
      </w:pPr>
      <w:r>
        <w:t xml:space="preserve">2. </w:t>
      </w:r>
      <w:r>
        <w:rPr>
          <w:i/>
          <w:u w:val="single"/>
        </w:rPr>
        <w:t>（标的名称）</w:t>
      </w:r>
      <w:r>
        <w:t>，属于</w:t>
      </w:r>
      <w:r>
        <w:rPr>
          <w:i/>
          <w:u w:val="single"/>
        </w:rPr>
        <w:t>（采购文件中明确的所属行业）</w:t>
      </w:r>
      <w:r>
        <w:t>行业；制造商为</w:t>
      </w:r>
      <w:r>
        <w:rPr>
          <w:i/>
          <w:u w:val="single"/>
        </w:rPr>
        <w:t>（企业名称）</w:t>
      </w:r>
      <w:r>
        <w:t>，从业人员人，营业收入为万元，资产总额为万元，属于</w:t>
      </w:r>
      <w:r>
        <w:rPr>
          <w:i/>
          <w:u w:val="single"/>
        </w:rPr>
        <w:t>（中型企业、小型企业、微型企业）</w:t>
      </w:r>
      <w:r>
        <w:t>；</w:t>
      </w:r>
    </w:p>
    <w:p>
      <w:pPr>
        <w:spacing w:line="360" w:lineRule="auto"/>
        <w:ind w:firstLine="707" w:firstLineChars="337"/>
        <w:jc w:val="left"/>
      </w:pPr>
      <w:r>
        <w:t xml:space="preserve">…… </w:t>
      </w:r>
    </w:p>
    <w:p>
      <w:pPr>
        <w:spacing w:line="360" w:lineRule="auto"/>
        <w:ind w:firstLine="707" w:firstLineChars="337"/>
        <w:jc w:val="left"/>
      </w:pPr>
      <w:r>
        <w:t>以上企业，不属于大企业的分支机构，不存在控股股东为大企业的情形，也不存在与大企业的负责人为同一人的情形。</w:t>
      </w:r>
    </w:p>
    <w:p>
      <w:pPr>
        <w:spacing w:line="360" w:lineRule="auto"/>
        <w:ind w:firstLine="707" w:firstLineChars="337"/>
        <w:jc w:val="left"/>
      </w:pPr>
      <w:r>
        <w:t>本企业对上述声明内容的真实性负责。如有虚假，将依法承担相应责任。</w:t>
      </w:r>
    </w:p>
    <w:p>
      <w:pPr>
        <w:spacing w:line="360" w:lineRule="auto"/>
        <w:ind w:firstLine="707" w:firstLineChars="337"/>
        <w:jc w:val="left"/>
      </w:pPr>
    </w:p>
    <w:p>
      <w:pPr>
        <w:spacing w:line="360" w:lineRule="auto"/>
        <w:ind w:firstLine="707" w:firstLineChars="337"/>
        <w:jc w:val="left"/>
      </w:pPr>
    </w:p>
    <w:p>
      <w:pPr>
        <w:spacing w:line="480" w:lineRule="auto"/>
        <w:ind w:firstLine="5957" w:firstLineChars="2837"/>
        <w:jc w:val="left"/>
      </w:pPr>
      <w:r>
        <w:t>企业名称（盖章）：</w:t>
      </w:r>
    </w:p>
    <w:p>
      <w:pPr>
        <w:spacing w:line="480" w:lineRule="auto"/>
        <w:ind w:firstLine="5957" w:firstLineChars="2837"/>
        <w:jc w:val="left"/>
        <w:rPr>
          <w:rFonts w:ascii="宋体" w:hAnsi="宋体" w:cs="Arial"/>
        </w:rPr>
      </w:pPr>
      <w:r>
        <w:t>日期：</w:t>
      </w:r>
    </w:p>
    <w:p>
      <w:pPr>
        <w:spacing w:line="480" w:lineRule="auto"/>
        <w:ind w:left="4358" w:leftChars="2075"/>
        <w:rPr>
          <w:rFonts w:ascii="宋体" w:hAnsi="宋体" w:cs="Arial"/>
        </w:rPr>
      </w:pPr>
    </w:p>
    <w:p>
      <w:pPr>
        <w:widowControl/>
        <w:spacing w:before="100" w:beforeAutospacing="1" w:after="100" w:afterAutospacing="1" w:line="360" w:lineRule="auto"/>
        <w:contextualSpacing/>
        <w:jc w:val="left"/>
        <w:rPr>
          <w:rFonts w:ascii="宋体" w:hAnsi="宋体"/>
        </w:rPr>
      </w:pPr>
      <w:r>
        <w:rPr>
          <w:rFonts w:hint="eastAsia" w:ascii="宋体" w:hAnsi="宋体"/>
        </w:rPr>
        <w:t>说明：</w:t>
      </w:r>
    </w:p>
    <w:p>
      <w:pPr>
        <w:widowControl/>
        <w:spacing w:before="100" w:beforeAutospacing="1" w:after="100" w:afterAutospacing="1" w:line="360" w:lineRule="auto"/>
        <w:contextualSpacing/>
        <w:jc w:val="left"/>
        <w:rPr>
          <w:rFonts w:ascii="宋体" w:hAnsi="宋体" w:cs="Arial"/>
          <w:kern w:val="0"/>
        </w:rPr>
      </w:pPr>
      <w:r>
        <w:rPr>
          <w:rFonts w:hint="eastAsia" w:ascii="宋体" w:hAnsi="宋体" w:cs="Arial"/>
          <w:kern w:val="0"/>
        </w:rPr>
        <w:t>1、</w:t>
      </w:r>
      <w:r>
        <w:t>从业人员、营业收入、资产总额填报上一年度数据，无上一年度数据的新成立企业可不填报。</w:t>
      </w:r>
    </w:p>
    <w:p>
      <w:pPr>
        <w:spacing w:line="360" w:lineRule="auto"/>
        <w:jc w:val="center"/>
        <w:rPr>
          <w:rFonts w:ascii="宋体" w:hAnsi="宋体"/>
          <w:bCs/>
          <w:sz w:val="24"/>
          <w:szCs w:val="24"/>
        </w:rPr>
      </w:pPr>
      <w:r>
        <w:rPr>
          <w:rFonts w:hint="eastAsia" w:ascii="宋体" w:hAnsi="宋体" w:cs="Arial"/>
          <w:kern w:val="0"/>
        </w:rPr>
        <w:t>2、</w:t>
      </w:r>
      <w:r>
        <w:rPr>
          <w:rFonts w:ascii="宋体" w:hAnsi="宋体" w:cs="Arial"/>
          <w:kern w:val="0"/>
        </w:rPr>
        <w:t>中小企业参加政府采购活动，应当出具</w:t>
      </w:r>
      <w:r>
        <w:t>《中小企业声明函》，否则不得享受相关中小企业扶持政</w:t>
      </w:r>
      <w:r>
        <w:rPr>
          <w:rFonts w:ascii="宋体" w:hAnsi="宋体" w:cs="Arial"/>
          <w:kern w:val="0"/>
        </w:rPr>
        <w:t>策。</w:t>
      </w:r>
    </w:p>
    <w:p>
      <w:pPr>
        <w:spacing w:line="360" w:lineRule="auto"/>
        <w:ind w:firstLine="361" w:firstLineChars="150"/>
        <w:jc w:val="center"/>
        <w:rPr>
          <w:rFonts w:ascii="宋体" w:hAnsi="宋体"/>
          <w:b/>
          <w:bCs/>
          <w:sz w:val="24"/>
          <w:szCs w:val="24"/>
        </w:rPr>
      </w:pPr>
    </w:p>
    <w:p>
      <w:pPr>
        <w:spacing w:line="360" w:lineRule="auto"/>
        <w:jc w:val="center"/>
        <w:rPr>
          <w:rFonts w:ascii="宋体" w:hAnsi="宋体"/>
          <w:bCs/>
          <w:sz w:val="24"/>
          <w:szCs w:val="24"/>
        </w:rPr>
      </w:pPr>
      <w:r>
        <w:rPr>
          <w:rFonts w:ascii="宋体" w:hAnsi="宋体"/>
          <w:b/>
          <w:bCs/>
          <w:sz w:val="24"/>
          <w:szCs w:val="24"/>
        </w:rPr>
        <w:br w:type="page"/>
      </w:r>
    </w:p>
    <w:p>
      <w:pPr>
        <w:widowControl/>
        <w:spacing w:line="276" w:lineRule="auto"/>
        <w:jc w:val="center"/>
        <w:rPr>
          <w:rFonts w:ascii="宋体" w:hAnsi="宋体"/>
          <w:b/>
          <w:bCs/>
          <w:sz w:val="24"/>
          <w:szCs w:val="24"/>
        </w:rPr>
      </w:pPr>
      <w:r>
        <w:rPr>
          <w:rFonts w:hint="eastAsia" w:ascii="宋体" w:hAnsi="宋体"/>
          <w:b/>
          <w:bCs/>
          <w:sz w:val="24"/>
          <w:szCs w:val="24"/>
        </w:rPr>
        <w:t>3.9</w:t>
      </w:r>
      <w:r>
        <w:rPr>
          <w:rFonts w:ascii="宋体" w:hAnsi="宋体"/>
          <w:b/>
          <w:bCs/>
          <w:sz w:val="24"/>
          <w:szCs w:val="24"/>
        </w:rPr>
        <w:t>中小企业声明函（工程、服务）</w:t>
      </w:r>
    </w:p>
    <w:p>
      <w:pPr>
        <w:widowControl/>
        <w:spacing w:line="276" w:lineRule="auto"/>
        <w:ind w:firstLine="315" w:firstLineChars="150"/>
        <w:jc w:val="left"/>
        <w:rPr>
          <w:rFonts w:ascii="宋体" w:hAnsi="宋体"/>
        </w:rPr>
      </w:pPr>
    </w:p>
    <w:p>
      <w:pPr>
        <w:widowControl/>
        <w:spacing w:line="276" w:lineRule="auto"/>
        <w:ind w:firstLine="315" w:firstLineChars="150"/>
        <w:jc w:val="left"/>
        <w:rPr>
          <w:rFonts w:ascii="宋体" w:hAnsi="宋体"/>
        </w:rPr>
      </w:pPr>
      <w:r>
        <w:rPr>
          <w:rFonts w:ascii="宋体" w:hAnsi="宋体"/>
        </w:rPr>
        <w:t>本公司（联合体）郑重声明，根据《政府采购促进中小 企业发展管理办法》（财库﹝2020﹞46 号）的规定，本公司 （联合体）参加（单位名称）的（项目名称）采购活动，工 程的施工单位全部为符合政策要求的中小企业（或者：服务 全部由符合政策要求的中小企业承接）。相关企业（含联合 体中的中小企业、签订分包意向协议的中小企业）的具体情 况如下：</w:t>
      </w:r>
    </w:p>
    <w:p>
      <w:pPr>
        <w:widowControl/>
        <w:spacing w:line="360" w:lineRule="auto"/>
        <w:ind w:firstLine="315" w:firstLineChars="150"/>
        <w:jc w:val="left"/>
        <w:rPr>
          <w:rFonts w:ascii="宋体" w:hAnsi="宋体"/>
        </w:rPr>
      </w:pPr>
      <w:r>
        <w:rPr>
          <w:rFonts w:ascii="宋体" w:hAnsi="宋体"/>
        </w:rPr>
        <w:t xml:space="preserve"> 1.</w:t>
      </w:r>
      <w:r>
        <w:rPr>
          <w:rFonts w:ascii="宋体" w:hAnsi="宋体"/>
          <w:i/>
          <w:u w:val="single"/>
        </w:rPr>
        <w:t xml:space="preserve"> （标的名称）</w:t>
      </w:r>
      <w:r>
        <w:rPr>
          <w:rFonts w:ascii="宋体" w:hAnsi="宋体"/>
        </w:rPr>
        <w:t xml:space="preserve"> ，属于</w:t>
      </w:r>
      <w:r>
        <w:rPr>
          <w:rFonts w:ascii="宋体" w:hAnsi="宋体"/>
          <w:i/>
          <w:u w:val="single"/>
        </w:rPr>
        <w:t>（采购文件中明确的所属行业）</w:t>
      </w:r>
      <w:r>
        <w:rPr>
          <w:rFonts w:ascii="宋体" w:hAnsi="宋体"/>
        </w:rPr>
        <w:t>； 承建（承接）企业为</w:t>
      </w:r>
      <w:r>
        <w:rPr>
          <w:rFonts w:ascii="宋体" w:hAnsi="宋体"/>
          <w:i/>
          <w:u w:val="single"/>
        </w:rPr>
        <w:t>（企业名称）</w:t>
      </w:r>
      <w:r>
        <w:rPr>
          <w:rFonts w:ascii="宋体" w:hAnsi="宋体"/>
        </w:rPr>
        <w:t>，从业人员 人，营业 收入为万元，资产总额为万元，属于</w:t>
      </w:r>
      <w:r>
        <w:rPr>
          <w:rFonts w:ascii="宋体" w:hAnsi="宋体"/>
          <w:i/>
          <w:u w:val="single"/>
        </w:rPr>
        <w:t>（中型企业、 小型企业、微型企业</w:t>
      </w:r>
      <w:r>
        <w:rPr>
          <w:rFonts w:ascii="宋体" w:hAnsi="宋体"/>
        </w:rPr>
        <w:t>）；</w:t>
      </w:r>
    </w:p>
    <w:p>
      <w:pPr>
        <w:widowControl/>
        <w:spacing w:line="360" w:lineRule="auto"/>
        <w:ind w:firstLine="315" w:firstLineChars="150"/>
        <w:jc w:val="left"/>
        <w:rPr>
          <w:rFonts w:ascii="宋体" w:hAnsi="宋体"/>
        </w:rPr>
      </w:pPr>
      <w:r>
        <w:rPr>
          <w:rFonts w:ascii="宋体" w:hAnsi="宋体"/>
        </w:rPr>
        <w:t xml:space="preserve"> 2. </w:t>
      </w:r>
      <w:r>
        <w:rPr>
          <w:rFonts w:ascii="宋体" w:hAnsi="宋体"/>
          <w:i/>
        </w:rPr>
        <w:t>（标的名称）</w:t>
      </w:r>
      <w:r>
        <w:rPr>
          <w:rFonts w:ascii="宋体" w:hAnsi="宋体"/>
        </w:rPr>
        <w:t xml:space="preserve"> ，属于</w:t>
      </w:r>
      <w:r>
        <w:rPr>
          <w:rFonts w:ascii="宋体" w:hAnsi="宋体"/>
          <w:i/>
        </w:rPr>
        <w:t>（采购文件中明确的所属行业）</w:t>
      </w:r>
      <w:r>
        <w:rPr>
          <w:rFonts w:ascii="宋体" w:hAnsi="宋体"/>
        </w:rPr>
        <w:t>； 承建（承接）企业为</w:t>
      </w:r>
      <w:r>
        <w:rPr>
          <w:rFonts w:ascii="宋体" w:hAnsi="宋体"/>
          <w:i/>
        </w:rPr>
        <w:t>（企业名称）</w:t>
      </w:r>
      <w:r>
        <w:rPr>
          <w:rFonts w:ascii="宋体" w:hAnsi="宋体"/>
        </w:rPr>
        <w:t>，从业人员人，营业 收入为万元，资产总额为万元，属于</w:t>
      </w:r>
      <w:r>
        <w:rPr>
          <w:rFonts w:ascii="宋体" w:hAnsi="宋体"/>
          <w:i/>
        </w:rPr>
        <w:t>（中型企业、 小型企业、微型企业）</w:t>
      </w:r>
      <w:r>
        <w:rPr>
          <w:rFonts w:ascii="宋体" w:hAnsi="宋体"/>
        </w:rPr>
        <w:t>；</w:t>
      </w:r>
    </w:p>
    <w:p>
      <w:pPr>
        <w:widowControl/>
        <w:spacing w:line="360" w:lineRule="auto"/>
        <w:ind w:firstLine="315" w:firstLineChars="150"/>
        <w:jc w:val="left"/>
        <w:rPr>
          <w:rFonts w:ascii="宋体" w:hAnsi="宋体"/>
        </w:rPr>
      </w:pPr>
      <w:r>
        <w:rPr>
          <w:rFonts w:ascii="宋体" w:hAnsi="宋体"/>
        </w:rPr>
        <w:t xml:space="preserve"> ……</w:t>
      </w:r>
    </w:p>
    <w:p>
      <w:pPr>
        <w:widowControl/>
        <w:spacing w:line="360" w:lineRule="auto"/>
        <w:ind w:firstLine="315" w:firstLineChars="150"/>
        <w:jc w:val="left"/>
        <w:rPr>
          <w:rFonts w:ascii="宋体" w:hAnsi="宋体"/>
        </w:rPr>
      </w:pPr>
      <w:r>
        <w:rPr>
          <w:rFonts w:ascii="宋体" w:hAnsi="宋体"/>
        </w:rPr>
        <w:t xml:space="preserve"> 以上企业，不属于大企业的分支机构，不存在控股股东 为大企业的情形，也不存在与大企业的负责人为同一人的情 形。 </w:t>
      </w:r>
    </w:p>
    <w:p>
      <w:pPr>
        <w:widowControl/>
        <w:spacing w:line="360" w:lineRule="auto"/>
        <w:ind w:firstLine="315" w:firstLineChars="150"/>
        <w:jc w:val="left"/>
        <w:rPr>
          <w:rFonts w:ascii="宋体" w:hAnsi="宋体"/>
        </w:rPr>
      </w:pPr>
      <w:r>
        <w:rPr>
          <w:rFonts w:ascii="宋体" w:hAnsi="宋体"/>
        </w:rPr>
        <w:t xml:space="preserve">本企业对上述声明内容的真实性负责。如有虚假，将依 法承担相应责任。 </w:t>
      </w:r>
    </w:p>
    <w:p>
      <w:pPr>
        <w:widowControl/>
        <w:spacing w:line="360" w:lineRule="auto"/>
        <w:ind w:right="840" w:firstLine="4830" w:firstLineChars="2300"/>
        <w:rPr>
          <w:rFonts w:ascii="宋体" w:hAnsi="宋体"/>
        </w:rPr>
      </w:pPr>
    </w:p>
    <w:p>
      <w:pPr>
        <w:widowControl/>
        <w:spacing w:line="360" w:lineRule="auto"/>
        <w:ind w:right="840" w:firstLine="4830" w:firstLineChars="2300"/>
        <w:rPr>
          <w:rFonts w:ascii="宋体" w:hAnsi="宋体"/>
        </w:rPr>
      </w:pPr>
      <w:r>
        <w:rPr>
          <w:rFonts w:ascii="宋体" w:hAnsi="宋体"/>
        </w:rPr>
        <w:t>企业名称（盖章）：</w:t>
      </w:r>
    </w:p>
    <w:p>
      <w:pPr>
        <w:widowControl/>
        <w:spacing w:line="360" w:lineRule="auto"/>
        <w:ind w:right="1155" w:firstLine="315" w:firstLineChars="150"/>
        <w:jc w:val="center"/>
        <w:rPr>
          <w:rFonts w:ascii="宋体" w:hAnsi="宋体"/>
        </w:rPr>
      </w:pPr>
      <w:r>
        <w:rPr>
          <w:rFonts w:ascii="宋体" w:hAnsi="宋体"/>
        </w:rPr>
        <w:t xml:space="preserve"> 日 期： </w:t>
      </w:r>
    </w:p>
    <w:p>
      <w:pPr>
        <w:autoSpaceDE w:val="0"/>
        <w:autoSpaceDN w:val="0"/>
        <w:adjustRightInd w:val="0"/>
        <w:spacing w:line="360" w:lineRule="auto"/>
        <w:jc w:val="center"/>
        <w:outlineLvl w:val="0"/>
        <w:rPr>
          <w:rFonts w:ascii="宋体" w:hAnsi="宋体" w:cs="Arial"/>
        </w:rPr>
      </w:pPr>
    </w:p>
    <w:p>
      <w:pPr>
        <w:widowControl/>
        <w:spacing w:before="100" w:beforeAutospacing="1" w:after="100" w:afterAutospacing="1" w:line="360" w:lineRule="auto"/>
        <w:contextualSpacing/>
        <w:jc w:val="left"/>
        <w:rPr>
          <w:rFonts w:ascii="宋体" w:hAnsi="宋体"/>
        </w:rPr>
      </w:pPr>
      <w:r>
        <w:rPr>
          <w:rFonts w:hint="eastAsia" w:ascii="宋体" w:hAnsi="宋体"/>
        </w:rPr>
        <w:t>说明：</w:t>
      </w:r>
    </w:p>
    <w:p>
      <w:pPr>
        <w:widowControl/>
        <w:spacing w:before="100" w:beforeAutospacing="1" w:after="100" w:afterAutospacing="1" w:line="360" w:lineRule="auto"/>
        <w:contextualSpacing/>
        <w:jc w:val="left"/>
        <w:rPr>
          <w:rFonts w:ascii="宋体" w:hAnsi="宋体" w:cs="Arial"/>
          <w:kern w:val="0"/>
        </w:rPr>
      </w:pPr>
      <w:r>
        <w:rPr>
          <w:rFonts w:hint="eastAsia" w:ascii="宋体" w:hAnsi="宋体" w:cs="Arial"/>
          <w:kern w:val="0"/>
        </w:rPr>
        <w:t>1、</w:t>
      </w:r>
      <w:r>
        <w:rPr>
          <w:rFonts w:hint="eastAsia"/>
        </w:rPr>
        <w:t>从业人员、营业收入、资产总额填报上一年度数据，无上一年度数据的新成立企业可不填报。</w:t>
      </w:r>
    </w:p>
    <w:p>
      <w:pPr>
        <w:widowControl/>
        <w:spacing w:before="100" w:beforeAutospacing="1" w:after="100" w:afterAutospacing="1" w:line="360" w:lineRule="auto"/>
        <w:contextualSpacing/>
        <w:jc w:val="left"/>
        <w:rPr>
          <w:rFonts w:ascii="宋体" w:hAnsi="宋体" w:cs="Arial"/>
          <w:kern w:val="0"/>
        </w:rPr>
      </w:pPr>
      <w:r>
        <w:rPr>
          <w:rFonts w:hint="eastAsia" w:ascii="宋体" w:hAnsi="宋体" w:cs="Arial"/>
          <w:kern w:val="0"/>
        </w:rPr>
        <w:t>2、中小企业参加政府采购活动，应当出具</w:t>
      </w:r>
      <w:r>
        <w:rPr>
          <w:rFonts w:hint="eastAsia"/>
        </w:rPr>
        <w:t>《中小企业声明函》，否则不得享受相关中小企业扶持政</w:t>
      </w:r>
      <w:r>
        <w:rPr>
          <w:rFonts w:hint="eastAsia" w:ascii="宋体" w:hAnsi="宋体" w:cs="Arial"/>
          <w:kern w:val="0"/>
        </w:rPr>
        <w:t>策。</w:t>
      </w:r>
    </w:p>
    <w:p>
      <w:pPr>
        <w:spacing w:line="360" w:lineRule="auto"/>
        <w:ind w:firstLine="361" w:firstLineChars="150"/>
        <w:jc w:val="center"/>
        <w:rPr>
          <w:rFonts w:ascii="宋体" w:hAnsi="宋体"/>
          <w:b/>
          <w:bCs/>
          <w:sz w:val="24"/>
          <w:szCs w:val="24"/>
        </w:rPr>
      </w:pPr>
    </w:p>
    <w:p>
      <w:pPr>
        <w:spacing w:line="360" w:lineRule="auto"/>
        <w:ind w:firstLine="361" w:firstLineChars="150"/>
        <w:jc w:val="center"/>
        <w:rPr>
          <w:rFonts w:ascii="宋体" w:hAnsi="宋体"/>
          <w:b/>
          <w:bCs/>
          <w:sz w:val="24"/>
          <w:szCs w:val="24"/>
        </w:rPr>
      </w:pPr>
    </w:p>
    <w:p>
      <w:pPr>
        <w:spacing w:line="360" w:lineRule="auto"/>
        <w:ind w:firstLine="361" w:firstLineChars="150"/>
        <w:jc w:val="center"/>
        <w:rPr>
          <w:rFonts w:ascii="宋体" w:hAnsi="宋体"/>
          <w:b/>
          <w:bCs/>
          <w:sz w:val="24"/>
          <w:szCs w:val="24"/>
        </w:rPr>
      </w:pPr>
    </w:p>
    <w:p>
      <w:pPr>
        <w:widowControl/>
        <w:jc w:val="left"/>
        <w:rPr>
          <w:rFonts w:ascii="宋体" w:hAnsi="宋体"/>
          <w:b/>
          <w:bCs/>
          <w:sz w:val="24"/>
          <w:szCs w:val="24"/>
        </w:rPr>
      </w:pPr>
      <w:r>
        <w:rPr>
          <w:rFonts w:ascii="宋体" w:hAnsi="宋体"/>
          <w:b/>
          <w:bCs/>
          <w:sz w:val="24"/>
          <w:szCs w:val="24"/>
        </w:rPr>
        <w:br w:type="page"/>
      </w:r>
    </w:p>
    <w:p>
      <w:pPr>
        <w:pStyle w:val="29"/>
        <w:ind w:firstLine="0" w:firstLineChars="0"/>
        <w:jc w:val="center"/>
        <w:rPr>
          <w:rFonts w:hAnsi="宋体"/>
          <w:b/>
          <w:bCs/>
          <w:sz w:val="24"/>
          <w:szCs w:val="24"/>
        </w:rPr>
      </w:pPr>
      <w:r>
        <w:rPr>
          <w:rFonts w:hint="eastAsia" w:hAnsi="宋体"/>
          <w:b/>
          <w:bCs/>
          <w:sz w:val="24"/>
          <w:szCs w:val="24"/>
        </w:rPr>
        <w:t>3.9其他资格证书或材料</w:t>
      </w:r>
    </w:p>
    <w:p>
      <w:pPr>
        <w:widowControl/>
        <w:jc w:val="left"/>
        <w:rPr>
          <w:rFonts w:ascii="宋体" w:hAnsi="宋体" w:cs="黑体"/>
          <w:b/>
          <w:bCs/>
          <w:sz w:val="28"/>
          <w:szCs w:val="28"/>
          <w:lang w:val="zh-CN"/>
        </w:rPr>
      </w:pPr>
      <w:r>
        <w:rPr>
          <w:rFonts w:ascii="宋体" w:hAnsi="宋体" w:cs="黑体"/>
          <w:b/>
          <w:bCs/>
          <w:sz w:val="28"/>
          <w:szCs w:val="28"/>
          <w:lang w:val="zh-CN"/>
        </w:rPr>
        <w:br w:type="page"/>
      </w:r>
    </w:p>
    <w:p>
      <w:pPr>
        <w:widowControl/>
        <w:jc w:val="center"/>
        <w:rPr>
          <w:rFonts w:ascii="宋体" w:hAnsi="宋体" w:cs="黑体"/>
          <w:b/>
          <w:bCs/>
          <w:sz w:val="28"/>
          <w:szCs w:val="28"/>
          <w:lang w:val="zh-CN"/>
        </w:rPr>
      </w:pPr>
      <w:r>
        <w:rPr>
          <w:rFonts w:hint="eastAsia" w:ascii="宋体" w:hAnsi="宋体" w:cs="黑体"/>
          <w:b/>
          <w:bCs/>
          <w:sz w:val="28"/>
          <w:szCs w:val="28"/>
          <w:lang w:val="zh-CN"/>
        </w:rPr>
        <w:t>四、符合性审查证明材料</w:t>
      </w: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4.1 投标分项报价表</w:t>
      </w:r>
    </w:p>
    <w:p>
      <w:pPr>
        <w:autoSpaceDE w:val="0"/>
        <w:autoSpaceDN w:val="0"/>
        <w:adjustRightInd w:val="0"/>
        <w:spacing w:line="360" w:lineRule="auto"/>
        <w:jc w:val="center"/>
        <w:outlineLvl w:val="0"/>
        <w:rPr>
          <w:rFonts w:ascii="宋体" w:hAnsi="宋体"/>
          <w:b/>
          <w:bCs/>
          <w:sz w:val="24"/>
          <w:szCs w:val="24"/>
        </w:rPr>
      </w:pPr>
    </w:p>
    <w:p>
      <w:pPr>
        <w:spacing w:before="50" w:afterLines="50" w:line="360" w:lineRule="auto"/>
        <w:contextualSpacing/>
        <w:jc w:val="left"/>
        <w:rPr>
          <w:rFonts w:ascii="宋体" w:hAnsi="宋体"/>
        </w:rPr>
      </w:pPr>
      <w:r>
        <w:rPr>
          <w:rFonts w:hint="eastAsia" w:ascii="宋体" w:hAnsi="宋体"/>
        </w:rPr>
        <w:t>项目编号：</w:t>
      </w:r>
    </w:p>
    <w:p>
      <w:pPr>
        <w:autoSpaceDE w:val="0"/>
        <w:autoSpaceDN w:val="0"/>
        <w:adjustRightInd w:val="0"/>
        <w:spacing w:line="360" w:lineRule="auto"/>
        <w:outlineLvl w:val="0"/>
        <w:rPr>
          <w:rFonts w:hAnsi="宋体"/>
          <w:b/>
          <w:snapToGrid w:val="0"/>
          <w:kern w:val="0"/>
        </w:rPr>
      </w:pPr>
      <w:r>
        <w:rPr>
          <w:rFonts w:hint="eastAsia" w:ascii="宋体" w:hAnsi="宋体"/>
        </w:rPr>
        <w:t xml:space="preserve">项目名称：   </w:t>
      </w:r>
    </w:p>
    <w:tbl>
      <w:tblPr>
        <w:tblStyle w:val="30"/>
        <w:tblW w:w="94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280" w:lineRule="exact"/>
              <w:jc w:val="center"/>
              <w:rPr>
                <w:rFonts w:ascii="宋体" w:hAnsi="宋体" w:cs="宋体"/>
                <w:b/>
                <w:lang w:val="zh-CN"/>
              </w:rPr>
            </w:pPr>
            <w:r>
              <w:rPr>
                <w:rFonts w:hint="eastAsia" w:ascii="宋体" w:hAnsi="宋体" w:cs="宋体"/>
                <w:b/>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宋体" w:hAnsi="宋体" w:cs="宋体"/>
                <w:b/>
                <w:lang w:val="zh-CN"/>
              </w:rPr>
            </w:pPr>
            <w:r>
              <w:rPr>
                <w:rFonts w:hint="eastAsia" w:ascii="宋体" w:hAnsi="宋体" w:cs="宋体"/>
                <w:b/>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ind w:firstLine="120"/>
              <w:jc w:val="center"/>
              <w:rPr>
                <w:rFonts w:ascii="宋体" w:hAnsi="宋体" w:cs="宋体"/>
                <w:b/>
                <w:lang w:val="zh-CN"/>
              </w:rPr>
            </w:pPr>
            <w:r>
              <w:rPr>
                <w:rFonts w:hint="eastAsia" w:ascii="宋体" w:hAnsi="宋体" w:cs="宋体"/>
                <w:b/>
                <w:lang w:val="zh-CN"/>
              </w:rPr>
              <w:t>品牌</w:t>
            </w:r>
          </w:p>
          <w:p>
            <w:pPr>
              <w:autoSpaceDE w:val="0"/>
              <w:autoSpaceDN w:val="0"/>
              <w:adjustRightInd w:val="0"/>
              <w:spacing w:line="360" w:lineRule="auto"/>
              <w:ind w:firstLine="120"/>
              <w:jc w:val="center"/>
              <w:rPr>
                <w:rFonts w:ascii="宋体" w:hAnsi="宋体" w:cs="宋体"/>
                <w:b/>
                <w:lang w:val="zh-CN"/>
              </w:rPr>
            </w:pPr>
            <w:r>
              <w:rPr>
                <w:rFonts w:hint="eastAsia" w:ascii="宋体" w:hAnsi="宋体" w:cs="宋体"/>
                <w:b/>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宋体" w:hAnsi="宋体" w:cs="宋体"/>
                <w:b/>
                <w:lang w:val="zh-CN"/>
              </w:rPr>
            </w:pPr>
            <w:r>
              <w:rPr>
                <w:rFonts w:hint="eastAsia" w:ascii="宋体" w:hAnsi="宋体" w:cs="宋体"/>
                <w:b/>
                <w:lang w:val="zh-CN"/>
              </w:rPr>
              <w:t>技术</w:t>
            </w:r>
          </w:p>
          <w:p>
            <w:pPr>
              <w:autoSpaceDE w:val="0"/>
              <w:autoSpaceDN w:val="0"/>
              <w:adjustRightInd w:val="0"/>
              <w:spacing w:line="360" w:lineRule="auto"/>
              <w:jc w:val="center"/>
              <w:rPr>
                <w:rFonts w:ascii="宋体" w:hAnsi="宋体" w:cs="宋体"/>
                <w:b/>
                <w:lang w:val="zh-CN"/>
              </w:rPr>
            </w:pPr>
            <w:r>
              <w:rPr>
                <w:rFonts w:hint="eastAsia" w:ascii="宋体" w:hAnsi="宋体" w:cs="宋体"/>
                <w:b/>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宋体" w:hAnsi="宋体" w:cs="宋体"/>
                <w:b/>
                <w:lang w:val="zh-CN"/>
              </w:rPr>
            </w:pPr>
            <w:r>
              <w:rPr>
                <w:rFonts w:hint="eastAsia" w:ascii="宋体" w:hAnsi="宋体" w:cs="宋体"/>
                <w:b/>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宋体" w:hAnsi="宋体" w:cs="宋体"/>
                <w:b/>
                <w:lang w:val="zh-CN"/>
              </w:rPr>
            </w:pPr>
            <w:r>
              <w:rPr>
                <w:rFonts w:hint="eastAsia" w:ascii="宋体" w:hAnsi="宋体" w:cs="宋体"/>
                <w:b/>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宋体" w:hAnsi="宋体" w:cs="宋体"/>
                <w:b/>
                <w:lang w:val="zh-CN"/>
              </w:rPr>
            </w:pPr>
            <w:r>
              <w:rPr>
                <w:rFonts w:hint="eastAsia" w:ascii="宋体" w:hAnsi="宋体" w:cs="宋体"/>
                <w:b/>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ind w:firstLine="120"/>
              <w:jc w:val="center"/>
              <w:rPr>
                <w:rFonts w:ascii="宋体" w:hAnsi="宋体" w:cs="宋体"/>
                <w:b/>
                <w:lang w:val="zh-CN"/>
              </w:rPr>
            </w:pPr>
            <w:r>
              <w:rPr>
                <w:rFonts w:hint="eastAsia" w:ascii="宋体" w:hAnsi="宋体" w:cs="宋体"/>
                <w:b/>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ind w:left="120" w:hanging="120"/>
              <w:jc w:val="center"/>
              <w:rPr>
                <w:rFonts w:ascii="宋体" w:hAnsi="宋体" w:cs="宋体"/>
                <w:b/>
                <w:lang w:val="zh-CN"/>
              </w:rPr>
            </w:pPr>
            <w:r>
              <w:rPr>
                <w:rFonts w:hint="eastAsia" w:ascii="宋体" w:hAnsi="宋体" w:cs="宋体"/>
                <w:b/>
                <w:lang w:val="zh-CN"/>
              </w:rPr>
              <w:t>厂家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rPr>
            </w:pPr>
            <w:r>
              <w:rPr>
                <w:rFonts w:hint="eastAsia" w:ascii="宋体" w:hAnsi="宋体"/>
              </w:rPr>
              <w:t>1</w:t>
            </w:r>
          </w:p>
        </w:tc>
        <w:tc>
          <w:tcPr>
            <w:tcW w:w="1134"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rPr>
            </w:pPr>
          </w:p>
        </w:tc>
        <w:tc>
          <w:tcPr>
            <w:tcW w:w="150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rPr>
            </w:pPr>
          </w:p>
        </w:tc>
        <w:tc>
          <w:tcPr>
            <w:tcW w:w="126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rPr>
            </w:pPr>
          </w:p>
        </w:tc>
        <w:tc>
          <w:tcPr>
            <w:tcW w:w="64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rPr>
            </w:pPr>
          </w:p>
        </w:tc>
        <w:tc>
          <w:tcPr>
            <w:tcW w:w="99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rPr>
            </w:pPr>
          </w:p>
        </w:tc>
        <w:tc>
          <w:tcPr>
            <w:tcW w:w="1066"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rPr>
            </w:pPr>
          </w:p>
        </w:tc>
        <w:tc>
          <w:tcPr>
            <w:tcW w:w="108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rPr>
            </w:pPr>
          </w:p>
        </w:tc>
        <w:tc>
          <w:tcPr>
            <w:tcW w:w="119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rPr>
            </w:pPr>
            <w:r>
              <w:rPr>
                <w:rFonts w:hint="eastAsia" w:ascii="宋体" w:hAnsi="宋体"/>
              </w:rPr>
              <w:t>2</w:t>
            </w:r>
          </w:p>
        </w:tc>
        <w:tc>
          <w:tcPr>
            <w:tcW w:w="1134"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rPr>
            </w:pPr>
          </w:p>
        </w:tc>
        <w:tc>
          <w:tcPr>
            <w:tcW w:w="150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rPr>
            </w:pPr>
          </w:p>
        </w:tc>
        <w:tc>
          <w:tcPr>
            <w:tcW w:w="126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rPr>
            </w:pPr>
          </w:p>
        </w:tc>
        <w:tc>
          <w:tcPr>
            <w:tcW w:w="64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rPr>
            </w:pPr>
          </w:p>
        </w:tc>
        <w:tc>
          <w:tcPr>
            <w:tcW w:w="99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rPr>
            </w:pPr>
          </w:p>
        </w:tc>
        <w:tc>
          <w:tcPr>
            <w:tcW w:w="1066"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rPr>
            </w:pPr>
          </w:p>
        </w:tc>
        <w:tc>
          <w:tcPr>
            <w:tcW w:w="108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rPr>
            </w:pPr>
          </w:p>
        </w:tc>
        <w:tc>
          <w:tcPr>
            <w:tcW w:w="119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rPr>
            </w:pPr>
            <w:r>
              <w:rPr>
                <w:rFonts w:hint="eastAsia" w:ascii="宋体" w:hAnsi="宋体"/>
              </w:rPr>
              <w:t>…</w:t>
            </w:r>
          </w:p>
        </w:tc>
        <w:tc>
          <w:tcPr>
            <w:tcW w:w="1134"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rPr>
            </w:pPr>
          </w:p>
        </w:tc>
        <w:tc>
          <w:tcPr>
            <w:tcW w:w="150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rPr>
            </w:pPr>
          </w:p>
        </w:tc>
        <w:tc>
          <w:tcPr>
            <w:tcW w:w="126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rPr>
            </w:pPr>
          </w:p>
        </w:tc>
        <w:tc>
          <w:tcPr>
            <w:tcW w:w="64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rPr>
            </w:pPr>
          </w:p>
        </w:tc>
        <w:tc>
          <w:tcPr>
            <w:tcW w:w="99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rPr>
            </w:pPr>
          </w:p>
        </w:tc>
        <w:tc>
          <w:tcPr>
            <w:tcW w:w="1066"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rPr>
            </w:pPr>
          </w:p>
        </w:tc>
        <w:tc>
          <w:tcPr>
            <w:tcW w:w="108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rPr>
            </w:pPr>
          </w:p>
        </w:tc>
        <w:tc>
          <w:tcPr>
            <w:tcW w:w="119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rPr>
            </w:pPr>
            <w:r>
              <w:rPr>
                <w:rFonts w:hint="eastAsia" w:ascii="宋体" w:hAnsi="宋体" w:cs="宋体"/>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ascii="宋体" w:hAnsi="宋体" w:cs="宋体"/>
                <w:lang w:val="zh-CN"/>
              </w:rPr>
            </w:pPr>
            <w:r>
              <w:rPr>
                <w:rFonts w:hint="eastAsia" w:ascii="宋体" w:hAnsi="宋体" w:cs="宋体"/>
                <w:lang w:val="zh-CN"/>
              </w:rPr>
              <w:t>大写：　　　　　　小写：</w:t>
            </w:r>
          </w:p>
        </w:tc>
      </w:tr>
    </w:tbl>
    <w:p>
      <w:pPr>
        <w:autoSpaceDE w:val="0"/>
        <w:autoSpaceDN w:val="0"/>
        <w:adjustRightInd w:val="0"/>
        <w:spacing w:line="480" w:lineRule="auto"/>
        <w:rPr>
          <w:rFonts w:ascii="宋体" w:hAnsi="宋体" w:cs="宋体"/>
          <w:lang w:val="zh-CN"/>
        </w:rPr>
      </w:pPr>
    </w:p>
    <w:p>
      <w:pPr>
        <w:autoSpaceDE w:val="0"/>
        <w:autoSpaceDN w:val="0"/>
        <w:adjustRightInd w:val="0"/>
        <w:spacing w:line="480" w:lineRule="auto"/>
        <w:rPr>
          <w:rFonts w:ascii="宋体" w:hAnsi="宋体" w:cs="宋体"/>
          <w:lang w:val="zh-CN"/>
        </w:rPr>
      </w:pPr>
      <w:r>
        <w:rPr>
          <w:rFonts w:hint="eastAsia" w:ascii="宋体" w:hAnsi="宋体" w:cs="宋体"/>
          <w:lang w:val="zh-CN"/>
        </w:rPr>
        <w:t>供应商（并加盖公章）：</w:t>
      </w:r>
    </w:p>
    <w:p>
      <w:pPr>
        <w:autoSpaceDE w:val="0"/>
        <w:autoSpaceDN w:val="0"/>
        <w:adjustRightInd w:val="0"/>
        <w:spacing w:line="480" w:lineRule="auto"/>
        <w:rPr>
          <w:rFonts w:ascii="宋体" w:hAnsi="宋体" w:cs="宋体"/>
          <w:lang w:val="zh-CN"/>
        </w:rPr>
      </w:pPr>
    </w:p>
    <w:p>
      <w:pPr>
        <w:autoSpaceDE w:val="0"/>
        <w:autoSpaceDN w:val="0"/>
        <w:adjustRightInd w:val="0"/>
        <w:spacing w:line="480" w:lineRule="auto"/>
        <w:rPr>
          <w:rFonts w:ascii="宋体" w:hAnsi="宋体" w:cs="宋体"/>
          <w:sz w:val="24"/>
          <w:szCs w:val="24"/>
          <w:lang w:val="zh-CN"/>
        </w:rPr>
      </w:pPr>
    </w:p>
    <w:p>
      <w:pPr>
        <w:autoSpaceDE w:val="0"/>
        <w:autoSpaceDN w:val="0"/>
        <w:adjustRightInd w:val="0"/>
        <w:spacing w:line="480" w:lineRule="auto"/>
        <w:rPr>
          <w:rFonts w:ascii="宋体" w:hAnsi="宋体" w:cs="宋体"/>
          <w:sz w:val="24"/>
          <w:szCs w:val="24"/>
          <w:lang w:val="zh-CN"/>
        </w:rPr>
      </w:pPr>
    </w:p>
    <w:p>
      <w:pPr>
        <w:autoSpaceDE w:val="0"/>
        <w:autoSpaceDN w:val="0"/>
        <w:adjustRightInd w:val="0"/>
        <w:spacing w:line="480" w:lineRule="auto"/>
        <w:rPr>
          <w:rFonts w:ascii="宋体" w:hAnsi="宋体" w:cs="宋体"/>
          <w:sz w:val="24"/>
          <w:szCs w:val="24"/>
          <w:lang w:val="zh-CN"/>
        </w:rPr>
      </w:pPr>
    </w:p>
    <w:p>
      <w:pPr>
        <w:autoSpaceDE w:val="0"/>
        <w:autoSpaceDN w:val="0"/>
        <w:adjustRightInd w:val="0"/>
        <w:spacing w:line="480" w:lineRule="auto"/>
        <w:rPr>
          <w:rFonts w:ascii="宋体" w:hAnsi="宋体" w:cs="宋体"/>
          <w:sz w:val="24"/>
          <w:szCs w:val="24"/>
          <w:lang w:val="zh-CN"/>
        </w:rPr>
      </w:pPr>
    </w:p>
    <w:p>
      <w:pPr>
        <w:autoSpaceDE w:val="0"/>
        <w:autoSpaceDN w:val="0"/>
        <w:adjustRightInd w:val="0"/>
        <w:spacing w:line="480" w:lineRule="auto"/>
        <w:rPr>
          <w:rFonts w:ascii="宋体" w:hAnsi="宋体" w:cs="宋体"/>
          <w:sz w:val="24"/>
          <w:szCs w:val="24"/>
          <w:lang w:val="zh-CN"/>
        </w:rPr>
      </w:pPr>
    </w:p>
    <w:p>
      <w:pPr>
        <w:autoSpaceDE w:val="0"/>
        <w:autoSpaceDN w:val="0"/>
        <w:adjustRightInd w:val="0"/>
        <w:spacing w:line="480" w:lineRule="auto"/>
        <w:jc w:val="center"/>
        <w:rPr>
          <w:rFonts w:ascii="宋体" w:hAnsi="宋体"/>
          <w:b/>
          <w:bCs/>
          <w:sz w:val="24"/>
          <w:szCs w:val="24"/>
        </w:rPr>
      </w:pPr>
      <w:r>
        <w:rPr>
          <w:rFonts w:ascii="宋体" w:hAnsi="宋体" w:cs="宋体"/>
          <w:sz w:val="24"/>
          <w:szCs w:val="24"/>
          <w:lang w:val="zh-CN"/>
        </w:rPr>
        <w:br w:type="page"/>
      </w:r>
      <w:r>
        <w:rPr>
          <w:rFonts w:hint="eastAsia" w:ascii="宋体" w:hAnsi="宋体"/>
          <w:b/>
          <w:bCs/>
          <w:sz w:val="24"/>
          <w:szCs w:val="24"/>
        </w:rPr>
        <w:t>4.2 技术规格偏离表</w:t>
      </w:r>
    </w:p>
    <w:p>
      <w:pPr>
        <w:spacing w:before="50" w:afterLines="50" w:line="360" w:lineRule="auto"/>
        <w:contextualSpacing/>
        <w:jc w:val="left"/>
        <w:rPr>
          <w:rFonts w:ascii="宋体" w:hAnsi="宋体"/>
        </w:rPr>
      </w:pPr>
      <w:r>
        <w:rPr>
          <w:rFonts w:hint="eastAsia" w:ascii="宋体" w:hAnsi="宋体"/>
        </w:rPr>
        <w:t>项目编号：</w:t>
      </w:r>
    </w:p>
    <w:p>
      <w:pPr>
        <w:autoSpaceDE w:val="0"/>
        <w:autoSpaceDN w:val="0"/>
        <w:adjustRightInd w:val="0"/>
        <w:spacing w:line="360" w:lineRule="auto"/>
        <w:outlineLvl w:val="0"/>
        <w:rPr>
          <w:rFonts w:ascii="宋体" w:hAnsi="宋体"/>
        </w:rPr>
      </w:pPr>
      <w:r>
        <w:rPr>
          <w:rFonts w:hint="eastAsia" w:ascii="宋体" w:hAnsi="宋体"/>
        </w:rPr>
        <w:t xml:space="preserve">项目名称：   </w:t>
      </w:r>
    </w:p>
    <w:p>
      <w:pPr>
        <w:autoSpaceDE w:val="0"/>
        <w:autoSpaceDN w:val="0"/>
        <w:adjustRightInd w:val="0"/>
        <w:spacing w:line="360" w:lineRule="auto"/>
        <w:outlineLvl w:val="0"/>
        <w:rPr>
          <w:rFonts w:hAnsi="宋体"/>
          <w:b/>
          <w:snapToGrid w:val="0"/>
          <w:kern w:val="0"/>
        </w:rPr>
      </w:pPr>
    </w:p>
    <w:tbl>
      <w:tblPr>
        <w:tblStyle w:val="30"/>
        <w:tblW w:w="93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14"/>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14"/>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14"/>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14"/>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14"/>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14"/>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14"/>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14"/>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14"/>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cs="宋体"/>
                <w:b/>
                <w:bCs/>
              </w:rPr>
            </w:pPr>
            <w:r>
              <w:rPr>
                <w:rFonts w:hint="eastAsia" w:ascii="宋体" w:hAnsi="宋体" w:cs="宋体"/>
                <w:b/>
                <w:bCs/>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14"/>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14"/>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Cs/>
              </w:rPr>
            </w:pPr>
            <w:r>
              <w:rPr>
                <w:rFonts w:hint="eastAsia" w:ascii="宋体" w:hAnsi="宋体"/>
                <w:bCs/>
              </w:rPr>
              <w:t>1</w:t>
            </w:r>
          </w:p>
        </w:tc>
        <w:tc>
          <w:tcPr>
            <w:tcW w:w="1418"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rPr>
            </w:pPr>
          </w:p>
        </w:tc>
        <w:tc>
          <w:tcPr>
            <w:tcW w:w="1276"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rPr>
            </w:pPr>
          </w:p>
        </w:tc>
        <w:tc>
          <w:tcPr>
            <w:tcW w:w="1559"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rPr>
            </w:pPr>
          </w:p>
        </w:tc>
        <w:tc>
          <w:tcPr>
            <w:tcW w:w="1417"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rPr>
            </w:pPr>
          </w:p>
        </w:tc>
        <w:tc>
          <w:tcPr>
            <w:tcW w:w="156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
                <w:bC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Cs/>
              </w:rPr>
            </w:pPr>
            <w:r>
              <w:rPr>
                <w:rFonts w:hint="eastAsia" w:ascii="宋体" w:hAnsi="宋体"/>
                <w:bCs/>
              </w:rPr>
              <w:t>2</w:t>
            </w:r>
          </w:p>
        </w:tc>
        <w:tc>
          <w:tcPr>
            <w:tcW w:w="1418"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rPr>
            </w:pPr>
          </w:p>
        </w:tc>
        <w:tc>
          <w:tcPr>
            <w:tcW w:w="1276"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rPr>
            </w:pPr>
          </w:p>
        </w:tc>
        <w:tc>
          <w:tcPr>
            <w:tcW w:w="1559"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rPr>
            </w:pPr>
          </w:p>
        </w:tc>
        <w:tc>
          <w:tcPr>
            <w:tcW w:w="1417"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rPr>
            </w:pPr>
          </w:p>
        </w:tc>
        <w:tc>
          <w:tcPr>
            <w:tcW w:w="156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
                <w:bC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Cs/>
              </w:rPr>
            </w:pPr>
            <w:r>
              <w:rPr>
                <w:rFonts w:hint="eastAsia" w:ascii="宋体" w:hAnsi="宋体"/>
              </w:rPr>
              <w:t>…</w:t>
            </w:r>
          </w:p>
        </w:tc>
        <w:tc>
          <w:tcPr>
            <w:tcW w:w="1418"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rPr>
            </w:pPr>
          </w:p>
        </w:tc>
        <w:tc>
          <w:tcPr>
            <w:tcW w:w="1276"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rPr>
            </w:pPr>
          </w:p>
        </w:tc>
        <w:tc>
          <w:tcPr>
            <w:tcW w:w="1559"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rPr>
            </w:pPr>
          </w:p>
        </w:tc>
        <w:tc>
          <w:tcPr>
            <w:tcW w:w="1417"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rPr>
            </w:pPr>
          </w:p>
        </w:tc>
        <w:tc>
          <w:tcPr>
            <w:tcW w:w="156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
                <w:bCs/>
              </w:rPr>
            </w:pPr>
          </w:p>
        </w:tc>
      </w:tr>
    </w:tbl>
    <w:p>
      <w:pPr>
        <w:autoSpaceDE w:val="0"/>
        <w:autoSpaceDN w:val="0"/>
        <w:adjustRightInd w:val="0"/>
        <w:spacing w:line="480" w:lineRule="auto"/>
        <w:rPr>
          <w:rFonts w:ascii="宋体" w:hAnsi="宋体" w:cs="宋体"/>
          <w:lang w:val="zh-CN"/>
        </w:rPr>
      </w:pPr>
    </w:p>
    <w:p>
      <w:pPr>
        <w:autoSpaceDE w:val="0"/>
        <w:autoSpaceDN w:val="0"/>
        <w:adjustRightInd w:val="0"/>
        <w:spacing w:line="480" w:lineRule="auto"/>
        <w:rPr>
          <w:rFonts w:ascii="宋体" w:hAnsi="宋体" w:cs="宋体"/>
          <w:lang w:val="zh-CN"/>
        </w:rPr>
      </w:pPr>
      <w:r>
        <w:rPr>
          <w:rFonts w:hint="eastAsia" w:ascii="宋体" w:hAnsi="宋体" w:cs="宋体"/>
          <w:lang w:val="zh-CN"/>
        </w:rPr>
        <w:t>供应商（并加盖公章）：</w:t>
      </w: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4.3实施方案</w:t>
      </w:r>
    </w:p>
    <w:p>
      <w:pPr>
        <w:snapToGrid w:val="0"/>
        <w:spacing w:line="360" w:lineRule="auto"/>
        <w:rPr>
          <w:rFonts w:hAnsi="宋体"/>
          <w:b/>
          <w:snapToGrid w:val="0"/>
          <w:kern w:val="0"/>
          <w:sz w:val="36"/>
          <w:szCs w:val="36"/>
        </w:rPr>
      </w:pPr>
    </w:p>
    <w:p>
      <w:pPr>
        <w:autoSpaceDE w:val="0"/>
        <w:autoSpaceDN w:val="0"/>
        <w:adjustRightInd w:val="0"/>
        <w:spacing w:line="360" w:lineRule="auto"/>
        <w:jc w:val="center"/>
        <w:rPr>
          <w:rFonts w:ascii="宋体" w:hAnsi="宋体" w:cs="宋体"/>
          <w:lang w:val="zh-CN"/>
        </w:rPr>
      </w:pPr>
      <w:r>
        <w:rPr>
          <w:rFonts w:hint="eastAsia" w:ascii="宋体" w:hAnsi="宋体" w:cs="宋体"/>
          <w:lang w:val="zh-CN"/>
        </w:rPr>
        <w:t>（供应商根据磋商文件要求自行编制）</w:t>
      </w:r>
    </w:p>
    <w:p>
      <w:pPr>
        <w:snapToGrid w:val="0"/>
        <w:spacing w:line="360" w:lineRule="auto"/>
        <w:jc w:val="center"/>
        <w:rPr>
          <w:rFonts w:hAnsi="宋体"/>
          <w:b/>
          <w:snapToGrid w:val="0"/>
          <w:kern w:val="0"/>
          <w:sz w:val="36"/>
          <w:szCs w:val="36"/>
        </w:rPr>
      </w:pPr>
    </w:p>
    <w:p>
      <w:pPr>
        <w:snapToGrid w:val="0"/>
        <w:spacing w:line="360" w:lineRule="auto"/>
        <w:jc w:val="center"/>
        <w:rPr>
          <w:rFonts w:ascii="宋体" w:hAnsi="宋体"/>
          <w:b/>
          <w:bCs/>
          <w:sz w:val="24"/>
          <w:szCs w:val="24"/>
        </w:rPr>
      </w:pPr>
    </w:p>
    <w:p>
      <w:pPr>
        <w:rPr>
          <w:rFonts w:ascii="宋体" w:hAnsi="宋体"/>
          <w:b/>
          <w:bCs/>
          <w:sz w:val="24"/>
          <w:szCs w:val="24"/>
        </w:rPr>
      </w:pPr>
      <w:r>
        <w:rPr>
          <w:rFonts w:hint="eastAsia" w:ascii="宋体" w:hAnsi="宋体"/>
          <w:b/>
          <w:bCs/>
          <w:sz w:val="24"/>
          <w:szCs w:val="24"/>
        </w:rPr>
        <w:br w:type="page"/>
      </w:r>
    </w:p>
    <w:p>
      <w:pPr>
        <w:snapToGrid w:val="0"/>
        <w:spacing w:line="360" w:lineRule="auto"/>
        <w:jc w:val="center"/>
        <w:rPr>
          <w:rFonts w:ascii="宋体" w:hAnsi="宋体"/>
          <w:b/>
          <w:bCs/>
          <w:sz w:val="24"/>
          <w:szCs w:val="24"/>
        </w:rPr>
      </w:pPr>
      <w:r>
        <w:rPr>
          <w:rFonts w:hint="eastAsia" w:ascii="宋体" w:hAnsi="宋体"/>
          <w:b/>
          <w:bCs/>
          <w:sz w:val="24"/>
          <w:szCs w:val="24"/>
        </w:rPr>
        <w:t>4.4业绩情况表</w:t>
      </w:r>
    </w:p>
    <w:p>
      <w:pPr>
        <w:autoSpaceDE w:val="0"/>
        <w:autoSpaceDN w:val="0"/>
        <w:adjustRightInd w:val="0"/>
        <w:spacing w:line="360" w:lineRule="auto"/>
        <w:jc w:val="center"/>
        <w:outlineLvl w:val="0"/>
        <w:rPr>
          <w:rFonts w:ascii="宋体" w:hAnsi="宋体"/>
          <w:b/>
          <w:bCs/>
          <w:sz w:val="28"/>
          <w:szCs w:val="28"/>
        </w:rPr>
      </w:pPr>
    </w:p>
    <w:p>
      <w:pPr>
        <w:spacing w:before="50" w:afterLines="50" w:line="360" w:lineRule="auto"/>
        <w:contextualSpacing/>
        <w:jc w:val="left"/>
        <w:rPr>
          <w:rFonts w:ascii="宋体" w:hAnsi="宋体"/>
        </w:rPr>
      </w:pPr>
      <w:r>
        <w:rPr>
          <w:rFonts w:hint="eastAsia" w:ascii="宋体" w:hAnsi="宋体"/>
        </w:rPr>
        <w:t>采购编号：</w:t>
      </w:r>
    </w:p>
    <w:p>
      <w:pPr>
        <w:snapToGrid w:val="0"/>
        <w:spacing w:line="360" w:lineRule="auto"/>
        <w:rPr>
          <w:rFonts w:ascii="宋体" w:hAnsi="宋体"/>
        </w:rPr>
      </w:pPr>
      <w:r>
        <w:rPr>
          <w:rFonts w:hint="eastAsia" w:ascii="宋体" w:hAnsi="宋体"/>
        </w:rPr>
        <w:t xml:space="preserve">项目名称：   </w:t>
      </w:r>
    </w:p>
    <w:p>
      <w:pPr>
        <w:snapToGrid w:val="0"/>
        <w:spacing w:line="360" w:lineRule="auto"/>
        <w:rPr>
          <w:rFonts w:hAnsi="宋体"/>
          <w:b/>
          <w:snapToGrid w:val="0"/>
          <w:kern w:val="0"/>
        </w:rPr>
      </w:pPr>
    </w:p>
    <w:tbl>
      <w:tblPr>
        <w:tblStyle w:val="30"/>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7"/>
        <w:gridCol w:w="3577"/>
        <w:gridCol w:w="1439"/>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tcBorders>
              <w:top w:val="single" w:color="auto" w:sz="4" w:space="0"/>
              <w:left w:val="single" w:color="auto" w:sz="4" w:space="0"/>
              <w:bottom w:val="single" w:color="auto" w:sz="4" w:space="0"/>
              <w:right w:val="single" w:color="auto" w:sz="4" w:space="0"/>
            </w:tcBorders>
            <w:shd w:val="clear" w:color="auto" w:fill="F3F3F3"/>
            <w:vAlign w:val="center"/>
          </w:tcPr>
          <w:p>
            <w:pPr>
              <w:pStyle w:val="14"/>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7" w:type="dxa"/>
            <w:tcBorders>
              <w:top w:val="single" w:color="auto" w:sz="4" w:space="0"/>
              <w:left w:val="single" w:color="auto" w:sz="4" w:space="0"/>
              <w:bottom w:val="single" w:color="auto" w:sz="4" w:space="0"/>
              <w:right w:val="single" w:color="auto" w:sz="4" w:space="0"/>
            </w:tcBorders>
            <w:shd w:val="clear" w:color="auto" w:fill="F3F3F3"/>
            <w:vAlign w:val="center"/>
          </w:tcPr>
          <w:p>
            <w:pPr>
              <w:pStyle w:val="14"/>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7" w:type="dxa"/>
            <w:tcBorders>
              <w:top w:val="single" w:color="auto" w:sz="4" w:space="0"/>
              <w:left w:val="single" w:color="auto" w:sz="4" w:space="0"/>
              <w:bottom w:val="single" w:color="auto" w:sz="4" w:space="0"/>
              <w:right w:val="single" w:color="auto" w:sz="4" w:space="0"/>
            </w:tcBorders>
            <w:shd w:val="clear" w:color="auto" w:fill="F3F3F3"/>
            <w:vAlign w:val="center"/>
          </w:tcPr>
          <w:p>
            <w:pPr>
              <w:pStyle w:val="14"/>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39" w:type="dxa"/>
            <w:tcBorders>
              <w:top w:val="single" w:color="auto" w:sz="4" w:space="0"/>
              <w:left w:val="single" w:color="auto" w:sz="4" w:space="0"/>
              <w:bottom w:val="single" w:color="auto" w:sz="4" w:space="0"/>
              <w:right w:val="single" w:color="auto" w:sz="4" w:space="0"/>
            </w:tcBorders>
            <w:shd w:val="clear" w:color="auto" w:fill="F3F3F3"/>
            <w:vAlign w:val="center"/>
          </w:tcPr>
          <w:p>
            <w:pPr>
              <w:pStyle w:val="14"/>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14"/>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5" w:type="dxa"/>
            <w:tcBorders>
              <w:top w:val="single" w:color="auto" w:sz="4" w:space="0"/>
              <w:left w:val="single" w:color="auto" w:sz="4" w:space="0"/>
              <w:bottom w:val="single" w:color="auto" w:sz="4" w:space="0"/>
              <w:right w:val="single" w:color="auto" w:sz="4" w:space="0"/>
            </w:tcBorders>
            <w:shd w:val="clear" w:color="auto" w:fill="F3F3F3"/>
            <w:vAlign w:val="center"/>
          </w:tcPr>
          <w:p>
            <w:pPr>
              <w:pStyle w:val="14"/>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pPr>
              <w:pStyle w:val="14"/>
              <w:spacing w:line="360" w:lineRule="auto"/>
              <w:jc w:val="center"/>
              <w:rPr>
                <w:rFonts w:ascii="宋体" w:hAnsi="宋体" w:eastAsia="宋体" w:cs="宋体"/>
                <w:sz w:val="21"/>
                <w:szCs w:val="21"/>
              </w:rPr>
            </w:pPr>
            <w:r>
              <w:rPr>
                <w:rFonts w:hint="eastAsia" w:ascii="宋体" w:hAnsi="宋体" w:eastAsia="宋体" w:cs="宋体"/>
                <w:sz w:val="21"/>
                <w:szCs w:val="21"/>
              </w:rPr>
              <w:t>1</w:t>
            </w:r>
          </w:p>
        </w:tc>
        <w:tc>
          <w:tcPr>
            <w:tcW w:w="1807" w:type="dxa"/>
            <w:tcBorders>
              <w:top w:val="single" w:color="auto" w:sz="4" w:space="0"/>
              <w:left w:val="single" w:color="auto" w:sz="4" w:space="0"/>
              <w:bottom w:val="single" w:color="auto" w:sz="4" w:space="0"/>
              <w:right w:val="single" w:color="auto" w:sz="4" w:space="0"/>
            </w:tcBorders>
            <w:vAlign w:val="center"/>
          </w:tcPr>
          <w:p>
            <w:pPr>
              <w:pStyle w:val="14"/>
              <w:spacing w:line="360" w:lineRule="auto"/>
              <w:rPr>
                <w:rFonts w:ascii="宋体" w:hAnsi="宋体" w:eastAsia="宋体" w:cs="Times New Roman"/>
                <w:sz w:val="21"/>
                <w:szCs w:val="21"/>
              </w:rPr>
            </w:pPr>
          </w:p>
        </w:tc>
        <w:tc>
          <w:tcPr>
            <w:tcW w:w="3577" w:type="dxa"/>
            <w:tcBorders>
              <w:top w:val="single" w:color="auto" w:sz="4" w:space="0"/>
              <w:left w:val="single" w:color="auto" w:sz="4" w:space="0"/>
              <w:bottom w:val="single" w:color="auto" w:sz="4" w:space="0"/>
              <w:right w:val="single" w:color="auto" w:sz="4" w:space="0"/>
            </w:tcBorders>
            <w:vAlign w:val="center"/>
          </w:tcPr>
          <w:p>
            <w:pPr>
              <w:pStyle w:val="14"/>
              <w:spacing w:line="360" w:lineRule="auto"/>
              <w:rPr>
                <w:rFonts w:ascii="宋体" w:hAnsi="宋体" w:eastAsia="宋体" w:cs="Times New Roman"/>
                <w:sz w:val="21"/>
                <w:szCs w:val="21"/>
              </w:rPr>
            </w:pPr>
          </w:p>
        </w:tc>
        <w:tc>
          <w:tcPr>
            <w:tcW w:w="1439" w:type="dxa"/>
            <w:tcBorders>
              <w:top w:val="single" w:color="auto" w:sz="4" w:space="0"/>
              <w:left w:val="single" w:color="auto" w:sz="4" w:space="0"/>
              <w:bottom w:val="single" w:color="auto" w:sz="4" w:space="0"/>
              <w:right w:val="single" w:color="auto" w:sz="4" w:space="0"/>
            </w:tcBorders>
            <w:vAlign w:val="center"/>
          </w:tcPr>
          <w:p>
            <w:pPr>
              <w:pStyle w:val="14"/>
              <w:spacing w:line="360" w:lineRule="auto"/>
              <w:rPr>
                <w:rFonts w:ascii="宋体" w:hAnsi="宋体" w:eastAsia="宋体" w:cs="Times New Roman"/>
                <w:sz w:val="21"/>
                <w:szCs w:val="21"/>
              </w:rPr>
            </w:pPr>
          </w:p>
        </w:tc>
        <w:tc>
          <w:tcPr>
            <w:tcW w:w="1705" w:type="dxa"/>
            <w:tcBorders>
              <w:top w:val="single" w:color="auto" w:sz="4" w:space="0"/>
              <w:left w:val="single" w:color="auto" w:sz="4" w:space="0"/>
              <w:bottom w:val="single" w:color="auto" w:sz="4" w:space="0"/>
              <w:right w:val="single" w:color="auto" w:sz="4" w:space="0"/>
            </w:tcBorders>
            <w:vAlign w:val="center"/>
          </w:tcPr>
          <w:p>
            <w:pPr>
              <w:pStyle w:val="14"/>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pPr>
              <w:pStyle w:val="14"/>
              <w:spacing w:line="360" w:lineRule="auto"/>
              <w:jc w:val="center"/>
              <w:rPr>
                <w:rFonts w:ascii="宋体" w:hAnsi="宋体" w:eastAsia="宋体" w:cs="宋体"/>
                <w:sz w:val="21"/>
                <w:szCs w:val="21"/>
              </w:rPr>
            </w:pPr>
            <w:r>
              <w:rPr>
                <w:rFonts w:hint="eastAsia" w:ascii="宋体" w:hAnsi="宋体" w:eastAsia="宋体" w:cs="宋体"/>
                <w:sz w:val="21"/>
                <w:szCs w:val="21"/>
              </w:rPr>
              <w:t>2</w:t>
            </w:r>
          </w:p>
        </w:tc>
        <w:tc>
          <w:tcPr>
            <w:tcW w:w="1807" w:type="dxa"/>
            <w:tcBorders>
              <w:top w:val="single" w:color="auto" w:sz="4" w:space="0"/>
              <w:left w:val="single" w:color="auto" w:sz="4" w:space="0"/>
              <w:bottom w:val="single" w:color="auto" w:sz="4" w:space="0"/>
              <w:right w:val="single" w:color="auto" w:sz="4" w:space="0"/>
            </w:tcBorders>
            <w:vAlign w:val="center"/>
          </w:tcPr>
          <w:p>
            <w:pPr>
              <w:pStyle w:val="14"/>
              <w:spacing w:line="360" w:lineRule="auto"/>
              <w:rPr>
                <w:rFonts w:ascii="宋体" w:hAnsi="宋体" w:eastAsia="宋体" w:cs="Times New Roman"/>
                <w:sz w:val="21"/>
                <w:szCs w:val="21"/>
              </w:rPr>
            </w:pPr>
          </w:p>
        </w:tc>
        <w:tc>
          <w:tcPr>
            <w:tcW w:w="3577" w:type="dxa"/>
            <w:tcBorders>
              <w:top w:val="single" w:color="auto" w:sz="4" w:space="0"/>
              <w:left w:val="single" w:color="auto" w:sz="4" w:space="0"/>
              <w:bottom w:val="single" w:color="auto" w:sz="4" w:space="0"/>
              <w:right w:val="single" w:color="auto" w:sz="4" w:space="0"/>
            </w:tcBorders>
            <w:vAlign w:val="center"/>
          </w:tcPr>
          <w:p>
            <w:pPr>
              <w:pStyle w:val="14"/>
              <w:spacing w:line="360" w:lineRule="auto"/>
              <w:rPr>
                <w:rFonts w:ascii="宋体" w:hAnsi="宋体" w:eastAsia="宋体" w:cs="Times New Roman"/>
                <w:sz w:val="21"/>
                <w:szCs w:val="21"/>
              </w:rPr>
            </w:pPr>
          </w:p>
        </w:tc>
        <w:tc>
          <w:tcPr>
            <w:tcW w:w="1439" w:type="dxa"/>
            <w:tcBorders>
              <w:top w:val="single" w:color="auto" w:sz="4" w:space="0"/>
              <w:left w:val="single" w:color="auto" w:sz="4" w:space="0"/>
              <w:bottom w:val="single" w:color="auto" w:sz="4" w:space="0"/>
              <w:right w:val="single" w:color="auto" w:sz="4" w:space="0"/>
            </w:tcBorders>
            <w:vAlign w:val="center"/>
          </w:tcPr>
          <w:p>
            <w:pPr>
              <w:pStyle w:val="14"/>
              <w:spacing w:line="360" w:lineRule="auto"/>
              <w:rPr>
                <w:rFonts w:ascii="宋体" w:hAnsi="宋体" w:eastAsia="宋体" w:cs="Times New Roman"/>
                <w:sz w:val="21"/>
                <w:szCs w:val="21"/>
              </w:rPr>
            </w:pPr>
          </w:p>
        </w:tc>
        <w:tc>
          <w:tcPr>
            <w:tcW w:w="1705" w:type="dxa"/>
            <w:tcBorders>
              <w:top w:val="single" w:color="auto" w:sz="4" w:space="0"/>
              <w:left w:val="single" w:color="auto" w:sz="4" w:space="0"/>
              <w:bottom w:val="single" w:color="auto" w:sz="4" w:space="0"/>
              <w:right w:val="single" w:color="auto" w:sz="4" w:space="0"/>
            </w:tcBorders>
            <w:vAlign w:val="center"/>
          </w:tcPr>
          <w:p>
            <w:pPr>
              <w:pStyle w:val="14"/>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pPr>
              <w:pStyle w:val="14"/>
              <w:spacing w:line="360" w:lineRule="auto"/>
              <w:jc w:val="center"/>
              <w:rPr>
                <w:rFonts w:ascii="宋体" w:hAnsi="宋体" w:eastAsia="宋体" w:cs="宋体"/>
                <w:sz w:val="21"/>
                <w:szCs w:val="21"/>
              </w:rPr>
            </w:pPr>
            <w:r>
              <w:rPr>
                <w:rFonts w:hint="eastAsia" w:ascii="宋体" w:hAnsi="宋体" w:eastAsia="宋体" w:cs="宋体"/>
                <w:sz w:val="21"/>
                <w:szCs w:val="21"/>
              </w:rPr>
              <w:t>3</w:t>
            </w:r>
          </w:p>
        </w:tc>
        <w:tc>
          <w:tcPr>
            <w:tcW w:w="1807" w:type="dxa"/>
            <w:tcBorders>
              <w:top w:val="single" w:color="auto" w:sz="4" w:space="0"/>
              <w:left w:val="single" w:color="auto" w:sz="4" w:space="0"/>
              <w:bottom w:val="single" w:color="auto" w:sz="4" w:space="0"/>
              <w:right w:val="single" w:color="auto" w:sz="4" w:space="0"/>
            </w:tcBorders>
            <w:vAlign w:val="center"/>
          </w:tcPr>
          <w:p>
            <w:pPr>
              <w:pStyle w:val="14"/>
              <w:spacing w:line="360" w:lineRule="auto"/>
              <w:rPr>
                <w:rFonts w:ascii="宋体" w:hAnsi="宋体" w:eastAsia="宋体" w:cs="Times New Roman"/>
                <w:sz w:val="21"/>
                <w:szCs w:val="21"/>
              </w:rPr>
            </w:pPr>
          </w:p>
        </w:tc>
        <w:tc>
          <w:tcPr>
            <w:tcW w:w="3577" w:type="dxa"/>
            <w:tcBorders>
              <w:top w:val="single" w:color="auto" w:sz="4" w:space="0"/>
              <w:left w:val="single" w:color="auto" w:sz="4" w:space="0"/>
              <w:bottom w:val="single" w:color="auto" w:sz="4" w:space="0"/>
              <w:right w:val="single" w:color="auto" w:sz="4" w:space="0"/>
            </w:tcBorders>
            <w:vAlign w:val="center"/>
          </w:tcPr>
          <w:p>
            <w:pPr>
              <w:pStyle w:val="14"/>
              <w:spacing w:line="360" w:lineRule="auto"/>
              <w:rPr>
                <w:rFonts w:ascii="宋体" w:hAnsi="宋体" w:eastAsia="宋体" w:cs="Times New Roman"/>
                <w:sz w:val="21"/>
                <w:szCs w:val="21"/>
              </w:rPr>
            </w:pPr>
          </w:p>
        </w:tc>
        <w:tc>
          <w:tcPr>
            <w:tcW w:w="1439" w:type="dxa"/>
            <w:tcBorders>
              <w:top w:val="single" w:color="auto" w:sz="4" w:space="0"/>
              <w:left w:val="single" w:color="auto" w:sz="4" w:space="0"/>
              <w:bottom w:val="single" w:color="auto" w:sz="4" w:space="0"/>
              <w:right w:val="single" w:color="auto" w:sz="4" w:space="0"/>
            </w:tcBorders>
            <w:vAlign w:val="center"/>
          </w:tcPr>
          <w:p>
            <w:pPr>
              <w:pStyle w:val="14"/>
              <w:spacing w:line="360" w:lineRule="auto"/>
              <w:rPr>
                <w:rFonts w:ascii="宋体" w:hAnsi="宋体" w:eastAsia="宋体" w:cs="Times New Roman"/>
                <w:sz w:val="21"/>
                <w:szCs w:val="21"/>
              </w:rPr>
            </w:pPr>
          </w:p>
        </w:tc>
        <w:tc>
          <w:tcPr>
            <w:tcW w:w="1705" w:type="dxa"/>
            <w:tcBorders>
              <w:top w:val="single" w:color="auto" w:sz="4" w:space="0"/>
              <w:left w:val="single" w:color="auto" w:sz="4" w:space="0"/>
              <w:bottom w:val="single" w:color="auto" w:sz="4" w:space="0"/>
              <w:right w:val="single" w:color="auto" w:sz="4" w:space="0"/>
            </w:tcBorders>
            <w:vAlign w:val="center"/>
          </w:tcPr>
          <w:p>
            <w:pPr>
              <w:pStyle w:val="14"/>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pPr>
              <w:pStyle w:val="14"/>
              <w:spacing w:line="360" w:lineRule="auto"/>
              <w:jc w:val="center"/>
              <w:rPr>
                <w:rFonts w:ascii="宋体" w:hAnsi="宋体" w:eastAsia="宋体" w:cs="宋体"/>
                <w:sz w:val="21"/>
                <w:szCs w:val="21"/>
              </w:rPr>
            </w:pPr>
            <w:r>
              <w:rPr>
                <w:rFonts w:hint="eastAsia" w:ascii="宋体" w:hAnsi="宋体" w:eastAsia="宋体" w:cs="宋体"/>
                <w:sz w:val="21"/>
                <w:szCs w:val="21"/>
              </w:rPr>
              <w:t>4</w:t>
            </w:r>
          </w:p>
        </w:tc>
        <w:tc>
          <w:tcPr>
            <w:tcW w:w="1807" w:type="dxa"/>
            <w:tcBorders>
              <w:top w:val="single" w:color="auto" w:sz="4" w:space="0"/>
              <w:left w:val="single" w:color="auto" w:sz="4" w:space="0"/>
              <w:bottom w:val="single" w:color="auto" w:sz="4" w:space="0"/>
              <w:right w:val="single" w:color="auto" w:sz="4" w:space="0"/>
            </w:tcBorders>
            <w:vAlign w:val="center"/>
          </w:tcPr>
          <w:p>
            <w:pPr>
              <w:rPr>
                <w:rFonts w:ascii="宋体"/>
              </w:rPr>
            </w:pPr>
          </w:p>
        </w:tc>
        <w:tc>
          <w:tcPr>
            <w:tcW w:w="3577" w:type="dxa"/>
            <w:tcBorders>
              <w:top w:val="single" w:color="auto" w:sz="4" w:space="0"/>
              <w:left w:val="single" w:color="auto" w:sz="4" w:space="0"/>
              <w:bottom w:val="single" w:color="auto" w:sz="4" w:space="0"/>
              <w:right w:val="single" w:color="auto" w:sz="4" w:space="0"/>
            </w:tcBorders>
            <w:vAlign w:val="center"/>
          </w:tcPr>
          <w:p>
            <w:pPr>
              <w:rPr>
                <w:rFonts w:ascii="宋体"/>
              </w:rPr>
            </w:pPr>
          </w:p>
        </w:tc>
        <w:tc>
          <w:tcPr>
            <w:tcW w:w="1439" w:type="dxa"/>
            <w:tcBorders>
              <w:top w:val="single" w:color="auto" w:sz="4" w:space="0"/>
              <w:left w:val="single" w:color="auto" w:sz="4" w:space="0"/>
              <w:bottom w:val="single" w:color="auto" w:sz="4" w:space="0"/>
              <w:right w:val="single" w:color="auto" w:sz="4" w:space="0"/>
            </w:tcBorders>
            <w:vAlign w:val="center"/>
          </w:tcPr>
          <w:p>
            <w:pPr>
              <w:rPr>
                <w:rFonts w:ascii="宋体"/>
              </w:rPr>
            </w:pPr>
          </w:p>
        </w:tc>
        <w:tc>
          <w:tcPr>
            <w:tcW w:w="1705" w:type="dxa"/>
            <w:tcBorders>
              <w:top w:val="single" w:color="auto" w:sz="4" w:space="0"/>
              <w:left w:val="single" w:color="auto" w:sz="4" w:space="0"/>
              <w:bottom w:val="single" w:color="auto" w:sz="4" w:space="0"/>
              <w:right w:val="single" w:color="auto" w:sz="4" w:space="0"/>
            </w:tcBorders>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pPr>
              <w:pStyle w:val="14"/>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7" w:type="dxa"/>
            <w:tcBorders>
              <w:top w:val="single" w:color="auto" w:sz="4" w:space="0"/>
              <w:left w:val="single" w:color="auto" w:sz="4" w:space="0"/>
              <w:bottom w:val="single" w:color="auto" w:sz="4" w:space="0"/>
              <w:right w:val="single" w:color="auto" w:sz="4" w:space="0"/>
            </w:tcBorders>
            <w:vAlign w:val="center"/>
          </w:tcPr>
          <w:p>
            <w:pPr>
              <w:rPr>
                <w:rFonts w:ascii="宋体"/>
              </w:rPr>
            </w:pPr>
          </w:p>
        </w:tc>
        <w:tc>
          <w:tcPr>
            <w:tcW w:w="3577" w:type="dxa"/>
            <w:tcBorders>
              <w:top w:val="single" w:color="auto" w:sz="4" w:space="0"/>
              <w:left w:val="single" w:color="auto" w:sz="4" w:space="0"/>
              <w:bottom w:val="single" w:color="auto" w:sz="4" w:space="0"/>
              <w:right w:val="single" w:color="auto" w:sz="4" w:space="0"/>
            </w:tcBorders>
            <w:vAlign w:val="center"/>
          </w:tcPr>
          <w:p>
            <w:pPr>
              <w:rPr>
                <w:rFonts w:ascii="宋体"/>
              </w:rPr>
            </w:pPr>
          </w:p>
        </w:tc>
        <w:tc>
          <w:tcPr>
            <w:tcW w:w="1439" w:type="dxa"/>
            <w:tcBorders>
              <w:top w:val="single" w:color="auto" w:sz="4" w:space="0"/>
              <w:left w:val="single" w:color="auto" w:sz="4" w:space="0"/>
              <w:bottom w:val="single" w:color="auto" w:sz="4" w:space="0"/>
              <w:right w:val="single" w:color="auto" w:sz="4" w:space="0"/>
            </w:tcBorders>
            <w:vAlign w:val="center"/>
          </w:tcPr>
          <w:p>
            <w:pPr>
              <w:rPr>
                <w:rFonts w:ascii="宋体"/>
              </w:rPr>
            </w:pPr>
          </w:p>
        </w:tc>
        <w:tc>
          <w:tcPr>
            <w:tcW w:w="1705" w:type="dxa"/>
            <w:tcBorders>
              <w:top w:val="single" w:color="auto" w:sz="4" w:space="0"/>
              <w:left w:val="single" w:color="auto" w:sz="4" w:space="0"/>
              <w:bottom w:val="single" w:color="auto" w:sz="4" w:space="0"/>
              <w:right w:val="single" w:color="auto" w:sz="4" w:space="0"/>
            </w:tcBorders>
            <w:vAlign w:val="center"/>
          </w:tcPr>
          <w:p>
            <w:pPr>
              <w:rPr>
                <w:rFonts w:ascii="宋体"/>
              </w:rPr>
            </w:pPr>
          </w:p>
        </w:tc>
      </w:tr>
    </w:tbl>
    <w:p>
      <w:pPr>
        <w:autoSpaceDE w:val="0"/>
        <w:autoSpaceDN w:val="0"/>
        <w:adjustRightInd w:val="0"/>
        <w:spacing w:line="480" w:lineRule="auto"/>
        <w:rPr>
          <w:rFonts w:ascii="宋体" w:hAnsi="宋体" w:cs="宋体"/>
          <w:lang w:val="zh-CN"/>
        </w:rPr>
      </w:pPr>
    </w:p>
    <w:p>
      <w:pPr>
        <w:autoSpaceDE w:val="0"/>
        <w:autoSpaceDN w:val="0"/>
        <w:adjustRightInd w:val="0"/>
        <w:spacing w:line="480" w:lineRule="auto"/>
        <w:rPr>
          <w:rFonts w:ascii="宋体" w:hAnsi="宋体" w:cs="宋体"/>
          <w:lang w:val="zh-CN"/>
        </w:rPr>
      </w:pPr>
      <w:r>
        <w:rPr>
          <w:rFonts w:hint="eastAsia" w:ascii="宋体" w:hAnsi="宋体" w:cs="宋体"/>
          <w:lang w:val="zh-CN"/>
        </w:rPr>
        <w:t>供应商（并加盖公章）：</w:t>
      </w: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br w:type="page"/>
      </w:r>
      <w:r>
        <w:rPr>
          <w:rFonts w:hint="eastAsia" w:ascii="宋体" w:hAnsi="宋体"/>
          <w:b/>
          <w:bCs/>
          <w:sz w:val="24"/>
          <w:szCs w:val="24"/>
        </w:rPr>
        <w:t>4.5 服务承诺</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rPr>
          <w:rFonts w:ascii="宋体" w:hAnsi="宋体" w:cs="宋体"/>
          <w:lang w:val="zh-CN"/>
        </w:rPr>
      </w:pPr>
      <w:r>
        <w:rPr>
          <w:rFonts w:hint="eastAsia" w:ascii="宋体" w:hAnsi="宋体" w:cs="宋体"/>
          <w:lang w:val="zh-CN"/>
        </w:rPr>
        <w:t>（供应商根据磋商文件要求自行编制）</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24"/>
          <w:szCs w:val="24"/>
        </w:rPr>
      </w:pPr>
      <w:bookmarkStart w:id="9" w:name="OLE_LINK13"/>
      <w:bookmarkStart w:id="10" w:name="OLE_LINK14"/>
    </w:p>
    <w:p>
      <w:pPr>
        <w:autoSpaceDE w:val="0"/>
        <w:autoSpaceDN w:val="0"/>
        <w:adjustRightInd w:val="0"/>
        <w:spacing w:line="360" w:lineRule="auto"/>
        <w:jc w:val="center"/>
        <w:outlineLvl w:val="0"/>
        <w:rPr>
          <w:rFonts w:ascii="宋体" w:hAnsi="宋体"/>
          <w:b/>
          <w:bCs/>
          <w:sz w:val="24"/>
          <w:szCs w:val="24"/>
        </w:rPr>
      </w:pPr>
    </w:p>
    <w:p>
      <w:pPr>
        <w:rPr>
          <w:rFonts w:ascii="宋体" w:hAnsi="宋体"/>
          <w:b/>
          <w:bCs/>
          <w:sz w:val="24"/>
          <w:szCs w:val="24"/>
        </w:rPr>
      </w:pPr>
      <w:r>
        <w:rPr>
          <w:rFonts w:hint="eastAsia" w:ascii="宋体" w:hAnsi="宋体"/>
          <w:b/>
          <w:bCs/>
          <w:sz w:val="24"/>
          <w:szCs w:val="24"/>
        </w:rPr>
        <w:br w:type="page"/>
      </w:r>
    </w:p>
    <w:bookmarkEnd w:id="9"/>
    <w:bookmarkEnd w:id="10"/>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4.6“节能产品政府采购品目清单”强制节能产品情况</w:t>
      </w:r>
    </w:p>
    <w:p>
      <w:pPr>
        <w:autoSpaceDE w:val="0"/>
        <w:autoSpaceDN w:val="0"/>
        <w:adjustRightInd w:val="0"/>
        <w:spacing w:line="360" w:lineRule="auto"/>
        <w:jc w:val="center"/>
        <w:outlineLvl w:val="0"/>
        <w:rPr>
          <w:rFonts w:ascii="宋体" w:hAnsi="宋体"/>
          <w:b/>
          <w:bCs/>
          <w:sz w:val="28"/>
          <w:szCs w:val="28"/>
        </w:rPr>
      </w:pPr>
    </w:p>
    <w:p>
      <w:pPr>
        <w:spacing w:before="50" w:afterLines="50" w:line="360" w:lineRule="auto"/>
        <w:contextualSpacing/>
        <w:jc w:val="left"/>
        <w:rPr>
          <w:rFonts w:ascii="宋体" w:hAnsi="宋体"/>
        </w:rPr>
      </w:pPr>
      <w:r>
        <w:rPr>
          <w:rFonts w:hint="eastAsia" w:ascii="宋体" w:hAnsi="宋体"/>
        </w:rPr>
        <w:t>项目编号：</w:t>
      </w:r>
    </w:p>
    <w:p>
      <w:pPr>
        <w:tabs>
          <w:tab w:val="left" w:pos="1800"/>
          <w:tab w:val="left" w:pos="5580"/>
        </w:tabs>
        <w:spacing w:line="360" w:lineRule="auto"/>
        <w:rPr>
          <w:rFonts w:ascii="宋体" w:hAnsi="宋体"/>
        </w:rPr>
      </w:pPr>
      <w:r>
        <w:rPr>
          <w:rFonts w:hint="eastAsia" w:ascii="宋体" w:hAnsi="宋体"/>
        </w:rPr>
        <w:t>项目名称：</w:t>
      </w:r>
    </w:p>
    <w:p>
      <w:pPr>
        <w:tabs>
          <w:tab w:val="left" w:pos="1800"/>
          <w:tab w:val="left" w:pos="5580"/>
        </w:tabs>
        <w:spacing w:line="360" w:lineRule="auto"/>
        <w:rPr>
          <w:rFonts w:ascii="宋体" w:hAnsi="宋体"/>
        </w:rPr>
      </w:pPr>
    </w:p>
    <w:tbl>
      <w:tblPr>
        <w:tblStyle w:val="30"/>
        <w:tblW w:w="87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4"/>
        <w:gridCol w:w="1293"/>
        <w:gridCol w:w="1428"/>
        <w:gridCol w:w="1166"/>
        <w:gridCol w:w="1550"/>
        <w:gridCol w:w="1505"/>
        <w:gridCol w:w="1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494" w:type="dxa"/>
            <w:shd w:val="clear" w:color="auto" w:fill="F2F2F2"/>
            <w:vAlign w:val="center"/>
          </w:tcPr>
          <w:p>
            <w:pPr>
              <w:pStyle w:val="14"/>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293" w:type="dxa"/>
            <w:shd w:val="clear" w:color="auto" w:fill="F2F2F2"/>
            <w:vAlign w:val="center"/>
          </w:tcPr>
          <w:p>
            <w:pPr>
              <w:pStyle w:val="14"/>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428" w:type="dxa"/>
            <w:shd w:val="clear" w:color="auto" w:fill="F2F2F2"/>
            <w:vAlign w:val="center"/>
          </w:tcPr>
          <w:p>
            <w:pPr>
              <w:pStyle w:val="14"/>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166" w:type="dxa"/>
            <w:shd w:val="clear" w:color="auto" w:fill="F2F2F2"/>
            <w:vAlign w:val="center"/>
          </w:tcPr>
          <w:p>
            <w:pPr>
              <w:pStyle w:val="14"/>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550" w:type="dxa"/>
            <w:shd w:val="clear" w:color="auto" w:fill="F2F2F2"/>
            <w:vAlign w:val="center"/>
          </w:tcPr>
          <w:p>
            <w:pPr>
              <w:pStyle w:val="14"/>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505" w:type="dxa"/>
            <w:shd w:val="clear" w:color="auto" w:fill="F2F2F2"/>
            <w:vAlign w:val="center"/>
          </w:tcPr>
          <w:p>
            <w:pPr>
              <w:pStyle w:val="14"/>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333" w:type="dxa"/>
            <w:shd w:val="clear" w:color="auto" w:fill="F2F2F2"/>
            <w:vAlign w:val="center"/>
          </w:tcPr>
          <w:p>
            <w:pPr>
              <w:pStyle w:val="14"/>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94" w:type="dxa"/>
            <w:vAlign w:val="center"/>
          </w:tcPr>
          <w:p>
            <w:pPr>
              <w:pStyle w:val="14"/>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293" w:type="dxa"/>
            <w:vAlign w:val="center"/>
          </w:tcPr>
          <w:p>
            <w:pPr>
              <w:pStyle w:val="14"/>
              <w:spacing w:line="360" w:lineRule="auto"/>
              <w:rPr>
                <w:rFonts w:ascii="宋体" w:hAnsi="宋体" w:eastAsia="宋体" w:cs="Times New Roman"/>
                <w:sz w:val="21"/>
                <w:szCs w:val="21"/>
              </w:rPr>
            </w:pPr>
          </w:p>
        </w:tc>
        <w:tc>
          <w:tcPr>
            <w:tcW w:w="1428" w:type="dxa"/>
            <w:vAlign w:val="center"/>
          </w:tcPr>
          <w:p>
            <w:pPr>
              <w:pStyle w:val="14"/>
              <w:spacing w:line="360" w:lineRule="auto"/>
              <w:rPr>
                <w:rFonts w:ascii="宋体" w:hAnsi="宋体" w:eastAsia="宋体" w:cs="Times New Roman"/>
                <w:sz w:val="21"/>
                <w:szCs w:val="21"/>
              </w:rPr>
            </w:pPr>
          </w:p>
        </w:tc>
        <w:tc>
          <w:tcPr>
            <w:tcW w:w="1166" w:type="dxa"/>
            <w:vAlign w:val="top"/>
          </w:tcPr>
          <w:p>
            <w:pPr>
              <w:pStyle w:val="14"/>
              <w:spacing w:line="360" w:lineRule="auto"/>
              <w:rPr>
                <w:rFonts w:ascii="宋体" w:hAnsi="宋体" w:eastAsia="宋体" w:cs="Times New Roman"/>
                <w:sz w:val="21"/>
                <w:szCs w:val="21"/>
              </w:rPr>
            </w:pPr>
          </w:p>
        </w:tc>
        <w:tc>
          <w:tcPr>
            <w:tcW w:w="1550" w:type="dxa"/>
            <w:vAlign w:val="top"/>
          </w:tcPr>
          <w:p>
            <w:pPr>
              <w:pStyle w:val="14"/>
              <w:spacing w:line="360" w:lineRule="auto"/>
              <w:rPr>
                <w:rFonts w:ascii="宋体" w:hAnsi="宋体" w:eastAsia="宋体" w:cs="Times New Roman"/>
                <w:sz w:val="21"/>
                <w:szCs w:val="21"/>
              </w:rPr>
            </w:pPr>
          </w:p>
        </w:tc>
        <w:tc>
          <w:tcPr>
            <w:tcW w:w="1505" w:type="dxa"/>
            <w:vAlign w:val="top"/>
          </w:tcPr>
          <w:p>
            <w:pPr>
              <w:pStyle w:val="14"/>
              <w:spacing w:line="360" w:lineRule="auto"/>
              <w:rPr>
                <w:rFonts w:ascii="宋体" w:hAnsi="宋体" w:eastAsia="宋体" w:cs="Times New Roman"/>
                <w:sz w:val="21"/>
                <w:szCs w:val="21"/>
              </w:rPr>
            </w:pPr>
          </w:p>
        </w:tc>
        <w:tc>
          <w:tcPr>
            <w:tcW w:w="1333" w:type="dxa"/>
            <w:vAlign w:val="top"/>
          </w:tcPr>
          <w:p>
            <w:pPr>
              <w:pStyle w:val="14"/>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94" w:type="dxa"/>
            <w:vAlign w:val="center"/>
          </w:tcPr>
          <w:p>
            <w:pPr>
              <w:pStyle w:val="14"/>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293" w:type="dxa"/>
            <w:vAlign w:val="center"/>
          </w:tcPr>
          <w:p>
            <w:pPr>
              <w:pStyle w:val="14"/>
              <w:spacing w:line="360" w:lineRule="auto"/>
              <w:rPr>
                <w:rFonts w:ascii="宋体" w:hAnsi="宋体" w:eastAsia="宋体" w:cs="Times New Roman"/>
                <w:sz w:val="21"/>
                <w:szCs w:val="21"/>
              </w:rPr>
            </w:pPr>
          </w:p>
        </w:tc>
        <w:tc>
          <w:tcPr>
            <w:tcW w:w="1428" w:type="dxa"/>
            <w:vAlign w:val="center"/>
          </w:tcPr>
          <w:p>
            <w:pPr>
              <w:pStyle w:val="14"/>
              <w:spacing w:line="360" w:lineRule="auto"/>
              <w:rPr>
                <w:rFonts w:ascii="宋体" w:hAnsi="宋体" w:eastAsia="宋体" w:cs="Times New Roman"/>
                <w:sz w:val="21"/>
                <w:szCs w:val="21"/>
              </w:rPr>
            </w:pPr>
          </w:p>
        </w:tc>
        <w:tc>
          <w:tcPr>
            <w:tcW w:w="1166" w:type="dxa"/>
            <w:vAlign w:val="top"/>
          </w:tcPr>
          <w:p>
            <w:pPr>
              <w:pStyle w:val="14"/>
              <w:spacing w:line="360" w:lineRule="auto"/>
              <w:rPr>
                <w:rFonts w:ascii="宋体" w:hAnsi="宋体" w:eastAsia="宋体" w:cs="Times New Roman"/>
                <w:sz w:val="21"/>
                <w:szCs w:val="21"/>
              </w:rPr>
            </w:pPr>
          </w:p>
        </w:tc>
        <w:tc>
          <w:tcPr>
            <w:tcW w:w="1550" w:type="dxa"/>
            <w:vAlign w:val="top"/>
          </w:tcPr>
          <w:p>
            <w:pPr>
              <w:pStyle w:val="14"/>
              <w:spacing w:line="360" w:lineRule="auto"/>
              <w:rPr>
                <w:rFonts w:ascii="宋体" w:hAnsi="宋体" w:eastAsia="宋体" w:cs="Times New Roman"/>
                <w:sz w:val="21"/>
                <w:szCs w:val="21"/>
              </w:rPr>
            </w:pPr>
          </w:p>
        </w:tc>
        <w:tc>
          <w:tcPr>
            <w:tcW w:w="1505" w:type="dxa"/>
            <w:vAlign w:val="top"/>
          </w:tcPr>
          <w:p>
            <w:pPr>
              <w:pStyle w:val="14"/>
              <w:spacing w:line="360" w:lineRule="auto"/>
              <w:rPr>
                <w:rFonts w:ascii="宋体" w:hAnsi="宋体" w:eastAsia="宋体" w:cs="Times New Roman"/>
                <w:sz w:val="21"/>
                <w:szCs w:val="21"/>
              </w:rPr>
            </w:pPr>
          </w:p>
        </w:tc>
        <w:tc>
          <w:tcPr>
            <w:tcW w:w="1333" w:type="dxa"/>
            <w:vAlign w:val="top"/>
          </w:tcPr>
          <w:p>
            <w:pPr>
              <w:pStyle w:val="14"/>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94" w:type="dxa"/>
            <w:vAlign w:val="center"/>
          </w:tcPr>
          <w:p>
            <w:pPr>
              <w:pStyle w:val="14"/>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293" w:type="dxa"/>
            <w:vAlign w:val="center"/>
          </w:tcPr>
          <w:p>
            <w:pPr>
              <w:pStyle w:val="14"/>
              <w:spacing w:line="360" w:lineRule="auto"/>
              <w:rPr>
                <w:rFonts w:ascii="宋体" w:hAnsi="宋体" w:eastAsia="宋体" w:cs="Times New Roman"/>
                <w:sz w:val="21"/>
                <w:szCs w:val="21"/>
              </w:rPr>
            </w:pPr>
          </w:p>
        </w:tc>
        <w:tc>
          <w:tcPr>
            <w:tcW w:w="1428" w:type="dxa"/>
            <w:vAlign w:val="center"/>
          </w:tcPr>
          <w:p>
            <w:pPr>
              <w:pStyle w:val="14"/>
              <w:spacing w:line="360" w:lineRule="auto"/>
              <w:rPr>
                <w:rFonts w:ascii="宋体" w:hAnsi="宋体" w:eastAsia="宋体" w:cs="Times New Roman"/>
                <w:sz w:val="21"/>
                <w:szCs w:val="21"/>
              </w:rPr>
            </w:pPr>
          </w:p>
        </w:tc>
        <w:tc>
          <w:tcPr>
            <w:tcW w:w="1166" w:type="dxa"/>
            <w:vAlign w:val="top"/>
          </w:tcPr>
          <w:p>
            <w:pPr>
              <w:pStyle w:val="14"/>
              <w:spacing w:line="360" w:lineRule="auto"/>
              <w:rPr>
                <w:rFonts w:ascii="宋体" w:hAnsi="宋体" w:eastAsia="宋体" w:cs="Times New Roman"/>
                <w:sz w:val="21"/>
                <w:szCs w:val="21"/>
              </w:rPr>
            </w:pPr>
          </w:p>
        </w:tc>
        <w:tc>
          <w:tcPr>
            <w:tcW w:w="1550" w:type="dxa"/>
            <w:vAlign w:val="top"/>
          </w:tcPr>
          <w:p>
            <w:pPr>
              <w:pStyle w:val="14"/>
              <w:spacing w:line="360" w:lineRule="auto"/>
              <w:rPr>
                <w:rFonts w:ascii="宋体" w:hAnsi="宋体" w:eastAsia="宋体" w:cs="Times New Roman"/>
                <w:sz w:val="21"/>
                <w:szCs w:val="21"/>
              </w:rPr>
            </w:pPr>
          </w:p>
        </w:tc>
        <w:tc>
          <w:tcPr>
            <w:tcW w:w="1505" w:type="dxa"/>
            <w:vAlign w:val="top"/>
          </w:tcPr>
          <w:p>
            <w:pPr>
              <w:pStyle w:val="14"/>
              <w:spacing w:line="360" w:lineRule="auto"/>
              <w:rPr>
                <w:rFonts w:ascii="宋体" w:hAnsi="宋体" w:eastAsia="宋体" w:cs="Times New Roman"/>
                <w:sz w:val="21"/>
                <w:szCs w:val="21"/>
              </w:rPr>
            </w:pPr>
          </w:p>
        </w:tc>
        <w:tc>
          <w:tcPr>
            <w:tcW w:w="1333" w:type="dxa"/>
            <w:vAlign w:val="top"/>
          </w:tcPr>
          <w:p>
            <w:pPr>
              <w:pStyle w:val="14"/>
              <w:spacing w:line="360" w:lineRule="auto"/>
              <w:rPr>
                <w:rFonts w:ascii="宋体" w:hAnsi="宋体" w:eastAsia="宋体" w:cs="Times New Roman"/>
                <w:sz w:val="21"/>
                <w:szCs w:val="21"/>
              </w:rPr>
            </w:pPr>
          </w:p>
        </w:tc>
      </w:tr>
    </w:tbl>
    <w:p>
      <w:pPr>
        <w:autoSpaceDE w:val="0"/>
        <w:autoSpaceDN w:val="0"/>
        <w:adjustRightInd w:val="0"/>
        <w:spacing w:line="480" w:lineRule="auto"/>
        <w:rPr>
          <w:rFonts w:ascii="宋体" w:hAnsi="宋体" w:cs="宋体"/>
          <w:lang w:val="zh-CN"/>
        </w:rPr>
      </w:pPr>
      <w:r>
        <w:rPr>
          <w:rFonts w:hint="eastAsia" w:ascii="宋体" w:hAnsi="宋体" w:cs="宋体"/>
          <w:lang w:val="zh-CN"/>
        </w:rPr>
        <w:t>供应商（并加盖公章）：</w:t>
      </w:r>
    </w:p>
    <w:p>
      <w:pPr>
        <w:autoSpaceDE w:val="0"/>
        <w:autoSpaceDN w:val="0"/>
        <w:adjustRightInd w:val="0"/>
        <w:spacing w:line="480" w:lineRule="auto"/>
        <w:rPr>
          <w:rFonts w:ascii="宋体" w:hAnsi="宋体" w:cs="宋体"/>
          <w:lang w:val="zh-CN"/>
        </w:rPr>
      </w:pPr>
    </w:p>
    <w:p>
      <w:pPr>
        <w:snapToGrid w:val="0"/>
        <w:spacing w:line="500" w:lineRule="exact"/>
        <w:rPr>
          <w:rFonts w:ascii="宋体" w:hAnsi="宋体" w:cs="宋体"/>
          <w:lang w:val="zh-CN"/>
        </w:rPr>
      </w:pPr>
    </w:p>
    <w:p>
      <w:pPr>
        <w:rPr>
          <w:rFonts w:ascii="宋体" w:hAnsi="宋体" w:cs="宋体"/>
          <w:lang w:val="zh-CN"/>
        </w:rPr>
      </w:pPr>
      <w:r>
        <w:rPr>
          <w:rFonts w:hint="eastAsia" w:ascii="宋体" w:hAnsi="宋体" w:cs="宋体"/>
          <w:lang w:val="zh-CN"/>
        </w:rPr>
        <w:t>说明：所投产品节能认证证书须附后。</w:t>
      </w: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ascii="宋体" w:hAnsi="宋体"/>
          <w:b/>
          <w:bCs/>
          <w:sz w:val="24"/>
          <w:szCs w:val="24"/>
        </w:rPr>
        <w:br w:type="page"/>
      </w:r>
      <w:r>
        <w:rPr>
          <w:rFonts w:hint="eastAsia" w:ascii="宋体" w:hAnsi="宋体"/>
          <w:b/>
          <w:bCs/>
          <w:sz w:val="24"/>
          <w:szCs w:val="24"/>
        </w:rPr>
        <w:t>4.7“节能产品政府采购品目清单”优先采购节能产品情况</w:t>
      </w:r>
    </w:p>
    <w:p>
      <w:pPr>
        <w:autoSpaceDE w:val="0"/>
        <w:autoSpaceDN w:val="0"/>
        <w:adjustRightInd w:val="0"/>
        <w:spacing w:line="360" w:lineRule="auto"/>
        <w:jc w:val="center"/>
        <w:outlineLvl w:val="0"/>
        <w:rPr>
          <w:rFonts w:ascii="宋体" w:hAnsi="宋体"/>
          <w:b/>
          <w:bCs/>
          <w:sz w:val="28"/>
          <w:szCs w:val="28"/>
        </w:rPr>
      </w:pPr>
    </w:p>
    <w:p>
      <w:pPr>
        <w:spacing w:before="50" w:afterLines="50" w:line="360" w:lineRule="auto"/>
        <w:contextualSpacing/>
        <w:jc w:val="left"/>
        <w:rPr>
          <w:rFonts w:ascii="宋体" w:hAnsi="宋体"/>
        </w:rPr>
      </w:pPr>
      <w:r>
        <w:rPr>
          <w:rFonts w:hint="eastAsia" w:ascii="宋体" w:hAnsi="宋体"/>
        </w:rPr>
        <w:t>项目编号：</w:t>
      </w:r>
    </w:p>
    <w:p>
      <w:pPr>
        <w:tabs>
          <w:tab w:val="left" w:pos="1800"/>
          <w:tab w:val="left" w:pos="5580"/>
        </w:tabs>
        <w:spacing w:line="360" w:lineRule="auto"/>
        <w:rPr>
          <w:rFonts w:ascii="宋体" w:hAnsi="宋体"/>
        </w:rPr>
      </w:pPr>
      <w:r>
        <w:rPr>
          <w:rFonts w:hint="eastAsia" w:ascii="宋体" w:hAnsi="宋体"/>
        </w:rPr>
        <w:t>项目名称：</w:t>
      </w:r>
    </w:p>
    <w:p>
      <w:pPr>
        <w:tabs>
          <w:tab w:val="left" w:pos="1800"/>
          <w:tab w:val="left" w:pos="5580"/>
        </w:tabs>
        <w:spacing w:line="360" w:lineRule="auto"/>
        <w:rPr>
          <w:rFonts w:ascii="宋体" w:hAnsi="宋体"/>
        </w:rPr>
      </w:pPr>
    </w:p>
    <w:tbl>
      <w:tblPr>
        <w:tblStyle w:val="30"/>
        <w:tblW w:w="87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4"/>
        <w:gridCol w:w="1293"/>
        <w:gridCol w:w="1428"/>
        <w:gridCol w:w="1166"/>
        <w:gridCol w:w="1550"/>
        <w:gridCol w:w="1505"/>
        <w:gridCol w:w="1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atLeast"/>
          <w:tblHeader/>
        </w:trPr>
        <w:tc>
          <w:tcPr>
            <w:tcW w:w="494" w:type="dxa"/>
            <w:shd w:val="clear" w:color="auto" w:fill="F2F2F2"/>
            <w:vAlign w:val="center"/>
          </w:tcPr>
          <w:p>
            <w:pPr>
              <w:pStyle w:val="14"/>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293" w:type="dxa"/>
            <w:shd w:val="clear" w:color="auto" w:fill="F2F2F2"/>
            <w:vAlign w:val="center"/>
          </w:tcPr>
          <w:p>
            <w:pPr>
              <w:pStyle w:val="14"/>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428" w:type="dxa"/>
            <w:shd w:val="clear" w:color="auto" w:fill="F2F2F2"/>
            <w:vAlign w:val="center"/>
          </w:tcPr>
          <w:p>
            <w:pPr>
              <w:pStyle w:val="14"/>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166" w:type="dxa"/>
            <w:shd w:val="clear" w:color="auto" w:fill="F2F2F2"/>
            <w:vAlign w:val="center"/>
          </w:tcPr>
          <w:p>
            <w:pPr>
              <w:pStyle w:val="14"/>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550" w:type="dxa"/>
            <w:shd w:val="clear" w:color="auto" w:fill="F2F2F2"/>
            <w:vAlign w:val="center"/>
          </w:tcPr>
          <w:p>
            <w:pPr>
              <w:pStyle w:val="14"/>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505" w:type="dxa"/>
            <w:shd w:val="clear" w:color="auto" w:fill="F2F2F2"/>
            <w:vAlign w:val="center"/>
          </w:tcPr>
          <w:p>
            <w:pPr>
              <w:pStyle w:val="14"/>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333" w:type="dxa"/>
            <w:shd w:val="clear" w:color="auto" w:fill="F2F2F2"/>
            <w:vAlign w:val="center"/>
          </w:tcPr>
          <w:p>
            <w:pPr>
              <w:pStyle w:val="14"/>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94" w:type="dxa"/>
            <w:vAlign w:val="center"/>
          </w:tcPr>
          <w:p>
            <w:pPr>
              <w:pStyle w:val="14"/>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293" w:type="dxa"/>
            <w:vAlign w:val="center"/>
          </w:tcPr>
          <w:p>
            <w:pPr>
              <w:pStyle w:val="14"/>
              <w:spacing w:line="360" w:lineRule="auto"/>
              <w:rPr>
                <w:rFonts w:ascii="宋体" w:hAnsi="宋体" w:eastAsia="宋体" w:cs="Times New Roman"/>
                <w:sz w:val="21"/>
                <w:szCs w:val="21"/>
              </w:rPr>
            </w:pPr>
          </w:p>
        </w:tc>
        <w:tc>
          <w:tcPr>
            <w:tcW w:w="1428" w:type="dxa"/>
            <w:vAlign w:val="center"/>
          </w:tcPr>
          <w:p>
            <w:pPr>
              <w:pStyle w:val="14"/>
              <w:spacing w:line="360" w:lineRule="auto"/>
              <w:rPr>
                <w:rFonts w:ascii="宋体" w:hAnsi="宋体" w:eastAsia="宋体" w:cs="Times New Roman"/>
                <w:sz w:val="21"/>
                <w:szCs w:val="21"/>
              </w:rPr>
            </w:pPr>
          </w:p>
        </w:tc>
        <w:tc>
          <w:tcPr>
            <w:tcW w:w="1166" w:type="dxa"/>
            <w:vAlign w:val="top"/>
          </w:tcPr>
          <w:p>
            <w:pPr>
              <w:pStyle w:val="14"/>
              <w:spacing w:line="360" w:lineRule="auto"/>
              <w:rPr>
                <w:rFonts w:ascii="宋体" w:hAnsi="宋体" w:eastAsia="宋体" w:cs="Times New Roman"/>
                <w:sz w:val="21"/>
                <w:szCs w:val="21"/>
              </w:rPr>
            </w:pPr>
          </w:p>
        </w:tc>
        <w:tc>
          <w:tcPr>
            <w:tcW w:w="1550" w:type="dxa"/>
            <w:vAlign w:val="top"/>
          </w:tcPr>
          <w:p>
            <w:pPr>
              <w:pStyle w:val="14"/>
              <w:spacing w:line="360" w:lineRule="auto"/>
              <w:rPr>
                <w:rFonts w:ascii="宋体" w:hAnsi="宋体" w:eastAsia="宋体" w:cs="Times New Roman"/>
                <w:sz w:val="21"/>
                <w:szCs w:val="21"/>
              </w:rPr>
            </w:pPr>
          </w:p>
        </w:tc>
        <w:tc>
          <w:tcPr>
            <w:tcW w:w="1505" w:type="dxa"/>
            <w:vAlign w:val="top"/>
          </w:tcPr>
          <w:p>
            <w:pPr>
              <w:pStyle w:val="14"/>
              <w:spacing w:line="360" w:lineRule="auto"/>
              <w:rPr>
                <w:rFonts w:ascii="宋体" w:hAnsi="宋体" w:eastAsia="宋体" w:cs="Times New Roman"/>
                <w:sz w:val="21"/>
                <w:szCs w:val="21"/>
              </w:rPr>
            </w:pPr>
          </w:p>
        </w:tc>
        <w:tc>
          <w:tcPr>
            <w:tcW w:w="1333" w:type="dxa"/>
            <w:vAlign w:val="top"/>
          </w:tcPr>
          <w:p>
            <w:pPr>
              <w:pStyle w:val="14"/>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94" w:type="dxa"/>
            <w:vAlign w:val="center"/>
          </w:tcPr>
          <w:p>
            <w:pPr>
              <w:pStyle w:val="14"/>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293" w:type="dxa"/>
            <w:vAlign w:val="center"/>
          </w:tcPr>
          <w:p>
            <w:pPr>
              <w:pStyle w:val="14"/>
              <w:spacing w:line="360" w:lineRule="auto"/>
              <w:rPr>
                <w:rFonts w:ascii="宋体" w:hAnsi="宋体" w:eastAsia="宋体" w:cs="Times New Roman"/>
                <w:sz w:val="21"/>
                <w:szCs w:val="21"/>
              </w:rPr>
            </w:pPr>
          </w:p>
        </w:tc>
        <w:tc>
          <w:tcPr>
            <w:tcW w:w="1428" w:type="dxa"/>
            <w:vAlign w:val="center"/>
          </w:tcPr>
          <w:p>
            <w:pPr>
              <w:pStyle w:val="14"/>
              <w:spacing w:line="360" w:lineRule="auto"/>
              <w:rPr>
                <w:rFonts w:ascii="宋体" w:hAnsi="宋体" w:eastAsia="宋体" w:cs="Times New Roman"/>
                <w:sz w:val="21"/>
                <w:szCs w:val="21"/>
              </w:rPr>
            </w:pPr>
          </w:p>
        </w:tc>
        <w:tc>
          <w:tcPr>
            <w:tcW w:w="1166" w:type="dxa"/>
            <w:vAlign w:val="top"/>
          </w:tcPr>
          <w:p>
            <w:pPr>
              <w:pStyle w:val="14"/>
              <w:spacing w:line="360" w:lineRule="auto"/>
              <w:rPr>
                <w:rFonts w:ascii="宋体" w:hAnsi="宋体" w:eastAsia="宋体" w:cs="Times New Roman"/>
                <w:sz w:val="21"/>
                <w:szCs w:val="21"/>
              </w:rPr>
            </w:pPr>
          </w:p>
        </w:tc>
        <w:tc>
          <w:tcPr>
            <w:tcW w:w="1550" w:type="dxa"/>
            <w:vAlign w:val="top"/>
          </w:tcPr>
          <w:p>
            <w:pPr>
              <w:pStyle w:val="14"/>
              <w:spacing w:line="360" w:lineRule="auto"/>
              <w:rPr>
                <w:rFonts w:ascii="宋体" w:hAnsi="宋体" w:eastAsia="宋体" w:cs="Times New Roman"/>
                <w:sz w:val="21"/>
                <w:szCs w:val="21"/>
              </w:rPr>
            </w:pPr>
          </w:p>
        </w:tc>
        <w:tc>
          <w:tcPr>
            <w:tcW w:w="1505" w:type="dxa"/>
            <w:vAlign w:val="top"/>
          </w:tcPr>
          <w:p>
            <w:pPr>
              <w:pStyle w:val="14"/>
              <w:spacing w:line="360" w:lineRule="auto"/>
              <w:rPr>
                <w:rFonts w:ascii="宋体" w:hAnsi="宋体" w:eastAsia="宋体" w:cs="Times New Roman"/>
                <w:sz w:val="21"/>
                <w:szCs w:val="21"/>
              </w:rPr>
            </w:pPr>
          </w:p>
        </w:tc>
        <w:tc>
          <w:tcPr>
            <w:tcW w:w="1333" w:type="dxa"/>
            <w:vAlign w:val="top"/>
          </w:tcPr>
          <w:p>
            <w:pPr>
              <w:pStyle w:val="14"/>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94" w:type="dxa"/>
            <w:vAlign w:val="center"/>
          </w:tcPr>
          <w:p>
            <w:pPr>
              <w:pStyle w:val="14"/>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293" w:type="dxa"/>
            <w:vAlign w:val="center"/>
          </w:tcPr>
          <w:p>
            <w:pPr>
              <w:pStyle w:val="14"/>
              <w:spacing w:line="360" w:lineRule="auto"/>
              <w:rPr>
                <w:rFonts w:ascii="宋体" w:hAnsi="宋体" w:eastAsia="宋体" w:cs="Times New Roman"/>
                <w:sz w:val="21"/>
                <w:szCs w:val="21"/>
              </w:rPr>
            </w:pPr>
          </w:p>
        </w:tc>
        <w:tc>
          <w:tcPr>
            <w:tcW w:w="1428" w:type="dxa"/>
            <w:vAlign w:val="center"/>
          </w:tcPr>
          <w:p>
            <w:pPr>
              <w:pStyle w:val="14"/>
              <w:spacing w:line="360" w:lineRule="auto"/>
              <w:rPr>
                <w:rFonts w:ascii="宋体" w:hAnsi="宋体" w:eastAsia="宋体" w:cs="Times New Roman"/>
                <w:sz w:val="21"/>
                <w:szCs w:val="21"/>
              </w:rPr>
            </w:pPr>
          </w:p>
        </w:tc>
        <w:tc>
          <w:tcPr>
            <w:tcW w:w="1166" w:type="dxa"/>
            <w:vAlign w:val="top"/>
          </w:tcPr>
          <w:p>
            <w:pPr>
              <w:pStyle w:val="14"/>
              <w:spacing w:line="360" w:lineRule="auto"/>
              <w:rPr>
                <w:rFonts w:ascii="宋体" w:hAnsi="宋体" w:eastAsia="宋体" w:cs="Times New Roman"/>
                <w:sz w:val="21"/>
                <w:szCs w:val="21"/>
              </w:rPr>
            </w:pPr>
          </w:p>
        </w:tc>
        <w:tc>
          <w:tcPr>
            <w:tcW w:w="1550" w:type="dxa"/>
            <w:vAlign w:val="top"/>
          </w:tcPr>
          <w:p>
            <w:pPr>
              <w:pStyle w:val="14"/>
              <w:spacing w:line="360" w:lineRule="auto"/>
              <w:rPr>
                <w:rFonts w:ascii="宋体" w:hAnsi="宋体" w:eastAsia="宋体" w:cs="Times New Roman"/>
                <w:sz w:val="21"/>
                <w:szCs w:val="21"/>
              </w:rPr>
            </w:pPr>
          </w:p>
        </w:tc>
        <w:tc>
          <w:tcPr>
            <w:tcW w:w="1505" w:type="dxa"/>
            <w:vAlign w:val="top"/>
          </w:tcPr>
          <w:p>
            <w:pPr>
              <w:pStyle w:val="14"/>
              <w:spacing w:line="360" w:lineRule="auto"/>
              <w:rPr>
                <w:rFonts w:ascii="宋体" w:hAnsi="宋体" w:eastAsia="宋体" w:cs="Times New Roman"/>
                <w:sz w:val="21"/>
                <w:szCs w:val="21"/>
              </w:rPr>
            </w:pPr>
          </w:p>
        </w:tc>
        <w:tc>
          <w:tcPr>
            <w:tcW w:w="1333" w:type="dxa"/>
            <w:vAlign w:val="top"/>
          </w:tcPr>
          <w:p>
            <w:pPr>
              <w:pStyle w:val="14"/>
              <w:spacing w:line="360" w:lineRule="auto"/>
              <w:rPr>
                <w:rFonts w:ascii="宋体" w:hAnsi="宋体" w:eastAsia="宋体" w:cs="Times New Roman"/>
                <w:sz w:val="21"/>
                <w:szCs w:val="21"/>
              </w:rPr>
            </w:pPr>
          </w:p>
        </w:tc>
      </w:tr>
    </w:tbl>
    <w:p>
      <w:pPr>
        <w:autoSpaceDE w:val="0"/>
        <w:autoSpaceDN w:val="0"/>
        <w:adjustRightInd w:val="0"/>
        <w:spacing w:line="480" w:lineRule="auto"/>
        <w:rPr>
          <w:rFonts w:ascii="宋体" w:hAnsi="宋体" w:cs="宋体"/>
          <w:lang w:val="zh-CN"/>
        </w:rPr>
      </w:pPr>
      <w:r>
        <w:rPr>
          <w:rFonts w:hint="eastAsia" w:ascii="宋体" w:hAnsi="宋体" w:cs="宋体"/>
          <w:lang w:val="zh-CN"/>
        </w:rPr>
        <w:t>供应商（并加盖公章）：</w:t>
      </w:r>
    </w:p>
    <w:p>
      <w:pPr>
        <w:autoSpaceDE w:val="0"/>
        <w:autoSpaceDN w:val="0"/>
        <w:adjustRightInd w:val="0"/>
        <w:spacing w:line="480" w:lineRule="auto"/>
        <w:rPr>
          <w:rFonts w:ascii="宋体" w:hAnsi="宋体" w:cs="宋体"/>
          <w:lang w:val="zh-CN"/>
        </w:rPr>
      </w:pPr>
    </w:p>
    <w:p>
      <w:pPr>
        <w:snapToGrid w:val="0"/>
        <w:spacing w:line="500" w:lineRule="exact"/>
        <w:rPr>
          <w:rFonts w:ascii="宋体" w:hAnsi="宋体" w:cs="宋体"/>
          <w:lang w:val="zh-CN"/>
        </w:rPr>
      </w:pPr>
    </w:p>
    <w:p>
      <w:pPr>
        <w:rPr>
          <w:rFonts w:ascii="宋体" w:hAnsi="宋体" w:cs="宋体"/>
          <w:lang w:val="zh-CN"/>
        </w:rPr>
      </w:pPr>
      <w:r>
        <w:rPr>
          <w:rFonts w:hint="eastAsia" w:ascii="宋体" w:hAnsi="宋体" w:cs="宋体"/>
          <w:lang w:val="zh-CN"/>
        </w:rPr>
        <w:t>说明：所投产品节能认证证书须附后。</w:t>
      </w:r>
    </w:p>
    <w:p>
      <w:pPr>
        <w:rPr>
          <w:rFonts w:ascii="宋体" w:hAnsi="宋体" w:cs="宋体"/>
          <w:lang w:val="zh-CN"/>
        </w:rPr>
      </w:pPr>
    </w:p>
    <w:p>
      <w:pPr>
        <w:rPr>
          <w:rFonts w:ascii="宋体" w:hAnsi="宋体" w:cs="宋体"/>
          <w:lang w:val="zh-CN"/>
        </w:rPr>
      </w:pPr>
    </w:p>
    <w:p>
      <w:pPr>
        <w:rPr>
          <w:rFonts w:ascii="宋体" w:hAnsi="宋体" w:cs="宋体"/>
          <w:lang w:val="zh-CN"/>
        </w:rPr>
      </w:pPr>
    </w:p>
    <w:p>
      <w:pPr>
        <w:rPr>
          <w:rFonts w:ascii="宋体" w:hAnsi="宋体" w:cs="宋体"/>
          <w:lang w:val="zh-CN"/>
        </w:rPr>
      </w:pPr>
    </w:p>
    <w:p>
      <w:pPr>
        <w:rPr>
          <w:rFonts w:ascii="宋体" w:hAnsi="宋体" w:cs="宋体"/>
          <w:lang w:val="zh-CN"/>
        </w:rPr>
      </w:pPr>
    </w:p>
    <w:p>
      <w:pPr>
        <w:rPr>
          <w:rFonts w:ascii="宋体" w:hAnsi="宋体" w:cs="宋体"/>
          <w:lang w:val="zh-CN"/>
        </w:rPr>
      </w:pPr>
    </w:p>
    <w:p>
      <w:pPr>
        <w:rPr>
          <w:rFonts w:ascii="宋体" w:hAnsi="宋体" w:cs="宋体"/>
          <w:lang w:val="zh-CN"/>
        </w:rPr>
      </w:pPr>
    </w:p>
    <w:p>
      <w:pPr>
        <w:rPr>
          <w:rFonts w:ascii="宋体" w:hAnsi="宋体" w:cs="宋体"/>
          <w:lang w:val="zh-CN"/>
        </w:rPr>
      </w:pPr>
    </w:p>
    <w:p>
      <w:pPr>
        <w:rPr>
          <w:rFonts w:ascii="宋体" w:hAnsi="宋体" w:cs="宋体"/>
          <w:lang w:val="zh-CN"/>
        </w:rPr>
      </w:pPr>
    </w:p>
    <w:p>
      <w:pPr>
        <w:rPr>
          <w:rFonts w:ascii="宋体" w:hAnsi="宋体" w:cs="宋体"/>
          <w:lang w:val="zh-CN"/>
        </w:rPr>
      </w:pPr>
    </w:p>
    <w:p>
      <w:pPr>
        <w:rPr>
          <w:rFonts w:ascii="宋体" w:hAnsi="宋体" w:cs="宋体"/>
          <w:lang w:val="zh-CN"/>
        </w:rPr>
      </w:pPr>
    </w:p>
    <w:p>
      <w:pPr>
        <w:rPr>
          <w:rFonts w:ascii="宋体" w:hAnsi="宋体" w:cs="宋体"/>
          <w:lang w:val="zh-CN"/>
        </w:rPr>
      </w:pPr>
    </w:p>
    <w:p>
      <w:pPr>
        <w:rPr>
          <w:rFonts w:ascii="宋体" w:hAnsi="宋体" w:cs="宋体"/>
          <w:lang w:val="zh-CN"/>
        </w:rPr>
      </w:pPr>
    </w:p>
    <w:p>
      <w:pPr>
        <w:rPr>
          <w:rFonts w:ascii="宋体" w:hAnsi="宋体" w:cs="宋体"/>
          <w:lang w:val="zh-CN"/>
        </w:rPr>
      </w:pPr>
    </w:p>
    <w:p>
      <w:pPr>
        <w:jc w:val="center"/>
        <w:rPr>
          <w:rFonts w:ascii="宋体" w:hAnsi="宋体"/>
          <w:b/>
          <w:bCs/>
          <w:sz w:val="24"/>
          <w:szCs w:val="24"/>
        </w:rPr>
      </w:pPr>
      <w:r>
        <w:rPr>
          <w:rFonts w:ascii="宋体" w:hAnsi="宋体" w:cs="宋体"/>
          <w:lang w:val="zh-CN"/>
        </w:rPr>
        <w:br w:type="page"/>
      </w:r>
      <w:r>
        <w:rPr>
          <w:rFonts w:hint="eastAsia" w:ascii="宋体" w:hAnsi="宋体"/>
          <w:b/>
          <w:bCs/>
          <w:sz w:val="24"/>
          <w:szCs w:val="24"/>
        </w:rPr>
        <w:t>4.8 “环境标志产品政府采购品目清单”优先采购产品情况</w:t>
      </w:r>
    </w:p>
    <w:p>
      <w:pPr>
        <w:autoSpaceDE w:val="0"/>
        <w:autoSpaceDN w:val="0"/>
        <w:adjustRightInd w:val="0"/>
        <w:spacing w:line="360" w:lineRule="auto"/>
        <w:jc w:val="center"/>
        <w:outlineLvl w:val="0"/>
        <w:rPr>
          <w:rFonts w:ascii="宋体" w:hAnsi="宋体"/>
          <w:b/>
          <w:bCs/>
          <w:sz w:val="28"/>
          <w:szCs w:val="28"/>
        </w:rPr>
      </w:pPr>
    </w:p>
    <w:p>
      <w:pPr>
        <w:spacing w:before="50" w:afterLines="50" w:line="360" w:lineRule="auto"/>
        <w:contextualSpacing/>
        <w:jc w:val="left"/>
        <w:rPr>
          <w:rFonts w:ascii="宋体" w:hAnsi="宋体"/>
        </w:rPr>
      </w:pPr>
      <w:r>
        <w:rPr>
          <w:rFonts w:hint="eastAsia" w:ascii="宋体" w:hAnsi="宋体"/>
        </w:rPr>
        <w:t>项目编号：</w:t>
      </w:r>
    </w:p>
    <w:p>
      <w:pPr>
        <w:tabs>
          <w:tab w:val="left" w:pos="1800"/>
          <w:tab w:val="left" w:pos="5580"/>
        </w:tabs>
        <w:spacing w:line="360" w:lineRule="auto"/>
        <w:rPr>
          <w:rFonts w:ascii="宋体" w:hAnsi="宋体"/>
        </w:rPr>
      </w:pPr>
      <w:r>
        <w:rPr>
          <w:rFonts w:hint="eastAsia" w:ascii="宋体" w:hAnsi="宋体"/>
        </w:rPr>
        <w:t>项目名称：</w:t>
      </w:r>
    </w:p>
    <w:p>
      <w:pPr>
        <w:tabs>
          <w:tab w:val="left" w:pos="1800"/>
          <w:tab w:val="left" w:pos="5580"/>
        </w:tabs>
        <w:spacing w:line="360" w:lineRule="auto"/>
        <w:rPr>
          <w:rFonts w:ascii="宋体" w:hAnsi="宋体"/>
        </w:rPr>
      </w:pPr>
    </w:p>
    <w:tbl>
      <w:tblPr>
        <w:tblStyle w:val="30"/>
        <w:tblW w:w="87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4"/>
        <w:gridCol w:w="1293"/>
        <w:gridCol w:w="1428"/>
        <w:gridCol w:w="1166"/>
        <w:gridCol w:w="1550"/>
        <w:gridCol w:w="1505"/>
        <w:gridCol w:w="1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atLeast"/>
          <w:tblHeader/>
        </w:trPr>
        <w:tc>
          <w:tcPr>
            <w:tcW w:w="494" w:type="dxa"/>
            <w:shd w:val="clear" w:color="auto" w:fill="F2F2F2"/>
            <w:vAlign w:val="center"/>
          </w:tcPr>
          <w:p>
            <w:pPr>
              <w:pStyle w:val="14"/>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293" w:type="dxa"/>
            <w:shd w:val="clear" w:color="auto" w:fill="F2F2F2"/>
            <w:vAlign w:val="center"/>
          </w:tcPr>
          <w:p>
            <w:pPr>
              <w:pStyle w:val="14"/>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428" w:type="dxa"/>
            <w:shd w:val="clear" w:color="auto" w:fill="F2F2F2"/>
            <w:vAlign w:val="center"/>
          </w:tcPr>
          <w:p>
            <w:pPr>
              <w:pStyle w:val="14"/>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166" w:type="dxa"/>
            <w:shd w:val="clear" w:color="auto" w:fill="F2F2F2"/>
            <w:vAlign w:val="center"/>
          </w:tcPr>
          <w:p>
            <w:pPr>
              <w:pStyle w:val="14"/>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550" w:type="dxa"/>
            <w:shd w:val="clear" w:color="auto" w:fill="F2F2F2"/>
            <w:vAlign w:val="center"/>
          </w:tcPr>
          <w:p>
            <w:pPr>
              <w:pStyle w:val="14"/>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505" w:type="dxa"/>
            <w:shd w:val="clear" w:color="auto" w:fill="F2F2F2"/>
            <w:vAlign w:val="center"/>
          </w:tcPr>
          <w:p>
            <w:pPr>
              <w:pStyle w:val="14"/>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333" w:type="dxa"/>
            <w:shd w:val="clear" w:color="auto" w:fill="F2F2F2"/>
            <w:vAlign w:val="center"/>
          </w:tcPr>
          <w:p>
            <w:pPr>
              <w:pStyle w:val="14"/>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94" w:type="dxa"/>
            <w:vAlign w:val="center"/>
          </w:tcPr>
          <w:p>
            <w:pPr>
              <w:pStyle w:val="14"/>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293" w:type="dxa"/>
            <w:vAlign w:val="center"/>
          </w:tcPr>
          <w:p>
            <w:pPr>
              <w:pStyle w:val="14"/>
              <w:spacing w:line="360" w:lineRule="auto"/>
              <w:rPr>
                <w:rFonts w:ascii="宋体" w:hAnsi="宋体" w:eastAsia="宋体" w:cs="Times New Roman"/>
                <w:sz w:val="21"/>
                <w:szCs w:val="21"/>
              </w:rPr>
            </w:pPr>
          </w:p>
        </w:tc>
        <w:tc>
          <w:tcPr>
            <w:tcW w:w="1428" w:type="dxa"/>
            <w:vAlign w:val="center"/>
          </w:tcPr>
          <w:p>
            <w:pPr>
              <w:pStyle w:val="14"/>
              <w:spacing w:line="360" w:lineRule="auto"/>
              <w:rPr>
                <w:rFonts w:ascii="宋体" w:hAnsi="宋体" w:eastAsia="宋体" w:cs="Times New Roman"/>
                <w:sz w:val="21"/>
                <w:szCs w:val="21"/>
              </w:rPr>
            </w:pPr>
          </w:p>
        </w:tc>
        <w:tc>
          <w:tcPr>
            <w:tcW w:w="1166" w:type="dxa"/>
            <w:vAlign w:val="top"/>
          </w:tcPr>
          <w:p>
            <w:pPr>
              <w:pStyle w:val="14"/>
              <w:spacing w:line="360" w:lineRule="auto"/>
              <w:rPr>
                <w:rFonts w:ascii="宋体" w:hAnsi="宋体" w:eastAsia="宋体" w:cs="Times New Roman"/>
                <w:sz w:val="21"/>
                <w:szCs w:val="21"/>
              </w:rPr>
            </w:pPr>
          </w:p>
        </w:tc>
        <w:tc>
          <w:tcPr>
            <w:tcW w:w="1550" w:type="dxa"/>
            <w:vAlign w:val="top"/>
          </w:tcPr>
          <w:p>
            <w:pPr>
              <w:pStyle w:val="14"/>
              <w:spacing w:line="360" w:lineRule="auto"/>
              <w:rPr>
                <w:rFonts w:ascii="宋体" w:hAnsi="宋体" w:eastAsia="宋体" w:cs="Times New Roman"/>
                <w:sz w:val="21"/>
                <w:szCs w:val="21"/>
              </w:rPr>
            </w:pPr>
          </w:p>
        </w:tc>
        <w:tc>
          <w:tcPr>
            <w:tcW w:w="1505" w:type="dxa"/>
            <w:vAlign w:val="top"/>
          </w:tcPr>
          <w:p>
            <w:pPr>
              <w:pStyle w:val="14"/>
              <w:spacing w:line="360" w:lineRule="auto"/>
              <w:rPr>
                <w:rFonts w:ascii="宋体" w:hAnsi="宋体" w:eastAsia="宋体" w:cs="Times New Roman"/>
                <w:sz w:val="21"/>
                <w:szCs w:val="21"/>
              </w:rPr>
            </w:pPr>
          </w:p>
        </w:tc>
        <w:tc>
          <w:tcPr>
            <w:tcW w:w="1333" w:type="dxa"/>
            <w:vAlign w:val="top"/>
          </w:tcPr>
          <w:p>
            <w:pPr>
              <w:pStyle w:val="14"/>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94" w:type="dxa"/>
            <w:vAlign w:val="center"/>
          </w:tcPr>
          <w:p>
            <w:pPr>
              <w:pStyle w:val="14"/>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293" w:type="dxa"/>
            <w:vAlign w:val="center"/>
          </w:tcPr>
          <w:p>
            <w:pPr>
              <w:pStyle w:val="14"/>
              <w:spacing w:line="360" w:lineRule="auto"/>
              <w:rPr>
                <w:rFonts w:ascii="宋体" w:hAnsi="宋体" w:eastAsia="宋体" w:cs="Times New Roman"/>
                <w:sz w:val="21"/>
                <w:szCs w:val="21"/>
              </w:rPr>
            </w:pPr>
          </w:p>
        </w:tc>
        <w:tc>
          <w:tcPr>
            <w:tcW w:w="1428" w:type="dxa"/>
            <w:vAlign w:val="center"/>
          </w:tcPr>
          <w:p>
            <w:pPr>
              <w:pStyle w:val="14"/>
              <w:spacing w:line="360" w:lineRule="auto"/>
              <w:rPr>
                <w:rFonts w:ascii="宋体" w:hAnsi="宋体" w:eastAsia="宋体" w:cs="Times New Roman"/>
                <w:sz w:val="21"/>
                <w:szCs w:val="21"/>
              </w:rPr>
            </w:pPr>
          </w:p>
        </w:tc>
        <w:tc>
          <w:tcPr>
            <w:tcW w:w="1166" w:type="dxa"/>
            <w:vAlign w:val="top"/>
          </w:tcPr>
          <w:p>
            <w:pPr>
              <w:pStyle w:val="14"/>
              <w:spacing w:line="360" w:lineRule="auto"/>
              <w:rPr>
                <w:rFonts w:ascii="宋体" w:hAnsi="宋体" w:eastAsia="宋体" w:cs="Times New Roman"/>
                <w:sz w:val="21"/>
                <w:szCs w:val="21"/>
              </w:rPr>
            </w:pPr>
          </w:p>
        </w:tc>
        <w:tc>
          <w:tcPr>
            <w:tcW w:w="1550" w:type="dxa"/>
            <w:vAlign w:val="top"/>
          </w:tcPr>
          <w:p>
            <w:pPr>
              <w:pStyle w:val="14"/>
              <w:spacing w:line="360" w:lineRule="auto"/>
              <w:rPr>
                <w:rFonts w:ascii="宋体" w:hAnsi="宋体" w:eastAsia="宋体" w:cs="Times New Roman"/>
                <w:sz w:val="21"/>
                <w:szCs w:val="21"/>
              </w:rPr>
            </w:pPr>
          </w:p>
        </w:tc>
        <w:tc>
          <w:tcPr>
            <w:tcW w:w="1505" w:type="dxa"/>
            <w:vAlign w:val="top"/>
          </w:tcPr>
          <w:p>
            <w:pPr>
              <w:pStyle w:val="14"/>
              <w:spacing w:line="360" w:lineRule="auto"/>
              <w:rPr>
                <w:rFonts w:ascii="宋体" w:hAnsi="宋体" w:eastAsia="宋体" w:cs="Times New Roman"/>
                <w:sz w:val="21"/>
                <w:szCs w:val="21"/>
              </w:rPr>
            </w:pPr>
          </w:p>
        </w:tc>
        <w:tc>
          <w:tcPr>
            <w:tcW w:w="1333" w:type="dxa"/>
            <w:vAlign w:val="top"/>
          </w:tcPr>
          <w:p>
            <w:pPr>
              <w:pStyle w:val="14"/>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94" w:type="dxa"/>
            <w:vAlign w:val="center"/>
          </w:tcPr>
          <w:p>
            <w:pPr>
              <w:pStyle w:val="14"/>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293" w:type="dxa"/>
            <w:vAlign w:val="center"/>
          </w:tcPr>
          <w:p>
            <w:pPr>
              <w:pStyle w:val="14"/>
              <w:spacing w:line="360" w:lineRule="auto"/>
              <w:rPr>
                <w:rFonts w:ascii="宋体" w:hAnsi="宋体" w:eastAsia="宋体" w:cs="Times New Roman"/>
                <w:sz w:val="21"/>
                <w:szCs w:val="21"/>
              </w:rPr>
            </w:pPr>
          </w:p>
        </w:tc>
        <w:tc>
          <w:tcPr>
            <w:tcW w:w="1428" w:type="dxa"/>
            <w:vAlign w:val="center"/>
          </w:tcPr>
          <w:p>
            <w:pPr>
              <w:pStyle w:val="14"/>
              <w:spacing w:line="360" w:lineRule="auto"/>
              <w:rPr>
                <w:rFonts w:ascii="宋体" w:hAnsi="宋体" w:eastAsia="宋体" w:cs="Times New Roman"/>
                <w:sz w:val="21"/>
                <w:szCs w:val="21"/>
              </w:rPr>
            </w:pPr>
          </w:p>
        </w:tc>
        <w:tc>
          <w:tcPr>
            <w:tcW w:w="1166" w:type="dxa"/>
            <w:vAlign w:val="top"/>
          </w:tcPr>
          <w:p>
            <w:pPr>
              <w:pStyle w:val="14"/>
              <w:spacing w:line="360" w:lineRule="auto"/>
              <w:rPr>
                <w:rFonts w:ascii="宋体" w:hAnsi="宋体" w:eastAsia="宋体" w:cs="Times New Roman"/>
                <w:sz w:val="21"/>
                <w:szCs w:val="21"/>
              </w:rPr>
            </w:pPr>
          </w:p>
        </w:tc>
        <w:tc>
          <w:tcPr>
            <w:tcW w:w="1550" w:type="dxa"/>
            <w:vAlign w:val="top"/>
          </w:tcPr>
          <w:p>
            <w:pPr>
              <w:pStyle w:val="14"/>
              <w:spacing w:line="360" w:lineRule="auto"/>
              <w:rPr>
                <w:rFonts w:ascii="宋体" w:hAnsi="宋体" w:eastAsia="宋体" w:cs="Times New Roman"/>
                <w:sz w:val="21"/>
                <w:szCs w:val="21"/>
              </w:rPr>
            </w:pPr>
          </w:p>
        </w:tc>
        <w:tc>
          <w:tcPr>
            <w:tcW w:w="1505" w:type="dxa"/>
            <w:vAlign w:val="top"/>
          </w:tcPr>
          <w:p>
            <w:pPr>
              <w:pStyle w:val="14"/>
              <w:spacing w:line="360" w:lineRule="auto"/>
              <w:rPr>
                <w:rFonts w:ascii="宋体" w:hAnsi="宋体" w:eastAsia="宋体" w:cs="Times New Roman"/>
                <w:sz w:val="21"/>
                <w:szCs w:val="21"/>
              </w:rPr>
            </w:pPr>
          </w:p>
        </w:tc>
        <w:tc>
          <w:tcPr>
            <w:tcW w:w="1333" w:type="dxa"/>
            <w:vAlign w:val="top"/>
          </w:tcPr>
          <w:p>
            <w:pPr>
              <w:pStyle w:val="14"/>
              <w:spacing w:line="360" w:lineRule="auto"/>
              <w:rPr>
                <w:rFonts w:ascii="宋体" w:hAnsi="宋体" w:eastAsia="宋体" w:cs="Times New Roman"/>
                <w:sz w:val="21"/>
                <w:szCs w:val="21"/>
              </w:rPr>
            </w:pPr>
          </w:p>
        </w:tc>
      </w:tr>
    </w:tbl>
    <w:p>
      <w:pPr>
        <w:autoSpaceDE w:val="0"/>
        <w:autoSpaceDN w:val="0"/>
        <w:adjustRightInd w:val="0"/>
        <w:spacing w:line="480" w:lineRule="auto"/>
        <w:rPr>
          <w:rFonts w:ascii="宋体" w:hAnsi="宋体" w:cs="宋体"/>
          <w:lang w:val="zh-CN"/>
        </w:rPr>
      </w:pPr>
      <w:r>
        <w:rPr>
          <w:rFonts w:hint="eastAsia" w:ascii="宋体" w:hAnsi="宋体" w:cs="宋体"/>
          <w:lang w:val="zh-CN"/>
        </w:rPr>
        <w:t>供应商（并加盖公章）：</w:t>
      </w:r>
    </w:p>
    <w:p>
      <w:pPr>
        <w:autoSpaceDE w:val="0"/>
        <w:autoSpaceDN w:val="0"/>
        <w:adjustRightInd w:val="0"/>
        <w:spacing w:line="480" w:lineRule="auto"/>
        <w:rPr>
          <w:rFonts w:ascii="宋体" w:hAnsi="宋体" w:cs="宋体"/>
          <w:lang w:val="zh-CN"/>
        </w:rPr>
      </w:pPr>
    </w:p>
    <w:p>
      <w:pPr>
        <w:snapToGrid w:val="0"/>
        <w:spacing w:line="500" w:lineRule="exact"/>
        <w:rPr>
          <w:rFonts w:ascii="宋体" w:hAnsi="宋体" w:cs="宋体"/>
          <w:lang w:val="zh-CN"/>
        </w:rPr>
      </w:pPr>
    </w:p>
    <w:p>
      <w:pPr>
        <w:spacing w:line="360" w:lineRule="auto"/>
        <w:rPr>
          <w:rFonts w:ascii="宋体" w:hAnsi="宋体"/>
          <w:b/>
          <w:bCs/>
          <w:sz w:val="36"/>
          <w:szCs w:val="36"/>
        </w:rPr>
      </w:pPr>
      <w:r>
        <w:rPr>
          <w:rFonts w:hint="eastAsia" w:ascii="宋体" w:hAnsi="宋体" w:cs="宋体"/>
          <w:lang w:val="zh-CN"/>
        </w:rPr>
        <w:t>说明：所投产品环境标志产品认证证书须附后。</w:t>
      </w:r>
    </w:p>
    <w:p>
      <w:pPr>
        <w:spacing w:line="360" w:lineRule="auto"/>
        <w:jc w:val="center"/>
        <w:rPr>
          <w:rFonts w:ascii="宋体" w:hAnsi="宋体" w:cs="宋体"/>
          <w:lang w:val="zh-CN"/>
        </w:rPr>
      </w:pPr>
    </w:p>
    <w:p>
      <w:pPr>
        <w:spacing w:line="360" w:lineRule="auto"/>
        <w:jc w:val="center"/>
        <w:rPr>
          <w:rFonts w:ascii="宋体" w:hAnsi="宋体" w:cs="宋体"/>
          <w:lang w:val="zh-CN"/>
        </w:rPr>
      </w:pPr>
    </w:p>
    <w:p>
      <w:pPr>
        <w:spacing w:line="360" w:lineRule="auto"/>
        <w:jc w:val="center"/>
        <w:rPr>
          <w:rFonts w:ascii="宋体" w:hAnsi="宋体" w:cs="宋体"/>
          <w:lang w:val="zh-CN"/>
        </w:rPr>
      </w:pPr>
    </w:p>
    <w:p>
      <w:pPr>
        <w:spacing w:line="360" w:lineRule="auto"/>
        <w:jc w:val="center"/>
        <w:rPr>
          <w:rFonts w:ascii="宋体" w:hAnsi="宋体" w:cs="宋体"/>
          <w:lang w:val="zh-CN"/>
        </w:rPr>
      </w:pPr>
    </w:p>
    <w:p>
      <w:pPr>
        <w:spacing w:line="360" w:lineRule="auto"/>
        <w:jc w:val="center"/>
        <w:rPr>
          <w:rFonts w:ascii="宋体" w:hAnsi="宋体" w:cs="宋体"/>
          <w:lang w:val="zh-CN"/>
        </w:rPr>
      </w:pPr>
    </w:p>
    <w:p>
      <w:pPr>
        <w:spacing w:line="360" w:lineRule="auto"/>
        <w:jc w:val="center"/>
        <w:rPr>
          <w:rFonts w:ascii="宋体" w:hAnsi="宋体" w:cs="宋体"/>
          <w:lang w:val="zh-CN"/>
        </w:rPr>
      </w:pPr>
    </w:p>
    <w:p>
      <w:pPr>
        <w:spacing w:line="360" w:lineRule="auto"/>
        <w:jc w:val="center"/>
        <w:rPr>
          <w:rFonts w:ascii="宋体" w:hAnsi="宋体" w:cs="宋体"/>
          <w:lang w:val="zh-CN"/>
        </w:rPr>
      </w:pPr>
    </w:p>
    <w:p>
      <w:pPr>
        <w:spacing w:line="360" w:lineRule="auto"/>
        <w:jc w:val="center"/>
        <w:rPr>
          <w:rFonts w:ascii="宋体" w:hAnsi="宋体" w:cs="宋体"/>
          <w:lang w:val="zh-CN"/>
        </w:rPr>
      </w:pPr>
    </w:p>
    <w:p>
      <w:pPr>
        <w:spacing w:line="360" w:lineRule="auto"/>
        <w:jc w:val="center"/>
        <w:rPr>
          <w:rFonts w:ascii="宋体" w:hAnsi="宋体" w:cs="宋体"/>
          <w:lang w:val="zh-CN"/>
        </w:rPr>
      </w:pPr>
    </w:p>
    <w:p>
      <w:pPr>
        <w:spacing w:line="360" w:lineRule="auto"/>
        <w:jc w:val="center"/>
        <w:rPr>
          <w:rFonts w:ascii="宋体" w:hAnsi="宋体" w:cs="宋体"/>
          <w:lang w:val="zh-CN"/>
        </w:rPr>
      </w:pPr>
    </w:p>
    <w:p>
      <w:pPr>
        <w:autoSpaceDE w:val="0"/>
        <w:autoSpaceDN w:val="0"/>
        <w:adjustRightInd w:val="0"/>
        <w:spacing w:line="360" w:lineRule="auto"/>
        <w:jc w:val="center"/>
        <w:outlineLvl w:val="0"/>
        <w:rPr>
          <w:rFonts w:ascii="宋体" w:hAnsi="宋体"/>
          <w:b/>
          <w:bCs/>
          <w:sz w:val="24"/>
          <w:szCs w:val="24"/>
        </w:rPr>
      </w:pPr>
      <w:r>
        <w:rPr>
          <w:rFonts w:ascii="宋体" w:hAnsi="宋体"/>
          <w:b/>
          <w:bCs/>
          <w:sz w:val="24"/>
          <w:szCs w:val="24"/>
        </w:rPr>
        <w:br w:type="page"/>
      </w:r>
      <w:r>
        <w:rPr>
          <w:rFonts w:hint="eastAsia" w:ascii="宋体" w:hAnsi="宋体"/>
          <w:b/>
          <w:bCs/>
          <w:sz w:val="24"/>
          <w:szCs w:val="24"/>
        </w:rPr>
        <w:t>4.9 残疾人福利性单位声明函</w:t>
      </w:r>
    </w:p>
    <w:p>
      <w:pPr>
        <w:spacing w:line="360" w:lineRule="auto"/>
        <w:rPr>
          <w:rFonts w:ascii="宋体" w:hAnsi="宋体"/>
        </w:rPr>
      </w:pPr>
    </w:p>
    <w:p>
      <w:pPr>
        <w:spacing w:line="360" w:lineRule="auto"/>
        <w:ind w:firstLine="420" w:firstLineChars="200"/>
        <w:rPr>
          <w:rFonts w:ascii="宋体" w:hAnsi="宋体"/>
        </w:rPr>
      </w:pPr>
      <w:r>
        <w:rPr>
          <w:rFonts w:hint="eastAsia" w:ascii="宋体" w:hAnsi="宋体"/>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rPr>
      </w:pPr>
      <w:r>
        <w:rPr>
          <w:rFonts w:hint="eastAsia" w:ascii="宋体" w:hAnsi="宋体"/>
        </w:rPr>
        <w:t>本单位对上述声明的真实性负责。如有虚假，将依法承担相应责任。</w:t>
      </w: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adjustRightInd w:val="0"/>
        <w:snapToGrid w:val="0"/>
        <w:spacing w:line="360" w:lineRule="auto"/>
        <w:ind w:firstLine="3150" w:firstLineChars="1500"/>
        <w:rPr>
          <w:rFonts w:ascii="宋体" w:hAnsi="宋体" w:cs="宋体"/>
        </w:rPr>
      </w:pPr>
      <w:r>
        <w:rPr>
          <w:rFonts w:hint="eastAsia" w:ascii="宋体" w:hAnsi="宋体"/>
        </w:rPr>
        <w:t>单位名称（盖章）</w:t>
      </w:r>
      <w:r>
        <w:rPr>
          <w:rFonts w:hint="eastAsia" w:ascii="宋体" w:hAnsi="宋体" w:cs="宋体"/>
        </w:rPr>
        <w:t>：</w:t>
      </w:r>
    </w:p>
    <w:p>
      <w:pPr>
        <w:spacing w:line="480" w:lineRule="auto"/>
        <w:ind w:left="4358" w:leftChars="2075"/>
        <w:rPr>
          <w:rFonts w:ascii="宋体" w:hAnsi="宋体" w:cs="Arial"/>
        </w:rPr>
      </w:pPr>
      <w:r>
        <w:rPr>
          <w:rFonts w:hint="eastAsia" w:ascii="宋体" w:hAnsi="宋体" w:cs="Arial"/>
        </w:rPr>
        <w:t xml:space="preserve"> 日    期：      年    月    日</w:t>
      </w:r>
    </w:p>
    <w:p>
      <w:pPr>
        <w:spacing w:line="480" w:lineRule="auto"/>
        <w:ind w:left="4358" w:leftChars="2075"/>
        <w:rPr>
          <w:rFonts w:ascii="宋体" w:hAnsi="宋体" w:cs="Arial"/>
        </w:rPr>
      </w:pPr>
    </w:p>
    <w:p/>
    <w:p/>
    <w:p/>
    <w:p/>
    <w:p/>
    <w:p/>
    <w:p/>
    <w:p/>
    <w:p/>
    <w:p/>
    <w:p/>
    <w:p/>
    <w:p/>
    <w:p/>
    <w:p/>
    <w:p/>
    <w:p/>
    <w:p/>
    <w:p>
      <w:pPr>
        <w:autoSpaceDE w:val="0"/>
        <w:autoSpaceDN w:val="0"/>
        <w:adjustRightInd w:val="0"/>
        <w:spacing w:line="360" w:lineRule="auto"/>
        <w:jc w:val="center"/>
        <w:rPr>
          <w:rFonts w:ascii="宋体" w:hAnsi="宋体" w:cs="黑体"/>
          <w:b/>
          <w:bCs/>
          <w:sz w:val="15"/>
          <w:szCs w:val="15"/>
          <w:lang w:val="zh-CN"/>
        </w:rPr>
      </w:pPr>
    </w:p>
    <w:p>
      <w:pPr>
        <w:autoSpaceDE w:val="0"/>
        <w:autoSpaceDN w:val="0"/>
        <w:adjustRightInd w:val="0"/>
        <w:spacing w:line="360" w:lineRule="auto"/>
        <w:jc w:val="center"/>
        <w:rPr>
          <w:rFonts w:ascii="宋体" w:hAnsi="宋体" w:cs="黑体"/>
          <w:b/>
          <w:bCs/>
          <w:sz w:val="15"/>
          <w:szCs w:val="15"/>
          <w:lang w:val="zh-CN"/>
        </w:rPr>
      </w:pPr>
    </w:p>
    <w:p>
      <w:pPr>
        <w:autoSpaceDE w:val="0"/>
        <w:autoSpaceDN w:val="0"/>
        <w:adjustRightInd w:val="0"/>
        <w:spacing w:line="360" w:lineRule="auto"/>
        <w:jc w:val="center"/>
        <w:rPr>
          <w:rFonts w:ascii="宋体" w:hAnsi="宋体" w:cs="黑体"/>
          <w:b/>
          <w:bCs/>
          <w:sz w:val="15"/>
          <w:szCs w:val="15"/>
          <w:lang w:val="zh-CN"/>
        </w:rPr>
      </w:pPr>
    </w:p>
    <w:p>
      <w:pPr>
        <w:autoSpaceDE w:val="0"/>
        <w:autoSpaceDN w:val="0"/>
        <w:adjustRightInd w:val="0"/>
        <w:spacing w:line="360" w:lineRule="auto"/>
        <w:jc w:val="center"/>
        <w:rPr>
          <w:rFonts w:ascii="宋体" w:hAnsi="宋体" w:cs="黑体"/>
          <w:b/>
          <w:bCs/>
          <w:sz w:val="28"/>
          <w:szCs w:val="28"/>
        </w:rPr>
      </w:pPr>
      <w:r>
        <w:rPr>
          <w:rFonts w:hint="eastAsia" w:ascii="宋体" w:hAnsi="宋体" w:cs="黑体"/>
          <w:b/>
          <w:bCs/>
          <w:sz w:val="28"/>
          <w:szCs w:val="28"/>
        </w:rPr>
        <w:t>4.10监狱企业证明函</w:t>
      </w:r>
    </w:p>
    <w:p>
      <w:pPr>
        <w:autoSpaceDE w:val="0"/>
        <w:autoSpaceDN w:val="0"/>
        <w:adjustRightInd w:val="0"/>
        <w:spacing w:line="360" w:lineRule="auto"/>
        <w:ind w:firstLine="562"/>
        <w:jc w:val="left"/>
        <w:rPr>
          <w:rFonts w:ascii="宋体" w:hAnsi="宋体"/>
          <w:sz w:val="24"/>
          <w:szCs w:val="24"/>
        </w:rPr>
      </w:pPr>
    </w:p>
    <w:p>
      <w:pPr>
        <w:autoSpaceDE w:val="0"/>
        <w:autoSpaceDN w:val="0"/>
        <w:adjustRightInd w:val="0"/>
        <w:spacing w:line="360" w:lineRule="auto"/>
        <w:ind w:firstLine="562"/>
        <w:jc w:val="left"/>
        <w:rPr>
          <w:rFonts w:ascii="宋体" w:hAnsi="宋体" w:cs="黑体"/>
          <w:sz w:val="24"/>
          <w:szCs w:val="24"/>
        </w:rPr>
      </w:pPr>
      <w:r>
        <w:rPr>
          <w:rFonts w:hint="eastAsia" w:ascii="宋体" w:hAnsi="宋体"/>
          <w:sz w:val="24"/>
          <w:szCs w:val="24"/>
        </w:rPr>
        <w:t>根据《财政部 司法部关于政府采购支持监狱企业发展有关问题的通知》（财库[2014]68 号）的规定，</w:t>
      </w:r>
      <w:r>
        <w:rPr>
          <w:rFonts w:hint="eastAsia" w:ascii="宋体" w:hAnsi="宋体" w:cs="黑体"/>
          <w:sz w:val="24"/>
          <w:szCs w:val="24"/>
          <w:u w:val="single"/>
        </w:rPr>
        <w:t xml:space="preserve">（填写供应商全称）    </w:t>
      </w:r>
      <w:r>
        <w:rPr>
          <w:rFonts w:hint="eastAsia" w:ascii="宋体" w:hAnsi="宋体" w:cs="黑体"/>
          <w:sz w:val="24"/>
          <w:szCs w:val="24"/>
        </w:rPr>
        <w:t xml:space="preserve">为监狱企业。 </w:t>
      </w:r>
    </w:p>
    <w:p>
      <w:pPr>
        <w:autoSpaceDE w:val="0"/>
        <w:autoSpaceDN w:val="0"/>
        <w:adjustRightInd w:val="0"/>
        <w:spacing w:line="360" w:lineRule="auto"/>
        <w:ind w:firstLine="562"/>
        <w:jc w:val="left"/>
        <w:rPr>
          <w:rFonts w:ascii="宋体" w:hAnsi="宋体" w:cs="黑体"/>
          <w:sz w:val="24"/>
          <w:szCs w:val="24"/>
        </w:rPr>
      </w:pPr>
      <w:r>
        <w:rPr>
          <w:rFonts w:hint="eastAsia" w:ascii="宋体" w:hAnsi="宋体" w:cs="黑体"/>
          <w:sz w:val="24"/>
          <w:szCs w:val="24"/>
        </w:rPr>
        <w:t>特此声明。</w:t>
      </w:r>
    </w:p>
    <w:p>
      <w:pPr>
        <w:autoSpaceDE w:val="0"/>
        <w:autoSpaceDN w:val="0"/>
        <w:adjustRightInd w:val="0"/>
        <w:spacing w:line="360" w:lineRule="auto"/>
        <w:ind w:firstLine="880" w:firstLineChars="367"/>
        <w:jc w:val="left"/>
        <w:rPr>
          <w:rFonts w:ascii="宋体" w:hAnsi="宋体" w:cs="黑体"/>
          <w:sz w:val="24"/>
          <w:szCs w:val="24"/>
        </w:rPr>
      </w:pPr>
    </w:p>
    <w:p>
      <w:pPr>
        <w:autoSpaceDE w:val="0"/>
        <w:autoSpaceDN w:val="0"/>
        <w:adjustRightInd w:val="0"/>
        <w:spacing w:line="360" w:lineRule="auto"/>
        <w:ind w:firstLine="880" w:firstLineChars="367"/>
        <w:jc w:val="left"/>
        <w:rPr>
          <w:rFonts w:ascii="宋体" w:hAnsi="宋体" w:cs="黑体"/>
          <w:sz w:val="24"/>
          <w:szCs w:val="24"/>
        </w:rPr>
      </w:pPr>
      <w:r>
        <w:rPr>
          <w:rFonts w:hint="eastAsia" w:ascii="宋体" w:hAnsi="宋体" w:cs="黑体"/>
          <w:sz w:val="24"/>
          <w:szCs w:val="24"/>
        </w:rPr>
        <w:t>省级以上监狱管理局、戒毒管理局（含新疆生产建设兵团） （盖章）：</w:t>
      </w:r>
    </w:p>
    <w:p>
      <w:pPr>
        <w:autoSpaceDE w:val="0"/>
        <w:autoSpaceDN w:val="0"/>
        <w:adjustRightInd w:val="0"/>
        <w:spacing w:line="360" w:lineRule="auto"/>
        <w:ind w:firstLine="2880" w:firstLineChars="1200"/>
        <w:jc w:val="left"/>
        <w:rPr>
          <w:rFonts w:ascii="宋体" w:hAnsi="宋体" w:cs="黑体"/>
          <w:sz w:val="24"/>
          <w:szCs w:val="24"/>
        </w:rPr>
      </w:pPr>
      <w:r>
        <w:rPr>
          <w:rFonts w:hint="eastAsia" w:ascii="宋体" w:hAnsi="宋体" w:cs="黑体"/>
          <w:sz w:val="24"/>
          <w:szCs w:val="24"/>
        </w:rPr>
        <w:t xml:space="preserve"> 日    期：      年    月    日 </w:t>
      </w:r>
    </w:p>
    <w:p>
      <w:pPr>
        <w:autoSpaceDE w:val="0"/>
        <w:autoSpaceDN w:val="0"/>
        <w:adjustRightInd w:val="0"/>
        <w:spacing w:line="360" w:lineRule="auto"/>
        <w:ind w:firstLine="880" w:firstLineChars="367"/>
        <w:jc w:val="left"/>
        <w:rPr>
          <w:rFonts w:ascii="宋体" w:hAnsi="宋体" w:cs="黑体"/>
          <w:sz w:val="24"/>
          <w:szCs w:val="24"/>
        </w:rPr>
      </w:pPr>
    </w:p>
    <w:p>
      <w:pPr>
        <w:autoSpaceDE w:val="0"/>
        <w:autoSpaceDN w:val="0"/>
        <w:adjustRightInd w:val="0"/>
        <w:spacing w:line="360" w:lineRule="auto"/>
        <w:jc w:val="left"/>
        <w:rPr>
          <w:rFonts w:ascii="宋体" w:hAnsi="宋体" w:cs="黑体"/>
          <w:b/>
          <w:bCs/>
          <w:sz w:val="24"/>
          <w:szCs w:val="24"/>
        </w:rPr>
      </w:pPr>
      <w:r>
        <w:rPr>
          <w:rFonts w:hint="eastAsia" w:ascii="宋体" w:hAnsi="宋体" w:cs="黑体"/>
          <w:b/>
          <w:bCs/>
          <w:sz w:val="24"/>
          <w:szCs w:val="24"/>
        </w:rPr>
        <w:t>注：符合条件的监狱企业请提供本函，不符合的不提供本函。</w:t>
      </w:r>
    </w:p>
    <w:p>
      <w:pPr>
        <w:autoSpaceDE w:val="0"/>
        <w:autoSpaceDN w:val="0"/>
        <w:adjustRightInd w:val="0"/>
        <w:spacing w:line="360" w:lineRule="auto"/>
        <w:jc w:val="center"/>
        <w:rPr>
          <w:rFonts w:ascii="宋体" w:hAnsi="宋体" w:cs="黑体"/>
          <w:b/>
          <w:bCs/>
          <w:sz w:val="28"/>
          <w:szCs w:val="28"/>
          <w:lang w:val="zh-CN"/>
        </w:rPr>
      </w:pPr>
    </w:p>
    <w:p>
      <w:pPr>
        <w:autoSpaceDE w:val="0"/>
        <w:autoSpaceDN w:val="0"/>
        <w:adjustRightInd w:val="0"/>
        <w:spacing w:line="360" w:lineRule="auto"/>
        <w:jc w:val="center"/>
        <w:rPr>
          <w:rFonts w:ascii="宋体" w:hAnsi="宋体" w:cs="黑体"/>
          <w:b/>
          <w:bCs/>
          <w:sz w:val="28"/>
          <w:szCs w:val="28"/>
          <w:lang w:val="zh-CN"/>
        </w:rPr>
      </w:pPr>
    </w:p>
    <w:p>
      <w:pPr>
        <w:autoSpaceDE w:val="0"/>
        <w:autoSpaceDN w:val="0"/>
        <w:adjustRightInd w:val="0"/>
        <w:spacing w:line="360" w:lineRule="auto"/>
        <w:jc w:val="center"/>
        <w:rPr>
          <w:rFonts w:ascii="宋体" w:hAnsi="宋体" w:cs="黑体"/>
          <w:b/>
          <w:bCs/>
          <w:sz w:val="28"/>
          <w:szCs w:val="28"/>
          <w:lang w:val="zh-CN"/>
        </w:rPr>
      </w:pPr>
    </w:p>
    <w:p>
      <w:pPr>
        <w:autoSpaceDE w:val="0"/>
        <w:autoSpaceDN w:val="0"/>
        <w:adjustRightInd w:val="0"/>
        <w:spacing w:line="360" w:lineRule="auto"/>
        <w:jc w:val="center"/>
        <w:rPr>
          <w:rFonts w:ascii="宋体" w:hAnsi="宋体" w:cs="黑体"/>
          <w:b/>
          <w:bCs/>
          <w:sz w:val="28"/>
          <w:szCs w:val="28"/>
          <w:lang w:val="zh-CN"/>
        </w:rPr>
      </w:pPr>
    </w:p>
    <w:p>
      <w:pPr>
        <w:autoSpaceDE w:val="0"/>
        <w:autoSpaceDN w:val="0"/>
        <w:adjustRightInd w:val="0"/>
        <w:spacing w:line="360" w:lineRule="auto"/>
        <w:jc w:val="center"/>
        <w:rPr>
          <w:rFonts w:ascii="宋体" w:hAnsi="宋体" w:cs="黑体"/>
          <w:b/>
          <w:bCs/>
          <w:sz w:val="28"/>
          <w:szCs w:val="28"/>
          <w:lang w:val="zh-CN"/>
        </w:rPr>
      </w:pPr>
    </w:p>
    <w:p>
      <w:pPr>
        <w:autoSpaceDE w:val="0"/>
        <w:autoSpaceDN w:val="0"/>
        <w:adjustRightInd w:val="0"/>
        <w:spacing w:line="360" w:lineRule="auto"/>
        <w:jc w:val="center"/>
        <w:rPr>
          <w:rFonts w:ascii="宋体" w:hAnsi="宋体" w:cs="黑体"/>
          <w:b/>
          <w:bCs/>
          <w:sz w:val="28"/>
          <w:szCs w:val="28"/>
          <w:lang w:val="zh-CN"/>
        </w:rPr>
      </w:pPr>
    </w:p>
    <w:p>
      <w:pPr>
        <w:autoSpaceDE w:val="0"/>
        <w:autoSpaceDN w:val="0"/>
        <w:adjustRightInd w:val="0"/>
        <w:spacing w:line="360" w:lineRule="auto"/>
        <w:jc w:val="center"/>
        <w:rPr>
          <w:rFonts w:ascii="宋体" w:hAnsi="宋体" w:cs="黑体"/>
          <w:b/>
          <w:bCs/>
          <w:sz w:val="28"/>
          <w:szCs w:val="28"/>
          <w:lang w:val="zh-CN"/>
        </w:rPr>
      </w:pPr>
    </w:p>
    <w:p>
      <w:pPr>
        <w:autoSpaceDE w:val="0"/>
        <w:autoSpaceDN w:val="0"/>
        <w:adjustRightInd w:val="0"/>
        <w:spacing w:line="360" w:lineRule="auto"/>
        <w:jc w:val="center"/>
        <w:rPr>
          <w:rFonts w:ascii="宋体" w:hAnsi="宋体" w:cs="黑体"/>
          <w:b/>
          <w:bCs/>
          <w:sz w:val="28"/>
          <w:szCs w:val="28"/>
          <w:lang w:val="zh-CN"/>
        </w:rPr>
      </w:pPr>
    </w:p>
    <w:p>
      <w:pPr>
        <w:autoSpaceDE w:val="0"/>
        <w:autoSpaceDN w:val="0"/>
        <w:adjustRightInd w:val="0"/>
        <w:spacing w:line="360" w:lineRule="auto"/>
        <w:jc w:val="center"/>
        <w:rPr>
          <w:rFonts w:ascii="宋体" w:hAnsi="宋体" w:cs="黑体"/>
          <w:b/>
          <w:bCs/>
          <w:sz w:val="28"/>
          <w:szCs w:val="28"/>
          <w:lang w:val="zh-CN"/>
        </w:rPr>
      </w:pPr>
    </w:p>
    <w:p>
      <w:pPr>
        <w:autoSpaceDE w:val="0"/>
        <w:autoSpaceDN w:val="0"/>
        <w:adjustRightInd w:val="0"/>
        <w:spacing w:line="360" w:lineRule="auto"/>
        <w:jc w:val="center"/>
        <w:rPr>
          <w:rFonts w:ascii="宋体" w:hAnsi="宋体" w:cs="黑体"/>
          <w:b/>
          <w:bCs/>
          <w:sz w:val="28"/>
          <w:szCs w:val="28"/>
          <w:lang w:val="zh-CN"/>
        </w:rPr>
      </w:pPr>
    </w:p>
    <w:p>
      <w:pPr>
        <w:autoSpaceDE w:val="0"/>
        <w:autoSpaceDN w:val="0"/>
        <w:adjustRightInd w:val="0"/>
        <w:spacing w:line="360" w:lineRule="auto"/>
        <w:jc w:val="center"/>
        <w:rPr>
          <w:rFonts w:ascii="宋体" w:hAnsi="宋体" w:cs="黑体"/>
          <w:b/>
          <w:bCs/>
          <w:sz w:val="28"/>
          <w:szCs w:val="28"/>
          <w:lang w:val="zh-CN"/>
        </w:rPr>
      </w:pPr>
    </w:p>
    <w:p>
      <w:pPr>
        <w:autoSpaceDE w:val="0"/>
        <w:autoSpaceDN w:val="0"/>
        <w:adjustRightInd w:val="0"/>
        <w:spacing w:line="360" w:lineRule="auto"/>
        <w:jc w:val="center"/>
        <w:rPr>
          <w:rFonts w:ascii="宋体" w:hAnsi="宋体" w:cs="黑体"/>
          <w:b/>
          <w:bCs/>
          <w:sz w:val="28"/>
          <w:szCs w:val="28"/>
          <w:lang w:val="zh-CN"/>
        </w:rPr>
      </w:pPr>
    </w:p>
    <w:p>
      <w:pPr>
        <w:autoSpaceDE w:val="0"/>
        <w:autoSpaceDN w:val="0"/>
        <w:adjustRightInd w:val="0"/>
        <w:spacing w:line="360" w:lineRule="auto"/>
        <w:jc w:val="center"/>
        <w:rPr>
          <w:rFonts w:ascii="宋体" w:hAnsi="宋体" w:cs="黑体"/>
          <w:b/>
          <w:bCs/>
          <w:sz w:val="28"/>
          <w:szCs w:val="28"/>
          <w:lang w:val="zh-CN"/>
        </w:rPr>
      </w:pPr>
    </w:p>
    <w:p>
      <w:pPr>
        <w:autoSpaceDE w:val="0"/>
        <w:autoSpaceDN w:val="0"/>
        <w:adjustRightInd w:val="0"/>
        <w:spacing w:line="360" w:lineRule="auto"/>
        <w:jc w:val="center"/>
        <w:rPr>
          <w:rFonts w:ascii="宋体" w:hAnsi="宋体" w:cs="黑体"/>
          <w:b/>
          <w:bCs/>
          <w:sz w:val="28"/>
          <w:szCs w:val="28"/>
          <w:lang w:val="zh-CN"/>
        </w:rPr>
      </w:pPr>
    </w:p>
    <w:p>
      <w:pPr>
        <w:autoSpaceDE w:val="0"/>
        <w:autoSpaceDN w:val="0"/>
        <w:adjustRightInd w:val="0"/>
        <w:spacing w:line="360" w:lineRule="auto"/>
        <w:jc w:val="center"/>
        <w:rPr>
          <w:rFonts w:ascii="宋体" w:hAnsi="宋体" w:cs="黑体"/>
          <w:b/>
          <w:bCs/>
          <w:sz w:val="28"/>
          <w:szCs w:val="28"/>
          <w:lang w:val="zh-CN"/>
        </w:rPr>
      </w:pPr>
      <w:r>
        <w:rPr>
          <w:rFonts w:hint="eastAsia" w:ascii="宋体" w:hAnsi="宋体" w:cs="黑体"/>
          <w:b/>
          <w:bCs/>
          <w:sz w:val="28"/>
          <w:szCs w:val="28"/>
          <w:lang w:val="zh-CN"/>
        </w:rPr>
        <w:t>五、</w:t>
      </w:r>
      <w:r>
        <w:rPr>
          <w:rFonts w:ascii="宋体" w:hAnsi="宋体" w:cs="黑体"/>
          <w:b/>
          <w:bCs/>
          <w:sz w:val="28"/>
          <w:szCs w:val="28"/>
          <w:lang w:val="zh-CN"/>
        </w:rPr>
        <w:t>其他资料（若有）</w:t>
      </w:r>
    </w:p>
    <w:p/>
    <w:p/>
    <w:p/>
    <w:p>
      <w:pPr>
        <w:spacing w:line="360" w:lineRule="auto"/>
        <w:jc w:val="center"/>
        <w:rPr>
          <w:rFonts w:ascii="宋体" w:hAnsi="宋体"/>
          <w:b/>
          <w:bCs/>
          <w:sz w:val="28"/>
          <w:szCs w:val="28"/>
        </w:rPr>
      </w:pPr>
      <w:r>
        <w:rPr>
          <w:rFonts w:ascii="宋体" w:hAnsi="宋体"/>
          <w:b/>
          <w:bCs/>
          <w:sz w:val="28"/>
          <w:szCs w:val="28"/>
        </w:rPr>
        <w:t>除招标文件另有规定外，供应商认为需要提交的其他证明材料或资料加盖供应商单位公章后应在此项下提交。</w:t>
      </w:r>
    </w:p>
    <w:p/>
    <w:p/>
    <w:p/>
    <w:p/>
    <w:p/>
    <w:p/>
    <w:p/>
    <w:p/>
    <w:p/>
    <w:p/>
    <w:p/>
    <w:p/>
    <w:p/>
    <w:p/>
    <w:p/>
    <w:p/>
    <w:p>
      <w:pPr>
        <w:widowControl/>
        <w:spacing w:before="100" w:beforeAutospacing="1" w:after="100" w:afterAutospacing="1" w:line="360" w:lineRule="auto"/>
        <w:jc w:val="center"/>
      </w:pPr>
    </w:p>
    <w:p/>
    <w:p/>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Segoe UI Emoji">
    <w:altName w:val="Segoe UI"/>
    <w:panose1 w:val="020B0502040204020203"/>
    <w:charset w:val="00"/>
    <w:family w:val="auto"/>
    <w:pitch w:val="default"/>
    <w:sig w:usb0="00000000" w:usb1="00000000" w:usb2="00000000" w:usb3="00000000" w:csb0="00000001" w:csb1="00000000"/>
  </w:font>
  <w:font w:name="仿宋_GB2312">
    <w:altName w:val="仿宋"/>
    <w:panose1 w:val="00000000000000000000"/>
    <w:charset w:val="86"/>
    <w:family w:val="auto"/>
    <w:pitch w:val="default"/>
    <w:sig w:usb0="00000000" w:usb1="00000000" w:usb2="00000000" w:usb3="00000000" w:csb0="00040000" w:csb1="00000000"/>
  </w:font>
  <w:font w:name="ˎ̥">
    <w:altName w:val="Times New Roman"/>
    <w:panose1 w:val="00000000000000000000"/>
    <w:charset w:val="00"/>
    <w:family w:val="auto"/>
    <w:pitch w:val="default"/>
    <w:sig w:usb0="00000000" w:usb1="00000000" w:usb2="00000000" w:usb3="00000000" w:csb0="00040001" w:csb1="00000000"/>
  </w:font>
  <w:font w:name="MS Mincho">
    <w:panose1 w:val="02020609040205080304"/>
    <w:charset w:val="80"/>
    <w:family w:val="auto"/>
    <w:pitch w:val="default"/>
    <w:sig w:usb0="E00002FF" w:usb1="6AC7FDFB" w:usb2="00000012" w:usb3="00000000" w:csb0="4002009F" w:csb1="DFD70000"/>
  </w:font>
  <w:font w:name="Lucida Sans Unicode">
    <w:panose1 w:val="020B0602030504020204"/>
    <w:charset w:val="00"/>
    <w:family w:val="auto"/>
    <w:pitch w:val="default"/>
    <w:sig w:usb0="80001AFF" w:usb1="0000396B" w:usb2="00000000" w:usb3="00000000" w:csb0="200000BF" w:csb1="D7F70000"/>
  </w:font>
  <w:font w:name="等线 Light">
    <w:altName w:val="宋体"/>
    <w:panose1 w:val="02010600030101010101"/>
    <w:charset w:val="86"/>
    <w:family w:val="auto"/>
    <w:pitch w:val="default"/>
    <w:sig w:usb0="00000000" w:usb1="00000000" w:usb2="00000016" w:usb3="00000000" w:csb0="0004000F" w:csb1="00000000"/>
  </w:font>
  <w:font w:name="等线">
    <w:altName w:val="Arial Unicode MS"/>
    <w:panose1 w:val="02010600030101010101"/>
    <w:charset w:val="86"/>
    <w:family w:val="auto"/>
    <w:pitch w:val="default"/>
    <w:sig w:usb0="00000000" w:usb1="00000000" w:usb2="00000016" w:usb3="00000000" w:csb0="0004000F" w:csb1="00000000"/>
  </w:font>
  <w:font w:name="方正小标宋简体">
    <w:altName w:val="Arial Unicode MS"/>
    <w:panose1 w:val="00000000000000000000"/>
    <w:charset w:val="86"/>
    <w:family w:val="auto"/>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Segoe UI">
    <w:panose1 w:val="020B0502040204020203"/>
    <w:charset w:val="00"/>
    <w:family w:val="auto"/>
    <w:pitch w:val="default"/>
    <w:sig w:usb0="E10022FF" w:usb1="C000E47F" w:usb2="00000029" w:usb3="00000000" w:csb0="200001DF" w:csb1="2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4615"/>
      <w:rPr>
        <w:rFonts w:ascii="宋体" w:hAnsi="宋体" w:cs="宋体"/>
        <w:sz w:val="17"/>
        <w:szCs w:val="17"/>
      </w:rPr>
    </w:pPr>
    <w:r>
      <w:rPr>
        <w:rFonts w:ascii="Times New Roman" w:hAnsi="Times New Roman" w:eastAsia="宋体" w:cs="Calibri"/>
        <w:kern w:val="2"/>
        <w:sz w:val="17"/>
        <w:szCs w:val="21"/>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23"/>
                            <w:tabs>
                              <w:tab w:val="center" w:pos="4153"/>
                              <w:tab w:val="right" w:pos="8306"/>
                            </w:tabs>
                          </w:pPr>
                          <w:r>
                            <w:fldChar w:fldCharType="begin"/>
                          </w:r>
                          <w:r>
                            <w:instrText xml:space="preserve"> PAGE  \* MERGEFORMAT </w:instrText>
                          </w:r>
                          <w:r>
                            <w:fldChar w:fldCharType="separate"/>
                          </w:r>
                          <w:r>
                            <w:t>15</w:t>
                          </w:r>
                          <w:r>
                            <w:fldChar w:fldCharType="end"/>
                          </w:r>
                        </w:p>
                      </w:txbxContent>
                    </wps:txbx>
                    <wps:bodyPr wrap="none" lIns="0" tIns="0" rIns="0" bIns="0" upright="0">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mz0UEsMBAACPAwAADgAAAAAAAAABACAAAAAfAQAAZHJzL2Uyb0RvYy54bWxQ&#10;SwUGAAAAAAYABgBZAQAAVAUAAAAA&#10;">
              <v:fill on="f" focussize="0,0"/>
              <v:stroke on="f"/>
              <v:imagedata o:title=""/>
              <o:lock v:ext="edit" aspectratio="f"/>
              <v:textbox inset="0mm,0mm,0mm,0mm" style="mso-fit-shape-to-text:t;">
                <w:txbxContent>
                  <w:p>
                    <w:pPr>
                      <w:pStyle w:val="23"/>
                      <w:tabs>
                        <w:tab w:val="center" w:pos="4153"/>
                        <w:tab w:val="right" w:pos="8306"/>
                      </w:tabs>
                    </w:pPr>
                    <w:r>
                      <w:fldChar w:fldCharType="begin"/>
                    </w:r>
                    <w:r>
                      <w:instrText xml:space="preserve"> PAGE  \* MERGEFORMAT </w:instrText>
                    </w:r>
                    <w:r>
                      <w:fldChar w:fldCharType="separate"/>
                    </w:r>
                    <w:r>
                      <w:t>15</w:t>
                    </w:r>
                    <w: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386C42"/>
    <w:multiLevelType w:val="singleLevel"/>
    <w:tmpl w:val="8C386C42"/>
    <w:lvl w:ilvl="0" w:tentative="0">
      <w:start w:val="1"/>
      <w:numFmt w:val="decimal"/>
      <w:lvlText w:val="%1."/>
      <w:lvlJc w:val="left"/>
      <w:pPr>
        <w:tabs>
          <w:tab w:val="left" w:pos="312"/>
        </w:tabs>
      </w:pPr>
    </w:lvl>
  </w:abstractNum>
  <w:abstractNum w:abstractNumId="1">
    <w:nsid w:val="00000003"/>
    <w:multiLevelType w:val="multilevel"/>
    <w:tmpl w:val="00000003"/>
    <w:lvl w:ilvl="0" w:tentative="0">
      <w:start w:val="9"/>
      <w:numFmt w:val="decimal"/>
      <w:lvlText w:val="%1.1 "/>
      <w:lvlJc w:val="left"/>
      <w:pPr>
        <w:ind w:left="964" w:hanging="544"/>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0000004"/>
    <w:multiLevelType w:val="multilevel"/>
    <w:tmpl w:val="00000004"/>
    <w:lvl w:ilvl="0" w:tentative="0">
      <w:start w:val="1"/>
      <w:numFmt w:val="decimal"/>
      <w:lvlText w:val="%1."/>
      <w:lvlJc w:val="left"/>
      <w:pPr>
        <w:ind w:left="420" w:hanging="420"/>
      </w:pPr>
    </w:lvl>
    <w:lvl w:ilvl="1" w:tentative="0">
      <w:start w:val="2"/>
      <w:numFmt w:val="decimal"/>
      <w:isLgl/>
      <w:lvlText w:val="%1.%2"/>
      <w:lvlJc w:val="left"/>
      <w:pPr>
        <w:ind w:left="964" w:hanging="544"/>
      </w:pPr>
    </w:lvl>
    <w:lvl w:ilvl="2" w:tentative="0">
      <w:start w:val="1"/>
      <w:numFmt w:val="decimal"/>
      <w:isLgl/>
      <w:lvlText w:val="%1.%2.%3"/>
      <w:lvlJc w:val="left"/>
      <w:pPr>
        <w:ind w:left="1560" w:hanging="720"/>
      </w:pPr>
    </w:lvl>
    <w:lvl w:ilvl="3" w:tentative="0">
      <w:start w:val="1"/>
      <w:numFmt w:val="decimal"/>
      <w:isLgl/>
      <w:lvlText w:val="%1.%2.%3.%4"/>
      <w:lvlJc w:val="left"/>
      <w:pPr>
        <w:ind w:left="2340" w:hanging="1080"/>
      </w:pPr>
    </w:lvl>
    <w:lvl w:ilvl="4" w:tentative="0">
      <w:start w:val="1"/>
      <w:numFmt w:val="decimal"/>
      <w:isLgl/>
      <w:lvlText w:val="%1.%2.%3.%4.%5"/>
      <w:lvlJc w:val="left"/>
      <w:pPr>
        <w:ind w:left="2760" w:hanging="1080"/>
      </w:pPr>
    </w:lvl>
    <w:lvl w:ilvl="5" w:tentative="0">
      <w:start w:val="1"/>
      <w:numFmt w:val="decimal"/>
      <w:isLgl/>
      <w:lvlText w:val="%1.%2.%3.%4.%5.%6"/>
      <w:lvlJc w:val="left"/>
      <w:pPr>
        <w:ind w:left="3540" w:hanging="1440"/>
      </w:pPr>
    </w:lvl>
    <w:lvl w:ilvl="6" w:tentative="0">
      <w:start w:val="1"/>
      <w:numFmt w:val="decimal"/>
      <w:isLgl/>
      <w:lvlText w:val="%1.%2.%3.%4.%5.%6.%7"/>
      <w:lvlJc w:val="left"/>
      <w:pPr>
        <w:ind w:left="3960" w:hanging="1440"/>
      </w:pPr>
    </w:lvl>
    <w:lvl w:ilvl="7" w:tentative="0">
      <w:start w:val="1"/>
      <w:numFmt w:val="decimal"/>
      <w:isLgl/>
      <w:lvlText w:val="%1.%2.%3.%4.%5.%6.%7.%8"/>
      <w:lvlJc w:val="left"/>
      <w:pPr>
        <w:ind w:left="4740" w:hanging="1800"/>
      </w:pPr>
    </w:lvl>
    <w:lvl w:ilvl="8" w:tentative="0">
      <w:start w:val="1"/>
      <w:numFmt w:val="decimal"/>
      <w:isLgl/>
      <w:lvlText w:val="%1.%2.%3.%4.%5.%6.%7.%8.%9"/>
      <w:lvlJc w:val="left"/>
      <w:pPr>
        <w:ind w:left="5160" w:hanging="1800"/>
      </w:pPr>
    </w:lvl>
  </w:abstractNum>
  <w:abstractNum w:abstractNumId="3">
    <w:nsid w:val="00000008"/>
    <w:multiLevelType w:val="singleLevel"/>
    <w:tmpl w:val="00000008"/>
    <w:lvl w:ilvl="0" w:tentative="0">
      <w:start w:val="3"/>
      <w:numFmt w:val="decimal"/>
      <w:suff w:val="nothing"/>
      <w:lvlText w:val="%1、"/>
      <w:lvlJc w:val="left"/>
      <w:pPr>
        <w:ind w:left="0" w:firstLine="0"/>
      </w:pPr>
    </w:lvl>
  </w:abstractNum>
  <w:abstractNum w:abstractNumId="4">
    <w:nsid w:val="1F9C03B6"/>
    <w:multiLevelType w:val="singleLevel"/>
    <w:tmpl w:val="1F9C03B6"/>
    <w:lvl w:ilvl="0" w:tentative="0">
      <w:start w:val="7"/>
      <w:numFmt w:val="decimal"/>
      <w:suff w:val="nothing"/>
      <w:lvlText w:val="（%1）"/>
      <w:lvlJc w:val="left"/>
    </w:lvl>
  </w:abstractNum>
  <w:abstractNum w:abstractNumId="5">
    <w:nsid w:val="35703775"/>
    <w:multiLevelType w:val="multilevel"/>
    <w:tmpl w:val="35703775"/>
    <w:lvl w:ilvl="0" w:tentative="0">
      <w:start w:val="7"/>
      <w:numFmt w:val="decimal"/>
      <w:lvlText w:val="%1.1 "/>
      <w:lvlJc w:val="left"/>
      <w:pPr>
        <w:ind w:left="964" w:hanging="544"/>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3660191A"/>
    <w:multiLevelType w:val="singleLevel"/>
    <w:tmpl w:val="3660191A"/>
    <w:lvl w:ilvl="0" w:tentative="0">
      <w:start w:val="2"/>
      <w:numFmt w:val="decimal"/>
      <w:suff w:val="nothing"/>
      <w:lvlText w:val="（%1）"/>
      <w:lvlJc w:val="left"/>
    </w:lvl>
  </w:abstractNum>
  <w:abstractNum w:abstractNumId="7">
    <w:nsid w:val="4F224A02"/>
    <w:multiLevelType w:val="singleLevel"/>
    <w:tmpl w:val="4F224A02"/>
    <w:lvl w:ilvl="0" w:tentative="0">
      <w:start w:val="1"/>
      <w:numFmt w:val="decimal"/>
      <w:suff w:val="nothing"/>
      <w:lvlText w:val="（%1）"/>
      <w:lvlJc w:val="left"/>
    </w:lvl>
  </w:abstractNum>
  <w:abstractNum w:abstractNumId="8">
    <w:nsid w:val="596824C7"/>
    <w:multiLevelType w:val="multilevel"/>
    <w:tmpl w:val="596824C7"/>
    <w:lvl w:ilvl="0" w:tentative="0">
      <w:start w:val="1"/>
      <w:numFmt w:val="chineseCounting"/>
      <w:suff w:val="space"/>
      <w:lvlText w:val="第%1章"/>
      <w:lvlJc w:val="left"/>
      <w:pPr>
        <w:ind w:left="0" w:firstLine="0"/>
      </w:pPr>
      <w:rPr>
        <w:rFonts w:hint="eastAsia" w:ascii="宋体" w:hAnsi="宋体" w:eastAsia="宋体"/>
        <w:lang w:val="en-U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9">
    <w:nsid w:val="5ED0BBEA"/>
    <w:multiLevelType w:val="singleLevel"/>
    <w:tmpl w:val="5ED0BBEA"/>
    <w:lvl w:ilvl="0" w:tentative="0">
      <w:start w:val="1"/>
      <w:numFmt w:val="decimal"/>
      <w:lvlText w:val="%1."/>
      <w:lvlJc w:val="left"/>
      <w:pPr>
        <w:tabs>
          <w:tab w:val="left" w:pos="312"/>
        </w:tabs>
      </w:pPr>
    </w:lvl>
  </w:abstractNum>
  <w:num w:numId="1">
    <w:abstractNumId w:val="8"/>
    <w:lvlOverride w:ilvl="0">
      <w:startOverride w:val="1"/>
    </w:lvlOverride>
  </w:num>
  <w:num w:numId="2">
    <w:abstractNumId w:val="6"/>
  </w:num>
  <w:num w:numId="3">
    <w:abstractNumId w:val="2"/>
    <w:lvlOverride w:ilvl="0">
      <w:startOverride w:val="1"/>
    </w:lvlOverride>
  </w:num>
  <w:num w:numId="4">
    <w:abstractNumId w:val="5"/>
    <w:lvlOverride w:ilvl="0">
      <w:startOverride w:val="7"/>
    </w:lvlOverride>
  </w:num>
  <w:num w:numId="5">
    <w:abstractNumId w:val="1"/>
    <w:lvlOverride w:ilvl="0">
      <w:startOverride w:val="9"/>
    </w:lvlOverride>
  </w:num>
  <w:num w:numId="6">
    <w:abstractNumId w:val="3"/>
    <w:lvlOverride w:ilvl="0">
      <w:startOverride w:val="3"/>
    </w:lvlOverride>
  </w:num>
  <w:num w:numId="7">
    <w:abstractNumId w:val="7"/>
  </w:num>
  <w:num w:numId="8">
    <w:abstractNumId w:val="0"/>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displayBackgroundShape w:val="1"/>
  <w:bordersDoNotSurroundHeader w:val="1"/>
  <w:bordersDoNotSurroundFooter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M5MmQyNzg0MmYwMmU5ZTAxMmMzOGZhMWVlY2UzOTIifQ=="/>
  </w:docVars>
  <w:rsids>
    <w:rsidRoot w:val="00000000"/>
    <w:rsid w:val="567A034D"/>
    <w:rsid w:val="5B6625B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99" w:name="heading 7"/>
    <w:lsdException w:qFormat="1" w:uiPriority="99" w:name="heading 8"/>
    <w:lsdException w:qFormat="1" w:uiPriority="9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qFormat="1" w:uiPriority="99" w:name="table of authorities"/>
    <w:lsdException w:uiPriority="0" w:name="macro"/>
    <w:lsdException w:qFormat="1" w:uiPriority="99"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iPriority="99" w:semiHidden="0" w:name="Body Text"/>
    <w:lsdException w:qFormat="1" w:uiPriority="99"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iPriority="99" w:name="Message Header"/>
    <w:lsdException w:qFormat="1" w:unhideWhenUsed="0" w:uiPriority="11" w:semiHidden="0" w:name="Subtitle"/>
    <w:lsdException w:uiPriority="0" w:name="Salutation"/>
    <w:lsdException w:qFormat="1" w:uiPriority="99" w:name="Date"/>
    <w:lsdException w:qFormat="1" w:uiPriority="0" w:semiHidden="0" w:name="Body Text First Indent"/>
    <w:lsdException w:qFormat="1" w:uiPriority="99" w:semiHidden="0" w:name="Body Text First Indent 2"/>
    <w:lsdException w:uiPriority="0" w:name="Note Heading"/>
    <w:lsdException w:qFormat="1" w:uiPriority="99" w:name="Body Text 2"/>
    <w:lsdException w:uiPriority="0" w:name="Body Text 3"/>
    <w:lsdException w:uiPriority="0" w:name="Body Text Indent 2"/>
    <w:lsdException w:uiPriority="0" w:name="Body Text Indent 3"/>
    <w:lsdException w:qFormat="1" w:uiPriority="99" w:semiHidden="0"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0" w:name="Document Map"/>
    <w:lsdException w:qFormat="1" w:uiPriority="99"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Calibri"/>
      <w:kern w:val="2"/>
      <w:sz w:val="21"/>
      <w:szCs w:val="21"/>
      <w:lang w:val="en-US" w:eastAsia="zh-CN" w:bidi="ar-SA"/>
    </w:rPr>
  </w:style>
  <w:style w:type="paragraph" w:styleId="2">
    <w:name w:val="heading 1"/>
    <w:basedOn w:val="1"/>
    <w:next w:val="1"/>
    <w:link w:val="57"/>
    <w:autoRedefine/>
    <w:qFormat/>
    <w:uiPriority w:val="1"/>
    <w:pPr>
      <w:keepNext/>
      <w:keepLines/>
      <w:spacing w:before="340" w:after="330" w:line="576" w:lineRule="auto"/>
      <w:outlineLvl w:val="0"/>
    </w:pPr>
    <w:rPr>
      <w:rFonts w:cs="Times New Roman"/>
      <w:b/>
      <w:kern w:val="44"/>
      <w:sz w:val="44"/>
      <w:szCs w:val="20"/>
    </w:rPr>
  </w:style>
  <w:style w:type="paragraph" w:styleId="3">
    <w:name w:val="heading 2"/>
    <w:basedOn w:val="1"/>
    <w:next w:val="1"/>
    <w:link w:val="58"/>
    <w:autoRedefine/>
    <w:unhideWhenUsed/>
    <w:qFormat/>
    <w:uiPriority w:val="0"/>
    <w:pPr>
      <w:keepNext/>
      <w:keepLines/>
      <w:spacing w:before="260" w:after="260" w:line="415" w:lineRule="auto"/>
      <w:outlineLvl w:val="1"/>
    </w:pPr>
    <w:rPr>
      <w:rFonts w:ascii="Cambria" w:hAnsi="Cambria" w:eastAsia="宋体" w:cs="黑体"/>
      <w:b/>
      <w:bCs/>
      <w:sz w:val="32"/>
      <w:szCs w:val="32"/>
    </w:rPr>
  </w:style>
  <w:style w:type="paragraph" w:styleId="4">
    <w:name w:val="heading 3"/>
    <w:basedOn w:val="1"/>
    <w:next w:val="1"/>
    <w:link w:val="59"/>
    <w:autoRedefine/>
    <w:semiHidden/>
    <w:unhideWhenUsed/>
    <w:qFormat/>
    <w:uiPriority w:val="0"/>
    <w:pPr>
      <w:keepNext/>
      <w:keepLines/>
      <w:spacing w:before="260" w:after="260" w:line="412" w:lineRule="auto"/>
      <w:ind w:left="720" w:hanging="720"/>
      <w:outlineLvl w:val="2"/>
    </w:pPr>
    <w:rPr>
      <w:rFonts w:ascii="Calibri" w:hAnsi="Calibri" w:cs="Times New Roman"/>
      <w:b/>
      <w:sz w:val="32"/>
      <w:szCs w:val="24"/>
    </w:rPr>
  </w:style>
  <w:style w:type="paragraph" w:styleId="5">
    <w:name w:val="heading 4"/>
    <w:basedOn w:val="1"/>
    <w:next w:val="1"/>
    <w:link w:val="60"/>
    <w:autoRedefine/>
    <w:semiHidden/>
    <w:unhideWhenUsed/>
    <w:qFormat/>
    <w:uiPriority w:val="0"/>
    <w:pPr>
      <w:spacing w:before="280" w:after="290" w:line="372" w:lineRule="auto"/>
      <w:ind w:left="864" w:hanging="864"/>
      <w:outlineLvl w:val="3"/>
    </w:pPr>
    <w:rPr>
      <w:rFonts w:ascii="Arial" w:hAnsi="Arial" w:eastAsia="黑体"/>
      <w:sz w:val="28"/>
    </w:rPr>
  </w:style>
  <w:style w:type="paragraph" w:styleId="6">
    <w:name w:val="heading 5"/>
    <w:basedOn w:val="1"/>
    <w:next w:val="1"/>
    <w:link w:val="61"/>
    <w:autoRedefine/>
    <w:semiHidden/>
    <w:unhideWhenUsed/>
    <w:qFormat/>
    <w:uiPriority w:val="0"/>
    <w:pPr>
      <w:keepNext/>
      <w:keepLines/>
      <w:spacing w:before="280" w:after="290" w:line="372" w:lineRule="auto"/>
      <w:ind w:left="1008" w:hanging="1008"/>
      <w:outlineLvl w:val="4"/>
    </w:pPr>
    <w:rPr>
      <w:rFonts w:ascii="Calibri" w:hAnsi="Calibri" w:cs="Times New Roman"/>
      <w:b/>
      <w:sz w:val="28"/>
      <w:szCs w:val="24"/>
    </w:rPr>
  </w:style>
  <w:style w:type="paragraph" w:styleId="7">
    <w:name w:val="heading 6"/>
    <w:basedOn w:val="1"/>
    <w:next w:val="1"/>
    <w:link w:val="62"/>
    <w:autoRedefine/>
    <w:semiHidden/>
    <w:unhideWhenUsed/>
    <w:qFormat/>
    <w:uiPriority w:val="0"/>
    <w:pPr>
      <w:keepNext/>
      <w:keepLines/>
      <w:spacing w:before="240" w:after="64" w:line="316" w:lineRule="auto"/>
      <w:ind w:left="1151" w:hanging="1151"/>
      <w:outlineLvl w:val="5"/>
    </w:pPr>
    <w:rPr>
      <w:rFonts w:ascii="Arial" w:hAnsi="Arial" w:eastAsia="黑体" w:cs="Times New Roman"/>
      <w:b/>
      <w:sz w:val="24"/>
      <w:szCs w:val="24"/>
    </w:rPr>
  </w:style>
  <w:style w:type="paragraph" w:styleId="8">
    <w:name w:val="heading 7"/>
    <w:basedOn w:val="1"/>
    <w:next w:val="1"/>
    <w:link w:val="63"/>
    <w:autoRedefine/>
    <w:semiHidden/>
    <w:unhideWhenUsed/>
    <w:qFormat/>
    <w:uiPriority w:val="99"/>
    <w:pPr>
      <w:keepNext/>
      <w:keepLines/>
      <w:spacing w:before="240" w:after="64" w:line="316" w:lineRule="auto"/>
      <w:ind w:left="1296" w:hanging="1296"/>
      <w:outlineLvl w:val="6"/>
    </w:pPr>
    <w:rPr>
      <w:rFonts w:ascii="Calibri" w:hAnsi="Calibri" w:cs="Times New Roman"/>
      <w:b/>
      <w:sz w:val="24"/>
      <w:szCs w:val="24"/>
    </w:rPr>
  </w:style>
  <w:style w:type="paragraph" w:styleId="9">
    <w:name w:val="heading 8"/>
    <w:basedOn w:val="1"/>
    <w:next w:val="1"/>
    <w:link w:val="64"/>
    <w:autoRedefine/>
    <w:semiHidden/>
    <w:unhideWhenUsed/>
    <w:qFormat/>
    <w:uiPriority w:val="99"/>
    <w:pPr>
      <w:keepNext/>
      <w:keepLines/>
      <w:spacing w:before="240" w:after="64" w:line="316" w:lineRule="auto"/>
      <w:ind w:left="1440" w:hanging="1440"/>
      <w:outlineLvl w:val="7"/>
    </w:pPr>
    <w:rPr>
      <w:rFonts w:ascii="Arial" w:hAnsi="Arial" w:eastAsia="黑体" w:cs="Times New Roman"/>
      <w:sz w:val="24"/>
      <w:szCs w:val="24"/>
    </w:rPr>
  </w:style>
  <w:style w:type="paragraph" w:styleId="10">
    <w:name w:val="heading 9"/>
    <w:basedOn w:val="1"/>
    <w:next w:val="1"/>
    <w:link w:val="65"/>
    <w:autoRedefine/>
    <w:semiHidden/>
    <w:unhideWhenUsed/>
    <w:qFormat/>
    <w:uiPriority w:val="99"/>
    <w:pPr>
      <w:keepNext/>
      <w:keepLines/>
      <w:spacing w:before="240" w:after="64" w:line="316" w:lineRule="auto"/>
      <w:ind w:left="1583" w:hanging="1583"/>
      <w:outlineLvl w:val="8"/>
    </w:pPr>
    <w:rPr>
      <w:rFonts w:ascii="Arial" w:hAnsi="Arial" w:eastAsia="黑体" w:cs="Times New Roman"/>
      <w:szCs w:val="24"/>
    </w:rPr>
  </w:style>
  <w:style w:type="character" w:default="1" w:styleId="31">
    <w:name w:val="Default Paragraph Font"/>
    <w:autoRedefine/>
    <w:semiHidden/>
    <w:unhideWhenUsed/>
    <w:qFormat/>
    <w:uiPriority w:val="1"/>
  </w:style>
  <w:style w:type="table" w:default="1" w:styleId="30">
    <w:name w:val="Normal Table"/>
    <w:autoRedefine/>
    <w:semiHidden/>
    <w:unhideWhenUsed/>
    <w:qFormat/>
    <w:uiPriority w:val="99"/>
    <w:tblPr>
      <w:tblCellMar>
        <w:top w:w="0" w:type="dxa"/>
        <w:left w:w="108" w:type="dxa"/>
        <w:bottom w:w="0" w:type="dxa"/>
        <w:right w:w="108" w:type="dxa"/>
      </w:tblCellMar>
    </w:tblPr>
  </w:style>
  <w:style w:type="paragraph" w:styleId="11">
    <w:name w:val="table of authorities"/>
    <w:basedOn w:val="1"/>
    <w:next w:val="1"/>
    <w:autoRedefine/>
    <w:semiHidden/>
    <w:unhideWhenUsed/>
    <w:qFormat/>
    <w:uiPriority w:val="99"/>
    <w:pPr>
      <w:ind w:left="420" w:leftChars="200"/>
    </w:pPr>
  </w:style>
  <w:style w:type="paragraph" w:styleId="12">
    <w:name w:val="Normal Indent"/>
    <w:basedOn w:val="1"/>
    <w:next w:val="13"/>
    <w:link w:val="66"/>
    <w:autoRedefine/>
    <w:semiHidden/>
    <w:unhideWhenUsed/>
    <w:qFormat/>
    <w:uiPriority w:val="0"/>
    <w:pPr>
      <w:ind w:firstLine="425"/>
    </w:pPr>
    <w:rPr>
      <w:rFonts w:hint="default" w:ascii="Times New Roman" w:hAnsi="Times New Roman" w:eastAsia="宋体" w:cs="Times New Roman"/>
      <w:szCs w:val="21"/>
    </w:rPr>
  </w:style>
  <w:style w:type="paragraph" w:styleId="13">
    <w:name w:val="Body Text 2"/>
    <w:basedOn w:val="1"/>
    <w:next w:val="1"/>
    <w:link w:val="76"/>
    <w:autoRedefine/>
    <w:semiHidden/>
    <w:unhideWhenUsed/>
    <w:qFormat/>
    <w:uiPriority w:val="99"/>
    <w:pPr>
      <w:widowControl/>
      <w:spacing w:before="100" w:beforeAutospacing="1" w:after="100" w:afterAutospacing="1"/>
      <w:jc w:val="left"/>
    </w:pPr>
    <w:rPr>
      <w:rFonts w:ascii="宋体" w:hAnsi="宋体"/>
      <w:kern w:val="0"/>
      <w:sz w:val="24"/>
    </w:rPr>
  </w:style>
  <w:style w:type="paragraph" w:styleId="14">
    <w:name w:val="caption"/>
    <w:basedOn w:val="1"/>
    <w:next w:val="1"/>
    <w:autoRedefine/>
    <w:unhideWhenUsed/>
    <w:qFormat/>
    <w:uiPriority w:val="0"/>
    <w:rPr>
      <w:rFonts w:ascii="Arial" w:hAnsi="Arial" w:eastAsia="黑体" w:cs="Arial"/>
      <w:sz w:val="20"/>
      <w:szCs w:val="20"/>
    </w:rPr>
  </w:style>
  <w:style w:type="paragraph" w:styleId="15">
    <w:name w:val="toa heading"/>
    <w:basedOn w:val="1"/>
    <w:next w:val="1"/>
    <w:autoRedefine/>
    <w:semiHidden/>
    <w:unhideWhenUsed/>
    <w:qFormat/>
    <w:uiPriority w:val="99"/>
    <w:rPr>
      <w:rFonts w:ascii="Arial" w:hAnsi="Arial"/>
      <w:sz w:val="24"/>
    </w:rPr>
  </w:style>
  <w:style w:type="paragraph" w:styleId="16">
    <w:name w:val="Body Text"/>
    <w:basedOn w:val="1"/>
    <w:next w:val="1"/>
    <w:link w:val="71"/>
    <w:autoRedefine/>
    <w:unhideWhenUsed/>
    <w:qFormat/>
    <w:uiPriority w:val="99"/>
    <w:pPr>
      <w:spacing w:after="120"/>
    </w:pPr>
    <w:rPr>
      <w:rFonts w:ascii="Calibri" w:hAnsi="Calibri" w:cs="Times New Roman"/>
      <w:kern w:val="0"/>
      <w:sz w:val="20"/>
    </w:rPr>
  </w:style>
  <w:style w:type="paragraph" w:styleId="17">
    <w:name w:val="Body Text Indent"/>
    <w:basedOn w:val="1"/>
    <w:next w:val="18"/>
    <w:link w:val="67"/>
    <w:autoRedefine/>
    <w:semiHidden/>
    <w:unhideWhenUsed/>
    <w:qFormat/>
    <w:uiPriority w:val="99"/>
    <w:pPr>
      <w:spacing w:after="120"/>
      <w:ind w:left="420" w:leftChars="200"/>
    </w:pPr>
  </w:style>
  <w:style w:type="paragraph" w:styleId="18">
    <w:name w:val="Body Text First Indent 2"/>
    <w:basedOn w:val="17"/>
    <w:next w:val="19"/>
    <w:link w:val="69"/>
    <w:autoRedefine/>
    <w:unhideWhenUsed/>
    <w:qFormat/>
    <w:uiPriority w:val="99"/>
    <w:pPr>
      <w:ind w:firstLine="420" w:firstLineChars="200"/>
    </w:pPr>
    <w:rPr>
      <w:rFonts w:cs="Times New Roman"/>
      <w:kern w:val="0"/>
      <w:sz w:val="20"/>
    </w:rPr>
  </w:style>
  <w:style w:type="paragraph" w:styleId="19">
    <w:name w:val="Date"/>
    <w:basedOn w:val="1"/>
    <w:next w:val="1"/>
    <w:link w:val="68"/>
    <w:autoRedefine/>
    <w:semiHidden/>
    <w:unhideWhenUsed/>
    <w:qFormat/>
    <w:uiPriority w:val="99"/>
    <w:pPr>
      <w:ind w:left="100" w:leftChars="2500"/>
    </w:pPr>
    <w:rPr>
      <w:rFonts w:ascii="Calibri" w:hAnsi="Calibri" w:cs="Times New Roman"/>
      <w:kern w:val="0"/>
      <w:sz w:val="20"/>
    </w:rPr>
  </w:style>
  <w:style w:type="paragraph" w:styleId="20">
    <w:name w:val="Block Text"/>
    <w:basedOn w:val="1"/>
    <w:autoRedefine/>
    <w:unhideWhenUsed/>
    <w:qFormat/>
    <w:uiPriority w:val="99"/>
    <w:pPr>
      <w:spacing w:after="120"/>
      <w:ind w:left="1440" w:leftChars="700" w:right="1440" w:rightChars="700"/>
    </w:pPr>
  </w:style>
  <w:style w:type="paragraph" w:styleId="21">
    <w:name w:val="Plain Text"/>
    <w:basedOn w:val="1"/>
    <w:link w:val="72"/>
    <w:autoRedefine/>
    <w:unhideWhenUsed/>
    <w:qFormat/>
    <w:uiPriority w:val="99"/>
    <w:rPr>
      <w:rFonts w:cs="Times New Roman"/>
      <w:kern w:val="0"/>
      <w:sz w:val="24"/>
      <w:szCs w:val="24"/>
    </w:rPr>
  </w:style>
  <w:style w:type="paragraph" w:styleId="22">
    <w:name w:val="Balloon Text"/>
    <w:basedOn w:val="1"/>
    <w:link w:val="73"/>
    <w:autoRedefine/>
    <w:semiHidden/>
    <w:unhideWhenUsed/>
    <w:qFormat/>
    <w:uiPriority w:val="99"/>
    <w:rPr>
      <w:sz w:val="18"/>
      <w:szCs w:val="18"/>
    </w:rPr>
  </w:style>
  <w:style w:type="paragraph" w:styleId="23">
    <w:name w:val="footer"/>
    <w:basedOn w:val="1"/>
    <w:link w:val="74"/>
    <w:autoRedefine/>
    <w:unhideWhenUsed/>
    <w:qFormat/>
    <w:uiPriority w:val="99"/>
    <w:pPr>
      <w:snapToGrid w:val="0"/>
      <w:jc w:val="left"/>
    </w:pPr>
    <w:rPr>
      <w:rFonts w:cs="Times New Roman"/>
      <w:kern w:val="0"/>
      <w:sz w:val="18"/>
      <w:szCs w:val="18"/>
    </w:rPr>
  </w:style>
  <w:style w:type="paragraph" w:styleId="24">
    <w:name w:val="header"/>
    <w:basedOn w:val="1"/>
    <w:link w:val="75"/>
    <w:autoRedefine/>
    <w:unhideWhenUsed/>
    <w:qFormat/>
    <w:uiPriority w:val="99"/>
    <w:pPr>
      <w:tabs>
        <w:tab w:val="center" w:pos="4153"/>
        <w:tab w:val="right" w:pos="8306"/>
      </w:tabs>
      <w:snapToGrid w:val="0"/>
    </w:pPr>
    <w:rPr>
      <w:rFonts w:ascii="Calibri" w:hAnsi="Calibri" w:cs="Times New Roman"/>
      <w:kern w:val="0"/>
      <w:sz w:val="18"/>
    </w:rPr>
  </w:style>
  <w:style w:type="paragraph" w:styleId="25">
    <w:name w:val="toc 2"/>
    <w:basedOn w:val="1"/>
    <w:next w:val="1"/>
    <w:autoRedefine/>
    <w:qFormat/>
    <w:uiPriority w:val="0"/>
    <w:pPr>
      <w:spacing w:before="120"/>
      <w:ind w:left="210"/>
      <w:jc w:val="left"/>
    </w:pPr>
    <w:rPr>
      <w:rFonts w:cs="Times New Roman"/>
      <w:i/>
      <w:iCs/>
      <w:sz w:val="20"/>
      <w:szCs w:val="24"/>
    </w:rPr>
  </w:style>
  <w:style w:type="paragraph" w:styleId="26">
    <w:name w:val="Message Header"/>
    <w:basedOn w:val="1"/>
    <w:next w:val="1"/>
    <w:link w:val="77"/>
    <w:autoRedefine/>
    <w:semiHidden/>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cs="Times New Roman"/>
      <w:kern w:val="0"/>
      <w:sz w:val="20"/>
    </w:rPr>
  </w:style>
  <w:style w:type="paragraph" w:styleId="27">
    <w:name w:val="HTML Preformatted"/>
    <w:basedOn w:val="1"/>
    <w:link w:val="78"/>
    <w:autoRedefine/>
    <w:semiHidden/>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pPr>
    <w:rPr>
      <w:rFonts w:ascii="Arial" w:hAnsi="Arial" w:cs="Times New Roman"/>
      <w:kern w:val="0"/>
      <w:sz w:val="24"/>
      <w:szCs w:val="24"/>
    </w:rPr>
  </w:style>
  <w:style w:type="paragraph" w:styleId="28">
    <w:name w:val="Normal (Web)"/>
    <w:basedOn w:val="1"/>
    <w:autoRedefine/>
    <w:unhideWhenUsed/>
    <w:qFormat/>
    <w:uiPriority w:val="99"/>
    <w:pPr>
      <w:widowControl/>
      <w:spacing w:before="100" w:beforeAutospacing="1" w:after="100" w:afterAutospacing="1"/>
      <w:jc w:val="left"/>
    </w:pPr>
    <w:rPr>
      <w:rFonts w:ascii="宋体" w:hAnsi="宋体" w:cs="宋体"/>
      <w:kern w:val="0"/>
      <w:sz w:val="24"/>
      <w:szCs w:val="24"/>
    </w:rPr>
  </w:style>
  <w:style w:type="paragraph" w:styleId="29">
    <w:name w:val="Body Text First Indent"/>
    <w:basedOn w:val="16"/>
    <w:next w:val="18"/>
    <w:link w:val="70"/>
    <w:autoRedefine/>
    <w:unhideWhenUsed/>
    <w:qFormat/>
    <w:uiPriority w:val="0"/>
    <w:pPr>
      <w:spacing w:before="100" w:beforeAutospacing="1"/>
      <w:ind w:firstLine="420" w:firstLineChars="100"/>
    </w:pPr>
    <w:rPr>
      <w:rFonts w:ascii="宋体" w:hAnsi="Times New Roman"/>
      <w:sz w:val="34"/>
      <w:szCs w:val="34"/>
    </w:rPr>
  </w:style>
  <w:style w:type="character" w:styleId="32">
    <w:name w:val="Strong"/>
    <w:basedOn w:val="31"/>
    <w:autoRedefine/>
    <w:qFormat/>
    <w:uiPriority w:val="22"/>
    <w:rPr>
      <w:b/>
    </w:rPr>
  </w:style>
  <w:style w:type="character" w:styleId="33">
    <w:name w:val="FollowedHyperlink"/>
    <w:basedOn w:val="31"/>
    <w:autoRedefine/>
    <w:semiHidden/>
    <w:unhideWhenUsed/>
    <w:qFormat/>
    <w:uiPriority w:val="99"/>
    <w:rPr>
      <w:color w:val="000000"/>
      <w:u w:val="none"/>
    </w:rPr>
  </w:style>
  <w:style w:type="character" w:styleId="34">
    <w:name w:val="Emphasis"/>
    <w:basedOn w:val="31"/>
    <w:autoRedefine/>
    <w:qFormat/>
    <w:uiPriority w:val="20"/>
  </w:style>
  <w:style w:type="character" w:styleId="35">
    <w:name w:val="Hyperlink"/>
    <w:basedOn w:val="31"/>
    <w:autoRedefine/>
    <w:semiHidden/>
    <w:unhideWhenUsed/>
    <w:qFormat/>
    <w:uiPriority w:val="99"/>
    <w:rPr>
      <w:color w:val="000000"/>
      <w:u w:val="none"/>
    </w:rPr>
  </w:style>
  <w:style w:type="character" w:customStyle="1" w:styleId="36">
    <w:name w:val="正文缩进 Char"/>
    <w:autoRedefine/>
    <w:qFormat/>
    <w:uiPriority w:val="0"/>
    <w:rPr>
      <w:rFonts w:hint="default" w:ascii="Times New Roman" w:hAnsi="Times New Roman" w:eastAsia="宋体" w:cs="Times New Roman"/>
      <w:szCs w:val="21"/>
    </w:rPr>
  </w:style>
  <w:style w:type="paragraph" w:customStyle="1" w:styleId="37">
    <w:name w:val="List Paragraph"/>
    <w:basedOn w:val="1"/>
    <w:autoRedefine/>
    <w:qFormat/>
    <w:uiPriority w:val="99"/>
    <w:pPr>
      <w:ind w:firstLine="420" w:firstLineChars="200"/>
    </w:pPr>
  </w:style>
  <w:style w:type="paragraph" w:customStyle="1" w:styleId="38">
    <w:name w:val="_Style 3"/>
    <w:basedOn w:val="1"/>
    <w:autoRedefine/>
    <w:qFormat/>
    <w:uiPriority w:val="99"/>
    <w:pPr>
      <w:ind w:firstLine="420" w:firstLineChars="200"/>
    </w:pPr>
  </w:style>
  <w:style w:type="paragraph" w:customStyle="1" w:styleId="39">
    <w:name w:val="列出段落1"/>
    <w:basedOn w:val="1"/>
    <w:next w:val="37"/>
    <w:autoRedefine/>
    <w:qFormat/>
    <w:uiPriority w:val="34"/>
    <w:pPr>
      <w:ind w:firstLine="420" w:firstLineChars="200"/>
    </w:pPr>
  </w:style>
  <w:style w:type="paragraph" w:customStyle="1" w:styleId="40">
    <w:name w:val="正文缩进1"/>
    <w:basedOn w:val="1"/>
    <w:qFormat/>
    <w:uiPriority w:val="99"/>
    <w:pPr>
      <w:adjustRightInd w:val="0"/>
      <w:spacing w:line="360" w:lineRule="atLeast"/>
      <w:ind w:firstLine="420" w:firstLineChars="200"/>
      <w:jc w:val="left"/>
    </w:pPr>
    <w:rPr>
      <w:rFonts w:cs="Times New Roman"/>
      <w:kern w:val="0"/>
      <w:sz w:val="24"/>
      <w:szCs w:val="24"/>
    </w:rPr>
  </w:style>
  <w:style w:type="paragraph" w:customStyle="1" w:styleId="41">
    <w:name w:val="日期1"/>
    <w:basedOn w:val="1"/>
    <w:next w:val="1"/>
    <w:qFormat/>
    <w:uiPriority w:val="99"/>
    <w:rPr>
      <w:rFonts w:cs="Times New Roman"/>
      <w:kern w:val="0"/>
      <w:sz w:val="24"/>
      <w:szCs w:val="24"/>
    </w:rPr>
  </w:style>
  <w:style w:type="paragraph" w:customStyle="1" w:styleId="42">
    <w:name w:val="HtmlNormal"/>
    <w:basedOn w:val="1"/>
    <w:qFormat/>
    <w:uiPriority w:val="99"/>
    <w:pPr>
      <w:jc w:val="left"/>
    </w:pPr>
    <w:rPr>
      <w:rFonts w:ascii="Calibri" w:hAnsi="Calibri"/>
      <w:kern w:val="0"/>
      <w:sz w:val="24"/>
      <w:szCs w:val="22"/>
    </w:rPr>
  </w:style>
  <w:style w:type="paragraph" w:customStyle="1" w:styleId="43">
    <w:name w:val="样式 样式 样式 样式 标题 2 + 宋体 五号 非加粗 黑色 + 段前: 6 磅 段后: 0 磅 行距: 单倍行距 + 段前:..."/>
    <w:basedOn w:val="1"/>
    <w:autoRedefine/>
    <w:qFormat/>
    <w:uiPriority w:val="99"/>
    <w:pPr>
      <w:keepNext/>
      <w:keepLines/>
      <w:adjustRightInd w:val="0"/>
      <w:spacing w:before="240" w:after="100" w:afterAutospacing="1"/>
      <w:jc w:val="left"/>
      <w:outlineLvl w:val="1"/>
    </w:pPr>
    <w:rPr>
      <w:rFonts w:ascii="宋体" w:hAnsi="宋体" w:cs="宋体"/>
      <w:b/>
      <w:bCs/>
      <w:color w:val="000000"/>
      <w:kern w:val="0"/>
    </w:rPr>
  </w:style>
  <w:style w:type="paragraph" w:customStyle="1" w:styleId="44">
    <w:name w:val="无间隔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正文文本缩进1"/>
    <w:basedOn w:val="1"/>
    <w:qFormat/>
    <w:uiPriority w:val="99"/>
    <w:pPr>
      <w:spacing w:line="360" w:lineRule="auto"/>
      <w:ind w:firstLine="480" w:firstLineChars="200"/>
    </w:pPr>
    <w:rPr>
      <w:rFonts w:ascii="宋体" w:cs="宋体"/>
      <w:kern w:val="0"/>
      <w:sz w:val="24"/>
      <w:szCs w:val="24"/>
    </w:rPr>
  </w:style>
  <w:style w:type="paragraph" w:customStyle="1" w:styleId="46">
    <w:name w:val="Default"/>
    <w:next w:val="24"/>
    <w:qFormat/>
    <w:uiPriority w:val="99"/>
    <w:pPr>
      <w:widowControl w:val="0"/>
      <w:autoSpaceDE w:val="0"/>
      <w:autoSpaceDN w:val="0"/>
      <w:adjustRightInd w:val="0"/>
    </w:pPr>
    <w:rPr>
      <w:rFonts w:ascii="宋体" w:hAnsi="Times New Roman" w:eastAsia="宋体" w:cs="Times New Roman"/>
      <w:color w:val="000000"/>
      <w:sz w:val="22"/>
      <w:lang w:val="en-US" w:eastAsia="zh-CN" w:bidi="ar-SA"/>
    </w:rPr>
  </w:style>
  <w:style w:type="paragraph" w:customStyle="1" w:styleId="47">
    <w:name w:val="UserStyle_104"/>
    <w:basedOn w:val="1"/>
    <w:qFormat/>
    <w:uiPriority w:val="99"/>
    <w:rPr>
      <w:rFonts w:ascii="宋体" w:hAnsi="宋体"/>
      <w:szCs w:val="20"/>
      <w:lang w:val="zh-CN" w:bidi="zh-CN"/>
    </w:rPr>
  </w:style>
  <w:style w:type="paragraph" w:customStyle="1" w:styleId="48">
    <w:name w:val="Normal_26"/>
    <w:next w:val="1"/>
    <w:qFormat/>
    <w:uiPriority w:val="99"/>
    <w:pPr>
      <w:widowControl w:val="0"/>
      <w:suppressAutoHyphens/>
      <w:jc w:val="both"/>
    </w:pPr>
    <w:rPr>
      <w:rFonts w:ascii="Calibri" w:hAnsi="Calibri" w:eastAsia="宋体" w:cs="Times New Roman"/>
      <w:kern w:val="2"/>
      <w:sz w:val="21"/>
      <w:szCs w:val="22"/>
      <w:lang w:val="en-US" w:eastAsia="zh-CN" w:bidi="ar-SA"/>
    </w:rPr>
  </w:style>
  <w:style w:type="paragraph" w:customStyle="1" w:styleId="49">
    <w:name w:val="样式_0"/>
    <w:qFormat/>
    <w:uiPriority w:val="99"/>
    <w:pPr>
      <w:widowControl w:val="0"/>
      <w:suppressAutoHyphens/>
      <w:autoSpaceDE w:val="0"/>
    </w:pPr>
    <w:rPr>
      <w:rFonts w:ascii="宋体" w:hAnsi="宋体" w:eastAsia="宋体" w:cs="宋体"/>
      <w:sz w:val="24"/>
      <w:szCs w:val="24"/>
      <w:lang w:val="en-US" w:eastAsia="zh-CN" w:bidi="ar-SA"/>
    </w:rPr>
  </w:style>
  <w:style w:type="paragraph" w:customStyle="1" w:styleId="50">
    <w:name w:val="pa-3"/>
    <w:basedOn w:val="1"/>
    <w:qFormat/>
    <w:uiPriority w:val="99"/>
    <w:pPr>
      <w:widowControl/>
      <w:spacing w:before="150" w:after="150" w:line="360" w:lineRule="auto"/>
      <w:jc w:val="left"/>
    </w:pPr>
    <w:rPr>
      <w:rFonts w:ascii="宋体" w:hAnsi="Calibri" w:cs="宋体"/>
      <w:kern w:val="0"/>
      <w:sz w:val="24"/>
      <w:szCs w:val="24"/>
    </w:rPr>
  </w:style>
  <w:style w:type="paragraph" w:customStyle="1" w:styleId="51">
    <w:name w:val="Other|1"/>
    <w:basedOn w:val="1"/>
    <w:qFormat/>
    <w:uiPriority w:val="99"/>
    <w:pPr>
      <w:spacing w:line="560" w:lineRule="exact"/>
    </w:pPr>
    <w:rPr>
      <w:rFonts w:ascii="宋体" w:hAnsi="宋体" w:cs="宋体"/>
      <w:sz w:val="15"/>
      <w:szCs w:val="15"/>
      <w:lang w:val="zh-TW" w:eastAsia="zh-TW" w:bidi="zh-TW"/>
    </w:rPr>
  </w:style>
  <w:style w:type="paragraph" w:customStyle="1" w:styleId="52">
    <w:name w:val="段落正文"/>
    <w:basedOn w:val="1"/>
    <w:qFormat/>
    <w:uiPriority w:val="0"/>
    <w:pPr>
      <w:spacing w:before="156" w:after="156"/>
    </w:pPr>
    <w:rPr>
      <w:rFonts w:ascii="Calibri" w:hAnsi="Calibri" w:cs="Times New Roman"/>
      <w:szCs w:val="22"/>
      <w:lang w:eastAsia="en-US"/>
    </w:rPr>
  </w:style>
  <w:style w:type="paragraph" w:customStyle="1" w:styleId="53">
    <w:name w:val="No Spacing"/>
    <w:next w:val="1"/>
    <w:link w:val="109"/>
    <w:qFormat/>
    <w:uiPriority w:val="1"/>
    <w:pPr>
      <w:jc w:val="both"/>
    </w:pPr>
    <w:rPr>
      <w:rFonts w:ascii="Times New Roman" w:hAnsi="Times New Roman" w:eastAsia="宋体" w:cs="黑体"/>
      <w:kern w:val="2"/>
      <w:sz w:val="24"/>
      <w:szCs w:val="24"/>
      <w:lang w:val="en-US" w:eastAsia="zh-CN" w:bidi="ar-SA"/>
    </w:rPr>
  </w:style>
  <w:style w:type="paragraph" w:customStyle="1" w:styleId="54">
    <w:name w:val="_Style 78"/>
    <w:basedOn w:val="16"/>
    <w:next w:val="29"/>
    <w:qFormat/>
    <w:uiPriority w:val="99"/>
    <w:pPr>
      <w:ind w:firstLine="420" w:firstLineChars="100"/>
    </w:pPr>
    <w:rPr>
      <w:rFonts w:ascii="宋体" w:hAnsi="Times New Roman"/>
      <w:sz w:val="34"/>
      <w:szCs w:val="20"/>
    </w:rPr>
  </w:style>
  <w:style w:type="paragraph" w:customStyle="1" w:styleId="55">
    <w:name w:val="Table Paragraph"/>
    <w:basedOn w:val="1"/>
    <w:qFormat/>
    <w:uiPriority w:val="1"/>
    <w:rPr>
      <w:rFonts w:ascii="宋体" w:hAnsi="宋体" w:cs="宋体"/>
      <w:lang w:val="zh-CN" w:bidi="zh-CN"/>
    </w:rPr>
  </w:style>
  <w:style w:type="paragraph" w:customStyle="1" w:styleId="56">
    <w:name w:val="列出段落2"/>
    <w:basedOn w:val="1"/>
    <w:unhideWhenUsed/>
    <w:qFormat/>
    <w:uiPriority w:val="0"/>
    <w:pPr>
      <w:ind w:firstLine="420" w:firstLineChars="200"/>
    </w:pPr>
    <w:rPr>
      <w:rFonts w:cs="Times New Roman"/>
      <w:szCs w:val="22"/>
    </w:rPr>
  </w:style>
  <w:style w:type="character" w:customStyle="1" w:styleId="57">
    <w:name w:val="标题 1 Char Char"/>
    <w:basedOn w:val="31"/>
    <w:link w:val="2"/>
    <w:uiPriority w:val="1"/>
    <w:rPr>
      <w:rFonts w:ascii="Times New Roman" w:hAnsi="Times New Roman" w:eastAsia="宋体" w:cs="Times New Roman"/>
      <w:b/>
      <w:kern w:val="44"/>
      <w:sz w:val="44"/>
      <w:szCs w:val="20"/>
    </w:rPr>
  </w:style>
  <w:style w:type="character" w:customStyle="1" w:styleId="58">
    <w:name w:val="标题 2 Char Char"/>
    <w:basedOn w:val="31"/>
    <w:link w:val="3"/>
    <w:uiPriority w:val="0"/>
    <w:rPr>
      <w:rFonts w:ascii="Cambria" w:hAnsi="Cambria" w:eastAsia="宋体" w:cs="黑体"/>
      <w:b/>
      <w:bCs/>
      <w:sz w:val="32"/>
      <w:szCs w:val="32"/>
    </w:rPr>
  </w:style>
  <w:style w:type="character" w:customStyle="1" w:styleId="59">
    <w:name w:val="标题 3 Char Char"/>
    <w:basedOn w:val="31"/>
    <w:link w:val="4"/>
    <w:uiPriority w:val="0"/>
    <w:rPr>
      <w:rFonts w:ascii="Calibri" w:hAnsi="Calibri" w:eastAsia="宋体" w:cs="Times New Roman"/>
      <w:b/>
      <w:sz w:val="32"/>
      <w:szCs w:val="24"/>
    </w:rPr>
  </w:style>
  <w:style w:type="character" w:customStyle="1" w:styleId="60">
    <w:name w:val="标题 4 Char Char"/>
    <w:basedOn w:val="31"/>
    <w:link w:val="5"/>
    <w:uiPriority w:val="0"/>
    <w:rPr>
      <w:rFonts w:ascii="Arial" w:hAnsi="Arial" w:eastAsia="黑体" w:cs="Calibri"/>
      <w:sz w:val="28"/>
      <w:szCs w:val="21"/>
    </w:rPr>
  </w:style>
  <w:style w:type="character" w:customStyle="1" w:styleId="61">
    <w:name w:val="标题 5 Char Char"/>
    <w:basedOn w:val="31"/>
    <w:link w:val="6"/>
    <w:uiPriority w:val="0"/>
    <w:rPr>
      <w:rFonts w:ascii="Calibri" w:hAnsi="Calibri" w:eastAsia="宋体" w:cs="Times New Roman"/>
      <w:b/>
      <w:sz w:val="28"/>
      <w:szCs w:val="24"/>
    </w:rPr>
  </w:style>
  <w:style w:type="character" w:customStyle="1" w:styleId="62">
    <w:name w:val="标题 6 Char Char"/>
    <w:basedOn w:val="31"/>
    <w:link w:val="7"/>
    <w:uiPriority w:val="0"/>
    <w:rPr>
      <w:rFonts w:ascii="Arial" w:hAnsi="Arial" w:eastAsia="黑体" w:cs="Times New Roman"/>
      <w:b/>
      <w:sz w:val="24"/>
      <w:szCs w:val="24"/>
    </w:rPr>
  </w:style>
  <w:style w:type="character" w:customStyle="1" w:styleId="63">
    <w:name w:val="标题 7 Char Char"/>
    <w:basedOn w:val="31"/>
    <w:link w:val="8"/>
    <w:uiPriority w:val="99"/>
    <w:rPr>
      <w:rFonts w:ascii="Calibri" w:hAnsi="Calibri" w:eastAsia="宋体" w:cs="Times New Roman"/>
      <w:b/>
      <w:sz w:val="24"/>
      <w:szCs w:val="24"/>
    </w:rPr>
  </w:style>
  <w:style w:type="character" w:customStyle="1" w:styleId="64">
    <w:name w:val="标题 8 Char Char"/>
    <w:basedOn w:val="31"/>
    <w:link w:val="9"/>
    <w:uiPriority w:val="99"/>
    <w:rPr>
      <w:rFonts w:ascii="Arial" w:hAnsi="Arial" w:eastAsia="黑体" w:cs="Times New Roman"/>
      <w:sz w:val="24"/>
      <w:szCs w:val="24"/>
    </w:rPr>
  </w:style>
  <w:style w:type="character" w:customStyle="1" w:styleId="65">
    <w:name w:val="标题 9 Char Char"/>
    <w:basedOn w:val="31"/>
    <w:link w:val="10"/>
    <w:uiPriority w:val="99"/>
    <w:rPr>
      <w:rFonts w:ascii="Arial" w:hAnsi="Arial" w:eastAsia="黑体" w:cs="Times New Roman"/>
      <w:szCs w:val="24"/>
    </w:rPr>
  </w:style>
  <w:style w:type="character" w:customStyle="1" w:styleId="66">
    <w:name w:val="正文缩进 Char1"/>
    <w:link w:val="12"/>
    <w:uiPriority w:val="0"/>
    <w:rPr>
      <w:szCs w:val="21"/>
    </w:rPr>
  </w:style>
  <w:style w:type="character" w:customStyle="1" w:styleId="67">
    <w:name w:val="正文文本缩进 Char Char"/>
    <w:basedOn w:val="31"/>
    <w:link w:val="17"/>
    <w:uiPriority w:val="99"/>
    <w:rPr>
      <w:rFonts w:ascii="Times New Roman" w:hAnsi="Times New Roman" w:eastAsia="宋体" w:cs="Calibri"/>
      <w:szCs w:val="21"/>
    </w:rPr>
  </w:style>
  <w:style w:type="character" w:customStyle="1" w:styleId="68">
    <w:name w:val="日期 Char Char"/>
    <w:basedOn w:val="31"/>
    <w:link w:val="19"/>
    <w:uiPriority w:val="99"/>
    <w:rPr>
      <w:rFonts w:ascii="Calibri" w:hAnsi="Calibri" w:eastAsia="宋体" w:cs="Times New Roman"/>
      <w:kern w:val="0"/>
      <w:sz w:val="20"/>
      <w:szCs w:val="21"/>
    </w:rPr>
  </w:style>
  <w:style w:type="character" w:customStyle="1" w:styleId="69">
    <w:name w:val="正文首行缩进 2 Char Char"/>
    <w:basedOn w:val="67"/>
    <w:link w:val="18"/>
    <w:uiPriority w:val="99"/>
    <w:rPr>
      <w:rFonts w:ascii="Times New Roman" w:hAnsi="Times New Roman" w:eastAsia="宋体" w:cs="Times New Roman"/>
      <w:kern w:val="0"/>
      <w:sz w:val="20"/>
      <w:szCs w:val="21"/>
    </w:rPr>
  </w:style>
  <w:style w:type="character" w:customStyle="1" w:styleId="70">
    <w:name w:val="正文首行缩进 Char Char"/>
    <w:basedOn w:val="71"/>
    <w:link w:val="29"/>
    <w:uiPriority w:val="0"/>
    <w:rPr>
      <w:rFonts w:ascii="宋体" w:hAnsi="Times New Roman" w:eastAsia="宋体" w:cs="Times New Roman"/>
      <w:kern w:val="0"/>
      <w:sz w:val="34"/>
      <w:szCs w:val="34"/>
    </w:rPr>
  </w:style>
  <w:style w:type="character" w:customStyle="1" w:styleId="71">
    <w:name w:val="正文文本 Char Char"/>
    <w:basedOn w:val="31"/>
    <w:link w:val="16"/>
    <w:uiPriority w:val="99"/>
    <w:rPr>
      <w:rFonts w:ascii="Calibri" w:hAnsi="Calibri" w:eastAsia="宋体" w:cs="Times New Roman"/>
      <w:kern w:val="0"/>
      <w:sz w:val="20"/>
      <w:szCs w:val="21"/>
    </w:rPr>
  </w:style>
  <w:style w:type="character" w:customStyle="1" w:styleId="72">
    <w:name w:val="纯文本 Char Char"/>
    <w:basedOn w:val="31"/>
    <w:link w:val="21"/>
    <w:uiPriority w:val="99"/>
    <w:rPr>
      <w:rFonts w:ascii="Times New Roman" w:hAnsi="Times New Roman" w:eastAsia="宋体" w:cs="Times New Roman"/>
      <w:kern w:val="0"/>
      <w:sz w:val="24"/>
      <w:szCs w:val="24"/>
    </w:rPr>
  </w:style>
  <w:style w:type="character" w:customStyle="1" w:styleId="73">
    <w:name w:val="批注框文本 Char Char"/>
    <w:basedOn w:val="31"/>
    <w:link w:val="22"/>
    <w:uiPriority w:val="99"/>
    <w:rPr>
      <w:rFonts w:ascii="Times New Roman" w:hAnsi="Times New Roman" w:eastAsia="宋体" w:cs="Calibri"/>
      <w:sz w:val="18"/>
      <w:szCs w:val="18"/>
    </w:rPr>
  </w:style>
  <w:style w:type="character" w:customStyle="1" w:styleId="74">
    <w:name w:val="页脚 Char Char"/>
    <w:basedOn w:val="31"/>
    <w:link w:val="23"/>
    <w:uiPriority w:val="99"/>
    <w:rPr>
      <w:rFonts w:ascii="Times New Roman" w:hAnsi="Times New Roman" w:eastAsia="宋体" w:cs="Times New Roman"/>
      <w:kern w:val="0"/>
      <w:sz w:val="18"/>
      <w:szCs w:val="18"/>
    </w:rPr>
  </w:style>
  <w:style w:type="character" w:customStyle="1" w:styleId="75">
    <w:name w:val="页眉 Char Char"/>
    <w:basedOn w:val="31"/>
    <w:link w:val="24"/>
    <w:uiPriority w:val="99"/>
    <w:rPr>
      <w:rFonts w:ascii="Calibri" w:hAnsi="Calibri" w:eastAsia="宋体" w:cs="Times New Roman"/>
      <w:kern w:val="0"/>
      <w:sz w:val="18"/>
      <w:szCs w:val="21"/>
    </w:rPr>
  </w:style>
  <w:style w:type="character" w:customStyle="1" w:styleId="76">
    <w:name w:val="正文文本 2 Char Char"/>
    <w:basedOn w:val="31"/>
    <w:link w:val="13"/>
    <w:uiPriority w:val="99"/>
    <w:rPr>
      <w:rFonts w:ascii="宋体" w:hAnsi="宋体" w:eastAsia="宋体" w:cs="Calibri"/>
      <w:kern w:val="0"/>
      <w:sz w:val="24"/>
      <w:szCs w:val="21"/>
    </w:rPr>
  </w:style>
  <w:style w:type="character" w:customStyle="1" w:styleId="77">
    <w:name w:val="信息标题 Char Char"/>
    <w:basedOn w:val="31"/>
    <w:link w:val="26"/>
    <w:uiPriority w:val="99"/>
    <w:rPr>
      <w:rFonts w:ascii="Cambria" w:hAnsi="Cambria" w:eastAsia="宋体" w:cs="Times New Roman"/>
      <w:kern w:val="0"/>
      <w:sz w:val="20"/>
      <w:szCs w:val="21"/>
      <w:shd w:val="pct20" w:color="auto" w:fill="auto"/>
    </w:rPr>
  </w:style>
  <w:style w:type="character" w:customStyle="1" w:styleId="78">
    <w:name w:val="HTML 预设格式 Char Char"/>
    <w:basedOn w:val="31"/>
    <w:link w:val="27"/>
    <w:uiPriority w:val="0"/>
    <w:rPr>
      <w:rFonts w:ascii="Arial" w:hAnsi="Arial" w:eastAsia="宋体" w:cs="Times New Roman"/>
      <w:kern w:val="0"/>
      <w:sz w:val="24"/>
      <w:szCs w:val="24"/>
    </w:rPr>
  </w:style>
  <w:style w:type="character" w:customStyle="1" w:styleId="79">
    <w:name w:val="font151"/>
    <w:qFormat/>
    <w:uiPriority w:val="0"/>
    <w:rPr>
      <w:rFonts w:hint="eastAsia" w:ascii="宋体" w:hAnsi="宋体" w:eastAsia="宋体" w:cs="宋体"/>
      <w:color w:val="000000"/>
      <w:sz w:val="18"/>
      <w:szCs w:val="18"/>
      <w:u w:val="none"/>
    </w:rPr>
  </w:style>
  <w:style w:type="character" w:customStyle="1" w:styleId="80">
    <w:name w:val="font101"/>
    <w:qFormat/>
    <w:uiPriority w:val="0"/>
    <w:rPr>
      <w:rFonts w:hint="eastAsia" w:ascii="微软雅黑" w:hAnsi="微软雅黑" w:eastAsia="微软雅黑" w:cs="微软雅黑"/>
      <w:b/>
      <w:bCs/>
      <w:color w:val="000000"/>
      <w:sz w:val="18"/>
      <w:szCs w:val="18"/>
      <w:u w:val="none"/>
    </w:rPr>
  </w:style>
  <w:style w:type="character" w:customStyle="1" w:styleId="81">
    <w:name w:val="font51"/>
    <w:qFormat/>
    <w:uiPriority w:val="0"/>
    <w:rPr>
      <w:rFonts w:hint="eastAsia" w:ascii="微软雅黑" w:hAnsi="微软雅黑" w:eastAsia="微软雅黑" w:cs="微软雅黑"/>
      <w:color w:val="000000"/>
      <w:sz w:val="18"/>
      <w:szCs w:val="18"/>
      <w:u w:val="none"/>
    </w:rPr>
  </w:style>
  <w:style w:type="character" w:customStyle="1" w:styleId="82">
    <w:name w:val="NormalCharacter"/>
    <w:qFormat/>
    <w:uiPriority w:val="0"/>
  </w:style>
  <w:style w:type="character" w:customStyle="1" w:styleId="83">
    <w:name w:val="15"/>
    <w:qFormat/>
    <w:uiPriority w:val="0"/>
    <w:rPr>
      <w:rFonts w:hint="default" w:ascii="Times New Roman" w:hAnsi="Times New Roman" w:cs="Times New Roman"/>
      <w:color w:val="000000"/>
    </w:rPr>
  </w:style>
  <w:style w:type="character" w:customStyle="1" w:styleId="84">
    <w:name w:val="font161"/>
    <w:qFormat/>
    <w:uiPriority w:val="0"/>
    <w:rPr>
      <w:rFonts w:hint="eastAsia" w:ascii="微软雅黑" w:hAnsi="微软雅黑" w:eastAsia="微软雅黑" w:cs="微软雅黑"/>
      <w:color w:val="FF0000"/>
      <w:sz w:val="18"/>
      <w:szCs w:val="18"/>
      <w:u w:val="none"/>
    </w:rPr>
  </w:style>
  <w:style w:type="character" w:customStyle="1" w:styleId="85">
    <w:name w:val="font01"/>
    <w:qFormat/>
    <w:uiPriority w:val="0"/>
    <w:rPr>
      <w:rFonts w:hint="eastAsia" w:ascii="宋体" w:hAnsi="宋体" w:eastAsia="宋体" w:cs="宋体"/>
      <w:color w:val="000000"/>
      <w:sz w:val="24"/>
      <w:szCs w:val="24"/>
      <w:u w:val="none"/>
    </w:rPr>
  </w:style>
  <w:style w:type="character" w:customStyle="1" w:styleId="86">
    <w:name w:val="font121"/>
    <w:qFormat/>
    <w:uiPriority w:val="0"/>
    <w:rPr>
      <w:rFonts w:hint="eastAsia" w:ascii="宋体" w:hAnsi="宋体" w:eastAsia="宋体" w:cs="宋体"/>
      <w:color w:val="FF0000"/>
      <w:sz w:val="16"/>
      <w:szCs w:val="16"/>
      <w:u w:val="none"/>
    </w:rPr>
  </w:style>
  <w:style w:type="character" w:customStyle="1" w:styleId="87">
    <w:name w:val="font21"/>
    <w:qFormat/>
    <w:uiPriority w:val="0"/>
    <w:rPr>
      <w:rFonts w:hint="eastAsia" w:ascii="宋体" w:hAnsi="宋体" w:eastAsia="宋体" w:cs="宋体"/>
      <w:color w:val="000000"/>
      <w:sz w:val="16"/>
      <w:szCs w:val="16"/>
      <w:u w:val="none"/>
    </w:rPr>
  </w:style>
  <w:style w:type="character" w:customStyle="1" w:styleId="88">
    <w:name w:val="font71"/>
    <w:qFormat/>
    <w:uiPriority w:val="0"/>
    <w:rPr>
      <w:rFonts w:hint="eastAsia" w:ascii="宋体" w:hAnsi="宋体" w:eastAsia="宋体" w:cs="宋体"/>
      <w:color w:val="000000"/>
      <w:sz w:val="16"/>
      <w:szCs w:val="16"/>
      <w:u w:val="none"/>
    </w:rPr>
  </w:style>
  <w:style w:type="character" w:customStyle="1" w:styleId="89">
    <w:name w:val="font81"/>
    <w:qFormat/>
    <w:uiPriority w:val="0"/>
    <w:rPr>
      <w:rFonts w:hint="eastAsia" w:ascii="宋体" w:hAnsi="宋体" w:eastAsia="宋体" w:cs="宋体"/>
      <w:color w:val="000000"/>
      <w:sz w:val="16"/>
      <w:szCs w:val="16"/>
      <w:u w:val="none"/>
    </w:rPr>
  </w:style>
  <w:style w:type="character" w:customStyle="1" w:styleId="90">
    <w:name w:val="纯文本 Char1"/>
    <w:semiHidden/>
    <w:qFormat/>
    <w:uiPriority w:val="99"/>
    <w:rPr>
      <w:rFonts w:hint="eastAsia" w:ascii="宋体" w:hAnsi="Courier New" w:eastAsia="宋体" w:cs="Courier New"/>
      <w:szCs w:val="21"/>
    </w:rPr>
  </w:style>
  <w:style w:type="character" w:customStyle="1" w:styleId="91">
    <w:name w:val="正文首行缩进 Char1"/>
    <w:semiHidden/>
    <w:qFormat/>
    <w:uiPriority w:val="99"/>
    <w:rPr>
      <w:rFonts w:hint="default" w:ascii="Times New Roman" w:hAnsi="Times New Roman" w:eastAsia="宋体" w:cs="Calibri"/>
      <w:szCs w:val="21"/>
    </w:rPr>
  </w:style>
  <w:style w:type="character" w:customStyle="1" w:styleId="92">
    <w:name w:val="信息标题 Char1"/>
    <w:semiHidden/>
    <w:qFormat/>
    <w:uiPriority w:val="99"/>
    <w:rPr>
      <w:rFonts w:hint="default" w:ascii="Cambria" w:hAnsi="Cambria" w:eastAsia="宋体" w:cs="Times New Roman"/>
      <w:sz w:val="24"/>
      <w:szCs w:val="24"/>
      <w:shd w:val="pct20" w:color="auto" w:fill="auto"/>
    </w:rPr>
  </w:style>
  <w:style w:type="character" w:customStyle="1" w:styleId="93">
    <w:name w:val="正文文本缩进 Char1"/>
    <w:semiHidden/>
    <w:qFormat/>
    <w:uiPriority w:val="99"/>
    <w:rPr>
      <w:rFonts w:hint="default" w:ascii="Times New Roman" w:hAnsi="Times New Roman" w:eastAsia="宋体" w:cs="Calibri"/>
      <w:szCs w:val="21"/>
    </w:rPr>
  </w:style>
  <w:style w:type="character" w:customStyle="1" w:styleId="94">
    <w:name w:val="HTML 预设格式 Char1"/>
    <w:semiHidden/>
    <w:qFormat/>
    <w:uiPriority w:val="99"/>
    <w:rPr>
      <w:rFonts w:hint="default" w:ascii="Courier New" w:hAnsi="Courier New" w:eastAsia="宋体" w:cs="Courier New"/>
      <w:sz w:val="20"/>
      <w:szCs w:val="20"/>
    </w:rPr>
  </w:style>
  <w:style w:type="character" w:customStyle="1" w:styleId="95">
    <w:name w:val="纯文本 Char2"/>
    <w:semiHidden/>
    <w:qFormat/>
    <w:uiPriority w:val="99"/>
    <w:rPr>
      <w:rFonts w:hint="eastAsia" w:ascii="宋体" w:hAnsi="Courier New" w:eastAsia="宋体" w:cs="Courier New"/>
      <w:kern w:val="2"/>
      <w:sz w:val="21"/>
      <w:szCs w:val="21"/>
    </w:rPr>
  </w:style>
  <w:style w:type="character" w:customStyle="1" w:styleId="96">
    <w:name w:val="ca-5"/>
    <w:basedOn w:val="31"/>
    <w:qFormat/>
    <w:uiPriority w:val="0"/>
  </w:style>
  <w:style w:type="character" w:customStyle="1" w:styleId="97">
    <w:name w:val="font11"/>
    <w:qFormat/>
    <w:uiPriority w:val="0"/>
    <w:rPr>
      <w:rFonts w:hint="eastAsia" w:ascii="宋体" w:hAnsi="宋体" w:eastAsia="宋体" w:cs="宋体"/>
      <w:color w:val="000000"/>
      <w:sz w:val="22"/>
      <w:szCs w:val="22"/>
      <w:u w:val="none"/>
    </w:rPr>
  </w:style>
  <w:style w:type="character" w:customStyle="1" w:styleId="98">
    <w:name w:val="right"/>
    <w:basedOn w:val="31"/>
    <w:qFormat/>
    <w:uiPriority w:val="0"/>
    <w:rPr>
      <w:color w:val="999999"/>
      <w:sz w:val="14"/>
      <w:szCs w:val="14"/>
    </w:rPr>
  </w:style>
  <w:style w:type="character" w:customStyle="1" w:styleId="99">
    <w:name w:val="red"/>
    <w:basedOn w:val="31"/>
    <w:qFormat/>
    <w:uiPriority w:val="0"/>
    <w:rPr>
      <w:color w:val="FF0000"/>
      <w:sz w:val="14"/>
      <w:szCs w:val="14"/>
    </w:rPr>
  </w:style>
  <w:style w:type="character" w:customStyle="1" w:styleId="100">
    <w:name w:val="red1"/>
    <w:basedOn w:val="31"/>
    <w:qFormat/>
    <w:uiPriority w:val="0"/>
    <w:rPr>
      <w:color w:val="FF0000"/>
      <w:sz w:val="14"/>
      <w:szCs w:val="14"/>
    </w:rPr>
  </w:style>
  <w:style w:type="character" w:customStyle="1" w:styleId="101">
    <w:name w:val="red2"/>
    <w:basedOn w:val="31"/>
    <w:qFormat/>
    <w:uiPriority w:val="0"/>
    <w:rPr>
      <w:color w:val="CC0000"/>
    </w:rPr>
  </w:style>
  <w:style w:type="character" w:customStyle="1" w:styleId="102">
    <w:name w:val="red3"/>
    <w:basedOn w:val="31"/>
    <w:qFormat/>
    <w:uiPriority w:val="0"/>
    <w:rPr>
      <w:color w:val="FF0000"/>
    </w:rPr>
  </w:style>
  <w:style w:type="character" w:customStyle="1" w:styleId="103">
    <w:name w:val="hover25"/>
    <w:basedOn w:val="31"/>
    <w:qFormat/>
    <w:uiPriority w:val="0"/>
  </w:style>
  <w:style w:type="character" w:customStyle="1" w:styleId="104">
    <w:name w:val="green"/>
    <w:basedOn w:val="31"/>
    <w:qFormat/>
    <w:uiPriority w:val="0"/>
    <w:rPr>
      <w:color w:val="66AE00"/>
      <w:sz w:val="14"/>
      <w:szCs w:val="14"/>
    </w:rPr>
  </w:style>
  <w:style w:type="character" w:customStyle="1" w:styleId="105">
    <w:name w:val="green1"/>
    <w:basedOn w:val="31"/>
    <w:qFormat/>
    <w:uiPriority w:val="0"/>
    <w:rPr>
      <w:color w:val="66AE00"/>
      <w:sz w:val="14"/>
      <w:szCs w:val="14"/>
    </w:rPr>
  </w:style>
  <w:style w:type="character" w:customStyle="1" w:styleId="106">
    <w:name w:val="active"/>
    <w:basedOn w:val="31"/>
    <w:qFormat/>
    <w:uiPriority w:val="0"/>
    <w:rPr>
      <w:color w:val="FFFFFF"/>
      <w:shd w:val="clear" w:color="auto" w:fill="2B7AFC"/>
    </w:rPr>
  </w:style>
  <w:style w:type="character" w:customStyle="1" w:styleId="107">
    <w:name w:val="blue"/>
    <w:basedOn w:val="31"/>
    <w:qFormat/>
    <w:uiPriority w:val="0"/>
    <w:rPr>
      <w:color w:val="0371C6"/>
      <w:sz w:val="16"/>
      <w:szCs w:val="16"/>
    </w:rPr>
  </w:style>
  <w:style w:type="character" w:customStyle="1" w:styleId="108">
    <w:name w:val="gb-jt"/>
    <w:basedOn w:val="31"/>
    <w:qFormat/>
    <w:uiPriority w:val="0"/>
  </w:style>
  <w:style w:type="character" w:customStyle="1" w:styleId="109">
    <w:name w:val="无间隔 Char"/>
    <w:basedOn w:val="31"/>
    <w:link w:val="53"/>
    <w:qFormat/>
    <w:locked/>
    <w:uiPriority w:val="1"/>
    <w:rPr>
      <w:rFonts w:ascii="Times New Roman" w:hAnsi="Times New Roman"/>
      <w:sz w:val="24"/>
      <w:szCs w:val="24"/>
    </w:rPr>
  </w:style>
  <w:style w:type="character" w:customStyle="1" w:styleId="110">
    <w:name w:val="icon_gzkj"/>
    <w:basedOn w:val="31"/>
    <w:qFormat/>
    <w:uiPriority w:val="0"/>
  </w:style>
  <w:style w:type="character" w:customStyle="1" w:styleId="111">
    <w:name w:val="focus"/>
    <w:basedOn w:val="31"/>
    <w:qFormat/>
    <w:uiPriority w:val="0"/>
    <w:rPr>
      <w:b/>
      <w:bCs/>
      <w:color w:val="000000"/>
    </w:rPr>
  </w:style>
  <w:style w:type="character" w:customStyle="1" w:styleId="112">
    <w:name w:val="close"/>
    <w:basedOn w:val="31"/>
    <w:qFormat/>
    <w:uiPriority w:val="0"/>
  </w:style>
  <w:style w:type="character" w:customStyle="1" w:styleId="113">
    <w:name w:val="searchclose"/>
    <w:basedOn w:val="31"/>
    <w:qFormat/>
    <w:uiPriority w:val="0"/>
  </w:style>
  <w:style w:type="character" w:customStyle="1" w:styleId="114">
    <w:name w:val="l_6"/>
    <w:basedOn w:val="31"/>
    <w:qFormat/>
    <w:uiPriority w:val="0"/>
  </w:style>
  <w:style w:type="character" w:customStyle="1" w:styleId="115">
    <w:name w:val="l_5"/>
    <w:basedOn w:val="31"/>
    <w:qFormat/>
    <w:uiPriority w:val="0"/>
  </w:style>
  <w:style w:type="character" w:customStyle="1" w:styleId="116">
    <w:name w:val="l_1"/>
    <w:basedOn w:val="31"/>
    <w:qFormat/>
    <w:uiPriority w:val="0"/>
  </w:style>
  <w:style w:type="character" w:customStyle="1" w:styleId="117">
    <w:name w:val="l_11"/>
    <w:basedOn w:val="31"/>
    <w:qFormat/>
    <w:uiPriority w:val="0"/>
  </w:style>
  <w:style w:type="character" w:customStyle="1" w:styleId="118">
    <w:name w:val="l_13"/>
    <w:basedOn w:val="31"/>
    <w:qFormat/>
    <w:uiPriority w:val="0"/>
  </w:style>
  <w:style w:type="character" w:customStyle="1" w:styleId="119">
    <w:name w:val="l_131"/>
    <w:basedOn w:val="31"/>
    <w:qFormat/>
    <w:uiPriority w:val="0"/>
  </w:style>
  <w:style w:type="character" w:customStyle="1" w:styleId="120">
    <w:name w:val="l_9"/>
    <w:basedOn w:val="31"/>
    <w:qFormat/>
    <w:uiPriority w:val="0"/>
  </w:style>
  <w:style w:type="character" w:customStyle="1" w:styleId="121">
    <w:name w:val="l_7"/>
    <w:basedOn w:val="31"/>
    <w:qFormat/>
    <w:uiPriority w:val="0"/>
  </w:style>
  <w:style w:type="character" w:customStyle="1" w:styleId="122">
    <w:name w:val="l_4"/>
    <w:basedOn w:val="31"/>
    <w:qFormat/>
    <w:uiPriority w:val="0"/>
  </w:style>
  <w:style w:type="character" w:customStyle="1" w:styleId="123">
    <w:name w:val="searchopen"/>
    <w:basedOn w:val="31"/>
    <w:qFormat/>
    <w:uiPriority w:val="0"/>
  </w:style>
  <w:style w:type="character" w:customStyle="1" w:styleId="124">
    <w:name w:val="l_12"/>
    <w:basedOn w:val="31"/>
    <w:qFormat/>
    <w:uiPriority w:val="0"/>
  </w:style>
  <w:style w:type="character" w:customStyle="1" w:styleId="125">
    <w:name w:val="l_121"/>
    <w:basedOn w:val="31"/>
    <w:qFormat/>
    <w:uiPriority w:val="0"/>
  </w:style>
  <w:style w:type="character" w:customStyle="1" w:styleId="126">
    <w:name w:val="menutitle12"/>
    <w:basedOn w:val="31"/>
    <w:qFormat/>
    <w:uiPriority w:val="0"/>
    <w:rPr>
      <w:color w:val="333333"/>
      <w:sz w:val="24"/>
      <w:szCs w:val="24"/>
    </w:rPr>
  </w:style>
  <w:style w:type="character" w:customStyle="1" w:styleId="127">
    <w:name w:val="menutitle13"/>
    <w:basedOn w:val="31"/>
    <w:qFormat/>
    <w:uiPriority w:val="0"/>
    <w:rPr>
      <w:color w:val="333333"/>
      <w:sz w:val="24"/>
      <w:szCs w:val="24"/>
    </w:rPr>
  </w:style>
  <w:style w:type="character" w:customStyle="1" w:styleId="128">
    <w:name w:val="icon_dljg"/>
    <w:basedOn w:val="31"/>
    <w:qFormat/>
    <w:uiPriority w:val="0"/>
  </w:style>
  <w:style w:type="character" w:customStyle="1" w:styleId="129">
    <w:name w:val="icon_cxktbr"/>
    <w:basedOn w:val="31"/>
    <w:qFormat/>
    <w:uiPriority w:val="0"/>
  </w:style>
  <w:style w:type="character" w:customStyle="1" w:styleId="130">
    <w:name w:val="icon_cxkcyry"/>
    <w:basedOn w:val="31"/>
    <w:qFormat/>
    <w:uiPriority w:val="0"/>
  </w:style>
  <w:style w:type="character" w:customStyle="1" w:styleId="131">
    <w:name w:val="color_cdyy"/>
    <w:basedOn w:val="31"/>
    <w:qFormat/>
    <w:uiPriority w:val="0"/>
    <w:rPr>
      <w:color w:val="FFFFFF"/>
      <w:bdr w:val="single" w:color="FFFFFF" w:sz="6" w:space="0"/>
    </w:rPr>
  </w:style>
  <w:style w:type="character" w:customStyle="1" w:styleId="132">
    <w:name w:val="icon_lzrz"/>
    <w:basedOn w:val="31"/>
    <w:qFormat/>
    <w:uiPriority w:val="0"/>
  </w:style>
  <w:style w:type="character" w:customStyle="1" w:styleId="133">
    <w:name w:val="l_8"/>
    <w:basedOn w:val="31"/>
    <w:qFormat/>
    <w:uiPriority w:val="0"/>
  </w:style>
  <w:style w:type="character" w:customStyle="1" w:styleId="134">
    <w:name w:val="l_0"/>
    <w:basedOn w:val="31"/>
    <w:qFormat/>
    <w:uiPriority w:val="0"/>
  </w:style>
  <w:style w:type="character" w:customStyle="1" w:styleId="135">
    <w:name w:val="l_01"/>
    <w:basedOn w:val="31"/>
    <w:qFormat/>
    <w:uiPriority w:val="0"/>
  </w:style>
  <w:style w:type="character" w:customStyle="1" w:styleId="136">
    <w:name w:val="icon_xglc"/>
    <w:basedOn w:val="31"/>
    <w:qFormat/>
    <w:uiPriority w:val="0"/>
  </w:style>
  <w:style w:type="character" w:customStyle="1" w:styleId="137">
    <w:name w:val="swapimg3"/>
    <w:basedOn w:val="31"/>
    <w:qFormat/>
    <w:uiPriority w:val="0"/>
  </w:style>
  <w:style w:type="character" w:customStyle="1" w:styleId="138">
    <w:name w:val="swapimg4"/>
    <w:basedOn w:val="31"/>
    <w:qFormat/>
    <w:uiPriority w:val="0"/>
  </w:style>
  <w:style w:type="character" w:customStyle="1" w:styleId="139">
    <w:name w:val="icon_xzry"/>
    <w:basedOn w:val="31"/>
    <w:qFormat/>
    <w:uiPriority w:val="0"/>
  </w:style>
  <w:style w:type="character" w:customStyle="1" w:styleId="140">
    <w:name w:val="m-text"/>
    <w:basedOn w:val="31"/>
    <w:qFormat/>
    <w:uiPriority w:val="0"/>
  </w:style>
  <w:style w:type="character" w:customStyle="1" w:styleId="141">
    <w:name w:val="l_2"/>
    <w:basedOn w:val="31"/>
    <w:qFormat/>
    <w:uiPriority w:val="0"/>
  </w:style>
  <w:style w:type="character" w:customStyle="1" w:styleId="142">
    <w:name w:val="l_21"/>
    <w:basedOn w:val="31"/>
    <w:qFormat/>
    <w:uiPriority w:val="0"/>
  </w:style>
  <w:style w:type="character" w:customStyle="1" w:styleId="143">
    <w:name w:val="l_3"/>
    <w:basedOn w:val="31"/>
    <w:qFormat/>
    <w:uiPriority w:val="0"/>
  </w:style>
  <w:style w:type="character" w:customStyle="1" w:styleId="144">
    <w:name w:val="l_31"/>
    <w:basedOn w:val="31"/>
    <w:qFormat/>
    <w:uiPriority w:val="0"/>
  </w:style>
  <w:style w:type="character" w:customStyle="1" w:styleId="145">
    <w:name w:val="l_10"/>
    <w:basedOn w:val="31"/>
    <w:qFormat/>
    <w:uiPriority w:val="0"/>
  </w:style>
  <w:style w:type="character" w:customStyle="1" w:styleId="146">
    <w:name w:val="l_101"/>
    <w:basedOn w:val="31"/>
    <w:qFormat/>
    <w:uiPriority w:val="0"/>
  </w:style>
  <w:style w:type="character" w:customStyle="1" w:styleId="147">
    <w:name w:val="l_111"/>
    <w:basedOn w:val="31"/>
    <w:qFormat/>
    <w:uiPriority w:val="0"/>
  </w:style>
  <w:style w:type="character" w:customStyle="1" w:styleId="148">
    <w:name w:val="l_112"/>
    <w:basedOn w:val="31"/>
    <w:qFormat/>
    <w:uiPriority w:val="0"/>
  </w:style>
  <w:style w:type="character" w:customStyle="1" w:styleId="149">
    <w:name w:val="l_14"/>
    <w:basedOn w:val="31"/>
    <w:qFormat/>
    <w:uiPriority w:val="0"/>
  </w:style>
  <w:style w:type="character" w:customStyle="1" w:styleId="150">
    <w:name w:val="l_141"/>
    <w:basedOn w:val="31"/>
    <w:qFormat/>
    <w:uiPriority w:val="0"/>
  </w:style>
  <w:style w:type="character" w:customStyle="1" w:styleId="151">
    <w:name w:val="l_15"/>
    <w:basedOn w:val="31"/>
    <w:qFormat/>
    <w:uiPriority w:val="0"/>
  </w:style>
  <w:style w:type="character" w:customStyle="1" w:styleId="152">
    <w:name w:val="l_151"/>
    <w:basedOn w:val="31"/>
    <w:qFormat/>
    <w:uiPriority w:val="0"/>
  </w:style>
  <w:style w:type="character" w:customStyle="1" w:styleId="153">
    <w:name w:val="hover"/>
    <w:basedOn w:val="31"/>
    <w:qFormat/>
    <w:uiPriority w:val="0"/>
  </w:style>
  <w:style w:type="character" w:customStyle="1" w:styleId="154">
    <w:name w:val="active4"/>
    <w:basedOn w:val="31"/>
    <w:qFormat/>
    <w:uiPriority w:val="0"/>
    <w:rPr>
      <w:color w:val="FFFFFF"/>
      <w:shd w:val="clear" w:color="auto" w:fill="2B7AFC"/>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77</Pages>
  <Words>37591</Words>
  <Characters>40620</Characters>
  <Lines>313</Lines>
  <Paragraphs>88</Paragraphs>
  <TotalTime>45</TotalTime>
  <ScaleCrop>false</ScaleCrop>
  <LinksUpToDate>false</LinksUpToDate>
  <CharactersWithSpaces>41473</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2023-07-25T02:57:00Z</dcterms:created>
  <dc:creator>万汇工程咨询有限公司:李勇</dc:creator>
  <cp:lastModifiedBy>长葛市公共资源交易中心:李田博</cp:lastModifiedBy>
  <cp:lastPrinted>2023-08-08T07:06:00Z</cp:lastPrinted>
  <dcterms:modified xsi:type="dcterms:W3CDTF">2024-05-24T03:05:53Z</dcterms:modified>
  <dc:title>长葛市动物疫病预防控制中心2024年重大动物疫病试剂及耗材采购清单项目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6B7B82BD93D2401B9334AE187EFCAC2B_13</vt:lpwstr>
  </property>
</Properties>
</file>