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pStyle w:val="32"/>
        <w:shd w:val="clear"/>
        <w:ind w:left="0" w:leftChars="0" w:firstLine="0" w:firstLineChars="0"/>
        <w:jc w:val="both"/>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禹州市交通运输局禹州市城乡交通运输一体化</w:t>
      </w:r>
    </w:p>
    <w:p>
      <w:pPr>
        <w:pStyle w:val="32"/>
        <w:shd w:val="clear"/>
        <w:ind w:left="0" w:leftChars="0" w:firstLine="0" w:firstLineChars="0"/>
        <w:jc w:val="center"/>
        <w:rPr>
          <w:rFonts w:ascii="华文隶书" w:eastAsia="华文隶书"/>
          <w:bCs/>
          <w:color w:val="auto"/>
          <w:w w:val="90"/>
          <w:sz w:val="96"/>
          <w:highlight w:val="none"/>
        </w:rPr>
      </w:pPr>
      <w:r>
        <w:rPr>
          <w:rFonts w:hint="eastAsia" w:ascii="黑体" w:hAnsi="黑体" w:eastAsia="黑体" w:cs="黑体"/>
          <w:bCs/>
          <w:color w:val="auto"/>
          <w:sz w:val="44"/>
          <w:szCs w:val="44"/>
          <w:highlight w:val="none"/>
          <w:lang w:val="en-US" w:eastAsia="zh-CN"/>
        </w:rPr>
        <w:t>示范县建设项目</w:t>
      </w:r>
    </w:p>
    <w:p>
      <w:pPr>
        <w:pStyle w:val="32"/>
        <w:shd w:val="clear"/>
        <w:ind w:firstLine="1724"/>
        <w:rPr>
          <w:rFonts w:ascii="华文隶书" w:eastAsia="华文隶书"/>
          <w:bCs/>
          <w:color w:val="auto"/>
          <w:w w:val="90"/>
          <w:sz w:val="96"/>
          <w:highlight w:val="none"/>
        </w:rPr>
      </w:pPr>
    </w:p>
    <w:p>
      <w:pPr>
        <w:pStyle w:val="32"/>
        <w:shd w:val="clear"/>
        <w:ind w:firstLine="1724"/>
        <w:rPr>
          <w:rFonts w:ascii="华文隶书" w:eastAsia="华文隶书"/>
          <w:bCs/>
          <w:color w:val="auto"/>
          <w:w w:val="90"/>
          <w:sz w:val="96"/>
          <w:highlight w:val="none"/>
        </w:rPr>
      </w:pPr>
    </w:p>
    <w:p>
      <w:pPr>
        <w:pStyle w:val="32"/>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2"/>
        <w:shd w:val="clear"/>
        <w:ind w:left="0" w:leftChars="0" w:firstLine="0" w:firstLineChars="0"/>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pStyle w:val="32"/>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 xml:space="preserve">YZCG-DLT2024028 </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采购单位：禹州市交通运输局</w:t>
      </w:r>
    </w:p>
    <w:p>
      <w:pPr>
        <w:shd w:val="clea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中科高盛咨询集团有限公司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四年五</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的潜在投标人应在谈判响应截止时间前登录《全国公共资源交易平台（河南省·许昌市）》“投标人/供应商登录”入口（http://ggzy.xuchang.gov.cn:8088/ggzy/）自行免费下载获取招标文件，并于2024年06月03日08时30分（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1.项目编号：YZCG-DLT2024028</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2.项目名称：禹州市交通运输局禹州市城乡交通运输一体化示范县建设项目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4.预算金额：2798336.68元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最高限价：2798336.68元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5.采购需求：禹州市交通运输局禹州市城乡交通运输一体化示范县建设项目，共划分一个标段（详见谈判文件）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6.合同履行期限：签订合同后20日内完成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本项目专门面向中、小、微型企业采购。</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1）供应商具备公路工程施工总承包或市政公用工程施工总承包叁级及以上资质，拟派项目经理须具备相关专业二级及以上建造师资格证书且具备有效的安全生产考核合格证书（B类）。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1.时间：2024年06月03日08时30分（北京时间）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2.地点：本项目采用网上响应，请符合响应条件的供应商使用CA数字证书登录《全国公共资源交易平台（河南省.许昌市）》加密上传响应文件。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1.时间：2024年06月03日08时30分（北京时间）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名称：禹州市交通运输局</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地址：禹州市禹王大道121号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联系人：王先生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auto"/>
          <w:szCs w:val="21"/>
          <w:highlight w:val="none"/>
          <w:lang w:val="en-US" w:eastAsia="zh-CN"/>
        </w:rPr>
      </w:pPr>
      <w:r>
        <w:rPr>
          <w:rFonts w:hint="eastAsia" w:ascii="宋体" w:hAnsi="宋体" w:eastAsia="宋体" w:cs="宋体"/>
          <w:color w:val="auto"/>
          <w:kern w:val="0"/>
          <w:sz w:val="21"/>
          <w:szCs w:val="21"/>
          <w:lang w:val="en-US" w:eastAsia="zh-CN" w:bidi="ar"/>
        </w:rPr>
        <w:t xml:space="preserve">联系方式：0374-8880661 </w:t>
      </w:r>
      <w:r>
        <w:rPr>
          <w:rFonts w:hint="eastAsia" w:asciiTheme="majorEastAsia" w:hAnsiTheme="majorEastAsia" w:eastAsiaTheme="majorEastAsia" w:cstheme="majorEastAsia"/>
          <w:color w:val="auto"/>
          <w:szCs w:val="21"/>
          <w:highlight w:val="none"/>
          <w:lang w:val="en-US" w:eastAsia="zh-CN"/>
        </w:rPr>
        <w:t xml:space="preserve">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2.采购代理机构信息</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名称：中科高盛咨询集团有限公司</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地址：郑州市商务内环龙湖大厦1709</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联系人：李春霞</w:t>
      </w:r>
    </w:p>
    <w:p>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联系电话：0371-53626688</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jc w:val="left"/>
        <w:rPr>
          <w:rFonts w:hint="eastAsia" w:asciiTheme="majorEastAsia" w:hAnsiTheme="majorEastAsia" w:eastAsiaTheme="majorEastAsia" w:cstheme="majorEastAsia"/>
          <w:b/>
          <w:color w:val="auto"/>
          <w:szCs w:val="21"/>
          <w:highlight w:val="none"/>
        </w:rPr>
      </w:pPr>
    </w:p>
    <w:p>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pPr>
        <w:pStyle w:val="32"/>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禹州市交通运输局禹州市城乡交通运输一体化示范县建设项目，共划分一个标段。</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合同履行期限：签订合同后20日内完成。</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eastAsia="zh-CN"/>
        </w:rPr>
        <w:t>以</w:t>
      </w:r>
      <w:r>
        <w:rPr>
          <w:rFonts w:hint="eastAsia" w:cs="仿宋_GB2312" w:asciiTheme="minorEastAsia" w:hAnsiTheme="minorEastAsia"/>
          <w:color w:val="auto"/>
          <w:szCs w:val="21"/>
          <w:lang w:val="zh-CN"/>
        </w:rPr>
        <w:t>双方签订合同约定为准。</w:t>
      </w:r>
    </w:p>
    <w:p>
      <w:pPr>
        <w:wordWrap w:val="0"/>
        <w:spacing w:line="360" w:lineRule="auto"/>
        <w:ind w:firstLine="420" w:firstLineChars="200"/>
        <w:contextualSpacing/>
        <w:rPr>
          <w:color w:val="auto"/>
          <w:highlight w:val="none"/>
        </w:rPr>
      </w:pPr>
      <w:r>
        <w:rPr>
          <w:rFonts w:hint="eastAsia" w:ascii="宋体" w:hAnsi="宋体"/>
          <w:color w:val="auto"/>
          <w:sz w:val="21"/>
          <w:szCs w:val="21"/>
        </w:rPr>
        <w:t>（二）支付时间及条件：</w:t>
      </w:r>
      <w:r>
        <w:rPr>
          <w:rFonts w:hint="eastAsia" w:ascii="宋体" w:hAnsi="宋体"/>
          <w:color w:val="auto"/>
          <w:sz w:val="21"/>
          <w:szCs w:val="21"/>
          <w:lang w:eastAsia="zh-CN"/>
        </w:rPr>
        <w:t>以</w:t>
      </w:r>
      <w:r>
        <w:rPr>
          <w:rFonts w:hint="eastAsia" w:cs="仿宋_GB2312" w:asciiTheme="minorEastAsia" w:hAnsiTheme="minorEastAsia"/>
          <w:color w:val="auto"/>
          <w:szCs w:val="21"/>
          <w:lang w:val="zh-CN"/>
        </w:rPr>
        <w:t>双方签订合同约定为准。</w:t>
      </w:r>
    </w:p>
    <w:p>
      <w:pPr>
        <w:pStyle w:val="32"/>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禹州市交通运输局禹州市城乡交通运输一体化示范县建设项目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名称：禹州市交通运输局</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地址：禹州市禹王大道121号</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联系人：王先生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cs="仿宋_GB2312" w:asciiTheme="minorEastAsia" w:hAnsiTheme="minorEastAsia"/>
                <w:color w:val="auto"/>
                <w:szCs w:val="21"/>
                <w:highlight w:val="none"/>
              </w:rPr>
            </w:pPr>
            <w:r>
              <w:rPr>
                <w:rFonts w:hint="eastAsia" w:ascii="宋体" w:hAnsi="宋体" w:eastAsia="宋体" w:cs="宋体"/>
                <w:color w:val="auto"/>
                <w:kern w:val="0"/>
                <w:sz w:val="21"/>
                <w:szCs w:val="21"/>
                <w:lang w:val="en-US" w:eastAsia="zh-CN" w:bidi="ar"/>
              </w:rPr>
              <w:t xml:space="preserve">联系方式：0374-8880661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名称：中科高盛咨询集团有限公司</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地址：郑州市商务内环龙湖大厦1709</w:t>
            </w:r>
          </w:p>
          <w:p>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联系人：李春霞</w:t>
            </w:r>
          </w:p>
          <w:p>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1、中、小、微型企业出具《中小企业声明函》</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pPr>
              <w:shd w:val="clear"/>
              <w:spacing w:line="440" w:lineRule="exact"/>
              <w:jc w:val="left"/>
              <w:rPr>
                <w:rFonts w:hint="default"/>
                <w:color w:val="auto"/>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2022年度或2023年度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2798336.68</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2024年06月03日08时30分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交通运输业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lang w:val="zh-CN"/>
              </w:rPr>
              <w:t>联系电话：</w:t>
            </w:r>
            <w:r>
              <w:rPr>
                <w:rFonts w:hint="default" w:cs="仿宋_GB2312" w:asciiTheme="minorEastAsia" w:hAnsiTheme="minorEastAsia"/>
                <w:color w:val="auto"/>
                <w:szCs w:val="21"/>
                <w:highlight w:val="none"/>
                <w:lang w:val="en-US" w:eastAsia="zh-CN"/>
              </w:rPr>
              <w:t>0371-53626688</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en-US" w:eastAsia="zh-CN"/>
              </w:rPr>
              <w:t>zkgshn</w:t>
            </w:r>
            <w:r>
              <w:rPr>
                <w:rFonts w:hint="eastAsia" w:cs="宋体" w:asciiTheme="minorEastAsia" w:hAnsiTheme="minorEastAsia"/>
                <w:color w:val="auto"/>
                <w:szCs w:val="21"/>
                <w:highlight w:val="none"/>
                <w:lang w:val="zh-CN"/>
              </w:rPr>
              <w:t>@</w:t>
            </w:r>
            <w:r>
              <w:rPr>
                <w:rFonts w:hint="eastAsia" w:cs="宋体" w:asciiTheme="minorEastAsia" w:hAnsiTheme="minorEastAsia"/>
                <w:color w:val="auto"/>
                <w:szCs w:val="21"/>
                <w:highlight w:val="none"/>
                <w:lang w:val="en-US" w:eastAsia="zh-CN"/>
              </w:rPr>
              <w:t>163</w:t>
            </w:r>
            <w:r>
              <w:rPr>
                <w:rFonts w:hint="eastAsia" w:cs="宋体" w:asciiTheme="minorEastAsia" w:hAnsiTheme="minorEastAsia"/>
                <w:color w:val="auto"/>
                <w:szCs w:val="21"/>
                <w:highlight w:val="none"/>
                <w:lang w:val="zh-CN"/>
              </w:rPr>
              <w:t>.com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eastAsia="宋体"/>
                <w:color w:val="auto"/>
                <w:lang w:val="en-US" w:eastAsia="zh-CN"/>
              </w:rPr>
            </w:pPr>
            <w:r>
              <w:rPr>
                <w:rFonts w:hint="eastAsia"/>
                <w:color w:val="auto"/>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pStyle w:val="32"/>
        <w:shd w:val="clear"/>
        <w:ind w:left="0" w:leftChars="0" w:firstLine="0" w:firstLineChars="0"/>
        <w:rPr>
          <w:color w:val="auto"/>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olor w:val="auto"/>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5"/>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4"/>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4"/>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联合体形式投标的，联合体成员存在不良信用记录，视同联合体存在不良信用记录）。</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4"/>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4"/>
        <w:numPr>
          <w:ilvl w:val="0"/>
          <w:numId w:val="6"/>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4"/>
        <w:numPr>
          <w:ilvl w:val="1"/>
          <w:numId w:val="6"/>
        </w:numPr>
        <w:shd w:val="clear"/>
        <w:autoSpaceDE w:val="0"/>
        <w:autoSpaceDN w:val="0"/>
        <w:spacing w:line="360" w:lineRule="auto"/>
        <w:ind w:firstLineChars="0"/>
        <w:contextualSpacing/>
        <w:rPr>
          <w:rFonts w:ascii="ˎ̥" w:hAnsi="ˎ̥"/>
          <w:vanish/>
          <w:color w:val="auto"/>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4"/>
        <w:numPr>
          <w:ilvl w:val="0"/>
          <w:numId w:val="7"/>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1"/>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4"/>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9"/>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4"/>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pPr>
        <w:pStyle w:val="54"/>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27.2.7 不同供应商响应文件中法定代表人或者负责人签字出自同一人之手；51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27.2.8 </w:t>
      </w:r>
      <w:r>
        <w:rPr>
          <w:rFonts w:hint="eastAsia" w:ascii="宋体" w:hAnsi="宋体" w:eastAsia="宋体" w:cs="宋体"/>
          <w:color w:val="auto"/>
          <w:kern w:val="0"/>
          <w:sz w:val="21"/>
          <w:szCs w:val="21"/>
          <w:lang w:val="en-US" w:eastAsia="zh-CN" w:bidi="ar"/>
        </w:rPr>
        <w:t>其它涉嫌串通的情形。</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4"/>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4"/>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4"/>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4"/>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4"/>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4"/>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4"/>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4"/>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4"/>
        <w:numPr>
          <w:ilvl w:val="0"/>
          <w:numId w:val="11"/>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4"/>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pPr>
        <w:pStyle w:val="54"/>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到禹州市政府采购监督管理办公室进行合同备案，并登陆“河南省政府采购网”进行网上备案。</w:t>
      </w:r>
    </w:p>
    <w:p>
      <w:pPr>
        <w:pStyle w:val="54"/>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0"/>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color w:val="auto"/>
        </w:rPr>
      </w:pPr>
    </w:p>
    <w:p>
      <w:pPr>
        <w:rPr>
          <w:rFonts w:cs="宋体" w:asciiTheme="majorEastAsia" w:hAnsiTheme="majorEastAsia" w:eastAsiaTheme="majorEastAsia"/>
          <w:b/>
          <w:color w:val="auto"/>
          <w:kern w:val="0"/>
          <w:sz w:val="36"/>
          <w:szCs w:val="36"/>
          <w:highlight w:val="none"/>
        </w:rPr>
      </w:pPr>
    </w:p>
    <w:p>
      <w:pPr>
        <w:pStyle w:val="2"/>
        <w:rPr>
          <w:color w:val="auto"/>
        </w:rPr>
      </w:pPr>
    </w:p>
    <w:p>
      <w:pPr>
        <w:pStyle w:val="2"/>
        <w:ind w:left="0" w:leftChars="0" w:firstLine="0" w:firstLineChars="0"/>
        <w:rPr>
          <w:rFonts w:hint="eastAsia"/>
          <w:color w:val="auto"/>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numPr>
          <w:ilvl w:val="0"/>
          <w:numId w:val="5"/>
        </w:numP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7"/>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7"/>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w:t>
            </w:r>
            <w:r>
              <w:rPr>
                <w:rFonts w:hint="eastAsia" w:asciiTheme="minorEastAsia" w:hAnsiTheme="minorEastAsia"/>
                <w:bCs/>
                <w:color w:val="auto"/>
                <w:szCs w:val="21"/>
                <w:lang w:eastAsia="zh-CN"/>
              </w:rPr>
              <w:t>、</w:t>
            </w:r>
            <w:r>
              <w:rPr>
                <w:rFonts w:hint="eastAsia" w:asciiTheme="minorEastAsia" w:hAnsiTheme="minorEastAsia"/>
                <w:bCs/>
                <w:color w:val="auto"/>
                <w:szCs w:val="21"/>
              </w:rPr>
              <w:t>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7"/>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7"/>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7"/>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7"/>
        <w:shd w:val="clear"/>
        <w:spacing w:line="360" w:lineRule="auto"/>
        <w:ind w:firstLine="420" w:firstLineChars="200"/>
        <w:contextualSpacing/>
        <w:jc w:val="left"/>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zh-CN"/>
        </w:rPr>
        <w:t>注：仅需提供序号</w:t>
      </w:r>
      <w:r>
        <w:rPr>
          <w:rFonts w:hint="eastAsia" w:cs="宋体" w:asciiTheme="minorEastAsia" w:hAnsiTheme="minorEastAsia"/>
          <w:color w:val="auto"/>
          <w:kern w:val="0"/>
          <w:szCs w:val="21"/>
          <w:highlight w:val="none"/>
        </w:rPr>
        <w:t>①～②其中之一即可。</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shd w:val="clear"/>
        <w:wordWrap w:val="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color w:val="auto"/>
          <w:szCs w:val="21"/>
          <w:highlight w:val="none"/>
          <w:lang w:val="en-US" w:eastAsia="zh-CN"/>
        </w:rPr>
        <w:t>，并根据采购人委托直接确定中标人。</w:t>
      </w:r>
    </w:p>
    <w:p>
      <w:pPr>
        <w:pStyle w:val="17"/>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7"/>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pStyle w:val="2"/>
        <w:rPr>
          <w:rFonts w:hint="eastAsia"/>
          <w:color w:val="auto"/>
        </w:rPr>
      </w:pPr>
    </w:p>
    <w:p>
      <w:pPr>
        <w:numPr>
          <w:ilvl w:val="0"/>
          <w:numId w:val="13"/>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pPr>
        <w:pStyle w:val="2"/>
        <w:numPr>
          <w:ilvl w:val="0"/>
          <w:numId w:val="0"/>
        </w:numPr>
        <w:ind w:firstLine="2380" w:firstLineChars="700"/>
        <w:rPr>
          <w:color w:val="auto"/>
          <w:spacing w:val="0"/>
          <w:w w:val="100"/>
          <w:position w:val="0"/>
        </w:rPr>
      </w:pPr>
      <w:bookmarkStart w:id="2" w:name="bookmark107"/>
      <w:bookmarkStart w:id="3" w:name="bookmark109"/>
      <w:bookmarkStart w:id="4" w:name="bookmark108"/>
      <w:r>
        <w:rPr>
          <w:color w:val="auto"/>
          <w:spacing w:val="0"/>
          <w:w w:val="100"/>
          <w:position w:val="0"/>
        </w:rPr>
        <w:t>本合同□是/□否中小企业预留合同</w:t>
      </w:r>
      <w:bookmarkEnd w:id="2"/>
      <w:bookmarkEnd w:id="3"/>
      <w:bookmarkEnd w:id="4"/>
    </w:p>
    <w:p>
      <w:pPr>
        <w:pStyle w:val="5"/>
        <w:rPr>
          <w:color w:val="auto"/>
          <w:spacing w:val="0"/>
          <w:w w:val="100"/>
          <w:position w:val="0"/>
        </w:rPr>
      </w:pPr>
    </w:p>
    <w:p>
      <w:pPr>
        <w:rPr>
          <w:color w:val="auto"/>
          <w:spacing w:val="0"/>
          <w:w w:val="100"/>
          <w:position w:val="0"/>
        </w:rPr>
      </w:pPr>
    </w:p>
    <w:p>
      <w:pPr>
        <w:pStyle w:val="2"/>
        <w:rPr>
          <w:color w:val="auto"/>
        </w:rPr>
      </w:pPr>
    </w:p>
    <w:p>
      <w:pPr>
        <w:pStyle w:val="77"/>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2"/>
      <w:bookmarkStart w:id="6" w:name="bookmark111"/>
      <w:bookmarkStart w:id="7" w:name="bookmark110"/>
      <w:r>
        <w:rPr>
          <w:color w:val="auto"/>
          <w:spacing w:val="0"/>
          <w:w w:val="100"/>
          <w:position w:val="0"/>
        </w:rPr>
        <w:t>政府采购工程合同（范本）</w:t>
      </w:r>
      <w:bookmarkEnd w:id="5"/>
      <w:bookmarkEnd w:id="6"/>
      <w:bookmarkEnd w:id="7"/>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7"/>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pPr>
        <w:pStyle w:val="78"/>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pPr>
        <w:pStyle w:val="78"/>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8"/>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8"/>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pPr>
        <w:pStyle w:val="79"/>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4"/>
      <w:bookmarkStart w:id="9" w:name="bookmark113"/>
      <w:bookmarkStart w:id="10" w:name="bookmark115"/>
    </w:p>
    <w:p>
      <w:pPr>
        <w:pStyle w:val="79"/>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8"/>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1"/>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pPr>
        <w:pStyle w:val="78"/>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pPr>
        <w:pStyle w:val="78"/>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 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 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pPr>
        <w:pStyle w:val="78"/>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合同文件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pPr>
        <w:pStyle w:val="78"/>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pPr>
        <w:pStyle w:val="78"/>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合同的范围和条件</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pPr>
        <w:pStyle w:val="78"/>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工程概况</w:t>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pPr>
        <w:pStyle w:val="78"/>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合同金额</w:t>
      </w:r>
    </w:p>
    <w:p>
      <w:pPr>
        <w:pStyle w:val="78"/>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pPr>
        <w:pStyle w:val="78"/>
        <w:keepNext w:val="0"/>
        <w:keepLines w:val="0"/>
        <w:widowControl w:val="0"/>
        <w:numPr>
          <w:ilvl w:val="0"/>
          <w:numId w:val="14"/>
        </w:numPr>
        <w:shd w:val="clear" w:color="auto" w:fill="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pPr>
        <w:pStyle w:val="78"/>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缺陷责任期</w:t>
      </w:r>
    </w:p>
    <w:p>
      <w:pPr>
        <w:pStyle w:val="78"/>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 单位工程先于全部工程进行验收，单位工程缺陷责任期自单位工程验收合格之日 起算。</w:t>
      </w:r>
    </w:p>
    <w:p>
      <w:pPr>
        <w:pStyle w:val="78"/>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pPr>
        <w:pStyle w:val="78"/>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施工日期、地点</w:t>
      </w:r>
    </w:p>
    <w:p>
      <w:pPr>
        <w:pStyle w:val="78"/>
        <w:keepNext w:val="0"/>
        <w:keepLines w:val="0"/>
        <w:widowControl w:val="0"/>
        <w:numPr>
          <w:ilvl w:val="0"/>
          <w:numId w:val="15"/>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8"/>
        <w:keepNext w:val="0"/>
        <w:keepLines w:val="0"/>
        <w:widowControl w:val="0"/>
        <w:numPr>
          <w:ilvl w:val="0"/>
          <w:numId w:val="15"/>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pPr>
        <w:pStyle w:val="78"/>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合同生效</w:t>
      </w:r>
    </w:p>
    <w:p>
      <w:pPr>
        <w:pStyle w:val="78"/>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pPr>
        <w:pStyle w:val="78"/>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pPr>
        <w:pStyle w:val="78"/>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 提前与金融机构进行合同融资商洽，双方达成融资意向后，成交供应商与采购人 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 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 xml:space="preserve"> 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 付款账户。</w:t>
      </w:r>
    </w:p>
    <w:p>
      <w:pPr>
        <w:pStyle w:val="78"/>
        <w:keepNext w:val="0"/>
        <w:keepLines w:val="0"/>
        <w:widowControl w:val="0"/>
        <w:numPr>
          <w:ilvl w:val="0"/>
          <w:numId w:val="16"/>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 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 供应商收款的银行账户与拟贷款银行回款账户不一致的情形。为支持供应商通过 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 一致。</w:t>
      </w:r>
    </w:p>
    <w:p>
      <w:pPr>
        <w:pStyle w:val="78"/>
        <w:keepNext w:val="0"/>
        <w:keepLines w:val="0"/>
        <w:widowControl w:val="0"/>
        <w:numPr>
          <w:ilvl w:val="0"/>
          <w:numId w:val="16"/>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w:t>
      </w:r>
    </w:p>
    <w:p>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 责任。</w:t>
      </w:r>
    </w:p>
    <w:p>
      <w:pPr>
        <w:pStyle w:val="78"/>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pPr>
        <w:pStyle w:val="78"/>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pPr>
        <w:pStyle w:val="78"/>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8"/>
        <w:keepNext w:val="0"/>
        <w:keepLines w:val="0"/>
        <w:widowControl w:val="0"/>
        <w:numPr>
          <w:ilvl w:val="0"/>
          <w:numId w:val="17"/>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pPr>
        <w:pStyle w:val="78"/>
        <w:keepNext w:val="0"/>
        <w:keepLines w:val="0"/>
        <w:widowControl w:val="0"/>
        <w:numPr>
          <w:ilvl w:val="0"/>
          <w:numId w:val="17"/>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 等权利；</w:t>
      </w:r>
    </w:p>
    <w:p>
      <w:pPr>
        <w:pStyle w:val="78"/>
        <w:keepNext w:val="0"/>
        <w:keepLines w:val="0"/>
        <w:widowControl w:val="0"/>
        <w:numPr>
          <w:ilvl w:val="0"/>
          <w:numId w:val="17"/>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pPr>
        <w:pStyle w:val="78"/>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pPr>
        <w:pStyle w:val="78"/>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pPr>
        <w:pStyle w:val="78"/>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49"/>
      <w:bookmarkStart w:id="45" w:name="bookmark150"/>
      <w:bookmarkStart w:id="46" w:name="bookmark151"/>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pPr>
        <w:pStyle w:val="78"/>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pPr>
        <w:pStyle w:val="80"/>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pPr>
        <w:pStyle w:val="79"/>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2"/>
      <w:bookmarkStart w:id="48" w:name="bookmark153"/>
      <w:bookmarkStart w:id="49" w:name="bookmark154"/>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pPr>
        <w:pStyle w:val="78"/>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pPr>
        <w:pStyle w:val="80"/>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pPr>
        <w:pStyle w:val="78"/>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 工程有关的补充协议、设计变更、工程签证等资料。</w:t>
      </w:r>
    </w:p>
    <w:p>
      <w:pPr>
        <w:pStyle w:val="78"/>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pPr>
        <w:pStyle w:val="78"/>
        <w:keepNext w:val="0"/>
        <w:keepLines w:val="0"/>
        <w:widowControl w:val="0"/>
        <w:numPr>
          <w:ilvl w:val="0"/>
          <w:numId w:val="18"/>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19"/>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pPr>
        <w:pStyle w:val="78"/>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80"/>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pPr>
        <w:pStyle w:val="78"/>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pPr>
        <w:pStyle w:val="78"/>
        <w:keepNext w:val="0"/>
        <w:keepLines w:val="0"/>
        <w:widowControl w:val="0"/>
        <w:numPr>
          <w:ilvl w:val="1"/>
          <w:numId w:val="20"/>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pPr>
        <w:pStyle w:val="81"/>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pPr>
        <w:pStyle w:val="81"/>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pPr>
        <w:pStyle w:val="78"/>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 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pPr>
        <w:pStyle w:val="78"/>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pPr>
        <w:pStyle w:val="78"/>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书、指示、指令、要求、请求、同意、意见、确定和决定等书面函件送达对方当 事人。</w:t>
      </w:r>
    </w:p>
    <w:p>
      <w:pPr>
        <w:pStyle w:val="78"/>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pPr>
        <w:pStyle w:val="78"/>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pPr>
        <w:pStyle w:val="78"/>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 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pPr>
        <w:pStyle w:val="78"/>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 承担。</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pPr>
        <w:pStyle w:val="78"/>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 编制的技术规范以及反映发包人关于合同要求或其他类似性质的文件的著作权的 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pPr>
        <w:pStyle w:val="78"/>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pPr>
        <w:pStyle w:val="78"/>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0"/>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pPr>
        <w:pStyle w:val="78"/>
        <w:keepNext w:val="0"/>
        <w:keepLines w:val="0"/>
        <w:widowControl w:val="0"/>
        <w:numPr>
          <w:ilvl w:val="0"/>
          <w:numId w:val="19"/>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pPr>
        <w:pStyle w:val="78"/>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pPr>
        <w:pStyle w:val="78"/>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pPr>
        <w:pStyle w:val="78"/>
        <w:keepNext w:val="0"/>
        <w:keepLines w:val="0"/>
        <w:widowControl w:val="0"/>
        <w:numPr>
          <w:ilvl w:val="1"/>
          <w:numId w:val="19"/>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pPr>
        <w:pStyle w:val="78"/>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18"/>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pPr>
        <w:pStyle w:val="78"/>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pPr>
        <w:pStyle w:val="78"/>
        <w:keepNext w:val="0"/>
        <w:keepLines w:val="0"/>
        <w:widowControl w:val="0"/>
        <w:numPr>
          <w:ilvl w:val="0"/>
          <w:numId w:val="18"/>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pPr>
        <w:pStyle w:val="78"/>
        <w:keepNext w:val="0"/>
        <w:keepLines w:val="0"/>
        <w:widowControl w:val="0"/>
        <w:numPr>
          <w:ilvl w:val="0"/>
          <w:numId w:val="19"/>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pPr>
        <w:pStyle w:val="78"/>
        <w:keepNext w:val="0"/>
        <w:keepLines w:val="0"/>
        <w:widowControl w:val="0"/>
        <w:numPr>
          <w:ilvl w:val="1"/>
          <w:numId w:val="19"/>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 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 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 xml:space="preserve">发生一次扣减其合同价款 元，发生两次及以上，发包人有权单方面终止 </w:t>
      </w:r>
      <w:r>
        <w:rPr>
          <w:rFonts w:hint="eastAsia" w:ascii="宋体" w:hAnsi="宋体" w:eastAsia="宋体" w:cs="宋体"/>
          <w:color w:val="auto"/>
          <w:spacing w:val="0"/>
          <w:w w:val="100"/>
          <w:position w:val="0"/>
          <w:sz w:val="21"/>
          <w:szCs w:val="21"/>
        </w:rPr>
        <w:t>合同，因此造成的损失由承包人承担。</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pPr>
        <w:pStyle w:val="78"/>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pPr>
        <w:pStyle w:val="78"/>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20"/>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pPr>
        <w:pStyle w:val="78"/>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元，承包人应立即提供符合发包人要求的 管理人员。发生两次及以上，发包人有权单方面解除合同，因此造成的损失由承 包人承担。</w:t>
      </w:r>
    </w:p>
    <w:p>
      <w:pPr>
        <w:pStyle w:val="80"/>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pPr>
        <w:pStyle w:val="78"/>
        <w:keepNext w:val="0"/>
        <w:keepLines w:val="0"/>
        <w:widowControl w:val="0"/>
        <w:numPr>
          <w:ilvl w:val="1"/>
          <w:numId w:val="20"/>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pPr>
        <w:pStyle w:val="78"/>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pPr>
        <w:pStyle w:val="78"/>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1"/>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pPr>
        <w:pStyle w:val="78"/>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pPr>
        <w:pStyle w:val="78"/>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pPr>
        <w:pStyle w:val="78"/>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pPr>
        <w:pStyle w:val="78"/>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 事项进行确定：</w:t>
      </w:r>
    </w:p>
    <w:p>
      <w:pPr>
        <w:pStyle w:val="80"/>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0"/>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2"/>
        </w:numPr>
        <w:shd w:val="clear" w:color="auto" w:fill="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pPr>
        <w:pStyle w:val="78"/>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pPr>
        <w:pStyle w:val="78"/>
        <w:keepNext w:val="0"/>
        <w:keepLines w:val="0"/>
        <w:widowControl w:val="0"/>
        <w:numPr>
          <w:ilvl w:val="0"/>
          <w:numId w:val="23"/>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4"/>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pPr>
        <w:pStyle w:val="78"/>
        <w:keepNext w:val="0"/>
        <w:keepLines w:val="0"/>
        <w:widowControl w:val="0"/>
        <w:numPr>
          <w:ilvl w:val="0"/>
          <w:numId w:val="25"/>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pPr>
        <w:pStyle w:val="78"/>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pPr>
        <w:pStyle w:val="78"/>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pPr>
        <w:pStyle w:val="78"/>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pPr>
        <w:pStyle w:val="78"/>
        <w:keepNext w:val="0"/>
        <w:keepLines w:val="0"/>
        <w:widowControl w:val="0"/>
        <w:numPr>
          <w:ilvl w:val="0"/>
          <w:numId w:val="25"/>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pPr>
        <w:pStyle w:val="78"/>
        <w:keepNext w:val="0"/>
        <w:keepLines w:val="0"/>
        <w:widowControl w:val="0"/>
        <w:numPr>
          <w:ilvl w:val="0"/>
          <w:numId w:val="24"/>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3"/>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8"/>
        <w:keepNext w:val="0"/>
        <w:keepLines w:val="0"/>
        <w:widowControl w:val="0"/>
        <w:numPr>
          <w:ilvl w:val="0"/>
          <w:numId w:val="22"/>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80"/>
        <w:keepNext w:val="0"/>
        <w:keepLines w:val="0"/>
        <w:widowControl w:val="0"/>
        <w:numPr>
          <w:ilvl w:val="0"/>
          <w:numId w:val="26"/>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pPr>
        <w:pStyle w:val="78"/>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8"/>
        <w:keepNext w:val="0"/>
        <w:keepLines w:val="0"/>
        <w:widowControl w:val="0"/>
        <w:numPr>
          <w:ilvl w:val="0"/>
          <w:numId w:val="26"/>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pPr>
        <w:pStyle w:val="78"/>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pPr>
        <w:pStyle w:val="78"/>
        <w:keepNext w:val="0"/>
        <w:keepLines w:val="0"/>
        <w:widowControl w:val="0"/>
        <w:numPr>
          <w:ilvl w:val="0"/>
          <w:numId w:val="22"/>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pPr>
        <w:pStyle w:val="78"/>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 备等编制详细的施工进度计划和施工方案；不得突破总工期和阶段性验收计划， 进度计划和方案作为实施和验收的依据，施工方案不得作为增加费用的理由；</w:t>
      </w:r>
    </w:p>
    <w:p>
      <w:pPr>
        <w:pStyle w:val="78"/>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 程施工安全，并在施工组织中采取可靠的措施防止对施工现场周边地区的污染影 响；3.施工单位要对本工程的施工工作和安排充分重视，科学组织、管理到位， 劳力资源充足，农忙及节假日承包人要保证人员投入，并提前上报农忙时劳力保 证措施，否则发包人有权采取措施；4.项目实施过程中都应配备的机械设备、监 测设备和仪器；5.施工组织设计的编制包含上述内容但不限于上述内容，其他未 明确的内容承包人结合项目概况自行编制。</w:t>
      </w:r>
    </w:p>
    <w:p>
      <w:pPr>
        <w:pStyle w:val="78"/>
        <w:keepNext w:val="0"/>
        <w:keepLines w:val="0"/>
        <w:widowControl w:val="0"/>
        <w:numPr>
          <w:ilvl w:val="1"/>
          <w:numId w:val="22"/>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pPr>
        <w:pStyle w:val="78"/>
        <w:keepNext w:val="0"/>
        <w:keepLines w:val="0"/>
        <w:widowControl w:val="0"/>
        <w:numPr>
          <w:ilvl w:val="0"/>
          <w:numId w:val="23"/>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2施工进度计划</w:t>
      </w:r>
    </w:p>
    <w:p>
      <w:pPr>
        <w:pStyle w:val="78"/>
        <w:keepNext w:val="0"/>
        <w:keepLines w:val="0"/>
        <w:widowControl w:val="0"/>
        <w:numPr>
          <w:ilvl w:val="1"/>
          <w:numId w:val="23"/>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pPr>
        <w:pStyle w:val="78"/>
        <w:keepNext w:val="0"/>
        <w:keepLines w:val="0"/>
        <w:widowControl w:val="0"/>
        <w:numPr>
          <w:ilvl w:val="0"/>
          <w:numId w:val="24"/>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3开工</w:t>
      </w:r>
    </w:p>
    <w:p>
      <w:pPr>
        <w:pStyle w:val="78"/>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pPr>
        <w:pStyle w:val="78"/>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pPr>
        <w:pStyle w:val="78"/>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 方互不追究违约责任。</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pPr>
        <w:pStyle w:val="78"/>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 资料的期限：</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pPr>
        <w:pStyle w:val="78"/>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pPr>
        <w:pStyle w:val="78"/>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因承包人原因导致工期延期，逾期竣工违约金的技术方式为：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pPr>
        <w:pStyle w:val="78"/>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pPr>
        <w:pStyle w:val="78"/>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27"/>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8"/>
        <w:keepNext w:val="0"/>
        <w:keepLines w:val="0"/>
        <w:widowControl w:val="0"/>
        <w:numPr>
          <w:ilvl w:val="0"/>
          <w:numId w:val="27"/>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pPr>
        <w:pStyle w:val="78"/>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pPr>
        <w:pStyle w:val="78"/>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pPr>
        <w:pStyle w:val="78"/>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pPr>
        <w:pStyle w:val="78"/>
        <w:keepNext w:val="0"/>
        <w:keepLines w:val="0"/>
        <w:widowControl w:val="0"/>
        <w:numPr>
          <w:ilvl w:val="0"/>
          <w:numId w:val="23"/>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pPr>
        <w:pStyle w:val="78"/>
        <w:keepNext w:val="0"/>
        <w:keepLines w:val="0"/>
        <w:widowControl w:val="0"/>
        <w:numPr>
          <w:ilvl w:val="0"/>
          <w:numId w:val="23"/>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pPr>
        <w:pStyle w:val="78"/>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pPr>
        <w:pStyle w:val="78"/>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4"/>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pPr>
        <w:pStyle w:val="78"/>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pPr>
        <w:pStyle w:val="78"/>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 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pPr>
        <w:pStyle w:val="78"/>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pPr>
        <w:pStyle w:val="78"/>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pPr>
        <w:pStyle w:val="78"/>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3"/>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3"/>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pPr>
        <w:pStyle w:val="78"/>
        <w:keepNext w:val="0"/>
        <w:keepLines w:val="0"/>
        <w:widowControl w:val="0"/>
        <w:numPr>
          <w:ilvl w:val="0"/>
          <w:numId w:val="28"/>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pPr>
        <w:pStyle w:val="78"/>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pPr>
        <w:pStyle w:val="78"/>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28"/>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pPr>
        <w:pStyle w:val="80"/>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pPr>
        <w:pStyle w:val="78"/>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pPr>
        <w:pStyle w:val="78"/>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pPr>
        <w:pStyle w:val="78"/>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pPr>
        <w:pStyle w:val="78"/>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pPr>
        <w:pStyle w:val="78"/>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用支付分解表计量支付的，是否适用项《总价合同的计量》约定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其他价格形式合同的计量</w:t>
      </w:r>
    </w:p>
    <w:p>
      <w:pPr>
        <w:pStyle w:val="78"/>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pPr>
        <w:pStyle w:val="78"/>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pPr>
        <w:pStyle w:val="78"/>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pPr>
        <w:pStyle w:val="78"/>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pPr>
        <w:pStyle w:val="78"/>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pPr>
        <w:pStyle w:val="78"/>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pPr>
        <w:pStyle w:val="78"/>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pPr>
        <w:pStyle w:val="80"/>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pPr>
        <w:pStyle w:val="78"/>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7" w:name="bookmark209"/>
      <w:bookmarkEnd w:id="97"/>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pPr>
        <w:pStyle w:val="78"/>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 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pPr>
        <w:pStyle w:val="78"/>
        <w:keepNext w:val="0"/>
        <w:keepLines w:val="0"/>
        <w:widowControl w:val="0"/>
        <w:numPr>
          <w:ilvl w:val="0"/>
          <w:numId w:val="29"/>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pPr>
        <w:pStyle w:val="78"/>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8" w:name="bookmark211"/>
      <w:bookmarkEnd w:id="98"/>
      <w:r>
        <w:rPr>
          <w:rFonts w:hint="eastAsia" w:ascii="宋体" w:hAnsi="宋体" w:eastAsia="宋体" w:cs="宋体"/>
          <w:color w:val="auto"/>
          <w:spacing w:val="0"/>
          <w:w w:val="100"/>
          <w:position w:val="0"/>
          <w:sz w:val="21"/>
          <w:szCs w:val="21"/>
        </w:rPr>
        <w:t>1竣工结算申请</w:t>
      </w:r>
    </w:p>
    <w:p>
      <w:pPr>
        <w:pStyle w:val="78"/>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1"/>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9" w:name="bookmark212"/>
      <w:bookmarkEnd w:id="99"/>
      <w:r>
        <w:rPr>
          <w:rFonts w:hint="eastAsia" w:ascii="宋体" w:hAnsi="宋体" w:eastAsia="宋体" w:cs="宋体"/>
          <w:color w:val="auto"/>
          <w:spacing w:val="0"/>
          <w:w w:val="100"/>
          <w:position w:val="0"/>
          <w:sz w:val="21"/>
          <w:szCs w:val="21"/>
        </w:rPr>
        <w:t>2竣工结算审核</w:t>
      </w:r>
    </w:p>
    <w:p>
      <w:pPr>
        <w:pStyle w:val="78"/>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pPr>
        <w:pStyle w:val="78"/>
        <w:keepNext w:val="0"/>
        <w:keepLines w:val="0"/>
        <w:widowControl w:val="0"/>
        <w:numPr>
          <w:ilvl w:val="0"/>
          <w:numId w:val="32"/>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3"/>
      <w:bookmarkEnd w:id="100"/>
      <w:r>
        <w:rPr>
          <w:rFonts w:hint="eastAsia" w:ascii="宋体" w:hAnsi="宋体" w:eastAsia="宋体" w:cs="宋体"/>
          <w:color w:val="auto"/>
          <w:spacing w:val="0"/>
          <w:w w:val="100"/>
          <w:position w:val="0"/>
          <w:sz w:val="21"/>
          <w:szCs w:val="21"/>
        </w:rPr>
        <w:t>3最终结清</w:t>
      </w:r>
    </w:p>
    <w:p>
      <w:pPr>
        <w:pStyle w:val="78"/>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4"/>
      <w:bookmarkEnd w:id="10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pPr>
        <w:pStyle w:val="78"/>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2" w:name="bookmark215"/>
      <w:bookmarkEnd w:id="102"/>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pPr>
        <w:pStyle w:val="78"/>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 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pPr>
        <w:pStyle w:val="78"/>
        <w:keepNext w:val="0"/>
        <w:keepLines w:val="0"/>
        <w:widowControl w:val="0"/>
        <w:numPr>
          <w:ilvl w:val="0"/>
          <w:numId w:val="34"/>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3" w:name="bookmark210"/>
      <w:bookmarkEnd w:id="103"/>
      <w:bookmarkStart w:id="104" w:name="bookmark207"/>
      <w:bookmarkEnd w:id="104"/>
      <w:bookmarkStart w:id="105" w:name="bookmark208"/>
      <w:bookmarkEnd w:id="105"/>
      <w:bookmarkStart w:id="106" w:name="bookmark216"/>
      <w:bookmarkEnd w:id="106"/>
      <w:r>
        <w:rPr>
          <w:rFonts w:hint="eastAsia" w:ascii="宋体" w:hAnsi="宋体" w:eastAsia="宋体" w:cs="宋体"/>
          <w:color w:val="auto"/>
          <w:spacing w:val="0"/>
          <w:w w:val="100"/>
          <w:position w:val="0"/>
          <w:sz w:val="21"/>
          <w:szCs w:val="21"/>
        </w:rPr>
        <w:t>缺陷责任期限与保修</w:t>
      </w:r>
    </w:p>
    <w:p>
      <w:pPr>
        <w:pStyle w:val="78"/>
        <w:keepNext w:val="0"/>
        <w:keepLines w:val="0"/>
        <w:widowControl w:val="0"/>
        <w:numPr>
          <w:ilvl w:val="0"/>
          <w:numId w:val="33"/>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2"/>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pPr>
        <w:pStyle w:val="78"/>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pPr>
        <w:pStyle w:val="78"/>
        <w:keepNext w:val="0"/>
        <w:keepLines w:val="0"/>
        <w:widowControl w:val="0"/>
        <w:numPr>
          <w:ilvl w:val="0"/>
          <w:numId w:val="30"/>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pPr>
        <w:pStyle w:val="78"/>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0"/>
        <w:keepNext w:val="0"/>
        <w:keepLines w:val="0"/>
        <w:widowControl w:val="0"/>
        <w:numPr>
          <w:ilvl w:val="0"/>
          <w:numId w:val="29"/>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pPr>
        <w:pStyle w:val="78"/>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0"/>
        <w:keepNext w:val="0"/>
        <w:keepLines w:val="0"/>
        <w:widowControl w:val="0"/>
        <w:numPr>
          <w:ilvl w:val="0"/>
          <w:numId w:val="29"/>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pPr>
        <w:pStyle w:val="78"/>
        <w:keepNext w:val="0"/>
        <w:keepLines w:val="0"/>
        <w:widowControl w:val="0"/>
        <w:numPr>
          <w:ilvl w:val="0"/>
          <w:numId w:val="30"/>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pPr>
        <w:pStyle w:val="78"/>
        <w:keepNext w:val="0"/>
        <w:keepLines w:val="0"/>
        <w:widowControl w:val="0"/>
        <w:numPr>
          <w:ilvl w:val="0"/>
          <w:numId w:val="31"/>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pPr>
        <w:pStyle w:val="78"/>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pPr>
        <w:pStyle w:val="78"/>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pPr>
        <w:pStyle w:val="78"/>
        <w:keepNext w:val="0"/>
        <w:keepLines w:val="0"/>
        <w:widowControl w:val="0"/>
        <w:numPr>
          <w:ilvl w:val="0"/>
          <w:numId w:val="35"/>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pPr>
        <w:pStyle w:val="78"/>
        <w:keepNext w:val="0"/>
        <w:keepLines w:val="0"/>
        <w:widowControl w:val="0"/>
        <w:numPr>
          <w:ilvl w:val="0"/>
          <w:numId w:val="35"/>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 发包人原因导致交货日期延误或交货地点变更等情况的违约责任：</w:t>
      </w:r>
    </w:p>
    <w:p>
      <w:pPr>
        <w:pStyle w:val="78"/>
        <w:keepNext w:val="0"/>
        <w:keepLines w:val="0"/>
        <w:widowControl w:val="0"/>
        <w:numPr>
          <w:ilvl w:val="0"/>
          <w:numId w:val="35"/>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pPr>
        <w:pStyle w:val="78"/>
        <w:keepNext w:val="0"/>
        <w:keepLines w:val="0"/>
        <w:widowControl w:val="0"/>
        <w:numPr>
          <w:ilvl w:val="0"/>
          <w:numId w:val="33"/>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pPr>
        <w:pStyle w:val="78"/>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pPr>
        <w:pStyle w:val="78"/>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 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8"/>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pPr>
        <w:pStyle w:val="78"/>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pPr>
        <w:pStyle w:val="78"/>
        <w:keepNext w:val="0"/>
        <w:keepLines w:val="0"/>
        <w:widowControl w:val="0"/>
        <w:numPr>
          <w:ilvl w:val="0"/>
          <w:numId w:val="34"/>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pPr>
        <w:pStyle w:val="78"/>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 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 合同解除后，发包人应在商定或确定发包人应支付款项后— 天内完成款项的支付。</w:t>
      </w:r>
    </w:p>
    <w:p>
      <w:pPr>
        <w:pStyle w:val="80"/>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pPr>
        <w:pStyle w:val="78"/>
        <w:keepNext w:val="0"/>
        <w:keepLines w:val="0"/>
        <w:widowControl w:val="0"/>
        <w:numPr>
          <w:ilvl w:val="0"/>
          <w:numId w:val="34"/>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pPr>
        <w:pStyle w:val="78"/>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numPr>
          <w:ilvl w:val="0"/>
          <w:numId w:val="36"/>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8"/>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pPr>
        <w:pStyle w:val="78"/>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8"/>
        <w:keepNext w:val="0"/>
        <w:keepLines w:val="0"/>
        <w:widowControl w:val="0"/>
        <w:numPr>
          <w:ilvl w:val="0"/>
          <w:numId w:val="36"/>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pPr>
        <w:pStyle w:val="78"/>
        <w:keepNext w:val="0"/>
        <w:keepLines w:val="0"/>
        <w:widowControl w:val="0"/>
        <w:numPr>
          <w:ilvl w:val="0"/>
          <w:numId w:val="34"/>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40"/>
      <w:bookmarkEnd w:id="127"/>
      <w:r>
        <w:rPr>
          <w:rFonts w:hint="eastAsia" w:ascii="宋体" w:hAnsi="宋体" w:eastAsia="宋体" w:cs="宋体"/>
          <w:color w:val="auto"/>
          <w:spacing w:val="0"/>
          <w:w w:val="100"/>
          <w:position w:val="0"/>
          <w:sz w:val="21"/>
          <w:szCs w:val="21"/>
        </w:rPr>
        <w:t>1争议评审</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pPr>
        <w:pStyle w:val="78"/>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8" w:name="bookmark241"/>
      <w:bookmarkEnd w:id="128"/>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 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 xml:space="preserve"> 选定争议评审员的期限</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pPr>
        <w:pStyle w:val="78"/>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合同当事人关于本项的约定</w:t>
      </w:r>
      <w:r>
        <w:rPr>
          <w:rFonts w:hint="eastAsia" w:cs="宋体"/>
          <w:color w:val="auto"/>
          <w:spacing w:val="0"/>
          <w:w w:val="100"/>
          <w:position w:val="0"/>
          <w:sz w:val="21"/>
          <w:szCs w:val="21"/>
          <w:lang w:eastAsia="zh-CN"/>
        </w:rPr>
        <w:t>：</w:t>
      </w:r>
    </w:p>
    <w:p>
      <w:pPr>
        <w:pStyle w:val="78"/>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pPr>
        <w:pStyle w:val="78"/>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pPr>
        <w:pStyle w:val="78"/>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 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pPr>
        <w:pStyle w:val="78"/>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9"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 仲裁裁决是终局的，对双方均有约束力。</w:t>
      </w:r>
    </w:p>
    <w:p>
      <w:pPr>
        <w:pStyle w:val="78"/>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0" w:name="bookmark243"/>
      <w:r>
        <w:rPr>
          <w:rFonts w:hint="eastAsia" w:ascii="宋体" w:hAnsi="宋体" w:eastAsia="宋体" w:cs="宋体"/>
          <w:color w:val="auto"/>
          <w:spacing w:val="0"/>
          <w:w w:val="100"/>
          <w:position w:val="0"/>
          <w:sz w:val="21"/>
          <w:szCs w:val="21"/>
        </w:rPr>
        <w:t>（</w:t>
      </w:r>
      <w:bookmarkEnd w:id="130"/>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pPr>
        <w:pStyle w:val="17"/>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9"/>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1" w:name="bookmark236"/>
      <w:bookmarkEnd w:id="131"/>
      <w:bookmarkStart w:id="132" w:name="bookmark231"/>
      <w:bookmarkEnd w:id="132"/>
      <w:bookmarkStart w:id="133" w:name="bookmark239"/>
      <w:bookmarkEnd w:id="133"/>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2"/>
        <w:shd w:val="clear"/>
        <w:ind w:left="0" w:leftChars="0" w:firstLine="0" w:firstLineChars="0"/>
        <w:rPr>
          <w:color w:val="auto"/>
          <w:highlight w:val="none"/>
          <w:lang w:val="zh-CN"/>
        </w:rPr>
      </w:pPr>
    </w:p>
    <w:p>
      <w:pPr>
        <w:pStyle w:val="64"/>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175"/>
        <w:gridCol w:w="2991"/>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gridSpan w:val="2"/>
            <w:vAlign w:val="center"/>
          </w:tcPr>
          <w:p>
            <w:pPr>
              <w:pStyle w:val="17"/>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pPr>
              <w:jc w:val="center"/>
              <w:rPr>
                <w:color w:val="auto"/>
                <w:szCs w:val="21"/>
              </w:rPr>
            </w:pPr>
          </w:p>
        </w:tc>
        <w:tc>
          <w:tcPr>
            <w:tcW w:w="224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pPr>
              <w:jc w:val="center"/>
              <w:rPr>
                <w:color w:val="auto"/>
                <w:szCs w:val="21"/>
              </w:rPr>
            </w:pPr>
          </w:p>
        </w:tc>
        <w:tc>
          <w:tcPr>
            <w:tcW w:w="224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1175"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991"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731" w:type="dxa"/>
            <w:vAlign w:val="center"/>
          </w:tcPr>
          <w:p>
            <w:pPr>
              <w:pStyle w:val="17"/>
              <w:rPr>
                <w:color w:val="auto"/>
                <w:sz w:val="21"/>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4166"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bl>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7"/>
        <w:shd w:val="clear"/>
        <w:spacing w:line="360" w:lineRule="auto"/>
        <w:jc w:val="center"/>
        <w:rPr>
          <w:rFonts w:asciiTheme="majorEastAsia" w:hAnsiTheme="majorEastAsia" w:eastAsiaTheme="majorEastAsia"/>
          <w:b/>
          <w:snapToGrid w:val="0"/>
          <w:color w:val="auto"/>
          <w:kern w:val="0"/>
          <w:szCs w:val="24"/>
          <w:highlight w:val="none"/>
        </w:rPr>
      </w:pPr>
    </w:p>
    <w:p>
      <w:pPr>
        <w:pStyle w:val="17"/>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7"/>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4"/>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4"/>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7"/>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7"/>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rPr>
          <w:rFonts w:asciiTheme="minorEastAsia" w:hAnsiTheme="minorEastAsia" w:eastAsiaTheme="minorEastAsia"/>
          <w:color w:val="auto"/>
          <w:sz w:val="21"/>
          <w:szCs w:val="21"/>
          <w:highlight w:val="none"/>
        </w:rPr>
      </w:pPr>
    </w:p>
    <w:p>
      <w:pPr>
        <w:pStyle w:val="17"/>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pStyle w:val="32"/>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6"/>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firstLine="472" w:firstLineChars="225"/>
        <w:jc w:val="left"/>
        <w:rPr>
          <w:rFonts w:asciiTheme="minorEastAsia" w:hAnsiTheme="minorEastAsia"/>
          <w:color w:val="auto"/>
          <w:sz w:val="21"/>
          <w:szCs w:val="21"/>
          <w:highlight w:val="none"/>
        </w:rPr>
      </w:pP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6"/>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9"/>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8"/>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pStyle w:val="32"/>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 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 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color w:val="auto"/>
          <w:lang w:val="zh-CN"/>
        </w:rPr>
      </w:pPr>
    </w:p>
    <w:p>
      <w:pPr>
        <w:pStyle w:val="3"/>
        <w:shd w:val="clear"/>
        <w:rPr>
          <w:color w:val="auto"/>
          <w:highlight w:val="none"/>
          <w:lang w:val="zh-CN"/>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pStyle w:val="33"/>
        <w:shd w:val="clear"/>
        <w:rPr>
          <w:color w:val="auto"/>
          <w:highlight w:val="none"/>
          <w:lang w:val="zh-CN"/>
        </w:rPr>
      </w:pPr>
    </w:p>
    <w:p>
      <w:pPr>
        <w:pStyle w:val="34"/>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2"/>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2"/>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3"/>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3"/>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3"/>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3"/>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3"/>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3"/>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2"/>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pStyle w:val="5"/>
        <w:ind w:left="0" w:leftChars="0" w:firstLine="0" w:firstLineChars="0"/>
        <w:rPr>
          <w:rFonts w:hint="eastAsia"/>
          <w:lang w:val="en-US" w:eastAsia="zh-CN"/>
        </w:rPr>
      </w:pPr>
    </w:p>
    <w:p>
      <w:pPr>
        <w:pStyle w:val="2"/>
        <w:rPr>
          <w:rFonts w:hint="eastAsia"/>
          <w:color w:val="auto"/>
          <w:lang w:val="en-US" w:eastAsia="zh-CN"/>
        </w:rPr>
      </w:pPr>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4.6拟派项目班组成员（格式自拟）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pStyle w:val="32"/>
        <w:shd w:val="clear"/>
        <w:ind w:left="0" w:leftChars="0" w:firstLine="0" w:firstLineChars="0"/>
        <w:rPr>
          <w:color w:val="auto"/>
          <w:highlight w:val="none"/>
          <w:lang w:val="zh-CN"/>
        </w:rPr>
      </w:pPr>
      <w:bookmarkStart w:id="134" w:name="_GoBack"/>
      <w:bookmarkEnd w:id="134"/>
    </w:p>
    <w:p>
      <w:pPr>
        <w:pStyle w:val="32"/>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7"/>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7">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C7A7622"/>
    <w:multiLevelType w:val="singleLevel"/>
    <w:tmpl w:val="2C7A7622"/>
    <w:lvl w:ilvl="0" w:tentative="0">
      <w:start w:val="1"/>
      <w:numFmt w:val="chineseCounting"/>
      <w:suff w:val="space"/>
      <w:lvlText w:val="第%1章"/>
      <w:lvlJc w:val="left"/>
      <w:rPr>
        <w:rFonts w:hint="eastAsia"/>
      </w:rPr>
    </w:lvl>
  </w:abstractNum>
  <w:abstractNum w:abstractNumId="20">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59F817E8"/>
    <w:multiLevelType w:val="singleLevel"/>
    <w:tmpl w:val="59F817E8"/>
    <w:lvl w:ilvl="0" w:tentative="0">
      <w:start w:val="1"/>
      <w:numFmt w:val="chineseCounting"/>
      <w:pStyle w:val="64"/>
      <w:suff w:val="nothing"/>
      <w:lvlText w:val="%1、"/>
      <w:lvlJc w:val="left"/>
    </w:lvl>
  </w:abstractNum>
  <w:abstractNum w:abstractNumId="29">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nsid w:val="754E4703"/>
    <w:multiLevelType w:val="singleLevel"/>
    <w:tmpl w:val="754E4703"/>
    <w:lvl w:ilvl="0" w:tentative="0">
      <w:start w:val="1"/>
      <w:numFmt w:val="chineseCounting"/>
      <w:suff w:val="nothing"/>
      <w:lvlText w:val="%1、"/>
      <w:lvlJc w:val="left"/>
      <w:rPr>
        <w:rFonts w:hint="eastAsia"/>
      </w:rPr>
    </w:lvl>
  </w:abstractNum>
  <w:num w:numId="1">
    <w:abstractNumId w:val="8"/>
  </w:num>
  <w:num w:numId="2">
    <w:abstractNumId w:val="9"/>
  </w:num>
  <w:num w:numId="3">
    <w:abstractNumId w:val="28"/>
  </w:num>
  <w:num w:numId="4">
    <w:abstractNumId w:val="19"/>
  </w:num>
  <w:num w:numId="5">
    <w:abstractNumId w:val="35"/>
  </w:num>
  <w:num w:numId="6">
    <w:abstractNumId w:val="33"/>
  </w:num>
  <w:num w:numId="7">
    <w:abstractNumId w:val="10"/>
  </w:num>
  <w:num w:numId="8">
    <w:abstractNumId w:val="31"/>
  </w:num>
  <w:num w:numId="9">
    <w:abstractNumId w:val="32"/>
  </w:num>
  <w:num w:numId="10">
    <w:abstractNumId w:val="23"/>
  </w:num>
  <w:num w:numId="11">
    <w:abstractNumId w:val="18"/>
  </w:num>
  <w:num w:numId="12">
    <w:abstractNumId w:val="26"/>
  </w:num>
  <w:num w:numId="13">
    <w:abstractNumId w:val="0"/>
  </w:num>
  <w:num w:numId="14">
    <w:abstractNumId w:val="1"/>
  </w:num>
  <w:num w:numId="15">
    <w:abstractNumId w:val="29"/>
  </w:num>
  <w:num w:numId="16">
    <w:abstractNumId w:val="34"/>
  </w:num>
  <w:num w:numId="17">
    <w:abstractNumId w:val="27"/>
  </w:num>
  <w:num w:numId="18">
    <w:abstractNumId w:val="21"/>
  </w:num>
  <w:num w:numId="19">
    <w:abstractNumId w:val="30"/>
  </w:num>
  <w:num w:numId="20">
    <w:abstractNumId w:val="12"/>
  </w:num>
  <w:num w:numId="21">
    <w:abstractNumId w:val="13"/>
  </w:num>
  <w:num w:numId="22">
    <w:abstractNumId w:val="22"/>
  </w:num>
  <w:num w:numId="23">
    <w:abstractNumId w:val="16"/>
  </w:num>
  <w:num w:numId="24">
    <w:abstractNumId w:val="6"/>
  </w:num>
  <w:num w:numId="25">
    <w:abstractNumId w:val="17"/>
  </w:num>
  <w:num w:numId="26">
    <w:abstractNumId w:val="4"/>
  </w:num>
  <w:num w:numId="27">
    <w:abstractNumId w:val="25"/>
  </w:num>
  <w:num w:numId="28">
    <w:abstractNumId w:val="14"/>
  </w:num>
  <w:num w:numId="29">
    <w:abstractNumId w:val="2"/>
  </w:num>
  <w:num w:numId="30">
    <w:abstractNumId w:val="24"/>
  </w:num>
  <w:num w:numId="31">
    <w:abstractNumId w:val="3"/>
  </w:num>
  <w:num w:numId="32">
    <w:abstractNumId w:val="15"/>
  </w:num>
  <w:num w:numId="33">
    <w:abstractNumId w:val="5"/>
  </w:num>
  <w:num w:numId="34">
    <w:abstractNumId w:val="11"/>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47480bc3-2f23-474d-9fbc-484e52310968"/>
  </w:docVars>
  <w:rsids>
    <w:rsidRoot w:val="00A57CA4"/>
    <w:rsid w:val="00191199"/>
    <w:rsid w:val="00283685"/>
    <w:rsid w:val="0032527A"/>
    <w:rsid w:val="00374888"/>
    <w:rsid w:val="003D6AC5"/>
    <w:rsid w:val="00473ABB"/>
    <w:rsid w:val="00491FA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33E4BBF"/>
    <w:rsid w:val="037E6D6A"/>
    <w:rsid w:val="045B1092"/>
    <w:rsid w:val="04BB7EC7"/>
    <w:rsid w:val="05987807"/>
    <w:rsid w:val="065B7727"/>
    <w:rsid w:val="066418E1"/>
    <w:rsid w:val="06D55E6E"/>
    <w:rsid w:val="08393BA7"/>
    <w:rsid w:val="083B6D3D"/>
    <w:rsid w:val="08935C62"/>
    <w:rsid w:val="091E3D75"/>
    <w:rsid w:val="0AF71D29"/>
    <w:rsid w:val="0B2A5572"/>
    <w:rsid w:val="0B416FFB"/>
    <w:rsid w:val="0B4C51A5"/>
    <w:rsid w:val="0C6F3B6A"/>
    <w:rsid w:val="0D961154"/>
    <w:rsid w:val="0DA4660B"/>
    <w:rsid w:val="0DD24882"/>
    <w:rsid w:val="0E1C5AFD"/>
    <w:rsid w:val="0E317079"/>
    <w:rsid w:val="0EB75826"/>
    <w:rsid w:val="0F05765B"/>
    <w:rsid w:val="0FFF74D0"/>
    <w:rsid w:val="109B7D33"/>
    <w:rsid w:val="10AE4129"/>
    <w:rsid w:val="117C1AA0"/>
    <w:rsid w:val="1182454F"/>
    <w:rsid w:val="11C078AA"/>
    <w:rsid w:val="131A4D36"/>
    <w:rsid w:val="13233D76"/>
    <w:rsid w:val="1379754E"/>
    <w:rsid w:val="13EA5A86"/>
    <w:rsid w:val="14A430C2"/>
    <w:rsid w:val="1516608A"/>
    <w:rsid w:val="15694931"/>
    <w:rsid w:val="15AC6FF2"/>
    <w:rsid w:val="15C13983"/>
    <w:rsid w:val="162D27B7"/>
    <w:rsid w:val="170C17ED"/>
    <w:rsid w:val="175B58E8"/>
    <w:rsid w:val="18C02D78"/>
    <w:rsid w:val="192A37C4"/>
    <w:rsid w:val="1941040C"/>
    <w:rsid w:val="19A769EE"/>
    <w:rsid w:val="19FB308C"/>
    <w:rsid w:val="1A2C356C"/>
    <w:rsid w:val="1A646862"/>
    <w:rsid w:val="1A77487F"/>
    <w:rsid w:val="1AB844B7"/>
    <w:rsid w:val="1B336EF5"/>
    <w:rsid w:val="1B3C17AB"/>
    <w:rsid w:val="1BB84AA8"/>
    <w:rsid w:val="1BEF5B94"/>
    <w:rsid w:val="1C36515C"/>
    <w:rsid w:val="1D3D48A7"/>
    <w:rsid w:val="1D6F0793"/>
    <w:rsid w:val="1DDF10A6"/>
    <w:rsid w:val="1DE97560"/>
    <w:rsid w:val="1E8734E0"/>
    <w:rsid w:val="1EA731C1"/>
    <w:rsid w:val="1ED80607"/>
    <w:rsid w:val="1F4E25CE"/>
    <w:rsid w:val="1FAA4FD0"/>
    <w:rsid w:val="1FEB3581"/>
    <w:rsid w:val="200B3EBC"/>
    <w:rsid w:val="20EC630A"/>
    <w:rsid w:val="21E62252"/>
    <w:rsid w:val="22F00487"/>
    <w:rsid w:val="23736DCC"/>
    <w:rsid w:val="23D762F6"/>
    <w:rsid w:val="24255939"/>
    <w:rsid w:val="24C1456F"/>
    <w:rsid w:val="25036FC4"/>
    <w:rsid w:val="27167136"/>
    <w:rsid w:val="278608F2"/>
    <w:rsid w:val="27D03E77"/>
    <w:rsid w:val="284B2E0F"/>
    <w:rsid w:val="28986434"/>
    <w:rsid w:val="29296A11"/>
    <w:rsid w:val="29C25C3D"/>
    <w:rsid w:val="2A00446B"/>
    <w:rsid w:val="2AE24278"/>
    <w:rsid w:val="2B872D8F"/>
    <w:rsid w:val="2D1F7C66"/>
    <w:rsid w:val="2D6D6692"/>
    <w:rsid w:val="2E90270F"/>
    <w:rsid w:val="2ECC7429"/>
    <w:rsid w:val="2F486532"/>
    <w:rsid w:val="2F5E4089"/>
    <w:rsid w:val="2FD5578B"/>
    <w:rsid w:val="301E6646"/>
    <w:rsid w:val="310C50EA"/>
    <w:rsid w:val="31304599"/>
    <w:rsid w:val="3229169D"/>
    <w:rsid w:val="32807B59"/>
    <w:rsid w:val="32E45C0F"/>
    <w:rsid w:val="32F817CE"/>
    <w:rsid w:val="332F2CAD"/>
    <w:rsid w:val="333B59DD"/>
    <w:rsid w:val="33822C8E"/>
    <w:rsid w:val="33914702"/>
    <w:rsid w:val="345E036E"/>
    <w:rsid w:val="35FD3A62"/>
    <w:rsid w:val="37A531A4"/>
    <w:rsid w:val="382402F0"/>
    <w:rsid w:val="39102AA0"/>
    <w:rsid w:val="399B4366"/>
    <w:rsid w:val="3AD82AB0"/>
    <w:rsid w:val="3BBD1927"/>
    <w:rsid w:val="3BD5243D"/>
    <w:rsid w:val="3C0F6D5B"/>
    <w:rsid w:val="3C443376"/>
    <w:rsid w:val="3E0E7BD8"/>
    <w:rsid w:val="3EEA117C"/>
    <w:rsid w:val="3EF0564E"/>
    <w:rsid w:val="3F44662E"/>
    <w:rsid w:val="40520D87"/>
    <w:rsid w:val="405244A7"/>
    <w:rsid w:val="407349CF"/>
    <w:rsid w:val="40AE2CD8"/>
    <w:rsid w:val="40B05AAD"/>
    <w:rsid w:val="40D02864"/>
    <w:rsid w:val="42482ED2"/>
    <w:rsid w:val="42EA41FA"/>
    <w:rsid w:val="433336B5"/>
    <w:rsid w:val="43A833B4"/>
    <w:rsid w:val="43B20A5C"/>
    <w:rsid w:val="446948B9"/>
    <w:rsid w:val="44923CB7"/>
    <w:rsid w:val="44B74D3D"/>
    <w:rsid w:val="44E53716"/>
    <w:rsid w:val="45950CEA"/>
    <w:rsid w:val="45B6507E"/>
    <w:rsid w:val="46E61CD3"/>
    <w:rsid w:val="480C1846"/>
    <w:rsid w:val="4871195C"/>
    <w:rsid w:val="488B752C"/>
    <w:rsid w:val="48D93187"/>
    <w:rsid w:val="48DD2F81"/>
    <w:rsid w:val="49402FC0"/>
    <w:rsid w:val="4A430580"/>
    <w:rsid w:val="4A7D6231"/>
    <w:rsid w:val="4B3612A5"/>
    <w:rsid w:val="4BCD5A11"/>
    <w:rsid w:val="4C106FFF"/>
    <w:rsid w:val="4C58602B"/>
    <w:rsid w:val="4D0349F6"/>
    <w:rsid w:val="4D275349"/>
    <w:rsid w:val="4DA266A7"/>
    <w:rsid w:val="4DF46FDA"/>
    <w:rsid w:val="4E1C620B"/>
    <w:rsid w:val="4ED3511D"/>
    <w:rsid w:val="4F340E9A"/>
    <w:rsid w:val="500C0071"/>
    <w:rsid w:val="50D5753F"/>
    <w:rsid w:val="51254295"/>
    <w:rsid w:val="51611D81"/>
    <w:rsid w:val="52287B1A"/>
    <w:rsid w:val="52C60B43"/>
    <w:rsid w:val="52DB4C0C"/>
    <w:rsid w:val="53254EE5"/>
    <w:rsid w:val="535036A2"/>
    <w:rsid w:val="53B740A0"/>
    <w:rsid w:val="53F73ECA"/>
    <w:rsid w:val="54294154"/>
    <w:rsid w:val="5461663C"/>
    <w:rsid w:val="54D2203E"/>
    <w:rsid w:val="54E970C5"/>
    <w:rsid w:val="555927B5"/>
    <w:rsid w:val="558833E1"/>
    <w:rsid w:val="55CC12D5"/>
    <w:rsid w:val="55E0043E"/>
    <w:rsid w:val="56460406"/>
    <w:rsid w:val="572B451F"/>
    <w:rsid w:val="57594A51"/>
    <w:rsid w:val="579D4F00"/>
    <w:rsid w:val="57AF0E9E"/>
    <w:rsid w:val="587F280E"/>
    <w:rsid w:val="58E62BC3"/>
    <w:rsid w:val="59AE24E7"/>
    <w:rsid w:val="59DD731B"/>
    <w:rsid w:val="5A3C696A"/>
    <w:rsid w:val="5AD15B34"/>
    <w:rsid w:val="5B162D7D"/>
    <w:rsid w:val="5B532E32"/>
    <w:rsid w:val="5BDF1604"/>
    <w:rsid w:val="5C7B0D56"/>
    <w:rsid w:val="5C861130"/>
    <w:rsid w:val="5C9F6BCD"/>
    <w:rsid w:val="5CA47F1B"/>
    <w:rsid w:val="5CF36FF6"/>
    <w:rsid w:val="5D2F321C"/>
    <w:rsid w:val="5DE856F2"/>
    <w:rsid w:val="5DFF7508"/>
    <w:rsid w:val="5E0E2A89"/>
    <w:rsid w:val="5E376F7A"/>
    <w:rsid w:val="5E4341C8"/>
    <w:rsid w:val="5E6829AE"/>
    <w:rsid w:val="5ED115B9"/>
    <w:rsid w:val="5F785962"/>
    <w:rsid w:val="5FD41CEA"/>
    <w:rsid w:val="60F11A9E"/>
    <w:rsid w:val="614222FA"/>
    <w:rsid w:val="62645721"/>
    <w:rsid w:val="628430EB"/>
    <w:rsid w:val="62CE0B28"/>
    <w:rsid w:val="630C7063"/>
    <w:rsid w:val="63676257"/>
    <w:rsid w:val="6388560B"/>
    <w:rsid w:val="63C4349A"/>
    <w:rsid w:val="6416019A"/>
    <w:rsid w:val="64D67929"/>
    <w:rsid w:val="655036E2"/>
    <w:rsid w:val="65547A1D"/>
    <w:rsid w:val="6559752E"/>
    <w:rsid w:val="658A7FC2"/>
    <w:rsid w:val="66BF5C89"/>
    <w:rsid w:val="66F53DAB"/>
    <w:rsid w:val="67391959"/>
    <w:rsid w:val="67BA514F"/>
    <w:rsid w:val="68215896"/>
    <w:rsid w:val="68261278"/>
    <w:rsid w:val="699268E2"/>
    <w:rsid w:val="6A13578D"/>
    <w:rsid w:val="6A3002DC"/>
    <w:rsid w:val="6A6255CE"/>
    <w:rsid w:val="6AD5363F"/>
    <w:rsid w:val="6B21102D"/>
    <w:rsid w:val="6B2314FC"/>
    <w:rsid w:val="6B4942B9"/>
    <w:rsid w:val="6BBB5183"/>
    <w:rsid w:val="6C6E48EB"/>
    <w:rsid w:val="6CE757D2"/>
    <w:rsid w:val="6D535FC6"/>
    <w:rsid w:val="6D6F1D19"/>
    <w:rsid w:val="6DA06F88"/>
    <w:rsid w:val="6E3E62A8"/>
    <w:rsid w:val="6EAA1FFD"/>
    <w:rsid w:val="714257AE"/>
    <w:rsid w:val="733F2D51"/>
    <w:rsid w:val="73666701"/>
    <w:rsid w:val="7480258F"/>
    <w:rsid w:val="75F763EB"/>
    <w:rsid w:val="76465ABE"/>
    <w:rsid w:val="76CC0643"/>
    <w:rsid w:val="773226E3"/>
    <w:rsid w:val="778D3F3B"/>
    <w:rsid w:val="77C22CFD"/>
    <w:rsid w:val="77CD76B1"/>
    <w:rsid w:val="781676C5"/>
    <w:rsid w:val="7870676D"/>
    <w:rsid w:val="78A3591C"/>
    <w:rsid w:val="795E72F1"/>
    <w:rsid w:val="7A441532"/>
    <w:rsid w:val="7A8F5D28"/>
    <w:rsid w:val="7AD30342"/>
    <w:rsid w:val="7ADC2AE9"/>
    <w:rsid w:val="7AEE00A7"/>
    <w:rsid w:val="7AF4138B"/>
    <w:rsid w:val="7B0519FE"/>
    <w:rsid w:val="7B5C1871"/>
    <w:rsid w:val="7BA767DA"/>
    <w:rsid w:val="7BC645D3"/>
    <w:rsid w:val="7CB225D2"/>
    <w:rsid w:val="7CE06DD8"/>
    <w:rsid w:val="7D1714C6"/>
    <w:rsid w:val="7D303040"/>
    <w:rsid w:val="7D405219"/>
    <w:rsid w:val="7D44037C"/>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List Paragraph1"/>
    <w:basedOn w:val="1"/>
    <w:next w:val="1"/>
    <w:qFormat/>
    <w:uiPriority w:val="0"/>
    <w:pPr>
      <w:ind w:firstLine="420" w:firstLineChars="200"/>
    </w:pPr>
    <w:rPr>
      <w:rFonts w:ascii="Calibri" w:hAnsi="Calibri" w:cs="宋体"/>
    </w:rPr>
  </w:style>
  <w:style w:type="paragraph" w:customStyle="1" w:styleId="32">
    <w:name w:val="列出段落1"/>
    <w:basedOn w:val="1"/>
    <w:qFormat/>
    <w:uiPriority w:val="34"/>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5">
    <w:name w:val="标题 1 Char"/>
    <w:basedOn w:val="26"/>
    <w:link w:val="8"/>
    <w:qFormat/>
    <w:uiPriority w:val="0"/>
    <w:rPr>
      <w:rFonts w:ascii="Calibri" w:hAnsi="Calibri" w:eastAsia="宋体" w:cs="Times New Roman"/>
      <w:b/>
      <w:bCs/>
      <w:kern w:val="44"/>
      <w:sz w:val="44"/>
      <w:szCs w:val="44"/>
    </w:rPr>
  </w:style>
  <w:style w:type="character" w:customStyle="1" w:styleId="36">
    <w:name w:val="标题 2 Char"/>
    <w:basedOn w:val="26"/>
    <w:link w:val="9"/>
    <w:qFormat/>
    <w:uiPriority w:val="0"/>
    <w:rPr>
      <w:rFonts w:ascii="Arial" w:hAnsi="Arial" w:eastAsia="黑体" w:cs="Times New Roman"/>
      <w:b/>
      <w:bCs/>
      <w:kern w:val="0"/>
      <w:sz w:val="32"/>
      <w:szCs w:val="32"/>
    </w:rPr>
  </w:style>
  <w:style w:type="character" w:customStyle="1" w:styleId="37">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8">
    <w:name w:val="标题 4 Char"/>
    <w:basedOn w:val="26"/>
    <w:link w:val="11"/>
    <w:qFormat/>
    <w:uiPriority w:val="0"/>
    <w:rPr>
      <w:rFonts w:ascii="Arial" w:hAnsi="Arial" w:eastAsia="黑体" w:cs="Times New Roman"/>
      <w:b/>
      <w:bCs/>
      <w:kern w:val="0"/>
      <w:sz w:val="28"/>
      <w:szCs w:val="28"/>
    </w:rPr>
  </w:style>
  <w:style w:type="character" w:customStyle="1" w:styleId="39">
    <w:name w:val="页眉 Char"/>
    <w:basedOn w:val="26"/>
    <w:link w:val="21"/>
    <w:qFormat/>
    <w:uiPriority w:val="99"/>
    <w:rPr>
      <w:sz w:val="18"/>
      <w:szCs w:val="18"/>
    </w:rPr>
  </w:style>
  <w:style w:type="character" w:customStyle="1" w:styleId="40">
    <w:name w:val="页脚 Char"/>
    <w:basedOn w:val="26"/>
    <w:link w:val="20"/>
    <w:qFormat/>
    <w:uiPriority w:val="99"/>
    <w:rPr>
      <w:sz w:val="18"/>
      <w:szCs w:val="18"/>
    </w:rPr>
  </w:style>
  <w:style w:type="character" w:customStyle="1" w:styleId="41">
    <w:name w:val="正文文本 3 Char"/>
    <w:basedOn w:val="26"/>
    <w:link w:val="14"/>
    <w:qFormat/>
    <w:uiPriority w:val="0"/>
    <w:rPr>
      <w:rFonts w:ascii="Times New Roman" w:hAnsi="Times New Roman" w:eastAsia="宋体" w:cs="Times New Roman"/>
      <w:color w:val="FF0000"/>
      <w:sz w:val="24"/>
      <w:szCs w:val="24"/>
    </w:rPr>
  </w:style>
  <w:style w:type="character" w:customStyle="1" w:styleId="42">
    <w:name w:val="正文文本 Char"/>
    <w:basedOn w:val="26"/>
    <w:link w:val="3"/>
    <w:qFormat/>
    <w:uiPriority w:val="99"/>
  </w:style>
  <w:style w:type="character" w:customStyle="1" w:styleId="43">
    <w:name w:val="正文文本缩进 Char1"/>
    <w:basedOn w:val="26"/>
    <w:link w:val="6"/>
    <w:qFormat/>
    <w:uiPriority w:val="0"/>
    <w:rPr>
      <w:kern w:val="0"/>
      <w:sz w:val="24"/>
      <w:szCs w:val="20"/>
    </w:rPr>
  </w:style>
  <w:style w:type="character" w:customStyle="1" w:styleId="44">
    <w:name w:val="正文文本缩进 Char"/>
    <w:basedOn w:val="26"/>
    <w:link w:val="6"/>
    <w:qFormat/>
    <w:uiPriority w:val="0"/>
  </w:style>
  <w:style w:type="character" w:customStyle="1" w:styleId="45">
    <w:name w:val="纯文本 Char"/>
    <w:basedOn w:val="26"/>
    <w:link w:val="17"/>
    <w:qFormat/>
    <w:uiPriority w:val="0"/>
    <w:rPr>
      <w:rFonts w:eastAsia="宋体"/>
      <w:sz w:val="24"/>
    </w:rPr>
  </w:style>
  <w:style w:type="character" w:customStyle="1" w:styleId="46">
    <w:name w:val="日期 Char"/>
    <w:basedOn w:val="26"/>
    <w:link w:val="18"/>
    <w:qFormat/>
    <w:uiPriority w:val="99"/>
  </w:style>
  <w:style w:type="character" w:customStyle="1" w:styleId="47">
    <w:name w:val="批注框文本 Char1"/>
    <w:basedOn w:val="26"/>
    <w:link w:val="19"/>
    <w:semiHidden/>
    <w:qFormat/>
    <w:uiPriority w:val="99"/>
    <w:rPr>
      <w:sz w:val="18"/>
      <w:szCs w:val="18"/>
    </w:rPr>
  </w:style>
  <w:style w:type="character" w:customStyle="1" w:styleId="48">
    <w:name w:val="批注框文本 Char"/>
    <w:basedOn w:val="26"/>
    <w:link w:val="19"/>
    <w:semiHidden/>
    <w:qFormat/>
    <w:uiPriority w:val="99"/>
    <w:rPr>
      <w:sz w:val="18"/>
      <w:szCs w:val="18"/>
    </w:rPr>
  </w:style>
  <w:style w:type="character" w:customStyle="1" w:styleId="49">
    <w:name w:val="HTML 预设格式 Char1"/>
    <w:basedOn w:val="26"/>
    <w:link w:val="23"/>
    <w:semiHidden/>
    <w:qFormat/>
    <w:uiPriority w:val="99"/>
    <w:rPr>
      <w:rFonts w:ascii="宋体" w:hAnsi="宋体" w:eastAsia="宋体" w:cs="宋体"/>
      <w:kern w:val="0"/>
      <w:sz w:val="24"/>
      <w:szCs w:val="24"/>
    </w:rPr>
  </w:style>
  <w:style w:type="character" w:customStyle="1" w:styleId="50">
    <w:name w:val="HTML 预设格式 Char"/>
    <w:basedOn w:val="26"/>
    <w:link w:val="23"/>
    <w:semiHidden/>
    <w:qFormat/>
    <w:uiPriority w:val="99"/>
    <w:rPr>
      <w:rFonts w:ascii="Courier New" w:hAnsi="Courier New" w:cs="Courier New"/>
      <w:sz w:val="20"/>
      <w:szCs w:val="20"/>
    </w:rPr>
  </w:style>
  <w:style w:type="character" w:customStyle="1" w:styleId="51">
    <w:name w:val="正文首行缩进 Char"/>
    <w:basedOn w:val="42"/>
    <w:link w:val="2"/>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6"/>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6"/>
    <w:qFormat/>
    <w:uiPriority w:val="0"/>
  </w:style>
  <w:style w:type="character" w:customStyle="1" w:styleId="66">
    <w:name w:val="active"/>
    <w:basedOn w:val="26"/>
    <w:qFormat/>
    <w:uiPriority w:val="0"/>
    <w:rPr>
      <w:color w:val="FFFFFF"/>
      <w:shd w:val="clear" w:fill="2B7AFC"/>
    </w:rPr>
  </w:style>
  <w:style w:type="character" w:customStyle="1" w:styleId="67">
    <w:name w:val="red"/>
    <w:basedOn w:val="26"/>
    <w:qFormat/>
    <w:uiPriority w:val="0"/>
    <w:rPr>
      <w:color w:val="FF0000"/>
      <w:sz w:val="18"/>
      <w:szCs w:val="18"/>
    </w:rPr>
  </w:style>
  <w:style w:type="character" w:customStyle="1" w:styleId="68">
    <w:name w:val="red1"/>
    <w:basedOn w:val="26"/>
    <w:qFormat/>
    <w:uiPriority w:val="0"/>
    <w:rPr>
      <w:color w:val="FF0000"/>
      <w:sz w:val="18"/>
      <w:szCs w:val="18"/>
    </w:rPr>
  </w:style>
  <w:style w:type="character" w:customStyle="1" w:styleId="69">
    <w:name w:val="red2"/>
    <w:basedOn w:val="26"/>
    <w:qFormat/>
    <w:uiPriority w:val="0"/>
    <w:rPr>
      <w:color w:val="CC0000"/>
    </w:rPr>
  </w:style>
  <w:style w:type="character" w:customStyle="1" w:styleId="70">
    <w:name w:val="red3"/>
    <w:basedOn w:val="26"/>
    <w:qFormat/>
    <w:uiPriority w:val="0"/>
    <w:rPr>
      <w:color w:val="FF0000"/>
    </w:rPr>
  </w:style>
  <w:style w:type="character" w:customStyle="1" w:styleId="71">
    <w:name w:val="green"/>
    <w:basedOn w:val="26"/>
    <w:qFormat/>
    <w:uiPriority w:val="0"/>
    <w:rPr>
      <w:color w:val="66AE00"/>
      <w:sz w:val="18"/>
      <w:szCs w:val="18"/>
    </w:rPr>
  </w:style>
  <w:style w:type="character" w:customStyle="1" w:styleId="72">
    <w:name w:val="green1"/>
    <w:basedOn w:val="26"/>
    <w:qFormat/>
    <w:uiPriority w:val="0"/>
    <w:rPr>
      <w:color w:val="66AE00"/>
      <w:sz w:val="18"/>
      <w:szCs w:val="18"/>
    </w:rPr>
  </w:style>
  <w:style w:type="character" w:customStyle="1" w:styleId="73">
    <w:name w:val="gb-jt"/>
    <w:basedOn w:val="26"/>
    <w:qFormat/>
    <w:uiPriority w:val="0"/>
  </w:style>
  <w:style w:type="character" w:customStyle="1" w:styleId="74">
    <w:name w:val="blue"/>
    <w:basedOn w:val="26"/>
    <w:qFormat/>
    <w:uiPriority w:val="0"/>
    <w:rPr>
      <w:color w:val="0371C6"/>
      <w:sz w:val="21"/>
      <w:szCs w:val="21"/>
    </w:rPr>
  </w:style>
  <w:style w:type="character" w:customStyle="1" w:styleId="75">
    <w:name w:val="right"/>
    <w:basedOn w:val="26"/>
    <w:qFormat/>
    <w:uiPriority w:val="0"/>
    <w:rPr>
      <w:color w:val="999999"/>
      <w:sz w:val="18"/>
      <w:szCs w:val="18"/>
    </w:rPr>
  </w:style>
  <w:style w:type="character" w:customStyle="1" w:styleId="76">
    <w:name w:val="active4"/>
    <w:basedOn w:val="26"/>
    <w:qFormat/>
    <w:uiPriority w:val="0"/>
    <w:rPr>
      <w:color w:val="FFFFFF"/>
      <w:shd w:val="clear" w:fill="2B7AFC"/>
    </w:rPr>
  </w:style>
  <w:style w:type="paragraph" w:customStyle="1" w:styleId="77">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8">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79">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1">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2">
    <w:name w:val="Header or footer|1"/>
    <w:basedOn w:val="1"/>
    <w:qFormat/>
    <w:uiPriority w:val="0"/>
    <w:pPr>
      <w:widowControl w:val="0"/>
      <w:shd w:val="clear" w:color="auto" w:fill="auto"/>
    </w:pPr>
    <w:rPr>
      <w:sz w:val="17"/>
      <w:szCs w:val="17"/>
      <w:u w:val="none"/>
      <w:shd w:val="clear" w:color="auto" w:fill="auto"/>
    </w:rPr>
  </w:style>
  <w:style w:type="character" w:customStyle="1" w:styleId="83">
    <w:name w:val="hover17"/>
    <w:basedOn w:val="26"/>
    <w:qFormat/>
    <w:uiPriority w:val="0"/>
  </w:style>
  <w:style w:type="character" w:customStyle="1" w:styleId="84">
    <w:name w:val="hover18"/>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35517</Words>
  <Characters>37886</Characters>
  <Lines>229</Lines>
  <Paragraphs>64</Paragraphs>
  <TotalTime>1</TotalTime>
  <ScaleCrop>false</ScaleCrop>
  <LinksUpToDate>false</LinksUpToDate>
  <CharactersWithSpaces>39482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2024-05-27T04:50:00Z</cp:lastPrinted>
  <dcterms:modified xsi:type="dcterms:W3CDTF">2024-05-28T00:44:29Z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BF7D469CE3A944469DB8331686C00684_13</vt:lpwstr>
  </property>
</Properties>
</file>