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0" w:firstLineChars="0"/>
        <w:jc w:val="center"/>
        <w:rPr>
          <w:rFonts w:hint="eastAsia" w:eastAsia="宋体"/>
          <w:b/>
          <w:sz w:val="44"/>
          <w:szCs w:val="44"/>
          <w:lang w:eastAsia="zh-CN"/>
        </w:rPr>
      </w:pPr>
      <w:r>
        <w:rPr>
          <w:rFonts w:hint="eastAsia"/>
          <w:b/>
          <w:sz w:val="44"/>
          <w:szCs w:val="44"/>
          <w:shd w:val="clear" w:color="auto" w:fill="FFFFFF"/>
        </w:rPr>
        <w:drawing>
          <wp:inline distT="0" distB="0" distL="114300" distR="114300">
            <wp:extent cx="5272405" cy="7071360"/>
            <wp:effectExtent l="0" t="0" r="635" b="0"/>
            <wp:docPr id="1" name="图片 1" descr="382aec3b07785846b0afe04b63b4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2aec3b07785846b0afe04b63b45d0"/>
                    <pic:cNvPicPr>
                      <a:picLocks noChangeAspect="1"/>
                    </pic:cNvPicPr>
                  </pic:nvPicPr>
                  <pic:blipFill>
                    <a:blip r:embed="rId7"/>
                    <a:stretch>
                      <a:fillRect/>
                    </a:stretch>
                  </pic:blipFill>
                  <pic:spPr>
                    <a:xfrm>
                      <a:off x="0" y="0"/>
                      <a:ext cx="5272405" cy="7071360"/>
                    </a:xfrm>
                    <a:prstGeom prst="rect">
                      <a:avLst/>
                    </a:prstGeom>
                  </pic:spPr>
                </pic:pic>
              </a:graphicData>
            </a:graphic>
          </wp:inline>
        </w:drawing>
      </w:r>
      <w:r>
        <w:rPr>
          <w:rFonts w:hint="eastAsia"/>
          <w:b/>
          <w:sz w:val="44"/>
          <w:szCs w:val="44"/>
          <w:shd w:val="clear" w:color="auto" w:fill="FFFFFF"/>
        </w:rPr>
        <w:br w:type="page"/>
      </w:r>
      <w:r>
        <w:rPr>
          <w:rFonts w:hint="eastAsia"/>
          <w:b/>
          <w:sz w:val="44"/>
          <w:szCs w:val="44"/>
          <w:shd w:val="clear" w:color="auto" w:fill="FFFFFF"/>
        </w:rPr>
        <w:t>长葛市商务局县域商业体系建设项目</w:t>
      </w:r>
      <w:r>
        <w:rPr>
          <w:rFonts w:hint="eastAsia"/>
          <w:b/>
          <w:sz w:val="44"/>
          <w:szCs w:val="44"/>
          <w:shd w:val="clear" w:color="auto" w:fill="FFFFFF"/>
        </w:rPr>
        <w:tab/>
      </w:r>
      <w:r>
        <w:rPr>
          <w:b/>
          <w:sz w:val="44"/>
          <w:szCs w:val="44"/>
          <w:shd w:val="clear" w:color="auto" w:fill="FFFFFF"/>
        </w:rPr>
        <w:t>（不见面开标）</w:t>
      </w:r>
      <w:r>
        <w:rPr>
          <w:rFonts w:hint="eastAsia"/>
          <w:b/>
          <w:sz w:val="44"/>
          <w:szCs w:val="44"/>
          <w:shd w:val="clear" w:color="auto" w:fill="FFFFFF"/>
          <w:lang w:eastAsia="zh-CN"/>
        </w:rPr>
        <w:t>二次</w:t>
      </w:r>
    </w:p>
    <w:p/>
    <w:p>
      <w:pPr>
        <w:adjustRightInd w:val="0"/>
        <w:snapToGrid w:val="0"/>
        <w:spacing w:line="273" w:lineRule="auto"/>
        <w:jc w:val="center"/>
        <w:rPr>
          <w:rFonts w:ascii="宋体" w:hAnsi="宋体"/>
          <w:b/>
          <w:sz w:val="72"/>
          <w:szCs w:val="72"/>
        </w:rPr>
      </w:pPr>
    </w:p>
    <w:p>
      <w:pPr>
        <w:pStyle w:val="5"/>
        <w:rPr>
          <w:rFonts w:ascii="宋体" w:hAnsi="宋体"/>
          <w:b/>
          <w:sz w:val="72"/>
          <w:szCs w:val="72"/>
        </w:rPr>
      </w:pPr>
    </w:p>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5"/>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采购编号：长招采公字【2024】012号</w:t>
      </w: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采 购 人：长葛市商务局</w:t>
      </w: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代理机构：河南青蓝工程咨询有限公司</w:t>
      </w:r>
    </w:p>
    <w:p>
      <w:pPr>
        <w:adjustRightInd w:val="0"/>
        <w:snapToGrid w:val="0"/>
        <w:spacing w:line="360" w:lineRule="auto"/>
        <w:ind w:firstLine="708" w:firstLineChars="196"/>
        <w:rPr>
          <w:rFonts w:hAnsi="宋体" w:cs="新宋体"/>
          <w:b/>
          <w:sz w:val="36"/>
          <w:szCs w:val="32"/>
        </w:rPr>
      </w:pP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二〇二四年七月</w:t>
      </w:r>
    </w:p>
    <w:p>
      <w:pPr>
        <w:autoSpaceDE w:val="0"/>
        <w:autoSpaceDN w:val="0"/>
        <w:adjustRightInd w:val="0"/>
        <w:spacing w:line="700" w:lineRule="exact"/>
        <w:jc w:val="center"/>
        <w:rPr>
          <w:rFonts w:ascii="宋体" w:hAnsi="宋体"/>
          <w:b/>
          <w:bCs/>
          <w:sz w:val="44"/>
          <w:szCs w:val="44"/>
        </w:rPr>
      </w:pPr>
      <w:r>
        <w:rPr>
          <w:rFonts w:ascii="宋体" w:hAnsi="宋体"/>
          <w:b/>
          <w:bCs/>
          <w:sz w:val="44"/>
          <w:szCs w:val="44"/>
        </w:rPr>
        <w:br w:type="page"/>
      </w: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17"/>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hint="eastAsia" w:ascii="宋体" w:hAnsi="宋体" w:eastAsia="宋体"/>
          <w:b/>
          <w:bCs/>
          <w:kern w:val="0"/>
          <w:sz w:val="32"/>
          <w:szCs w:val="32"/>
          <w:lang w:eastAsia="zh-CN"/>
        </w:rPr>
      </w:pPr>
      <w:r>
        <w:rPr>
          <w:rFonts w:hint="eastAsia" w:ascii="宋体" w:hAnsi="宋体"/>
          <w:b/>
          <w:bCs/>
          <w:kern w:val="0"/>
          <w:sz w:val="32"/>
          <w:szCs w:val="32"/>
        </w:rPr>
        <w:t>长葛市商务局县域商业体系建设项目（不见面开标）</w:t>
      </w:r>
      <w:r>
        <w:rPr>
          <w:rFonts w:hint="eastAsia" w:ascii="宋体" w:hAnsi="宋体"/>
          <w:b/>
          <w:bCs/>
          <w:kern w:val="0"/>
          <w:sz w:val="32"/>
          <w:szCs w:val="32"/>
          <w:lang w:eastAsia="zh-CN"/>
        </w:rPr>
        <w:t>二次</w:t>
      </w:r>
    </w:p>
    <w:p>
      <w:pPr>
        <w:spacing w:line="500" w:lineRule="exact"/>
        <w:jc w:val="center"/>
        <w:rPr>
          <w:rFonts w:ascii="宋体" w:hAnsi="宋体"/>
          <w:b/>
          <w:bCs/>
          <w:kern w:val="0"/>
          <w:sz w:val="32"/>
          <w:szCs w:val="32"/>
        </w:rPr>
      </w:pP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rPr>
        <w:t>河南青蓝工程咨询有限公司受长葛市商务局的委托，就长葛市商务局县域商业体系建设项目进行公开招标，欢迎合格的供应商参加。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360" w:lineRule="auto"/>
        <w:ind w:firstLine="480" w:firstLineChars="200"/>
        <w:contextualSpacing/>
        <w:jc w:val="left"/>
        <w:rPr>
          <w:rFonts w:hint="eastAsia" w:ascii="宋体" w:hAnsi="宋体" w:eastAsia="宋体"/>
          <w:kern w:val="0"/>
          <w:sz w:val="24"/>
          <w:szCs w:val="24"/>
          <w:lang w:eastAsia="zh-CN"/>
        </w:rPr>
      </w:pPr>
      <w:r>
        <w:rPr>
          <w:rFonts w:hint="eastAsia" w:ascii="宋体" w:hAnsi="宋体"/>
          <w:kern w:val="0"/>
          <w:sz w:val="24"/>
          <w:szCs w:val="24"/>
        </w:rPr>
        <w:t>1.1项目名称：长葛市商务局县域商业体系建设项目</w:t>
      </w:r>
      <w:r>
        <w:rPr>
          <w:rFonts w:hint="eastAsia" w:ascii="宋体" w:hAnsi="宋体"/>
          <w:bCs/>
          <w:kern w:val="0"/>
          <w:sz w:val="24"/>
          <w:szCs w:val="24"/>
        </w:rPr>
        <w:t>（不见面开标）</w:t>
      </w:r>
      <w:r>
        <w:rPr>
          <w:rFonts w:hint="eastAsia" w:ascii="宋体" w:hAnsi="宋体"/>
          <w:bCs/>
          <w:kern w:val="0"/>
          <w:sz w:val="24"/>
          <w:szCs w:val="24"/>
          <w:lang w:eastAsia="zh-CN"/>
        </w:rPr>
        <w:t>二次</w:t>
      </w:r>
    </w:p>
    <w:p>
      <w:pPr>
        <w:spacing w:line="360" w:lineRule="auto"/>
        <w:ind w:firstLine="480" w:firstLineChars="200"/>
        <w:contextualSpacing/>
        <w:jc w:val="left"/>
        <w:rPr>
          <w:rFonts w:ascii="宋体" w:hAnsi="宋体"/>
          <w:color w:val="FF0000"/>
          <w:kern w:val="0"/>
          <w:sz w:val="24"/>
          <w:szCs w:val="24"/>
        </w:rPr>
      </w:pPr>
      <w:r>
        <w:rPr>
          <w:rFonts w:hint="eastAsia" w:ascii="宋体" w:hAnsi="宋体"/>
          <w:kern w:val="0"/>
          <w:sz w:val="24"/>
          <w:szCs w:val="24"/>
        </w:rPr>
        <w:t>1.2项目编号：长招采公字【2024】012号</w:t>
      </w:r>
    </w:p>
    <w:p>
      <w:pPr>
        <w:spacing w:line="360" w:lineRule="auto"/>
        <w:ind w:firstLine="480" w:firstLineChars="200"/>
        <w:contextualSpacing/>
        <w:jc w:val="left"/>
        <w:rPr>
          <w:rFonts w:ascii="宋体" w:hAnsi="宋体"/>
          <w:bCs/>
          <w:color w:val="FF0000"/>
          <w:kern w:val="0"/>
          <w:sz w:val="28"/>
          <w:szCs w:val="24"/>
        </w:rPr>
      </w:pPr>
      <w:r>
        <w:rPr>
          <w:rFonts w:hint="eastAsia" w:ascii="宋体" w:hAnsi="宋体"/>
          <w:kern w:val="0"/>
          <w:sz w:val="24"/>
          <w:szCs w:val="24"/>
        </w:rPr>
        <w:t>1.3项目内容：升级改造6个镇级商贸中心，打造农产品全供应链基地，集散基地、商品化深加工基地等。具体详见招标文件第二章采购需求。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w:t>
      </w:r>
      <w:r>
        <w:rPr>
          <w:rFonts w:hint="eastAsia" w:ascii="新宋体" w:hAnsi="新宋体" w:eastAsia="新宋体"/>
          <w:bCs/>
          <w:kern w:val="0"/>
          <w:sz w:val="24"/>
          <w:szCs w:val="24"/>
        </w:rPr>
        <w:t>采购预算（最高限价）：405万元。</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hint="eastAsia" w:ascii="宋体" w:hAnsi="宋体"/>
          <w:color w:val="0000FF"/>
          <w:kern w:val="0"/>
          <w:sz w:val="24"/>
          <w:szCs w:val="24"/>
        </w:rPr>
        <w:t>.</w:t>
      </w:r>
      <w:r>
        <w:rPr>
          <w:rFonts w:hint="eastAsia" w:ascii="宋体" w:hAnsi="宋体"/>
          <w:kern w:val="0"/>
          <w:sz w:val="24"/>
          <w:szCs w:val="24"/>
        </w:rPr>
        <w:t>6</w:t>
      </w:r>
      <w:r>
        <w:rPr>
          <w:rFonts w:ascii="宋体" w:hAnsi="宋体"/>
          <w:kern w:val="0"/>
          <w:sz w:val="24"/>
          <w:szCs w:val="24"/>
        </w:rPr>
        <w:t>交付 (服务、完工) 时间：</w:t>
      </w:r>
      <w:r>
        <w:rPr>
          <w:rFonts w:hint="eastAsia" w:ascii="宋体" w:hAnsi="宋体"/>
          <w:kern w:val="0"/>
          <w:sz w:val="24"/>
          <w:szCs w:val="24"/>
        </w:rPr>
        <w:t>自合同签订之日起90天完成</w:t>
      </w:r>
      <w:r>
        <w:rPr>
          <w:rFonts w:ascii="宋体" w:hAnsi="宋体"/>
          <w:kern w:val="0"/>
          <w:sz w:val="24"/>
          <w:szCs w:val="24"/>
        </w:rPr>
        <w:t>。</w:t>
      </w:r>
    </w:p>
    <w:p>
      <w:pPr>
        <w:spacing w:line="500" w:lineRule="exact"/>
        <w:ind w:firstLine="540" w:firstLineChars="225"/>
        <w:rPr>
          <w:rFonts w:ascii="宋体" w:hAnsi="宋体"/>
          <w:kern w:val="0"/>
          <w:sz w:val="24"/>
          <w:szCs w:val="24"/>
        </w:rPr>
      </w:pPr>
      <w:r>
        <w:rPr>
          <w:rFonts w:hint="eastAsia" w:ascii="宋体" w:hAnsi="宋体"/>
          <w:kern w:val="0"/>
          <w:sz w:val="24"/>
          <w:szCs w:val="24"/>
        </w:rPr>
        <w:t>1.7交付（服务、完工）地点：采购人指定。</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8资金来源：财政资金</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三、申请人资格要求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480" w:lineRule="exact"/>
        <w:ind w:firstLine="480" w:firstLineChars="200"/>
        <w:rPr>
          <w:rFonts w:ascii="宋体" w:hAnsi="宋体"/>
          <w:sz w:val="24"/>
          <w:szCs w:val="28"/>
        </w:rPr>
      </w:pPr>
      <w:r>
        <w:rPr>
          <w:rFonts w:hint="eastAsia" w:ascii="宋体" w:hAnsi="宋体"/>
          <w:sz w:val="24"/>
          <w:szCs w:val="28"/>
        </w:rPr>
        <w:t>3.2</w:t>
      </w:r>
      <w:r>
        <w:rPr>
          <w:rFonts w:hint="eastAsia" w:ascii="宋体" w:hAnsi="宋体"/>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480" w:lineRule="exact"/>
        <w:ind w:firstLine="482" w:firstLineChars="200"/>
        <w:rPr>
          <w:rFonts w:ascii="宋体" w:hAnsi="宋体"/>
          <w:b/>
          <w:bCs/>
          <w:kern w:val="0"/>
          <w:sz w:val="24"/>
          <w:szCs w:val="24"/>
        </w:rPr>
      </w:pPr>
      <w:r>
        <w:rPr>
          <w:rFonts w:hint="eastAsia" w:ascii="宋体" w:hAnsi="宋体"/>
          <w:b/>
          <w:bCs/>
          <w:kern w:val="0"/>
          <w:sz w:val="24"/>
          <w:szCs w:val="24"/>
        </w:rPr>
        <w:t xml:space="preserve">注： 1、供应商在投标时，提供《长葛市政府采购供应商信用承诺函》（详见 招标文件第八章3.5格式），无需再提交上述证明材料。 </w:t>
      </w:r>
    </w:p>
    <w:p>
      <w:pPr>
        <w:spacing w:line="480" w:lineRule="exact"/>
        <w:ind w:firstLine="482" w:firstLineChars="200"/>
        <w:rPr>
          <w:rFonts w:ascii="宋体" w:hAnsi="宋体"/>
          <w:b/>
          <w:bCs/>
          <w:kern w:val="0"/>
          <w:sz w:val="24"/>
          <w:szCs w:val="24"/>
        </w:rPr>
      </w:pPr>
      <w:r>
        <w:rPr>
          <w:rFonts w:hint="eastAsia" w:ascii="宋体" w:hAnsi="宋体"/>
          <w:b/>
          <w:bCs/>
          <w:kern w:val="0"/>
          <w:sz w:val="24"/>
          <w:szCs w:val="24"/>
        </w:rPr>
        <w:t>2、采购人有权在签订合同前要求中标供应商提供相关证明材料以核实中标供应商承诺事项的真实性。</w:t>
      </w:r>
    </w:p>
    <w:p>
      <w:pPr>
        <w:spacing w:line="480" w:lineRule="exact"/>
        <w:ind w:firstLine="482" w:firstLineChars="200"/>
        <w:rPr>
          <w:rFonts w:ascii="宋体" w:hAnsi="宋体"/>
          <w:kern w:val="0"/>
          <w:sz w:val="24"/>
          <w:szCs w:val="24"/>
        </w:rPr>
      </w:pPr>
      <w:r>
        <w:rPr>
          <w:rFonts w:hint="eastAsia" w:ascii="宋体" w:hAnsi="宋体"/>
          <w:b/>
          <w:bCs/>
          <w:kern w:val="0"/>
          <w:sz w:val="24"/>
          <w:szCs w:val="24"/>
        </w:rPr>
        <w:t>3、供应商对信用承诺内容的真实性、合法性、有效性负责。如作出虚假 信用承诺，视同为“提供虚假材料谋取中标”的违法行为。</w:t>
      </w:r>
    </w:p>
    <w:p>
      <w:pPr>
        <w:spacing w:line="480" w:lineRule="exact"/>
        <w:ind w:firstLine="480" w:firstLineChars="200"/>
        <w:rPr>
          <w:rFonts w:ascii="宋体" w:hAnsi="宋体"/>
          <w:kern w:val="0"/>
          <w:sz w:val="24"/>
          <w:szCs w:val="24"/>
        </w:rPr>
      </w:pPr>
      <w:r>
        <w:rPr>
          <w:rFonts w:hint="eastAsia" w:ascii="宋体" w:hAnsi="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40" w:lineRule="exact"/>
        <w:ind w:firstLine="480" w:firstLineChars="200"/>
        <w:rPr>
          <w:rFonts w:ascii="宋体" w:hAnsi="宋体"/>
          <w:kern w:val="0"/>
          <w:sz w:val="24"/>
          <w:szCs w:val="24"/>
        </w:rPr>
      </w:pPr>
      <w:r>
        <w:rPr>
          <w:rFonts w:hint="eastAsia" w:ascii="宋体" w:hAnsi="宋体"/>
          <w:kern w:val="0"/>
          <w:sz w:val="24"/>
          <w:szCs w:val="24"/>
        </w:rPr>
        <w:t>3.4本项目不接受联合体投标。</w:t>
      </w:r>
    </w:p>
    <w:p>
      <w:pPr>
        <w:spacing w:line="480" w:lineRule="exact"/>
        <w:ind w:firstLine="480" w:firstLineChars="200"/>
        <w:rPr>
          <w:rFonts w:ascii="宋体" w:hAnsi="宋体"/>
          <w:color w:val="000000" w:themeColor="text1"/>
          <w:kern w:val="0"/>
          <w:sz w:val="24"/>
          <w:szCs w:val="24"/>
        </w:rPr>
      </w:pPr>
      <w:r>
        <w:rPr>
          <w:rFonts w:hint="eastAsia" w:ascii="宋体" w:hAnsi="宋体"/>
          <w:color w:val="000000" w:themeColor="text1"/>
          <w:kern w:val="0"/>
          <w:sz w:val="24"/>
          <w:szCs w:val="24"/>
        </w:rPr>
        <w:t>3.5本项目不专门面向中小企业采购。</w:t>
      </w:r>
    </w:p>
    <w:p>
      <w:pPr>
        <w:spacing w:line="480" w:lineRule="exact"/>
        <w:ind w:firstLine="482" w:firstLineChars="200"/>
        <w:contextualSpacing/>
        <w:jc w:val="left"/>
        <w:rPr>
          <w:rFonts w:ascii="宋体" w:hAnsi="宋体"/>
          <w:b/>
          <w:kern w:val="0"/>
          <w:sz w:val="24"/>
          <w:szCs w:val="24"/>
        </w:rPr>
      </w:pPr>
      <w:r>
        <w:rPr>
          <w:rFonts w:hint="eastAsia" w:ascii="宋体" w:hAnsi="宋体"/>
          <w:b/>
          <w:kern w:val="0"/>
          <w:sz w:val="24"/>
          <w:szCs w:val="24"/>
        </w:rPr>
        <w:t>四、招标文件的获取</w:t>
      </w:r>
    </w:p>
    <w:p>
      <w:pPr>
        <w:spacing w:line="480" w:lineRule="exact"/>
        <w:ind w:firstLine="480" w:firstLineChars="200"/>
        <w:contextualSpacing/>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480" w:lineRule="exact"/>
        <w:ind w:firstLine="480" w:firstLineChars="200"/>
        <w:contextualSpacing/>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4.2在投标截止时间前均可登录《全国公共资源交易平台（河南省•许昌市）》“供应商/供应商登录”入口（http://ggzy.xuchang.gov.cn:8088/ggzy/）自行下载采购文件（详见“常见问题解答-交易系统操作手册”）。</w:t>
      </w:r>
    </w:p>
    <w:p>
      <w:pPr>
        <w:pStyle w:val="16"/>
        <w:spacing w:before="0" w:beforeAutospacing="0" w:after="0" w:afterAutospacing="0" w:line="480" w:lineRule="exact"/>
        <w:ind w:firstLine="482" w:firstLineChars="200"/>
        <w:contextualSpacing/>
        <w:rPr>
          <w:b/>
        </w:rPr>
      </w:pPr>
      <w:r>
        <w:rPr>
          <w:rFonts w:hint="eastAsia"/>
          <w:b/>
        </w:rPr>
        <w:t>五、</w:t>
      </w:r>
      <w:r>
        <w:rPr>
          <w:rFonts w:hint="eastAsia"/>
          <w:b/>
          <w:kern w:val="2"/>
        </w:rPr>
        <w:t>投标截止时间、开标时间及地点</w:t>
      </w:r>
    </w:p>
    <w:p>
      <w:pPr>
        <w:pStyle w:val="16"/>
        <w:spacing w:before="0" w:beforeAutospacing="0" w:after="0" w:afterAutospacing="0" w:line="360" w:lineRule="auto"/>
        <w:ind w:firstLine="480" w:firstLineChars="200"/>
        <w:contextualSpacing/>
      </w:pPr>
      <w:r>
        <w:rPr>
          <w:rFonts w:hint="eastAsia"/>
          <w:color w:val="auto"/>
        </w:rPr>
        <w:t>5.1投标截止及开标时间：2024年</w:t>
      </w:r>
      <w:r>
        <w:rPr>
          <w:rFonts w:hint="eastAsia"/>
          <w:color w:val="auto"/>
          <w:lang w:val="en-US" w:eastAsia="zh-CN"/>
        </w:rPr>
        <w:t>8</w:t>
      </w:r>
      <w:r>
        <w:rPr>
          <w:rFonts w:hint="eastAsia"/>
          <w:color w:val="auto"/>
        </w:rPr>
        <w:t>月</w:t>
      </w:r>
      <w:r>
        <w:rPr>
          <w:rFonts w:hint="eastAsia"/>
          <w:color w:val="auto"/>
          <w:lang w:val="en-US" w:eastAsia="zh-CN"/>
        </w:rPr>
        <w:t>22</w:t>
      </w:r>
      <w:r>
        <w:rPr>
          <w:rFonts w:hint="eastAsia"/>
          <w:color w:val="auto"/>
        </w:rPr>
        <w:t>日9时 00分（北京时间），逾</w:t>
      </w:r>
      <w:r>
        <w:rPr>
          <w:rFonts w:hint="eastAsia"/>
        </w:rPr>
        <w:t>期提交或不符合规定的投标文件不予接受。</w:t>
      </w:r>
    </w:p>
    <w:p>
      <w:pPr>
        <w:pStyle w:val="16"/>
        <w:spacing w:before="0" w:beforeAutospacing="0" w:after="0" w:afterAutospacing="0" w:line="360" w:lineRule="auto"/>
        <w:ind w:firstLine="480" w:firstLineChars="200"/>
        <w:contextualSpacing/>
      </w:pPr>
      <w:r>
        <w:t>5.2</w:t>
      </w:r>
      <w:r>
        <w:rPr>
          <w:rFonts w:hint="eastAsia"/>
        </w:rPr>
        <w:t>开标地点：长葛市公共资源交易中心开标四室（长葛市葛天大道东段商务区6#楼5楼507室），（本项目采用远程不见面开标，供应商无须到现场）。</w:t>
      </w:r>
    </w:p>
    <w:p>
      <w:pPr>
        <w:pStyle w:val="16"/>
        <w:spacing w:before="0" w:beforeAutospacing="0" w:after="0" w:afterAutospacing="0" w:line="360" w:lineRule="auto"/>
        <w:ind w:firstLine="480" w:firstLineChars="200"/>
        <w:contextualSpacing/>
      </w:pPr>
      <w:r>
        <w:t>5.3</w:t>
      </w:r>
      <w:r>
        <w:rPr>
          <w:rFonts w:hint="eastAsia"/>
        </w:rPr>
        <w:t>本项目为全流程电子化交易项目，供应商须提交电子投标文件。</w:t>
      </w:r>
    </w:p>
    <w:p>
      <w:pPr>
        <w:pStyle w:val="16"/>
        <w:spacing w:before="0" w:beforeAutospacing="0" w:after="0" w:afterAutospacing="0" w:line="360" w:lineRule="auto"/>
        <w:ind w:firstLine="480" w:firstLineChars="20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16"/>
        <w:spacing w:before="0" w:beforeAutospacing="0" w:after="0" w:afterAutospacing="0" w:line="360" w:lineRule="auto"/>
        <w:ind w:firstLine="480" w:firstLineChars="200"/>
        <w:contextualSpacing/>
      </w:pPr>
      <w:r>
        <w:rPr>
          <w:rFonts w:hint="eastAsia"/>
        </w:rPr>
        <w:t>2、开标时间前，供应商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16"/>
        <w:spacing w:before="0" w:beforeAutospacing="0" w:after="0" w:afterAutospacing="0" w:line="360" w:lineRule="auto"/>
        <w:ind w:firstLine="482" w:firstLineChars="200"/>
        <w:contextualSpacing/>
        <w:rPr>
          <w:b/>
          <w:kern w:val="2"/>
        </w:rPr>
      </w:pPr>
      <w:r>
        <w:rPr>
          <w:rFonts w:hint="eastAsia"/>
          <w:b/>
        </w:rPr>
        <w:t>六、</w:t>
      </w:r>
      <w:r>
        <w:rPr>
          <w:rFonts w:hint="eastAsia"/>
          <w:b/>
          <w:kern w:val="2"/>
        </w:rPr>
        <w:t>发布公告的媒介</w:t>
      </w:r>
    </w:p>
    <w:p>
      <w:pPr>
        <w:pStyle w:val="16"/>
        <w:spacing w:before="0" w:beforeAutospacing="0" w:after="0" w:afterAutospacing="0" w:line="360" w:lineRule="auto"/>
        <w:ind w:firstLine="480" w:firstLineChars="200"/>
        <w:contextualSpacing/>
        <w:rPr>
          <w:b/>
          <w:kern w:val="2"/>
        </w:rPr>
      </w:pPr>
      <w:r>
        <w:rPr>
          <w:rFonts w:hint="eastAsia"/>
        </w:rPr>
        <w:t>本次招标公告同时在《河南省政府采购网》、《全国公共资源交易平台（河南省•许昌市）》、《长葛市人民政府门户网站》发布。</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480" w:firstLineChars="200"/>
        <w:contextualSpacing/>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八、联系方式</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采购人： 长葛市商务局</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联系人：范先生</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电话 ：13782287818</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地址：长葛市葛天大道6号楼</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招标代理机构：河南青蓝工程咨询有限公司</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项目联系人：张女士</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项目联系电话：15937426851</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地址：河南省许昌市长葛市泰山路中段盛合丽晶东座502室</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监督单位：长葛市财政局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eastAsia="zh-CN"/>
        </w:rPr>
        <w:t>文</w:t>
      </w:r>
      <w:r>
        <w:rPr>
          <w:rFonts w:hint="eastAsia" w:ascii="宋体" w:hAnsi="宋体" w:cs="宋体"/>
          <w:kern w:val="0"/>
          <w:sz w:val="24"/>
          <w:szCs w:val="24"/>
        </w:rPr>
        <w:t xml:space="preserve">女士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联系电话：0374-6189720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地址：长葛市葛天大道1号楼财政局308室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长葛市公共资源交易中心业务科室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联系电话：0374-6189667   </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pacing w:line="460" w:lineRule="exact"/>
        <w:ind w:firstLine="480" w:firstLineChars="200"/>
        <w:jc w:val="left"/>
        <w:rPr>
          <w:rFonts w:ascii="宋体" w:hAnsi="宋体" w:cs="宋体"/>
          <w:b/>
          <w:bCs/>
          <w:sz w:val="24"/>
          <w:szCs w:val="24"/>
        </w:rPr>
      </w:pPr>
      <w:r>
        <w:rPr>
          <w:rFonts w:hint="eastAsia" w:ascii="宋体" w:hAnsi="宋体" w:cs="宋体"/>
          <w:sz w:val="24"/>
          <w:szCs w:val="24"/>
        </w:rPr>
        <w:t>2、各供应商对代理公司提供的服务不满意，或认为代理公司在服务过程中有不当行为的，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1.供应商应按招标文件规定编制、提交、解密电子投标文件。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）环节，供应商须使用同一个CA数字证书（证书须在有效期内并可正常使用）。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供应商登录《全国公共资源交易平台(河南省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20"/>
          <w:rFonts w:hint="eastAsia" w:ascii="宋体" w:hAnsi="宋体" w:cs="宋体"/>
        </w:rPr>
        <w:t>http://ggzy.xuchang.gov.cn:8088/ggzy/</w:t>
      </w:r>
      <w:r>
        <w:rPr>
          <w:rStyle w:val="20"/>
          <w:rFonts w:hint="eastAsia" w:ascii="宋体" w:hAnsi="宋体" w:cs="宋体"/>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许昌市)》公共资源交易系统——组件下载——交易系统操作手册（供应商、供应商）。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供应商须将招标文件要求的资质、业绩、荣誉及相关人员证明材料等资料原件扫描件（或图片）制作到所提交的电子投标文件中。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3.3供应商对同一项目多个标段进行投标的，应分别下载所投标段的招标文件，按标段制作电子投标文件，并按招标文件要求在相应位置加盖供应商电子印章和法人电子印章。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20"/>
          <w:rFonts w:hint="eastAsia" w:ascii="宋体" w:hAnsi="宋体" w:cs="宋体"/>
        </w:rPr>
        <w:t>http://ggzy.xuchang.gov.cn:8088/ggzy/</w:t>
      </w:r>
      <w:r>
        <w:rPr>
          <w:rStyle w:val="20"/>
          <w:rFonts w:hint="eastAsia" w:ascii="宋体" w:hAnsi="宋体" w:cs="宋体"/>
        </w:rPr>
        <w:fldChar w:fldCharType="end"/>
      </w:r>
      <w:r>
        <w:rPr>
          <w:rStyle w:val="20"/>
          <w:rFonts w:hint="eastAsia" w:ascii="宋体" w:hAnsi="宋体" w:cs="宋体"/>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供应商应充分考虑并预留技术处理和上传数据所需时间。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供应商对同一项目多个标段进行投标的，加密电子投标文件应按标段分别提交。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20"/>
          <w:rFonts w:hint="eastAsia" w:ascii="宋体" w:hAnsi="宋体" w:cs="宋体"/>
        </w:rPr>
        <w:t>http://ggzy.xuchang.gov.cn:8088/ggzy/</w:t>
      </w:r>
      <w:r>
        <w:rPr>
          <w:rStyle w:val="20"/>
          <w:rFonts w:hint="eastAsia" w:ascii="宋体" w:hAnsi="宋体" w:cs="宋体"/>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供应商应熟悉《许昌市不见面操作手册》，并提前设置不见面开标浏览器（设置流程详见《许昌市不见面操作手册》）。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5.3开标时间前供应商应登录本项目不见面开标大厅，按照招标文件确定的开标时间准时参加网上开标。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5.4供应商对开标过程和开标记录如有疑义，可在本项目不见面开标大厅“文字互动”对话框或“新增质疑”处在线提出询问。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5.5根据采购代理机构在“文字互动”对话框的通知，供应商选择功能栏“解密环节”按钮进行电子投标文件解密（供应商解密应自采购代理机构点击“开标”按钮后1</w:t>
      </w:r>
      <w:r>
        <w:rPr>
          <w:rFonts w:ascii="宋体" w:hAnsi="宋体" w:cs="宋体"/>
          <w:sz w:val="24"/>
          <w:szCs w:val="24"/>
        </w:rPr>
        <w:t>20</w:t>
      </w:r>
      <w:r>
        <w:rPr>
          <w:rFonts w:hint="eastAsia" w:ascii="宋体" w:hAnsi="宋体" w:cs="宋体"/>
          <w:sz w:val="24"/>
          <w:szCs w:val="24"/>
        </w:rPr>
        <w:t>分钟内完成）。供应商未解密或因供应商原因解密失败的，其投标将被拒绝。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5.6项目远程不见面开标活动结束时，供应商应在《开标记录表》上进行电子签章。供应商未签章的，视同认可开标结果。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评标期间，供应商应保持通讯手机畅通。评标委员会如要求供应商作出澄清、说明或者补正等，供应商应在评标委员会要求的评标期间合理的时间内通过电子邮件形式提供。</w:t>
      </w:r>
    </w:p>
    <w:p>
      <w:pPr>
        <w:jc w:val="left"/>
        <w:rPr>
          <w:rFonts w:ascii="宋体" w:hAnsi="宋体" w:cs="宋体"/>
          <w:sz w:val="24"/>
          <w:szCs w:val="24"/>
        </w:rPr>
      </w:pPr>
      <w:r>
        <w:rPr>
          <w:rFonts w:hint="eastAsia" w:ascii="宋体" w:hAnsi="宋体" w:cs="宋体"/>
          <w:sz w:val="24"/>
          <w:szCs w:val="24"/>
        </w:rPr>
        <w:t>供应商通过电子邮件提供的书面说明或相关证明材料应加盖公章，或者由法定代表人或其授权的代表签字。</w:t>
      </w:r>
    </w:p>
    <w:p>
      <w:pPr>
        <w:tabs>
          <w:tab w:val="left" w:pos="7095"/>
        </w:tabs>
        <w:spacing w:line="360" w:lineRule="auto"/>
        <w:ind w:firstLine="480" w:firstLineChars="200"/>
        <w:jc w:val="center"/>
        <w:rPr>
          <w:rFonts w:ascii="宋体" w:hAnsi="宋体" w:cs="宋体"/>
          <w:b/>
          <w:spacing w:val="10"/>
          <w:position w:val="1"/>
          <w:sz w:val="23"/>
          <w:szCs w:val="23"/>
        </w:rPr>
      </w:pPr>
      <w:r>
        <w:rPr>
          <w:rFonts w:hint="eastAsia" w:ascii="宋体" w:hAnsi="宋体" w:cs="宋体"/>
          <w:sz w:val="24"/>
          <w:szCs w:val="24"/>
        </w:rPr>
        <w:br w:type="page"/>
      </w:r>
      <w:r>
        <w:rPr>
          <w:rFonts w:hint="eastAsia" w:ascii="宋体" w:hAnsi="宋体"/>
          <w:b/>
          <w:kern w:val="0"/>
          <w:sz w:val="32"/>
          <w:szCs w:val="32"/>
        </w:rPr>
        <w:t>第二章</w:t>
      </w:r>
      <w:r>
        <w:rPr>
          <w:rFonts w:hint="eastAsia" w:ascii="宋体" w:hAnsi="宋体" w:cs="宋体"/>
          <w:b/>
          <w:sz w:val="32"/>
          <w:szCs w:val="32"/>
        </w:rPr>
        <w:t>采购需求</w:t>
      </w:r>
    </w:p>
    <w:p>
      <w:pPr>
        <w:spacing w:line="360" w:lineRule="auto"/>
        <w:ind w:firstLine="482" w:firstLineChars="200"/>
        <w:rPr>
          <w:rFonts w:ascii="宋体" w:hAnsi="宋体" w:cs="宋体"/>
          <w:sz w:val="24"/>
          <w:szCs w:val="24"/>
        </w:rPr>
      </w:pPr>
      <w:r>
        <w:rPr>
          <w:rFonts w:hint="eastAsia" w:ascii="宋体" w:hAnsi="宋体" w:cs="宋体"/>
          <w:b/>
          <w:kern w:val="0"/>
          <w:sz w:val="24"/>
          <w:szCs w:val="24"/>
        </w:rPr>
        <w:t>一、</w:t>
      </w:r>
      <w:r>
        <w:rPr>
          <w:rFonts w:hint="eastAsia" w:ascii="宋体" w:hAnsi="宋体" w:cs="宋体"/>
          <w:b/>
          <w:bCs/>
          <w:sz w:val="24"/>
          <w:szCs w:val="24"/>
        </w:rPr>
        <w:t>项目基本情况及目标任务</w:t>
      </w:r>
    </w:p>
    <w:p>
      <w:pPr>
        <w:spacing w:line="360" w:lineRule="auto"/>
        <w:ind w:firstLine="480" w:firstLineChars="200"/>
        <w:jc w:val="left"/>
        <w:rPr>
          <w:rFonts w:ascii="宋体" w:hAnsi="宋体" w:cs="宋体"/>
          <w:b/>
          <w:kern w:val="0"/>
          <w:sz w:val="24"/>
          <w:szCs w:val="24"/>
        </w:rPr>
      </w:pPr>
      <w:r>
        <w:rPr>
          <w:rFonts w:hint="eastAsia" w:ascii="宋体" w:hAnsi="宋体" w:cs="宋体"/>
          <w:sz w:val="24"/>
          <w:szCs w:val="24"/>
        </w:rPr>
        <w:t>长葛市商务局县域商业体系建设项目</w:t>
      </w:r>
      <w:r>
        <w:rPr>
          <w:rFonts w:hint="eastAsia" w:ascii="宋体" w:hAnsi="宋体"/>
          <w:kern w:val="0"/>
          <w:sz w:val="24"/>
          <w:szCs w:val="24"/>
        </w:rPr>
        <w:t>升级改造6个镇级商贸中心，打造农产品全供应链基地，集散基地、商品化深加工基地等。</w:t>
      </w:r>
    </w:p>
    <w:p>
      <w:pPr>
        <w:adjustRightInd w:val="0"/>
        <w:snapToGrid w:val="0"/>
        <w:spacing w:line="360" w:lineRule="auto"/>
        <w:jc w:val="left"/>
        <w:rPr>
          <w:rFonts w:ascii="宋体" w:hAnsi="宋体" w:cs="宋体"/>
          <w:b/>
          <w:bCs/>
          <w:sz w:val="32"/>
          <w:szCs w:val="32"/>
        </w:rPr>
      </w:pPr>
      <w:r>
        <w:rPr>
          <w:rFonts w:hint="eastAsia" w:ascii="宋体" w:hAnsi="宋体" w:cs="宋体"/>
          <w:b/>
          <w:spacing w:val="10"/>
          <w:position w:val="1"/>
          <w:sz w:val="23"/>
          <w:szCs w:val="23"/>
        </w:rPr>
        <w:t>二</w:t>
      </w:r>
      <w:r>
        <w:rPr>
          <w:rFonts w:ascii="宋体" w:hAnsi="宋体" w:cs="宋体"/>
          <w:b/>
          <w:spacing w:val="10"/>
          <w:position w:val="1"/>
          <w:sz w:val="23"/>
          <w:szCs w:val="23"/>
        </w:rPr>
        <w:t>、采购</w:t>
      </w:r>
      <w:r>
        <w:rPr>
          <w:rFonts w:hint="eastAsia" w:ascii="宋体" w:hAnsi="宋体" w:cs="宋体"/>
          <w:b/>
          <w:spacing w:val="10"/>
          <w:position w:val="1"/>
          <w:sz w:val="23"/>
          <w:szCs w:val="23"/>
        </w:rPr>
        <w:t>清单</w:t>
      </w:r>
    </w:p>
    <w:p>
      <w:pPr>
        <w:adjustRightInd w:val="0"/>
        <w:snapToGrid w:val="0"/>
        <w:rPr>
          <w:sz w:val="18"/>
          <w:szCs w:val="18"/>
        </w:rPr>
      </w:pPr>
    </w:p>
    <w:tbl>
      <w:tblPr>
        <w:tblStyle w:val="18"/>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66"/>
        <w:gridCol w:w="6363"/>
        <w:gridCol w:w="750"/>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农产品商品化处理设施（超艳食品有限公司）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户外导视牌</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定做户外立式双面导视牌，尺寸：5X1.2米  材质：镀锌板焊接，汽车烤漆，双面加密度PVC立体雕刻字， 安装预埋地笼，混凝土浇筑，含施工期间辅助工具租赁等。</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设备提升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八工位给袋式液酱两用包装机</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八工位给袋式液酱两用包装机.</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1.灌装物料:复合调味酱、火锅底料、调味油、醋</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2.包装工位:采用八工位机型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3.填充方式:气动冲程泵+回吸(2套)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4.包装容量:100-1000克/袋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5.制袋尺寸:袋长100mm-300mm、袋宽80mm-200mm;</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6.包装速度:15-50袋/分钟(具体视物料、包材、包装规格而异);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7.封口模式:采用两次热封+一次冷封</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8.搅拌装置:卧式搅拌(2套);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9.液位检测:配2套射频液位检测;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10.现场电压及频率:电压380V、频率50Hz;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11.手轮自动调整袋宽;</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12.灌装温度:40-90℃</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13.打码机:钢字压印，居中设计，8位，例20240123，外形尺寸:(L)1913mm*(W)1624mm*(H)2372mm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单辊筒螺杆粉包机</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设备名称:单辊筒螺杆粉包机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1、填充物料:调味粉</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2、填充容量:3-15克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3、填充方式:螺杆下料</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4、制袋尺寸:袋长80mm，袋宽80mm(袋长为固定值需明确，可通过换辊筒实现切换袋长，一台设备标配一套辊筒)</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5、封口形态:三边封</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6、包装袋封口花纹:纵封棋盘纹，横封棋盘纹;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7、包装速度:60-120袋/分(具体视物料、包材、包装规格而异)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8、切割形式:锯齿</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9、薄膜构成及宽度:复合膜，膜宽160mm</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10、光电跟踪:需要</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11、打码:钢字压印，横封位袋宽80MM居中设计，8位，例20240123</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12、需方现场使用电源电压:380V，50HZ三相五相制，外形尺寸:(L)1300mm*(W)900mm*(H)1680mm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辅助设备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叉车</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最大起升重量3000kg，起升高度3米，加厚一体冲压车身材质，行走电机5500KW 永磁同步电机，控制器 防滑坡大功率控制器，免维护75Ah(10块)，照明灯、左右转向灯刹车灯、仪表、喇叭等</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地牛</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手动液压搬运叉车 额定负载：2000KG，加厚高碳钢板，货叉长度1150MM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托盘</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聚乙烯HDPE材质，尺寸：120*100*15cm，动载1.7吨，静载3.5吨，加3根钢管，含运输卸货</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古桥镇商贸综合服务中心（鑫嘉恒副食店）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 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整体规划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23850"/>
                  <wp:effectExtent l="0" t="0" r="0" b="0"/>
                  <wp:wrapNone/>
                  <wp:docPr id="7" name="图片_4183"/>
                  <wp:cNvGraphicFramePr/>
                  <a:graphic xmlns:a="http://schemas.openxmlformats.org/drawingml/2006/main">
                    <a:graphicData uri="http://schemas.openxmlformats.org/drawingml/2006/picture">
                      <pic:pic xmlns:pic="http://schemas.openxmlformats.org/drawingml/2006/picture">
                        <pic:nvPicPr>
                          <pic:cNvPr id="7" name="图片_4183"/>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23850"/>
                  <wp:effectExtent l="0" t="0" r="0" b="0"/>
                  <wp:wrapNone/>
                  <wp:docPr id="4" name="图片_4185"/>
                  <wp:cNvGraphicFramePr/>
                  <a:graphic xmlns:a="http://schemas.openxmlformats.org/drawingml/2006/main">
                    <a:graphicData uri="http://schemas.openxmlformats.org/drawingml/2006/picture">
                      <pic:pic xmlns:pic="http://schemas.openxmlformats.org/drawingml/2006/picture">
                        <pic:nvPicPr>
                          <pic:cNvPr id="4" name="图片_4185"/>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23850"/>
                  <wp:effectExtent l="0" t="0" r="0" b="0"/>
                  <wp:wrapNone/>
                  <wp:docPr id="16" name="图片_62817"/>
                  <wp:cNvGraphicFramePr/>
                  <a:graphic xmlns:a="http://schemas.openxmlformats.org/drawingml/2006/main">
                    <a:graphicData uri="http://schemas.openxmlformats.org/drawingml/2006/picture">
                      <pic:pic xmlns:pic="http://schemas.openxmlformats.org/drawingml/2006/picture">
                        <pic:nvPicPr>
                          <pic:cNvPr id="16" name="图片_62817"/>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23850"/>
                  <wp:effectExtent l="0" t="0" r="0" b="0"/>
                  <wp:wrapNone/>
                  <wp:docPr id="14" name="图片_1016"/>
                  <wp:cNvGraphicFramePr/>
                  <a:graphic xmlns:a="http://schemas.openxmlformats.org/drawingml/2006/main">
                    <a:graphicData uri="http://schemas.openxmlformats.org/drawingml/2006/picture">
                      <pic:pic xmlns:pic="http://schemas.openxmlformats.org/drawingml/2006/picture">
                        <pic:nvPicPr>
                          <pic:cNvPr id="14" name="图片_1016"/>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23850"/>
                  <wp:effectExtent l="0" t="0" r="0" b="0"/>
                  <wp:wrapNone/>
                  <wp:docPr id="17" name="图片_1017"/>
                  <wp:cNvGraphicFramePr/>
                  <a:graphic xmlns:a="http://schemas.openxmlformats.org/drawingml/2006/main">
                    <a:graphicData uri="http://schemas.openxmlformats.org/drawingml/2006/picture">
                      <pic:pic xmlns:pic="http://schemas.openxmlformats.org/drawingml/2006/picture">
                        <pic:nvPicPr>
                          <pic:cNvPr id="17" name="图片_1017"/>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23850"/>
                  <wp:effectExtent l="0" t="0" r="0" b="0"/>
                  <wp:wrapNone/>
                  <wp:docPr id="6" name="图片_870"/>
                  <wp:cNvGraphicFramePr/>
                  <a:graphic xmlns:a="http://schemas.openxmlformats.org/drawingml/2006/main">
                    <a:graphicData uri="http://schemas.openxmlformats.org/drawingml/2006/picture">
                      <pic:pic xmlns:pic="http://schemas.openxmlformats.org/drawingml/2006/picture">
                        <pic:nvPicPr>
                          <pic:cNvPr id="6" name="图片_870"/>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23850"/>
                  <wp:effectExtent l="0" t="0" r="0" b="0"/>
                  <wp:wrapNone/>
                  <wp:docPr id="15" name="图片_1015"/>
                  <wp:cNvGraphicFramePr/>
                  <a:graphic xmlns:a="http://schemas.openxmlformats.org/drawingml/2006/main">
                    <a:graphicData uri="http://schemas.openxmlformats.org/drawingml/2006/picture">
                      <pic:pic xmlns:pic="http://schemas.openxmlformats.org/drawingml/2006/picture">
                        <pic:nvPicPr>
                          <pic:cNvPr id="15" name="图片_1015"/>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23850"/>
                  <wp:effectExtent l="0" t="0" r="0" b="0"/>
                  <wp:wrapNone/>
                  <wp:docPr id="10" name="图片_3999"/>
                  <wp:cNvGraphicFramePr/>
                  <a:graphic xmlns:a="http://schemas.openxmlformats.org/drawingml/2006/main">
                    <a:graphicData uri="http://schemas.openxmlformats.org/drawingml/2006/picture">
                      <pic:pic xmlns:pic="http://schemas.openxmlformats.org/drawingml/2006/picture">
                        <pic:nvPicPr>
                          <pic:cNvPr id="10" name="图片_3999"/>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04800" cy="323850"/>
                  <wp:effectExtent l="0" t="0" r="0" b="0"/>
                  <wp:wrapNone/>
                  <wp:docPr id="20" name="图片_4184"/>
                  <wp:cNvGraphicFramePr/>
                  <a:graphic xmlns:a="http://schemas.openxmlformats.org/drawingml/2006/main">
                    <a:graphicData uri="http://schemas.openxmlformats.org/drawingml/2006/picture">
                      <pic:pic xmlns:pic="http://schemas.openxmlformats.org/drawingml/2006/picture">
                        <pic:nvPicPr>
                          <pic:cNvPr id="20" name="图片_4184"/>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04800" cy="323850"/>
                  <wp:effectExtent l="0" t="0" r="0" b="0"/>
                  <wp:wrapNone/>
                  <wp:docPr id="18" name="图片_62816"/>
                  <wp:cNvGraphicFramePr/>
                  <a:graphic xmlns:a="http://schemas.openxmlformats.org/drawingml/2006/main">
                    <a:graphicData uri="http://schemas.openxmlformats.org/drawingml/2006/picture">
                      <pic:pic xmlns:pic="http://schemas.openxmlformats.org/drawingml/2006/picture">
                        <pic:nvPicPr>
                          <pic:cNvPr id="18" name="图片_62816"/>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04800" cy="323850"/>
                  <wp:effectExtent l="0" t="0" r="0" b="0"/>
                  <wp:wrapNone/>
                  <wp:docPr id="23" name="图片_868"/>
                  <wp:cNvGraphicFramePr/>
                  <a:graphic xmlns:a="http://schemas.openxmlformats.org/drawingml/2006/main">
                    <a:graphicData uri="http://schemas.openxmlformats.org/drawingml/2006/picture">
                      <pic:pic xmlns:pic="http://schemas.openxmlformats.org/drawingml/2006/picture">
                        <pic:nvPicPr>
                          <pic:cNvPr id="23" name="图片_868"/>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4800" cy="323850"/>
                  <wp:effectExtent l="0" t="0" r="0" b="0"/>
                  <wp:wrapNone/>
                  <wp:docPr id="19" name="图片_869"/>
                  <wp:cNvGraphicFramePr/>
                  <a:graphic xmlns:a="http://schemas.openxmlformats.org/drawingml/2006/main">
                    <a:graphicData uri="http://schemas.openxmlformats.org/drawingml/2006/picture">
                      <pic:pic xmlns:pic="http://schemas.openxmlformats.org/drawingml/2006/picture">
                        <pic:nvPicPr>
                          <pic:cNvPr id="19" name="图片_869"/>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04800" cy="323850"/>
                  <wp:effectExtent l="0" t="0" r="0" b="0"/>
                  <wp:wrapNone/>
                  <wp:docPr id="21" name="图片_13789"/>
                  <wp:cNvGraphicFramePr/>
                  <a:graphic xmlns:a="http://schemas.openxmlformats.org/drawingml/2006/main">
                    <a:graphicData uri="http://schemas.openxmlformats.org/drawingml/2006/picture">
                      <pic:pic xmlns:pic="http://schemas.openxmlformats.org/drawingml/2006/picture">
                        <pic:nvPicPr>
                          <pic:cNvPr id="21" name="图片_13789"/>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04800" cy="323850"/>
                  <wp:effectExtent l="0" t="0" r="0" b="0"/>
                  <wp:wrapNone/>
                  <wp:docPr id="22" name="图片_13790"/>
                  <wp:cNvGraphicFramePr/>
                  <a:graphic xmlns:a="http://schemas.openxmlformats.org/drawingml/2006/main">
                    <a:graphicData uri="http://schemas.openxmlformats.org/drawingml/2006/picture">
                      <pic:pic xmlns:pic="http://schemas.openxmlformats.org/drawingml/2006/picture">
                        <pic:nvPicPr>
                          <pic:cNvPr id="22" name="图片_13790"/>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04800" cy="323850"/>
                  <wp:effectExtent l="0" t="0" r="0" b="0"/>
                  <wp:wrapNone/>
                  <wp:docPr id="11" name="图片_62815"/>
                  <wp:cNvGraphicFramePr/>
                  <a:graphic xmlns:a="http://schemas.openxmlformats.org/drawingml/2006/main">
                    <a:graphicData uri="http://schemas.openxmlformats.org/drawingml/2006/picture">
                      <pic:pic xmlns:pic="http://schemas.openxmlformats.org/drawingml/2006/picture">
                        <pic:nvPicPr>
                          <pic:cNvPr id="11" name="图片_62815"/>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04800" cy="323850"/>
                  <wp:effectExtent l="0" t="0" r="0" b="0"/>
                  <wp:wrapNone/>
                  <wp:docPr id="13" name="图片_3984"/>
                  <wp:cNvGraphicFramePr/>
                  <a:graphic xmlns:a="http://schemas.openxmlformats.org/drawingml/2006/main">
                    <a:graphicData uri="http://schemas.openxmlformats.org/drawingml/2006/picture">
                      <pic:pic xmlns:pic="http://schemas.openxmlformats.org/drawingml/2006/picture">
                        <pic:nvPicPr>
                          <pic:cNvPr id="13" name="图片_3984"/>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04800" cy="323850"/>
                  <wp:effectExtent l="0" t="0" r="0" b="0"/>
                  <wp:wrapNone/>
                  <wp:docPr id="24" name="图片_3998"/>
                  <wp:cNvGraphicFramePr/>
                  <a:graphic xmlns:a="http://schemas.openxmlformats.org/drawingml/2006/main">
                    <a:graphicData uri="http://schemas.openxmlformats.org/drawingml/2006/picture">
                      <pic:pic xmlns:pic="http://schemas.openxmlformats.org/drawingml/2006/picture">
                        <pic:nvPicPr>
                          <pic:cNvPr id="24" name="图片_3998"/>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04800" cy="323850"/>
                  <wp:effectExtent l="0" t="0" r="0" b="0"/>
                  <wp:wrapNone/>
                  <wp:docPr id="25" name="图片_3991"/>
                  <wp:cNvGraphicFramePr/>
                  <a:graphic xmlns:a="http://schemas.openxmlformats.org/drawingml/2006/main">
                    <a:graphicData uri="http://schemas.openxmlformats.org/drawingml/2006/picture">
                      <pic:pic xmlns:pic="http://schemas.openxmlformats.org/drawingml/2006/picture">
                        <pic:nvPicPr>
                          <pic:cNvPr id="25" name="图片_3991"/>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04800" cy="323850"/>
                  <wp:effectExtent l="0" t="0" r="0" b="0"/>
                  <wp:wrapNone/>
                  <wp:docPr id="2" name="图片_3982"/>
                  <wp:cNvGraphicFramePr/>
                  <a:graphic xmlns:a="http://schemas.openxmlformats.org/drawingml/2006/main">
                    <a:graphicData uri="http://schemas.openxmlformats.org/drawingml/2006/picture">
                      <pic:pic xmlns:pic="http://schemas.openxmlformats.org/drawingml/2006/picture">
                        <pic:nvPicPr>
                          <pic:cNvPr id="2" name="图片_3982"/>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04800" cy="323850"/>
                  <wp:effectExtent l="0" t="0" r="0" b="0"/>
                  <wp:wrapNone/>
                  <wp:docPr id="12" name="图片_3983"/>
                  <wp:cNvGraphicFramePr/>
                  <a:graphic xmlns:a="http://schemas.openxmlformats.org/drawingml/2006/main">
                    <a:graphicData uri="http://schemas.openxmlformats.org/drawingml/2006/picture">
                      <pic:pic xmlns:pic="http://schemas.openxmlformats.org/drawingml/2006/picture">
                        <pic:nvPicPr>
                          <pic:cNvPr id="12" name="图片_3983"/>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rPr>
              <w:t>规划场地空间设计及平面设计，出具效果图及制作功能分区牌1套。</w:t>
            </w:r>
          </w:p>
        </w:tc>
        <w:tc>
          <w:tcPr>
            <w:tcW w:w="750"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室外门头标识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8" name="图片_71246"/>
                  <wp:cNvGraphicFramePr/>
                  <a:graphic xmlns:a="http://schemas.openxmlformats.org/drawingml/2006/main">
                    <a:graphicData uri="http://schemas.openxmlformats.org/drawingml/2006/picture">
                      <pic:pic xmlns:pic="http://schemas.openxmlformats.org/drawingml/2006/picture">
                        <pic:nvPicPr>
                          <pic:cNvPr id="8" name="图片_71246"/>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9" name="图片_71247"/>
                  <wp:cNvGraphicFramePr/>
                  <a:graphic xmlns:a="http://schemas.openxmlformats.org/drawingml/2006/main">
                    <a:graphicData uri="http://schemas.openxmlformats.org/drawingml/2006/picture">
                      <pic:pic xmlns:pic="http://schemas.openxmlformats.org/drawingml/2006/picture">
                        <pic:nvPicPr>
                          <pic:cNvPr id="9" name="图片_71247"/>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 name="图片_2524"/>
                  <wp:cNvGraphicFramePr/>
                  <a:graphic xmlns:a="http://schemas.openxmlformats.org/drawingml/2006/main">
                    <a:graphicData uri="http://schemas.openxmlformats.org/drawingml/2006/picture">
                      <pic:pic xmlns:pic="http://schemas.openxmlformats.org/drawingml/2006/picture">
                        <pic:nvPicPr>
                          <pic:cNvPr id="38" name="图片_2524"/>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 name="图片_1072"/>
                  <wp:cNvGraphicFramePr/>
                  <a:graphic xmlns:a="http://schemas.openxmlformats.org/drawingml/2006/main">
                    <a:graphicData uri="http://schemas.openxmlformats.org/drawingml/2006/picture">
                      <pic:pic xmlns:pic="http://schemas.openxmlformats.org/drawingml/2006/picture">
                        <pic:nvPicPr>
                          <pic:cNvPr id="41" name="图片_1072"/>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 name="图片_69787"/>
                  <wp:cNvGraphicFramePr/>
                  <a:graphic xmlns:a="http://schemas.openxmlformats.org/drawingml/2006/main">
                    <a:graphicData uri="http://schemas.openxmlformats.org/drawingml/2006/picture">
                      <pic:pic xmlns:pic="http://schemas.openxmlformats.org/drawingml/2006/picture">
                        <pic:nvPicPr>
                          <pic:cNvPr id="42" name="图片_69787"/>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 name="图片_71239"/>
                  <wp:cNvGraphicFramePr/>
                  <a:graphic xmlns:a="http://schemas.openxmlformats.org/drawingml/2006/main">
                    <a:graphicData uri="http://schemas.openxmlformats.org/drawingml/2006/picture">
                      <pic:pic xmlns:pic="http://schemas.openxmlformats.org/drawingml/2006/picture">
                        <pic:nvPicPr>
                          <pic:cNvPr id="45" name="图片_71239"/>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 name="图片_69795"/>
                  <wp:cNvGraphicFramePr/>
                  <a:graphic xmlns:a="http://schemas.openxmlformats.org/drawingml/2006/main">
                    <a:graphicData uri="http://schemas.openxmlformats.org/drawingml/2006/picture">
                      <pic:pic xmlns:pic="http://schemas.openxmlformats.org/drawingml/2006/picture">
                        <pic:nvPicPr>
                          <pic:cNvPr id="31" name="图片_69795"/>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 name="图片_69794"/>
                  <wp:cNvGraphicFramePr/>
                  <a:graphic xmlns:a="http://schemas.openxmlformats.org/drawingml/2006/main">
                    <a:graphicData uri="http://schemas.openxmlformats.org/drawingml/2006/picture">
                      <pic:pic xmlns:pic="http://schemas.openxmlformats.org/drawingml/2006/picture">
                        <pic:nvPicPr>
                          <pic:cNvPr id="39" name="图片_69794"/>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28" name="图片_2531"/>
                  <wp:cNvGraphicFramePr/>
                  <a:graphic xmlns:a="http://schemas.openxmlformats.org/drawingml/2006/main">
                    <a:graphicData uri="http://schemas.openxmlformats.org/drawingml/2006/picture">
                      <pic:pic xmlns:pic="http://schemas.openxmlformats.org/drawingml/2006/picture">
                        <pic:nvPicPr>
                          <pic:cNvPr id="28" name="图片_2531"/>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 name="图片_1080"/>
                  <wp:cNvGraphicFramePr/>
                  <a:graphic xmlns:a="http://schemas.openxmlformats.org/drawingml/2006/main">
                    <a:graphicData uri="http://schemas.openxmlformats.org/drawingml/2006/picture">
                      <pic:pic xmlns:pic="http://schemas.openxmlformats.org/drawingml/2006/picture">
                        <pic:nvPicPr>
                          <pic:cNvPr id="57" name="图片_1080"/>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 name="图片_1079"/>
                  <wp:cNvGraphicFramePr/>
                  <a:graphic xmlns:a="http://schemas.openxmlformats.org/drawingml/2006/main">
                    <a:graphicData uri="http://schemas.openxmlformats.org/drawingml/2006/picture">
                      <pic:pic xmlns:pic="http://schemas.openxmlformats.org/drawingml/2006/picture">
                        <pic:nvPicPr>
                          <pic:cNvPr id="54" name="图片_1079"/>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 name="图片_2532"/>
                  <wp:cNvGraphicFramePr/>
                  <a:graphic xmlns:a="http://schemas.openxmlformats.org/drawingml/2006/main">
                    <a:graphicData uri="http://schemas.openxmlformats.org/drawingml/2006/picture">
                      <pic:pic xmlns:pic="http://schemas.openxmlformats.org/drawingml/2006/picture">
                        <pic:nvPicPr>
                          <pic:cNvPr id="55" name="图片_2532"/>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 xml:space="preserve">①内容：河南省县域商业体系建设 材质：加密度PVC雕刻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②内容：古桥镇商贸综合服务中心 材质：发光字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（含施工期间高工作业人工费及吊车升降车租赁等）</w:t>
            </w:r>
          </w:p>
        </w:tc>
        <w:tc>
          <w:tcPr>
            <w:tcW w:w="750" w:type="dxa"/>
            <w:vMerge w:val="continue"/>
            <w:shd w:val="clear" w:color="auto" w:fill="FFFFFF"/>
            <w:noWrap/>
            <w:vAlign w:val="center"/>
          </w:tcPr>
          <w:p>
            <w:pPr>
              <w:widowControl/>
              <w:jc w:val="center"/>
              <w:rPr>
                <w:rFonts w:ascii="宋体" w:hAnsi="宋体" w:cs="宋体"/>
                <w:color w:val="000000"/>
                <w:sz w:val="24"/>
                <w:szCs w:val="24"/>
              </w:rPr>
            </w:pPr>
          </w:p>
        </w:tc>
        <w:tc>
          <w:tcPr>
            <w:tcW w:w="721" w:type="dxa"/>
            <w:vMerge w:val="continue"/>
            <w:shd w:val="clear" w:color="auto" w:fill="FFFFFF"/>
            <w:noWrap/>
            <w:vAlign w:val="center"/>
          </w:tcPr>
          <w:p>
            <w:pPr>
              <w:widowControl/>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自助打印复印证照一体机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7" name="图片_62840"/>
                  <wp:cNvGraphicFramePr/>
                  <a:graphic xmlns:a="http://schemas.openxmlformats.org/drawingml/2006/main">
                    <a:graphicData uri="http://schemas.openxmlformats.org/drawingml/2006/picture">
                      <pic:pic xmlns:pic="http://schemas.openxmlformats.org/drawingml/2006/picture">
                        <pic:nvPicPr>
                          <pic:cNvPr id="27" name="图片_62840"/>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 name="图片_62841"/>
                  <wp:cNvGraphicFramePr/>
                  <a:graphic xmlns:a="http://schemas.openxmlformats.org/drawingml/2006/main">
                    <a:graphicData uri="http://schemas.openxmlformats.org/drawingml/2006/picture">
                      <pic:pic xmlns:pic="http://schemas.openxmlformats.org/drawingml/2006/picture">
                        <pic:nvPicPr>
                          <pic:cNvPr id="44" name="图片_62841"/>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29" name="图片_62833"/>
                  <wp:cNvGraphicFramePr/>
                  <a:graphic xmlns:a="http://schemas.openxmlformats.org/drawingml/2006/main">
                    <a:graphicData uri="http://schemas.openxmlformats.org/drawingml/2006/picture">
                      <pic:pic xmlns:pic="http://schemas.openxmlformats.org/drawingml/2006/picture">
                        <pic:nvPicPr>
                          <pic:cNvPr id="29" name="图片_62833"/>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自助打印复印证照一体机，机身采用1.2mm加厚钣金，内置保险管，高压保护，8寸触摸屏内置工控电脑，USB口可接U盘等，支持无线WIFI网络，功能包含：文档打印，扫描复印，相片冲洗等（包含送货上门，安装服务：含辅助材料、人工安装等）。</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人脸识别储物柜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主柜尺寸：宽2160mm×深430mm×高1900mm；2、箱门尺寸：宽277mm430×高281mm，钢板材质及厚度：冷轧钢板，静电喷塑处理，柜门厚度：1.0mm；柜门支持7寸液晶显示屏，柜体颜色可选；双目摄像头：清晰度：1000TVL 清晰度，误识别率小于 0.01%，用户容量：10000 人，视场角100°（对角）超广角；电控锁增加三角形盖板设计，带防软片插入装置使用寿命达到100万次。（含运输安装卸货调试）。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购物车</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静音承重轮，彩色配件，升数125L</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辆</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购物篮</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上口</w:t>
            </w:r>
            <w:r>
              <w:rPr>
                <w:rFonts w:hint="eastAsia" w:ascii="宋体" w:hAnsi="宋体" w:cs="宋体"/>
                <w:color w:val="000000"/>
                <w:kern w:val="0"/>
                <w:sz w:val="24"/>
                <w:szCs w:val="24"/>
                <w:lang w:eastAsia="zh-CN"/>
              </w:rPr>
              <w:t>约</w:t>
            </w:r>
            <w:r>
              <w:rPr>
                <w:rFonts w:hint="eastAsia" w:ascii="宋体" w:hAnsi="宋体" w:cs="宋体"/>
                <w:color w:val="000000"/>
                <w:kern w:val="0"/>
                <w:sz w:val="24"/>
                <w:szCs w:val="24"/>
              </w:rPr>
              <w:t>50*30，下口</w:t>
            </w:r>
            <w:r>
              <w:rPr>
                <w:rFonts w:hint="eastAsia" w:ascii="宋体" w:hAnsi="宋体" w:cs="宋体"/>
                <w:color w:val="000000"/>
                <w:kern w:val="0"/>
                <w:sz w:val="24"/>
                <w:szCs w:val="24"/>
                <w:lang w:eastAsia="zh-CN"/>
              </w:rPr>
              <w:t>约</w:t>
            </w:r>
            <w:r>
              <w:rPr>
                <w:rFonts w:hint="eastAsia" w:ascii="宋体" w:hAnsi="宋体" w:cs="宋体"/>
                <w:color w:val="000000"/>
                <w:kern w:val="0"/>
                <w:sz w:val="24"/>
                <w:szCs w:val="24"/>
              </w:rPr>
              <w:t>38*18，高37CM.带把手总高：88CM，升数60L</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收银打包设备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通道收银机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highlight w:val="yellow"/>
                <w:bdr w:val="single" w:color="000000" w:sz="4" w:space="0"/>
                <w:shd w:val="clear" w:color="auto" w:fill="FFFFFF"/>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26" name="图片_73743"/>
                  <wp:cNvGraphicFramePr/>
                  <a:graphic xmlns:a="http://schemas.openxmlformats.org/drawingml/2006/main">
                    <a:graphicData uri="http://schemas.openxmlformats.org/drawingml/2006/picture">
                      <pic:pic xmlns:pic="http://schemas.openxmlformats.org/drawingml/2006/picture">
                        <pic:nvPicPr>
                          <pic:cNvPr id="26" name="图片_73743"/>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highlight w:val="yellow"/>
                <w:bdr w:val="single" w:color="000000" w:sz="4" w:space="0"/>
                <w:shd w:val="clear" w:color="auto" w:fill="FFFFFF"/>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 name="图片_73742"/>
                  <wp:cNvGraphicFramePr/>
                  <a:graphic xmlns:a="http://schemas.openxmlformats.org/drawingml/2006/main">
                    <a:graphicData uri="http://schemas.openxmlformats.org/drawingml/2006/picture">
                      <pic:pic xmlns:pic="http://schemas.openxmlformats.org/drawingml/2006/picture">
                        <pic:nvPicPr>
                          <pic:cNvPr id="32" name="图片_73742"/>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highlight w:val="yellow"/>
                <w:bdr w:val="single" w:color="000000" w:sz="4" w:space="0"/>
                <w:shd w:val="clear" w:color="auto" w:fill="FFFFFF"/>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 name="图片_73735"/>
                  <wp:cNvGraphicFramePr/>
                  <a:graphic xmlns:a="http://schemas.openxmlformats.org/drawingml/2006/main">
                    <a:graphicData uri="http://schemas.openxmlformats.org/drawingml/2006/picture">
                      <pic:pic xmlns:pic="http://schemas.openxmlformats.org/drawingml/2006/picture">
                        <pic:nvPicPr>
                          <pic:cNvPr id="30" name="图片_73735"/>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4G内存、64G固态硬盘、显示器12.1寸（1024*768）、键盘、打印机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激光平台</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32 位 ARM 微处理器，扫描类型 图像扫描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分 辨 率 1280×1024 像素，光源白色 LED，色温 2700K</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扫描角度 ±60°，±54°，360°（左右、前后、转动）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扫描速率 95.3 英寸/秒，印刷对比度 最低 20%反射差</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解码种类 包括 GS1 DataBar 在内的所有通用的一维码、二维码</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全自动铝钉机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全自动铝钉机、不锈钢材质，主体尺寸：375*255*450，电源：AC220V/50-60Hz，总功率80W，适用范围超市、水果店、菜市场适用（包技术人员安装调整及使用指导服务）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AI嵌入式智能识别一体秤（热敏标签纸款）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含系统，AI嵌入式一体化设计，Linux操作系统/15.6寸全触摸屏/热敏标签纸不干胶打印，可对商品快速分类编辑、分类显示；可视AI识别称重商品，支持拼音简称、价格、货号检索快速查找商品；AI自动识别商品、聚合码打印（一码多品）、语音播报、商品分类、商品图片等功能模式，含送货上门+技术人员安装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冷链设备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风幕柜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单台尺寸：长1.32米*宽0.85米*高2.05米，运行温度3～8度，梯形层流风幕和背板出风技术，大展示面积，全铜管蒸发器制冷，压缩机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饮料柜（1）</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风冷，1500mm*685mm*2000mm。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饮料柜（2）</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风冷，1200mm*68</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mm*2000mm。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陈列设备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通道收款台</w:t>
            </w:r>
          </w:p>
        </w:tc>
        <w:tc>
          <w:tcPr>
            <w:tcW w:w="6363" w:type="dxa"/>
            <w:shd w:val="clear" w:color="auto" w:fill="FFFFFF"/>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收款台，3正3反，1600mm*1100mm*850mm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三层钢木促销台</w:t>
            </w:r>
          </w:p>
        </w:tc>
        <w:tc>
          <w:tcPr>
            <w:tcW w:w="6363" w:type="dxa"/>
            <w:shd w:val="clear" w:color="auto" w:fill="FFFFFF"/>
            <w:noWrap/>
            <w:vAlign w:val="center"/>
          </w:tcPr>
          <w:p>
            <w:pPr>
              <w:widowControl/>
              <w:jc w:val="left"/>
              <w:textAlignment w:val="center"/>
              <w:rPr>
                <w:rFonts w:ascii="宋体" w:hAnsi="宋体" w:cs="宋体"/>
                <w:sz w:val="24"/>
                <w:szCs w:val="24"/>
              </w:rPr>
            </w:pPr>
            <w:r>
              <w:rPr>
                <w:rFonts w:hint="eastAsia" w:ascii="宋体" w:hAnsi="宋体" w:cs="宋体"/>
                <w:sz w:val="24"/>
                <w:szCs w:val="24"/>
              </w:rPr>
              <w:t>钢木三层促销台，加厚板材，中间可调节层板。1200mm*800mm*850mm</w:t>
            </w:r>
            <w:r>
              <w:rPr>
                <w:rFonts w:hint="eastAsia" w:ascii="宋体" w:hAnsi="宋体" w:cs="宋体"/>
                <w:kern w:val="0"/>
                <w:sz w:val="24"/>
                <w:szCs w:val="24"/>
              </w:rPr>
              <w:t>。</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蔬果架</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蔬果架，1200mm*800mm*850mm，带假底及护栏</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果蔬架端头</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果蔬架端头，1600mm*800mm*850mm，带假底及护栏</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散称柜端头</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散称柜端头，1600mm*800mm*1350mm，（盒子配套）</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散称柜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散称柜，1200mm*800mm*1350mm（盒子配套）</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杂粮柜夜幕帘</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杂粮柜夜幕帘，1200mm*800mm*1300mm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杂粮柜端头</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杂粮柜端头，1600mm*800mm*1300mm（配套夜幕帘3套）</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杂粮柜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杂粮柜，1200mm*800mm*1300mm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生鲜陈列台</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生鲜陈列台，800mm*800mm*800mm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陈列架</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三层陈列架，800mm*800mm*850mm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散粮陈列柜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散粮陈列柜，1000mm*800mm*850mm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喷雾货架</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生鲜喷雾货架2.8M*1.6M*1.4M（双面喷雾，配圆管喷雾管，带喷雾机）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老城镇商贸综合服务中心（鑫盛祥百货商店）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 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bdr w:val="single" w:color="000000" w:sz="4" w:space="0"/>
                <w:shd w:val="clear" w:color="auto" w:fill="92D050"/>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 name="图片_25"/>
                  <wp:cNvGraphicFramePr/>
                  <a:graphic xmlns:a="http://schemas.openxmlformats.org/drawingml/2006/main">
                    <a:graphicData uri="http://schemas.openxmlformats.org/drawingml/2006/picture">
                      <pic:pic xmlns:pic="http://schemas.openxmlformats.org/drawingml/2006/picture">
                        <pic:nvPicPr>
                          <pic:cNvPr id="33" name="图片_25"/>
                          <pic:cNvPicPr/>
                        </pic:nvPicPr>
                        <pic:blipFill>
                          <a:blip r:embed="rId11"/>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bCs/>
                <w:color w:val="000000"/>
                <w:kern w:val="0"/>
                <w:sz w:val="24"/>
                <w:szCs w:val="24"/>
                <w:bdr w:val="single" w:color="000000" w:sz="4" w:space="0"/>
                <w:shd w:val="clear" w:color="auto" w:fill="92D050"/>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 name="图片_27"/>
                  <wp:cNvGraphicFramePr/>
                  <a:graphic xmlns:a="http://schemas.openxmlformats.org/drawingml/2006/main">
                    <a:graphicData uri="http://schemas.openxmlformats.org/drawingml/2006/picture">
                      <pic:pic xmlns:pic="http://schemas.openxmlformats.org/drawingml/2006/picture">
                        <pic:nvPicPr>
                          <pic:cNvPr id="49" name="图片_27"/>
                          <pic:cNvPicPr/>
                        </pic:nvPicPr>
                        <pic:blipFill>
                          <a:blip r:embed="rId12"/>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bCs/>
                <w:color w:val="000000"/>
                <w:kern w:val="0"/>
                <w:sz w:val="24"/>
                <w:szCs w:val="24"/>
                <w:bdr w:val="single" w:color="000000" w:sz="4" w:space="0"/>
                <w:shd w:val="clear" w:color="auto" w:fill="92D050"/>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 name="图片_9732"/>
                  <wp:cNvGraphicFramePr/>
                  <a:graphic xmlns:a="http://schemas.openxmlformats.org/drawingml/2006/main">
                    <a:graphicData uri="http://schemas.openxmlformats.org/drawingml/2006/picture">
                      <pic:pic xmlns:pic="http://schemas.openxmlformats.org/drawingml/2006/picture">
                        <pic:nvPicPr>
                          <pic:cNvPr id="34" name="图片_973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bCs/>
                <w:color w:val="000000"/>
                <w:kern w:val="0"/>
                <w:sz w:val="24"/>
                <w:szCs w:val="24"/>
                <w:bdr w:val="single" w:color="000000" w:sz="4" w:space="0"/>
                <w:shd w:val="clear" w:color="auto" w:fill="92D050"/>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 name="图片_26"/>
                  <wp:cNvGraphicFramePr/>
                  <a:graphic xmlns:a="http://schemas.openxmlformats.org/drawingml/2006/main">
                    <a:graphicData uri="http://schemas.openxmlformats.org/drawingml/2006/picture">
                      <pic:pic xmlns:pic="http://schemas.openxmlformats.org/drawingml/2006/picture">
                        <pic:nvPicPr>
                          <pic:cNvPr id="35" name="图片_26"/>
                          <pic:cNvPicPr/>
                        </pic:nvPicPr>
                        <pic:blipFill>
                          <a:blip r:embed="rId1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bCs/>
                <w:color w:val="000000"/>
                <w:kern w:val="0"/>
                <w:sz w:val="24"/>
                <w:szCs w:val="24"/>
                <w:bdr w:val="single" w:color="000000" w:sz="4" w:space="0"/>
                <w:shd w:val="clear" w:color="auto" w:fill="92D050"/>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 name="图片_9730"/>
                  <wp:cNvGraphicFramePr/>
                  <a:graphic xmlns:a="http://schemas.openxmlformats.org/drawingml/2006/main">
                    <a:graphicData uri="http://schemas.openxmlformats.org/drawingml/2006/picture">
                      <pic:pic xmlns:pic="http://schemas.openxmlformats.org/drawingml/2006/picture">
                        <pic:nvPicPr>
                          <pic:cNvPr id="50" name="图片_9730"/>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整体规划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 name="图片_13388"/>
                  <wp:cNvGraphicFramePr/>
                  <a:graphic xmlns:a="http://schemas.openxmlformats.org/drawingml/2006/main">
                    <a:graphicData uri="http://schemas.openxmlformats.org/drawingml/2006/picture">
                      <pic:pic xmlns:pic="http://schemas.openxmlformats.org/drawingml/2006/picture">
                        <pic:nvPicPr>
                          <pic:cNvPr id="36" name="图片_13388"/>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 name="图片_13389"/>
                  <wp:cNvGraphicFramePr/>
                  <a:graphic xmlns:a="http://schemas.openxmlformats.org/drawingml/2006/main">
                    <a:graphicData uri="http://schemas.openxmlformats.org/drawingml/2006/picture">
                      <pic:pic xmlns:pic="http://schemas.openxmlformats.org/drawingml/2006/picture">
                        <pic:nvPicPr>
                          <pic:cNvPr id="43" name="图片_13389"/>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 name="图片_14017"/>
                  <wp:cNvGraphicFramePr/>
                  <a:graphic xmlns:a="http://schemas.openxmlformats.org/drawingml/2006/main">
                    <a:graphicData uri="http://schemas.openxmlformats.org/drawingml/2006/picture">
                      <pic:pic xmlns:pic="http://schemas.openxmlformats.org/drawingml/2006/picture">
                        <pic:nvPicPr>
                          <pic:cNvPr id="37" name="图片_14017"/>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 name="图片_13404"/>
                  <wp:cNvGraphicFramePr/>
                  <a:graphic xmlns:a="http://schemas.openxmlformats.org/drawingml/2006/main">
                    <a:graphicData uri="http://schemas.openxmlformats.org/drawingml/2006/picture">
                      <pic:pic xmlns:pic="http://schemas.openxmlformats.org/drawingml/2006/picture">
                        <pic:nvPicPr>
                          <pic:cNvPr id="56" name="图片_13404"/>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 name="图片_13403"/>
                  <wp:cNvGraphicFramePr/>
                  <a:graphic xmlns:a="http://schemas.openxmlformats.org/drawingml/2006/main">
                    <a:graphicData uri="http://schemas.openxmlformats.org/drawingml/2006/picture">
                      <pic:pic xmlns:pic="http://schemas.openxmlformats.org/drawingml/2006/picture">
                        <pic:nvPicPr>
                          <pic:cNvPr id="47" name="图片_13403"/>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 name="图片_13402"/>
                  <wp:cNvGraphicFramePr/>
                  <a:graphic xmlns:a="http://schemas.openxmlformats.org/drawingml/2006/main">
                    <a:graphicData uri="http://schemas.openxmlformats.org/drawingml/2006/picture">
                      <pic:pic xmlns:pic="http://schemas.openxmlformats.org/drawingml/2006/picture">
                        <pic:nvPicPr>
                          <pic:cNvPr id="40" name="图片_1340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 name="图片_13400"/>
                  <wp:cNvGraphicFramePr/>
                  <a:graphic xmlns:a="http://schemas.openxmlformats.org/drawingml/2006/main">
                    <a:graphicData uri="http://schemas.openxmlformats.org/drawingml/2006/picture">
                      <pic:pic xmlns:pic="http://schemas.openxmlformats.org/drawingml/2006/picture">
                        <pic:nvPicPr>
                          <pic:cNvPr id="48" name="图片_13400"/>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 name="图片_13399"/>
                  <wp:cNvGraphicFramePr/>
                  <a:graphic xmlns:a="http://schemas.openxmlformats.org/drawingml/2006/main">
                    <a:graphicData uri="http://schemas.openxmlformats.org/drawingml/2006/picture">
                      <pic:pic xmlns:pic="http://schemas.openxmlformats.org/drawingml/2006/picture">
                        <pic:nvPicPr>
                          <pic:cNvPr id="51" name="图片_13399"/>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 name="图片_13387"/>
                  <wp:cNvGraphicFramePr/>
                  <a:graphic xmlns:a="http://schemas.openxmlformats.org/drawingml/2006/main">
                    <a:graphicData uri="http://schemas.openxmlformats.org/drawingml/2006/picture">
                      <pic:pic xmlns:pic="http://schemas.openxmlformats.org/drawingml/2006/picture">
                        <pic:nvPicPr>
                          <pic:cNvPr id="46" name="图片_13387"/>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 name="图片_13401"/>
                  <wp:cNvGraphicFramePr/>
                  <a:graphic xmlns:a="http://schemas.openxmlformats.org/drawingml/2006/main">
                    <a:graphicData uri="http://schemas.openxmlformats.org/drawingml/2006/picture">
                      <pic:pic xmlns:pic="http://schemas.openxmlformats.org/drawingml/2006/picture">
                        <pic:nvPicPr>
                          <pic:cNvPr id="52" name="图片_13401"/>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 name="图片_13398"/>
                  <wp:cNvGraphicFramePr/>
                  <a:graphic xmlns:a="http://schemas.openxmlformats.org/drawingml/2006/main">
                    <a:graphicData uri="http://schemas.openxmlformats.org/drawingml/2006/picture">
                      <pic:pic xmlns:pic="http://schemas.openxmlformats.org/drawingml/2006/picture">
                        <pic:nvPicPr>
                          <pic:cNvPr id="53" name="图片_13398"/>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 name="图片_13395"/>
                  <wp:cNvGraphicFramePr/>
                  <a:graphic xmlns:a="http://schemas.openxmlformats.org/drawingml/2006/main">
                    <a:graphicData uri="http://schemas.openxmlformats.org/drawingml/2006/picture">
                      <pic:pic xmlns:pic="http://schemas.openxmlformats.org/drawingml/2006/picture">
                        <pic:nvPicPr>
                          <pic:cNvPr id="88" name="图片_13395"/>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 name="图片_13393"/>
                  <wp:cNvGraphicFramePr/>
                  <a:graphic xmlns:a="http://schemas.openxmlformats.org/drawingml/2006/main">
                    <a:graphicData uri="http://schemas.openxmlformats.org/drawingml/2006/picture">
                      <pic:pic xmlns:pic="http://schemas.openxmlformats.org/drawingml/2006/picture">
                        <pic:nvPicPr>
                          <pic:cNvPr id="89" name="图片_13393"/>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 name="图片_13397"/>
                  <wp:cNvGraphicFramePr/>
                  <a:graphic xmlns:a="http://schemas.openxmlformats.org/drawingml/2006/main">
                    <a:graphicData uri="http://schemas.openxmlformats.org/drawingml/2006/picture">
                      <pic:pic xmlns:pic="http://schemas.openxmlformats.org/drawingml/2006/picture">
                        <pic:nvPicPr>
                          <pic:cNvPr id="67" name="图片_13397"/>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 name="图片_13396"/>
                  <wp:cNvGraphicFramePr/>
                  <a:graphic xmlns:a="http://schemas.openxmlformats.org/drawingml/2006/main">
                    <a:graphicData uri="http://schemas.openxmlformats.org/drawingml/2006/picture">
                      <pic:pic xmlns:pic="http://schemas.openxmlformats.org/drawingml/2006/picture">
                        <pic:nvPicPr>
                          <pic:cNvPr id="84" name="图片_13396"/>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 name="图片_13394"/>
                  <wp:cNvGraphicFramePr/>
                  <a:graphic xmlns:a="http://schemas.openxmlformats.org/drawingml/2006/main">
                    <a:graphicData uri="http://schemas.openxmlformats.org/drawingml/2006/picture">
                      <pic:pic xmlns:pic="http://schemas.openxmlformats.org/drawingml/2006/picture">
                        <pic:nvPicPr>
                          <pic:cNvPr id="75" name="图片_13394"/>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 name="图片_14018"/>
                  <wp:cNvGraphicFramePr/>
                  <a:graphic xmlns:a="http://schemas.openxmlformats.org/drawingml/2006/main">
                    <a:graphicData uri="http://schemas.openxmlformats.org/drawingml/2006/picture">
                      <pic:pic xmlns:pic="http://schemas.openxmlformats.org/drawingml/2006/picture">
                        <pic:nvPicPr>
                          <pic:cNvPr id="65" name="图片_14018"/>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 name="图片_13390"/>
                  <wp:cNvGraphicFramePr/>
                  <a:graphic xmlns:a="http://schemas.openxmlformats.org/drawingml/2006/main">
                    <a:graphicData uri="http://schemas.openxmlformats.org/drawingml/2006/picture">
                      <pic:pic xmlns:pic="http://schemas.openxmlformats.org/drawingml/2006/picture">
                        <pic:nvPicPr>
                          <pic:cNvPr id="58" name="图片_13390"/>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 name="图片_13392"/>
                  <wp:cNvGraphicFramePr/>
                  <a:graphic xmlns:a="http://schemas.openxmlformats.org/drawingml/2006/main">
                    <a:graphicData uri="http://schemas.openxmlformats.org/drawingml/2006/picture">
                      <pic:pic xmlns:pic="http://schemas.openxmlformats.org/drawingml/2006/picture">
                        <pic:nvPicPr>
                          <pic:cNvPr id="79" name="图片_1339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 name="图片_13391"/>
                  <wp:cNvGraphicFramePr/>
                  <a:graphic xmlns:a="http://schemas.openxmlformats.org/drawingml/2006/main">
                    <a:graphicData uri="http://schemas.openxmlformats.org/drawingml/2006/picture">
                      <pic:pic xmlns:pic="http://schemas.openxmlformats.org/drawingml/2006/picture">
                        <pic:nvPicPr>
                          <pic:cNvPr id="74" name="图片_13391"/>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规划场地空间设计及平面设计，出具效果图及制作功能分区牌1套。</w:t>
            </w:r>
          </w:p>
        </w:tc>
        <w:tc>
          <w:tcPr>
            <w:tcW w:w="750"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室外门头标识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①内容：河南省县域商业体系建设 材质：加密度PVC雕刻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②内容：老城镇商贸综合服务中心 材质：发光字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（含施工期间高工作业人工费及吊车升降车租赁等）</w:t>
            </w:r>
          </w:p>
        </w:tc>
        <w:tc>
          <w:tcPr>
            <w:tcW w:w="750" w:type="dxa"/>
            <w:vMerge w:val="continue"/>
            <w:shd w:val="clear" w:color="auto" w:fill="FFFFFF"/>
            <w:noWrap/>
            <w:vAlign w:val="center"/>
          </w:tcPr>
          <w:p>
            <w:pPr>
              <w:widowControl/>
              <w:jc w:val="center"/>
              <w:rPr>
                <w:rFonts w:ascii="宋体" w:hAnsi="宋体" w:cs="宋体"/>
                <w:color w:val="000000"/>
                <w:sz w:val="24"/>
                <w:szCs w:val="24"/>
              </w:rPr>
            </w:pPr>
          </w:p>
        </w:tc>
        <w:tc>
          <w:tcPr>
            <w:tcW w:w="721" w:type="dxa"/>
            <w:vMerge w:val="continue"/>
            <w:shd w:val="clear" w:color="auto" w:fill="FFFFFF"/>
            <w:noWrap/>
            <w:vAlign w:val="center"/>
          </w:tcPr>
          <w:p>
            <w:pPr>
              <w:widowControl/>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功能介绍栏</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农产品消费帮扶专柜展示灯箱，宣传展示灯箱，尺寸1.2m*2m  材质：软膜卡布灯箱、厚度：6公分、铝合金边框</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便民微波炉</w:t>
            </w:r>
          </w:p>
        </w:tc>
        <w:tc>
          <w:tcPr>
            <w:tcW w:w="6363"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蒸烤一体机，26L大容量，40℃-100℃轻盈蒸汽，110℃-230℃上下立体焗烤，额定电压/额定功率220V/50Hz</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海鲜设备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二层鱼缸</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尺寸：高1.5米，宽1米，长1.5米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1.结构材料:SUS304不锈钢 40*40mm方管,厚度1.1mm</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2.饰面颜色:黑色ABS防腐防锈波纹板</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3.玻璃:超白玻璃12mm，侧面超白玻璃12mm；</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4.滤材：过滤棉、珊瑚石、活性炭</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5.机电系统:（整机额定功率1800~2500W）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①海水耐蚀泵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②增氧泵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③LED灯(台芯蓝白色灯)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④冷暖恒温机（最低温度5度）；</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⑤微电脑控制面板；</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6.管道系统:循环管道/供氧管道/球阀 (①PVC；②饮用水级)</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环形鱼缸</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尺寸：高1.4米，圆缸宽1米，长1.2米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1.结构材料:SUS304不锈钢 40*40mm方管,厚度1.1mm</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2.饰面颜色:黑色ABS防腐防锈波纹板</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3.玻璃:超白玻璃12mm，侧面超白玻璃12mm；</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4.滤材：过滤棉、珊瑚石、活性炭</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5.机电系统:（整机额定功率1800~2500W）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①海水耐蚀泵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②增氧泵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③LED灯(台芯蓝白色灯)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④冷暖恒温机（最低温度5度）；双温双控，温度单独控制，2匹一拖二冷暖恒温机。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⑤微电脑控制面板；</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6.管道系统:循环管道/供氧管道/球阀 (①PVC；②饮用水级)</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陈列设备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散称中式糕点柜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长120cm，高80cm，宽80cm 总体高度140cm 主材15MM浸渍胶膜纸饰面胶合板；下部带储物柜。黑色铁质喷塑包边 柜门不锈钢联排合页磁铁门吸五金拉手，两层 玻璃盒子亚克力抽拉盖子</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杂粮柜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长120cm，高80cm，宽80cm 钢木结合 主材15MM浸渍胶膜纸饰面胶合板；玻璃分格 下部带储物柜。柜门不锈钢联排合页磁铁门吸五金拉手，含两层层板</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杂粮端头柜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长160cm，高80cm，宽80cm  钢木结合 主材15MM浸渍胶膜纸饰面胶合板；玻璃分3格 下部带储物柜。柜门不锈钢联排合页磁铁门吸五金拉手</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散称柜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长120cm，高80cm，宽80cm 主材15MM浸渍胶膜纸饰面胶合板 三层台阶，下部带储物柜。柜门联排合页磁铁门吸黑色五金拉手，黑色不锈钢包地脚及黑色防撞条。每组含PET盒子</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散称促销柜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长120cm，高80cm，宽80cm  钢木结合 主材15MM浸渍胶膜纸饰面胶合板 下部带储物柜。柜门联排合页磁铁门吸黑色五金拉手 玻璃分3格</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智能设备提升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电子价签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10.1寸全彩屏LCD电子价签带轨道，后台程序，显示技术:全彩色TFT，可视区域:216.58x135.36mm，分 辨 率:1280x800px，显示颜色:16.7M，工作电压:5.0V~12V，产品尺寸：243.85x151.25x14.1mm，含物料</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AI嵌入式智能识别一体秤（热敏标签纸款）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 name="图片_8269"/>
                  <wp:cNvGraphicFramePr/>
                  <a:graphic xmlns:a="http://schemas.openxmlformats.org/drawingml/2006/main">
                    <a:graphicData uri="http://schemas.openxmlformats.org/drawingml/2006/picture">
                      <pic:pic xmlns:pic="http://schemas.openxmlformats.org/drawingml/2006/picture">
                        <pic:nvPicPr>
                          <pic:cNvPr id="85" name="图片_8269"/>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 name="图片_6825"/>
                  <wp:cNvGraphicFramePr/>
                  <a:graphic xmlns:a="http://schemas.openxmlformats.org/drawingml/2006/main">
                    <a:graphicData uri="http://schemas.openxmlformats.org/drawingml/2006/picture">
                      <pic:pic xmlns:pic="http://schemas.openxmlformats.org/drawingml/2006/picture">
                        <pic:nvPicPr>
                          <pic:cNvPr id="80" name="图片_6825"/>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 name="图片_8277"/>
                  <wp:cNvGraphicFramePr/>
                  <a:graphic xmlns:a="http://schemas.openxmlformats.org/drawingml/2006/main">
                    <a:graphicData uri="http://schemas.openxmlformats.org/drawingml/2006/picture">
                      <pic:pic xmlns:pic="http://schemas.openxmlformats.org/drawingml/2006/picture">
                        <pic:nvPicPr>
                          <pic:cNvPr id="76" name="图片_8277"/>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 name="图片_8276"/>
                  <wp:cNvGraphicFramePr/>
                  <a:graphic xmlns:a="http://schemas.openxmlformats.org/drawingml/2006/main">
                    <a:graphicData uri="http://schemas.openxmlformats.org/drawingml/2006/picture">
                      <pic:pic xmlns:pic="http://schemas.openxmlformats.org/drawingml/2006/picture">
                        <pic:nvPicPr>
                          <pic:cNvPr id="77" name="图片_8276"/>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 name="图片_18667"/>
                  <wp:cNvGraphicFramePr/>
                  <a:graphic xmlns:a="http://schemas.openxmlformats.org/drawingml/2006/main">
                    <a:graphicData uri="http://schemas.openxmlformats.org/drawingml/2006/picture">
                      <pic:pic xmlns:pic="http://schemas.openxmlformats.org/drawingml/2006/picture">
                        <pic:nvPicPr>
                          <pic:cNvPr id="66" name="图片_18667"/>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 name="图片_6824"/>
                  <wp:cNvGraphicFramePr/>
                  <a:graphic xmlns:a="http://schemas.openxmlformats.org/drawingml/2006/main">
                    <a:graphicData uri="http://schemas.openxmlformats.org/drawingml/2006/picture">
                      <pic:pic xmlns:pic="http://schemas.openxmlformats.org/drawingml/2006/picture">
                        <pic:nvPicPr>
                          <pic:cNvPr id="59" name="图片_6824"/>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 name="图片_6817"/>
                  <wp:cNvGraphicFramePr/>
                  <a:graphic xmlns:a="http://schemas.openxmlformats.org/drawingml/2006/main">
                    <a:graphicData uri="http://schemas.openxmlformats.org/drawingml/2006/picture">
                      <pic:pic xmlns:pic="http://schemas.openxmlformats.org/drawingml/2006/picture">
                        <pic:nvPicPr>
                          <pic:cNvPr id="60" name="图片_6817"/>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 name="图片_18666"/>
                  <wp:cNvGraphicFramePr/>
                  <a:graphic xmlns:a="http://schemas.openxmlformats.org/drawingml/2006/main">
                    <a:graphicData uri="http://schemas.openxmlformats.org/drawingml/2006/picture">
                      <pic:pic xmlns:pic="http://schemas.openxmlformats.org/drawingml/2006/picture">
                        <pic:nvPicPr>
                          <pic:cNvPr id="78" name="图片_18666"/>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 name="图片_18668"/>
                  <wp:cNvGraphicFramePr/>
                  <a:graphic xmlns:a="http://schemas.openxmlformats.org/drawingml/2006/main">
                    <a:graphicData uri="http://schemas.openxmlformats.org/drawingml/2006/picture">
                      <pic:pic xmlns:pic="http://schemas.openxmlformats.org/drawingml/2006/picture">
                        <pic:nvPicPr>
                          <pic:cNvPr id="86" name="图片_18668"/>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含系统，AI嵌入式一体化设计，Linux操作系统/15.6寸全触摸屏/热敏标签纸不干胶打印，可对商品快速分类编辑、分类显示；可视AI识别称重商品，支持拼音简称、价格、货号检索快速查找商品；AI自动识别商品、聚合码打印（一码多品）、语音播报、商品分类、商品图片等功能模式，含送货上门+技术人员安装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通道收银机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4G内存、64G固态硬盘、显示器12.1寸（1024*768）、键盘、打印机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激光平台</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32 位 ARM 微处理器，扫描类型 图像扫描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分辨率1280×1024 像素光源白色LED，色温 2700K</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扫描角度 ±60°，±54°，360°（左右、前后、转动）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扫描速率 95.3 英寸/秒、印刷对比度 最低 20%反射差</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解码种类 包括 GS1 DataBar 在内的所有通用的一维码、二维码</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和尚桥镇商贸综合服务中心（咱家量贩）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 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整体规划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规划场地空间设计及平面设计，出具效果图及制作功能分区牌1套。</w:t>
            </w:r>
          </w:p>
        </w:tc>
        <w:tc>
          <w:tcPr>
            <w:tcW w:w="750"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室外门头标识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①内容：河南省县域商业体系建设 材质：加密度PVC雕刻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②内容：和尚桥镇商贸综合服务中心材质：发光字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（含施工期间高工作业人工费及吊车升降车租赁等）</w:t>
            </w:r>
          </w:p>
        </w:tc>
        <w:tc>
          <w:tcPr>
            <w:tcW w:w="750" w:type="dxa"/>
            <w:vMerge w:val="continue"/>
            <w:shd w:val="clear" w:color="auto" w:fill="FFFFFF"/>
            <w:noWrap/>
            <w:vAlign w:val="center"/>
          </w:tcPr>
          <w:p>
            <w:pPr>
              <w:widowControl/>
              <w:jc w:val="center"/>
              <w:rPr>
                <w:rFonts w:ascii="宋体" w:hAnsi="宋体" w:cs="宋体"/>
                <w:color w:val="000000"/>
                <w:sz w:val="24"/>
                <w:szCs w:val="24"/>
              </w:rPr>
            </w:pPr>
          </w:p>
        </w:tc>
        <w:tc>
          <w:tcPr>
            <w:tcW w:w="721" w:type="dxa"/>
            <w:vMerge w:val="continue"/>
            <w:shd w:val="clear" w:color="auto" w:fill="FFFFFF"/>
            <w:noWrap/>
            <w:vAlign w:val="center"/>
          </w:tcPr>
          <w:p>
            <w:pPr>
              <w:widowControl/>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自助打印复印证照一体机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 name="图片_55585"/>
                  <wp:cNvGraphicFramePr/>
                  <a:graphic xmlns:a="http://schemas.openxmlformats.org/drawingml/2006/main">
                    <a:graphicData uri="http://schemas.openxmlformats.org/drawingml/2006/picture">
                      <pic:pic xmlns:pic="http://schemas.openxmlformats.org/drawingml/2006/picture">
                        <pic:nvPicPr>
                          <pic:cNvPr id="61" name="图片_55585"/>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 name="图片_55593"/>
                  <wp:cNvGraphicFramePr/>
                  <a:graphic xmlns:a="http://schemas.openxmlformats.org/drawingml/2006/main">
                    <a:graphicData uri="http://schemas.openxmlformats.org/drawingml/2006/picture">
                      <pic:pic xmlns:pic="http://schemas.openxmlformats.org/drawingml/2006/picture">
                        <pic:nvPicPr>
                          <pic:cNvPr id="64" name="图片_55593"/>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 name="图片_55592"/>
                  <wp:cNvGraphicFramePr/>
                  <a:graphic xmlns:a="http://schemas.openxmlformats.org/drawingml/2006/main">
                    <a:graphicData uri="http://schemas.openxmlformats.org/drawingml/2006/picture">
                      <pic:pic xmlns:pic="http://schemas.openxmlformats.org/drawingml/2006/picture">
                        <pic:nvPicPr>
                          <pic:cNvPr id="83" name="图片_55592"/>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自助打印复印证照一体机，机身采用1.2mm加厚钣金，内置保险管，高压保护，8寸触摸屏内置工控电脑，USB口可接U盘等，支持无线WIFI网络，功能包含：文档打印，扫描复印，相片冲洗等（包含送货上门，安装服务：含辅助材料、人工安装等）</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便民微波炉</w:t>
            </w:r>
          </w:p>
        </w:tc>
        <w:tc>
          <w:tcPr>
            <w:tcW w:w="6363" w:type="dxa"/>
            <w:shd w:val="clear" w:color="auto" w:fill="FFFFFF"/>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蒸烤一体机，26L大容量，40℃-100℃轻盈蒸汽，110℃-230℃上下立体焗烤，额定电压/额定功率220V/50Hz</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购物车</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静音承重轮，彩色配件，升数125L</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收银打包设备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AI嵌入式智能识别一体秤（热敏标签纸款）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 name="图片_30144"/>
                  <wp:cNvGraphicFramePr/>
                  <a:graphic xmlns:a="http://schemas.openxmlformats.org/drawingml/2006/main">
                    <a:graphicData uri="http://schemas.openxmlformats.org/drawingml/2006/picture">
                      <pic:pic xmlns:pic="http://schemas.openxmlformats.org/drawingml/2006/picture">
                        <pic:nvPicPr>
                          <pic:cNvPr id="87" name="图片_30144"/>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 name="图片_30142"/>
                  <wp:cNvGraphicFramePr/>
                  <a:graphic xmlns:a="http://schemas.openxmlformats.org/drawingml/2006/main">
                    <a:graphicData uri="http://schemas.openxmlformats.org/drawingml/2006/picture">
                      <pic:pic xmlns:pic="http://schemas.openxmlformats.org/drawingml/2006/picture">
                        <pic:nvPicPr>
                          <pic:cNvPr id="62" name="图片_30142"/>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 name="图片_30143"/>
                  <wp:cNvGraphicFramePr/>
                  <a:graphic xmlns:a="http://schemas.openxmlformats.org/drawingml/2006/main">
                    <a:graphicData uri="http://schemas.openxmlformats.org/drawingml/2006/picture">
                      <pic:pic xmlns:pic="http://schemas.openxmlformats.org/drawingml/2006/picture">
                        <pic:nvPicPr>
                          <pic:cNvPr id="81" name="图片_30143"/>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含系统，AI嵌入式一体化设计，Linux操作系统/15.6寸全触摸屏/热敏标签纸不干胶打印，可对商品快速分类编辑、分类显示；可视AI识别称重商品，支持拼音简称、价格、货号检索快速查找商品；AI自动识别商品、聚合码打印（一码多品）、语音播报、商品分类、商品图片等功能模式，含送货上门+技术人员安装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陈列设备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粮食货架</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长1.2米 宽75cm高1.4米 钢木结合 主材15MM浸渍胶膜纸饰面胶合板；玻璃分格 下部带储物柜。柜门不锈钢联排合页磁铁门吸五金拉手，含两层层板</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粮食货架端头</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端头长1.5米*宽75cm 钢木结合 主材15MM浸渍胶膜纸饰面胶合板；玻璃分3格 下部带储物柜。柜门不锈钢联排合页磁铁门吸五金拉手</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面粉货架</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长1.2米 背靠背宽1.5米 钢木结合 主材15MM浸渍胶膜纸饰面胶合板 两层台阶</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促销台</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长1.2米*宽80cm*高80CM，咖色</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生鲜水果货架</w:t>
            </w:r>
          </w:p>
        </w:tc>
        <w:tc>
          <w:tcPr>
            <w:tcW w:w="6363" w:type="dxa"/>
            <w:shd w:val="clear" w:color="auto" w:fill="FFFFFF"/>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（单个90cm长*90cm宽*80cm高含护栏假底）（8个为一组）</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冷链设备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风幕柜</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两台组合而成，总尺寸：长3.82米*宽0.85米*高2.05米，运行温度3～8度，梯形层流风幕和背板出风技术，大展示面积，全铜管蒸发器制冷，压缩机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收银打包设备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电子价签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10.1寸全彩屏LCD电子价签带轨道，后台程序，显示技术:全彩色TFT，可视区域:216.58x135.36mm，分 辨 率:1280x800px，显示颜色:16.7M，工作电压:5.0V~12V，产品尺寸：243.85x151.25x14.1mm，含物料</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智能感应束带机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超市专用智能感应蔬菜束带机，无胶热熔捆扎，收紧度及热熔温度可调节，适用蔬菜、食品等多品类。（包技术人员安装调整及使用指导服务）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保鲜膜打包机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保鲜膜包装机、不锈钢外壳，产品尺寸：50*42*16cm，适用宽45cm内保鲜膜，适用场地：市场、商场、超市水果店</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石象镇商贸综合服务中心（三峰购物广场）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 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整体规划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规划场地空间设计及平面设计，出具效果图及制作功能分区牌1套。</w:t>
            </w:r>
          </w:p>
        </w:tc>
        <w:tc>
          <w:tcPr>
            <w:tcW w:w="750"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室外门头标识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①内容：河南省县域商业体系建设 材质：加密度PVC雕刻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②内容：石象镇商贸综合服务中心 材质：发光字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（含施工期间高工作业人工费及吊车升降车租赁等）</w:t>
            </w:r>
          </w:p>
        </w:tc>
        <w:tc>
          <w:tcPr>
            <w:tcW w:w="750" w:type="dxa"/>
            <w:vMerge w:val="continue"/>
            <w:shd w:val="clear" w:color="auto" w:fill="FFFFFF"/>
            <w:noWrap/>
            <w:vAlign w:val="center"/>
          </w:tcPr>
          <w:p>
            <w:pPr>
              <w:widowControl/>
              <w:jc w:val="center"/>
              <w:rPr>
                <w:rFonts w:ascii="宋体" w:hAnsi="宋体" w:cs="宋体"/>
                <w:color w:val="000000"/>
                <w:sz w:val="24"/>
                <w:szCs w:val="24"/>
              </w:rPr>
            </w:pPr>
          </w:p>
        </w:tc>
        <w:tc>
          <w:tcPr>
            <w:tcW w:w="721" w:type="dxa"/>
            <w:vMerge w:val="continue"/>
            <w:shd w:val="clear" w:color="auto" w:fill="FFFFFF"/>
            <w:noWrap/>
            <w:vAlign w:val="center"/>
          </w:tcPr>
          <w:p>
            <w:pPr>
              <w:widowControl/>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购物车</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静音承重轮，彩色配件，升数125L</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辆</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收银打包设备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全自动铝钉机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全自动铝钉机、不锈钢材质，主体尺寸：375*255*450，电源：AC220V/50-60Hz，总功率80W，适用范围超市、水果店、菜市场适用（包技术人员安装调整及使用指导服务）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真空封口机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全自动封口机、额定电压：220V-240VAC，额定频率：50Hz，额定功率：150W</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AI嵌入式智能识别一体秤（热敏标签纸款）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 name="图片_14883"/>
                  <wp:cNvGraphicFramePr/>
                  <a:graphic xmlns:a="http://schemas.openxmlformats.org/drawingml/2006/main">
                    <a:graphicData uri="http://schemas.openxmlformats.org/drawingml/2006/picture">
                      <pic:pic xmlns:pic="http://schemas.openxmlformats.org/drawingml/2006/picture">
                        <pic:nvPicPr>
                          <pic:cNvPr id="63" name="图片_14883"/>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 name="图片_14881"/>
                  <wp:cNvGraphicFramePr/>
                  <a:graphic xmlns:a="http://schemas.openxmlformats.org/drawingml/2006/main">
                    <a:graphicData uri="http://schemas.openxmlformats.org/drawingml/2006/picture">
                      <pic:pic xmlns:pic="http://schemas.openxmlformats.org/drawingml/2006/picture">
                        <pic:nvPicPr>
                          <pic:cNvPr id="82" name="图片_14881"/>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 name="图片_14882"/>
                  <wp:cNvGraphicFramePr/>
                  <a:graphic xmlns:a="http://schemas.openxmlformats.org/drawingml/2006/main">
                    <a:graphicData uri="http://schemas.openxmlformats.org/drawingml/2006/picture">
                      <pic:pic xmlns:pic="http://schemas.openxmlformats.org/drawingml/2006/picture">
                        <pic:nvPicPr>
                          <pic:cNvPr id="68" name="图片_14882"/>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含系统，AI嵌入式一体化设计，Linux操作系统/15.6寸全触摸屏/热敏标签纸不干胶打印，可对商品快速分类编辑、分类显示；可视AI识别称重商品，支持拼音简称、价格、货号检索快速查找商品；AI自动识别商品、聚合码打印（一码多品）、语音播报、商品分类、商品图片等功能模式，含送货上门+技术人员安装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冷链设备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生鲜柜(拐角)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长1450mm，宽1450mm，高960mm加大加高设计压缩机，纯铜管蒸发器制冷，环保制冷剂，加厚发泡层节能省电，低噪音。</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rPr>
                <w:rFonts w:ascii="宋体" w:hAnsi="宋体" w:cs="宋体"/>
                <w:color w:val="000000"/>
                <w:sz w:val="24"/>
                <w:szCs w:val="24"/>
              </w:rPr>
            </w:pPr>
            <w:r>
              <w:rPr>
                <w:rFonts w:hint="eastAsia" w:ascii="宋体" w:hAnsi="宋体" w:cs="宋体"/>
                <w:color w:val="000000"/>
                <w:sz w:val="24"/>
                <w:szCs w:val="24"/>
              </w:rPr>
              <w:t>生鲜柜(直柜1)</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长1875mm，宽1050mm，高960mm加大加高设计压缩机，纯铜管蒸发器制冷，环保制冷剂，加厚发泡层节能省电，低噪音。</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rPr>
                <w:rFonts w:ascii="宋体" w:hAnsi="宋体" w:cs="宋体"/>
                <w:color w:val="000000"/>
                <w:sz w:val="24"/>
                <w:szCs w:val="24"/>
              </w:rPr>
            </w:pPr>
            <w:r>
              <w:rPr>
                <w:rFonts w:hint="eastAsia" w:ascii="宋体" w:hAnsi="宋体" w:cs="宋体"/>
                <w:color w:val="000000"/>
                <w:sz w:val="24"/>
                <w:szCs w:val="24"/>
              </w:rPr>
              <w:t>生鲜柜(直柜2)</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长2900mm，宽1050mm，高960mm加大加高设计压缩机，纯铜管蒸发器制冷，环保制冷剂，加厚发泡层节能省电，低噪音。</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坡胡镇商贸综合服务中心（新财生活广场）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 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整体规划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规划场地空间设计及平面设计，出具效果图及制作功能分区牌1套。</w:t>
            </w:r>
          </w:p>
        </w:tc>
        <w:tc>
          <w:tcPr>
            <w:tcW w:w="750"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室外门头标识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①内容：河南省县域商业体系建设 材质：加密度PVC雕刻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②内容：坡胡镇商贸综合服务中心 材质：发光字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（含施工期间高工作业人工费及吊车升降车租赁等）</w:t>
            </w:r>
          </w:p>
        </w:tc>
        <w:tc>
          <w:tcPr>
            <w:tcW w:w="750" w:type="dxa"/>
            <w:vMerge w:val="continue"/>
            <w:shd w:val="clear" w:color="auto" w:fill="FFFFFF"/>
            <w:noWrap/>
            <w:vAlign w:val="center"/>
          </w:tcPr>
          <w:p>
            <w:pPr>
              <w:widowControl/>
              <w:jc w:val="center"/>
              <w:rPr>
                <w:rFonts w:ascii="宋体" w:hAnsi="宋体" w:cs="宋体"/>
                <w:color w:val="000000"/>
                <w:sz w:val="24"/>
                <w:szCs w:val="24"/>
              </w:rPr>
            </w:pPr>
          </w:p>
        </w:tc>
        <w:tc>
          <w:tcPr>
            <w:tcW w:w="721" w:type="dxa"/>
            <w:vMerge w:val="continue"/>
            <w:shd w:val="clear" w:color="auto" w:fill="FFFFFF"/>
            <w:noWrap/>
            <w:vAlign w:val="center"/>
          </w:tcPr>
          <w:p>
            <w:pPr>
              <w:widowControl/>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便民微波炉</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蒸烤一体机，26L大容量，40℃-100℃轻盈蒸汽，110℃-230℃上下立体焗烤，额定电压/额定功率220V/50Hz</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智能超声波身高体重测量仪</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 name="图片_44839"/>
                  <wp:cNvGraphicFramePr/>
                  <a:graphic xmlns:a="http://schemas.openxmlformats.org/drawingml/2006/main">
                    <a:graphicData uri="http://schemas.openxmlformats.org/drawingml/2006/picture">
                      <pic:pic xmlns:pic="http://schemas.openxmlformats.org/drawingml/2006/picture">
                        <pic:nvPicPr>
                          <pic:cNvPr id="69" name="图片_44839"/>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 name="图片_44840"/>
                  <wp:cNvGraphicFramePr/>
                  <a:graphic xmlns:a="http://schemas.openxmlformats.org/drawingml/2006/main">
                    <a:graphicData uri="http://schemas.openxmlformats.org/drawingml/2006/picture">
                      <pic:pic xmlns:pic="http://schemas.openxmlformats.org/drawingml/2006/picture">
                        <pic:nvPicPr>
                          <pic:cNvPr id="70" name="图片_44840"/>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 name="图片_44838"/>
                  <wp:cNvGraphicFramePr/>
                  <a:graphic xmlns:a="http://schemas.openxmlformats.org/drawingml/2006/main">
                    <a:graphicData uri="http://schemas.openxmlformats.org/drawingml/2006/picture">
                      <pic:pic xmlns:pic="http://schemas.openxmlformats.org/drawingml/2006/picture">
                        <pic:nvPicPr>
                          <pic:cNvPr id="71" name="图片_44838"/>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 name="图片_44835"/>
                  <wp:cNvGraphicFramePr/>
                  <a:graphic xmlns:a="http://schemas.openxmlformats.org/drawingml/2006/main">
                    <a:graphicData uri="http://schemas.openxmlformats.org/drawingml/2006/picture">
                      <pic:pic xmlns:pic="http://schemas.openxmlformats.org/drawingml/2006/picture">
                        <pic:nvPicPr>
                          <pic:cNvPr id="72" name="图片_44835"/>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 name="图片_44841"/>
                  <wp:cNvGraphicFramePr/>
                  <a:graphic xmlns:a="http://schemas.openxmlformats.org/drawingml/2006/main">
                    <a:graphicData uri="http://schemas.openxmlformats.org/drawingml/2006/picture">
                      <pic:pic xmlns:pic="http://schemas.openxmlformats.org/drawingml/2006/picture">
                        <pic:nvPicPr>
                          <pic:cNvPr id="73" name="图片_44841"/>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90" name="图片_44837"/>
                  <wp:cNvGraphicFramePr/>
                  <a:graphic xmlns:a="http://schemas.openxmlformats.org/drawingml/2006/main">
                    <a:graphicData uri="http://schemas.openxmlformats.org/drawingml/2006/picture">
                      <pic:pic xmlns:pic="http://schemas.openxmlformats.org/drawingml/2006/picture">
                        <pic:nvPicPr>
                          <pic:cNvPr id="90" name="图片_44837"/>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91" name="图片_44834"/>
                  <wp:cNvGraphicFramePr/>
                  <a:graphic xmlns:a="http://schemas.openxmlformats.org/drawingml/2006/main">
                    <a:graphicData uri="http://schemas.openxmlformats.org/drawingml/2006/picture">
                      <pic:pic xmlns:pic="http://schemas.openxmlformats.org/drawingml/2006/picture">
                        <pic:nvPicPr>
                          <pic:cNvPr id="91" name="图片_44834"/>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92" name="图片_44833"/>
                  <wp:cNvGraphicFramePr/>
                  <a:graphic xmlns:a="http://schemas.openxmlformats.org/drawingml/2006/main">
                    <a:graphicData uri="http://schemas.openxmlformats.org/drawingml/2006/picture">
                      <pic:pic xmlns:pic="http://schemas.openxmlformats.org/drawingml/2006/picture">
                        <pic:nvPicPr>
                          <pic:cNvPr id="92" name="图片_44833"/>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93" name="图片_44836"/>
                  <wp:cNvGraphicFramePr/>
                  <a:graphic xmlns:a="http://schemas.openxmlformats.org/drawingml/2006/main">
                    <a:graphicData uri="http://schemas.openxmlformats.org/drawingml/2006/picture">
                      <pic:pic xmlns:pic="http://schemas.openxmlformats.org/drawingml/2006/picture">
                        <pic:nvPicPr>
                          <pic:cNvPr id="93" name="图片_44836"/>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超声波身高体重测量仪，采用进口超声波探头测高，精密传感器测重，可自动测量身高、体重、血压,采用10.1寸高清液晶触摸屏、智能引导语音动画提示、多媒体播放；高速热敏打印测量结果，自动切纸，同步语音播报（包含专车送货上门，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收银打包设备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收银口秤</w:t>
            </w:r>
          </w:p>
        </w:tc>
        <w:tc>
          <w:tcPr>
            <w:tcW w:w="6363" w:type="dxa"/>
            <w:shd w:val="clear" w:color="auto" w:fill="FFFFFF"/>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通讯秤，链接收银台使用，不出标签。</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电子价签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10.1寸全彩屏LCD电子价签带轨道，后台程序，显示技术:全彩色TFT，可视区域:216.58x135.36mm，分 辨 率:1280x800px，显示颜色:16.7M，工作电压:5.0V~12V，产品尺寸：243.85x151.25x14.1mm，含物料</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陈列设备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收银台</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定制尺寸：1800mm*1200m</w:t>
            </w:r>
            <w:r>
              <w:rPr>
                <w:rFonts w:hint="eastAsia" w:ascii="宋体" w:hAnsi="宋体" w:cs="宋体"/>
                <w:kern w:val="0"/>
                <w:sz w:val="24"/>
                <w:szCs w:val="24"/>
              </w:rPr>
              <w:t xml:space="preserve">m </w:t>
            </w:r>
            <w:r>
              <w:rPr>
                <w:rFonts w:hint="eastAsia" w:ascii="宋体" w:hAnsi="宋体" w:cs="宋体"/>
                <w:sz w:val="24"/>
                <w:szCs w:val="24"/>
              </w:rPr>
              <w:t>三左五右</w:t>
            </w:r>
            <w:r>
              <w:rPr>
                <w:rFonts w:hint="eastAsia" w:ascii="宋体" w:hAnsi="宋体" w:cs="宋体"/>
                <w:kern w:val="0"/>
                <w:sz w:val="24"/>
                <w:szCs w:val="24"/>
              </w:rPr>
              <w:t xml:space="preserve"> 围</w:t>
            </w:r>
            <w:r>
              <w:rPr>
                <w:rFonts w:hint="eastAsia" w:ascii="宋体" w:hAnsi="宋体" w:cs="宋体"/>
                <w:color w:val="000000"/>
                <w:kern w:val="0"/>
                <w:sz w:val="24"/>
                <w:szCs w:val="24"/>
              </w:rPr>
              <w:t>板1.0MM 不锈钢台面1.0MM厚</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蔬果平堆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碳烧木颜色，扁钢拉手，百叶合页，台面高800mm  带假底及护栏8个一组，1200mm*800mm*800mm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蔬果平堆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碳烧木颜色，扁钢拉手，百叶合页，台面高800mm  带假底及护栏4个一组，900mm*900mm*800mm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冷链设备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风幕柜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两台组合而成，总尺寸：长3.82米*宽0.85米*高2.05米，运行温度3～8度，梯形层流风幕和背板出风技术，大展示面积，全铜管蒸发器制冷，压缩机。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佛耳湖镇商贸综合服务中心（家和兴购物广场）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 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整体规划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规划场地空间设计及平面设计，出具效果图及制作功能分区牌1套。</w:t>
            </w:r>
          </w:p>
        </w:tc>
        <w:tc>
          <w:tcPr>
            <w:tcW w:w="750"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室外门头标识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①内容：河南省县域商业体系建设 材质：加密度PVC雕刻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②内容：佛耳湖镇商贸综合服务中心 材质：发光字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（含施工期间高工作业人工费及吊车升降车租赁等）</w:t>
            </w:r>
          </w:p>
        </w:tc>
        <w:tc>
          <w:tcPr>
            <w:tcW w:w="750" w:type="dxa"/>
            <w:vMerge w:val="continue"/>
            <w:shd w:val="clear" w:color="auto" w:fill="FFFFFF"/>
            <w:noWrap/>
            <w:vAlign w:val="center"/>
          </w:tcPr>
          <w:p>
            <w:pPr>
              <w:widowControl/>
              <w:jc w:val="center"/>
              <w:rPr>
                <w:rFonts w:ascii="宋体" w:hAnsi="宋体" w:cs="宋体"/>
                <w:color w:val="000000"/>
                <w:sz w:val="24"/>
                <w:szCs w:val="24"/>
              </w:rPr>
            </w:pPr>
          </w:p>
        </w:tc>
        <w:tc>
          <w:tcPr>
            <w:tcW w:w="721" w:type="dxa"/>
            <w:vMerge w:val="continue"/>
            <w:shd w:val="clear" w:color="auto" w:fill="FFFFFF"/>
            <w:noWrap/>
            <w:vAlign w:val="center"/>
          </w:tcPr>
          <w:p>
            <w:pPr>
              <w:widowControl/>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功能介绍栏</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农产品消费帮扶专柜展示灯箱，宣传展示灯箱，尺寸1.2m*2m  材质：软膜卡布灯箱、厚度：6公分、铝合金边框</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人脸识别储物柜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主柜尺寸：宽2160mm×深430mm×高1900mm；2、箱门尺寸：宽277mm430×高281mm，钢板材质及厚度：冷轧钢板，静电喷塑处理，柜门厚度：1.0mm；柜门支持7寸液晶显示屏，柜体颜色可选；双目摄像头：清晰度：1000TVL 清晰度，误识别率小于 0.01%，用户容量：10000 人，视场角100°（对角）超广角；电控锁增加三角形盖板设计，带防软片插入装置使用寿命达到100万次。（含运输安装卸货调试）。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自助打印复印证照一体机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自助打印复印证照一体机，机身采用1.2mm加厚钣金，内置保险管，高压保护，8寸触摸屏内置工控电脑，USB口可接U盘等，支持无线WIFI网络，功能包含：文档打印，扫描复印，相片冲洗等（包含送货上门，安装服务：含辅助材料、人工安装等）</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便民微波炉</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蒸烤一体机，26L大容量，40℃-100℃轻盈蒸汽，110℃-230℃上下立体焗烤，额定电压/额定功率220V/50Hz</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智能超声波身高体重测量仪</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超声波身高体重测量仪，采用进口超声波探头测高，精密传感器测重，可自动测量身高、体重、血压,采用10.1寸高清液晶触摸屏、智能引导语音动画提示、多媒体播放；高速热敏打印测量结果，自动切纸，同步语音播报（包含专车送货上门，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冷链设备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岛柜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长2.1米，宽0.88米，高0.85米， 温度零下16-20度，钢化镀膜玻璃米，压缩机,微孔发泡立体锁冷，自动化霜技术，</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生鲜柜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尺寸长度1945mm，宽度1180mm，高度960mm，加大加高设计压缩机，纯铜管蒸发器制冷，环保制冷剂，加厚发泡层节能省电，低噪音。</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风幕柜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单台尺寸：长1.32米*宽0.85米*高2.05米，运行温度3～8度，梯形层流风幕和背板出风技术，大展示面积，全铜管蒸发器制冷，压缩机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不锈钢水产池</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定制不锈钢水产，尺寸：1800*800*800，材质304板材1.0mm，含配套辅助材料</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食品加工设备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和面机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外形尺寸：750mm*480mm*945mm，功率：1.5kw/380v，全钢 304搅拌，生产能力：25KG/H</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醒发箱</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32层带喷雾发泡恒温热风循环，带刹车轮外形尺寸1100mm*800mm*2000mm，（备注：不送盘子）（含专车运输+上门安装服务）。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馒头蒸箱</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外形尺寸：1390mm*670mm*1500mm，功率：24KW/380V</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三层六盘电烤箱</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电压:380V功率:21KW温度范围:常温~400℃，机身尺寸:1300mm*850mm*1620mm，发热管数量:直管36条，重量:233KG，容量:846L 注意:以上参数仅供参考，产品尺寸由人工测量偏差2-3CM属于正常范畴.含烤盘30个，晾晒网10个。（含专车运输+送货上门+安装调试服务）。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绞肉机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立式商用多动能绞切机，加厚不锈钢材质，强劲纯铜芯商用电机，低噪音，可拆卸清洗，一键开关机。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面条机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全自动智能面条机、功率/电压1.2KW/220V，产能≥150份/小时，出面速度20秒/一份，面桶容量8kg，赠送不锈钢面刀1把</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收银打包设备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全自动铝钉机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全自动铝钉机、不锈钢材质，主体尺寸：375*255*450，电源：AC220V/50-60Hz，总功率80W，适用范围超市、水果店、菜市场适用（包技术人员安装调整及使用指导服务）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真空封口机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全自动封口机，额定电压：220V-240VAC，额定频率：50Hz，额定功率：150W</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智能感应束带机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超市专用智能感应蔬菜束带机，无胶热熔捆扎，收紧度及热熔温度可调节，适用蔬菜、食品等多品类。（包技术人员安装调整及使用指导服务）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保鲜膜打包机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保鲜膜包装机、不锈钢外壳，产品尺寸：50*42*16cm，适用宽45cm内保鲜膜，适用场地：市场、商场、超市水果店</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AI嵌入式智能识别一体秤（热敏标签纸款）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含系统，AI嵌入式一体化设计，Linux操作系统/15.6寸全触摸屏/热敏标签纸不干胶打印，可对商品快速分类编辑、分类显示；可视AI识别称重商品，支持拼音简称、价格、货号检索快速查找商品；AI自动识别商品、聚合码打印（一码多品）、语音播报、商品分类、商品图片等功能模式，含送货上门+技术人员安装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shd w:val="clear" w:color="auto" w:fill="FFFFFF"/>
            <w:noWrap/>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亲子娱乐</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儿童乐园</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室内儿童游乐区打造，打造尺寸：14m*8.5m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7家乡镇物流服务站设备总清单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厢式运输车</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排量/功率：1.6L/90kw/ 变速箱： 5档变速箱；轮胎：175R14；轴距：3170mm；总质量(Kg)：2810；额定载质量(Kg)：1340，整备质量(Kg)：1340；转向：电动助力转向；车厢尺寸：3200×1650×1700 整车5385*1790*2555；全国质保  期限：5年20万公里。原厂空调，电动门窗，中控锁，倒车影像，仿真皮座椅。（包含：首年：购置税、交强险车船税+商业险（车损、三责、驾驶员乘客险）+车辆首次上牌及过户+车辆运送至本县内期间产生其他杂项费用）</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辆</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08"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电子秤快递专用</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快递专用手提蓝牙电子秤，称重300KG，支持蓝牙链接快递PDA及四通一达快递系统，称重精准，传输速度快，LCD屏幕显示高清屏，采用高精度传感器，内置蓄电池。</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08"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066"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周转笼</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规格L1.2M*W1M*H2M，扁铁25mm-2.5 mm/ 钢筋6.0mm / 圆管25mm*1.2 mm/ 角钢50mm*50mm*3.0 mm/ 底板1.0mm,六寸静音，脚轮上等钢材，焊点牢固，可移动</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066"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周转筐（加厚底部有轮）</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周转筐加厚底部有轮子,规格L80.5CM*W57.5CM*H51CM  带轮、材质：全新pp材料</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008"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专用便携式打印机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工业级电子面单打印机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打印方式： 行式热敏打印、分辨率203dpi、打印速度250-300mm/s、打印宽度80mm(MAX)、</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打印类型热敏标签纸、热敏小票纸、点距0.125mm、打印高度50mm(MIN)、纸张厚度0.11-0.13mm、</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装纸方式：一键开盖，易装纸、平出纸，热敏面朝上、ABS 单色注塑ABS、操作输入：按键2个、消息输出：蜂鸣器,指示灯、通讯接口标配USB。</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008"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PDA扫描终端（数字终端）</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全网通三防行业超薄终端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性能参数 处理器 高速八核 64 位处理器，2.0GHz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操作系统 Android 9.0(64 位版本)存储 4GB+64GB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参数 尺寸（长×宽×高） 157*76.3*12.6mm、重量 231 克（含电池）</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显示屏 5.7"（分辨率 1440×720）18:9 多点触控电容屏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键盘5键（含左右侧按键）键盘、指示 振动器、扬声器和三色 LED、电池 3.8V，4800mAh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摄像功能 前置定焦 200 万像素摄像头；后置 1300 万像素自动对焦摄像头,接口 Type-C 2.0 OTG</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电源适配器 支持快充 输出：DC 5V/7V/9V，1.67A；输入：AC 100~240V，50~60Hz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防护等级 IP67、卡槽 ：SIM 卡 Nano+Nano/Nano+TF</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支持指纹识别，支持距离感、光感、地磁、加速传感器、陀螺仪</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配件：电源适配器、数据线</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r>
    </w:tbl>
    <w:p/>
    <w:p>
      <w:pPr>
        <w:widowControl/>
        <w:autoSpaceDE w:val="0"/>
        <w:spacing w:line="360" w:lineRule="auto"/>
        <w:ind w:firstLine="482" w:firstLineChars="200"/>
        <w:jc w:val="left"/>
        <w:rPr>
          <w:rFonts w:ascii="宋体" w:hAnsi="宋体" w:cs="宋体"/>
          <w:b/>
          <w:bCs/>
          <w:kern w:val="0"/>
          <w:sz w:val="24"/>
          <w:szCs w:val="24"/>
        </w:rPr>
      </w:pPr>
      <w:r>
        <w:rPr>
          <w:rFonts w:hint="eastAsia" w:cs="宋体"/>
          <w:b/>
          <w:bCs/>
          <w:kern w:val="0"/>
          <w:sz w:val="24"/>
          <w:szCs w:val="24"/>
        </w:rPr>
        <w:t>三</w:t>
      </w:r>
      <w:r>
        <w:rPr>
          <w:rFonts w:hint="eastAsia" w:ascii="宋体" w:hAnsi="宋体" w:cs="宋体"/>
          <w:b/>
          <w:bCs/>
          <w:kern w:val="0"/>
          <w:sz w:val="24"/>
          <w:szCs w:val="24"/>
        </w:rPr>
        <w:t>、其他要求</w:t>
      </w:r>
    </w:p>
    <w:p>
      <w:pPr>
        <w:numPr>
          <w:ilvl w:val="0"/>
          <w:numId w:val="2"/>
        </w:numPr>
        <w:spacing w:line="360" w:lineRule="auto"/>
        <w:ind w:firstLine="488" w:firstLineChars="200"/>
        <w:contextualSpacing/>
        <w:jc w:val="left"/>
        <w:rPr>
          <w:rFonts w:ascii="宋体" w:hAnsi="宋体" w:cs="宋体"/>
          <w:spacing w:val="7"/>
          <w:sz w:val="23"/>
          <w:szCs w:val="23"/>
        </w:rPr>
      </w:pPr>
      <w:r>
        <w:rPr>
          <w:rFonts w:ascii="宋体" w:hAnsi="宋体" w:cs="宋体"/>
          <w:spacing w:val="7"/>
          <w:sz w:val="23"/>
          <w:szCs w:val="23"/>
        </w:rPr>
        <w:t>投标人应就本项目完整响应，否则为无效响应。</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2</w:t>
      </w:r>
      <w:r>
        <w:rPr>
          <w:rFonts w:ascii="宋体" w:hAnsi="宋体" w:cs="宋体"/>
          <w:spacing w:val="7"/>
          <w:sz w:val="23"/>
          <w:szCs w:val="23"/>
        </w:rPr>
        <w:t>、所响应产品必须符本采购文件规定标准的全新正品现货。</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4</w:t>
      </w:r>
      <w:r>
        <w:rPr>
          <w:rFonts w:ascii="宋体" w:hAnsi="宋体" w:cs="宋体"/>
          <w:spacing w:val="7"/>
          <w:sz w:val="23"/>
          <w:szCs w:val="23"/>
        </w:rPr>
        <w:t>、本项目为交钥匙工程 (包含货物采购、包装、运输、装卸、备品备件、专用工具、特殊工具、保险、安装调试、检测验收、现场协调、人员培训、质保、税金等一切费用) 。投标文件中须承诺送货到指定地点，并指导安装调试。</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5</w:t>
      </w:r>
      <w:r>
        <w:rPr>
          <w:rFonts w:ascii="宋体" w:hAnsi="宋体" w:cs="宋体"/>
          <w:spacing w:val="7"/>
          <w:sz w:val="23"/>
          <w:szCs w:val="23"/>
        </w:rPr>
        <w:t>. 质量要求：合格。</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6</w:t>
      </w:r>
      <w:r>
        <w:rPr>
          <w:rFonts w:ascii="宋体" w:hAnsi="宋体" w:cs="宋体"/>
          <w:spacing w:val="7"/>
          <w:sz w:val="23"/>
          <w:szCs w:val="23"/>
        </w:rPr>
        <w:t>.交付 (服务、完工) 时间：</w:t>
      </w:r>
      <w:r>
        <w:rPr>
          <w:rFonts w:hint="eastAsia" w:ascii="宋体" w:hAnsi="宋体" w:cs="宋体"/>
          <w:spacing w:val="7"/>
          <w:sz w:val="23"/>
          <w:szCs w:val="23"/>
        </w:rPr>
        <w:t>自合同签订之日起90天完成</w:t>
      </w:r>
      <w:r>
        <w:rPr>
          <w:rFonts w:ascii="宋体" w:hAnsi="宋体" w:cs="宋体"/>
          <w:spacing w:val="7"/>
          <w:sz w:val="23"/>
          <w:szCs w:val="23"/>
        </w:rPr>
        <w:t>。</w:t>
      </w:r>
    </w:p>
    <w:p>
      <w:pPr>
        <w:spacing w:line="360" w:lineRule="auto"/>
        <w:ind w:firstLine="490" w:firstLineChars="200"/>
        <w:contextualSpacing/>
        <w:jc w:val="left"/>
        <w:rPr>
          <w:rFonts w:ascii="宋体" w:hAnsi="宋体" w:cs="宋体"/>
          <w:b/>
          <w:bCs/>
          <w:spacing w:val="7"/>
          <w:sz w:val="23"/>
          <w:szCs w:val="23"/>
        </w:rPr>
      </w:pPr>
      <w:r>
        <w:rPr>
          <w:rFonts w:hint="eastAsia" w:ascii="宋体" w:hAnsi="宋体" w:cs="宋体"/>
          <w:b/>
          <w:bCs/>
          <w:spacing w:val="7"/>
          <w:sz w:val="23"/>
          <w:szCs w:val="23"/>
        </w:rPr>
        <w:t>三、验收标准</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通过商务部门组织的第三方验收。</w:t>
      </w:r>
    </w:p>
    <w:p>
      <w:pPr>
        <w:spacing w:line="360" w:lineRule="auto"/>
        <w:ind w:firstLine="369" w:firstLineChars="147"/>
        <w:rPr>
          <w:rFonts w:ascii="宋体" w:hAnsi="宋体" w:cs="宋体"/>
          <w:b/>
          <w:spacing w:val="10"/>
          <w:position w:val="1"/>
          <w:sz w:val="23"/>
          <w:szCs w:val="23"/>
        </w:rPr>
      </w:pPr>
      <w:r>
        <w:rPr>
          <w:rFonts w:hint="eastAsia" w:ascii="宋体" w:hAnsi="宋体" w:cs="宋体"/>
          <w:b/>
          <w:spacing w:val="10"/>
          <w:position w:val="1"/>
          <w:sz w:val="23"/>
          <w:szCs w:val="23"/>
        </w:rPr>
        <w:t>四、本项目预算金额（最高限价）招标控制价：405万元</w:t>
      </w:r>
      <w:r>
        <w:rPr>
          <w:rFonts w:hint="eastAsia" w:ascii="宋体" w:hAnsi="宋体" w:cs="宋体"/>
          <w:b/>
          <w:sz w:val="24"/>
        </w:rPr>
        <w:t>，</w:t>
      </w:r>
      <w:r>
        <w:rPr>
          <w:rFonts w:hint="eastAsia" w:ascii="宋体" w:hAnsi="宋体" w:cs="宋体"/>
          <w:b/>
          <w:spacing w:val="10"/>
          <w:position w:val="1"/>
          <w:sz w:val="23"/>
          <w:szCs w:val="23"/>
        </w:rPr>
        <w:t>投标报价不得超过预算金额（最高限价），否则为无效报价。</w:t>
      </w:r>
    </w:p>
    <w:p>
      <w:pPr>
        <w:spacing w:line="360" w:lineRule="auto"/>
        <w:ind w:firstLine="502" w:firstLineChars="200"/>
        <w:contextualSpacing/>
        <w:jc w:val="left"/>
        <w:rPr>
          <w:rFonts w:ascii="宋体" w:hAnsi="宋体" w:cs="宋体"/>
          <w:b/>
          <w:spacing w:val="10"/>
          <w:position w:val="1"/>
          <w:sz w:val="23"/>
          <w:szCs w:val="23"/>
        </w:rPr>
      </w:pPr>
      <w:r>
        <w:rPr>
          <w:rFonts w:hint="eastAsia" w:ascii="宋体" w:hAnsi="宋体" w:cs="宋体"/>
          <w:b/>
          <w:spacing w:val="10"/>
          <w:position w:val="1"/>
          <w:sz w:val="23"/>
          <w:szCs w:val="23"/>
        </w:rPr>
        <w:t>五、采购资金支付</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1、支付方式：银行转账。</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 xml:space="preserve">2、支付时间及条件：合同签订后，甲方拨付合同总金额的60%作为乙方建设项目启动资金，剩余金额按项目进度阶段性付款。 </w:t>
      </w:r>
    </w:p>
    <w:p>
      <w:pPr>
        <w:spacing w:line="560" w:lineRule="exact"/>
        <w:rPr>
          <w:rFonts w:ascii="宋体" w:hAnsi="宋体" w:cs="宋体"/>
          <w:spacing w:val="7"/>
          <w:sz w:val="24"/>
          <w:szCs w:val="23"/>
        </w:rPr>
      </w:pPr>
    </w:p>
    <w:p>
      <w:pPr>
        <w:pStyle w:val="5"/>
        <w:jc w:val="center"/>
        <w:rPr>
          <w:rFonts w:ascii="宋体" w:hAnsi="宋体"/>
          <w:b/>
          <w:sz w:val="32"/>
          <w:szCs w:val="32"/>
        </w:rPr>
      </w:pPr>
      <w:r>
        <w:rPr>
          <w:rFonts w:hint="eastAsia" w:ascii="宋体" w:hAnsi="宋体"/>
          <w:b/>
          <w:sz w:val="32"/>
          <w:szCs w:val="32"/>
        </w:rPr>
        <w:t>第三章 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1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noWrap/>
            <w:vAlign w:val="center"/>
          </w:tcPr>
          <w:p>
            <w:pPr>
              <w:adjustRightInd w:val="0"/>
              <w:snapToGrid w:val="0"/>
              <w:spacing w:line="48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480" w:lineRule="exact"/>
              <w:jc w:val="left"/>
              <w:rPr>
                <w:rFonts w:hint="eastAsia" w:ascii="宋体" w:hAnsi="宋体" w:eastAsia="宋体"/>
                <w:sz w:val="24"/>
                <w:szCs w:val="24"/>
                <w:lang w:eastAsia="zh-CN"/>
              </w:rPr>
            </w:pPr>
            <w:r>
              <w:rPr>
                <w:rFonts w:hint="eastAsia" w:ascii="宋体" w:hAnsi="宋体"/>
                <w:sz w:val="24"/>
                <w:szCs w:val="24"/>
              </w:rPr>
              <w:t>项目名称：长葛市商务局县域商业体系建设项目</w:t>
            </w:r>
            <w:r>
              <w:rPr>
                <w:rFonts w:hint="eastAsia" w:ascii="宋体" w:hAnsi="宋体"/>
                <w:bCs/>
                <w:kern w:val="0"/>
                <w:sz w:val="24"/>
                <w:szCs w:val="24"/>
              </w:rPr>
              <w:t>（不见面开标）</w:t>
            </w:r>
            <w:r>
              <w:rPr>
                <w:rFonts w:hint="eastAsia" w:ascii="宋体" w:hAnsi="宋体"/>
                <w:bCs/>
                <w:kern w:val="0"/>
                <w:sz w:val="24"/>
                <w:szCs w:val="24"/>
                <w:lang w:eastAsia="zh-CN"/>
              </w:rPr>
              <w:t>二次</w:t>
            </w:r>
          </w:p>
          <w:p>
            <w:pPr>
              <w:autoSpaceDE w:val="0"/>
              <w:autoSpaceDN w:val="0"/>
              <w:adjustRightInd w:val="0"/>
              <w:snapToGrid w:val="0"/>
              <w:spacing w:line="480" w:lineRule="exact"/>
              <w:jc w:val="left"/>
              <w:rPr>
                <w:rFonts w:ascii="宋体" w:hAnsi="宋体"/>
                <w:sz w:val="24"/>
                <w:szCs w:val="24"/>
              </w:rPr>
            </w:pPr>
            <w:r>
              <w:rPr>
                <w:rFonts w:hint="eastAsia" w:ascii="宋体" w:hAnsi="宋体"/>
                <w:sz w:val="24"/>
                <w:szCs w:val="24"/>
              </w:rPr>
              <w:t>项目编号：长招采公字【2024】012号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480" w:lineRule="exact"/>
              <w:jc w:val="left"/>
              <w:rPr>
                <w:rFonts w:ascii="宋体" w:hAnsi="宋体"/>
                <w:sz w:val="24"/>
                <w:szCs w:val="24"/>
              </w:rPr>
            </w:pPr>
            <w:r>
              <w:rPr>
                <w:rFonts w:hint="eastAsia" w:ascii="宋体" w:hAnsi="宋体"/>
                <w:sz w:val="24"/>
                <w:szCs w:val="24"/>
              </w:rPr>
              <w:t>采购人： 长葛市商务局</w:t>
            </w:r>
          </w:p>
          <w:p>
            <w:pPr>
              <w:autoSpaceDE w:val="0"/>
              <w:autoSpaceDN w:val="0"/>
              <w:adjustRightInd w:val="0"/>
              <w:snapToGrid w:val="0"/>
              <w:spacing w:line="480" w:lineRule="exact"/>
              <w:jc w:val="left"/>
              <w:rPr>
                <w:rFonts w:ascii="宋体" w:hAnsi="宋体"/>
                <w:sz w:val="24"/>
                <w:szCs w:val="24"/>
              </w:rPr>
            </w:pPr>
            <w:r>
              <w:rPr>
                <w:rFonts w:hint="eastAsia" w:ascii="宋体" w:hAnsi="宋体"/>
                <w:sz w:val="24"/>
                <w:szCs w:val="24"/>
              </w:rPr>
              <w:t>联系人：范先生</w:t>
            </w:r>
          </w:p>
          <w:p>
            <w:pPr>
              <w:autoSpaceDE w:val="0"/>
              <w:autoSpaceDN w:val="0"/>
              <w:adjustRightInd w:val="0"/>
              <w:snapToGrid w:val="0"/>
              <w:spacing w:line="480" w:lineRule="exact"/>
              <w:jc w:val="left"/>
              <w:rPr>
                <w:rFonts w:ascii="宋体" w:hAnsi="宋体"/>
                <w:sz w:val="24"/>
                <w:szCs w:val="24"/>
              </w:rPr>
            </w:pPr>
            <w:r>
              <w:rPr>
                <w:rFonts w:hint="eastAsia" w:ascii="宋体" w:hAnsi="宋体"/>
                <w:sz w:val="24"/>
                <w:szCs w:val="24"/>
              </w:rPr>
              <w:t>电话 ：13782287818</w:t>
            </w:r>
          </w:p>
          <w:p>
            <w:pPr>
              <w:autoSpaceDE w:val="0"/>
              <w:autoSpaceDN w:val="0"/>
              <w:adjustRightInd w:val="0"/>
              <w:snapToGrid w:val="0"/>
              <w:spacing w:line="480" w:lineRule="exact"/>
              <w:jc w:val="left"/>
              <w:rPr>
                <w:rFonts w:ascii="宋体" w:hAnsi="宋体"/>
                <w:bCs/>
                <w:sz w:val="24"/>
                <w:szCs w:val="24"/>
              </w:rPr>
            </w:pPr>
            <w:r>
              <w:rPr>
                <w:rFonts w:hint="eastAsia" w:ascii="宋体" w:hAnsi="宋体"/>
                <w:sz w:val="24"/>
                <w:szCs w:val="24"/>
              </w:rPr>
              <w:t>地址：长葛市葛天大道6号楼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代理机构</w:t>
            </w:r>
          </w:p>
        </w:tc>
        <w:tc>
          <w:tcPr>
            <w:tcW w:w="6800" w:type="dxa"/>
            <w:tcBorders>
              <w:top w:val="single" w:color="auto" w:sz="4" w:space="0"/>
              <w:left w:val="nil"/>
              <w:bottom w:val="single" w:color="auto" w:sz="4" w:space="0"/>
              <w:right w:val="single" w:color="auto" w:sz="4" w:space="0"/>
            </w:tcBorders>
            <w:noWrap/>
          </w:tcPr>
          <w:p>
            <w:pPr>
              <w:autoSpaceDE w:val="0"/>
              <w:autoSpaceDN w:val="0"/>
              <w:spacing w:line="480" w:lineRule="exact"/>
              <w:rPr>
                <w:rFonts w:ascii="宋体" w:hAnsi="宋体" w:cs="宋体"/>
                <w:kern w:val="0"/>
                <w:sz w:val="24"/>
                <w:szCs w:val="24"/>
              </w:rPr>
            </w:pPr>
            <w:r>
              <w:rPr>
                <w:rFonts w:hint="eastAsia" w:ascii="宋体" w:hAnsi="宋体" w:cs="宋体"/>
                <w:kern w:val="0"/>
                <w:sz w:val="24"/>
                <w:szCs w:val="24"/>
              </w:rPr>
              <w:t>代理机构：河南青蓝工程咨询有限公司</w:t>
            </w:r>
          </w:p>
          <w:p>
            <w:pPr>
              <w:autoSpaceDE w:val="0"/>
              <w:autoSpaceDN w:val="0"/>
              <w:spacing w:line="480" w:lineRule="exact"/>
              <w:rPr>
                <w:rFonts w:ascii="宋体" w:hAnsi="宋体" w:cs="宋体"/>
                <w:kern w:val="0"/>
                <w:sz w:val="24"/>
                <w:szCs w:val="24"/>
              </w:rPr>
            </w:pPr>
            <w:r>
              <w:rPr>
                <w:rFonts w:hint="eastAsia" w:ascii="宋体" w:hAnsi="宋体" w:cs="宋体"/>
                <w:kern w:val="0"/>
                <w:sz w:val="24"/>
                <w:szCs w:val="24"/>
              </w:rPr>
              <w:t xml:space="preserve">联系人：张女士 </w:t>
            </w:r>
          </w:p>
          <w:p>
            <w:pPr>
              <w:autoSpaceDE w:val="0"/>
              <w:autoSpaceDN w:val="0"/>
              <w:spacing w:line="480" w:lineRule="exact"/>
              <w:rPr>
                <w:rFonts w:ascii="宋体" w:hAnsi="宋体" w:cs="宋体"/>
                <w:kern w:val="0"/>
                <w:sz w:val="24"/>
                <w:szCs w:val="24"/>
              </w:rPr>
            </w:pPr>
            <w:r>
              <w:rPr>
                <w:rFonts w:hint="eastAsia" w:ascii="宋体" w:hAnsi="宋体" w:cs="宋体"/>
                <w:kern w:val="0"/>
                <w:sz w:val="24"/>
                <w:szCs w:val="24"/>
              </w:rPr>
              <w:t>联系方式：15937426851</w:t>
            </w:r>
          </w:p>
          <w:p>
            <w:pPr>
              <w:autoSpaceDE w:val="0"/>
              <w:autoSpaceDN w:val="0"/>
              <w:spacing w:line="480" w:lineRule="exact"/>
              <w:rPr>
                <w:rFonts w:ascii="宋体" w:hAnsi="宋体" w:cs="宋体"/>
                <w:color w:val="000000"/>
                <w:sz w:val="24"/>
                <w:szCs w:val="24"/>
                <w:shd w:val="clear" w:color="auto" w:fill="FFFFFF"/>
              </w:rPr>
            </w:pPr>
            <w:r>
              <w:rPr>
                <w:rFonts w:hint="eastAsia" w:ascii="宋体" w:hAnsi="宋体" w:cs="宋体"/>
                <w:kern w:val="0"/>
                <w:sz w:val="24"/>
                <w:szCs w:val="24"/>
              </w:rPr>
              <w:t>代理机构地址：河南省许昌市长葛市泰山路中段盛合丽晶东座502室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6800" w:type="dxa"/>
            <w:tcBorders>
              <w:top w:val="single" w:color="auto" w:sz="4" w:space="0"/>
              <w:left w:val="nil"/>
              <w:bottom w:val="single" w:color="auto" w:sz="4" w:space="0"/>
              <w:right w:val="single" w:color="auto" w:sz="4" w:space="0"/>
            </w:tcBorders>
            <w:noWrap/>
            <w:vAlign w:val="center"/>
          </w:tcPr>
          <w:p>
            <w:pPr>
              <w:spacing w:line="480" w:lineRule="exact"/>
              <w:ind w:firstLine="480" w:firstLineChars="200"/>
              <w:rPr>
                <w:rFonts w:ascii="宋体" w:hAnsi="宋体"/>
                <w:kern w:val="0"/>
                <w:sz w:val="24"/>
                <w:szCs w:val="24"/>
              </w:rPr>
            </w:pPr>
            <w:r>
              <w:rPr>
                <w:rFonts w:hint="eastAsia" w:ascii="宋体" w:hAnsi="宋体"/>
                <w:kern w:val="0"/>
                <w:sz w:val="24"/>
                <w:szCs w:val="24"/>
              </w:rPr>
              <w:t>一、符合《政府采购法》第二十二条之规定。</w:t>
            </w:r>
          </w:p>
          <w:p>
            <w:pPr>
              <w:spacing w:line="480" w:lineRule="exact"/>
              <w:ind w:firstLine="480" w:firstLineChars="200"/>
              <w:rPr>
                <w:rFonts w:ascii="宋体" w:hAnsi="宋体"/>
                <w:kern w:val="0"/>
                <w:sz w:val="24"/>
                <w:szCs w:val="24"/>
              </w:rPr>
            </w:pPr>
            <w:r>
              <w:rPr>
                <w:rFonts w:hint="eastAsia" w:ascii="宋体" w:hAnsi="宋体"/>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480" w:lineRule="exact"/>
              <w:ind w:firstLine="482" w:firstLineChars="200"/>
              <w:rPr>
                <w:rFonts w:ascii="宋体" w:hAnsi="宋体"/>
                <w:b/>
                <w:bCs/>
                <w:kern w:val="0"/>
                <w:sz w:val="24"/>
                <w:szCs w:val="24"/>
              </w:rPr>
            </w:pPr>
            <w:r>
              <w:rPr>
                <w:rFonts w:hint="eastAsia" w:ascii="宋体" w:hAnsi="宋体"/>
                <w:b/>
                <w:bCs/>
                <w:kern w:val="0"/>
                <w:sz w:val="24"/>
                <w:szCs w:val="24"/>
              </w:rPr>
              <w:t xml:space="preserve">注： 1、供应商在投标时，提供《长葛市政府采购供应商信用承诺函》（详见 招标文件第八章3.5格式），无需再提交上述证明材料。 </w:t>
            </w:r>
          </w:p>
          <w:p>
            <w:pPr>
              <w:spacing w:line="480" w:lineRule="exact"/>
              <w:ind w:firstLine="482" w:firstLineChars="200"/>
              <w:rPr>
                <w:rFonts w:ascii="宋体" w:hAnsi="宋体"/>
                <w:b/>
                <w:bCs/>
                <w:kern w:val="0"/>
                <w:sz w:val="24"/>
                <w:szCs w:val="24"/>
              </w:rPr>
            </w:pPr>
            <w:r>
              <w:rPr>
                <w:rFonts w:hint="eastAsia" w:ascii="宋体" w:hAnsi="宋体"/>
                <w:b/>
                <w:bCs/>
                <w:kern w:val="0"/>
                <w:sz w:val="24"/>
                <w:szCs w:val="24"/>
              </w:rPr>
              <w:t>2、采购人有权在签订合同前要求中标供应商提供相关证明材料以核实中标供应商承诺事项的真实性。</w:t>
            </w:r>
          </w:p>
          <w:p>
            <w:pPr>
              <w:spacing w:line="480" w:lineRule="exact"/>
              <w:ind w:firstLine="482" w:firstLineChars="200"/>
              <w:rPr>
                <w:rFonts w:ascii="宋体" w:hAnsi="宋体"/>
                <w:kern w:val="0"/>
                <w:sz w:val="24"/>
                <w:szCs w:val="24"/>
              </w:rPr>
            </w:pPr>
            <w:r>
              <w:rPr>
                <w:rFonts w:hint="eastAsia" w:ascii="宋体" w:hAnsi="宋体"/>
                <w:b/>
                <w:bCs/>
                <w:kern w:val="0"/>
                <w:sz w:val="24"/>
                <w:szCs w:val="24"/>
              </w:rPr>
              <w:t>3、供应商对信用承诺内容的真实性、合法性、有效性负责。如作出虚假 信用承诺，视同为“提供虚假材料谋取中标”的违法行为。</w:t>
            </w:r>
          </w:p>
          <w:p>
            <w:pPr>
              <w:spacing w:line="480" w:lineRule="exact"/>
              <w:ind w:firstLine="480" w:firstLineChars="200"/>
              <w:rPr>
                <w:rFonts w:ascii="宋体" w:hAnsi="宋体"/>
                <w:kern w:val="0"/>
                <w:sz w:val="24"/>
                <w:szCs w:val="24"/>
              </w:rPr>
            </w:pPr>
            <w:r>
              <w:rPr>
                <w:rFonts w:hint="eastAsia" w:ascii="宋体" w:hAnsi="宋体"/>
                <w:kern w:val="0"/>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
              <w:adjustRightInd/>
              <w:spacing w:before="0" w:after="0" w:line="480" w:lineRule="exact"/>
              <w:ind w:left="0" w:firstLine="480" w:firstLineChars="200"/>
              <w:contextualSpacing/>
              <w:rPr>
                <w:rFonts w:ascii="宋体" w:hAnsi="宋体" w:eastAsia="宋体" w:cs="Calibri"/>
                <w:sz w:val="24"/>
                <w:szCs w:val="24"/>
              </w:rPr>
            </w:pPr>
            <w:r>
              <w:rPr>
                <w:rFonts w:hint="eastAsia" w:ascii="宋体" w:hAnsi="宋体"/>
                <w:sz w:val="24"/>
                <w:szCs w:val="24"/>
              </w:rPr>
              <w:t>四、</w:t>
            </w:r>
            <w:r>
              <w:rPr>
                <w:rFonts w:hint="eastAsia" w:ascii="宋体" w:hAnsi="宋体" w:eastAsia="宋体" w:cs="Calibri"/>
                <w:sz w:val="24"/>
                <w:szCs w:val="24"/>
              </w:rPr>
              <w:t>本项目不接受联合体投标。</w:t>
            </w:r>
          </w:p>
          <w:p>
            <w:pPr>
              <w:pStyle w:val="5"/>
              <w:adjustRightInd/>
              <w:spacing w:before="0" w:after="0" w:line="480" w:lineRule="exact"/>
              <w:ind w:left="0" w:firstLine="480" w:firstLineChars="200"/>
              <w:contextualSpacing/>
              <w:rPr>
                <w:rFonts w:ascii="宋体" w:hAnsi="宋体" w:eastAsia="宋体" w:cs="Calibri"/>
                <w:color w:val="000000" w:themeColor="text1"/>
                <w:sz w:val="24"/>
                <w:szCs w:val="24"/>
              </w:rPr>
            </w:pPr>
            <w:r>
              <w:rPr>
                <w:rFonts w:hint="eastAsia" w:ascii="宋体" w:hAnsi="宋体" w:eastAsia="宋体" w:cs="Calibri"/>
                <w:color w:val="000000" w:themeColor="text1"/>
                <w:sz w:val="24"/>
                <w:szCs w:val="24"/>
              </w:rPr>
              <w:t>五、</w:t>
            </w:r>
            <w:r>
              <w:rPr>
                <w:rFonts w:hint="eastAsia" w:ascii="宋体" w:hAnsi="宋体" w:eastAsia="宋体"/>
                <w:color w:val="000000" w:themeColor="text1"/>
                <w:sz w:val="24"/>
                <w:szCs w:val="24"/>
              </w:rPr>
              <w:t>本</w:t>
            </w:r>
            <w:r>
              <w:rPr>
                <w:rFonts w:hint="eastAsia" w:ascii="宋体" w:hAnsi="宋体" w:eastAsia="宋体" w:cs="宋体"/>
                <w:kern w:val="2"/>
                <w:sz w:val="24"/>
                <w:szCs w:val="24"/>
              </w:rPr>
              <w:t>项目不专门面向中小企业采购</w:t>
            </w:r>
            <w:r>
              <w:rPr>
                <w:rFonts w:hint="eastAsia" w:ascii="宋体" w:hAnsi="宋体" w:eastAsia="宋体" w:cs="Calibri"/>
                <w:color w:val="000000" w:themeColor="text1"/>
                <w:sz w:val="24"/>
                <w:szCs w:val="24"/>
              </w:rPr>
              <w:t>。</w:t>
            </w:r>
          </w:p>
          <w:p>
            <w:pPr>
              <w:spacing w:line="480" w:lineRule="exact"/>
              <w:ind w:firstLine="480" w:firstLineChars="200"/>
            </w:pPr>
            <w:r>
              <w:rPr>
                <w:rFonts w:hint="eastAsia" w:ascii="宋体" w:hAnsi="宋体" w:cs="宋体"/>
                <w:sz w:val="24"/>
                <w:szCs w:val="24"/>
              </w:rPr>
              <w:t>六、具有独立承担民事责任的能力（提供有效的营业执照或事业单位法人证书，银行、保险、石油石化、电力、电信等有行业特殊情况的，取得营业执照的分支机构可以分公司名义参与投标）；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rPr>
                <w:rFonts w:ascii="宋体" w:hAnsi="宋体"/>
                <w:bCs/>
                <w:sz w:val="24"/>
                <w:szCs w:val="24"/>
              </w:rPr>
            </w:pPr>
            <w:r>
              <w:rPr>
                <w:rFonts w:hint="eastAsia" w:ascii="宋体" w:hAnsi="宋体"/>
                <w:sz w:val="24"/>
                <w:szCs w:val="24"/>
              </w:rPr>
              <w:t>本项目</w:t>
            </w:r>
            <w:r>
              <w:rPr>
                <w:rFonts w:hint="eastAsia" w:ascii="宋体" w:hAnsi="宋体"/>
                <w:sz w:val="24"/>
                <w:szCs w:val="24"/>
              </w:rPr>
              <w:sym w:font="Wingdings 2" w:char="0052"/>
            </w:r>
            <w:r>
              <w:rPr>
                <w:rFonts w:hint="eastAsia" w:ascii="宋体" w:hAnsi="宋体"/>
                <w:sz w:val="24"/>
                <w:szCs w:val="24"/>
              </w:rPr>
              <w:t xml:space="preserve">不接受   </w:t>
            </w:r>
            <w:r>
              <w:rPr>
                <w:rFonts w:hint="eastAsia" w:ascii="宋体" w:hAnsi="宋体"/>
                <w:sz w:val="24"/>
                <w:szCs w:val="24"/>
                <w:lang w:val="zh-CN"/>
              </w:rPr>
              <w:fldChar w:fldCharType="begin"/>
            </w:r>
            <w:r>
              <w:rPr>
                <w:rFonts w:hint="eastAsia" w:ascii="宋体" w:hAnsi="宋体"/>
                <w:sz w:val="24"/>
                <w:szCs w:val="24"/>
                <w:lang w:val="zh-CN"/>
              </w:rPr>
              <w:instrText xml:space="preserve"> eq \o\ac(□)</w:instrText>
            </w:r>
            <w:r>
              <w:rPr>
                <w:rFonts w:hint="eastAsia" w:ascii="宋体" w:hAnsi="宋体"/>
                <w:sz w:val="24"/>
                <w:szCs w:val="24"/>
                <w:lang w:val="zh-CN"/>
              </w:rPr>
              <w:fldChar w:fldCharType="end"/>
            </w:r>
            <w:r>
              <w:rPr>
                <w:rFonts w:hint="eastAsia" w:ascii="宋体" w:hAnsi="宋体"/>
                <w:sz w:val="24"/>
                <w:szCs w:val="24"/>
                <w:lang w:val="zh-CN"/>
              </w:rPr>
              <w:t>接受</w:t>
            </w:r>
            <w:r>
              <w:rPr>
                <w:rFonts w:hint="eastAsia" w:ascii="宋体" w:hAnsi="宋体"/>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noWrap/>
            <w:vAlign w:val="center"/>
          </w:tcPr>
          <w:p>
            <w:pPr>
              <w:spacing w:line="480" w:lineRule="exact"/>
              <w:rPr>
                <w:rFonts w:ascii="宋体" w:hAnsi="宋体"/>
                <w:bCs/>
                <w:kern w:val="0"/>
                <w:sz w:val="24"/>
                <w:szCs w:val="24"/>
              </w:rPr>
            </w:pPr>
            <w:r>
              <w:rPr>
                <w:rFonts w:hint="eastAsia" w:ascii="宋体" w:hAnsi="宋体" w:cs="宋体"/>
                <w:b/>
                <w:sz w:val="24"/>
              </w:rPr>
              <w:t>招标控制价：405万元，投标报价不得超过预算金额（最高限价），否则为无效报价。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ind w:right="-11"/>
            </w:pPr>
            <w:r>
              <w:rPr>
                <w:rFonts w:hint="eastAsia"/>
                <w:lang w:val="zh-CN"/>
              </w:rPr>
              <w:fldChar w:fldCharType="begin"/>
            </w:r>
            <w:r>
              <w:rPr>
                <w:rFonts w:hint="eastAsia"/>
                <w:lang w:val="zh-CN"/>
              </w:rPr>
              <w:instrText xml:space="preserve"> eq \o\ac(□,√)</w:instrText>
            </w:r>
            <w:r>
              <w:rPr>
                <w:rFonts w:hint="eastAsia"/>
                <w:lang w:val="zh-CN"/>
              </w:rPr>
              <w:fldChar w:fldCharType="end"/>
            </w:r>
            <w:r>
              <w:rPr>
                <w:rFonts w:hint="eastAsia"/>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ind w:right="-11"/>
            </w:pPr>
            <w:r>
              <w:rPr>
                <w:rFonts w:hint="eastAsia"/>
                <w:lang w:val="zh-CN"/>
              </w:rPr>
              <w:fldChar w:fldCharType="begin"/>
            </w:r>
            <w:r>
              <w:rPr>
                <w:rFonts w:hint="eastAsia"/>
                <w:lang w:val="zh-CN"/>
              </w:rPr>
              <w:instrText xml:space="preserve"> eq \o\ac(□,√)</w:instrText>
            </w:r>
            <w:r>
              <w:rPr>
                <w:rFonts w:hint="eastAsia"/>
                <w:lang w:val="zh-CN"/>
              </w:rPr>
              <w:fldChar w:fldCharType="end"/>
            </w:r>
            <w:r>
              <w:rPr>
                <w:rFonts w:hint="eastAsia"/>
              </w:rPr>
              <w:t>不允许   □允许</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cs="仿宋_GB2312"/>
                <w:color w:val="auto"/>
                <w:sz w:val="24"/>
                <w:szCs w:val="24"/>
              </w:rPr>
            </w:pPr>
            <w:r>
              <w:rPr>
                <w:rFonts w:hint="eastAsia" w:ascii="宋体" w:hAnsi="宋体" w:cs="仿宋_GB2312"/>
                <w:color w:val="auto"/>
                <w:sz w:val="24"/>
                <w:szCs w:val="24"/>
              </w:rPr>
              <w:t>12</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rPr>
                <w:rFonts w:ascii="宋体" w:hAnsi="宋体"/>
                <w:color w:val="auto"/>
                <w:sz w:val="24"/>
                <w:szCs w:val="24"/>
              </w:rPr>
            </w:pPr>
            <w:r>
              <w:rPr>
                <w:rFonts w:hint="eastAsia" w:ascii="宋体" w:hAnsi="宋体"/>
                <w:color w:val="auto"/>
                <w:sz w:val="24"/>
                <w:szCs w:val="24"/>
              </w:rPr>
              <w:t>投标截止及开标时间</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rPr>
                <w:rFonts w:ascii="宋体" w:hAnsi="宋体"/>
                <w:color w:val="auto"/>
                <w:sz w:val="24"/>
                <w:szCs w:val="24"/>
              </w:rPr>
            </w:pPr>
            <w:r>
              <w:rPr>
                <w:rFonts w:hint="eastAsia" w:ascii="宋体" w:hAnsi="宋体"/>
                <w:color w:val="auto"/>
                <w:sz w:val="24"/>
                <w:szCs w:val="24"/>
              </w:rPr>
              <w:t>2024年</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22</w:t>
            </w:r>
            <w:bookmarkStart w:id="8" w:name="_GoBack"/>
            <w:bookmarkEnd w:id="8"/>
            <w:r>
              <w:rPr>
                <w:rFonts w:hint="eastAsia" w:ascii="宋体" w:hAnsi="宋体"/>
                <w:color w:val="auto"/>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color w:val="000000"/>
                <w:sz w:val="24"/>
                <w:szCs w:val="24"/>
              </w:rPr>
            </w:pPr>
            <w:r>
              <w:rPr>
                <w:rFonts w:hint="eastAsia" w:ascii="宋体" w:hAnsi="宋体" w:cs="黑体"/>
                <w:color w:val="000000"/>
                <w:sz w:val="24"/>
              </w:rPr>
              <w:t>开标地点</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rPr>
                <w:rFonts w:ascii="宋体" w:hAnsi="宋体"/>
                <w:bCs/>
                <w:color w:val="000000"/>
                <w:sz w:val="24"/>
                <w:szCs w:val="24"/>
              </w:rPr>
            </w:pPr>
            <w:r>
              <w:rPr>
                <w:rFonts w:hint="eastAsia" w:ascii="宋体" w:hAnsi="宋体"/>
                <w:color w:val="000000"/>
                <w:sz w:val="24"/>
                <w:szCs w:val="24"/>
              </w:rPr>
              <w:t>长</w:t>
            </w:r>
            <w:r>
              <w:rPr>
                <w:rFonts w:hint="eastAsia" w:ascii="宋体" w:hAnsi="宋体"/>
                <w:sz w:val="24"/>
                <w:szCs w:val="24"/>
              </w:rPr>
              <w:t>葛市公共资源交易中心开标四室（长葛市葛天大道东段商务区6#楼 5楼507室）（本项目采用远程不见面开标，供应商无须到交易中心现场）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招标公告、中标公告、变更（更正）公告、现场勘察答复等相关信息同时在以下网站发布：《河南省政府采购网》、《全国公共资源交易平台（河南省·许昌市）》、《长葛市人民政府门户网站》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 xml:space="preserve">无要求 </w:t>
            </w:r>
            <w:r>
              <w:rPr>
                <w:rFonts w:hint="eastAsia" w:ascii="宋体" w:hAnsi="宋体"/>
                <w:bCs/>
                <w:sz w:val="24"/>
                <w:szCs w:val="24"/>
              </w:rPr>
              <w:t>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收取，中标通知书发出前，由中标供应商按照</w:t>
            </w:r>
            <w:r>
              <w:rPr>
                <w:rFonts w:ascii="宋体" w:hAnsi="宋体"/>
                <w:bCs/>
                <w:sz w:val="24"/>
                <w:szCs w:val="24"/>
              </w:rPr>
              <w:t>河南省招投标协会豫招协[2023]002号文</w:t>
            </w:r>
            <w:r>
              <w:rPr>
                <w:rFonts w:hint="eastAsia" w:ascii="宋体" w:hAnsi="宋体"/>
                <w:bCs/>
                <w:sz w:val="24"/>
                <w:szCs w:val="24"/>
              </w:rPr>
              <w:t>，按照差额定率累进法计取，一次性以现金或转账形式交纳。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noWrap/>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1、供应商是法人（法人包括企业法人、机关法人、事业单位法人和社会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w:t>
            </w:r>
            <w:r>
              <w:rPr>
                <w:rFonts w:hint="eastAsia" w:ascii="宋体" w:hAnsi="宋体"/>
                <w:bCs/>
                <w:sz w:val="24"/>
                <w:szCs w:val="24"/>
              </w:rPr>
              <w:t>3</w:t>
            </w:r>
            <w:r>
              <w:rPr>
                <w:rFonts w:ascii="宋体" w:hAnsi="宋体"/>
                <w:bCs/>
                <w:sz w:val="24"/>
                <w:szCs w:val="24"/>
              </w:rPr>
              <w:t xml:space="preserve">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2、供应商（其他组织和自然人）提供本单位：</w:t>
            </w:r>
          </w:p>
          <w:p>
            <w:pPr>
              <w:spacing w:line="500" w:lineRule="exact"/>
              <w:rPr>
                <w:rFonts w:ascii="宋体" w:hAnsi="宋体"/>
                <w:bCs/>
                <w:sz w:val="24"/>
                <w:szCs w:val="24"/>
              </w:rPr>
            </w:pPr>
            <w:r>
              <w:rPr>
                <w:rFonts w:ascii="宋体" w:hAnsi="宋体"/>
                <w:bCs/>
                <w:sz w:val="24"/>
                <w:szCs w:val="24"/>
              </w:rPr>
              <w:t xml:space="preserve"> ①202</w:t>
            </w:r>
            <w:r>
              <w:rPr>
                <w:rFonts w:hint="eastAsia" w:ascii="宋体" w:hAnsi="宋体"/>
                <w:bCs/>
                <w:sz w:val="24"/>
                <w:szCs w:val="24"/>
              </w:rPr>
              <w:t>3</w:t>
            </w:r>
            <w:r>
              <w:rPr>
                <w:rFonts w:ascii="宋体" w:hAnsi="宋体"/>
                <w:bCs/>
                <w:sz w:val="24"/>
                <w:szCs w:val="24"/>
              </w:rPr>
              <w:t>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（依法免税的供应商，应提供相应文件证明依法免税）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2、供应商具备履行合同所必须的设备和专业技术能力承诺函或声明（承诺函或声明格式自拟）。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w:t>
            </w:r>
            <w:r>
              <w:rPr>
                <w:rFonts w:ascii="宋体" w:hAnsi="宋体"/>
                <w:bCs/>
                <w:sz w:val="24"/>
                <w:szCs w:val="24"/>
              </w:rPr>
              <w:t>“信用中国”网站(www.creditchina.gov.cn)失信被执行人、税收违法黑名单的供应商；“中国政府采购网” (www.ccgp.gov.cn) 政府采购严重违法失信行为记录名单的供应商；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20"/>
                <w:rFonts w:ascii="宋体" w:hAnsi="宋体"/>
                <w:bCs/>
              </w:rPr>
              <w:t>www.creditchina.gov.cn</w:t>
            </w:r>
            <w:r>
              <w:rPr>
                <w:rStyle w:val="20"/>
                <w:rFonts w:ascii="宋体" w:hAnsi="宋体"/>
                <w:bCs/>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20"/>
                <w:rFonts w:ascii="宋体" w:hAnsi="宋体"/>
                <w:bCs/>
              </w:rPr>
              <w:t>www.ccgp.gov.cn</w:t>
            </w:r>
            <w:r>
              <w:rPr>
                <w:rStyle w:val="20"/>
                <w:rFonts w:ascii="宋体" w:hAnsi="宋体"/>
                <w:bCs/>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是。供应商投标时须成功上传、解密电子投标文件。供应商资质、业绩、荣誉及相关人员证明材料等资料原件不再提交（本招标文件第六章另有要求提供原件的除外）。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中标人需提交的资料</w:t>
            </w:r>
          </w:p>
        </w:tc>
        <w:tc>
          <w:tcPr>
            <w:tcW w:w="68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right="-23" w:rightChars="-11"/>
              <w:jc w:val="left"/>
              <w:rPr>
                <w:rFonts w:ascii="宋体" w:hAnsi="宋体"/>
                <w:sz w:val="24"/>
                <w:szCs w:val="24"/>
              </w:rPr>
            </w:pPr>
            <w:r>
              <w:rPr>
                <w:rFonts w:hint="eastAsia" w:ascii="宋体" w:hAnsi="宋体"/>
                <w:bCs/>
                <w:sz w:val="24"/>
                <w:szCs w:val="24"/>
              </w:rPr>
              <w:t>中标人在接到中标通知时，须向代理公司发送投标报价及分项报价一览表（包含主要中标标的的名称、规格、数量、单价、服务要求等）电子文档，并同时电话告知。联系电话：15937426851；邮箱：407408818@qq.com。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
                <w:bCs/>
                <w:sz w:val="24"/>
                <w:szCs w:val="24"/>
              </w:rPr>
            </w:pPr>
            <w:r>
              <w:rPr>
                <w:rFonts w:ascii="宋体" w:hAnsi="宋体"/>
                <w:sz w:val="24"/>
              </w:rPr>
              <w:t>中小企业有关政策</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color w:val="000000" w:themeColor="text1"/>
                <w:sz w:val="24"/>
              </w:rPr>
            </w:pPr>
            <w:r>
              <w:rPr>
                <w:rFonts w:hint="eastAsia" w:ascii="宋体" w:hAnsi="宋体" w:cs="Times New Roman"/>
                <w:b/>
                <w:color w:val="000000" w:themeColor="text1"/>
                <w:sz w:val="24"/>
                <w:szCs w:val="24"/>
              </w:rPr>
              <w:t>1、</w:t>
            </w:r>
            <w:r>
              <w:rPr>
                <w:rFonts w:hint="eastAsia" w:ascii="宋体" w:hAnsi="宋体"/>
                <w:color w:val="000000" w:themeColor="text1"/>
                <w:kern w:val="0"/>
                <w:sz w:val="24"/>
                <w:szCs w:val="24"/>
              </w:rPr>
              <w:t>本项目不专门面向中小企业采购</w:t>
            </w:r>
            <w:r>
              <w:rPr>
                <w:rFonts w:hint="eastAsia" w:ascii="宋体" w:hAnsi="宋体" w:cs="Times New Roman"/>
                <w:b/>
                <w:color w:val="000000" w:themeColor="text1"/>
                <w:sz w:val="24"/>
                <w:szCs w:val="24"/>
              </w:rPr>
              <w:t>。</w:t>
            </w:r>
          </w:p>
          <w:p>
            <w:pPr>
              <w:autoSpaceDE w:val="0"/>
              <w:autoSpaceDN w:val="0"/>
              <w:adjustRightInd w:val="0"/>
              <w:snapToGrid w:val="0"/>
              <w:spacing w:line="360" w:lineRule="auto"/>
              <w:rPr>
                <w:rFonts w:ascii="宋体" w:hAnsi="宋体"/>
                <w:sz w:val="24"/>
              </w:rPr>
            </w:pPr>
            <w:r>
              <w:rPr>
                <w:rFonts w:hint="eastAsia" w:ascii="宋体" w:hAnsi="宋体"/>
                <w:sz w:val="24"/>
              </w:rPr>
              <w:t>2、根据财政部、工业和信息化部发布的《政府采购促进中小企业发展管理办法》（财库〔</w:t>
            </w:r>
            <w:r>
              <w:rPr>
                <w:rFonts w:ascii="宋体" w:hAnsi="宋体"/>
                <w:sz w:val="24"/>
              </w:rPr>
              <w:t>2020</w:t>
            </w:r>
            <w:r>
              <w:rPr>
                <w:rFonts w:hint="eastAsia" w:ascii="宋体" w:hAnsi="宋体"/>
                <w:sz w:val="24"/>
              </w:rPr>
              <w:t>〕</w:t>
            </w:r>
            <w:r>
              <w:rPr>
                <w:rFonts w:ascii="宋体" w:hAnsi="宋体"/>
                <w:sz w:val="24"/>
              </w:rPr>
              <w:t>46</w:t>
            </w:r>
            <w:r>
              <w:rPr>
                <w:rFonts w:hint="eastAsia" w:ascii="宋体" w:hAnsi="宋体"/>
                <w:sz w:val="24"/>
              </w:rPr>
              <w:t>号）、《关于进一步加大政府采购支持中小企业力度的通知》（财库〔</w:t>
            </w:r>
            <w:r>
              <w:rPr>
                <w:rFonts w:ascii="宋体" w:hAnsi="宋体"/>
                <w:sz w:val="24"/>
              </w:rPr>
              <w:t>2022</w:t>
            </w:r>
            <w:r>
              <w:rPr>
                <w:rFonts w:hint="eastAsia" w:ascii="宋体" w:hAnsi="宋体"/>
                <w:sz w:val="24"/>
              </w:rPr>
              <w:t>〕</w:t>
            </w:r>
            <w:r>
              <w:rPr>
                <w:rFonts w:ascii="宋体" w:hAnsi="宋体"/>
                <w:sz w:val="24"/>
              </w:rPr>
              <w:t>19</w:t>
            </w:r>
            <w:r>
              <w:rPr>
                <w:rFonts w:hint="eastAsia" w:ascii="宋体" w:hAnsi="宋体"/>
                <w:sz w:val="24"/>
              </w:rPr>
              <w:t>号）规定，对小型和微型企业投标价格给予</w:t>
            </w:r>
            <w:r>
              <w:rPr>
                <w:rFonts w:ascii="宋体" w:hAnsi="宋体"/>
                <w:sz w:val="24"/>
              </w:rPr>
              <w:t>20%</w:t>
            </w:r>
            <w:r>
              <w:rPr>
                <w:rFonts w:hint="eastAsia" w:ascii="宋体" w:hAnsi="宋体"/>
                <w:sz w:val="24"/>
              </w:rPr>
              <w:t>（</w:t>
            </w:r>
            <w:r>
              <w:rPr>
                <w:rFonts w:ascii="宋体" w:hAnsi="宋体"/>
                <w:sz w:val="24"/>
              </w:rPr>
              <w:t>10%-20%</w:t>
            </w:r>
            <w:r>
              <w:rPr>
                <w:rFonts w:hint="eastAsia" w:ascii="宋体" w:hAnsi="宋体"/>
                <w:sz w:val="24"/>
              </w:rPr>
              <w:t>）的扣除（工程项目3%-5%），用扣除后的价格参与评审。</w:t>
            </w:r>
          </w:p>
          <w:p>
            <w:pPr>
              <w:autoSpaceDE w:val="0"/>
              <w:autoSpaceDN w:val="0"/>
              <w:adjustRightInd w:val="0"/>
              <w:snapToGrid w:val="0"/>
              <w:spacing w:line="360" w:lineRule="auto"/>
              <w:rPr>
                <w:rFonts w:ascii="宋体" w:hAnsi="宋体"/>
                <w:b/>
                <w:sz w:val="24"/>
              </w:rPr>
            </w:pPr>
            <w:r>
              <w:rPr>
                <w:rFonts w:hint="eastAsia" w:ascii="宋体" w:hAnsi="宋体"/>
                <w:sz w:val="24"/>
              </w:rPr>
              <w:t>3</w:t>
            </w:r>
            <w:r>
              <w:rPr>
                <w:rFonts w:ascii="宋体" w:hAnsi="宋体"/>
                <w:sz w:val="24"/>
              </w:rPr>
              <w:t>、本次采购标的对应的中小企业划分标准所属行业：</w:t>
            </w:r>
            <w:r>
              <w:rPr>
                <w:rFonts w:hint="eastAsia" w:ascii="宋体" w:hAnsi="宋体" w:cs="宋体"/>
                <w:b/>
                <w:bCs/>
                <w:sz w:val="24"/>
                <w:szCs w:val="24"/>
              </w:rPr>
              <w:t>工业</w:t>
            </w:r>
            <w:r>
              <w:rPr>
                <w:rFonts w:hint="eastAsia" w:ascii="宋体" w:hAnsi="宋体"/>
                <w:b/>
                <w:bCs/>
                <w:sz w:val="24"/>
              </w:rPr>
              <w:t>。</w:t>
            </w:r>
          </w:p>
          <w:p>
            <w:pPr>
              <w:autoSpaceDE w:val="0"/>
              <w:autoSpaceDN w:val="0"/>
              <w:adjustRightInd w:val="0"/>
              <w:snapToGrid w:val="0"/>
              <w:spacing w:line="360" w:lineRule="auto"/>
              <w:rPr>
                <w:rFonts w:ascii="宋体" w:hAnsi="宋体"/>
                <w:b/>
                <w:sz w:val="24"/>
              </w:rPr>
            </w:pPr>
            <w:r>
              <w:rPr>
                <w:rFonts w:hint="eastAsia" w:ascii="宋体" w:hAnsi="宋体"/>
                <w:sz w:val="24"/>
              </w:rPr>
              <w:t>4、以联合体形式参加政府采购活动，联合体各方均为中小企业的，联合体视同中小企业。其中，联合体各方均为小微企业的，联合体视同小微企业。</w:t>
            </w:r>
          </w:p>
          <w:p>
            <w:pPr>
              <w:autoSpaceDE w:val="0"/>
              <w:autoSpaceDN w:val="0"/>
              <w:adjustRightInd w:val="0"/>
              <w:snapToGrid w:val="0"/>
              <w:spacing w:line="360" w:lineRule="auto"/>
              <w:rPr>
                <w:rFonts w:ascii="宋体" w:hAnsi="宋体"/>
                <w:sz w:val="24"/>
              </w:rPr>
            </w:pPr>
            <w:r>
              <w:rPr>
                <w:rFonts w:hint="eastAsia" w:ascii="宋体" w:hAnsi="宋体"/>
                <w:sz w:val="24"/>
              </w:rPr>
              <w:t>5、接受大中型企业与小微企业组成联合体或者允许大中型企业向一家或者多家小微企业分包的采购项目，对于联合协议或者分包意向协议约定小微企业的合同份额占到合同总金额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 xml:space="preserve"> 30%</w:t>
            </w:r>
            <w:r>
              <w:rPr>
                <w:rFonts w:hint="eastAsia" w:ascii="宋体" w:hAnsi="宋体"/>
                <w:sz w:val="24"/>
              </w:rPr>
              <w:t>以上的，采购人、采购代理机构应当对联合体或者大中型企业的报价给予</w:t>
            </w:r>
            <w:r>
              <w:rPr>
                <w:rFonts w:ascii="宋体" w:hAnsi="宋体"/>
                <w:sz w:val="24"/>
              </w:rPr>
              <w:t>6%</w:t>
            </w:r>
            <w:r>
              <w:rPr>
                <w:rFonts w:hint="eastAsia" w:ascii="宋体" w:hAnsi="宋体"/>
                <w:sz w:val="24"/>
              </w:rPr>
              <w:t>（</w:t>
            </w:r>
            <w:r>
              <w:rPr>
                <w:rFonts w:ascii="宋体" w:hAnsi="宋体"/>
                <w:sz w:val="24"/>
              </w:rPr>
              <w:t>4—6%</w:t>
            </w:r>
            <w:r>
              <w:rPr>
                <w:rFonts w:hint="eastAsia" w:ascii="宋体" w:hAnsi="宋体"/>
                <w:sz w:val="24"/>
              </w:rPr>
              <w:t>）的扣除（工程项目1%-2%）用扣除后的价格参加评审。组成联合体或者接受分包的小微企业与联合体内其他企业、分包企业之间存在直接控股、管理关系的，不享受价格扣除优惠政策。</w:t>
            </w:r>
          </w:p>
          <w:p>
            <w:pPr>
              <w:autoSpaceDE w:val="0"/>
              <w:autoSpaceDN w:val="0"/>
              <w:adjustRightInd w:val="0"/>
              <w:snapToGrid w:val="0"/>
              <w:spacing w:line="360" w:lineRule="auto"/>
              <w:rPr>
                <w:rFonts w:ascii="宋体" w:hAnsi="宋体"/>
                <w:sz w:val="24"/>
              </w:rPr>
            </w:pPr>
            <w:r>
              <w:rPr>
                <w:rFonts w:hint="eastAsia" w:ascii="宋体" w:hAnsi="宋体"/>
                <w:sz w:val="24"/>
              </w:rPr>
              <w:t>6、提供由省级以上监狱管理局、戒毒管理局（含新疆生产建设兵团）出具的属于监狱企业证明文件的，视同为小型和微型企业。</w:t>
            </w:r>
          </w:p>
          <w:p>
            <w:pPr>
              <w:autoSpaceDE w:val="0"/>
              <w:autoSpaceDN w:val="0"/>
              <w:adjustRightInd w:val="0"/>
              <w:snapToGrid w:val="0"/>
              <w:spacing w:line="360" w:lineRule="auto"/>
              <w:rPr>
                <w:rFonts w:ascii="宋体" w:hAnsi="宋体"/>
                <w:sz w:val="24"/>
              </w:rPr>
            </w:pPr>
            <w:r>
              <w:rPr>
                <w:rFonts w:hint="eastAsia" w:ascii="宋体" w:hAnsi="宋体"/>
                <w:sz w:val="24"/>
              </w:rPr>
              <w:t>7、符合享受政府采购支持政策的残疾人福利性单位条件且提供《残疾人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ascii="宋体" w:hAnsi="宋体"/>
                <w:sz w:val="24"/>
              </w:rPr>
            </w:pPr>
            <w:r>
              <w:rPr>
                <w:rFonts w:hint="eastAsia" w:ascii="宋体" w:hAnsi="宋体"/>
                <w:sz w:val="24"/>
              </w:rPr>
              <w:t>享受政府采购支持政策的残疾人福利性单位应当同时满足以下条件：</w:t>
            </w:r>
          </w:p>
          <w:p>
            <w:pPr>
              <w:autoSpaceDE w:val="0"/>
              <w:autoSpaceDN w:val="0"/>
              <w:adjustRightInd w:val="0"/>
              <w:snapToGrid w:val="0"/>
              <w:spacing w:line="360" w:lineRule="auto"/>
              <w:rPr>
                <w:rFonts w:ascii="宋体" w:hAnsi="宋体"/>
                <w:sz w:val="24"/>
              </w:rPr>
            </w:pPr>
            <w:r>
              <w:rPr>
                <w:rFonts w:hint="eastAsia" w:ascii="宋体" w:hAnsi="宋体"/>
                <w:sz w:val="24"/>
              </w:rPr>
              <w:t>（一）安置的残疾人占本单位在职职工人数的比例不低于 25%（含 25%），并且安置的残疾人人数不少于 10 人（含 10 人）；</w:t>
            </w:r>
          </w:p>
          <w:p>
            <w:pPr>
              <w:autoSpaceDE w:val="0"/>
              <w:autoSpaceDN w:val="0"/>
              <w:adjustRightInd w:val="0"/>
              <w:snapToGrid w:val="0"/>
              <w:spacing w:line="360" w:lineRule="auto"/>
              <w:rPr>
                <w:rFonts w:ascii="宋体" w:hAnsi="宋体"/>
                <w:sz w:val="24"/>
              </w:rPr>
            </w:pPr>
            <w:r>
              <w:rPr>
                <w:rFonts w:hint="eastAsia" w:ascii="宋体" w:hAnsi="宋体"/>
                <w:sz w:val="24"/>
              </w:rPr>
              <w:t>（二）依法与安置的每位残疾人签订了一年以上（含一年）的</w:t>
            </w:r>
          </w:p>
          <w:p>
            <w:pPr>
              <w:autoSpaceDE w:val="0"/>
              <w:autoSpaceDN w:val="0"/>
              <w:adjustRightInd w:val="0"/>
              <w:snapToGrid w:val="0"/>
              <w:spacing w:line="360" w:lineRule="auto"/>
              <w:rPr>
                <w:rFonts w:ascii="宋体" w:hAnsi="宋体"/>
                <w:sz w:val="24"/>
              </w:rPr>
            </w:pPr>
            <w:r>
              <w:rPr>
                <w:rFonts w:hint="eastAsia" w:ascii="宋体" w:hAnsi="宋体"/>
                <w:sz w:val="24"/>
              </w:rPr>
              <w:t>劳动合同或服务协议；</w:t>
            </w:r>
          </w:p>
          <w:p>
            <w:pPr>
              <w:autoSpaceDE w:val="0"/>
              <w:autoSpaceDN w:val="0"/>
              <w:adjustRightInd w:val="0"/>
              <w:snapToGrid w:val="0"/>
              <w:spacing w:line="360" w:lineRule="auto"/>
              <w:rPr>
                <w:rFonts w:ascii="宋体" w:hAnsi="宋体"/>
                <w:sz w:val="24"/>
              </w:rPr>
            </w:pPr>
            <w:r>
              <w:rPr>
                <w:rFonts w:hint="eastAsia" w:ascii="宋体" w:hAnsi="宋体"/>
                <w:sz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ascii="宋体" w:hAnsi="宋体"/>
                <w:sz w:val="24"/>
              </w:rPr>
            </w:pPr>
            <w:r>
              <w:rPr>
                <w:rFonts w:hint="eastAsia" w:ascii="宋体" w:hAnsi="宋体"/>
                <w:sz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ascii="宋体" w:hAnsi="宋体"/>
                <w:sz w:val="24"/>
              </w:rPr>
            </w:pPr>
            <w:r>
              <w:rPr>
                <w:rFonts w:hint="eastAsia" w:ascii="宋体" w:hAnsi="宋体"/>
                <w:sz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ascii="宋体" w:hAnsi="宋体"/>
                <w:sz w:val="24"/>
              </w:rPr>
            </w:pPr>
            <w:r>
              <w:rPr>
                <w:rFonts w:hint="eastAsia" w:ascii="宋体" w:hAnsi="宋体"/>
                <w:sz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ascii="宋体" w:hAnsi="宋体"/>
                <w:sz w:val="24"/>
                <w:lang w:val="en-GB"/>
              </w:rPr>
            </w:pPr>
            <w:r>
              <w:rPr>
                <w:rFonts w:hint="eastAsia" w:ascii="宋体" w:hAnsi="宋体"/>
                <w:sz w:val="24"/>
              </w:rPr>
              <w:t>8、</w:t>
            </w:r>
            <w:r>
              <w:rPr>
                <w:rFonts w:hint="eastAsia" w:ascii="宋体" w:hAnsi="宋体"/>
                <w:sz w:val="24"/>
                <w:lang w:val="en-GB"/>
              </w:rPr>
              <w:t>小型和微型企业不包括民办非企业单位。</w:t>
            </w:r>
          </w:p>
          <w:p>
            <w:pPr>
              <w:autoSpaceDE w:val="0"/>
              <w:autoSpaceDN w:val="0"/>
              <w:adjustRightInd w:val="0"/>
              <w:snapToGrid w:val="0"/>
              <w:spacing w:line="360" w:lineRule="auto"/>
              <w:rPr>
                <w:rFonts w:ascii="宋体" w:hAnsi="宋体"/>
                <w:b/>
                <w:sz w:val="24"/>
                <w:szCs w:val="24"/>
              </w:rPr>
            </w:pPr>
            <w:r>
              <w:rPr>
                <w:rFonts w:hint="eastAsia" w:ascii="宋体" w:hAnsi="宋体"/>
                <w:sz w:val="24"/>
              </w:rPr>
              <w:t>9、符合中小企业划分标准的个体工商户，在政府采购活动中视同中小企业。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
                <w:bCs/>
                <w:sz w:val="24"/>
                <w:szCs w:val="24"/>
              </w:rPr>
            </w:pPr>
            <w:r>
              <w:rPr>
                <w:rFonts w:ascii="宋体" w:hAnsi="宋体"/>
                <w:sz w:val="24"/>
              </w:rPr>
              <w:t>节能环保要求</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b/>
                <w:sz w:val="24"/>
                <w:szCs w:val="24"/>
              </w:rPr>
            </w:pPr>
            <w:r>
              <w:rPr>
                <w:rFonts w:ascii="宋体" w:hAnsi="宋体"/>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发环境标志产品政府采购品目清单的通知（财库〔2019〕18号）、市场监管总局关于发布参与实施政府采购节能产品、环境标志产品认证机构名录的公告（2019年第16号），本次投标产品属于政府强制采购产品的，须 提供国家确定的认证机构出具的、处于有效期之内的节能产品认证证书；属于政府优先采购产品的，须提供国家确定的认证机构 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0"/>
        <w:ind w:firstLine="400"/>
      </w:pPr>
    </w:p>
    <w:p>
      <w:pPr>
        <w:widowControl/>
        <w:jc w:val="center"/>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2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2.4“中标供应商”系指中标的供应商。</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2.6“乙方”系指中标并向采购人提供服务的供应商。</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2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3.6.2采购人根据采购项目的特殊要求规定供应商特定条件的，联合体各方中至少应当有一方符合采购规定的特定条件。</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3.6.3联合体各方不得再单独参加或者与其他供应商另外组成联合体参加同一合同项下的政府采购活动。</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本采购项目需要公开的有关信息，包括招标公告、采购文件澄清或修改公告、中标公告以及延长投标文件提交截止时间等与采购活动有关的通知，采购人、采购代理机构均将通过在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22"/>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收取标准：收取。详见供应商须知前附表。</w:t>
      </w:r>
    </w:p>
    <w:p>
      <w:pPr>
        <w:pStyle w:val="2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bCs/>
          <w:kern w:val="0"/>
          <w:sz w:val="24"/>
          <w:szCs w:val="24"/>
        </w:rPr>
        <w:t>中标通知书发出前，由中标供应商按照</w:t>
      </w:r>
      <w:r>
        <w:rPr>
          <w:rFonts w:ascii="宋体" w:hAnsi="宋体" w:cs="宋体"/>
          <w:bCs/>
          <w:kern w:val="0"/>
          <w:sz w:val="24"/>
          <w:szCs w:val="24"/>
        </w:rPr>
        <w:t>河南省招投标协会豫招协[2023]002号文</w:t>
      </w:r>
      <w:r>
        <w:rPr>
          <w:rFonts w:hint="eastAsia" w:ascii="宋体" w:hAnsi="宋体" w:cs="宋体"/>
          <w:kern w:val="0"/>
          <w:sz w:val="24"/>
          <w:szCs w:val="24"/>
        </w:rPr>
        <w:t>，按照</w:t>
      </w:r>
      <w:r>
        <w:rPr>
          <w:rFonts w:hint="eastAsia" w:ascii="宋体" w:hAnsi="宋体" w:cs="宋体"/>
          <w:bCs/>
          <w:kern w:val="0"/>
          <w:sz w:val="24"/>
          <w:szCs w:val="24"/>
        </w:rPr>
        <w:t>差额定率累进法计取，</w:t>
      </w:r>
      <w:r>
        <w:rPr>
          <w:rFonts w:hint="eastAsia" w:ascii="宋体" w:hAnsi="宋体" w:cs="宋体"/>
          <w:bCs/>
          <w:kern w:val="0"/>
          <w:sz w:val="24"/>
          <w:szCs w:val="24"/>
          <w:lang w:val="zh-CN"/>
        </w:rPr>
        <w:t>一次性以现金或转账形式交纳。</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22"/>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22"/>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招标人根据采购项目的具体情况，可以在招标文件公告期满后，组织已获取招标文件的潜在供应商现场考察或者召开开标前答疑会。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现场考察及参加开标前答疑会所发生的费用及一切责任由供应商自行承担。</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2"/>
        <w:autoSpaceDE w:val="0"/>
        <w:autoSpaceDN w:val="0"/>
        <w:spacing w:line="360" w:lineRule="auto"/>
        <w:ind w:firstLineChars="0"/>
        <w:contextualSpacing/>
        <w:rPr>
          <w:rFonts w:ascii="宋体" w:hAnsi="宋体" w:cs="宋体"/>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最低报价不能做为中标的保证。</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14.2投标有效期内供应商撤销投标文件的，供应商将承担违背投标承诺函的责任追究。</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中标供应商的投标文件作为项目合同的附件，其有效期至中标供应商全部合同义务履行完毕为止。</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15.5供应商登录许昌公共资源交易系统下载“许昌投标文件制作系统SEARUN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23"/>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供应商应按照以上要求以A4幅将投标文件编上唯一的连贯页码，并在投标文件封面上注明：所投项目名称、项目编号、供应商名称、日期等字样。</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22"/>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17.投标保证金：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pPr>
        <w:pStyle w:val="22"/>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18.采购文件的数量和签署盖章</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供应商必须在“投标邀请”和“供应商须知前附表”中规定的投标截止时间前，将加密电子投标文件（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供应商受投标截止期制约的所有权利和义务均应延长至新的截止日期和时间。供应商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供应商补充、修改的内容并作为投标文件的组成部分。补充或修改应当按招标文件要求签署、盖章、提交，并应注明“修改”或“补充”字样。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供应商不得在投标</w:t>
      </w:r>
      <w:r>
        <w:rPr>
          <w:rFonts w:hint="eastAsia" w:ascii="宋体" w:hAnsi="宋体" w:cs="仿宋_GB2312"/>
          <w:color w:val="000000"/>
          <w:sz w:val="24"/>
          <w:szCs w:val="24"/>
          <w:lang w:val="zh-CN"/>
        </w:rPr>
        <w:t>有效期内撤销投标文件，否则供应商将承担违背投标承诺函的责任追究。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除供应商须知前附表另有规定外，供应商所提交的电子投标文件不予退还。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23"/>
          <w:rFonts w:hint="eastAsia" w:ascii="宋体" w:hAnsi="宋体"/>
          <w:sz w:val="24"/>
          <w:szCs w:val="24"/>
          <w:lang w:val="zh-CN"/>
        </w:rPr>
        <w:t>23.1本项目采用“远程</w:t>
      </w:r>
      <w:r>
        <w:rPr>
          <w:rFonts w:hint="eastAsia" w:ascii="宋体" w:hAnsi="宋体" w:cs="宋体"/>
          <w:color w:val="000000"/>
          <w:kern w:val="0"/>
          <w:sz w:val="24"/>
          <w:szCs w:val="24"/>
        </w:rPr>
        <w:t>不见面”开标方式,供应商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23"/>
          <w:rFonts w:cs="黑体"/>
          <w:lang w:val="zh-CN"/>
        </w:rPr>
      </w:pPr>
      <w:r>
        <w:rPr>
          <w:rFonts w:hint="eastAsia" w:ascii="宋体" w:hAnsi="宋体" w:cs="宋体"/>
          <w:color w:val="000000"/>
          <w:kern w:val="0"/>
          <w:sz w:val="24"/>
          <w:szCs w:val="24"/>
        </w:rPr>
        <w:t>23.2 投标截止时间到达时，采购代理机构点击“开标”按钮，开标开始，各供应商可以远程进行解密投标文</w:t>
      </w:r>
      <w:r>
        <w:rPr>
          <w:rStyle w:val="23"/>
          <w:rFonts w:hint="eastAsia" w:ascii="宋体" w:hAnsi="宋体"/>
          <w:sz w:val="24"/>
          <w:szCs w:val="24"/>
          <w:lang w:val="zh-CN"/>
        </w:rPr>
        <w:t>件，解密时限为</w:t>
      </w:r>
      <w:r>
        <w:rPr>
          <w:rStyle w:val="23"/>
          <w:rFonts w:ascii="宋体" w:hAnsi="宋体"/>
          <w:sz w:val="24"/>
          <w:szCs w:val="24"/>
          <w:lang w:val="zh-CN"/>
        </w:rPr>
        <w:t>120</w:t>
      </w:r>
      <w:r>
        <w:rPr>
          <w:rStyle w:val="23"/>
          <w:rFonts w:hint="eastAsia" w:ascii="宋体" w:hAnsi="宋体"/>
          <w:sz w:val="24"/>
          <w:szCs w:val="24"/>
          <w:lang w:val="zh-CN"/>
        </w:rPr>
        <w:t>分钟。供应商未进行解密或未按规定进行解密的，视为放弃投标。待全部供应商解密完成后，采购人（代理机构）进行一键解密。</w:t>
      </w:r>
    </w:p>
    <w:p>
      <w:pPr>
        <w:autoSpaceDE w:val="0"/>
        <w:autoSpaceDN w:val="0"/>
        <w:spacing w:line="360" w:lineRule="auto"/>
        <w:ind w:firstLine="480" w:firstLineChars="200"/>
        <w:jc w:val="left"/>
        <w:rPr>
          <w:rFonts w:cs="宋体"/>
          <w:color w:val="000000"/>
          <w:kern w:val="0"/>
        </w:rPr>
      </w:pPr>
      <w:r>
        <w:rPr>
          <w:rStyle w:val="23"/>
          <w:rFonts w:hint="eastAsia" w:ascii="宋体" w:hAnsi="宋体"/>
          <w:sz w:val="24"/>
          <w:szCs w:val="24"/>
          <w:lang w:val="zh-CN"/>
        </w:rPr>
        <w:t>23.3 解密完成后，供应商</w:t>
      </w:r>
      <w:r>
        <w:rPr>
          <w:rFonts w:hint="eastAsia" w:ascii="宋体" w:hAnsi="宋体" w:cs="宋体"/>
          <w:color w:val="000000"/>
          <w:kern w:val="0"/>
          <w:sz w:val="24"/>
          <w:szCs w:val="24"/>
        </w:rPr>
        <w:t>可点击“开标记录”查看各供应商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23"/>
          <w:rFonts w:cs="黑体"/>
          <w:lang w:val="zh-CN"/>
        </w:rPr>
      </w:pPr>
      <w:r>
        <w:rPr>
          <w:rFonts w:hint="eastAsia" w:ascii="宋体" w:hAnsi="宋体" w:cs="宋体"/>
          <w:color w:val="000000"/>
          <w:kern w:val="0"/>
          <w:sz w:val="24"/>
          <w:szCs w:val="24"/>
        </w:rPr>
        <w:t>23.4如无供应商提出异议，采购代理机构通过“文字互动”对话框通知各供应商进行电子签章。供应商应在《开</w:t>
      </w:r>
      <w:r>
        <w:rPr>
          <w:rStyle w:val="23"/>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23"/>
          <w:rFonts w:ascii="宋体" w:hAnsi="宋体"/>
          <w:sz w:val="24"/>
          <w:szCs w:val="24"/>
          <w:lang w:val="zh-CN"/>
        </w:rPr>
      </w:pPr>
      <w:r>
        <w:rPr>
          <w:rStyle w:val="23"/>
          <w:rFonts w:hint="eastAsia" w:ascii="宋体" w:hAnsi="宋体"/>
          <w:sz w:val="24"/>
          <w:szCs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开标结束后，采购人代表1人依法对供应商的资格进行审查。合格供应商不足3家的，不得评标。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color w:val="FF0000"/>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评审专家与供应商存在下列利害关系之一的,应当回避: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评标委员会依据有关法律法规和招标文件的规定，对符合资格的供应商的投标文件进行符合性审查，以确定其是否满足招标文件的实质性要求。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可要求供应商对投标文件有关事项作出澄清或者说明。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对于投标文件中含义不明确、同类问题表述不一致或者有明显文字和计算错误的内容，评标委员会应当以书面形式要求供应商作出必要的澄清、说明或者补正。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供应商的澄清文件是其投标文件的组成部分。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总价金额与按单价汇总金额不一致的，以单价金额计算结果为准。同时出现两种以上不一致的，按照前款规定的顺序修正。修正后的报价按照“供应商须知”2</w:t>
      </w:r>
      <w:r>
        <w:rPr>
          <w:rFonts w:ascii="宋体" w:hAnsi="宋体" w:cs="宋体"/>
          <w:kern w:val="0"/>
          <w:sz w:val="24"/>
          <w:szCs w:val="24"/>
        </w:rPr>
        <w:t>7</w:t>
      </w:r>
      <w:r>
        <w:rPr>
          <w:rFonts w:hint="eastAsia" w:ascii="宋体" w:hAnsi="宋体" w:cs="宋体"/>
          <w:kern w:val="0"/>
          <w:sz w:val="24"/>
          <w:szCs w:val="24"/>
        </w:rPr>
        <w:t>.2规定经供应商确认后产生约束力，供应商不确认的，其投标无效。</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29</w:t>
      </w:r>
      <w:r>
        <w:rPr>
          <w:rFonts w:ascii="宋体" w:hAnsi="宋体" w:cs="宋体"/>
          <w:b/>
          <w:kern w:val="0"/>
          <w:sz w:val="24"/>
          <w:szCs w:val="24"/>
        </w:rPr>
        <w:t>.</w:t>
      </w:r>
      <w:r>
        <w:rPr>
          <w:rFonts w:hint="eastAsia" w:ascii="宋体" w:hAnsi="宋体" w:cs="宋体"/>
          <w:b/>
          <w:kern w:val="0"/>
          <w:sz w:val="24"/>
          <w:szCs w:val="24"/>
        </w:rPr>
        <w:t>相同品牌供应商的认定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29.1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29.2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0</w:t>
      </w:r>
      <w:r>
        <w:rPr>
          <w:rFonts w:ascii="宋体" w:hAnsi="宋体" w:cs="宋体"/>
          <w:b/>
          <w:kern w:val="0"/>
          <w:sz w:val="24"/>
          <w:szCs w:val="24"/>
        </w:rPr>
        <w:t>.</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31.1评标方法分为最低评标价法和综合评分法。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最低评标价法，是指投标文件满足招标文件全部实质性要求，且投标报价最低的供应商为中标候选人的评标方法。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采用最低评标价法评标时，除了算术修正和落实政府采购政策需进行的价格扣除外，不能对供应商的投标价格进行任何调整。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综合评分法，是指投标文件满足招标文件全部实质性要求，且按照评审因素的量化指标评审得分最高的供应商为中标候选人的评标方法。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31.2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价格分采用低价优先法计算，即满足招标文件要求且投标价格最低的投标报价为评标基准价，其价格分为满分。其他供应商的价格分统一按照下列公式计算：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31.3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32.1采用最低评标价法的，评标结果按投标报价由低到高顺序排列。投标报价相同的并列。投标文件满足招标文件全部实质性要求且投标报价最低的供应商为排名第一的中标候选人。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33</w:t>
      </w:r>
      <w:r>
        <w:rPr>
          <w:rFonts w:ascii="宋体" w:hAnsi="宋体" w:cs="宋体"/>
          <w:b/>
          <w:kern w:val="0"/>
          <w:sz w:val="24"/>
          <w:szCs w:val="24"/>
        </w:rPr>
        <w:t>.</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33</w:t>
      </w:r>
      <w:r>
        <w:rPr>
          <w:rFonts w:ascii="宋体" w:hAnsi="宋体" w:cs="宋体"/>
          <w:kern w:val="0"/>
          <w:sz w:val="24"/>
          <w:szCs w:val="24"/>
        </w:rPr>
        <w:t xml:space="preserve">.2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520" w:lineRule="exact"/>
        <w:ind w:firstLine="482" w:firstLineChars="200"/>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520" w:lineRule="exact"/>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4</w:t>
      </w:r>
      <w:r>
        <w:rPr>
          <w:rFonts w:ascii="宋体" w:hAnsi="宋体" w:cs="宋体"/>
          <w:b/>
          <w:kern w:val="0"/>
          <w:sz w:val="24"/>
          <w:szCs w:val="24"/>
        </w:rPr>
        <w:t>.</w:t>
      </w:r>
      <w:r>
        <w:rPr>
          <w:rFonts w:hint="eastAsia" w:ascii="宋体" w:hAnsi="宋体" w:cs="宋体"/>
          <w:b/>
          <w:kern w:val="0"/>
          <w:sz w:val="24"/>
          <w:szCs w:val="24"/>
        </w:rPr>
        <w:t>确定中标人</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34.1采购人应当自收到评标报告之日起5个工作日内，在评标报告确定的中标候选人名单中按顺序确定中标人。中标候选人并列的，由采购人采取随机抽取的方式确定。</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34.2采购人在收到评标报告5个工作日内未按评标报告推荐的中标候选人顺序确定中标人，又不能说明合法理由的，视同按评标报告推荐的顺序确定排名第一的中标候选人为中标人。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520" w:lineRule="exact"/>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中标公告、发出中标通知书</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35.1采购人确认中标人后，招标人在公告中标结果和《中小企业声明函》（如有），向中标人发出中标通知书。</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35.2中标通知书发出后，采购人不得违法改变中标结果，中标人无正当理由不得放弃中标。</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35.3中标人在接到中标通知时，须向代理机构发送投标报价及分项报价一览表（包含主要中标标的的名称、规格、数量、单价、服务要求等）电子文档，并同时通知代理机构联系人。</w:t>
      </w:r>
    </w:p>
    <w:p>
      <w:pPr>
        <w:autoSpaceDE w:val="0"/>
        <w:autoSpaceDN w:val="0"/>
        <w:spacing w:line="520" w:lineRule="exact"/>
        <w:ind w:firstLine="482" w:firstLineChars="200"/>
        <w:contextualSpacing/>
        <w:jc w:val="left"/>
        <w:rPr>
          <w:rFonts w:ascii="宋体" w:hAnsi="宋体" w:cs="宋体"/>
          <w:kern w:val="0"/>
          <w:sz w:val="24"/>
          <w:szCs w:val="24"/>
        </w:rPr>
      </w:pPr>
      <w:r>
        <w:rPr>
          <w:rFonts w:ascii="宋体" w:hAnsi="宋体" w:cs="宋体"/>
          <w:b/>
          <w:kern w:val="0"/>
          <w:sz w:val="24"/>
          <w:szCs w:val="24"/>
        </w:rPr>
        <w:t>3</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kern w:val="0"/>
          <w:sz w:val="24"/>
          <w:szCs w:val="24"/>
        </w:rPr>
        <w:t>质疑提出与答复</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36.1供应商认为采购文件、采购过程和中标结果使自己的权益受到损害的，可以按照《政府采购质疑和投诉办法》（财政部令第94号）提出质疑。提出质疑的供应商应当是参与本项目采购活动的供应商。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（1） 对采购文件提出质疑的，潜在供应商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36.2采购人、采购代理机构认为供应商质疑不成立，或者成立但未对中标结果构成影响的，继续开展采购活动；认为供应商质疑成立且影响或者可能影响中标结果的，按照下列情况处理：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520" w:lineRule="exact"/>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7</w:t>
      </w:r>
      <w:r>
        <w:rPr>
          <w:rFonts w:ascii="宋体" w:hAnsi="宋体" w:cs="宋体"/>
          <w:b/>
          <w:kern w:val="0"/>
          <w:sz w:val="24"/>
          <w:szCs w:val="24"/>
        </w:rPr>
        <w:t>.</w:t>
      </w:r>
      <w:r>
        <w:rPr>
          <w:rFonts w:hint="eastAsia" w:ascii="宋体" w:hAnsi="宋体" w:cs="宋体"/>
          <w:b/>
          <w:kern w:val="0"/>
          <w:sz w:val="24"/>
          <w:szCs w:val="24"/>
        </w:rPr>
        <w:t>签订合同</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520" w:lineRule="exact"/>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38</w:t>
      </w:r>
      <w:r>
        <w:rPr>
          <w:rFonts w:ascii="宋体" w:hAnsi="宋体" w:cs="宋体"/>
          <w:b/>
          <w:kern w:val="0"/>
          <w:sz w:val="24"/>
          <w:szCs w:val="24"/>
        </w:rPr>
        <w:t>.</w:t>
      </w:r>
      <w:r>
        <w:rPr>
          <w:rFonts w:hint="eastAsia" w:ascii="宋体" w:hAnsi="宋体" w:cs="宋体"/>
          <w:b/>
          <w:kern w:val="0"/>
          <w:sz w:val="24"/>
          <w:szCs w:val="24"/>
        </w:rPr>
        <w:t>履约担保</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autoSpaceDE w:val="0"/>
        <w:autoSpaceDN w:val="0"/>
        <w:spacing w:line="520" w:lineRule="exact"/>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39.政府采购合同融资</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39.1 缓解中小企业融资难题</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39.2 合作金融机构（排名不分先后）</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合作金融机构名称：中原银行许昌分行（小微金融部）</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联系人及电话：陈阳 13137407575 方金龙 15836539901</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地址：许昌市建安大道与紫云路交汇处中原银行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合作金融机构名称：浦发银行许昌分行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联系人及电话：赵勇 0374-7313569、7313502 18937459920</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地址：许昌市许继大道1163号许继花园</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合作金融机构名称：交通银行许昌分行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联系人：宋纪刚 0374-2369912 13733951305</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地址：许昌市莲城大道114号</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合作金融机构名称：光大银行许昌分行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联系人：李东磊 0374-2928168 18569936868</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地址：许昌市魏都区八一路文峰路交叉口西北角</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合作金融机构名称：招商银行许昌分行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联系人及电话：崔星迪 0374-5376058 18839983051</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地址：许昌市建安大道中段新天下AB座</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合作金融机构名称：邮储银行许昌市分行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联系人及电话：张彦峰13839001972 武松涛18839902679</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徐亚爽15038297574</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地址：许昌市莲城大道邮储银行莲城支行二楼</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合作金融机构名称：中国银行许昌分行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联系人及电话：白炜 13938772680 刘晓飞 0374-3338596</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地址：许昌市魏都区建设路1488号</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合作金融机构名称：中信银行郑州红专路支行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联系人：韩晨 13253490679</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地址：郑州市金水区经三路北26号中信银行郑州红专路支行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41.3 “许昌市政府采购合同融资金融产品推介名录”链接</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http://xuchang.hngp.gov.cn/xuchang/content?infoId=1606365368231095&amp;channelCode=H711001</w:t>
      </w:r>
    </w:p>
    <w:p>
      <w:pPr>
        <w:autoSpaceDE w:val="0"/>
        <w:autoSpaceDN w:val="0"/>
        <w:spacing w:line="360" w:lineRule="auto"/>
        <w:ind w:firstLine="480" w:firstLineChars="200"/>
        <w:contextualSpacing/>
        <w:rPr>
          <w:rFonts w:ascii="宋体" w:hAnsi="宋体" w:cs="宋体"/>
          <w:kern w:val="0"/>
          <w:sz w:val="24"/>
        </w:rPr>
      </w:pPr>
    </w:p>
    <w:p>
      <w:pPr>
        <w:autoSpaceDE w:val="0"/>
        <w:autoSpaceDN w:val="0"/>
        <w:spacing w:line="360" w:lineRule="auto"/>
        <w:contextualSpacing/>
        <w:jc w:val="center"/>
        <w:rPr>
          <w:rFonts w:ascii="宋体" w:hAnsi="宋体" w:cs="宋体"/>
          <w:b/>
          <w:kern w:val="0"/>
          <w:sz w:val="32"/>
          <w:szCs w:val="32"/>
        </w:rPr>
        <w:sectPr>
          <w:footerReference r:id="rId3" w:type="default"/>
          <w:pgSz w:w="11906" w:h="16838"/>
          <w:pgMar w:top="1440" w:right="1800" w:bottom="1440" w:left="1800" w:header="851" w:footer="992" w:gutter="0"/>
          <w:cols w:space="720" w:num="1"/>
          <w:docGrid w:type="lines" w:linePitch="312" w:charSpace="0"/>
        </w:sectPr>
      </w:pPr>
    </w:p>
    <w:p>
      <w:pPr>
        <w:autoSpaceDE w:val="0"/>
        <w:autoSpaceDN w:val="0"/>
        <w:spacing w:line="360" w:lineRule="auto"/>
        <w:jc w:val="center"/>
        <w:rPr>
          <w:rFonts w:ascii="宋体" w:cs="宋体"/>
          <w:b/>
          <w:kern w:val="0"/>
          <w:sz w:val="36"/>
          <w:szCs w:val="36"/>
        </w:rPr>
      </w:pPr>
      <w:r>
        <w:rPr>
          <w:rFonts w:hint="eastAsia" w:ascii="宋体" w:hAnsi="宋体" w:cs="宋体"/>
          <w:b/>
          <w:kern w:val="0"/>
          <w:sz w:val="32"/>
          <w:szCs w:val="32"/>
        </w:rPr>
        <w:t>第五章 政府采购政策功能</w:t>
      </w:r>
    </w:p>
    <w:p>
      <w:pPr>
        <w:adjustRightInd w:val="0"/>
        <w:snapToGrid w:val="0"/>
        <w:spacing w:line="360" w:lineRule="auto"/>
        <w:ind w:firstLine="484" w:firstLineChars="200"/>
        <w:rPr>
          <w:rFonts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购法》、《中华人民共和国政府采购法实施条例》、《政府采购货</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pPr>
        <w:adjustRightInd w:val="0"/>
        <w:snapToGrid w:val="0"/>
        <w:spacing w:line="360" w:lineRule="auto"/>
        <w:ind w:firstLine="538" w:firstLineChars="200"/>
        <w:rPr>
          <w:rFonts w:ascii="宋体" w:hAnsi="宋体" w:cs="宋体"/>
          <w:b/>
          <w:bCs/>
          <w:sz w:val="24"/>
          <w:szCs w:val="24"/>
        </w:rPr>
      </w:pPr>
      <w:r>
        <w:rPr>
          <w:rFonts w:hint="eastAsia" w:ascii="宋体" w:hAnsi="宋体" w:cs="宋体"/>
          <w:b/>
          <w:bCs/>
          <w:spacing w:val="14"/>
          <w:position w:val="2"/>
          <w:sz w:val="24"/>
          <w:szCs w:val="24"/>
        </w:rPr>
        <w:t>一</w:t>
      </w:r>
      <w:r>
        <w:rPr>
          <w:rFonts w:hint="eastAsia" w:ascii="宋体" w:hAnsi="宋体" w:cs="宋体"/>
          <w:b/>
          <w:bCs/>
          <w:spacing w:val="9"/>
          <w:position w:val="2"/>
          <w:sz w:val="24"/>
          <w:szCs w:val="24"/>
        </w:rPr>
        <w:t>、节约能源、保护环境</w:t>
      </w:r>
    </w:p>
    <w:p>
      <w:pPr>
        <w:adjustRightInd w:val="0"/>
        <w:snapToGrid w:val="0"/>
        <w:spacing w:line="360" w:lineRule="auto"/>
        <w:ind w:firstLine="560" w:firstLineChars="200"/>
        <w:rPr>
          <w:rFonts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品政府采购执行机制的通知》(财库〔2019〕9 号) 和财政部、生态环境部《关于印发环境标志</w:t>
      </w:r>
      <w:r>
        <w:rPr>
          <w:rFonts w:hint="eastAsia" w:ascii="宋体" w:hAnsi="宋体" w:cs="宋体"/>
          <w:spacing w:val="9"/>
          <w:sz w:val="24"/>
          <w:szCs w:val="24"/>
        </w:rPr>
        <w:t>产品政府采购品目清单的通知》(财库[2019]18 号) 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品政府采购品目清单的通知》(财库[2019]19 号)，采购政府强制采购产品的，该产品必须具有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pPr>
        <w:adjustRightInd w:val="0"/>
        <w:snapToGrid w:val="0"/>
        <w:spacing w:line="360" w:lineRule="auto"/>
        <w:ind w:firstLine="538" w:firstLineChars="200"/>
        <w:rPr>
          <w:rFonts w:ascii="宋体" w:hAnsi="宋体" w:cs="宋体"/>
          <w:b/>
          <w:bCs/>
          <w:spacing w:val="14"/>
          <w:position w:val="2"/>
          <w:sz w:val="24"/>
          <w:szCs w:val="24"/>
        </w:rPr>
      </w:pPr>
      <w:r>
        <w:rPr>
          <w:rFonts w:hint="eastAsia" w:ascii="宋体" w:hAnsi="宋体" w:cs="宋体"/>
          <w:b/>
          <w:bCs/>
          <w:spacing w:val="14"/>
          <w:position w:val="2"/>
          <w:sz w:val="24"/>
          <w:szCs w:val="24"/>
        </w:rPr>
        <w:t>二、促进中小企业发展 (不含民办非企业)</w:t>
      </w:r>
    </w:p>
    <w:p>
      <w:pPr>
        <w:adjustRightInd w:val="0"/>
        <w:snapToGrid w:val="0"/>
        <w:spacing w:line="360" w:lineRule="auto"/>
        <w:ind w:firstLine="532" w:firstLineChars="200"/>
        <w:rPr>
          <w:rFonts w:ascii="宋体" w:hAnsi="宋体" w:cs="宋体"/>
          <w:spacing w:val="13"/>
          <w:sz w:val="24"/>
          <w:szCs w:val="24"/>
        </w:rPr>
      </w:pPr>
      <w:r>
        <w:rPr>
          <w:rFonts w:hint="eastAsia" w:ascii="宋体" w:hAnsi="宋体" w:cs="宋体"/>
          <w:spacing w:val="13"/>
          <w:sz w:val="24"/>
          <w:szCs w:val="24"/>
        </w:rPr>
        <w:t>(一)专门面向中小企业预留采购份额</w:t>
      </w:r>
    </w:p>
    <w:p>
      <w:pPr>
        <w:adjustRightInd w:val="0"/>
        <w:snapToGrid w:val="0"/>
        <w:spacing w:line="360" w:lineRule="auto"/>
        <w:ind w:firstLine="580" w:firstLineChars="200"/>
        <w:rPr>
          <w:rFonts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1、如果本项目非专门面向中小企业采购，对</w:t>
      </w:r>
      <w:r>
        <w:rPr>
          <w:rFonts w:ascii="宋体" w:hAnsi="宋体" w:cs="宋体"/>
          <w:spacing w:val="4"/>
          <w:sz w:val="24"/>
          <w:szCs w:val="24"/>
        </w:rPr>
        <w:t>符合</w:t>
      </w:r>
      <w:r>
        <w:rPr>
          <w:rFonts w:hint="eastAsia" w:ascii="宋体" w:hAnsi="宋体" w:cs="宋体"/>
          <w:spacing w:val="4"/>
          <w:sz w:val="24"/>
          <w:szCs w:val="24"/>
        </w:rPr>
        <w:t>《政府采购促进中小企业发展管理办法》(财库〔2020〕46号、《关于进一步加大政府采购支持中小企业力度的通知》（财库〔2022〕19号）规定的小型和微型企业报价给予10%-20%(工程项目3%-5%的扣除，用扣除后的价格参与评审</w:t>
      </w:r>
      <w:r>
        <w:rPr>
          <w:rFonts w:hint="eastAsia" w:ascii="宋体" w:hAnsi="宋体" w:cs="宋体"/>
          <w:spacing w:val="7"/>
          <w:sz w:val="24"/>
          <w:szCs w:val="24"/>
        </w:rPr>
        <w:t>。</w:t>
      </w:r>
    </w:p>
    <w:p>
      <w:pPr>
        <w:adjustRightInd w:val="0"/>
        <w:snapToGrid w:val="0"/>
        <w:spacing w:line="360" w:lineRule="auto"/>
        <w:ind w:firstLine="512" w:firstLineChars="200"/>
        <w:rPr>
          <w:rFonts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 号) 规定的中小企业扶持政策。</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 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对联合体或者大中型企业的报价给予4%—6%（工程项目为1%-2%）的扣除，用扣除后的价格参加评审。组成联合体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pPr>
        <w:adjustRightInd w:val="0"/>
        <w:snapToGrid w:val="0"/>
        <w:spacing w:line="360" w:lineRule="auto"/>
        <w:ind w:firstLine="538" w:firstLineChars="200"/>
        <w:rPr>
          <w:rFonts w:ascii="宋体" w:hAnsi="宋体" w:cs="宋体"/>
          <w:b/>
          <w:bCs/>
          <w:spacing w:val="14"/>
          <w:position w:val="2"/>
          <w:sz w:val="24"/>
          <w:szCs w:val="24"/>
        </w:rPr>
      </w:pPr>
      <w:r>
        <w:rPr>
          <w:rFonts w:hint="eastAsia" w:ascii="宋体" w:hAnsi="宋体" w:cs="宋体"/>
          <w:b/>
          <w:bCs/>
          <w:spacing w:val="14"/>
          <w:position w:val="2"/>
          <w:sz w:val="24"/>
          <w:szCs w:val="24"/>
        </w:rPr>
        <w:t>三、支持监狱企业发展</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pPr>
        <w:adjustRightInd w:val="0"/>
        <w:snapToGrid w:val="0"/>
        <w:spacing w:line="360" w:lineRule="auto"/>
        <w:ind w:firstLine="530" w:firstLineChars="200"/>
        <w:rPr>
          <w:rFonts w:ascii="宋体" w:hAnsi="宋体" w:cs="宋体"/>
          <w:sz w:val="24"/>
          <w:szCs w:val="24"/>
        </w:rPr>
      </w:pPr>
      <w:r>
        <w:rPr>
          <w:rFonts w:hint="eastAsia" w:ascii="宋体" w:hAnsi="宋体" w:cs="宋体"/>
          <w:b/>
          <w:bCs/>
          <w:spacing w:val="12"/>
          <w:sz w:val="24"/>
          <w:szCs w:val="24"/>
        </w:rPr>
        <w:t>四、</w:t>
      </w:r>
      <w:r>
        <w:rPr>
          <w:rFonts w:hint="eastAsia" w:ascii="宋体" w:hAnsi="宋体" w:cs="宋体"/>
          <w:b/>
          <w:bCs/>
          <w:spacing w:val="14"/>
          <w:position w:val="2"/>
          <w:sz w:val="24"/>
          <w:szCs w:val="24"/>
        </w:rPr>
        <w:t>促进残疾人就业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位</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pPr>
        <w:adjustRightInd w:val="0"/>
        <w:snapToGrid w:val="0"/>
        <w:spacing w:line="360" w:lineRule="auto"/>
        <w:ind w:firstLine="536" w:firstLineChars="200"/>
        <w:rPr>
          <w:rFonts w:ascii="宋体" w:hAnsi="宋体" w:cs="宋体"/>
          <w:sz w:val="24"/>
          <w:szCs w:val="24"/>
        </w:rPr>
        <w:sectPr>
          <w:footerReference r:id="rId4" w:type="default"/>
          <w:pgSz w:w="11906" w:h="16839"/>
          <w:pgMar w:top="1431" w:right="1403" w:bottom="1150" w:left="1595" w:header="0" w:footer="987" w:gutter="0"/>
          <w:cols w:space="720" w:num="1"/>
        </w:sectPr>
      </w:pPr>
      <w:r>
        <w:rPr>
          <w:rFonts w:hint="eastAsia" w:ascii="宋体" w:hAnsi="宋体" w:cs="宋体"/>
          <w:spacing w:val="14"/>
          <w:sz w:val="24"/>
          <w:szCs w:val="24"/>
        </w:rPr>
        <w:t>3、中</w:t>
      </w:r>
      <w:r>
        <w:rPr>
          <w:rFonts w:hint="eastAsia" w:ascii="宋体" w:hAnsi="宋体" w:cs="宋体"/>
          <w:spacing w:val="8"/>
          <w:sz w:val="24"/>
          <w:szCs w:val="24"/>
        </w:rPr>
        <w:t>标</w:t>
      </w:r>
      <w:r>
        <w:rPr>
          <w:rFonts w:hint="eastAsia" w:ascii="宋体" w:hAnsi="宋体" w:cs="宋体"/>
          <w:spacing w:val="7"/>
          <w:sz w:val="24"/>
          <w:szCs w:val="24"/>
        </w:rPr>
        <w:t>人为残疾人福利性单位的，招标人应当随中标结果同时公告其《残疾人福利性单位声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p>
    <w:p>
      <w:pPr>
        <w:autoSpaceDE w:val="0"/>
        <w:autoSpaceDN w:val="0"/>
        <w:adjustRightInd w:val="0"/>
        <w:spacing w:line="620" w:lineRule="exact"/>
        <w:contextualSpacing/>
        <w:jc w:val="center"/>
        <w:rPr>
          <w:rFonts w:ascii="宋体" w:hAnsi="宋体"/>
        </w:rPr>
      </w:pPr>
      <w:r>
        <w:rPr>
          <w:rFonts w:hint="eastAsia" w:ascii="宋体" w:hAnsi="宋体"/>
          <w:b/>
          <w:kern w:val="0"/>
          <w:sz w:val="32"/>
          <w:szCs w:val="32"/>
        </w:rPr>
        <w:t>第六章 资格审查与评审</w:t>
      </w:r>
    </w:p>
    <w:p>
      <w:pPr>
        <w:pStyle w:val="12"/>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p>
      <w:pPr>
        <w:spacing w:line="360" w:lineRule="auto"/>
        <w:contextualSpacing/>
        <w:jc w:val="center"/>
        <w:rPr>
          <w:rFonts w:ascii="宋体" w:hAnsi="宋体"/>
          <w:b/>
          <w:sz w:val="24"/>
        </w:rPr>
      </w:pPr>
    </w:p>
    <w:tbl>
      <w:tblPr>
        <w:tblStyle w:val="1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2"/>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jc w:val="center"/>
              <w:rPr>
                <w:rFonts w:ascii="宋体" w:hAnsi="宋体"/>
                <w:b/>
                <w:sz w:val="24"/>
              </w:rPr>
            </w:pPr>
            <w:r>
              <w:rPr>
                <w:rFonts w:hint="eastAsia" w:ascii="宋体" w:hAnsi="宋体"/>
                <w:b/>
                <w:sz w:val="24"/>
              </w:rPr>
              <w:t>序号</w:t>
            </w:r>
          </w:p>
        </w:tc>
        <w:tc>
          <w:tcPr>
            <w:tcW w:w="2552" w:type="dxa"/>
            <w:noWrap/>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812" w:type="dxa"/>
            <w:noWrap/>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jc w:val="center"/>
              <w:rPr>
                <w:rFonts w:ascii="宋体" w:hAnsi="宋体"/>
                <w:b/>
                <w:sz w:val="24"/>
              </w:rPr>
            </w:pPr>
            <w:r>
              <w:rPr>
                <w:rFonts w:hint="eastAsia" w:ascii="宋体" w:hAnsi="宋体"/>
                <w:b/>
                <w:sz w:val="24"/>
              </w:rPr>
              <w:t>1</w:t>
            </w:r>
          </w:p>
        </w:tc>
        <w:tc>
          <w:tcPr>
            <w:tcW w:w="2552" w:type="dxa"/>
            <w:noWrap/>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812" w:type="dxa"/>
            <w:noWrap/>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360" w:lineRule="auto"/>
              <w:jc w:val="center"/>
              <w:rPr>
                <w:rFonts w:ascii="宋体" w:hAnsi="宋体"/>
                <w:b/>
                <w:bCs/>
                <w:sz w:val="24"/>
              </w:rPr>
            </w:pPr>
            <w:r>
              <w:rPr>
                <w:rFonts w:hint="eastAsia" w:ascii="宋体" w:hAnsi="宋体"/>
                <w:b/>
                <w:bCs/>
                <w:sz w:val="24"/>
              </w:rPr>
              <w:t>2</w:t>
            </w:r>
          </w:p>
        </w:tc>
        <w:tc>
          <w:tcPr>
            <w:tcW w:w="2552" w:type="dxa"/>
            <w:noWrap/>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812" w:type="dxa"/>
            <w:noWrap/>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360" w:lineRule="auto"/>
              <w:jc w:val="center"/>
              <w:rPr>
                <w:rFonts w:ascii="宋体" w:hAnsi="宋体"/>
                <w:b/>
                <w:bCs/>
                <w:sz w:val="24"/>
              </w:rPr>
            </w:pPr>
            <w:r>
              <w:rPr>
                <w:rFonts w:hint="eastAsia" w:ascii="宋体" w:hAnsi="宋体"/>
                <w:b/>
                <w:bCs/>
                <w:sz w:val="24"/>
              </w:rPr>
              <w:t>3</w:t>
            </w:r>
          </w:p>
        </w:tc>
        <w:tc>
          <w:tcPr>
            <w:tcW w:w="2552" w:type="dxa"/>
            <w:noWrap/>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812" w:type="dxa"/>
            <w:noWrap/>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360" w:lineRule="auto"/>
              <w:jc w:val="center"/>
              <w:rPr>
                <w:rFonts w:ascii="宋体" w:hAnsi="宋体"/>
                <w:b/>
                <w:bCs/>
                <w:sz w:val="24"/>
              </w:rPr>
            </w:pPr>
            <w:r>
              <w:rPr>
                <w:rFonts w:hint="eastAsia" w:ascii="宋体" w:hAnsi="宋体"/>
                <w:b/>
                <w:bCs/>
                <w:sz w:val="24"/>
              </w:rPr>
              <w:t>4</w:t>
            </w:r>
          </w:p>
        </w:tc>
        <w:tc>
          <w:tcPr>
            <w:tcW w:w="2552" w:type="dxa"/>
            <w:noWrap/>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812" w:type="dxa"/>
            <w:noWrap/>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360" w:lineRule="auto"/>
              <w:jc w:val="center"/>
              <w:rPr>
                <w:rFonts w:ascii="宋体" w:hAnsi="宋体"/>
                <w:b/>
                <w:bCs/>
                <w:sz w:val="24"/>
              </w:rPr>
            </w:pPr>
            <w:r>
              <w:rPr>
                <w:rFonts w:hint="eastAsia" w:ascii="宋体" w:hAnsi="宋体"/>
                <w:b/>
                <w:bCs/>
                <w:sz w:val="24"/>
              </w:rPr>
              <w:t>5</w:t>
            </w:r>
          </w:p>
        </w:tc>
        <w:tc>
          <w:tcPr>
            <w:tcW w:w="2552" w:type="dxa"/>
            <w:noWrap/>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12" w:type="dxa"/>
            <w:noWrap/>
          </w:tcPr>
          <w:p>
            <w:pPr>
              <w:spacing w:line="360" w:lineRule="auto"/>
              <w:rPr>
                <w:rFonts w:ascii="宋体" w:hAnsi="宋体" w:cs="宋体"/>
                <w:bCs/>
                <w:sz w:val="24"/>
                <w:lang w:val="zh-CN"/>
              </w:rPr>
            </w:pPr>
            <w:r>
              <w:rPr>
                <w:rFonts w:hint="eastAsia" w:ascii="宋体" w:hAnsi="宋体" w:cs="宋体"/>
                <w:bCs/>
                <w:sz w:val="24"/>
                <w:lang w:val="zh-CN"/>
              </w:rPr>
              <w:t>招标文件接受联合体投标且供应商为联合体的，供应商应提供本协议；否则无须提供。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contextualSpacing/>
              <w:jc w:val="center"/>
              <w:rPr>
                <w:rFonts w:ascii="宋体" w:hAnsi="宋体"/>
                <w:b/>
                <w:sz w:val="24"/>
              </w:rPr>
            </w:pPr>
            <w:r>
              <w:rPr>
                <w:rFonts w:hint="eastAsia" w:ascii="宋体" w:hAnsi="宋体"/>
                <w:b/>
                <w:sz w:val="24"/>
              </w:rPr>
              <w:t>6</w:t>
            </w:r>
          </w:p>
        </w:tc>
        <w:tc>
          <w:tcPr>
            <w:tcW w:w="2552" w:type="dxa"/>
            <w:noWrap/>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供应商身份证明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812" w:type="dxa"/>
            <w:noWrap/>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contextualSpacing/>
              <w:jc w:val="center"/>
              <w:rPr>
                <w:rFonts w:ascii="宋体" w:hAnsi="宋体"/>
                <w:b/>
                <w:sz w:val="24"/>
              </w:rPr>
            </w:pPr>
            <w:r>
              <w:rPr>
                <w:rFonts w:hint="eastAsia" w:ascii="宋体" w:hAnsi="宋体"/>
                <w:b/>
                <w:sz w:val="24"/>
              </w:rPr>
              <w:t>7</w:t>
            </w:r>
          </w:p>
        </w:tc>
        <w:tc>
          <w:tcPr>
            <w:tcW w:w="2552" w:type="dxa"/>
            <w:noWrap/>
            <w:vAlign w:val="center"/>
          </w:tcPr>
          <w:p>
            <w:pPr>
              <w:spacing w:line="400" w:lineRule="exact"/>
              <w:jc w:val="center"/>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812" w:type="dxa"/>
            <w:noWrap/>
            <w:vAlign w:val="center"/>
          </w:tcPr>
          <w:p>
            <w:pPr>
              <w:spacing w:line="400" w:lineRule="exact"/>
              <w:jc w:val="center"/>
              <w:rPr>
                <w:rFonts w:ascii="宋体" w:hAnsi="宋体" w:cs="仿宋_GB2312"/>
                <w:sz w:val="24"/>
                <w:lang w:val="zh-CN"/>
              </w:rPr>
            </w:pPr>
            <w:r>
              <w:rPr>
                <w:rFonts w:hint="eastAsia" w:ascii="宋体" w:hAnsi="宋体" w:cs="仿宋_GB2312"/>
                <w:sz w:val="24"/>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contextualSpacing/>
              <w:jc w:val="center"/>
              <w:rPr>
                <w:rFonts w:ascii="宋体" w:hAnsi="宋体"/>
                <w:b/>
                <w:sz w:val="24"/>
              </w:rPr>
            </w:pPr>
            <w:r>
              <w:rPr>
                <w:rFonts w:hint="eastAsia" w:ascii="宋体" w:hAnsi="宋体"/>
                <w:b/>
                <w:sz w:val="24"/>
              </w:rPr>
              <w:t>8</w:t>
            </w:r>
          </w:p>
        </w:tc>
        <w:tc>
          <w:tcPr>
            <w:tcW w:w="2552" w:type="dxa"/>
            <w:noWrap/>
            <w:vAlign w:val="center"/>
          </w:tcPr>
          <w:p>
            <w:pPr>
              <w:spacing w:line="400" w:lineRule="exact"/>
              <w:jc w:val="center"/>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812" w:type="dxa"/>
            <w:noWrap/>
            <w:vAlign w:val="center"/>
          </w:tcPr>
          <w:p>
            <w:pPr>
              <w:spacing w:line="400" w:lineRule="exact"/>
              <w:jc w:val="left"/>
              <w:rPr>
                <w:rFonts w:ascii="宋体" w:hAnsi="宋体" w:cs="仿宋_GB2312"/>
                <w:sz w:val="24"/>
                <w:lang w:val="zh-CN"/>
              </w:rPr>
            </w:pPr>
            <w:r>
              <w:rPr>
                <w:rFonts w:hint="eastAsia" w:ascii="宋体" w:hAnsi="宋体" w:cs="仿宋_GB2312"/>
                <w:sz w:val="24"/>
                <w:lang w:val="zh-CN"/>
              </w:rPr>
              <w:t>供应商</w:t>
            </w:r>
            <w:bookmarkStart w:id="0" w:name="baidusnap2"/>
            <w:bookmarkEnd w:id="0"/>
            <w:r>
              <w:rPr>
                <w:rFonts w:hint="eastAsia" w:ascii="宋体" w:hAnsi="宋体" w:cs="仿宋_GB2312"/>
                <w:sz w:val="24"/>
                <w:lang w:val="zh-CN"/>
              </w:rPr>
              <w:t>提供未为本项目提供整体设计、</w:t>
            </w:r>
            <w:bookmarkStart w:id="1" w:name="baidusnap9"/>
            <w:bookmarkEnd w:id="1"/>
            <w:r>
              <w:rPr>
                <w:rFonts w:hint="eastAsia" w:ascii="宋体" w:hAnsi="宋体" w:cs="仿宋_GB2312"/>
                <w:sz w:val="24"/>
                <w:lang w:val="zh-CN"/>
              </w:rPr>
              <w:t>规范编制或者项目管理、监理、检测等服务承诺函（承诺函格式自拟）。</w:t>
            </w:r>
          </w:p>
          <w:p>
            <w:pPr>
              <w:spacing w:line="400" w:lineRule="exact"/>
              <w:jc w:val="left"/>
              <w:rPr>
                <w:rFonts w:ascii="宋体" w:hAnsi="宋体"/>
                <w:bCs/>
                <w:sz w:val="24"/>
              </w:rPr>
            </w:pPr>
            <w:r>
              <w:rPr>
                <w:rFonts w:hint="eastAsia" w:ascii="宋体" w:hAnsi="宋体"/>
                <w:bCs/>
                <w:sz w:val="24"/>
              </w:rPr>
              <w:t>（工程项目须提供承诺函，货物和服务项目不提供承诺函）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contextualSpacing/>
              <w:jc w:val="center"/>
              <w:rPr>
                <w:rFonts w:ascii="宋体" w:hAnsi="宋体"/>
                <w:b/>
                <w:sz w:val="22"/>
              </w:rPr>
            </w:pPr>
            <w:r>
              <w:rPr>
                <w:rFonts w:hint="eastAsia" w:ascii="宋体" w:hAnsi="宋体"/>
                <w:b/>
                <w:sz w:val="22"/>
                <w:szCs w:val="22"/>
              </w:rPr>
              <w:t>9</w:t>
            </w:r>
          </w:p>
        </w:tc>
        <w:tc>
          <w:tcPr>
            <w:tcW w:w="2552" w:type="dxa"/>
            <w:noWrap/>
            <w:vAlign w:val="center"/>
          </w:tcPr>
          <w:p>
            <w:pPr>
              <w:spacing w:line="400" w:lineRule="exact"/>
              <w:jc w:val="center"/>
              <w:rPr>
                <w:rFonts w:ascii="宋体" w:hAnsi="宋体"/>
                <w:b/>
                <w:bCs/>
                <w:sz w:val="22"/>
              </w:rPr>
            </w:pPr>
            <w:r>
              <w:rPr>
                <w:rFonts w:hint="eastAsia" w:ascii="宋体" w:hAnsi="宋体"/>
                <w:b/>
                <w:bCs/>
                <w:sz w:val="22"/>
                <w:szCs w:val="22"/>
              </w:rPr>
              <w:t>中小企业</w:t>
            </w:r>
          </w:p>
        </w:tc>
        <w:tc>
          <w:tcPr>
            <w:tcW w:w="5812" w:type="dxa"/>
            <w:noWrap/>
            <w:vAlign w:val="center"/>
          </w:tcPr>
          <w:p>
            <w:pPr>
              <w:spacing w:line="400" w:lineRule="exact"/>
              <w:rPr>
                <w:rFonts w:ascii="宋体" w:hAnsi="宋体" w:cs="宋体"/>
                <w:bCs/>
                <w:sz w:val="22"/>
              </w:rPr>
            </w:pPr>
            <w:r>
              <w:rPr>
                <w:rFonts w:hint="eastAsia" w:ascii="宋体" w:hAnsi="宋体" w:cs="宋体"/>
                <w:bCs/>
                <w:sz w:val="24"/>
                <w:szCs w:val="24"/>
              </w:rPr>
              <w:t>如果本项目是专门面向中小企业采购的须</w:t>
            </w:r>
            <w:r>
              <w:rPr>
                <w:rFonts w:ascii="宋体" w:hAnsi="宋体" w:cs="宋体"/>
                <w:bCs/>
                <w:sz w:val="24"/>
                <w:szCs w:val="24"/>
              </w:rPr>
              <w:t xml:space="preserve">出具《中小企业声明函》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contextualSpacing/>
              <w:jc w:val="center"/>
              <w:rPr>
                <w:rFonts w:ascii="宋体" w:hAnsi="宋体"/>
                <w:b/>
                <w:sz w:val="22"/>
              </w:rPr>
            </w:pPr>
            <w:r>
              <w:rPr>
                <w:rFonts w:hint="eastAsia" w:ascii="宋体" w:hAnsi="宋体"/>
                <w:b/>
                <w:sz w:val="22"/>
                <w:szCs w:val="22"/>
              </w:rPr>
              <w:t>10</w:t>
            </w:r>
          </w:p>
        </w:tc>
        <w:tc>
          <w:tcPr>
            <w:tcW w:w="2552" w:type="dxa"/>
            <w:noWrap/>
            <w:vAlign w:val="center"/>
          </w:tcPr>
          <w:p>
            <w:pPr>
              <w:spacing w:line="400" w:lineRule="exact"/>
              <w:jc w:val="center"/>
              <w:rPr>
                <w:rFonts w:ascii="宋体" w:hAnsi="宋体"/>
                <w:b/>
                <w:bCs/>
                <w:sz w:val="22"/>
              </w:rPr>
            </w:pPr>
            <w:r>
              <w:rPr>
                <w:rFonts w:hint="eastAsia" w:ascii="宋体" w:hAnsi="宋体"/>
                <w:b/>
                <w:bCs/>
                <w:sz w:val="24"/>
              </w:rPr>
              <w:t>供应商须具备的特殊资质证书</w:t>
            </w:r>
          </w:p>
        </w:tc>
        <w:tc>
          <w:tcPr>
            <w:tcW w:w="5812" w:type="dxa"/>
            <w:noWrap/>
            <w:vAlign w:val="center"/>
          </w:tcPr>
          <w:p>
            <w:pPr>
              <w:spacing w:line="400" w:lineRule="exact"/>
              <w:rPr>
                <w:rFonts w:ascii="宋体" w:hAnsi="宋体" w:cs="宋体"/>
                <w:bCs/>
                <w:sz w:val="24"/>
                <w:szCs w:val="24"/>
              </w:rPr>
            </w:pPr>
            <w:r>
              <w:rPr>
                <w:rFonts w:hint="eastAsia" w:ascii="宋体" w:hAnsi="宋体" w:cs="宋体"/>
                <w:sz w:val="24"/>
                <w:szCs w:val="24"/>
              </w:rPr>
              <w:t>无</w:t>
            </w:r>
          </w:p>
        </w:tc>
      </w:tr>
    </w:tbl>
    <w:p>
      <w:pPr>
        <w:pStyle w:val="12"/>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评标委员会对符合资格的供应商的投标文件进行符合性审查，以确定其是否满足采购需求等实质性要求。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对于投标文件中含义不明确、同类问题表述不一致或者有明显文字和计算错误的内容，评标委员会应当以书面形式要求供应商作出必要的澄清、说明或者补正。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pPr>
        <w:numPr>
          <w:ilvl w:val="0"/>
          <w:numId w:val="6"/>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12"/>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采用最低评标价法的，提供相同品牌产品的不同供应商参加同一合同项下投标的，以其中通过资格审查、符合性审查且报价最低的参加评标；报价相同的，由采购人或者采购人委托评标委员会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方式确定一个参加评标的供应商，其他投标无效。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非单一产品采购项目，多家供应商提供的核心产品品牌相同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且通过资格审查、符合性审查的不同供应商参加同一合同项下投标的，按一家供应商计算，评审后得分最高的同品牌供应商作为中标候选人推荐；评审得分相同的，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一个供应商获得中标人推荐资格</w:t>
      </w:r>
      <w:r>
        <w:rPr>
          <w:rFonts w:ascii="宋体" w:hAnsi="宋体" w:cs="宋体"/>
          <w:sz w:val="24"/>
          <w:szCs w:val="24"/>
          <w:lang w:val="zh-CN"/>
        </w:rPr>
        <w:t>，其他同品牌供应商不作为中标候选人。</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1）供应商所投产品如被列入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(八)其它涉嫌串通的情形。</w:t>
      </w:r>
    </w:p>
    <w:p>
      <w:pPr>
        <w:rPr>
          <w:rFonts w:hAnsi="宋体" w:cs="仿宋_GB2312"/>
          <w:b/>
          <w:sz w:val="24"/>
          <w:szCs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8"/>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37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02" w:type="dxa"/>
            <w:noWrap/>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7345" w:type="dxa"/>
            <w:gridSpan w:val="2"/>
            <w:noWrap/>
            <w:vAlign w:val="center"/>
          </w:tcPr>
          <w:p>
            <w:pPr>
              <w:spacing w:line="360" w:lineRule="auto"/>
              <w:jc w:val="center"/>
              <w:rPr>
                <w:rFonts w:ascii="宋体" w:hAnsi="宋体"/>
                <w:sz w:val="24"/>
                <w:szCs w:val="24"/>
              </w:rPr>
            </w:pPr>
            <w:r>
              <w:rPr>
                <w:rFonts w:hint="eastAsia" w:ascii="宋体" w:hAnsi="宋体"/>
                <w:sz w:val="24"/>
                <w:szCs w:val="24"/>
              </w:rPr>
              <w:t>价格</w:t>
            </w:r>
            <w:r>
              <w:rPr>
                <w:rFonts w:hint="eastAsia"/>
                <w:sz w:val="24"/>
                <w:szCs w:val="24"/>
              </w:rPr>
              <w:t>部分</w:t>
            </w:r>
            <w:r>
              <w:rPr>
                <w:rFonts w:hint="eastAsia" w:ascii="宋体" w:hAnsi="宋体"/>
                <w:sz w:val="24"/>
                <w:szCs w:val="24"/>
              </w:rPr>
              <w:t>：</w:t>
            </w:r>
            <w:r>
              <w:rPr>
                <w:rFonts w:hint="eastAsia"/>
                <w:sz w:val="24"/>
                <w:szCs w:val="24"/>
                <w:u w:val="single"/>
              </w:rPr>
              <w:t>45</w:t>
            </w:r>
            <w:r>
              <w:rPr>
                <w:rFonts w:hint="eastAsia" w:ascii="宋体" w:hAnsi="宋体"/>
                <w:sz w:val="24"/>
                <w:szCs w:val="24"/>
              </w:rPr>
              <w:t>分</w:t>
            </w:r>
          </w:p>
          <w:p>
            <w:pPr>
              <w:spacing w:line="360" w:lineRule="auto"/>
              <w:jc w:val="center"/>
              <w:rPr>
                <w:rFonts w:ascii="宋体" w:hAnsi="宋体"/>
                <w:sz w:val="24"/>
                <w:szCs w:val="24"/>
              </w:rPr>
            </w:pPr>
            <w:r>
              <w:rPr>
                <w:rFonts w:hint="eastAsia" w:ascii="宋体" w:hAnsi="宋体"/>
                <w:sz w:val="24"/>
                <w:szCs w:val="24"/>
              </w:rPr>
              <w:t>技术部分：</w:t>
            </w:r>
            <w:r>
              <w:rPr>
                <w:rFonts w:hint="eastAsia"/>
                <w:sz w:val="24"/>
                <w:szCs w:val="24"/>
                <w:u w:val="single"/>
              </w:rPr>
              <w:t>40</w:t>
            </w:r>
            <w:r>
              <w:rPr>
                <w:rFonts w:hint="eastAsia" w:ascii="宋体" w:hAnsi="宋体"/>
                <w:sz w:val="24"/>
                <w:szCs w:val="24"/>
              </w:rPr>
              <w:t>分</w:t>
            </w:r>
          </w:p>
          <w:p>
            <w:pPr>
              <w:spacing w:line="360" w:lineRule="auto"/>
              <w:jc w:val="center"/>
              <w:rPr>
                <w:rFonts w:ascii="宋体" w:hAnsi="宋体"/>
                <w:sz w:val="24"/>
                <w:szCs w:val="24"/>
              </w:rPr>
            </w:pPr>
            <w:r>
              <w:rPr>
                <w:rFonts w:hint="eastAsia"/>
                <w:sz w:val="24"/>
                <w:szCs w:val="24"/>
              </w:rPr>
              <w:t>商务</w:t>
            </w:r>
            <w:r>
              <w:rPr>
                <w:rFonts w:hint="eastAsia" w:ascii="宋体" w:hAnsi="宋体"/>
                <w:sz w:val="24"/>
                <w:szCs w:val="24"/>
              </w:rPr>
              <w:t>部分：</w:t>
            </w:r>
            <w:r>
              <w:rPr>
                <w:rFonts w:hint="eastAsia"/>
                <w:sz w:val="24"/>
                <w:szCs w:val="24"/>
                <w:u w:val="single"/>
              </w:rPr>
              <w:t>15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7" w:type="dxa"/>
            <w:gridSpan w:val="3"/>
            <w:tcBorders>
              <w:bottom w:val="single" w:color="auto" w:sz="4" w:space="0"/>
            </w:tcBorders>
            <w:noWrap/>
            <w:vAlign w:val="center"/>
          </w:tcPr>
          <w:p>
            <w:pPr>
              <w:spacing w:line="360" w:lineRule="auto"/>
              <w:ind w:firstLine="482" w:firstLineChars="200"/>
              <w:jc w:val="center"/>
              <w:rPr>
                <w:rFonts w:ascii="宋体" w:hAnsi="宋体"/>
                <w:b/>
                <w:sz w:val="24"/>
                <w:szCs w:val="24"/>
              </w:rPr>
            </w:pPr>
            <w:r>
              <w:rPr>
                <w:rFonts w:hint="eastAsia" w:ascii="宋体" w:hAnsi="宋体"/>
                <w:b/>
                <w:sz w:val="24"/>
                <w:szCs w:val="24"/>
              </w:rPr>
              <w:t>价格部分（满分</w:t>
            </w:r>
            <w:r>
              <w:rPr>
                <w:rFonts w:hint="eastAsia" w:ascii="宋体" w:hAnsi="宋体"/>
                <w:b/>
                <w:sz w:val="24"/>
                <w:szCs w:val="24"/>
                <w:u w:val="single"/>
              </w:rPr>
              <w:t>45</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tcBorders>
            <w:noWrap/>
            <w:vAlign w:val="center"/>
          </w:tcPr>
          <w:p>
            <w:pPr>
              <w:spacing w:line="360" w:lineRule="auto"/>
              <w:jc w:val="center"/>
              <w:rPr>
                <w:rFonts w:ascii="宋体" w:hAnsi="宋体"/>
                <w:b/>
                <w:sz w:val="24"/>
                <w:szCs w:val="24"/>
              </w:rPr>
            </w:pPr>
            <w:r>
              <w:rPr>
                <w:rFonts w:hint="eastAsia" w:ascii="宋体" w:hAnsi="宋体"/>
                <w:b/>
                <w:sz w:val="24"/>
                <w:szCs w:val="24"/>
              </w:rPr>
              <w:t>评分因素</w:t>
            </w:r>
          </w:p>
        </w:tc>
        <w:tc>
          <w:tcPr>
            <w:tcW w:w="6378" w:type="dxa"/>
            <w:tcBorders>
              <w:top w:val="single" w:color="auto" w:sz="4" w:space="0"/>
            </w:tcBorders>
            <w:noWrap/>
            <w:vAlign w:val="center"/>
          </w:tcPr>
          <w:p>
            <w:pPr>
              <w:spacing w:line="360" w:lineRule="auto"/>
              <w:ind w:firstLine="482" w:firstLineChars="200"/>
              <w:jc w:val="center"/>
              <w:rPr>
                <w:rFonts w:ascii="宋体" w:hAnsi="宋体"/>
                <w:b/>
                <w:sz w:val="24"/>
                <w:szCs w:val="24"/>
              </w:rPr>
            </w:pPr>
            <w:r>
              <w:rPr>
                <w:rFonts w:hint="eastAsia" w:ascii="宋体" w:hAnsi="宋体"/>
                <w:b/>
                <w:sz w:val="24"/>
                <w:szCs w:val="24"/>
              </w:rPr>
              <w:t>评标标准</w:t>
            </w:r>
          </w:p>
        </w:tc>
        <w:tc>
          <w:tcPr>
            <w:tcW w:w="967" w:type="dxa"/>
            <w:tcBorders>
              <w:top w:val="single" w:color="auto" w:sz="4" w:space="0"/>
            </w:tcBorders>
            <w:noWrap/>
            <w:vAlign w:val="center"/>
          </w:tcPr>
          <w:p>
            <w:pPr>
              <w:spacing w:line="360" w:lineRule="auto"/>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02" w:type="dxa"/>
            <w:tcBorders>
              <w:top w:val="single" w:color="auto" w:sz="4" w:space="0"/>
            </w:tcBorders>
            <w:noWrap/>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rPr>
            </w:pPr>
            <w:r>
              <w:rPr>
                <w:rFonts w:hint="eastAsia" w:ascii="宋体" w:hAnsi="宋体"/>
                <w:sz w:val="24"/>
                <w:szCs w:val="24"/>
              </w:rPr>
              <w:t>评分标准</w:t>
            </w:r>
          </w:p>
        </w:tc>
        <w:tc>
          <w:tcPr>
            <w:tcW w:w="6378" w:type="dxa"/>
            <w:tcBorders>
              <w:top w:val="single" w:color="auto" w:sz="4" w:space="0"/>
            </w:tcBorders>
            <w:noWrap/>
            <w:vAlign w:val="center"/>
          </w:tcPr>
          <w:p>
            <w:pPr>
              <w:spacing w:line="360" w:lineRule="auto"/>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hAnsi="宋体"/>
                <w:sz w:val="24"/>
                <w:szCs w:val="24"/>
              </w:rPr>
            </w:pPr>
            <w:r>
              <w:rPr>
                <w:rFonts w:hint="eastAsia" w:ascii="宋体" w:hAnsi="宋体"/>
                <w:sz w:val="24"/>
                <w:szCs w:val="24"/>
              </w:rPr>
              <w:t>投标报价得分=（评标基准价/投标报价）×45</w:t>
            </w:r>
          </w:p>
          <w:p>
            <w:pPr>
              <w:spacing w:line="360" w:lineRule="auto"/>
              <w:rPr>
                <w:rFonts w:ascii="宋体" w:hAnsi="宋体"/>
                <w:sz w:val="24"/>
                <w:szCs w:val="24"/>
              </w:rPr>
            </w:pPr>
            <w:r>
              <w:rPr>
                <w:rFonts w:ascii="宋体" w:hAnsi="宋体"/>
                <w:sz w:val="24"/>
                <w:szCs w:val="24"/>
              </w:rPr>
              <w:t>注：分值计算保留小数点后两位，小数点后第三位“四舍五入”。</w:t>
            </w:r>
          </w:p>
        </w:tc>
        <w:tc>
          <w:tcPr>
            <w:tcW w:w="967" w:type="dxa"/>
            <w:tcBorders>
              <w:top w:val="single" w:color="auto" w:sz="4" w:space="0"/>
            </w:tcBorders>
            <w:noWrap/>
            <w:vAlign w:val="center"/>
          </w:tcPr>
          <w:p>
            <w:pPr>
              <w:spacing w:line="360" w:lineRule="auto"/>
              <w:jc w:val="center"/>
              <w:rPr>
                <w:rFonts w:ascii="宋体" w:hAnsi="宋体"/>
                <w:sz w:val="24"/>
                <w:szCs w:val="24"/>
              </w:rPr>
            </w:pPr>
            <w:r>
              <w:rPr>
                <w:rFonts w:hint="eastAsia"/>
                <w:sz w:val="24"/>
                <w:szCs w:val="24"/>
              </w:rPr>
              <w:t>45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47" w:type="dxa"/>
            <w:gridSpan w:val="3"/>
            <w:noWrap/>
            <w:vAlign w:val="center"/>
          </w:tcPr>
          <w:p>
            <w:pPr>
              <w:spacing w:line="360" w:lineRule="auto"/>
              <w:ind w:firstLine="482" w:firstLineChars="200"/>
              <w:jc w:val="center"/>
              <w:rPr>
                <w:rFonts w:ascii="宋体" w:hAnsi="宋体"/>
                <w:b/>
                <w:sz w:val="24"/>
                <w:szCs w:val="24"/>
              </w:rPr>
            </w:pPr>
            <w:r>
              <w:rPr>
                <w:rFonts w:hint="eastAsia" w:ascii="宋体" w:hAnsi="宋体"/>
                <w:b/>
                <w:sz w:val="24"/>
                <w:szCs w:val="24"/>
              </w:rPr>
              <w:t>技术部分（满分</w:t>
            </w:r>
            <w:r>
              <w:rPr>
                <w:rFonts w:hint="eastAsia"/>
                <w:b/>
                <w:sz w:val="24"/>
                <w:szCs w:val="24"/>
                <w:u w:val="single"/>
              </w:rPr>
              <w:t>40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spacing w:line="360" w:lineRule="auto"/>
              <w:jc w:val="center"/>
              <w:rPr>
                <w:rFonts w:ascii="宋体" w:hAnsi="宋体"/>
                <w:b/>
                <w:sz w:val="24"/>
                <w:szCs w:val="24"/>
              </w:rPr>
            </w:pPr>
            <w:r>
              <w:rPr>
                <w:rFonts w:hint="eastAsia" w:ascii="宋体" w:hAnsi="宋体"/>
                <w:b/>
                <w:sz w:val="24"/>
                <w:szCs w:val="24"/>
              </w:rPr>
              <w:t>评分因素</w:t>
            </w:r>
          </w:p>
        </w:tc>
        <w:tc>
          <w:tcPr>
            <w:tcW w:w="6378" w:type="dxa"/>
            <w:noWrap/>
            <w:vAlign w:val="center"/>
          </w:tcPr>
          <w:p>
            <w:pPr>
              <w:spacing w:line="360" w:lineRule="auto"/>
              <w:jc w:val="center"/>
              <w:rPr>
                <w:rFonts w:ascii="宋体" w:hAnsi="宋体"/>
                <w:b/>
                <w:sz w:val="24"/>
                <w:szCs w:val="24"/>
              </w:rPr>
            </w:pPr>
            <w:r>
              <w:rPr>
                <w:rFonts w:ascii="宋体" w:hAnsi="宋体"/>
                <w:b/>
                <w:sz w:val="24"/>
                <w:szCs w:val="24"/>
              </w:rPr>
              <w:t>评分标准</w:t>
            </w:r>
          </w:p>
        </w:tc>
        <w:tc>
          <w:tcPr>
            <w:tcW w:w="967" w:type="dxa"/>
            <w:noWrap/>
            <w:vAlign w:val="center"/>
          </w:tcPr>
          <w:p>
            <w:pPr>
              <w:spacing w:line="360" w:lineRule="auto"/>
              <w:jc w:val="center"/>
              <w:rPr>
                <w:rFonts w:ascii="宋体" w:hAnsi="宋体"/>
                <w:b/>
                <w:sz w:val="24"/>
                <w:szCs w:val="24"/>
              </w:rPr>
            </w:pPr>
            <w:r>
              <w:rPr>
                <w:rFonts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jc w:val="center"/>
              <w:rPr>
                <w:rFonts w:ascii="宋体" w:hAnsi="宋体" w:cs="宋体"/>
                <w:sz w:val="24"/>
                <w:szCs w:val="24"/>
              </w:rPr>
            </w:pPr>
            <w:r>
              <w:rPr>
                <w:rFonts w:hint="eastAsia" w:ascii="宋体" w:hAnsi="宋体"/>
                <w:sz w:val="24"/>
                <w:szCs w:val="24"/>
              </w:rPr>
              <w:t>对项目整体分析</w:t>
            </w:r>
          </w:p>
        </w:tc>
        <w:tc>
          <w:tcPr>
            <w:tcW w:w="6378" w:type="dxa"/>
            <w:noWrap/>
            <w:vAlign w:val="center"/>
          </w:tcPr>
          <w:p>
            <w:pPr>
              <w:rPr>
                <w:rFonts w:ascii="宋体" w:hAnsi="宋体" w:cs="宋体"/>
                <w:color w:val="000000"/>
                <w:kern w:val="0"/>
                <w:sz w:val="24"/>
                <w:szCs w:val="24"/>
              </w:rPr>
            </w:pPr>
            <w:r>
              <w:rPr>
                <w:rFonts w:hint="eastAsia" w:ascii="宋体" w:hAnsi="宋体" w:cs="宋体"/>
                <w:color w:val="000000"/>
                <w:kern w:val="0"/>
                <w:sz w:val="24"/>
                <w:szCs w:val="24"/>
              </w:rPr>
              <w:t>供应商根据本项目的特点进行整体分析。</w:t>
            </w:r>
          </w:p>
          <w:p>
            <w:pPr>
              <w:rPr>
                <w:rFonts w:ascii="宋体" w:hAnsi="宋体" w:cs="宋体"/>
                <w:color w:val="000000"/>
                <w:kern w:val="0"/>
                <w:sz w:val="24"/>
                <w:szCs w:val="24"/>
              </w:rPr>
            </w:pPr>
            <w:r>
              <w:rPr>
                <w:rFonts w:hint="eastAsia" w:ascii="宋体" w:hAnsi="宋体" w:cs="宋体"/>
                <w:color w:val="000000"/>
                <w:kern w:val="0"/>
                <w:sz w:val="24"/>
                <w:szCs w:val="24"/>
              </w:rPr>
              <w:t>1、项目整体分析全面、充分，表述清晰得6分；</w:t>
            </w:r>
          </w:p>
          <w:p>
            <w:pPr>
              <w:rPr>
                <w:rFonts w:ascii="宋体" w:hAnsi="宋体" w:cs="宋体"/>
                <w:color w:val="000000"/>
                <w:kern w:val="0"/>
                <w:sz w:val="24"/>
                <w:szCs w:val="24"/>
              </w:rPr>
            </w:pPr>
            <w:r>
              <w:rPr>
                <w:rFonts w:hint="eastAsia" w:ascii="宋体" w:hAnsi="宋体" w:cs="宋体"/>
                <w:color w:val="000000"/>
                <w:kern w:val="0"/>
                <w:sz w:val="24"/>
                <w:szCs w:val="24"/>
              </w:rPr>
              <w:t>2、项目整体分析较全面、较充分，表述较清晰得4分；</w:t>
            </w:r>
          </w:p>
          <w:p>
            <w:pPr>
              <w:rPr>
                <w:rFonts w:ascii="宋体" w:hAnsi="宋体" w:cs="宋体"/>
                <w:color w:val="000000"/>
                <w:kern w:val="0"/>
                <w:sz w:val="24"/>
                <w:szCs w:val="24"/>
              </w:rPr>
            </w:pPr>
            <w:r>
              <w:rPr>
                <w:rFonts w:hint="eastAsia" w:ascii="宋体" w:hAnsi="宋体" w:cs="宋体"/>
                <w:color w:val="000000"/>
                <w:kern w:val="0"/>
                <w:sz w:val="24"/>
                <w:szCs w:val="24"/>
              </w:rPr>
              <w:t>3、项目整体分析不全面、不充分，内容过于简单得2分；</w:t>
            </w:r>
          </w:p>
          <w:p>
            <w:pPr>
              <w:rPr>
                <w:rFonts w:ascii="宋体" w:hAnsi="宋体"/>
                <w:kern w:val="0"/>
                <w:sz w:val="24"/>
                <w:szCs w:val="24"/>
              </w:rPr>
            </w:pPr>
            <w:r>
              <w:rPr>
                <w:rFonts w:hint="eastAsia" w:ascii="宋体" w:hAnsi="宋体" w:cs="宋体"/>
                <w:color w:val="000000"/>
                <w:kern w:val="0"/>
                <w:sz w:val="24"/>
                <w:szCs w:val="24"/>
              </w:rPr>
              <w:t>4、缺项不得分。</w:t>
            </w:r>
          </w:p>
        </w:tc>
        <w:tc>
          <w:tcPr>
            <w:tcW w:w="967" w:type="dxa"/>
            <w:noWrap/>
            <w:vAlign w:val="center"/>
          </w:tcPr>
          <w:p>
            <w:pPr>
              <w:spacing w:line="360" w:lineRule="auto"/>
              <w:jc w:val="center"/>
              <w:rPr>
                <w:sz w:val="24"/>
                <w:szCs w:val="24"/>
              </w:rPr>
            </w:pPr>
            <w:r>
              <w:rPr>
                <w:rFonts w:hint="eastAsia"/>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spacing w:line="360" w:lineRule="auto"/>
              <w:jc w:val="center"/>
              <w:rPr>
                <w:rFonts w:ascii="宋体" w:hAnsi="宋体"/>
                <w:sz w:val="24"/>
                <w:szCs w:val="24"/>
              </w:rPr>
            </w:pPr>
            <w:r>
              <w:rPr>
                <w:rFonts w:hint="eastAsia"/>
                <w:sz w:val="24"/>
                <w:szCs w:val="24"/>
              </w:rPr>
              <w:t>服务方案</w:t>
            </w:r>
          </w:p>
        </w:tc>
        <w:tc>
          <w:tcPr>
            <w:tcW w:w="6378" w:type="dxa"/>
            <w:noWrap/>
            <w:vAlign w:val="center"/>
          </w:tcPr>
          <w:p>
            <w:pPr>
              <w:spacing w:line="360" w:lineRule="auto"/>
              <w:rPr>
                <w:rFonts w:ascii="宋体" w:hAnsi="宋体" w:cs="宋体"/>
                <w:sz w:val="24"/>
                <w:szCs w:val="24"/>
              </w:rPr>
            </w:pPr>
            <w:r>
              <w:rPr>
                <w:rFonts w:hint="eastAsia" w:ascii="宋体" w:hAnsi="宋体" w:cs="宋体"/>
                <w:color w:val="000000"/>
                <w:kern w:val="0"/>
                <w:sz w:val="24"/>
                <w:szCs w:val="24"/>
              </w:rPr>
              <w:t>供应商根据本项目的特点</w:t>
            </w:r>
            <w:r>
              <w:rPr>
                <w:rFonts w:hint="eastAsia" w:ascii="宋体" w:hAnsi="宋体" w:cs="宋体"/>
                <w:sz w:val="24"/>
                <w:szCs w:val="24"/>
              </w:rPr>
              <w:t>能够提出详细、</w:t>
            </w:r>
            <w:r>
              <w:rPr>
                <w:rFonts w:hint="eastAsia" w:ascii="宋体" w:hAnsi="宋体" w:cs="宋体"/>
                <w:sz w:val="24"/>
                <w:szCs w:val="24"/>
                <w:lang w:val="zh-CN"/>
              </w:rPr>
              <w:t>科学、合理的配套服务措施和方案</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1.能完全满足招标需求，且内容科学合理，方案详尽得6分；</w:t>
            </w:r>
          </w:p>
          <w:p>
            <w:pPr>
              <w:spacing w:line="360" w:lineRule="auto"/>
              <w:rPr>
                <w:rFonts w:ascii="宋体" w:hAnsi="宋体" w:cs="宋体"/>
                <w:sz w:val="24"/>
                <w:szCs w:val="24"/>
              </w:rPr>
            </w:pPr>
            <w:r>
              <w:rPr>
                <w:rFonts w:hint="eastAsia" w:ascii="宋体" w:hAnsi="宋体" w:cs="宋体"/>
                <w:sz w:val="24"/>
                <w:szCs w:val="24"/>
              </w:rPr>
              <w:t>2.满足需求，但方案不够详尽的得</w:t>
            </w:r>
            <w:r>
              <w:rPr>
                <w:rFonts w:hint="eastAsia" w:cs="宋体"/>
                <w:sz w:val="24"/>
                <w:szCs w:val="24"/>
              </w:rPr>
              <w:t>4</w:t>
            </w:r>
            <w:r>
              <w:rPr>
                <w:rFonts w:hint="eastAsia" w:ascii="宋体" w:hAnsi="宋体" w:cs="宋体"/>
                <w:sz w:val="24"/>
                <w:szCs w:val="24"/>
              </w:rPr>
              <w:t>分；</w:t>
            </w:r>
          </w:p>
          <w:p>
            <w:pPr>
              <w:spacing w:line="360" w:lineRule="auto"/>
            </w:pPr>
            <w:r>
              <w:rPr>
                <w:rFonts w:hint="eastAsia" w:ascii="宋体" w:hAnsi="宋体" w:cs="宋体"/>
                <w:sz w:val="24"/>
                <w:szCs w:val="24"/>
              </w:rPr>
              <w:t>3.能满足部分需求的得</w:t>
            </w:r>
            <w:r>
              <w:rPr>
                <w:rFonts w:hint="eastAsia" w:cs="宋体"/>
                <w:sz w:val="24"/>
                <w:szCs w:val="24"/>
              </w:rPr>
              <w:t>2</w:t>
            </w:r>
            <w:r>
              <w:rPr>
                <w:rFonts w:hint="eastAsia" w:ascii="宋体" w:hAnsi="宋体" w:cs="宋体"/>
                <w:sz w:val="24"/>
                <w:szCs w:val="24"/>
              </w:rPr>
              <w:t>分；</w:t>
            </w:r>
          </w:p>
          <w:p>
            <w:pPr>
              <w:spacing w:line="360" w:lineRule="auto"/>
              <w:rPr>
                <w:rFonts w:ascii="宋体" w:hAnsi="宋体" w:cs="宋体"/>
                <w:sz w:val="24"/>
                <w:szCs w:val="24"/>
              </w:rPr>
            </w:pPr>
            <w:r>
              <w:rPr>
                <w:rFonts w:hint="eastAsia" w:ascii="宋体" w:hAnsi="宋体" w:cs="宋体"/>
                <w:sz w:val="24"/>
                <w:szCs w:val="24"/>
              </w:rPr>
              <w:t>4.不能满足招标需求，或无具体方案的不得分。</w:t>
            </w:r>
          </w:p>
        </w:tc>
        <w:tc>
          <w:tcPr>
            <w:tcW w:w="967" w:type="dxa"/>
            <w:noWrap/>
            <w:vAlign w:val="center"/>
          </w:tcPr>
          <w:p>
            <w:pPr>
              <w:spacing w:line="360" w:lineRule="auto"/>
              <w:jc w:val="center"/>
              <w:rPr>
                <w:rFonts w:ascii="宋体" w:hAnsi="宋体" w:cs="宋体"/>
                <w:sz w:val="24"/>
                <w:szCs w:val="24"/>
              </w:rPr>
            </w:pPr>
            <w:r>
              <w:rPr>
                <w:rFonts w:hint="eastAsia"/>
                <w:sz w:val="24"/>
                <w:szCs w:val="24"/>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spacing w:after="50" w:line="360" w:lineRule="auto"/>
              <w:ind w:right="-10"/>
              <w:jc w:val="center"/>
              <w:rPr>
                <w:rFonts w:ascii="宋体" w:hAnsi="宋体"/>
                <w:sz w:val="24"/>
                <w:szCs w:val="24"/>
              </w:rPr>
            </w:pPr>
            <w:r>
              <w:rPr>
                <w:rFonts w:hint="eastAsia" w:ascii="宋体" w:hAnsi="宋体" w:cs="宋体"/>
                <w:kern w:val="0"/>
                <w:sz w:val="24"/>
                <w:szCs w:val="24"/>
              </w:rPr>
              <w:t>保证质量的措施和方案</w:t>
            </w:r>
          </w:p>
        </w:tc>
        <w:tc>
          <w:tcPr>
            <w:tcW w:w="6378" w:type="dxa"/>
            <w:noWrap/>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供应商根据本项目的特点写出质量保证措施和方案。</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kern w:val="0"/>
                <w:sz w:val="24"/>
                <w:szCs w:val="24"/>
              </w:rPr>
              <w:t>措施和</w:t>
            </w:r>
            <w:r>
              <w:rPr>
                <w:rFonts w:hint="eastAsia" w:ascii="新宋体" w:hAnsi="新宋体" w:eastAsia="新宋体" w:cs="新宋体"/>
                <w:sz w:val="24"/>
                <w:szCs w:val="24"/>
              </w:rPr>
              <w:t>方案</w:t>
            </w:r>
            <w:r>
              <w:rPr>
                <w:rFonts w:hint="eastAsia" w:ascii="宋体" w:hAnsi="宋体" w:cs="宋体"/>
                <w:kern w:val="0"/>
                <w:sz w:val="24"/>
                <w:szCs w:val="24"/>
              </w:rPr>
              <w:t>内容详实，</w:t>
            </w:r>
            <w:r>
              <w:rPr>
                <w:rFonts w:hint="eastAsia" w:ascii="宋体" w:hAnsi="宋体" w:cs="宋体"/>
                <w:color w:val="000000"/>
                <w:kern w:val="0"/>
                <w:sz w:val="24"/>
                <w:szCs w:val="24"/>
              </w:rPr>
              <w:t>针对性、可操作性、合理性强，得</w:t>
            </w:r>
            <w:r>
              <w:rPr>
                <w:rFonts w:hint="eastAsia" w:cs="宋体"/>
                <w:color w:val="000000"/>
                <w:kern w:val="0"/>
                <w:sz w:val="24"/>
                <w:szCs w:val="24"/>
              </w:rPr>
              <w:t>6</w:t>
            </w:r>
            <w:r>
              <w:rPr>
                <w:rFonts w:hint="eastAsia" w:ascii="宋体" w:hAnsi="宋体" w:cs="宋体"/>
                <w:color w:val="000000"/>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kern w:val="0"/>
                <w:sz w:val="24"/>
                <w:szCs w:val="24"/>
              </w:rPr>
              <w:t>措施和</w:t>
            </w:r>
            <w:r>
              <w:rPr>
                <w:rFonts w:hint="eastAsia" w:ascii="新宋体" w:hAnsi="新宋体" w:eastAsia="新宋体" w:cs="新宋体"/>
                <w:sz w:val="24"/>
                <w:szCs w:val="24"/>
              </w:rPr>
              <w:t>方案</w:t>
            </w:r>
            <w:r>
              <w:rPr>
                <w:rFonts w:hint="eastAsia" w:ascii="宋体" w:hAnsi="宋体" w:cs="宋体"/>
                <w:kern w:val="0"/>
                <w:sz w:val="24"/>
                <w:szCs w:val="24"/>
              </w:rPr>
              <w:t>内容较详实，</w:t>
            </w:r>
            <w:r>
              <w:rPr>
                <w:rFonts w:hint="eastAsia" w:ascii="宋体" w:hAnsi="宋体" w:cs="宋体"/>
                <w:color w:val="000000"/>
                <w:kern w:val="0"/>
                <w:sz w:val="24"/>
                <w:szCs w:val="24"/>
              </w:rPr>
              <w:t>针对性、可操作性、合理性一般，得</w:t>
            </w:r>
            <w:r>
              <w:rPr>
                <w:rFonts w:hint="eastAsia" w:cs="宋体"/>
                <w:color w:val="000000"/>
                <w:kern w:val="0"/>
                <w:sz w:val="24"/>
                <w:szCs w:val="24"/>
              </w:rPr>
              <w:t>4</w:t>
            </w:r>
            <w:r>
              <w:rPr>
                <w:rFonts w:hint="eastAsia" w:ascii="宋体" w:hAnsi="宋体" w:cs="宋体"/>
                <w:color w:val="000000"/>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kern w:val="0"/>
                <w:sz w:val="24"/>
                <w:szCs w:val="24"/>
              </w:rPr>
              <w:t>措施和</w:t>
            </w:r>
            <w:r>
              <w:rPr>
                <w:rFonts w:hint="eastAsia" w:ascii="新宋体" w:hAnsi="新宋体" w:eastAsia="新宋体" w:cs="新宋体"/>
                <w:sz w:val="24"/>
                <w:szCs w:val="24"/>
              </w:rPr>
              <w:t>方案</w:t>
            </w:r>
            <w:r>
              <w:rPr>
                <w:rFonts w:hint="eastAsia" w:ascii="宋体" w:hAnsi="宋体" w:cs="宋体"/>
                <w:kern w:val="0"/>
                <w:sz w:val="24"/>
                <w:szCs w:val="24"/>
              </w:rPr>
              <w:t>内容不详实，</w:t>
            </w:r>
            <w:r>
              <w:rPr>
                <w:rFonts w:hint="eastAsia" w:ascii="宋体" w:hAnsi="宋体" w:cs="宋体"/>
                <w:color w:val="000000"/>
                <w:kern w:val="0"/>
                <w:sz w:val="24"/>
                <w:szCs w:val="24"/>
              </w:rPr>
              <w:t>针对性、可操作性、合理性差，得</w:t>
            </w:r>
            <w:r>
              <w:rPr>
                <w:rFonts w:hint="eastAsia" w:cs="宋体"/>
                <w:color w:val="000000"/>
                <w:kern w:val="0"/>
                <w:sz w:val="24"/>
                <w:szCs w:val="24"/>
              </w:rPr>
              <w:t>2</w:t>
            </w:r>
            <w:r>
              <w:rPr>
                <w:rFonts w:hint="eastAsia" w:ascii="宋体" w:hAnsi="宋体" w:cs="宋体"/>
                <w:color w:val="000000"/>
                <w:kern w:val="0"/>
                <w:sz w:val="24"/>
                <w:szCs w:val="24"/>
              </w:rPr>
              <w:t>分；</w:t>
            </w:r>
          </w:p>
          <w:p>
            <w:pPr>
              <w:spacing w:line="360" w:lineRule="auto"/>
            </w:pPr>
            <w:r>
              <w:rPr>
                <w:rFonts w:hint="eastAsia" w:ascii="宋体" w:hAnsi="宋体" w:cs="宋体"/>
                <w:color w:val="000000"/>
                <w:kern w:val="0"/>
                <w:sz w:val="24"/>
                <w:szCs w:val="24"/>
              </w:rPr>
              <w:t>4、</w:t>
            </w:r>
            <w:r>
              <w:rPr>
                <w:rFonts w:hint="eastAsia" w:ascii="宋体" w:hAnsi="宋体" w:cs="宋体"/>
                <w:sz w:val="24"/>
                <w:szCs w:val="24"/>
              </w:rPr>
              <w:t>缺项不得分。</w:t>
            </w:r>
          </w:p>
        </w:tc>
        <w:tc>
          <w:tcPr>
            <w:tcW w:w="967" w:type="dxa"/>
            <w:noWrap/>
            <w:vAlign w:val="center"/>
          </w:tcPr>
          <w:p>
            <w:pPr>
              <w:spacing w:line="360" w:lineRule="auto"/>
              <w:jc w:val="center"/>
              <w:rPr>
                <w:rFonts w:ascii="宋体" w:hAnsi="宋体"/>
                <w:sz w:val="24"/>
                <w:szCs w:val="24"/>
              </w:rPr>
            </w:pPr>
            <w:r>
              <w:rPr>
                <w:rFonts w:hint="eastAsia"/>
                <w:sz w:val="24"/>
                <w:szCs w:val="24"/>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保证按时完工的措施和方案</w:t>
            </w:r>
          </w:p>
        </w:tc>
        <w:tc>
          <w:tcPr>
            <w:tcW w:w="6378" w:type="dxa"/>
            <w:noWrap/>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供应商根据本项目的特点写出保证按时完工的措施和方案。</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kern w:val="0"/>
                <w:sz w:val="24"/>
                <w:szCs w:val="24"/>
              </w:rPr>
              <w:t>措施和</w:t>
            </w:r>
            <w:r>
              <w:rPr>
                <w:rFonts w:hint="eastAsia" w:ascii="新宋体" w:hAnsi="新宋体" w:eastAsia="新宋体" w:cs="新宋体"/>
                <w:sz w:val="24"/>
                <w:szCs w:val="24"/>
              </w:rPr>
              <w:t>方案</w:t>
            </w:r>
            <w:r>
              <w:rPr>
                <w:rFonts w:hint="eastAsia" w:ascii="宋体" w:hAnsi="宋体" w:cs="宋体"/>
                <w:color w:val="000000"/>
                <w:kern w:val="0"/>
                <w:sz w:val="24"/>
                <w:szCs w:val="24"/>
              </w:rPr>
              <w:t>针对性、可操作性、合理性强，得</w:t>
            </w:r>
            <w:r>
              <w:rPr>
                <w:rFonts w:hint="eastAsia" w:cs="宋体"/>
                <w:color w:val="000000"/>
                <w:kern w:val="0"/>
                <w:sz w:val="24"/>
                <w:szCs w:val="24"/>
              </w:rPr>
              <w:t>5</w:t>
            </w:r>
            <w:r>
              <w:rPr>
                <w:rFonts w:hint="eastAsia" w:ascii="宋体" w:hAnsi="宋体" w:cs="宋体"/>
                <w:color w:val="000000"/>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kern w:val="0"/>
                <w:sz w:val="24"/>
                <w:szCs w:val="24"/>
              </w:rPr>
              <w:t>措施和</w:t>
            </w:r>
            <w:r>
              <w:rPr>
                <w:rFonts w:hint="eastAsia" w:ascii="新宋体" w:hAnsi="新宋体" w:eastAsia="新宋体" w:cs="新宋体"/>
                <w:sz w:val="24"/>
                <w:szCs w:val="24"/>
              </w:rPr>
              <w:t>方案</w:t>
            </w:r>
            <w:r>
              <w:rPr>
                <w:rFonts w:hint="eastAsia" w:ascii="宋体" w:hAnsi="宋体" w:cs="宋体"/>
                <w:color w:val="000000"/>
                <w:kern w:val="0"/>
                <w:sz w:val="24"/>
                <w:szCs w:val="24"/>
              </w:rPr>
              <w:t>针对性、可操作性、合理性一般，得</w:t>
            </w:r>
            <w:r>
              <w:rPr>
                <w:rFonts w:hint="eastAsia" w:cs="宋体"/>
                <w:color w:val="000000"/>
                <w:kern w:val="0"/>
                <w:sz w:val="24"/>
                <w:szCs w:val="24"/>
              </w:rPr>
              <w:t>3</w:t>
            </w:r>
            <w:r>
              <w:rPr>
                <w:rFonts w:hint="eastAsia" w:ascii="宋体" w:hAnsi="宋体" w:cs="宋体"/>
                <w:color w:val="000000"/>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kern w:val="0"/>
                <w:sz w:val="24"/>
                <w:szCs w:val="24"/>
              </w:rPr>
              <w:t>措施和</w:t>
            </w:r>
            <w:r>
              <w:rPr>
                <w:rFonts w:hint="eastAsia" w:ascii="新宋体" w:hAnsi="新宋体" w:eastAsia="新宋体" w:cs="新宋体"/>
                <w:sz w:val="24"/>
                <w:szCs w:val="24"/>
              </w:rPr>
              <w:t>方案</w:t>
            </w:r>
            <w:r>
              <w:rPr>
                <w:rFonts w:hint="eastAsia" w:ascii="宋体" w:hAnsi="宋体" w:cs="宋体"/>
                <w:color w:val="000000"/>
                <w:kern w:val="0"/>
                <w:sz w:val="24"/>
                <w:szCs w:val="24"/>
              </w:rPr>
              <w:t>针对性、可操作性、合理性差，得</w:t>
            </w:r>
            <w:r>
              <w:rPr>
                <w:rFonts w:hint="eastAsia" w:cs="宋体"/>
                <w:color w:val="000000"/>
                <w:kern w:val="0"/>
                <w:sz w:val="24"/>
                <w:szCs w:val="24"/>
              </w:rPr>
              <w:t>2</w:t>
            </w:r>
            <w:r>
              <w:rPr>
                <w:rFonts w:hint="eastAsia" w:ascii="宋体" w:hAnsi="宋体" w:cs="宋体"/>
                <w:color w:val="000000"/>
                <w:kern w:val="0"/>
                <w:sz w:val="24"/>
                <w:szCs w:val="24"/>
              </w:rPr>
              <w:t>分；</w:t>
            </w:r>
          </w:p>
          <w:p>
            <w:pPr>
              <w:widowControl/>
              <w:spacing w:line="360" w:lineRule="auto"/>
              <w:jc w:val="left"/>
              <w:rPr>
                <w:rFonts w:ascii="宋体" w:hAnsi="宋体"/>
                <w:sz w:val="24"/>
                <w:szCs w:val="24"/>
              </w:rPr>
            </w:pPr>
            <w:r>
              <w:rPr>
                <w:rFonts w:hint="eastAsia" w:ascii="宋体" w:hAnsi="宋体" w:cs="宋体"/>
                <w:color w:val="000000"/>
                <w:kern w:val="0"/>
                <w:sz w:val="24"/>
                <w:szCs w:val="24"/>
              </w:rPr>
              <w:t>4、</w:t>
            </w:r>
            <w:r>
              <w:rPr>
                <w:rFonts w:hint="eastAsia" w:ascii="宋体" w:hAnsi="宋体" w:cs="宋体"/>
                <w:sz w:val="24"/>
                <w:szCs w:val="24"/>
              </w:rPr>
              <w:t>缺项不得分。</w:t>
            </w:r>
          </w:p>
        </w:tc>
        <w:tc>
          <w:tcPr>
            <w:tcW w:w="967" w:type="dxa"/>
            <w:noWrap/>
            <w:vAlign w:val="center"/>
          </w:tcPr>
          <w:p>
            <w:pPr>
              <w:spacing w:line="360" w:lineRule="auto"/>
              <w:jc w:val="center"/>
              <w:rPr>
                <w:rFonts w:ascii="宋体" w:hAnsi="宋体"/>
                <w:sz w:val="24"/>
                <w:szCs w:val="24"/>
              </w:rPr>
            </w:pPr>
            <w:r>
              <w:rPr>
                <w:rFonts w:hint="eastAsia"/>
                <w:sz w:val="24"/>
                <w:szCs w:val="24"/>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702" w:type="dxa"/>
            <w:noWrap/>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安全保障措施</w:t>
            </w:r>
          </w:p>
        </w:tc>
        <w:tc>
          <w:tcPr>
            <w:tcW w:w="6378" w:type="dxa"/>
            <w:noWrap/>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供应商根据本项目的特点，制定项目安全管理措施。</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1.保障措施内容详实、合理、可行得</w:t>
            </w:r>
            <w:r>
              <w:rPr>
                <w:rFonts w:hint="eastAsia" w:cs="宋体"/>
                <w:kern w:val="0"/>
                <w:sz w:val="24"/>
                <w:szCs w:val="24"/>
              </w:rPr>
              <w:t>5</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2.保障措施内容较详实、较合理、较可行得</w:t>
            </w:r>
            <w:r>
              <w:rPr>
                <w:rFonts w:hint="eastAsia" w:cs="宋体"/>
                <w:kern w:val="0"/>
                <w:sz w:val="24"/>
                <w:szCs w:val="24"/>
              </w:rPr>
              <w:t>3</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3.保障措施内容不详实、不合理、不可行得</w:t>
            </w:r>
            <w:r>
              <w:rPr>
                <w:rFonts w:hint="eastAsia" w:cs="宋体"/>
                <w:kern w:val="0"/>
                <w:sz w:val="24"/>
                <w:szCs w:val="24"/>
              </w:rPr>
              <w:t>2</w:t>
            </w:r>
            <w:r>
              <w:rPr>
                <w:rFonts w:hint="eastAsia" w:ascii="宋体" w:hAnsi="宋体" w:cs="宋体"/>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kern w:val="0"/>
                <w:sz w:val="24"/>
                <w:szCs w:val="24"/>
              </w:rPr>
              <w:t>4.</w:t>
            </w:r>
            <w:r>
              <w:rPr>
                <w:rFonts w:hint="eastAsia" w:ascii="宋体" w:hAnsi="宋体" w:cs="宋体"/>
                <w:sz w:val="24"/>
                <w:szCs w:val="24"/>
              </w:rPr>
              <w:t>缺项不得分。</w:t>
            </w:r>
          </w:p>
        </w:tc>
        <w:tc>
          <w:tcPr>
            <w:tcW w:w="967" w:type="dxa"/>
            <w:noWrap/>
            <w:vAlign w:val="center"/>
          </w:tcPr>
          <w:p>
            <w:pPr>
              <w:spacing w:line="360" w:lineRule="auto"/>
              <w:jc w:val="center"/>
              <w:rPr>
                <w:rFonts w:ascii="宋体" w:hAnsi="宋体"/>
                <w:sz w:val="24"/>
                <w:szCs w:val="24"/>
              </w:rPr>
            </w:pPr>
            <w:r>
              <w:rPr>
                <w:rFonts w:hint="eastAsia"/>
                <w:sz w:val="24"/>
                <w:szCs w:val="24"/>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1702" w:type="dxa"/>
            <w:noWrap/>
            <w:vAlign w:val="center"/>
          </w:tcPr>
          <w:p>
            <w:pPr>
              <w:autoSpaceDE w:val="0"/>
              <w:autoSpaceDN w:val="0"/>
              <w:adjustRightInd w:val="0"/>
              <w:snapToGrid w:val="0"/>
              <w:spacing w:line="360" w:lineRule="auto"/>
              <w:jc w:val="center"/>
              <w:rPr>
                <w:rFonts w:ascii="宋体" w:hAnsi="宋体" w:cs="宋体"/>
                <w:sz w:val="24"/>
              </w:rPr>
            </w:pPr>
            <w:r>
              <w:rPr>
                <w:rFonts w:hint="eastAsia" w:cs="宋体"/>
                <w:sz w:val="24"/>
              </w:rPr>
              <w:t>应急预案</w:t>
            </w:r>
          </w:p>
        </w:tc>
        <w:tc>
          <w:tcPr>
            <w:tcW w:w="6378" w:type="dxa"/>
            <w:noWrap/>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供应商根据本项目的特点，制定项目</w:t>
            </w:r>
            <w:r>
              <w:rPr>
                <w:rFonts w:hint="eastAsia" w:cs="宋体"/>
                <w:sz w:val="24"/>
              </w:rPr>
              <w:t>应急预案</w:t>
            </w:r>
            <w:r>
              <w:rPr>
                <w:rFonts w:hint="eastAsia" w:ascii="宋体" w:hAnsi="宋体" w:cs="宋体"/>
                <w:color w:val="000000"/>
                <w:kern w:val="0"/>
                <w:sz w:val="24"/>
                <w:szCs w:val="24"/>
              </w:rPr>
              <w:t>。</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1.</w:t>
            </w:r>
            <w:r>
              <w:rPr>
                <w:rFonts w:hint="eastAsia" w:cs="宋体"/>
                <w:sz w:val="24"/>
              </w:rPr>
              <w:t>应急预案</w:t>
            </w:r>
            <w:r>
              <w:rPr>
                <w:rFonts w:hint="eastAsia" w:ascii="宋体" w:hAnsi="宋体" w:cs="宋体"/>
                <w:kern w:val="0"/>
                <w:sz w:val="24"/>
                <w:szCs w:val="24"/>
              </w:rPr>
              <w:t>内容详实、合理、可行得</w:t>
            </w:r>
            <w:r>
              <w:rPr>
                <w:rFonts w:hint="eastAsia" w:cs="宋体"/>
                <w:kern w:val="0"/>
                <w:sz w:val="24"/>
                <w:szCs w:val="24"/>
              </w:rPr>
              <w:t>6</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w:t>
            </w:r>
            <w:r>
              <w:rPr>
                <w:rFonts w:hint="eastAsia" w:cs="宋体"/>
                <w:sz w:val="24"/>
              </w:rPr>
              <w:t>应急预案</w:t>
            </w:r>
            <w:r>
              <w:rPr>
                <w:rFonts w:hint="eastAsia" w:ascii="宋体" w:hAnsi="宋体" w:cs="宋体"/>
                <w:kern w:val="0"/>
                <w:sz w:val="24"/>
                <w:szCs w:val="24"/>
              </w:rPr>
              <w:t>内容较详实、较合理、较可行得</w:t>
            </w:r>
            <w:r>
              <w:rPr>
                <w:rFonts w:hint="eastAsia" w:cs="宋体"/>
                <w:kern w:val="0"/>
                <w:sz w:val="24"/>
                <w:szCs w:val="24"/>
              </w:rPr>
              <w:t>4</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3.</w:t>
            </w:r>
            <w:r>
              <w:rPr>
                <w:rFonts w:hint="eastAsia" w:cs="宋体"/>
                <w:sz w:val="24"/>
              </w:rPr>
              <w:t>应急预案</w:t>
            </w:r>
            <w:r>
              <w:rPr>
                <w:rFonts w:hint="eastAsia" w:ascii="宋体" w:hAnsi="宋体" w:cs="宋体"/>
                <w:kern w:val="0"/>
                <w:sz w:val="24"/>
                <w:szCs w:val="24"/>
              </w:rPr>
              <w:t>内容不详实、不合理、不可行得</w:t>
            </w:r>
            <w:r>
              <w:rPr>
                <w:rFonts w:hint="eastAsia" w:cs="宋体"/>
                <w:kern w:val="0"/>
                <w:sz w:val="24"/>
                <w:szCs w:val="24"/>
              </w:rPr>
              <w:t>2</w:t>
            </w:r>
            <w:r>
              <w:rPr>
                <w:rFonts w:hint="eastAsia" w:ascii="宋体" w:hAnsi="宋体" w:cs="宋体"/>
                <w:kern w:val="0"/>
                <w:sz w:val="24"/>
                <w:szCs w:val="24"/>
              </w:rPr>
              <w:t>分；</w:t>
            </w:r>
          </w:p>
          <w:p>
            <w:pPr>
              <w:spacing w:line="360" w:lineRule="auto"/>
              <w:rPr>
                <w:rFonts w:ascii="宋体" w:hAnsi="宋体"/>
                <w:sz w:val="24"/>
                <w:szCs w:val="24"/>
              </w:rPr>
            </w:pPr>
            <w:r>
              <w:rPr>
                <w:rFonts w:hint="eastAsia" w:ascii="宋体" w:hAnsi="宋体" w:cs="宋体"/>
                <w:kern w:val="0"/>
                <w:sz w:val="24"/>
                <w:szCs w:val="24"/>
              </w:rPr>
              <w:t>4.</w:t>
            </w:r>
            <w:r>
              <w:rPr>
                <w:rFonts w:hint="eastAsia" w:ascii="宋体" w:hAnsi="宋体" w:cs="宋体"/>
                <w:sz w:val="24"/>
                <w:szCs w:val="24"/>
              </w:rPr>
              <w:t>缺项不得分。</w:t>
            </w:r>
          </w:p>
        </w:tc>
        <w:tc>
          <w:tcPr>
            <w:tcW w:w="967" w:type="dxa"/>
            <w:noWrap/>
            <w:vAlign w:val="center"/>
          </w:tcPr>
          <w:p>
            <w:pPr>
              <w:spacing w:line="360" w:lineRule="auto"/>
              <w:jc w:val="center"/>
              <w:rPr>
                <w:rFonts w:ascii="宋体" w:hAnsi="宋体"/>
                <w:sz w:val="24"/>
                <w:szCs w:val="24"/>
              </w:rPr>
            </w:pPr>
            <w:r>
              <w:rPr>
                <w:rFonts w:hint="eastAsia"/>
                <w:sz w:val="24"/>
                <w:szCs w:val="24"/>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1702" w:type="dxa"/>
            <w:noWrap/>
            <w:vAlign w:val="center"/>
          </w:tcPr>
          <w:p>
            <w:pPr>
              <w:spacing w:after="50" w:line="360" w:lineRule="auto"/>
              <w:ind w:right="-10"/>
              <w:jc w:val="center"/>
              <w:rPr>
                <w:rFonts w:cs="宋体"/>
                <w:sz w:val="24"/>
              </w:rPr>
            </w:pPr>
            <w:r>
              <w:rPr>
                <w:rFonts w:hint="eastAsia" w:ascii="宋体" w:hAnsi="宋体" w:cs="宋体"/>
                <w:sz w:val="24"/>
                <w:szCs w:val="24"/>
              </w:rPr>
              <w:t>售后服务方案</w:t>
            </w:r>
          </w:p>
        </w:tc>
        <w:tc>
          <w:tcPr>
            <w:tcW w:w="6378" w:type="dxa"/>
            <w:noWrap/>
            <w:vAlign w:val="center"/>
          </w:tcPr>
          <w:p>
            <w:pPr>
              <w:spacing w:line="360" w:lineRule="auto"/>
              <w:textAlignment w:val="baseline"/>
              <w:rPr>
                <w:rFonts w:ascii="宋体" w:hAnsi="宋体"/>
                <w:sz w:val="24"/>
                <w:szCs w:val="24"/>
              </w:rPr>
            </w:pPr>
            <w:r>
              <w:rPr>
                <w:rFonts w:hint="eastAsia" w:ascii="宋体" w:hAnsi="宋体"/>
                <w:sz w:val="24"/>
                <w:szCs w:val="24"/>
              </w:rPr>
              <w:t>供应商针对本项目售后服务方案售后服务响应时间、建立完善的技术支持体系，能够提供满足要求的服务承诺等。</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sz w:val="24"/>
                <w:szCs w:val="24"/>
              </w:rPr>
              <w:t>售后服务方案</w:t>
            </w:r>
            <w:r>
              <w:rPr>
                <w:rFonts w:hint="eastAsia" w:ascii="宋体" w:hAnsi="宋体" w:cs="宋体"/>
                <w:kern w:val="0"/>
                <w:sz w:val="24"/>
                <w:szCs w:val="24"/>
              </w:rPr>
              <w:t>内容详实、合理、可行</w:t>
            </w:r>
            <w:r>
              <w:rPr>
                <w:rFonts w:hint="eastAsia" w:ascii="宋体" w:hAnsi="宋体" w:cs="宋体"/>
                <w:color w:val="000000"/>
                <w:kern w:val="0"/>
                <w:sz w:val="24"/>
                <w:szCs w:val="24"/>
              </w:rPr>
              <w:t>得</w:t>
            </w:r>
            <w:r>
              <w:rPr>
                <w:rFonts w:hint="eastAsia" w:cs="宋体"/>
                <w:color w:val="000000"/>
                <w:kern w:val="0"/>
                <w:sz w:val="24"/>
                <w:szCs w:val="24"/>
              </w:rPr>
              <w:t>6</w:t>
            </w:r>
            <w:r>
              <w:rPr>
                <w:rFonts w:hint="eastAsia" w:ascii="宋体" w:hAnsi="宋体" w:cs="宋体"/>
                <w:color w:val="000000"/>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sz w:val="24"/>
                <w:szCs w:val="24"/>
              </w:rPr>
              <w:t>售后服务方案</w:t>
            </w:r>
            <w:r>
              <w:rPr>
                <w:rFonts w:hint="eastAsia" w:ascii="宋体" w:hAnsi="宋体" w:cs="宋体"/>
                <w:kern w:val="0"/>
                <w:sz w:val="24"/>
                <w:szCs w:val="24"/>
              </w:rPr>
              <w:t>内容较详实、较合理、较可行</w:t>
            </w:r>
            <w:r>
              <w:rPr>
                <w:rFonts w:hint="eastAsia" w:ascii="宋体" w:hAnsi="宋体" w:cs="宋体"/>
                <w:color w:val="000000"/>
                <w:kern w:val="0"/>
                <w:sz w:val="24"/>
                <w:szCs w:val="24"/>
              </w:rPr>
              <w:t>得</w:t>
            </w:r>
            <w:r>
              <w:rPr>
                <w:rFonts w:hint="eastAsia" w:cs="宋体"/>
                <w:color w:val="000000"/>
                <w:kern w:val="0"/>
                <w:sz w:val="24"/>
                <w:szCs w:val="24"/>
              </w:rPr>
              <w:t>4</w:t>
            </w:r>
            <w:r>
              <w:rPr>
                <w:rFonts w:hint="eastAsia" w:ascii="宋体" w:hAnsi="宋体" w:cs="宋体"/>
                <w:color w:val="000000"/>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sz w:val="24"/>
                <w:szCs w:val="24"/>
              </w:rPr>
              <w:t>售后服务方案</w:t>
            </w:r>
            <w:r>
              <w:rPr>
                <w:rFonts w:hint="eastAsia" w:ascii="宋体" w:hAnsi="宋体" w:cs="宋体"/>
                <w:kern w:val="0"/>
                <w:sz w:val="24"/>
                <w:szCs w:val="24"/>
              </w:rPr>
              <w:t>内容不详实、不合理、不可行</w:t>
            </w:r>
            <w:r>
              <w:rPr>
                <w:rFonts w:hint="eastAsia" w:ascii="宋体" w:hAnsi="宋体" w:cs="宋体"/>
                <w:color w:val="000000"/>
                <w:kern w:val="0"/>
                <w:sz w:val="24"/>
                <w:szCs w:val="24"/>
              </w:rPr>
              <w:t>得</w:t>
            </w:r>
            <w:r>
              <w:rPr>
                <w:rFonts w:hint="eastAsia" w:cs="宋体"/>
                <w:color w:val="000000"/>
                <w:kern w:val="0"/>
                <w:sz w:val="24"/>
                <w:szCs w:val="24"/>
              </w:rPr>
              <w:t>2</w:t>
            </w:r>
            <w:r>
              <w:rPr>
                <w:rFonts w:hint="eastAsia" w:ascii="宋体" w:hAnsi="宋体" w:cs="宋体"/>
                <w:color w:val="000000"/>
                <w:kern w:val="0"/>
                <w:sz w:val="24"/>
                <w:szCs w:val="24"/>
              </w:rPr>
              <w:t>分；</w:t>
            </w:r>
          </w:p>
          <w:p>
            <w:pPr>
              <w:pStyle w:val="2"/>
              <w:spacing w:line="360" w:lineRule="auto"/>
              <w:rPr>
                <w:rFonts w:ascii="宋体" w:hAnsi="宋体" w:cs="宋体"/>
                <w:sz w:val="24"/>
                <w:szCs w:val="24"/>
              </w:rPr>
            </w:pPr>
            <w:r>
              <w:rPr>
                <w:rFonts w:hint="eastAsia" w:ascii="宋体" w:hAnsi="宋体" w:cs="宋体"/>
                <w:color w:val="000000"/>
                <w:sz w:val="24"/>
                <w:szCs w:val="24"/>
              </w:rPr>
              <w:t>4、</w:t>
            </w:r>
            <w:r>
              <w:rPr>
                <w:rFonts w:hint="eastAsia" w:ascii="宋体" w:hAnsi="宋体"/>
                <w:sz w:val="24"/>
                <w:szCs w:val="24"/>
              </w:rPr>
              <w:t>未提供售后服务方案的，不得分</w:t>
            </w:r>
            <w:r>
              <w:rPr>
                <w:rFonts w:hint="eastAsia" w:ascii="宋体" w:hAnsi="宋体" w:cs="宋体"/>
                <w:sz w:val="24"/>
                <w:szCs w:val="24"/>
              </w:rPr>
              <w:t>。</w:t>
            </w:r>
          </w:p>
        </w:tc>
        <w:tc>
          <w:tcPr>
            <w:tcW w:w="967" w:type="dxa"/>
            <w:noWrap/>
            <w:vAlign w:val="center"/>
          </w:tcPr>
          <w:p>
            <w:pPr>
              <w:spacing w:line="360" w:lineRule="auto"/>
              <w:jc w:val="center"/>
              <w:rPr>
                <w:sz w:val="24"/>
                <w:szCs w:val="24"/>
              </w:rPr>
            </w:pPr>
            <w:r>
              <w:rPr>
                <w:rFonts w:hint="eastAsia"/>
                <w:sz w:val="24"/>
                <w:szCs w:val="24"/>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7" w:type="dxa"/>
            <w:gridSpan w:val="3"/>
            <w:noWrap/>
            <w:vAlign w:val="center"/>
          </w:tcPr>
          <w:p>
            <w:pPr>
              <w:spacing w:line="360" w:lineRule="auto"/>
              <w:ind w:firstLine="482" w:firstLineChars="200"/>
              <w:jc w:val="center"/>
              <w:rPr>
                <w:rFonts w:ascii="宋体" w:hAnsi="宋体"/>
                <w:b/>
                <w:sz w:val="24"/>
                <w:szCs w:val="24"/>
              </w:rPr>
            </w:pPr>
            <w:r>
              <w:rPr>
                <w:rFonts w:hint="eastAsia" w:ascii="宋体" w:hAnsi="宋体"/>
                <w:b/>
                <w:sz w:val="24"/>
                <w:szCs w:val="24"/>
              </w:rPr>
              <w:t>商务部分（满分</w:t>
            </w:r>
            <w:r>
              <w:rPr>
                <w:rFonts w:hint="eastAsia"/>
                <w:b/>
                <w:sz w:val="24"/>
                <w:szCs w:val="24"/>
                <w:u w:val="single"/>
              </w:rPr>
              <w:t>15</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bottom w:val="single" w:color="auto" w:sz="4" w:space="0"/>
            </w:tcBorders>
            <w:noWrap/>
            <w:vAlign w:val="center"/>
          </w:tcPr>
          <w:p>
            <w:pPr>
              <w:spacing w:line="360" w:lineRule="auto"/>
              <w:jc w:val="center"/>
              <w:rPr>
                <w:rFonts w:ascii="宋体" w:hAnsi="宋体"/>
                <w:b/>
                <w:sz w:val="24"/>
                <w:szCs w:val="24"/>
              </w:rPr>
            </w:pPr>
            <w:r>
              <w:rPr>
                <w:rFonts w:hint="eastAsia" w:ascii="宋体" w:hAnsi="宋体"/>
                <w:b/>
                <w:sz w:val="24"/>
                <w:szCs w:val="24"/>
              </w:rPr>
              <w:t>评分因素</w:t>
            </w:r>
          </w:p>
        </w:tc>
        <w:tc>
          <w:tcPr>
            <w:tcW w:w="6378" w:type="dxa"/>
            <w:noWrap/>
            <w:vAlign w:val="center"/>
          </w:tcPr>
          <w:p>
            <w:pPr>
              <w:spacing w:line="360" w:lineRule="auto"/>
              <w:ind w:firstLine="482" w:firstLineChars="200"/>
              <w:jc w:val="center"/>
              <w:rPr>
                <w:rFonts w:ascii="宋体" w:hAnsi="宋体"/>
                <w:b/>
                <w:sz w:val="24"/>
                <w:szCs w:val="24"/>
              </w:rPr>
            </w:pPr>
            <w:r>
              <w:rPr>
                <w:rFonts w:hint="eastAsia" w:ascii="宋体" w:hAnsi="宋体"/>
                <w:b/>
                <w:sz w:val="24"/>
                <w:szCs w:val="24"/>
              </w:rPr>
              <w:t>评标标准</w:t>
            </w:r>
          </w:p>
        </w:tc>
        <w:tc>
          <w:tcPr>
            <w:tcW w:w="967" w:type="dxa"/>
            <w:noWrap/>
            <w:vAlign w:val="center"/>
          </w:tcPr>
          <w:p>
            <w:pPr>
              <w:spacing w:line="360" w:lineRule="auto"/>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spacing w:after="50" w:line="360" w:lineRule="auto"/>
              <w:ind w:right="-10"/>
              <w:jc w:val="center"/>
              <w:rPr>
                <w:rFonts w:ascii="宋体" w:hAnsi="宋体" w:cs="宋体"/>
                <w:sz w:val="24"/>
                <w:szCs w:val="24"/>
              </w:rPr>
            </w:pPr>
            <w:r>
              <w:rPr>
                <w:rFonts w:hint="eastAsia" w:ascii="宋体" w:hAnsi="宋体"/>
                <w:sz w:val="24"/>
                <w:szCs w:val="24"/>
              </w:rPr>
              <w:t>综合能力</w:t>
            </w:r>
          </w:p>
        </w:tc>
        <w:tc>
          <w:tcPr>
            <w:tcW w:w="6378" w:type="dxa"/>
            <w:noWrap/>
            <w:vAlign w:val="center"/>
          </w:tcPr>
          <w:p>
            <w:pPr>
              <w:spacing w:line="360" w:lineRule="auto"/>
              <w:jc w:val="left"/>
              <w:rPr>
                <w:rFonts w:ascii="宋体" w:hAnsi="宋体" w:cs="宋体"/>
                <w:color w:val="000000"/>
                <w:kern w:val="0"/>
                <w:sz w:val="24"/>
                <w:szCs w:val="24"/>
              </w:rPr>
            </w:pPr>
            <w:r>
              <w:rPr>
                <w:rFonts w:hint="eastAsia" w:ascii="宋体" w:hAnsi="宋体"/>
                <w:bCs/>
                <w:sz w:val="24"/>
                <w:szCs w:val="24"/>
                <w:lang w:val="en-GB"/>
              </w:rPr>
              <w:t>供应商具有ISO9001质量管理体系认证证书、ISO14001环境管理体系认证证书、ISO45001职业健康管理体系认证证书，每提供一项得</w:t>
            </w:r>
            <w:r>
              <w:rPr>
                <w:rFonts w:hint="eastAsia" w:ascii="宋体" w:hAnsi="宋体"/>
                <w:bCs/>
                <w:sz w:val="24"/>
                <w:szCs w:val="24"/>
              </w:rPr>
              <w:t>1</w:t>
            </w:r>
            <w:r>
              <w:rPr>
                <w:rFonts w:hint="eastAsia" w:ascii="宋体" w:hAnsi="宋体"/>
                <w:bCs/>
                <w:sz w:val="24"/>
                <w:szCs w:val="24"/>
                <w:lang w:val="en-GB"/>
              </w:rPr>
              <w:t>分，满分</w:t>
            </w:r>
            <w:r>
              <w:rPr>
                <w:rFonts w:hint="eastAsia" w:ascii="宋体" w:hAnsi="宋体"/>
                <w:bCs/>
                <w:sz w:val="24"/>
                <w:szCs w:val="24"/>
              </w:rPr>
              <w:t>3</w:t>
            </w:r>
            <w:r>
              <w:rPr>
                <w:rFonts w:hint="eastAsia" w:ascii="宋体" w:hAnsi="宋体"/>
                <w:bCs/>
                <w:sz w:val="24"/>
                <w:szCs w:val="24"/>
                <w:lang w:val="en-GB"/>
              </w:rPr>
              <w:t>分，不提供不得分。</w:t>
            </w:r>
          </w:p>
        </w:tc>
        <w:tc>
          <w:tcPr>
            <w:tcW w:w="967" w:type="dxa"/>
            <w:noWrap/>
            <w:vAlign w:val="center"/>
          </w:tcPr>
          <w:p>
            <w:pPr>
              <w:spacing w:line="360" w:lineRule="auto"/>
              <w:jc w:val="center"/>
              <w:rPr>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spacing w:after="50" w:line="360" w:lineRule="auto"/>
              <w:ind w:right="-10"/>
              <w:jc w:val="center"/>
              <w:rPr>
                <w:rFonts w:ascii="宋体" w:hAnsi="宋体" w:cs="宋体"/>
                <w:sz w:val="24"/>
                <w:szCs w:val="24"/>
              </w:rPr>
            </w:pPr>
            <w:r>
              <w:rPr>
                <w:rFonts w:hint="eastAsia" w:ascii="宋体" w:hAnsi="宋体" w:cs="宋体"/>
                <w:sz w:val="24"/>
                <w:szCs w:val="24"/>
              </w:rPr>
              <w:t>业绩</w:t>
            </w:r>
          </w:p>
        </w:tc>
        <w:tc>
          <w:tcPr>
            <w:tcW w:w="6378" w:type="dxa"/>
            <w:noWrap/>
            <w:vAlign w:val="center"/>
          </w:tcPr>
          <w:p>
            <w:pPr>
              <w:spacing w:after="50" w:line="360" w:lineRule="auto"/>
              <w:ind w:right="-10"/>
              <w:rPr>
                <w:rFonts w:ascii="宋体" w:hAnsi="宋体" w:cs="宋体"/>
                <w:color w:val="000000"/>
                <w:kern w:val="0"/>
                <w:sz w:val="24"/>
                <w:szCs w:val="24"/>
              </w:rPr>
            </w:pPr>
            <w:r>
              <w:rPr>
                <w:rFonts w:hint="eastAsia" w:ascii="宋体" w:hAnsi="宋体" w:cs="宋体"/>
                <w:bCs/>
                <w:kern w:val="0"/>
                <w:sz w:val="24"/>
                <w:szCs w:val="24"/>
                <w:lang w:val="en-GB"/>
              </w:rPr>
              <w:t>供应商</w:t>
            </w:r>
            <w:r>
              <w:rPr>
                <w:rFonts w:hint="eastAsia" w:ascii="宋体" w:hAnsi="宋体"/>
                <w:bCs/>
                <w:sz w:val="24"/>
                <w:szCs w:val="24"/>
              </w:rPr>
              <w:t>2021年1月1日以来，具有类似项目业绩。（应提供法定媒介中标（成交）公示网页截图、合同、中标通知书、缺一项不得分）每提供一份得2分，最多得8分，不提供者为0分。</w:t>
            </w:r>
          </w:p>
        </w:tc>
        <w:tc>
          <w:tcPr>
            <w:tcW w:w="967" w:type="dxa"/>
            <w:noWrap/>
            <w:vAlign w:val="center"/>
          </w:tcPr>
          <w:p>
            <w:pPr>
              <w:spacing w:line="360" w:lineRule="auto"/>
              <w:jc w:val="center"/>
              <w:rPr>
                <w:sz w:val="24"/>
                <w:szCs w:val="24"/>
              </w:rPr>
            </w:pPr>
            <w:r>
              <w:rPr>
                <w:rFonts w:hint="eastAsia"/>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其他实质性承诺</w:t>
            </w:r>
          </w:p>
        </w:tc>
        <w:tc>
          <w:tcPr>
            <w:tcW w:w="6378" w:type="dxa"/>
            <w:noWrap/>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供应商根据本项目的特点，写出其他实质性承诺。</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1.实质性承诺内容科学合理、考虑周全，得4分；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2.实质性承诺内容较为科学合理、考虑较全，得3分；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3.实质性承诺内容科学合理性差、考虑不周，得2分；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sz w:val="24"/>
                <w:szCs w:val="24"/>
              </w:rPr>
              <w:t>缺项不得分。</w:t>
            </w:r>
          </w:p>
        </w:tc>
        <w:tc>
          <w:tcPr>
            <w:tcW w:w="967" w:type="dxa"/>
            <w:noWrap/>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4分</w:t>
            </w:r>
          </w:p>
        </w:tc>
      </w:tr>
    </w:tbl>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pStyle w:val="12"/>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ind w:firstLine="240" w:firstLineChars="100"/>
        <w:contextualSpacing/>
        <w:rPr>
          <w:rFonts w:ascii="宋体" w:hAnsi="宋体" w:cs="仿宋_GB2312"/>
          <w:sz w:val="24"/>
          <w:lang w:val="zh-CN"/>
        </w:rPr>
      </w:pPr>
      <w:r>
        <w:rPr>
          <w:rFonts w:ascii="宋体" w:hAnsi="宋体" w:cs="仿宋_GB2312"/>
          <w:sz w:val="24"/>
          <w:lang w:val="zh-CN"/>
        </w:rPr>
        <w:t>供应商对本条第一款情形提出质疑的，采购人或者采购代理机构可以组织原评标委员会进行重新评审，重新评审改变评标结果的，应当书面报告本级财政部门。</w:t>
      </w:r>
    </w:p>
    <w:p>
      <w:pPr>
        <w:wordWrap w:val="0"/>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tabs>
          <w:tab w:val="left" w:pos="1260"/>
        </w:tabs>
        <w:autoSpaceDE w:val="0"/>
        <w:autoSpaceDN w:val="0"/>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5"/>
        <w:spacing w:line="240" w:lineRule="auto"/>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spacing w:line="360" w:lineRule="auto"/>
        <w:rPr>
          <w:lang w:val="zh-CN"/>
        </w:rPr>
      </w:pPr>
    </w:p>
    <w:p>
      <w:pPr>
        <w:autoSpaceDE w:val="0"/>
        <w:autoSpaceDN w:val="0"/>
        <w:adjustRightInd w:val="0"/>
        <w:spacing w:line="620" w:lineRule="exact"/>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（此合同仅供参考。以最终采购人与中标供应商签定的合同条款为准进行公示，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16"/>
        <w:spacing w:line="360" w:lineRule="auto"/>
      </w:pPr>
      <w:r>
        <w:rPr>
          <w:rFonts w:hint="eastAsia"/>
        </w:rPr>
        <w:t>甲方：</w:t>
      </w:r>
      <w:r>
        <w:rPr>
          <w:rFonts w:hint="eastAsia"/>
          <w:u w:val="single"/>
        </w:rPr>
        <w:t>（采购人全称）</w:t>
      </w:r>
    </w:p>
    <w:p>
      <w:pPr>
        <w:pStyle w:val="16"/>
        <w:spacing w:before="0" w:beforeAutospacing="0" w:after="0" w:afterAutospacing="0" w:line="360" w:lineRule="auto"/>
        <w:contextualSpacing/>
      </w:pPr>
      <w:r>
        <w:rPr>
          <w:rFonts w:hint="eastAsia"/>
        </w:rPr>
        <w:t>乙方：</w:t>
      </w:r>
      <w:r>
        <w:rPr>
          <w:rFonts w:hint="eastAsia"/>
          <w:u w:val="single"/>
        </w:rPr>
        <w:t>（中标人全称）</w:t>
      </w:r>
    </w:p>
    <w:p>
      <w:pPr>
        <w:pStyle w:val="16"/>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16"/>
        <w:spacing w:before="0" w:beforeAutospacing="0" w:after="0" w:afterAutospacing="0" w:line="360" w:lineRule="auto"/>
        <w:ind w:firstLine="482"/>
        <w:contextualSpacing/>
      </w:pPr>
      <w:r>
        <w:rPr>
          <w:rFonts w:hint="eastAsia"/>
        </w:rPr>
        <w:t>1、下列合同文件是构成本合同不可分割的部分：</w:t>
      </w:r>
    </w:p>
    <w:p>
      <w:pPr>
        <w:pStyle w:val="16"/>
        <w:spacing w:before="0" w:beforeAutospacing="0" w:after="0" w:afterAutospacing="0" w:line="360" w:lineRule="auto"/>
        <w:ind w:firstLine="482"/>
        <w:contextualSpacing/>
      </w:pPr>
      <w:r>
        <w:rPr>
          <w:rFonts w:hint="eastAsia"/>
        </w:rPr>
        <w:t>1.1合同条款；</w:t>
      </w:r>
    </w:p>
    <w:p>
      <w:pPr>
        <w:pStyle w:val="16"/>
        <w:spacing w:before="0" w:beforeAutospacing="0" w:after="0" w:afterAutospacing="0" w:line="360" w:lineRule="auto"/>
        <w:ind w:firstLine="482"/>
        <w:contextualSpacing/>
      </w:pPr>
      <w:r>
        <w:rPr>
          <w:rFonts w:hint="eastAsia"/>
        </w:rPr>
        <w:t>1.2招标文件、乙方的投标文件；</w:t>
      </w:r>
    </w:p>
    <w:p>
      <w:pPr>
        <w:pStyle w:val="16"/>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6"/>
        <w:spacing w:before="0" w:beforeAutospacing="0" w:after="0" w:afterAutospacing="0" w:line="360" w:lineRule="auto"/>
        <w:ind w:firstLine="482"/>
        <w:contextualSpacing/>
      </w:pPr>
      <w:r>
        <w:rPr>
          <w:rFonts w:hint="eastAsia"/>
        </w:rPr>
        <w:t>2、合同标的</w:t>
      </w:r>
    </w:p>
    <w:p>
      <w:pPr>
        <w:pStyle w:val="1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6"/>
        <w:spacing w:before="0" w:beforeAutospacing="0" w:after="0" w:afterAutospacing="0" w:line="360" w:lineRule="auto"/>
        <w:ind w:firstLine="482"/>
        <w:contextualSpacing/>
      </w:pPr>
      <w:r>
        <w:rPr>
          <w:rFonts w:hint="eastAsia"/>
        </w:rPr>
        <w:t>3、合同总金额</w:t>
      </w:r>
    </w:p>
    <w:p>
      <w:pPr>
        <w:pStyle w:val="16"/>
        <w:spacing w:before="0" w:beforeAutospacing="0" w:after="0" w:afterAutospacing="0" w:line="360" w:lineRule="auto"/>
        <w:ind w:firstLine="482"/>
        <w:contextualSpacing/>
      </w:pPr>
      <w:r>
        <w:rPr>
          <w:rFonts w:hint="eastAsia"/>
        </w:rPr>
        <w:t>3.1合同总金额为人民币大写：元（￥）。</w:t>
      </w:r>
    </w:p>
    <w:p>
      <w:pPr>
        <w:pStyle w:val="16"/>
        <w:spacing w:before="0" w:beforeAutospacing="0" w:after="0" w:afterAutospacing="0" w:line="360" w:lineRule="auto"/>
        <w:ind w:firstLine="482"/>
        <w:contextualSpacing/>
      </w:pPr>
      <w:r>
        <w:rPr>
          <w:rFonts w:hint="eastAsia"/>
        </w:rPr>
        <w:t>4、合同标的交付时间、地点和条件</w:t>
      </w:r>
    </w:p>
    <w:p>
      <w:pPr>
        <w:pStyle w:val="16"/>
        <w:spacing w:before="0" w:beforeAutospacing="0" w:after="0" w:afterAutospacing="0" w:line="360" w:lineRule="auto"/>
        <w:ind w:firstLine="482"/>
        <w:contextualSpacing/>
      </w:pPr>
      <w:r>
        <w:rPr>
          <w:rFonts w:hint="eastAsia"/>
        </w:rPr>
        <w:t>4.1交付时间：；</w:t>
      </w:r>
    </w:p>
    <w:p>
      <w:pPr>
        <w:pStyle w:val="16"/>
        <w:spacing w:before="0" w:beforeAutospacing="0" w:after="0" w:afterAutospacing="0" w:line="360" w:lineRule="auto"/>
        <w:ind w:firstLine="482"/>
        <w:contextualSpacing/>
      </w:pPr>
      <w:r>
        <w:rPr>
          <w:rFonts w:hint="eastAsia"/>
        </w:rPr>
        <w:t>4.2交付地点：；</w:t>
      </w:r>
    </w:p>
    <w:p>
      <w:pPr>
        <w:pStyle w:val="16"/>
        <w:spacing w:before="0" w:beforeAutospacing="0" w:after="0" w:afterAutospacing="0" w:line="360" w:lineRule="auto"/>
        <w:ind w:firstLine="482"/>
        <w:contextualSpacing/>
      </w:pPr>
      <w:r>
        <w:rPr>
          <w:rFonts w:hint="eastAsia"/>
        </w:rPr>
        <w:t>4.3交付条件：。</w:t>
      </w:r>
    </w:p>
    <w:p>
      <w:pPr>
        <w:pStyle w:val="16"/>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1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6"/>
        <w:spacing w:before="0" w:beforeAutospacing="0" w:after="0" w:afterAutospacing="0" w:line="360" w:lineRule="auto"/>
        <w:ind w:firstLine="482"/>
        <w:contextualSpacing/>
      </w:pPr>
      <w:r>
        <w:rPr>
          <w:rFonts w:hint="eastAsia"/>
        </w:rPr>
        <w:t>6、验收</w:t>
      </w:r>
    </w:p>
    <w:p>
      <w:pPr>
        <w:pStyle w:val="16"/>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1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6"/>
        <w:spacing w:before="0" w:beforeAutospacing="0" w:after="0" w:afterAutospacing="0" w:line="360" w:lineRule="auto"/>
        <w:ind w:firstLine="482"/>
        <w:contextualSpacing/>
      </w:pPr>
      <w:r>
        <w:rPr>
          <w:rFonts w:hint="eastAsia"/>
        </w:rPr>
        <w:t>6.2本项目是否邀请其他供应商参与验收：</w:t>
      </w:r>
    </w:p>
    <w:p>
      <w:pPr>
        <w:pStyle w:val="16"/>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16"/>
        <w:spacing w:before="0" w:beforeAutospacing="0" w:after="0" w:afterAutospacing="0" w:line="360" w:lineRule="auto"/>
        <w:ind w:firstLine="482"/>
        <w:contextualSpacing/>
      </w:pPr>
      <w:r>
        <w:rPr>
          <w:rFonts w:hint="eastAsia"/>
        </w:rPr>
        <w:t>7、合同款项的支付应按照招标文件的规定进行，具体如下：</w:t>
      </w:r>
    </w:p>
    <w:p>
      <w:pPr>
        <w:pStyle w:val="16"/>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16"/>
        <w:spacing w:before="0" w:beforeAutospacing="0" w:after="0" w:afterAutospacing="0" w:line="360" w:lineRule="auto"/>
        <w:ind w:firstLine="482"/>
        <w:contextualSpacing/>
      </w:pPr>
      <w:r>
        <w:rPr>
          <w:rFonts w:hint="eastAsia"/>
        </w:rPr>
        <w:t>8、履约担保</w:t>
      </w:r>
    </w:p>
    <w:p>
      <w:pPr>
        <w:pStyle w:val="16"/>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16"/>
        <w:spacing w:before="0" w:beforeAutospacing="0" w:after="0" w:afterAutospacing="0" w:line="360" w:lineRule="auto"/>
        <w:ind w:firstLine="482"/>
        <w:contextualSpacing/>
      </w:pPr>
      <w:r>
        <w:rPr>
          <w:rFonts w:hint="eastAsia"/>
        </w:rPr>
        <w:t>9、合同有效期</w:t>
      </w:r>
    </w:p>
    <w:p>
      <w:pPr>
        <w:pStyle w:val="1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6"/>
        <w:spacing w:before="0" w:beforeAutospacing="0" w:after="0" w:afterAutospacing="0" w:line="360" w:lineRule="auto"/>
        <w:ind w:firstLine="482"/>
        <w:contextualSpacing/>
      </w:pPr>
      <w:r>
        <w:rPr>
          <w:rFonts w:hint="eastAsia"/>
        </w:rPr>
        <w:t>10、违约责任</w:t>
      </w:r>
    </w:p>
    <w:p>
      <w:pPr>
        <w:pStyle w:val="1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6"/>
        <w:spacing w:before="0" w:beforeAutospacing="0" w:after="0" w:afterAutospacing="0" w:line="360" w:lineRule="auto"/>
        <w:ind w:firstLine="482"/>
        <w:contextualSpacing/>
      </w:pPr>
      <w:r>
        <w:rPr>
          <w:rFonts w:hint="eastAsia"/>
        </w:rPr>
        <w:t>11、知识产权</w:t>
      </w:r>
    </w:p>
    <w:p>
      <w:pPr>
        <w:pStyle w:val="16"/>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6"/>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16"/>
        <w:spacing w:before="0" w:beforeAutospacing="0" w:after="0" w:afterAutospacing="0" w:line="360" w:lineRule="auto"/>
        <w:ind w:firstLine="482"/>
        <w:contextualSpacing/>
      </w:pPr>
      <w:r>
        <w:rPr>
          <w:rFonts w:hint="eastAsia"/>
        </w:rPr>
        <w:t>12、解决争议的方法</w:t>
      </w:r>
    </w:p>
    <w:p>
      <w:pPr>
        <w:pStyle w:val="16"/>
        <w:spacing w:before="0" w:beforeAutospacing="0" w:after="0" w:afterAutospacing="0" w:line="360" w:lineRule="auto"/>
        <w:ind w:firstLine="482"/>
        <w:contextualSpacing/>
      </w:pPr>
      <w:r>
        <w:rPr>
          <w:rFonts w:hint="eastAsia"/>
        </w:rPr>
        <w:t>12.1甲、乙双方协商解决。</w:t>
      </w:r>
    </w:p>
    <w:p>
      <w:pPr>
        <w:pStyle w:val="16"/>
        <w:spacing w:before="0" w:beforeAutospacing="0" w:after="0" w:afterAutospacing="0" w:line="360" w:lineRule="auto"/>
        <w:ind w:firstLine="482"/>
        <w:contextualSpacing/>
      </w:pPr>
      <w:r>
        <w:rPr>
          <w:rFonts w:hint="eastAsia"/>
        </w:rPr>
        <w:t>12.2若协商解决不成，则通过下列途径之一解决：</w:t>
      </w:r>
    </w:p>
    <w:p>
      <w:pPr>
        <w:pStyle w:val="16"/>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6"/>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6"/>
        <w:spacing w:before="0" w:beforeAutospacing="0" w:after="0" w:afterAutospacing="0" w:line="360" w:lineRule="auto"/>
        <w:ind w:firstLine="482"/>
        <w:contextualSpacing/>
      </w:pPr>
      <w:r>
        <w:rPr>
          <w:rFonts w:hint="eastAsia"/>
        </w:rPr>
        <w:t>13、不可抗力</w:t>
      </w:r>
    </w:p>
    <w:p>
      <w:pPr>
        <w:pStyle w:val="16"/>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contextualSpacing/>
      </w:pPr>
      <w:r>
        <w:rPr>
          <w:rFonts w:hint="eastAsia"/>
        </w:rPr>
        <w:t>14、合同条款</w:t>
      </w:r>
    </w:p>
    <w:p>
      <w:pPr>
        <w:pStyle w:val="16"/>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16"/>
        <w:spacing w:before="0" w:beforeAutospacing="0" w:after="0" w:afterAutospacing="0" w:line="360" w:lineRule="auto"/>
        <w:ind w:firstLine="482"/>
        <w:contextualSpacing/>
      </w:pPr>
      <w:r>
        <w:rPr>
          <w:rFonts w:hint="eastAsia"/>
        </w:rPr>
        <w:t>15、其他约定</w:t>
      </w:r>
    </w:p>
    <w:p>
      <w:pPr>
        <w:pStyle w:val="16"/>
        <w:spacing w:before="0" w:beforeAutospacing="0" w:after="0" w:afterAutospacing="0" w:line="360" w:lineRule="auto"/>
        <w:ind w:firstLine="482"/>
        <w:contextualSpacing/>
      </w:pPr>
      <w:r>
        <w:rPr>
          <w:rFonts w:hint="eastAsia"/>
        </w:rPr>
        <w:t>15.1合同文件与本合同具有同等法律效力。</w:t>
      </w:r>
    </w:p>
    <w:p>
      <w:pPr>
        <w:pStyle w:val="16"/>
        <w:spacing w:before="0" w:beforeAutospacing="0" w:after="0" w:afterAutospacing="0" w:line="360" w:lineRule="auto"/>
        <w:ind w:firstLine="482"/>
        <w:contextualSpacing/>
      </w:pPr>
      <w:r>
        <w:rPr>
          <w:rFonts w:hint="eastAsia"/>
        </w:rPr>
        <w:t>15.2本合同未尽事宜，双方可另行补充。</w:t>
      </w:r>
    </w:p>
    <w:p>
      <w:pPr>
        <w:pStyle w:val="16"/>
        <w:spacing w:before="0" w:beforeAutospacing="0" w:after="0" w:afterAutospacing="0" w:line="360" w:lineRule="auto"/>
        <w:ind w:firstLine="482"/>
        <w:contextualSpacing/>
      </w:pPr>
      <w:r>
        <w:rPr>
          <w:rFonts w:hint="eastAsia"/>
        </w:rPr>
        <w:t>15.3合同生效：自签订之日起生效。</w:t>
      </w:r>
    </w:p>
    <w:p>
      <w:pPr>
        <w:pStyle w:val="16"/>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6"/>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6"/>
        <w:spacing w:before="0" w:beforeAutospacing="0" w:after="0" w:afterAutospacing="0"/>
        <w:contextualSpacing/>
      </w:pPr>
    </w:p>
    <w:p>
      <w:pPr>
        <w:pStyle w:val="16"/>
        <w:spacing w:before="0" w:beforeAutospacing="0" w:after="0" w:afterAutospacing="0"/>
        <w:contextualSpacing/>
      </w:pPr>
    </w:p>
    <w:p>
      <w:pPr>
        <w:pStyle w:val="16"/>
        <w:spacing w:before="0" w:beforeAutospacing="0" w:after="0" w:afterAutospacing="0" w:line="360" w:lineRule="auto"/>
        <w:contextualSpacing/>
      </w:pPr>
      <w:r>
        <w:rPr>
          <w:rFonts w:hint="eastAsia"/>
        </w:rPr>
        <w:t>甲方：                        乙方：</w:t>
      </w:r>
    </w:p>
    <w:p>
      <w:pPr>
        <w:pStyle w:val="16"/>
        <w:spacing w:before="0" w:beforeAutospacing="0" w:after="0" w:afterAutospacing="0" w:line="360" w:lineRule="auto"/>
        <w:contextualSpacing/>
      </w:pPr>
      <w:r>
        <w:rPr>
          <w:rFonts w:hint="eastAsia"/>
        </w:rPr>
        <w:t>住所：                        住所：</w:t>
      </w:r>
    </w:p>
    <w:p>
      <w:pPr>
        <w:pStyle w:val="16"/>
        <w:spacing w:before="0" w:beforeAutospacing="0" w:after="0" w:afterAutospacing="0" w:line="360" w:lineRule="auto"/>
        <w:contextualSpacing/>
      </w:pPr>
      <w:r>
        <w:rPr>
          <w:rFonts w:hint="eastAsia"/>
        </w:rPr>
        <w:t>法定代表人（单位负责人）：    法定代表人（单位负责人）：</w:t>
      </w:r>
    </w:p>
    <w:p>
      <w:pPr>
        <w:pStyle w:val="16"/>
        <w:spacing w:before="0" w:beforeAutospacing="0" w:after="0" w:afterAutospacing="0" w:line="360" w:lineRule="auto"/>
        <w:contextualSpacing/>
      </w:pPr>
      <w:r>
        <w:rPr>
          <w:rFonts w:hint="eastAsia"/>
        </w:rPr>
        <w:t>联系方法：                    联系方法：</w:t>
      </w:r>
    </w:p>
    <w:p>
      <w:pPr>
        <w:pStyle w:val="16"/>
        <w:spacing w:before="0" w:beforeAutospacing="0" w:after="0" w:afterAutospacing="0" w:line="360" w:lineRule="auto"/>
        <w:contextualSpacing/>
      </w:pPr>
      <w:r>
        <w:rPr>
          <w:rFonts w:hint="eastAsia"/>
        </w:rPr>
        <w:t>开户银行：                    开户银行：</w:t>
      </w:r>
    </w:p>
    <w:p>
      <w:pPr>
        <w:pStyle w:val="16"/>
        <w:spacing w:before="0" w:beforeAutospacing="0" w:after="0" w:afterAutospacing="0" w:line="360" w:lineRule="auto"/>
        <w:contextualSpacing/>
      </w:pPr>
      <w:r>
        <w:rPr>
          <w:rFonts w:hint="eastAsia"/>
        </w:rPr>
        <w:t>账号：                        账号：</w:t>
      </w:r>
    </w:p>
    <w:p>
      <w:pPr>
        <w:pStyle w:val="16"/>
        <w:spacing w:before="0" w:beforeAutospacing="0" w:after="0" w:afterAutospacing="0" w:line="360" w:lineRule="auto"/>
        <w:contextualSpacing/>
      </w:pPr>
      <w:r>
        <w:rPr>
          <w:rFonts w:hint="eastAsia"/>
        </w:rPr>
        <w:t>签订地点：</w:t>
      </w:r>
    </w:p>
    <w:p>
      <w:pPr>
        <w:pStyle w:val="16"/>
        <w:spacing w:before="0" w:beforeAutospacing="0" w:after="0" w:afterAutospacing="0" w:line="360" w:lineRule="auto"/>
        <w:contextualSpacing/>
      </w:pPr>
      <w:r>
        <w:rPr>
          <w:rFonts w:hint="eastAsia"/>
        </w:rPr>
        <w:t>签订日期：年月日</w:t>
      </w:r>
    </w:p>
    <w:p>
      <w:pPr>
        <w:pStyle w:val="12"/>
        <w:spacing w:line="360" w:lineRule="auto"/>
        <w:rPr>
          <w:rFonts w:hAnsi="宋体"/>
          <w:sz w:val="36"/>
          <w:szCs w:val="36"/>
        </w:rPr>
      </w:pPr>
    </w:p>
    <w:p>
      <w:pPr>
        <w:pStyle w:val="12"/>
        <w:adjustRightInd w:val="0"/>
        <w:snapToGrid w:val="0"/>
        <w:spacing w:line="440" w:lineRule="exact"/>
        <w:jc w:val="center"/>
        <w:rPr>
          <w:rFonts w:ascii="宋体" w:hAnsi="宋体"/>
          <w:b/>
          <w:sz w:val="36"/>
          <w:szCs w:val="36"/>
        </w:rPr>
      </w:pPr>
    </w:p>
    <w:p>
      <w:pPr>
        <w:pStyle w:val="12"/>
        <w:adjustRightInd w:val="0"/>
        <w:snapToGrid w:val="0"/>
        <w:spacing w:line="440" w:lineRule="exact"/>
        <w:jc w:val="center"/>
        <w:rPr>
          <w:rFonts w:ascii="宋体" w:hAnsi="宋体"/>
          <w:b/>
          <w:sz w:val="36"/>
          <w:szCs w:val="36"/>
        </w:rPr>
      </w:pPr>
    </w:p>
    <w:p>
      <w:pPr>
        <w:pStyle w:val="12"/>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bookmarkStart w:id="2" w:name="_Toc174185203"/>
      <w:bookmarkStart w:id="3" w:name="_Toc186274126"/>
      <w:bookmarkStart w:id="4" w:name="_Toc184023138"/>
      <w:r>
        <w:rPr>
          <w:rFonts w:hint="eastAsia" w:cs="黑体"/>
          <w:sz w:val="28"/>
          <w:szCs w:val="28"/>
          <w:lang w:val="zh-CN"/>
        </w:rPr>
        <w:t>一、供应商应答索引表</w:t>
      </w:r>
      <w:bookmarkEnd w:id="2"/>
      <w:bookmarkEnd w:id="3"/>
      <w:bookmarkEnd w:id="4"/>
    </w:p>
    <w:tbl>
      <w:tblPr>
        <w:tblStyle w:val="1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noWrap/>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noWrap/>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noWrap/>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noWrap/>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sz w:val="21"/>
                <w:szCs w:val="21"/>
              </w:rPr>
              <w:t>供应商应答索引表</w:t>
            </w:r>
          </w:p>
        </w:tc>
        <w:tc>
          <w:tcPr>
            <w:tcW w:w="1559" w:type="dxa"/>
            <w:noWrap/>
            <w:vAlign w:val="center"/>
          </w:tcPr>
          <w:p>
            <w:pPr>
              <w:snapToGrid w:val="0"/>
              <w:spacing w:line="400" w:lineRule="exact"/>
              <w:jc w:val="center"/>
              <w:rPr>
                <w:rFonts w:ascii="宋体" w:hAnsi="宋体" w:cs="微软雅黑"/>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751" w:type="dxa"/>
            <w:noWrap/>
            <w:vAlign w:val="center"/>
          </w:tcPr>
          <w:p>
            <w:pPr>
              <w:pStyle w:val="12"/>
              <w:kinsoku w:val="0"/>
              <w:overflowPunct w:val="0"/>
              <w:autoSpaceDE w:val="0"/>
              <w:autoSpaceDN w:val="0"/>
              <w:spacing w:line="320" w:lineRule="exact"/>
              <w:rPr>
                <w:rFonts w:hAnsi="宋体"/>
                <w:sz w:val="21"/>
                <w:szCs w:val="21"/>
              </w:rPr>
            </w:pPr>
            <w:r>
              <w:rPr>
                <w:rFonts w:hint="eastAsia" w:hAnsi="宋体"/>
                <w:sz w:val="21"/>
                <w:szCs w:val="21"/>
              </w:rPr>
              <w:t>开标一览表</w:t>
            </w:r>
          </w:p>
        </w:tc>
        <w:tc>
          <w:tcPr>
            <w:tcW w:w="1559" w:type="dxa"/>
            <w:noWrap/>
            <w:vAlign w:val="center"/>
          </w:tcPr>
          <w:p>
            <w:pPr>
              <w:snapToGrid w:val="0"/>
              <w:spacing w:line="400" w:lineRule="exact"/>
              <w:jc w:val="center"/>
              <w:rPr>
                <w:rFonts w:ascii="宋体" w:hAnsi="宋体" w:cs="微软雅黑"/>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sz w:val="21"/>
                <w:szCs w:val="21"/>
              </w:rPr>
              <w:t>投标函</w:t>
            </w:r>
          </w:p>
        </w:tc>
        <w:tc>
          <w:tcPr>
            <w:tcW w:w="1559" w:type="dxa"/>
            <w:noWrap/>
            <w:vAlign w:val="center"/>
          </w:tcPr>
          <w:p>
            <w:pPr>
              <w:snapToGrid w:val="0"/>
              <w:spacing w:line="400" w:lineRule="exact"/>
              <w:jc w:val="center"/>
              <w:rPr>
                <w:rFonts w:ascii="宋体" w:hAnsi="宋体" w:cs="微软雅黑"/>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751" w:type="dxa"/>
            <w:noWrap/>
            <w:vAlign w:val="center"/>
          </w:tcPr>
          <w:p>
            <w:pPr>
              <w:pStyle w:val="12"/>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w:t>
            </w:r>
            <w:r>
              <w:rPr>
                <w:rFonts w:ascii="宋体" w:hAnsi="宋体" w:cs="宋体"/>
                <w:bCs/>
                <w:sz w:val="21"/>
                <w:szCs w:val="21"/>
                <w:lang w:val="zh-CN"/>
              </w:rPr>
              <w:t>资</w:t>
            </w:r>
            <w:r>
              <w:rPr>
                <w:rFonts w:hint="eastAsia" w:ascii="宋体" w:hAnsi="宋体" w:cs="宋体"/>
                <w:bCs/>
                <w:sz w:val="21"/>
                <w:szCs w:val="21"/>
                <w:lang w:val="zh-CN"/>
              </w:rPr>
              <w:t>格</w:t>
            </w:r>
            <w:r>
              <w:rPr>
                <w:rFonts w:ascii="宋体" w:hAnsi="宋体" w:cs="宋体"/>
                <w:bCs/>
                <w:sz w:val="21"/>
                <w:szCs w:val="21"/>
                <w:lang w:val="zh-CN"/>
              </w:rPr>
              <w:t>证</w:t>
            </w:r>
            <w:r>
              <w:rPr>
                <w:rFonts w:hint="eastAsia" w:ascii="宋体" w:hAnsi="宋体" w:cs="宋体"/>
                <w:bCs/>
                <w:sz w:val="21"/>
                <w:szCs w:val="21"/>
                <w:lang w:val="zh-CN"/>
              </w:rPr>
              <w:t>明</w:t>
            </w:r>
            <w:r>
              <w:rPr>
                <w:rFonts w:ascii="宋体" w:hAnsi="宋体" w:cs="宋体"/>
                <w:bCs/>
                <w:sz w:val="21"/>
                <w:szCs w:val="21"/>
                <w:lang w:val="zh-CN"/>
              </w:rPr>
              <w:t>书</w:t>
            </w:r>
          </w:p>
        </w:tc>
        <w:tc>
          <w:tcPr>
            <w:tcW w:w="1559" w:type="dxa"/>
            <w:noWrap/>
            <w:vAlign w:val="center"/>
          </w:tcPr>
          <w:p>
            <w:pPr>
              <w:snapToGrid w:val="0"/>
              <w:spacing w:line="400" w:lineRule="exact"/>
              <w:jc w:val="center"/>
              <w:rPr>
                <w:rFonts w:ascii="宋体" w:hAnsi="宋体" w:cs="微软雅黑"/>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751" w:type="dxa"/>
            <w:noWrap/>
            <w:vAlign w:val="center"/>
          </w:tcPr>
          <w:p>
            <w:pPr>
              <w:pStyle w:val="12"/>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59" w:type="dxa"/>
            <w:noWrap/>
            <w:vAlign w:val="center"/>
          </w:tcPr>
          <w:p>
            <w:pPr>
              <w:snapToGrid w:val="0"/>
              <w:spacing w:line="400" w:lineRule="exact"/>
              <w:jc w:val="center"/>
              <w:rPr>
                <w:rFonts w:ascii="宋体" w:hAnsi="宋体" w:cs="微软雅黑"/>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投标承诺函</w:t>
            </w:r>
          </w:p>
        </w:tc>
        <w:tc>
          <w:tcPr>
            <w:tcW w:w="1559" w:type="dxa"/>
            <w:noWrap/>
            <w:vAlign w:val="center"/>
          </w:tcPr>
          <w:p>
            <w:pPr>
              <w:snapToGrid w:val="0"/>
              <w:spacing w:line="400" w:lineRule="exact"/>
              <w:jc w:val="center"/>
              <w:rPr>
                <w:rFonts w:ascii="宋体" w:hAnsi="宋体" w:cs="微软雅黑"/>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751" w:type="dxa"/>
            <w:noWrap/>
            <w:vAlign w:val="center"/>
          </w:tcPr>
          <w:p>
            <w:pPr>
              <w:pStyle w:val="12"/>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联合体协议</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751" w:type="dxa"/>
            <w:noWrap/>
            <w:vAlign w:val="center"/>
          </w:tcPr>
          <w:p>
            <w:pPr>
              <w:pStyle w:val="12"/>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供应商与参加本项目投标的其他供应商之间，单位负责人不为同一人并且不存在直接控股、管理关系承诺函</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751" w:type="dxa"/>
            <w:noWrap/>
            <w:vAlign w:val="center"/>
          </w:tcPr>
          <w:p>
            <w:pPr>
              <w:pStyle w:val="12"/>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noWrap/>
            <w:vAlign w:val="center"/>
          </w:tcPr>
          <w:p>
            <w:pPr>
              <w:jc w:val="center"/>
            </w:pPr>
          </w:p>
        </w:tc>
        <w:tc>
          <w:tcPr>
            <w:tcW w:w="1560" w:type="dxa"/>
            <w:tcBorders>
              <w:top w:val="double" w:color="auto" w:sz="4" w:space="0"/>
            </w:tcBorders>
            <w:noWrap/>
            <w:vAlign w:val="center"/>
          </w:tcPr>
          <w:p>
            <w:pPr>
              <w:snapToGrid w:val="0"/>
              <w:spacing w:line="400" w:lineRule="exact"/>
              <w:rPr>
                <w:rFonts w:ascii="宋体" w:hAnsi="宋体" w:cs="微软雅黑"/>
              </w:rPr>
            </w:pPr>
          </w:p>
        </w:tc>
        <w:tc>
          <w:tcPr>
            <w:tcW w:w="2018" w:type="dxa"/>
            <w:tcBorders>
              <w:top w:val="double" w:color="auto" w:sz="4" w:space="0"/>
            </w:tcBorders>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noWrap/>
            <w:vAlign w:val="center"/>
          </w:tcPr>
          <w:p>
            <w:pPr>
              <w:jc w:val="center"/>
            </w:pPr>
          </w:p>
        </w:tc>
        <w:tc>
          <w:tcPr>
            <w:tcW w:w="1560" w:type="dxa"/>
            <w:tcBorders>
              <w:top w:val="single" w:color="auto" w:sz="4" w:space="0"/>
            </w:tcBorders>
            <w:noWrap/>
            <w:vAlign w:val="center"/>
          </w:tcPr>
          <w:p>
            <w:pPr>
              <w:snapToGrid w:val="0"/>
              <w:spacing w:line="400" w:lineRule="exact"/>
              <w:rPr>
                <w:rFonts w:ascii="宋体" w:hAnsi="宋体" w:cs="微软雅黑"/>
              </w:rPr>
            </w:pPr>
          </w:p>
        </w:tc>
        <w:tc>
          <w:tcPr>
            <w:tcW w:w="2018" w:type="dxa"/>
            <w:tcBorders>
              <w:top w:val="single" w:color="auto" w:sz="4" w:space="0"/>
            </w:tcBorders>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noWrap/>
            <w:vAlign w:val="center"/>
          </w:tcPr>
          <w:p>
            <w:pPr>
              <w:pStyle w:val="12"/>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noWrap/>
            <w:vAlign w:val="center"/>
          </w:tcPr>
          <w:p>
            <w:pPr>
              <w:pStyle w:val="12"/>
              <w:rPr>
                <w:sz w:val="21"/>
                <w:szCs w:val="21"/>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noWrap/>
            <w:vAlign w:val="center"/>
          </w:tcPr>
          <w:p>
            <w:pPr>
              <w:pStyle w:val="12"/>
              <w:rPr>
                <w:szCs w:val="21"/>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bl>
    <w:p>
      <w:pPr>
        <w:pStyle w:val="24"/>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12"/>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12"/>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18"/>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noWrap/>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noWrap/>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noWrap/>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noWrap/>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供应商法定代表人（单位负责人）或授权代表签字或盖章：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pStyle w:val="12"/>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jc w:val="center"/>
        <w:rPr>
          <w:rFonts w:ascii="宋体" w:hAnsi="宋体" w:cs="黑体"/>
          <w:b/>
          <w:bCs/>
          <w:sz w:val="28"/>
          <w:szCs w:val="28"/>
          <w:lang w:val="zh-CN"/>
        </w:rPr>
      </w:pPr>
      <w:r>
        <w:rPr>
          <w:rFonts w:hint="eastAsia" w:ascii="等线" w:hAnsi="等线" w:cs="宋体"/>
          <w:sz w:val="24"/>
          <w:szCs w:val="24"/>
          <w:u w:val="single"/>
          <w:lang w:val="zh-CN"/>
        </w:rPr>
        <w:br w:type="page"/>
      </w:r>
      <w:bookmarkStart w:id="5" w:name="_Hlk51678110"/>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b/>
          <w:sz w:val="24"/>
          <w:szCs w:val="24"/>
        </w:rPr>
        <w:t>致</w:t>
      </w:r>
      <w:r>
        <w:rPr>
          <w:sz w:val="28"/>
          <w:szCs w:val="24"/>
        </w:rPr>
        <w:t>：</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根据贵方（项目名称、</w:t>
      </w:r>
      <w:r>
        <w:rPr>
          <w:rFonts w:hint="eastAsia" w:ascii="等线" w:hAnsi="等线"/>
          <w:sz w:val="24"/>
          <w:szCs w:val="24"/>
        </w:rPr>
        <w:t>项目编号</w:t>
      </w:r>
      <w:r>
        <w:rPr>
          <w:rFonts w:hint="eastAsia" w:ascii="宋体" w:hAnsi="宋体"/>
          <w:snapToGrid w:val="0"/>
          <w:kern w:val="0"/>
          <w:sz w:val="24"/>
        </w:rPr>
        <w:t>）采购的招标公告及投标邀请，_______（姓名和职务）被正式授权并代表供应商（供应商名称、地址）提交。</w:t>
      </w:r>
    </w:p>
    <w:p>
      <w:pPr>
        <w:pStyle w:val="12"/>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w:t>
      </w:r>
      <w:r>
        <w:rPr>
          <w:rFonts w:hint="eastAsia" w:ascii="宋体" w:hAnsi="宋体"/>
        </w:rPr>
        <w:t>项目编号</w:t>
      </w:r>
      <w:r>
        <w:rPr>
          <w:rFonts w:hint="eastAsia" w:ascii="宋体" w:hAnsi="宋体"/>
          <w:snapToGrid w:val="0"/>
          <w:szCs w:val="21"/>
        </w:rPr>
        <w:t>）招标文件的全部内容。</w:t>
      </w:r>
    </w:p>
    <w:p>
      <w:pPr>
        <w:pStyle w:val="12"/>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天内遵守本投标文件中的承诺且在此期限期满之前均具有约束力。我方同意并遵守本招标文件“供应商须知”中第十四条第三款关于延长投标有效期的规定。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6"/>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16"/>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16"/>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16"/>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16"/>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12"/>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12"/>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12"/>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12"/>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12"/>
        <w:adjustRightInd w:val="0"/>
        <w:snapToGrid w:val="0"/>
        <w:spacing w:line="360" w:lineRule="auto"/>
        <w:rPr>
          <w:rFonts w:ascii="宋体" w:hAnsi="宋体"/>
          <w:szCs w:val="21"/>
        </w:rPr>
      </w:pPr>
    </w:p>
    <w:p>
      <w:pPr>
        <w:pStyle w:val="12"/>
        <w:adjustRightInd w:val="0"/>
        <w:snapToGrid w:val="0"/>
        <w:spacing w:line="360" w:lineRule="auto"/>
        <w:rPr>
          <w:rFonts w:ascii="宋体" w:hAnsi="宋体"/>
          <w:szCs w:val="21"/>
        </w:rPr>
      </w:pPr>
    </w:p>
    <w:p>
      <w:pPr>
        <w:pStyle w:val="12"/>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25"/>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p>
    <w:p>
      <w:pPr>
        <w:pStyle w:val="25"/>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25"/>
        <w:spacing w:line="480" w:lineRule="auto"/>
        <w:ind w:firstLine="472" w:firstLineChars="225"/>
        <w:jc w:val="left"/>
        <w:rPr>
          <w:rFonts w:hAnsi="宋体"/>
          <w:sz w:val="21"/>
          <w:szCs w:val="21"/>
          <w:u w:val="single"/>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职务</w:t>
      </w:r>
      <w:r>
        <w:rPr>
          <w:rFonts w:hint="eastAsia" w:hAnsi="宋体"/>
          <w:sz w:val="21"/>
          <w:szCs w:val="21"/>
        </w:rPr>
        <w:t>：</w:t>
      </w:r>
    </w:p>
    <w:p>
      <w:pPr>
        <w:pStyle w:val="25"/>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25"/>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25"/>
        <w:spacing w:line="480" w:lineRule="auto"/>
        <w:ind w:firstLine="472" w:firstLineChars="225"/>
        <w:jc w:val="left"/>
        <w:rPr>
          <w:rFonts w:hAnsi="宋体"/>
          <w:sz w:val="21"/>
          <w:szCs w:val="21"/>
        </w:rPr>
      </w:pPr>
    </w:p>
    <w:p>
      <w:pPr>
        <w:pStyle w:val="25"/>
        <w:spacing w:line="480" w:lineRule="auto"/>
        <w:ind w:firstLine="472" w:firstLineChars="225"/>
        <w:jc w:val="left"/>
        <w:rPr>
          <w:rFonts w:hAnsi="宋体"/>
          <w:sz w:val="21"/>
          <w:szCs w:val="21"/>
        </w:rPr>
      </w:pPr>
    </w:p>
    <w:p>
      <w:pPr>
        <w:pStyle w:val="25"/>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25"/>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26"/>
        <w:spacing w:before="60" w:line="480" w:lineRule="auto"/>
        <w:ind w:firstLine="3937" w:firstLineChars="1875"/>
        <w:rPr>
          <w:rFonts w:ascii="宋体" w:hAnsi="宋体" w:cs="Arial"/>
          <w:sz w:val="21"/>
          <w:szCs w:val="21"/>
        </w:rPr>
      </w:pPr>
      <w:r>
        <w:rPr>
          <w:rFonts w:hint="eastAsia" w:ascii="宋体" w:hAnsi="宋体" w:cs="Arial"/>
          <w:sz w:val="21"/>
          <w:szCs w:val="21"/>
          <w:lang w:val="en-US" w:eastAsia="zh-CN"/>
        </w:rPr>
        <w:t xml:space="preserve"> </w:t>
      </w:r>
      <w:r>
        <w:rPr>
          <w:rFonts w:hint="eastAsia" w:ascii="宋体" w:hAnsi="宋体" w:cs="Arial"/>
          <w:sz w:val="21"/>
          <w:szCs w:val="21"/>
        </w:rPr>
        <w:t>日期：   年   月  日</w:t>
      </w:r>
    </w:p>
    <w:p>
      <w:pPr>
        <w:pStyle w:val="27"/>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noWrap/>
            <w:vAlign w:val="center"/>
          </w:tcPr>
          <w:p>
            <w:pPr>
              <w:jc w:val="center"/>
              <w:rPr>
                <w:rFonts w:ascii="宋体" w:hAnsi="宋体"/>
              </w:rPr>
            </w:pPr>
            <w:r>
              <w:rPr>
                <w:rFonts w:hint="eastAsia" w:ascii="宋体" w:hAnsi="宋体"/>
              </w:rPr>
              <w:t>法定代表人（单位负责人）身份证（正面）</w:t>
            </w:r>
          </w:p>
        </w:tc>
        <w:tc>
          <w:tcPr>
            <w:tcW w:w="4485" w:type="dxa"/>
            <w:gridSpan w:val="2"/>
            <w:noWrap/>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noWrap/>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noWrap/>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5"/>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ascii="宋体" w:hAnsi="宋体" w:cs="仿宋_GB2312"/>
          <w:sz w:val="22"/>
          <w:szCs w:val="32"/>
        </w:rPr>
        <w:t>致：</w:t>
      </w:r>
      <w:r>
        <w:rPr>
          <w:rFonts w:hint="eastAsia" w:ascii="宋体" w:hAnsi="宋体" w:cs="仿宋_GB2312"/>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 xml:space="preserve">方自愿参与贵方  </w:t>
      </w:r>
      <w:r>
        <w:rPr>
          <w:rFonts w:ascii="宋体" w:hAnsi="宋体" w:cs="宋体"/>
          <w:lang w:val="zh-CN"/>
        </w:rPr>
        <w:t>年月日</w:t>
      </w:r>
      <w:r>
        <w:rPr>
          <w:rFonts w:hint="eastAsia" w:ascii="宋体" w:hAnsi="宋体" w:cs="宋体"/>
          <w:i/>
          <w:u w:val="single"/>
          <w:lang w:val="zh-CN"/>
        </w:rPr>
        <w:t>（</w:t>
      </w:r>
      <w:r>
        <w:rPr>
          <w:rFonts w:hint="eastAsia" w:ascii="宋体" w:hAnsi="宋体" w:cs="宋体"/>
          <w:i/>
          <w:u w:val="single"/>
        </w:rPr>
        <w:t>项目编号</w:t>
      </w:r>
      <w:r>
        <w:rPr>
          <w:rFonts w:hint="eastAsia" w:ascii="宋体" w:hAnsi="宋体" w:cs="宋体"/>
          <w:i/>
          <w:u w:val="single"/>
          <w:lang w:val="zh-CN"/>
        </w:rPr>
        <w:t>、项目名称）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供应商名称（并加盖公章）：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ascii="宋体" w:hAnsi="宋体" w:cs="方正小标宋简体"/>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ascii="宋体" w:hAnsi="宋体" w:cs="仿宋_GB2312"/>
          <w:sz w:val="24"/>
          <w:szCs w:val="32"/>
        </w:rPr>
      </w:pPr>
      <w:r>
        <w:rPr>
          <w:rFonts w:hint="eastAsia" w:ascii="宋体" w:hAnsi="宋体" w:cs="仿宋_GB2312"/>
          <w:sz w:val="24"/>
          <w:szCs w:val="32"/>
        </w:rPr>
        <w:t>致</w:t>
      </w:r>
      <w:r>
        <w:rPr>
          <w:rFonts w:hint="eastAsia" w:ascii="宋体" w:hAnsi="宋体" w:cs="仿宋_GB2312"/>
          <w:sz w:val="24"/>
          <w:szCs w:val="32"/>
          <w:u w:val="single"/>
        </w:rPr>
        <w:t>（采购人或采购代理机构）</w:t>
      </w:r>
      <w:r>
        <w:rPr>
          <w:rFonts w:hint="eastAsia" w:ascii="宋体" w:hAnsi="宋体" w:cs="仿宋_GB2312"/>
          <w:sz w:val="24"/>
          <w:szCs w:val="32"/>
        </w:rPr>
        <w:t>：</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单位名称（自然人姓名）:</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统一社会信用代码（身份证号码）:</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法定代表人（负责人）:</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联系地址和电话：</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（一）具有独立承担民事责任的能力；</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（二）具有良好的商业信誉和健全的财务会计制度；</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（三）具有履行合同所必需的设备和专业技术能力；</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（四）有依法缴纳税收和社会保障资金的良好记录；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（五）参加政府采购活动前三年内，在经营活动中没有重大违法记录；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（七）未被相关监管部门作出行政处罚且尚在处罚有效期的；</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（八）未曾作出虚假采购承诺；</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（九）符合法律、行政法规规定的其他条件。</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我单位（本人）保证上述承诺事项的真实性。如有弄虚作假或其他违法违规行为，自愿按照规定将违背承诺行为作为失信行为记录到社会信用信息平台，并视同为“提供虚假材料谋取中标、中标”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供应商（电子章）:</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法定代表人、负责人、本人、或授权代表（签字或电子印章）:</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ascii="宋体" w:hAnsi="宋体" w:cs="华文仿宋"/>
          <w:b/>
          <w:sz w:val="22"/>
        </w:rPr>
      </w:pPr>
      <w:r>
        <w:rPr>
          <w:rFonts w:hint="eastAsia" w:ascii="宋体" w:hAnsi="宋体" w:cs="华文仿宋"/>
          <w:b/>
          <w:sz w:val="22"/>
        </w:rPr>
        <w:t>注：1.供应商须在投标文件中按此模板提供承诺函，未提供视为未实质性响应招标文件要求，按无效投标处理。</w:t>
      </w:r>
    </w:p>
    <w:p>
      <w:pPr>
        <w:rPr>
          <w:rFonts w:ascii="宋体" w:hAnsi="宋体" w:cs="华文仿宋"/>
          <w:b/>
          <w:sz w:val="22"/>
        </w:rPr>
      </w:pPr>
      <w:r>
        <w:rPr>
          <w:rFonts w:hint="eastAsia" w:ascii="宋体" w:hAnsi="宋体" w:cs="华文仿宋"/>
          <w:b/>
          <w:sz w:val="22"/>
        </w:rPr>
        <w:t>2.供应商的法定代表人或者授权代表的签字或盖章应真实、有效，如由授权代表签字或盖章的，应提供“法定代表人授权书”。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3.6供应商提供与参加本项目投标的其他供应商之间，单位负责人不为同一人并且不存在直接控股、管理关系承诺函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cs="宋体"/>
          <w:sz w:val="23"/>
          <w:szCs w:val="23"/>
        </w:rPr>
      </w:pPr>
      <w:r>
        <w:rPr>
          <w:rFonts w:ascii="宋体" w:hAnsi="宋体"/>
          <w:b/>
          <w:bCs/>
          <w:sz w:val="24"/>
          <w:szCs w:val="24"/>
        </w:rPr>
        <w:br w:type="page"/>
      </w:r>
      <w:r>
        <w:rPr>
          <w:rFonts w:hint="eastAsia" w:ascii="宋体" w:hAnsi="宋体"/>
          <w:b/>
          <w:bCs/>
          <w:sz w:val="24"/>
          <w:szCs w:val="24"/>
        </w:rPr>
        <w:t>3.7供应商提供未为本项目提供整体设计、规范编制或者项目管理、监理、检测等服务承诺函</w:t>
      </w:r>
      <w:r>
        <w:rPr>
          <w:rFonts w:ascii="宋体" w:hAnsi="宋体"/>
          <w:b/>
          <w:bCs/>
          <w:sz w:val="24"/>
          <w:szCs w:val="24"/>
        </w:rPr>
        <w:t>(</w:t>
      </w:r>
      <w:r>
        <w:rPr>
          <w:rFonts w:ascii="宋体" w:hAnsi="宋体"/>
          <w:bCs/>
          <w:sz w:val="24"/>
          <w:szCs w:val="24"/>
        </w:rPr>
        <w:t>工程项目提供；货物、服务类项目不提供</w:t>
      </w:r>
      <w:r>
        <w:rPr>
          <w:rFonts w:ascii="宋体" w:hAnsi="宋体"/>
          <w:b/>
          <w:bCs/>
          <w:sz w:val="24"/>
          <w:szCs w:val="24"/>
        </w:rPr>
        <w:t>)</w:t>
      </w:r>
    </w:p>
    <w:p>
      <w:pPr>
        <w:spacing w:line="360" w:lineRule="auto"/>
        <w:jc w:val="center"/>
        <w:rPr>
          <w:rFonts w:ascii="宋体" w:hAnsi="宋体"/>
          <w:b/>
          <w:bCs/>
          <w:sz w:val="24"/>
          <w:szCs w:val="24"/>
        </w:rPr>
      </w:pP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widowControl/>
        <w:jc w:val="left"/>
        <w:rPr>
          <w:rFonts w:ascii="宋体" w:hAnsi="宋体"/>
          <w:bCs/>
          <w:sz w:val="24"/>
          <w:szCs w:val="24"/>
        </w:rPr>
      </w:pPr>
      <w:r>
        <w:rPr>
          <w:rFonts w:ascii="宋体" w:hAnsi="宋体"/>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3.8</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line="276" w:lineRule="auto"/>
        <w:jc w:val="center"/>
        <w:rPr>
          <w:b/>
          <w:sz w:val="28"/>
          <w:szCs w:val="28"/>
        </w:rPr>
      </w:pPr>
      <w:r>
        <w:rPr>
          <w:rFonts w:hint="eastAsia" w:ascii="宋体" w:hAnsi="宋体"/>
          <w:b/>
          <w:bCs/>
          <w:sz w:val="24"/>
          <w:szCs w:val="24"/>
        </w:rPr>
        <w:t>3.9</w:t>
      </w:r>
      <w:r>
        <w:rPr>
          <w:b/>
          <w:sz w:val="28"/>
          <w:szCs w:val="28"/>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jc w:val="center"/>
        <w:rPr>
          <w:rFonts w:ascii="宋体" w:hAnsi="宋体"/>
          <w:b/>
          <w:bCs/>
          <w:sz w:val="24"/>
        </w:rPr>
      </w:pPr>
      <w:r>
        <w:rPr>
          <w:rFonts w:hint="eastAsia" w:ascii="宋体" w:hAnsi="宋体"/>
          <w:b/>
          <w:bCs/>
          <w:sz w:val="24"/>
        </w:rPr>
        <w:t>3.10联合体协议书（如有）</w:t>
      </w:r>
    </w:p>
    <w:p>
      <w:pPr>
        <w:topLinePunct/>
        <w:spacing w:line="460" w:lineRule="exact"/>
        <w:ind w:left="210" w:leftChars="100" w:firstLine="210" w:firstLineChars="100"/>
        <w:contextualSpacing/>
        <w:rPr>
          <w:rFonts w:hAnsi="宋体" w:cs="宋体"/>
        </w:rPr>
      </w:pPr>
      <w:r>
        <w:rPr>
          <w:rFonts w:hint="eastAsia" w:hAnsi="宋体" w:cs="宋体"/>
        </w:rPr>
        <w:t>（所有成员单位名称）自愿组成（联合体名称）联合体，共同参加（项目名称）投标。现就联合体投标事宜订立如下协议。</w:t>
      </w:r>
    </w:p>
    <w:p>
      <w:pPr>
        <w:topLinePunct/>
        <w:spacing w:line="460" w:lineRule="exact"/>
        <w:ind w:firstLine="420" w:firstLineChars="200"/>
        <w:contextualSpacing/>
        <w:rPr>
          <w:rFonts w:hAnsi="宋体" w:cs="宋体"/>
        </w:rPr>
      </w:pPr>
      <w:r>
        <w:rPr>
          <w:rFonts w:hint="eastAsia" w:hAnsi="宋体" w:cs="宋体"/>
        </w:rPr>
        <w:t>1、（某成员单位名称）为（联合体名称）牵头人。</w:t>
      </w:r>
    </w:p>
    <w:p>
      <w:pPr>
        <w:topLinePunct/>
        <w:spacing w:line="460" w:lineRule="exact"/>
        <w:ind w:firstLine="420" w:firstLineChars="200"/>
        <w:contextualSpacing/>
        <w:rPr>
          <w:rFonts w:hAnsi="宋体" w:cs="宋体"/>
        </w:rPr>
      </w:pPr>
      <w:r>
        <w:rPr>
          <w:rFonts w:hint="eastAsia" w:hAnsi="宋体" w:cs="宋体"/>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460" w:lineRule="exact"/>
        <w:ind w:firstLine="420" w:firstLineChars="200"/>
        <w:contextualSpacing/>
        <w:rPr>
          <w:rFonts w:hAnsi="宋体" w:cs="宋体"/>
        </w:rPr>
      </w:pPr>
      <w:r>
        <w:rPr>
          <w:rFonts w:hint="eastAsia" w:hAnsi="宋体" w:cs="宋体"/>
        </w:rPr>
        <w:t>3、联合体将严格按照招标文件的各项要求，递交投标文件，履行合同，并对招标人承担连带责任。</w:t>
      </w:r>
    </w:p>
    <w:p>
      <w:pPr>
        <w:topLinePunct/>
        <w:spacing w:line="460" w:lineRule="exact"/>
        <w:ind w:firstLine="420" w:firstLineChars="200"/>
        <w:contextualSpacing/>
        <w:rPr>
          <w:rFonts w:hAnsi="宋体" w:cs="宋体"/>
        </w:rPr>
      </w:pPr>
      <w:r>
        <w:rPr>
          <w:rFonts w:hint="eastAsia" w:hAnsi="宋体" w:cs="宋体"/>
        </w:rPr>
        <w:t>4、联合体各成员单位内部的职责分工如下：。</w:t>
      </w:r>
    </w:p>
    <w:p>
      <w:pPr>
        <w:topLinePunct/>
        <w:spacing w:line="460" w:lineRule="exact"/>
        <w:ind w:firstLine="420" w:firstLineChars="200"/>
        <w:contextualSpacing/>
        <w:rPr>
          <w:rFonts w:hAnsi="宋体" w:cs="宋体"/>
        </w:rPr>
      </w:pPr>
      <w:r>
        <w:rPr>
          <w:rFonts w:hint="eastAsia" w:hAnsi="宋体" w:cs="宋体"/>
        </w:rPr>
        <w:t>5、本协议书自签署之日起生效，合同履行完毕后自动失效。</w:t>
      </w:r>
    </w:p>
    <w:p>
      <w:pPr>
        <w:topLinePunct/>
        <w:spacing w:line="460" w:lineRule="exact"/>
        <w:ind w:firstLine="420" w:firstLineChars="200"/>
        <w:contextualSpacing/>
        <w:rPr>
          <w:rFonts w:hAnsi="宋体" w:cs="宋体"/>
        </w:rPr>
      </w:pPr>
      <w:r>
        <w:rPr>
          <w:rFonts w:hint="eastAsia" w:hAnsi="宋体" w:cs="宋体"/>
        </w:rPr>
        <w:t>6、本协议书一式份，联合体成员和招标人各执一份。</w:t>
      </w:r>
    </w:p>
    <w:p>
      <w:pPr>
        <w:topLinePunct/>
        <w:spacing w:line="460" w:lineRule="exact"/>
        <w:contextualSpacing/>
        <w:rPr>
          <w:rFonts w:hAnsi="宋体" w:cs="宋体"/>
        </w:rPr>
      </w:pPr>
    </w:p>
    <w:p>
      <w:pPr>
        <w:topLinePunct/>
        <w:spacing w:line="460" w:lineRule="exact"/>
        <w:ind w:firstLine="420" w:firstLineChars="200"/>
        <w:contextualSpacing/>
        <w:rPr>
          <w:rFonts w:hAnsi="宋体" w:cs="宋体"/>
        </w:rPr>
      </w:pPr>
      <w:r>
        <w:rPr>
          <w:rFonts w:hint="eastAsia" w:hAnsi="宋体" w:cs="宋体"/>
        </w:rPr>
        <w:t>注：本协议书由委托代理人签字的，应附法定代表人签字的授权委托书。</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牵头人名称：（盖单位章）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成员一名称：（盖单位章）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p>
    <w:p>
      <w:pPr>
        <w:topLinePunct/>
        <w:spacing w:line="460" w:lineRule="exact"/>
        <w:contextualSpacing/>
        <w:rPr>
          <w:rFonts w:hAnsi="宋体" w:cs="宋体"/>
        </w:rPr>
      </w:pPr>
    </w:p>
    <w:p>
      <w:pPr>
        <w:widowControl/>
        <w:jc w:val="right"/>
        <w:rPr>
          <w:rFonts w:hAnsi="宋体"/>
          <w:b/>
          <w:sz w:val="24"/>
        </w:rPr>
      </w:pPr>
      <w:r>
        <w:rPr>
          <w:rFonts w:hint="eastAsia" w:hAnsi="宋体" w:cs="宋体"/>
        </w:rPr>
        <w:t>年月日</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3.11其他资格证书或材料</w:t>
      </w:r>
    </w:p>
    <w:p>
      <w:pPr>
        <w:autoSpaceDE w:val="0"/>
        <w:autoSpaceDN w:val="0"/>
        <w:adjustRightInd w:val="0"/>
        <w:spacing w:line="360" w:lineRule="auto"/>
        <w:jc w:val="center"/>
        <w:outlineLvl w:val="0"/>
        <w:rPr>
          <w:rFonts w:hAnsi="宋体"/>
          <w:b/>
          <w:snapToGrid w:val="0"/>
          <w:kern w:val="0"/>
          <w:sz w:val="36"/>
          <w:szCs w:val="36"/>
        </w:rPr>
      </w:pPr>
    </w:p>
    <w:p>
      <w:pPr>
        <w:widowControl/>
        <w:jc w:val="center"/>
        <w:rPr>
          <w:rFonts w:ascii="宋体" w:hAnsi="宋体" w:cs="黑体"/>
          <w:b/>
          <w:bCs/>
          <w:sz w:val="28"/>
          <w:szCs w:val="28"/>
          <w:lang w:val="zh-CN"/>
        </w:rPr>
      </w:pPr>
      <w:r>
        <w:rPr>
          <w:rFonts w:hAnsi="宋体"/>
          <w:b/>
          <w:snapToGrid w:val="0"/>
          <w:kern w:val="0"/>
          <w:sz w:val="36"/>
          <w:szCs w:val="36"/>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autoSpaceDE w:val="0"/>
        <w:autoSpaceDN w:val="0"/>
        <w:adjustRightInd w:val="0"/>
        <w:spacing w:line="360" w:lineRule="auto"/>
        <w:jc w:val="center"/>
        <w:outlineLvl w:val="0"/>
        <w:rPr>
          <w:rFonts w:ascii="宋体" w:hAnsi="宋体"/>
          <w:b/>
          <w:bCs/>
          <w:sz w:val="24"/>
          <w:szCs w:val="24"/>
        </w:rPr>
      </w:pPr>
    </w:p>
    <w:p>
      <w:pPr>
        <w:widowControl/>
        <w:jc w:val="center"/>
        <w:rPr>
          <w:rFonts w:ascii="宋体" w:hAnsi="宋体" w:cs="黑体"/>
          <w:b/>
          <w:bCs/>
          <w:sz w:val="28"/>
          <w:szCs w:val="28"/>
          <w:lang w:val="zh-CN"/>
        </w:rPr>
      </w:pPr>
    </w:p>
    <w:p>
      <w:pPr>
        <w:widowControl/>
        <w:jc w:val="center"/>
        <w:rPr>
          <w:rFonts w:ascii="宋体" w:hAnsi="宋体" w:cs="黑体"/>
          <w:b/>
          <w:bCs/>
          <w:sz w:val="28"/>
          <w:szCs w:val="28"/>
          <w:lang w:val="zh-CN"/>
        </w:rPr>
      </w:pPr>
    </w:p>
    <w:p>
      <w:pPr>
        <w:widowControl/>
        <w:jc w:val="center"/>
        <w:rPr>
          <w:rFonts w:ascii="宋体" w:hAnsi="宋体" w:cs="黑体"/>
          <w:b/>
          <w:bCs/>
          <w:sz w:val="28"/>
          <w:szCs w:val="28"/>
          <w:lang w:val="zh-CN"/>
        </w:rPr>
      </w:pPr>
      <w:r>
        <w:rPr>
          <w:rFonts w:hint="eastAsia" w:ascii="宋体" w:hAnsi="宋体" w:cs="黑体"/>
          <w:b/>
          <w:bCs/>
          <w:sz w:val="28"/>
          <w:szCs w:val="28"/>
          <w:lang w:val="zh-CN"/>
        </w:rPr>
        <w:t>格式自拟</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pPr>
        <w:widowControl/>
        <w:jc w:val="center"/>
        <w:rPr>
          <w:rFonts w:ascii="宋体" w:hAnsi="宋体" w:cs="黑体"/>
          <w:b/>
          <w:bCs/>
          <w:sz w:val="28"/>
          <w:szCs w:val="28"/>
          <w:lang w:val="zh-CN"/>
        </w:rPr>
      </w:pPr>
    </w:p>
    <w:p>
      <w:pPr>
        <w:widowControl/>
        <w:jc w:val="center"/>
        <w:rPr>
          <w:rFonts w:ascii="宋体" w:hAnsi="宋体" w:cs="黑体"/>
          <w:b/>
          <w:bCs/>
          <w:sz w:val="28"/>
          <w:szCs w:val="28"/>
          <w:lang w:val="zh-CN"/>
        </w:rPr>
      </w:pPr>
    </w:p>
    <w:p>
      <w:pPr>
        <w:widowControl/>
        <w:jc w:val="center"/>
        <w:rPr>
          <w:rFonts w:ascii="宋体" w:hAnsi="宋体" w:cs="黑体"/>
          <w:b/>
          <w:bCs/>
          <w:sz w:val="28"/>
          <w:szCs w:val="28"/>
          <w:lang w:val="zh-CN"/>
        </w:rPr>
      </w:pPr>
    </w:p>
    <w:p>
      <w:pPr>
        <w:widowControl/>
        <w:jc w:val="center"/>
        <w:rPr>
          <w:rFonts w:ascii="宋体" w:hAnsi="宋体" w:cs="黑体"/>
          <w:b/>
          <w:bCs/>
          <w:sz w:val="28"/>
          <w:szCs w:val="28"/>
          <w:lang w:val="zh-CN"/>
        </w:rPr>
      </w:pPr>
      <w:r>
        <w:rPr>
          <w:rFonts w:hint="eastAsia" w:ascii="宋体" w:hAnsi="宋体" w:cs="黑体"/>
          <w:b/>
          <w:bCs/>
          <w:sz w:val="28"/>
          <w:szCs w:val="28"/>
          <w:lang w:val="zh-CN"/>
        </w:rPr>
        <w:t>格式自拟</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技术方案及承诺</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项目编号：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ign w:val="center"/>
          </w:tcPr>
          <w:p>
            <w:pPr>
              <w:pStyle w:val="8"/>
              <w:spacing w:line="360" w:lineRule="auto"/>
              <w:rPr>
                <w:rFonts w:ascii="宋体" w:hAnsi="宋体" w:eastAsia="宋体" w:cs="Times New Roman"/>
                <w:sz w:val="21"/>
                <w:szCs w:val="21"/>
              </w:rPr>
            </w:pPr>
          </w:p>
        </w:tc>
        <w:tc>
          <w:tcPr>
            <w:tcW w:w="3579" w:type="dxa"/>
            <w:noWrap/>
            <w:vAlign w:val="center"/>
          </w:tcPr>
          <w:p>
            <w:pPr>
              <w:pStyle w:val="8"/>
              <w:spacing w:line="360" w:lineRule="auto"/>
              <w:rPr>
                <w:rFonts w:ascii="宋体" w:hAnsi="宋体" w:eastAsia="宋体" w:cs="Times New Roman"/>
                <w:sz w:val="21"/>
                <w:szCs w:val="21"/>
              </w:rPr>
            </w:pPr>
          </w:p>
        </w:tc>
        <w:tc>
          <w:tcPr>
            <w:tcW w:w="1440" w:type="dxa"/>
            <w:noWrap/>
            <w:vAlign w:val="center"/>
          </w:tcPr>
          <w:p>
            <w:pPr>
              <w:pStyle w:val="8"/>
              <w:spacing w:line="360" w:lineRule="auto"/>
              <w:rPr>
                <w:rFonts w:ascii="宋体" w:hAnsi="宋体" w:eastAsia="宋体" w:cs="Times New Roman"/>
                <w:sz w:val="21"/>
                <w:szCs w:val="21"/>
              </w:rPr>
            </w:pPr>
          </w:p>
        </w:tc>
        <w:tc>
          <w:tcPr>
            <w:tcW w:w="1706" w:type="dxa"/>
            <w:noWrap/>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ign w:val="center"/>
          </w:tcPr>
          <w:p>
            <w:pPr>
              <w:pStyle w:val="8"/>
              <w:spacing w:line="360" w:lineRule="auto"/>
              <w:rPr>
                <w:rFonts w:ascii="宋体" w:hAnsi="宋体" w:eastAsia="宋体" w:cs="Times New Roman"/>
                <w:sz w:val="21"/>
                <w:szCs w:val="21"/>
              </w:rPr>
            </w:pPr>
          </w:p>
        </w:tc>
        <w:tc>
          <w:tcPr>
            <w:tcW w:w="3579" w:type="dxa"/>
            <w:noWrap/>
            <w:vAlign w:val="center"/>
          </w:tcPr>
          <w:p>
            <w:pPr>
              <w:pStyle w:val="8"/>
              <w:spacing w:line="360" w:lineRule="auto"/>
              <w:rPr>
                <w:rFonts w:ascii="宋体" w:hAnsi="宋体" w:eastAsia="宋体" w:cs="Times New Roman"/>
                <w:sz w:val="21"/>
                <w:szCs w:val="21"/>
              </w:rPr>
            </w:pPr>
          </w:p>
        </w:tc>
        <w:tc>
          <w:tcPr>
            <w:tcW w:w="1440" w:type="dxa"/>
            <w:noWrap/>
            <w:vAlign w:val="center"/>
          </w:tcPr>
          <w:p>
            <w:pPr>
              <w:pStyle w:val="8"/>
              <w:spacing w:line="360" w:lineRule="auto"/>
              <w:rPr>
                <w:rFonts w:ascii="宋体" w:hAnsi="宋体" w:eastAsia="宋体" w:cs="Times New Roman"/>
                <w:sz w:val="21"/>
                <w:szCs w:val="21"/>
              </w:rPr>
            </w:pPr>
          </w:p>
        </w:tc>
        <w:tc>
          <w:tcPr>
            <w:tcW w:w="1706" w:type="dxa"/>
            <w:noWrap/>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ign w:val="center"/>
          </w:tcPr>
          <w:p>
            <w:pPr>
              <w:pStyle w:val="8"/>
              <w:spacing w:line="360" w:lineRule="auto"/>
              <w:rPr>
                <w:rFonts w:ascii="宋体" w:hAnsi="宋体" w:eastAsia="宋体" w:cs="Times New Roman"/>
                <w:sz w:val="21"/>
                <w:szCs w:val="21"/>
              </w:rPr>
            </w:pPr>
          </w:p>
        </w:tc>
        <w:tc>
          <w:tcPr>
            <w:tcW w:w="3579" w:type="dxa"/>
            <w:noWrap/>
            <w:vAlign w:val="center"/>
          </w:tcPr>
          <w:p>
            <w:pPr>
              <w:pStyle w:val="8"/>
              <w:spacing w:line="360" w:lineRule="auto"/>
              <w:rPr>
                <w:rFonts w:ascii="宋体" w:hAnsi="宋体" w:eastAsia="宋体" w:cs="Times New Roman"/>
                <w:sz w:val="21"/>
                <w:szCs w:val="21"/>
              </w:rPr>
            </w:pPr>
          </w:p>
        </w:tc>
        <w:tc>
          <w:tcPr>
            <w:tcW w:w="1440" w:type="dxa"/>
            <w:noWrap/>
            <w:vAlign w:val="center"/>
          </w:tcPr>
          <w:p>
            <w:pPr>
              <w:pStyle w:val="8"/>
              <w:spacing w:line="360" w:lineRule="auto"/>
              <w:rPr>
                <w:rFonts w:ascii="宋体" w:hAnsi="宋体" w:eastAsia="宋体" w:cs="Times New Roman"/>
                <w:sz w:val="21"/>
                <w:szCs w:val="21"/>
              </w:rPr>
            </w:pPr>
          </w:p>
        </w:tc>
        <w:tc>
          <w:tcPr>
            <w:tcW w:w="1706" w:type="dxa"/>
            <w:noWrap/>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ign w:val="center"/>
          </w:tcPr>
          <w:p>
            <w:pPr>
              <w:rPr>
                <w:rFonts w:ascii="宋体"/>
              </w:rPr>
            </w:pPr>
          </w:p>
        </w:tc>
        <w:tc>
          <w:tcPr>
            <w:tcW w:w="3579" w:type="dxa"/>
            <w:noWrap/>
            <w:vAlign w:val="center"/>
          </w:tcPr>
          <w:p>
            <w:pPr>
              <w:rPr>
                <w:rFonts w:ascii="宋体"/>
              </w:rPr>
            </w:pPr>
          </w:p>
        </w:tc>
        <w:tc>
          <w:tcPr>
            <w:tcW w:w="1440" w:type="dxa"/>
            <w:noWrap/>
            <w:vAlign w:val="center"/>
          </w:tcPr>
          <w:p>
            <w:pPr>
              <w:rPr>
                <w:rFonts w:ascii="宋体"/>
              </w:rPr>
            </w:pPr>
          </w:p>
        </w:tc>
        <w:tc>
          <w:tcPr>
            <w:tcW w:w="1706" w:type="dxa"/>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ign w:val="center"/>
          </w:tcPr>
          <w:p>
            <w:pPr>
              <w:rPr>
                <w:rFonts w:ascii="宋体"/>
              </w:rPr>
            </w:pPr>
          </w:p>
        </w:tc>
        <w:tc>
          <w:tcPr>
            <w:tcW w:w="3579" w:type="dxa"/>
            <w:noWrap/>
            <w:vAlign w:val="center"/>
          </w:tcPr>
          <w:p>
            <w:pPr>
              <w:rPr>
                <w:rFonts w:ascii="宋体"/>
              </w:rPr>
            </w:pPr>
          </w:p>
        </w:tc>
        <w:tc>
          <w:tcPr>
            <w:tcW w:w="1440" w:type="dxa"/>
            <w:noWrap/>
            <w:vAlign w:val="center"/>
          </w:tcPr>
          <w:p>
            <w:pPr>
              <w:rPr>
                <w:rFonts w:ascii="宋体"/>
              </w:rPr>
            </w:pPr>
          </w:p>
        </w:tc>
        <w:tc>
          <w:tcPr>
            <w:tcW w:w="1706" w:type="dxa"/>
            <w:noWrap/>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服务承诺</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1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69"/>
        <w:gridCol w:w="1404"/>
        <w:gridCol w:w="1142"/>
        <w:gridCol w:w="1526"/>
        <w:gridCol w:w="148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noWrap/>
            <w:vAlign w:val="center"/>
          </w:tcPr>
          <w:p>
            <w:pPr>
              <w:pStyle w:val="8"/>
              <w:spacing w:line="360" w:lineRule="auto"/>
              <w:rPr>
                <w:rFonts w:ascii="宋体" w:hAnsi="宋体" w:eastAsia="宋体" w:cs="Times New Roman"/>
                <w:sz w:val="21"/>
                <w:szCs w:val="21"/>
              </w:rPr>
            </w:pPr>
          </w:p>
        </w:tc>
        <w:tc>
          <w:tcPr>
            <w:tcW w:w="814" w:type="pct"/>
            <w:noWrap/>
            <w:vAlign w:val="center"/>
          </w:tcPr>
          <w:p>
            <w:pPr>
              <w:pStyle w:val="8"/>
              <w:spacing w:line="360" w:lineRule="auto"/>
              <w:rPr>
                <w:rFonts w:ascii="宋体" w:hAnsi="宋体" w:eastAsia="宋体" w:cs="Times New Roman"/>
                <w:sz w:val="21"/>
                <w:szCs w:val="21"/>
              </w:rPr>
            </w:pPr>
          </w:p>
        </w:tc>
        <w:tc>
          <w:tcPr>
            <w:tcW w:w="665" w:type="pct"/>
            <w:noWrap/>
          </w:tcPr>
          <w:p>
            <w:pPr>
              <w:pStyle w:val="8"/>
              <w:spacing w:line="360" w:lineRule="auto"/>
              <w:rPr>
                <w:rFonts w:ascii="宋体" w:hAnsi="宋体" w:eastAsia="宋体" w:cs="Times New Roman"/>
                <w:sz w:val="21"/>
                <w:szCs w:val="21"/>
              </w:rPr>
            </w:pPr>
          </w:p>
        </w:tc>
        <w:tc>
          <w:tcPr>
            <w:tcW w:w="884" w:type="pct"/>
            <w:noWrap/>
          </w:tcPr>
          <w:p>
            <w:pPr>
              <w:pStyle w:val="8"/>
              <w:spacing w:line="360" w:lineRule="auto"/>
              <w:rPr>
                <w:rFonts w:ascii="宋体" w:hAnsi="宋体" w:eastAsia="宋体" w:cs="Times New Roman"/>
                <w:sz w:val="21"/>
                <w:szCs w:val="21"/>
              </w:rPr>
            </w:pPr>
          </w:p>
        </w:tc>
        <w:tc>
          <w:tcPr>
            <w:tcW w:w="858" w:type="pct"/>
            <w:noWrap/>
          </w:tcPr>
          <w:p>
            <w:pPr>
              <w:pStyle w:val="8"/>
              <w:spacing w:line="360" w:lineRule="auto"/>
              <w:rPr>
                <w:rFonts w:ascii="宋体" w:hAnsi="宋体" w:eastAsia="宋体" w:cs="Times New Roman"/>
                <w:sz w:val="21"/>
                <w:szCs w:val="21"/>
              </w:rPr>
            </w:pPr>
          </w:p>
        </w:tc>
        <w:tc>
          <w:tcPr>
            <w:tcW w:w="760" w:type="pct"/>
            <w:noWrap/>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noWrap/>
            <w:vAlign w:val="center"/>
          </w:tcPr>
          <w:p>
            <w:pPr>
              <w:pStyle w:val="8"/>
              <w:spacing w:line="360" w:lineRule="auto"/>
              <w:rPr>
                <w:rFonts w:ascii="宋体" w:hAnsi="宋体" w:eastAsia="宋体" w:cs="Times New Roman"/>
                <w:sz w:val="21"/>
                <w:szCs w:val="21"/>
              </w:rPr>
            </w:pPr>
          </w:p>
        </w:tc>
        <w:tc>
          <w:tcPr>
            <w:tcW w:w="814" w:type="pct"/>
            <w:noWrap/>
            <w:vAlign w:val="center"/>
          </w:tcPr>
          <w:p>
            <w:pPr>
              <w:pStyle w:val="8"/>
              <w:spacing w:line="360" w:lineRule="auto"/>
              <w:rPr>
                <w:rFonts w:ascii="宋体" w:hAnsi="宋体" w:eastAsia="宋体" w:cs="Times New Roman"/>
                <w:sz w:val="21"/>
                <w:szCs w:val="21"/>
              </w:rPr>
            </w:pPr>
          </w:p>
        </w:tc>
        <w:tc>
          <w:tcPr>
            <w:tcW w:w="665" w:type="pct"/>
            <w:noWrap/>
          </w:tcPr>
          <w:p>
            <w:pPr>
              <w:pStyle w:val="8"/>
              <w:spacing w:line="360" w:lineRule="auto"/>
              <w:rPr>
                <w:rFonts w:ascii="宋体" w:hAnsi="宋体" w:eastAsia="宋体" w:cs="Times New Roman"/>
                <w:sz w:val="21"/>
                <w:szCs w:val="21"/>
              </w:rPr>
            </w:pPr>
          </w:p>
        </w:tc>
        <w:tc>
          <w:tcPr>
            <w:tcW w:w="884" w:type="pct"/>
            <w:noWrap/>
          </w:tcPr>
          <w:p>
            <w:pPr>
              <w:pStyle w:val="8"/>
              <w:spacing w:line="360" w:lineRule="auto"/>
              <w:rPr>
                <w:rFonts w:ascii="宋体" w:hAnsi="宋体" w:eastAsia="宋体" w:cs="Times New Roman"/>
                <w:sz w:val="21"/>
                <w:szCs w:val="21"/>
              </w:rPr>
            </w:pPr>
          </w:p>
        </w:tc>
        <w:tc>
          <w:tcPr>
            <w:tcW w:w="858" w:type="pct"/>
            <w:noWrap/>
          </w:tcPr>
          <w:p>
            <w:pPr>
              <w:pStyle w:val="8"/>
              <w:spacing w:line="360" w:lineRule="auto"/>
              <w:rPr>
                <w:rFonts w:ascii="宋体" w:hAnsi="宋体" w:eastAsia="宋体" w:cs="Times New Roman"/>
                <w:sz w:val="21"/>
                <w:szCs w:val="21"/>
              </w:rPr>
            </w:pPr>
          </w:p>
        </w:tc>
        <w:tc>
          <w:tcPr>
            <w:tcW w:w="760" w:type="pct"/>
            <w:noWrap/>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noWrap/>
            <w:vAlign w:val="center"/>
          </w:tcPr>
          <w:p>
            <w:pPr>
              <w:pStyle w:val="8"/>
              <w:spacing w:line="360" w:lineRule="auto"/>
              <w:rPr>
                <w:rFonts w:ascii="宋体" w:hAnsi="宋体" w:eastAsia="宋体" w:cs="Times New Roman"/>
                <w:sz w:val="21"/>
                <w:szCs w:val="21"/>
              </w:rPr>
            </w:pPr>
          </w:p>
        </w:tc>
        <w:tc>
          <w:tcPr>
            <w:tcW w:w="814" w:type="pct"/>
            <w:noWrap/>
            <w:vAlign w:val="center"/>
          </w:tcPr>
          <w:p>
            <w:pPr>
              <w:pStyle w:val="8"/>
              <w:spacing w:line="360" w:lineRule="auto"/>
              <w:rPr>
                <w:rFonts w:ascii="宋体" w:hAnsi="宋体" w:eastAsia="宋体" w:cs="Times New Roman"/>
                <w:sz w:val="21"/>
                <w:szCs w:val="21"/>
              </w:rPr>
            </w:pPr>
          </w:p>
        </w:tc>
        <w:tc>
          <w:tcPr>
            <w:tcW w:w="665" w:type="pct"/>
            <w:noWrap/>
          </w:tcPr>
          <w:p>
            <w:pPr>
              <w:pStyle w:val="8"/>
              <w:spacing w:line="360" w:lineRule="auto"/>
              <w:rPr>
                <w:rFonts w:ascii="宋体" w:hAnsi="宋体" w:eastAsia="宋体" w:cs="Times New Roman"/>
                <w:sz w:val="21"/>
                <w:szCs w:val="21"/>
              </w:rPr>
            </w:pPr>
          </w:p>
        </w:tc>
        <w:tc>
          <w:tcPr>
            <w:tcW w:w="884" w:type="pct"/>
            <w:noWrap/>
          </w:tcPr>
          <w:p>
            <w:pPr>
              <w:pStyle w:val="8"/>
              <w:spacing w:line="360" w:lineRule="auto"/>
              <w:rPr>
                <w:rFonts w:ascii="宋体" w:hAnsi="宋体" w:eastAsia="宋体" w:cs="Times New Roman"/>
                <w:sz w:val="21"/>
                <w:szCs w:val="21"/>
              </w:rPr>
            </w:pPr>
          </w:p>
        </w:tc>
        <w:tc>
          <w:tcPr>
            <w:tcW w:w="858" w:type="pct"/>
            <w:noWrap/>
          </w:tcPr>
          <w:p>
            <w:pPr>
              <w:pStyle w:val="8"/>
              <w:spacing w:line="360" w:lineRule="auto"/>
              <w:rPr>
                <w:rFonts w:ascii="宋体" w:hAnsi="宋体" w:eastAsia="宋体" w:cs="Times New Roman"/>
                <w:sz w:val="21"/>
                <w:szCs w:val="21"/>
              </w:rPr>
            </w:pPr>
          </w:p>
        </w:tc>
        <w:tc>
          <w:tcPr>
            <w:tcW w:w="760" w:type="pct"/>
            <w:noWrap/>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18"/>
        <w:tblW w:w="4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64"/>
        <w:gridCol w:w="1399"/>
        <w:gridCol w:w="1136"/>
        <w:gridCol w:w="147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342"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895"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989"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807"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042"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923"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4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895" w:type="pct"/>
            <w:noWrap/>
            <w:vAlign w:val="center"/>
          </w:tcPr>
          <w:p>
            <w:pPr>
              <w:pStyle w:val="8"/>
              <w:spacing w:line="360" w:lineRule="auto"/>
              <w:rPr>
                <w:rFonts w:ascii="宋体" w:hAnsi="宋体" w:eastAsia="宋体" w:cs="Times New Roman"/>
                <w:sz w:val="21"/>
                <w:szCs w:val="21"/>
              </w:rPr>
            </w:pPr>
          </w:p>
        </w:tc>
        <w:tc>
          <w:tcPr>
            <w:tcW w:w="989" w:type="pct"/>
            <w:noWrap/>
            <w:vAlign w:val="center"/>
          </w:tcPr>
          <w:p>
            <w:pPr>
              <w:pStyle w:val="8"/>
              <w:spacing w:line="360" w:lineRule="auto"/>
              <w:rPr>
                <w:rFonts w:ascii="宋体" w:hAnsi="宋体" w:eastAsia="宋体" w:cs="Times New Roman"/>
                <w:sz w:val="21"/>
                <w:szCs w:val="21"/>
              </w:rPr>
            </w:pPr>
          </w:p>
        </w:tc>
        <w:tc>
          <w:tcPr>
            <w:tcW w:w="807" w:type="pct"/>
            <w:noWrap/>
          </w:tcPr>
          <w:p>
            <w:pPr>
              <w:pStyle w:val="8"/>
              <w:spacing w:line="360" w:lineRule="auto"/>
              <w:rPr>
                <w:rFonts w:ascii="宋体" w:hAnsi="宋体" w:eastAsia="宋体" w:cs="Times New Roman"/>
                <w:sz w:val="21"/>
                <w:szCs w:val="21"/>
              </w:rPr>
            </w:pPr>
          </w:p>
        </w:tc>
        <w:tc>
          <w:tcPr>
            <w:tcW w:w="1042" w:type="pct"/>
            <w:noWrap/>
          </w:tcPr>
          <w:p>
            <w:pPr>
              <w:pStyle w:val="8"/>
              <w:spacing w:line="360" w:lineRule="auto"/>
              <w:rPr>
                <w:rFonts w:ascii="宋体" w:hAnsi="宋体" w:eastAsia="宋体" w:cs="Times New Roman"/>
                <w:sz w:val="21"/>
                <w:szCs w:val="21"/>
              </w:rPr>
            </w:pPr>
          </w:p>
        </w:tc>
        <w:tc>
          <w:tcPr>
            <w:tcW w:w="923" w:type="pct"/>
            <w:noWrap/>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4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895" w:type="pct"/>
            <w:noWrap/>
            <w:vAlign w:val="center"/>
          </w:tcPr>
          <w:p>
            <w:pPr>
              <w:pStyle w:val="8"/>
              <w:spacing w:line="360" w:lineRule="auto"/>
              <w:rPr>
                <w:rFonts w:ascii="宋体" w:hAnsi="宋体" w:eastAsia="宋体" w:cs="Times New Roman"/>
                <w:sz w:val="21"/>
                <w:szCs w:val="21"/>
              </w:rPr>
            </w:pPr>
          </w:p>
        </w:tc>
        <w:tc>
          <w:tcPr>
            <w:tcW w:w="989" w:type="pct"/>
            <w:noWrap/>
            <w:vAlign w:val="center"/>
          </w:tcPr>
          <w:p>
            <w:pPr>
              <w:pStyle w:val="8"/>
              <w:spacing w:line="360" w:lineRule="auto"/>
              <w:rPr>
                <w:rFonts w:ascii="宋体" w:hAnsi="宋体" w:eastAsia="宋体" w:cs="Times New Roman"/>
                <w:sz w:val="21"/>
                <w:szCs w:val="21"/>
              </w:rPr>
            </w:pPr>
          </w:p>
        </w:tc>
        <w:tc>
          <w:tcPr>
            <w:tcW w:w="807" w:type="pct"/>
            <w:noWrap/>
          </w:tcPr>
          <w:p>
            <w:pPr>
              <w:pStyle w:val="8"/>
              <w:spacing w:line="360" w:lineRule="auto"/>
              <w:rPr>
                <w:rFonts w:ascii="宋体" w:hAnsi="宋体" w:eastAsia="宋体" w:cs="Times New Roman"/>
                <w:sz w:val="21"/>
                <w:szCs w:val="21"/>
              </w:rPr>
            </w:pPr>
          </w:p>
        </w:tc>
        <w:tc>
          <w:tcPr>
            <w:tcW w:w="1042" w:type="pct"/>
            <w:noWrap/>
          </w:tcPr>
          <w:p>
            <w:pPr>
              <w:pStyle w:val="8"/>
              <w:spacing w:line="360" w:lineRule="auto"/>
              <w:rPr>
                <w:rFonts w:ascii="宋体" w:hAnsi="宋体" w:eastAsia="宋体" w:cs="Times New Roman"/>
                <w:sz w:val="21"/>
                <w:szCs w:val="21"/>
              </w:rPr>
            </w:pPr>
          </w:p>
        </w:tc>
        <w:tc>
          <w:tcPr>
            <w:tcW w:w="923" w:type="pct"/>
            <w:noWrap/>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4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895" w:type="pct"/>
            <w:noWrap/>
            <w:vAlign w:val="center"/>
          </w:tcPr>
          <w:p>
            <w:pPr>
              <w:pStyle w:val="8"/>
              <w:spacing w:line="360" w:lineRule="auto"/>
              <w:rPr>
                <w:rFonts w:ascii="宋体" w:hAnsi="宋体" w:eastAsia="宋体" w:cs="Times New Roman"/>
                <w:sz w:val="21"/>
                <w:szCs w:val="21"/>
              </w:rPr>
            </w:pPr>
          </w:p>
        </w:tc>
        <w:tc>
          <w:tcPr>
            <w:tcW w:w="989" w:type="pct"/>
            <w:noWrap/>
            <w:vAlign w:val="center"/>
          </w:tcPr>
          <w:p>
            <w:pPr>
              <w:pStyle w:val="8"/>
              <w:spacing w:line="360" w:lineRule="auto"/>
              <w:rPr>
                <w:rFonts w:ascii="宋体" w:hAnsi="宋体" w:eastAsia="宋体" w:cs="Times New Roman"/>
                <w:sz w:val="21"/>
                <w:szCs w:val="21"/>
              </w:rPr>
            </w:pPr>
          </w:p>
        </w:tc>
        <w:tc>
          <w:tcPr>
            <w:tcW w:w="807" w:type="pct"/>
            <w:noWrap/>
          </w:tcPr>
          <w:p>
            <w:pPr>
              <w:pStyle w:val="8"/>
              <w:spacing w:line="360" w:lineRule="auto"/>
              <w:rPr>
                <w:rFonts w:ascii="宋体" w:hAnsi="宋体" w:eastAsia="宋体" w:cs="Times New Roman"/>
                <w:sz w:val="21"/>
                <w:szCs w:val="21"/>
              </w:rPr>
            </w:pPr>
          </w:p>
        </w:tc>
        <w:tc>
          <w:tcPr>
            <w:tcW w:w="1042" w:type="pct"/>
            <w:noWrap/>
          </w:tcPr>
          <w:p>
            <w:pPr>
              <w:pStyle w:val="8"/>
              <w:spacing w:line="360" w:lineRule="auto"/>
              <w:rPr>
                <w:rFonts w:ascii="宋体" w:hAnsi="宋体" w:eastAsia="宋体" w:cs="Times New Roman"/>
                <w:sz w:val="21"/>
                <w:szCs w:val="21"/>
              </w:rPr>
            </w:pPr>
          </w:p>
        </w:tc>
        <w:tc>
          <w:tcPr>
            <w:tcW w:w="923" w:type="pct"/>
            <w:noWrap/>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jc w:val="center"/>
        <w:rPr>
          <w:rFonts w:ascii="宋体" w:hAnsi="宋体"/>
          <w:b/>
          <w:bCs/>
          <w:sz w:val="24"/>
          <w:szCs w:val="24"/>
        </w:rPr>
      </w:pPr>
      <w:r>
        <w:rPr>
          <w:rFonts w:ascii="宋体" w:hAnsi="宋体" w:cs="宋体"/>
          <w:lang w:val="zh-CN"/>
        </w:rPr>
        <w:br w:type="page"/>
      </w: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1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69"/>
        <w:gridCol w:w="1404"/>
        <w:gridCol w:w="1142"/>
        <w:gridCol w:w="1526"/>
        <w:gridCol w:w="148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noWrap/>
            <w:vAlign w:val="center"/>
          </w:tcPr>
          <w:p>
            <w:pPr>
              <w:pStyle w:val="8"/>
              <w:spacing w:line="360" w:lineRule="auto"/>
              <w:rPr>
                <w:rFonts w:ascii="宋体" w:hAnsi="宋体" w:eastAsia="宋体" w:cs="Times New Roman"/>
                <w:sz w:val="21"/>
                <w:szCs w:val="21"/>
              </w:rPr>
            </w:pPr>
          </w:p>
        </w:tc>
        <w:tc>
          <w:tcPr>
            <w:tcW w:w="814" w:type="pct"/>
            <w:noWrap/>
            <w:vAlign w:val="center"/>
          </w:tcPr>
          <w:p>
            <w:pPr>
              <w:pStyle w:val="8"/>
              <w:spacing w:line="360" w:lineRule="auto"/>
              <w:rPr>
                <w:rFonts w:ascii="宋体" w:hAnsi="宋体" w:eastAsia="宋体" w:cs="Times New Roman"/>
                <w:sz w:val="21"/>
                <w:szCs w:val="21"/>
              </w:rPr>
            </w:pPr>
          </w:p>
        </w:tc>
        <w:tc>
          <w:tcPr>
            <w:tcW w:w="665" w:type="pct"/>
            <w:noWrap/>
          </w:tcPr>
          <w:p>
            <w:pPr>
              <w:pStyle w:val="8"/>
              <w:spacing w:line="360" w:lineRule="auto"/>
              <w:rPr>
                <w:rFonts w:ascii="宋体" w:hAnsi="宋体" w:eastAsia="宋体" w:cs="Times New Roman"/>
                <w:sz w:val="21"/>
                <w:szCs w:val="21"/>
              </w:rPr>
            </w:pPr>
          </w:p>
        </w:tc>
        <w:tc>
          <w:tcPr>
            <w:tcW w:w="884" w:type="pct"/>
            <w:noWrap/>
          </w:tcPr>
          <w:p>
            <w:pPr>
              <w:pStyle w:val="8"/>
              <w:spacing w:line="360" w:lineRule="auto"/>
              <w:rPr>
                <w:rFonts w:ascii="宋体" w:hAnsi="宋体" w:eastAsia="宋体" w:cs="Times New Roman"/>
                <w:sz w:val="21"/>
                <w:szCs w:val="21"/>
              </w:rPr>
            </w:pPr>
          </w:p>
        </w:tc>
        <w:tc>
          <w:tcPr>
            <w:tcW w:w="858" w:type="pct"/>
            <w:noWrap/>
          </w:tcPr>
          <w:p>
            <w:pPr>
              <w:pStyle w:val="8"/>
              <w:spacing w:line="360" w:lineRule="auto"/>
              <w:rPr>
                <w:rFonts w:ascii="宋体" w:hAnsi="宋体" w:eastAsia="宋体" w:cs="Times New Roman"/>
                <w:sz w:val="21"/>
                <w:szCs w:val="21"/>
              </w:rPr>
            </w:pPr>
          </w:p>
        </w:tc>
        <w:tc>
          <w:tcPr>
            <w:tcW w:w="760" w:type="pct"/>
            <w:noWrap/>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noWrap/>
            <w:vAlign w:val="center"/>
          </w:tcPr>
          <w:p>
            <w:pPr>
              <w:pStyle w:val="8"/>
              <w:spacing w:line="360" w:lineRule="auto"/>
              <w:rPr>
                <w:rFonts w:ascii="宋体" w:hAnsi="宋体" w:eastAsia="宋体" w:cs="Times New Roman"/>
                <w:sz w:val="21"/>
                <w:szCs w:val="21"/>
              </w:rPr>
            </w:pPr>
          </w:p>
        </w:tc>
        <w:tc>
          <w:tcPr>
            <w:tcW w:w="814" w:type="pct"/>
            <w:noWrap/>
            <w:vAlign w:val="center"/>
          </w:tcPr>
          <w:p>
            <w:pPr>
              <w:pStyle w:val="8"/>
              <w:spacing w:line="360" w:lineRule="auto"/>
              <w:rPr>
                <w:rFonts w:ascii="宋体" w:hAnsi="宋体" w:eastAsia="宋体" w:cs="Times New Roman"/>
                <w:sz w:val="21"/>
                <w:szCs w:val="21"/>
              </w:rPr>
            </w:pPr>
          </w:p>
        </w:tc>
        <w:tc>
          <w:tcPr>
            <w:tcW w:w="665" w:type="pct"/>
            <w:noWrap/>
          </w:tcPr>
          <w:p>
            <w:pPr>
              <w:pStyle w:val="8"/>
              <w:spacing w:line="360" w:lineRule="auto"/>
              <w:rPr>
                <w:rFonts w:ascii="宋体" w:hAnsi="宋体" w:eastAsia="宋体" w:cs="Times New Roman"/>
                <w:sz w:val="21"/>
                <w:szCs w:val="21"/>
              </w:rPr>
            </w:pPr>
          </w:p>
        </w:tc>
        <w:tc>
          <w:tcPr>
            <w:tcW w:w="884" w:type="pct"/>
            <w:noWrap/>
          </w:tcPr>
          <w:p>
            <w:pPr>
              <w:pStyle w:val="8"/>
              <w:spacing w:line="360" w:lineRule="auto"/>
              <w:rPr>
                <w:rFonts w:ascii="宋体" w:hAnsi="宋体" w:eastAsia="宋体" w:cs="Times New Roman"/>
                <w:sz w:val="21"/>
                <w:szCs w:val="21"/>
              </w:rPr>
            </w:pPr>
          </w:p>
        </w:tc>
        <w:tc>
          <w:tcPr>
            <w:tcW w:w="858" w:type="pct"/>
            <w:noWrap/>
          </w:tcPr>
          <w:p>
            <w:pPr>
              <w:pStyle w:val="8"/>
              <w:spacing w:line="360" w:lineRule="auto"/>
              <w:rPr>
                <w:rFonts w:ascii="宋体" w:hAnsi="宋体" w:eastAsia="宋体" w:cs="Times New Roman"/>
                <w:sz w:val="21"/>
                <w:szCs w:val="21"/>
              </w:rPr>
            </w:pPr>
          </w:p>
        </w:tc>
        <w:tc>
          <w:tcPr>
            <w:tcW w:w="760" w:type="pct"/>
            <w:noWrap/>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noWrap/>
            <w:vAlign w:val="center"/>
          </w:tcPr>
          <w:p>
            <w:pPr>
              <w:pStyle w:val="8"/>
              <w:spacing w:line="360" w:lineRule="auto"/>
              <w:rPr>
                <w:rFonts w:ascii="宋体" w:hAnsi="宋体" w:eastAsia="宋体" w:cs="Times New Roman"/>
                <w:sz w:val="21"/>
                <w:szCs w:val="21"/>
              </w:rPr>
            </w:pPr>
          </w:p>
        </w:tc>
        <w:tc>
          <w:tcPr>
            <w:tcW w:w="814" w:type="pct"/>
            <w:noWrap/>
            <w:vAlign w:val="center"/>
          </w:tcPr>
          <w:p>
            <w:pPr>
              <w:pStyle w:val="8"/>
              <w:spacing w:line="360" w:lineRule="auto"/>
              <w:rPr>
                <w:rFonts w:ascii="宋体" w:hAnsi="宋体" w:eastAsia="宋体" w:cs="Times New Roman"/>
                <w:sz w:val="21"/>
                <w:szCs w:val="21"/>
              </w:rPr>
            </w:pPr>
          </w:p>
        </w:tc>
        <w:tc>
          <w:tcPr>
            <w:tcW w:w="665" w:type="pct"/>
            <w:noWrap/>
          </w:tcPr>
          <w:p>
            <w:pPr>
              <w:pStyle w:val="8"/>
              <w:spacing w:line="360" w:lineRule="auto"/>
              <w:rPr>
                <w:rFonts w:ascii="宋体" w:hAnsi="宋体" w:eastAsia="宋体" w:cs="Times New Roman"/>
                <w:sz w:val="21"/>
                <w:szCs w:val="21"/>
              </w:rPr>
            </w:pPr>
          </w:p>
        </w:tc>
        <w:tc>
          <w:tcPr>
            <w:tcW w:w="884" w:type="pct"/>
            <w:noWrap/>
          </w:tcPr>
          <w:p>
            <w:pPr>
              <w:pStyle w:val="8"/>
              <w:spacing w:line="360" w:lineRule="auto"/>
              <w:rPr>
                <w:rFonts w:ascii="宋体" w:hAnsi="宋体" w:eastAsia="宋体" w:cs="Times New Roman"/>
                <w:sz w:val="21"/>
                <w:szCs w:val="21"/>
              </w:rPr>
            </w:pPr>
          </w:p>
        </w:tc>
        <w:tc>
          <w:tcPr>
            <w:tcW w:w="858" w:type="pct"/>
            <w:noWrap/>
          </w:tcPr>
          <w:p>
            <w:pPr>
              <w:pStyle w:val="8"/>
              <w:spacing w:line="360" w:lineRule="auto"/>
              <w:rPr>
                <w:rFonts w:ascii="宋体" w:hAnsi="宋体" w:eastAsia="宋体" w:cs="Times New Roman"/>
                <w:sz w:val="21"/>
                <w:szCs w:val="21"/>
              </w:rPr>
            </w:pPr>
          </w:p>
        </w:tc>
        <w:tc>
          <w:tcPr>
            <w:tcW w:w="760" w:type="pct"/>
            <w:noWrap/>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bookmarkStart w:id="6" w:name="OLE_LINK14"/>
      <w:bookmarkStart w:id="7" w:name="OLE_LINK13"/>
      <w:r>
        <w:rPr>
          <w:rFonts w:hint="eastAsia" w:ascii="宋体" w:hAnsi="宋体"/>
          <w:b/>
          <w:bCs/>
          <w:sz w:val="24"/>
          <w:szCs w:val="24"/>
        </w:rPr>
        <w:t>4.9 残疾人福利性单位声明函</w:t>
      </w:r>
    </w:p>
    <w:bookmarkEnd w:id="6"/>
    <w:bookmarkEnd w:id="7"/>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4.10监狱企业证明函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p/>
    <w:p/>
    <w:p/>
    <w:p/>
    <w:p/>
    <w:p/>
    <w:p/>
    <w:p/>
    <w:p/>
    <w:p/>
    <w:p/>
    <w:p/>
    <w:p/>
    <w:p/>
    <w:p/>
    <w:p>
      <w:pPr>
        <w:widowControl/>
        <w:spacing w:before="100" w:beforeAutospacing="1" w:after="100" w:afterAutospacing="1" w:line="360" w:lineRule="auto"/>
        <w:jc w:val="center"/>
      </w:pPr>
    </w:p>
    <w:p/>
    <w:p/>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sz w:val="17"/>
        <w:szCs w:val="17"/>
      </w:rPr>
    </w:pPr>
    <w:r>
      <w:rPr>
        <w:sz w:val="17"/>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24"/>
      <w:rPr>
        <w:rFonts w:ascii="Calibri" w:hAnsi="Calibri"/>
        <w:sz w:val="17"/>
        <w:szCs w:val="17"/>
      </w:rPr>
    </w:pPr>
    <w:r>
      <w:rPr>
        <w:sz w:val="17"/>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84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63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055F6A61"/>
    <w:multiLevelType w:val="singleLevel"/>
    <w:tmpl w:val="055F6A61"/>
    <w:lvl w:ilvl="0" w:tentative="0">
      <w:start w:val="1"/>
      <w:numFmt w:val="decimal"/>
      <w:suff w:val="space"/>
      <w:lvlText w:val="%1、"/>
      <w:lvlJc w:val="left"/>
    </w:lvl>
  </w:abstractNum>
  <w:abstractNum w:abstractNumId="4">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4ODA5MDc3YWMwZWM2NThiNjZkMGEyZWRlMzQ4ZTkifQ=="/>
  </w:docVars>
  <w:rsids>
    <w:rsidRoot w:val="6D084A93"/>
    <w:rsid w:val="00365F73"/>
    <w:rsid w:val="00371C7C"/>
    <w:rsid w:val="003F279E"/>
    <w:rsid w:val="00616FF9"/>
    <w:rsid w:val="00B42FD9"/>
    <w:rsid w:val="00B440BB"/>
    <w:rsid w:val="00B56231"/>
    <w:rsid w:val="00EA2F31"/>
    <w:rsid w:val="05461B09"/>
    <w:rsid w:val="0C56138D"/>
    <w:rsid w:val="0C747876"/>
    <w:rsid w:val="0FB75ADD"/>
    <w:rsid w:val="12993BC0"/>
    <w:rsid w:val="13B7634D"/>
    <w:rsid w:val="14406000"/>
    <w:rsid w:val="165F6235"/>
    <w:rsid w:val="213D7E0C"/>
    <w:rsid w:val="21F46916"/>
    <w:rsid w:val="23C953E0"/>
    <w:rsid w:val="24D9272A"/>
    <w:rsid w:val="292559B5"/>
    <w:rsid w:val="2E316F9A"/>
    <w:rsid w:val="38545966"/>
    <w:rsid w:val="39243851"/>
    <w:rsid w:val="39F524AB"/>
    <w:rsid w:val="3BEB1A3D"/>
    <w:rsid w:val="3C84061A"/>
    <w:rsid w:val="3D164FCE"/>
    <w:rsid w:val="3D7D28F7"/>
    <w:rsid w:val="45B46A7F"/>
    <w:rsid w:val="4713623B"/>
    <w:rsid w:val="4F6E725F"/>
    <w:rsid w:val="525B2B18"/>
    <w:rsid w:val="53F54EDB"/>
    <w:rsid w:val="53FE3E54"/>
    <w:rsid w:val="5C113CD8"/>
    <w:rsid w:val="5ED23B3A"/>
    <w:rsid w:val="5F0059FA"/>
    <w:rsid w:val="62BF142A"/>
    <w:rsid w:val="6468709D"/>
    <w:rsid w:val="68EB7B8D"/>
    <w:rsid w:val="6B2D3EBC"/>
    <w:rsid w:val="6C0D0B21"/>
    <w:rsid w:val="6D084A93"/>
    <w:rsid w:val="6E55333D"/>
    <w:rsid w:val="702F2CF7"/>
    <w:rsid w:val="727A7D7A"/>
    <w:rsid w:val="741862F7"/>
    <w:rsid w:val="750D2EF3"/>
    <w:rsid w:val="78C63702"/>
    <w:rsid w:val="799B06C0"/>
    <w:rsid w:val="7AF532D6"/>
    <w:rsid w:val="7C251C8D"/>
    <w:rsid w:val="7EC75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5">
    <w:name w:val="heading 2"/>
    <w:basedOn w:val="1"/>
    <w:next w:val="1"/>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cs="Times New Roman"/>
      <w:kern w:val="0"/>
      <w:sz w:val="20"/>
    </w:rPr>
  </w:style>
  <w:style w:type="paragraph" w:customStyle="1" w:styleId="3">
    <w:name w:val="style4"/>
    <w:basedOn w:val="1"/>
    <w:next w:val="4"/>
    <w:qFormat/>
    <w:uiPriority w:val="0"/>
    <w:pPr>
      <w:widowControl/>
      <w:spacing w:before="280" w:after="280"/>
    </w:pPr>
    <w:rPr>
      <w:rFonts w:ascii="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Normal Indent"/>
    <w:basedOn w:val="1"/>
    <w:next w:val="7"/>
    <w:unhideWhenUsed/>
    <w:qFormat/>
    <w:uiPriority w:val="0"/>
    <w:pPr>
      <w:ind w:firstLine="425"/>
    </w:pPr>
    <w:rPr>
      <w:rFonts w:cs="Times New Roman"/>
    </w:rPr>
  </w:style>
  <w:style w:type="paragraph" w:styleId="7">
    <w:name w:val="Body Text 2"/>
    <w:basedOn w:val="1"/>
    <w:next w:val="1"/>
    <w:qFormat/>
    <w:uiPriority w:val="0"/>
    <w:pPr>
      <w:widowControl/>
      <w:spacing w:before="100" w:beforeAutospacing="1" w:after="100" w:afterAutospacing="1"/>
      <w:jc w:val="left"/>
    </w:pPr>
    <w:rPr>
      <w:rFonts w:ascii="宋体" w:hAnsi="宋体" w:cs="Times New Roman"/>
      <w:kern w:val="0"/>
      <w:sz w:val="24"/>
    </w:rPr>
  </w:style>
  <w:style w:type="paragraph" w:styleId="8">
    <w:name w:val="caption"/>
    <w:basedOn w:val="1"/>
    <w:next w:val="1"/>
    <w:qFormat/>
    <w:uiPriority w:val="0"/>
    <w:rPr>
      <w:rFonts w:ascii="Arial" w:hAnsi="Arial" w:eastAsia="黑体" w:cs="Arial"/>
      <w:sz w:val="20"/>
      <w:szCs w:val="20"/>
    </w:rPr>
  </w:style>
  <w:style w:type="paragraph" w:styleId="9">
    <w:name w:val="Body Text Indent"/>
    <w:basedOn w:val="1"/>
    <w:next w:val="10"/>
    <w:unhideWhenUsed/>
    <w:qFormat/>
    <w:uiPriority w:val="99"/>
    <w:pPr>
      <w:spacing w:after="120"/>
      <w:ind w:left="420" w:leftChars="200"/>
    </w:pPr>
    <w:rPr>
      <w:rFonts w:cs="Times New Roman"/>
      <w:kern w:val="0"/>
      <w:sz w:val="20"/>
    </w:rPr>
  </w:style>
  <w:style w:type="paragraph" w:styleId="10">
    <w:name w:val="Body Text First Indent 2"/>
    <w:basedOn w:val="9"/>
    <w:next w:val="11"/>
    <w:qFormat/>
    <w:uiPriority w:val="0"/>
    <w:pPr>
      <w:ind w:firstLine="420" w:firstLineChars="200"/>
    </w:pPr>
  </w:style>
  <w:style w:type="paragraph" w:styleId="11">
    <w:name w:val="Date"/>
    <w:basedOn w:val="1"/>
    <w:next w:val="1"/>
    <w:qFormat/>
    <w:uiPriority w:val="0"/>
    <w:pPr>
      <w:ind w:left="100" w:leftChars="2500"/>
    </w:pPr>
    <w:rPr>
      <w:rFonts w:ascii="Calibri" w:hAnsi="Calibri" w:cs="Times New Roman"/>
      <w:kern w:val="0"/>
      <w:sz w:val="20"/>
    </w:rPr>
  </w:style>
  <w:style w:type="paragraph" w:styleId="12">
    <w:name w:val="Plain Text"/>
    <w:basedOn w:val="1"/>
    <w:unhideWhenUsed/>
    <w:qFormat/>
    <w:uiPriority w:val="0"/>
    <w:rPr>
      <w:rFonts w:cs="Times New Roman"/>
      <w:kern w:val="0"/>
      <w:sz w:val="24"/>
      <w:szCs w:val="24"/>
    </w:rPr>
  </w:style>
  <w:style w:type="paragraph" w:styleId="13">
    <w:name w:val="Balloon Text"/>
    <w:basedOn w:val="1"/>
    <w:link w:val="29"/>
    <w:qFormat/>
    <w:uiPriority w:val="0"/>
    <w:rPr>
      <w:sz w:val="18"/>
      <w:szCs w:val="18"/>
    </w:rPr>
  </w:style>
  <w:style w:type="paragraph" w:styleId="14">
    <w:name w:val="footer"/>
    <w:basedOn w:val="1"/>
    <w:unhideWhenUsed/>
    <w:qFormat/>
    <w:uiPriority w:val="99"/>
    <w:pPr>
      <w:snapToGrid w:val="0"/>
      <w:jc w:val="left"/>
    </w:pPr>
    <w:rPr>
      <w:rFonts w:cs="Times New Roman"/>
      <w:kern w:val="0"/>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2"/>
    <w:next w:val="10"/>
    <w:unhideWhenUsed/>
    <w:qFormat/>
    <w:uiPriority w:val="0"/>
    <w:pPr>
      <w:spacing w:before="100" w:beforeAutospacing="1"/>
      <w:ind w:firstLine="420" w:firstLineChars="100"/>
    </w:pPr>
    <w:rPr>
      <w:rFonts w:ascii="宋体"/>
      <w:sz w:val="34"/>
      <w:szCs w:val="34"/>
    </w:rPr>
  </w:style>
  <w:style w:type="character" w:styleId="20">
    <w:name w:val="Hyperlink"/>
    <w:unhideWhenUsed/>
    <w:qFormat/>
    <w:uiPriority w:val="99"/>
    <w:rPr>
      <w:color w:val="000000"/>
      <w:u w:val="none"/>
    </w:rPr>
  </w:style>
  <w:style w:type="paragraph" w:customStyle="1" w:styleId="21">
    <w:name w:val="无间隔1"/>
    <w:basedOn w:val="1"/>
    <w:qFormat/>
    <w:uiPriority w:val="99"/>
    <w:pPr>
      <w:spacing w:line="400" w:lineRule="exact"/>
    </w:pPr>
  </w:style>
  <w:style w:type="paragraph" w:styleId="22">
    <w:name w:val="List Paragraph"/>
    <w:basedOn w:val="1"/>
    <w:qFormat/>
    <w:uiPriority w:val="99"/>
    <w:pPr>
      <w:ind w:firstLine="420" w:firstLineChars="200"/>
    </w:pPr>
  </w:style>
  <w:style w:type="character" w:customStyle="1" w:styleId="23">
    <w:name w:val="NormalCharacter"/>
    <w:qFormat/>
    <w:uiPriority w:val="0"/>
  </w:style>
  <w:style w:type="paragraph" w:customStyle="1" w:styleId="24">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5">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26">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27">
    <w:name w:val="日期1"/>
    <w:basedOn w:val="1"/>
    <w:next w:val="1"/>
    <w:qFormat/>
    <w:uiPriority w:val="0"/>
    <w:rPr>
      <w:rFonts w:cs="Times New Roman"/>
      <w:kern w:val="0"/>
      <w:sz w:val="24"/>
      <w:szCs w:val="24"/>
    </w:rPr>
  </w:style>
  <w:style w:type="character" w:customStyle="1" w:styleId="28">
    <w:name w:val="页眉 Char"/>
    <w:basedOn w:val="19"/>
    <w:link w:val="15"/>
    <w:qFormat/>
    <w:uiPriority w:val="0"/>
    <w:rPr>
      <w:rFonts w:cs="Calibri"/>
      <w:kern w:val="2"/>
      <w:sz w:val="18"/>
      <w:szCs w:val="18"/>
    </w:rPr>
  </w:style>
  <w:style w:type="character" w:customStyle="1" w:styleId="29">
    <w:name w:val="批注框文本 Char"/>
    <w:basedOn w:val="19"/>
    <w:link w:val="13"/>
    <w:qFormat/>
    <w:uiPriority w:val="0"/>
    <w:rPr>
      <w:rFonts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40870</Words>
  <Characters>44877</Characters>
  <Lines>70</Lines>
  <Paragraphs>98</Paragraphs>
  <TotalTime>34</TotalTime>
  <ScaleCrop>false</ScaleCrop>
  <LinksUpToDate>false</LinksUpToDate>
  <CharactersWithSpaces>46246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2024-01-30T05:29:00Z</dcterms:created>
  <dc:creator>a~娅乖~</dc:creator>
  <cp:lastModifiedBy>a~娅乖~</cp:lastModifiedBy>
  <cp:lastPrinted>2024-07-08T00:15:00Z</cp:lastPrinted>
  <dcterms:modified xsi:type="dcterms:W3CDTF">2024-08-01T00:51:07Z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94E5BE6871454CABB0A331B82C607DFA</vt:lpwstr>
  </property>
</Properties>
</file>