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3B53">
      <w:pPr>
        <w:pStyle w:val="8"/>
        <w:widowControl/>
        <w:jc w:val="cente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禹州市教育体育局禹州市第六实验学校校内临时雨污水管网项目</w:t>
      </w:r>
    </w:p>
    <w:p w14:paraId="1A7DC553">
      <w:pPr>
        <w:pStyle w:val="8"/>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14:paraId="4B3481F2">
      <w:pPr>
        <w:pStyle w:val="8"/>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禹州市第六实验学校校内临时雨污水管网项目的潜在投标人应在谈判响应截止时间前登录《全国公共资源交易平台（河南省·许昌市）》“投标人/供应商登录”入口（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年7月1日08时30分（北京时间）前递交响应文件。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禹州市教育体育局禹州市第六实验学校校内临时雨污水管网项目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72DE8B3B">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5035</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禹州市第六实验学校校内雨污水管网</w:t>
      </w:r>
      <w:r>
        <w:rPr>
          <w:rFonts w:hint="eastAsia" w:ascii="宋体" w:hAnsi="宋体" w:eastAsia="宋体" w:cs="仿宋_GB2312"/>
          <w:color w:val="000000" w:themeColor="text1"/>
          <w:szCs w:val="21"/>
          <w:highlight w:val="none"/>
          <w:lang w:val="en-US" w:eastAsia="zh-CN"/>
          <w14:textFill>
            <w14:solidFill>
              <w14:schemeClr w14:val="tx1"/>
            </w14:solidFill>
          </w14:textFill>
        </w:rPr>
        <w:t>槽沟开挖回填及</w:t>
      </w:r>
      <w:r>
        <w:rPr>
          <w:rFonts w:hint="eastAsia" w:ascii="宋体" w:hAnsi="宋体" w:eastAsia="宋体" w:cs="仿宋_GB2312"/>
          <w:color w:val="000000" w:themeColor="text1"/>
          <w:szCs w:val="21"/>
          <w:highlight w:val="none"/>
          <w:lang w:val="zh-CN" w:eastAsia="zh-CN"/>
          <w14:textFill>
            <w14:solidFill>
              <w14:schemeClr w14:val="tx1"/>
            </w14:solidFill>
          </w14:textFill>
        </w:rPr>
        <w:t>管道安装等工程</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789005.41</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投标人须具备市政公用工程施工总承包叁级及以上资质或建筑工程施工总承包叁级及以上资质，并具有</w:t>
      </w:r>
      <w:r>
        <w:rPr>
          <w:rFonts w:hint="eastAsia" w:ascii="宋体" w:hAnsi="宋体" w:eastAsia="宋体" w:cs="仿宋_GB2312"/>
          <w:color w:val="auto"/>
          <w:szCs w:val="21"/>
          <w:lang w:val="en-US" w:eastAsia="zh-CN"/>
        </w:rPr>
        <w:t>有</w:t>
      </w:r>
      <w:r>
        <w:rPr>
          <w:rFonts w:hint="eastAsia" w:ascii="宋体" w:hAnsi="宋体" w:eastAsia="宋体" w:cs="仿宋_GB2312"/>
          <w:color w:val="auto"/>
          <w:szCs w:val="21"/>
        </w:rPr>
        <w:t>效的安全生产许可证;</w:t>
      </w:r>
    </w:p>
    <w:p w14:paraId="2E8026E2">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拟派项目经理具有市政公用工程或建筑工程专业贰级及以上注册建造师执业资格并具有效</w:t>
      </w:r>
      <w:r>
        <w:rPr>
          <w:rFonts w:hint="eastAsia" w:ascii="宋体" w:hAnsi="宋体" w:eastAsia="宋体" w:cs="仿宋_GB2312"/>
          <w:color w:val="auto"/>
          <w:szCs w:val="21"/>
          <w:lang w:val="en-US" w:eastAsia="zh-CN"/>
        </w:rPr>
        <w:t>的</w:t>
      </w:r>
      <w:r>
        <w:rPr>
          <w:rFonts w:hint="eastAsia" w:ascii="宋体" w:hAnsi="宋体" w:eastAsia="宋体" w:cs="仿宋_GB2312"/>
          <w:color w:val="auto"/>
          <w:szCs w:val="21"/>
        </w:rPr>
        <w:t>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bookmarkStart w:id="0" w:name="_GoBack"/>
      <w:bookmarkEnd w:id="0"/>
    </w:p>
    <w:p w14:paraId="5D98F174">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年7月1日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 时30分（北京时间），逾期提交或不符合规定的响应文件不予接受。</w:t>
      </w:r>
    </w:p>
    <w:p w14:paraId="1BFF6A4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1C2E5D04">
      <w:pPr>
        <w:ind w:firstLine="420" w:firstLineChars="200"/>
      </w:pPr>
      <w:r>
        <w:rPr>
          <w:rFonts w:hint="eastAsia" w:ascii="宋体" w:hAnsi="宋体" w:eastAsia="宋体" w:cs="仿宋_GB2312"/>
          <w:color w:val="000000" w:themeColor="text1"/>
          <w:szCs w:val="21"/>
          <w:lang w:val="zh-CN"/>
          <w14:textFill>
            <w14:solidFill>
              <w14:schemeClr w14:val="tx1"/>
            </w14:solidFill>
          </w14:textFill>
        </w:rPr>
        <w:t>联系方式：0374-8112523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31532"/>
    <w:rsid w:val="21994709"/>
    <w:rsid w:val="3C6C327B"/>
    <w:rsid w:val="7BA3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1577</Characters>
  <Lines>0</Lines>
  <Paragraphs>0</Paragraphs>
  <TotalTime>0</TotalTime>
  <ScaleCrop>false</ScaleCrop>
  <LinksUpToDate>false</LinksUpToDate>
  <CharactersWithSpaces>1600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2025-06-03T10:30:00Z</dcterms:created>
  <dc:creator>Administrator</dc:creator>
  <cp:lastModifiedBy>慌拥</cp:lastModifiedBy>
  <cp:lastPrinted>2025-06-03T15:49:00Z</cp:lastPrinted>
  <dcterms:modified xsi:type="dcterms:W3CDTF">2025-06-19T10:30:03Z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eyJoZGlkIjoiMTczZTJiZGE0NzJlYzlhYmU5YzMwZWZlMWVkMTE0NDMiLCJ1c2VySWQiOiI1NjE2NjkwMTIifQ==</vt:lpwstr>
  </property>
  <property fmtid="{D5CDD505-2E9C-101B-9397-08002B2CF9AE}" pid="4" name="ICV">
    <vt:lpwstr>31703169D28D4CDE92CB5DBCC8EFF6A6_12</vt:lpwstr>
  </property>
</Properties>
</file>