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212EF">
      <w:pPr>
        <w:bidi w:val="0"/>
        <w:jc w:val="center"/>
        <w:rPr>
          <w:rFonts w:hint="default"/>
          <w:b/>
          <w:bCs/>
          <w:sz w:val="36"/>
          <w:szCs w:val="36"/>
          <w:lang w:val="en-US" w:eastAsia="zh-CN"/>
        </w:rPr>
      </w:pPr>
      <w:r>
        <w:rPr>
          <w:rFonts w:hint="eastAsia"/>
          <w:b/>
          <w:bCs/>
          <w:sz w:val="36"/>
          <w:szCs w:val="36"/>
          <w:lang w:val="en-US" w:eastAsia="zh-CN"/>
        </w:rPr>
        <w:t>采购需求及评分标准</w:t>
      </w:r>
    </w:p>
    <w:p w14:paraId="16C72E4D">
      <w:pPr>
        <w:pStyle w:val="4"/>
        <w:bidi w:val="0"/>
        <w:rPr>
          <w:rFonts w:hint="eastAsia" w:ascii="宋体" w:hAnsi="宋体" w:eastAsia="宋体" w:cs="宋体"/>
        </w:rPr>
      </w:pPr>
      <w:bookmarkStart w:id="0" w:name="_Toc43302814"/>
      <w:bookmarkStart w:id="1" w:name="_Toc13219"/>
      <w:r>
        <w:rPr>
          <w:rFonts w:hint="eastAsia" w:ascii="宋体" w:hAnsi="宋体" w:eastAsia="宋体" w:cs="宋体"/>
        </w:rPr>
        <w:t>有关说明</w:t>
      </w:r>
    </w:p>
    <w:p w14:paraId="72F23190">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hanging="567"/>
        <w:textAlignment w:val="auto"/>
        <w:rPr>
          <w:rFonts w:hint="eastAsia" w:ascii="宋体" w:hAnsi="宋体" w:eastAsia="宋体" w:cs="宋体"/>
          <w:bCs/>
          <w:color w:val="595959"/>
          <w:sz w:val="24"/>
          <w:highlight w:val="none"/>
        </w:rPr>
      </w:pPr>
      <w:r>
        <w:rPr>
          <w:rFonts w:hint="eastAsia" w:ascii="宋体" w:hAnsi="宋体" w:eastAsia="宋体" w:cs="宋体"/>
          <w:bCs/>
          <w:sz w:val="24"/>
          <w:highlight w:val="none"/>
        </w:rPr>
        <w:t>投标人须对本项目的采购标的进行整体投标，任何只对本项目采购标的其中一部分内容、数量进行的投标都被视为无效投标。</w:t>
      </w:r>
    </w:p>
    <w:p w14:paraId="7ECC8E0E">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hanging="567"/>
        <w:textAlignment w:val="auto"/>
        <w:rPr>
          <w:rFonts w:hint="eastAsia" w:ascii="宋体" w:hAnsi="宋体" w:eastAsia="宋体" w:cs="宋体"/>
          <w:bCs/>
          <w:sz w:val="24"/>
          <w:highlight w:val="none"/>
        </w:rPr>
      </w:pPr>
      <w:r>
        <w:rPr>
          <w:rFonts w:hint="eastAsia" w:ascii="宋体" w:hAnsi="宋体" w:eastAsia="宋体" w:cs="宋体"/>
          <w:bCs/>
          <w:sz w:val="24"/>
          <w:highlight w:val="none"/>
        </w:rPr>
        <w:t>采购需求中标注“▲”号条款为重要技术参数，投标人需按招标文件的有关要求提供响应证明材料，若出现有未响应或不满足要求的，将可能严重</w:t>
      </w:r>
      <w:r>
        <w:rPr>
          <w:rFonts w:hint="eastAsia" w:ascii="宋体" w:hAnsi="宋体" w:eastAsia="宋体" w:cs="宋体"/>
          <w:bCs/>
          <w:sz w:val="24"/>
          <w:highlight w:val="none"/>
          <w:lang w:val="en-US" w:eastAsia="zh-CN"/>
        </w:rPr>
        <w:t>影响</w:t>
      </w:r>
      <w:r>
        <w:rPr>
          <w:rFonts w:hint="eastAsia" w:ascii="宋体" w:hAnsi="宋体" w:eastAsia="宋体" w:cs="宋体"/>
          <w:bCs/>
          <w:sz w:val="24"/>
          <w:highlight w:val="none"/>
        </w:rPr>
        <w:t>得分，但不作为无效投标条款。</w:t>
      </w:r>
    </w:p>
    <w:p w14:paraId="6A771D6A">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hanging="567"/>
        <w:textAlignment w:val="auto"/>
        <w:rPr>
          <w:rFonts w:hint="eastAsia" w:ascii="宋体" w:hAnsi="宋体" w:eastAsia="宋体" w:cs="宋体"/>
          <w:bCs/>
          <w:sz w:val="24"/>
          <w:highlight w:val="none"/>
          <w:lang w:eastAsia="zh-TW"/>
        </w:rPr>
      </w:pPr>
      <w:r>
        <w:rPr>
          <w:rFonts w:hint="eastAsia" w:ascii="宋体" w:hAnsi="宋体" w:eastAsia="宋体" w:cs="宋体"/>
          <w:bCs/>
          <w:sz w:val="24"/>
          <w:highlight w:val="none"/>
          <w:lang w:eastAsia="zh-TW"/>
        </w:rPr>
        <w:t>投标人投标时，</w:t>
      </w:r>
      <w:r>
        <w:rPr>
          <w:rFonts w:hint="eastAsia" w:ascii="宋体" w:hAnsi="宋体" w:eastAsia="宋体" w:cs="宋体"/>
          <w:bCs/>
          <w:sz w:val="24"/>
          <w:highlight w:val="none"/>
        </w:rPr>
        <w:t>采购产品</w:t>
      </w:r>
      <w:r>
        <w:rPr>
          <w:rFonts w:hint="eastAsia" w:ascii="宋体" w:hAnsi="宋体" w:eastAsia="宋体" w:cs="宋体"/>
          <w:bCs/>
          <w:sz w:val="24"/>
          <w:highlight w:val="none"/>
          <w:lang w:eastAsia="zh-TW"/>
        </w:rPr>
        <w:t>应在《投标分项报价表》中清晰列明“产品名称、品牌”</w:t>
      </w:r>
      <w:r>
        <w:rPr>
          <w:rFonts w:hint="eastAsia" w:ascii="宋体" w:hAnsi="宋体" w:eastAsia="宋体" w:cs="宋体"/>
          <w:bCs/>
          <w:sz w:val="24"/>
          <w:highlight w:val="none"/>
        </w:rPr>
        <w:t>，</w:t>
      </w:r>
      <w:r>
        <w:rPr>
          <w:rFonts w:hint="eastAsia" w:ascii="宋体" w:hAnsi="宋体" w:eastAsia="宋体" w:cs="宋体"/>
          <w:bCs/>
          <w:sz w:val="24"/>
          <w:highlight w:val="none"/>
          <w:lang w:eastAsia="zh-TW"/>
        </w:rPr>
        <w:t>否则，视为无效投标。</w:t>
      </w:r>
    </w:p>
    <w:p w14:paraId="7BEA1327">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hanging="567"/>
        <w:textAlignment w:val="auto"/>
        <w:rPr>
          <w:rFonts w:hint="eastAsia" w:ascii="宋体" w:hAnsi="宋体" w:eastAsia="宋体" w:cs="宋体"/>
          <w:bCs/>
          <w:sz w:val="24"/>
          <w:highlight w:val="none"/>
        </w:rPr>
      </w:pPr>
      <w:r>
        <w:rPr>
          <w:rFonts w:hint="eastAsia" w:ascii="宋体" w:hAnsi="宋体" w:eastAsia="宋体" w:cs="宋体"/>
          <w:bCs/>
          <w:sz w:val="24"/>
          <w:highlight w:val="none"/>
        </w:rPr>
        <w:t>项目目标</w:t>
      </w:r>
      <w:r>
        <w:rPr>
          <w:rFonts w:hint="eastAsia" w:ascii="宋体" w:hAnsi="宋体" w:eastAsia="宋体" w:cs="宋体"/>
          <w:bCs/>
          <w:sz w:val="24"/>
          <w:highlight w:val="none"/>
          <w:lang w:val="en-US" w:eastAsia="zh-CN"/>
        </w:rPr>
        <w:t>:</w:t>
      </w:r>
      <w:r>
        <w:rPr>
          <w:rFonts w:hint="eastAsia" w:ascii="宋体" w:hAnsi="宋体" w:eastAsia="宋体" w:cs="宋体"/>
          <w:bCs/>
          <w:sz w:val="24"/>
          <w:highlight w:val="none"/>
        </w:rPr>
        <w:t>该项目旨在重新科学规划库房文物藏品存放区域，通过购置专用文保设备，以提升藏品的存放、保管、保护水平。</w:t>
      </w:r>
    </w:p>
    <w:p w14:paraId="43E4E743">
      <w:pPr>
        <w:pStyle w:val="4"/>
        <w:bidi w:val="0"/>
        <w:rPr>
          <w:rFonts w:hint="eastAsia" w:ascii="宋体" w:hAnsi="宋体" w:eastAsia="宋体" w:cs="宋体"/>
        </w:rPr>
      </w:pPr>
      <w:r>
        <w:rPr>
          <w:rFonts w:hint="eastAsia" w:ascii="宋体" w:hAnsi="宋体" w:eastAsia="宋体" w:cs="宋体"/>
        </w:rPr>
        <w:t>项目概况</w:t>
      </w:r>
    </w:p>
    <w:p w14:paraId="16035100">
      <w:pPr>
        <w:keepNext w:val="0"/>
        <w:keepLines w:val="0"/>
        <w:pageBreakBefore w:val="0"/>
        <w:widowControl w:val="0"/>
        <w:kinsoku/>
        <w:wordWrap/>
        <w:overflowPunct/>
        <w:topLinePunct w:val="0"/>
        <w:autoSpaceDE/>
        <w:autoSpaceDN/>
        <w:bidi w:val="0"/>
        <w:adjustRightInd/>
        <w:snapToGrid/>
        <w:textAlignment w:val="auto"/>
        <w:rPr>
          <w:rFonts w:hint="eastAsia"/>
          <w:b/>
          <w:bCs/>
          <w:sz w:val="24"/>
          <w:szCs w:val="32"/>
        </w:rPr>
      </w:pPr>
      <w:r>
        <w:rPr>
          <w:rFonts w:hint="eastAsia" w:ascii="Times New Roman" w:hAnsi="Times New Roman" w:eastAsia="宋体" w:cs="宋体"/>
          <w:sz w:val="24"/>
        </w:rPr>
        <w:t>本项目针对</w:t>
      </w:r>
      <w:r>
        <w:rPr>
          <w:rFonts w:hint="eastAsia" w:ascii="Times New Roman" w:hAnsi="Times New Roman" w:eastAsia="宋体" w:cs="宋体"/>
          <w:sz w:val="24"/>
          <w:lang w:eastAsia="zh-CN"/>
        </w:rPr>
        <w:t>襄城县文化广电和旅游局</w:t>
      </w:r>
      <w:r>
        <w:rPr>
          <w:rFonts w:hint="eastAsia" w:ascii="Times New Roman" w:hAnsi="Times New Roman" w:eastAsia="宋体" w:cs="宋体"/>
          <w:sz w:val="24"/>
        </w:rPr>
        <w:t>文物库房基础设施不足，</w:t>
      </w:r>
      <w:r>
        <w:rPr>
          <w:rFonts w:hint="eastAsia" w:ascii="Times New Roman" w:hAnsi="Times New Roman" w:eastAsia="宋体" w:cs="宋体"/>
          <w:sz w:val="24"/>
          <w:lang w:val="en-US" w:eastAsia="zh-CN"/>
        </w:rPr>
        <w:t>文物库房</w:t>
      </w:r>
      <w:r>
        <w:rPr>
          <w:rFonts w:hint="eastAsia" w:ascii="Times New Roman" w:hAnsi="Times New Roman" w:eastAsia="宋体" w:cs="宋体"/>
          <w:sz w:val="24"/>
        </w:rPr>
        <w:t>未配置文物专用柜架及配套设备配置等保存设施，库房内存在积尘情况</w:t>
      </w:r>
      <w:r>
        <w:rPr>
          <w:rFonts w:hint="eastAsia" w:ascii="Times New Roman" w:hAnsi="Times New Roman" w:eastAsia="宋体" w:cs="宋体"/>
          <w:sz w:val="24"/>
          <w:lang w:eastAsia="zh-CN"/>
        </w:rPr>
        <w:t>等问题。</w:t>
      </w:r>
      <w:r>
        <w:rPr>
          <w:rFonts w:hint="eastAsia" w:ascii="Times New Roman" w:hAnsi="Times New Roman" w:eastAsia="宋体" w:cs="宋体"/>
          <w:sz w:val="24"/>
        </w:rPr>
        <w:t>拟为一批文物专用储藏柜架及库房</w:t>
      </w:r>
      <w:r>
        <w:rPr>
          <w:rFonts w:hint="eastAsia" w:ascii="Times New Roman" w:hAnsi="Times New Roman" w:eastAsia="宋体" w:cs="宋体"/>
          <w:sz w:val="24"/>
          <w:lang w:val="en-US" w:eastAsia="zh-CN"/>
        </w:rPr>
        <w:t>配套</w:t>
      </w:r>
      <w:r>
        <w:rPr>
          <w:rFonts w:hint="eastAsia" w:ascii="Times New Roman" w:hAnsi="Times New Roman" w:eastAsia="宋体" w:cs="宋体"/>
          <w:sz w:val="24"/>
        </w:rPr>
        <w:t>设备，其中</w:t>
      </w:r>
      <w:r>
        <w:rPr>
          <w:rFonts w:hint="eastAsia" w:ascii="Times New Roman" w:hAnsi="Times New Roman" w:eastAsia="宋体" w:cs="宋体"/>
          <w:sz w:val="24"/>
          <w:lang w:eastAsia="zh-CN"/>
        </w:rPr>
        <w:t>为</w:t>
      </w:r>
      <w:r>
        <w:rPr>
          <w:rFonts w:hint="eastAsia" w:ascii="Times New Roman" w:hAnsi="Times New Roman" w:eastAsia="宋体" w:cs="宋体"/>
          <w:sz w:val="24"/>
          <w:lang w:val="en-US" w:eastAsia="zh-CN"/>
        </w:rPr>
        <w:t>文物库房一、二、三分别配置</w:t>
      </w:r>
      <w:r>
        <w:rPr>
          <w:rFonts w:hint="eastAsia" w:ascii="Times New Roman" w:hAnsi="Times New Roman" w:cs="宋体"/>
          <w:sz w:val="24"/>
          <w:lang w:val="en-US" w:eastAsia="zh-CN"/>
        </w:rPr>
        <w:t>2</w:t>
      </w:r>
      <w:r>
        <w:rPr>
          <w:rFonts w:hint="eastAsia" w:ascii="Times New Roman" w:hAnsi="Times New Roman" w:eastAsia="宋体" w:cs="宋体"/>
          <w:sz w:val="24"/>
        </w:rPr>
        <w:t>节防震文物储藏柜架(组合型）</w:t>
      </w:r>
      <w:r>
        <w:rPr>
          <w:rFonts w:hint="eastAsia" w:ascii="Times New Roman" w:hAnsi="Times New Roman" w:eastAsia="宋体" w:cs="宋体"/>
          <w:sz w:val="24"/>
          <w:lang w:eastAsia="zh-CN"/>
        </w:rPr>
        <w:t>和</w:t>
      </w:r>
      <w:r>
        <w:rPr>
          <w:rFonts w:hint="eastAsia" w:ascii="Times New Roman" w:hAnsi="Times New Roman" w:cs="宋体"/>
          <w:sz w:val="24"/>
          <w:lang w:val="en-US" w:eastAsia="zh-CN"/>
        </w:rPr>
        <w:t>2</w:t>
      </w:r>
      <w:r>
        <w:rPr>
          <w:rFonts w:hint="eastAsia" w:ascii="Times New Roman" w:hAnsi="Times New Roman" w:eastAsia="宋体" w:cs="宋体"/>
          <w:sz w:val="24"/>
          <w:lang w:val="en-US" w:eastAsia="zh-CN"/>
        </w:rPr>
        <w:t>节防震文物储藏柜架(多功能）</w:t>
      </w:r>
      <w:r>
        <w:rPr>
          <w:rFonts w:hint="eastAsia" w:ascii="Times New Roman" w:hAnsi="Times New Roman" w:eastAsia="宋体" w:cs="宋体"/>
          <w:sz w:val="24"/>
        </w:rPr>
        <w:t>，为</w:t>
      </w:r>
      <w:r>
        <w:rPr>
          <w:rFonts w:hint="eastAsia" w:ascii="Times New Roman" w:hAnsi="Times New Roman" w:eastAsia="宋体" w:cs="宋体"/>
          <w:sz w:val="24"/>
          <w:lang w:val="en-US" w:eastAsia="zh-CN"/>
        </w:rPr>
        <w:t>暂存库</w:t>
      </w:r>
      <w:r>
        <w:rPr>
          <w:rFonts w:hint="eastAsia" w:ascii="Times New Roman" w:hAnsi="Times New Roman" w:eastAsia="宋体" w:cs="宋体"/>
          <w:sz w:val="24"/>
        </w:rPr>
        <w:t>库房配置</w:t>
      </w:r>
      <w:r>
        <w:rPr>
          <w:rFonts w:hint="eastAsia" w:ascii="Times New Roman" w:hAnsi="Times New Roman" w:eastAsia="宋体" w:cs="宋体"/>
          <w:sz w:val="24"/>
          <w:lang w:val="en-US" w:eastAsia="zh-CN"/>
        </w:rPr>
        <w:t>2</w:t>
      </w:r>
      <w:r>
        <w:rPr>
          <w:rFonts w:hint="eastAsia" w:ascii="Times New Roman" w:hAnsi="Times New Roman" w:eastAsia="宋体" w:cs="宋体"/>
          <w:sz w:val="24"/>
        </w:rPr>
        <w:t>节重型文物储藏专用架</w:t>
      </w:r>
      <w:r>
        <w:rPr>
          <w:rFonts w:hint="eastAsia" w:ascii="Times New Roman" w:hAnsi="Times New Roman" w:eastAsia="宋体" w:cs="宋体"/>
          <w:sz w:val="24"/>
          <w:lang w:eastAsia="zh-CN"/>
        </w:rPr>
        <w:t>，</w:t>
      </w:r>
      <w:r>
        <w:rPr>
          <w:rFonts w:hint="eastAsia" w:ascii="Times New Roman" w:hAnsi="Times New Roman" w:eastAsia="宋体" w:cs="宋体"/>
          <w:sz w:val="24"/>
          <w:lang w:val="en-US" w:eastAsia="zh-CN"/>
        </w:rPr>
        <w:t>四</w:t>
      </w:r>
      <w:r>
        <w:rPr>
          <w:rFonts w:hint="eastAsia" w:ascii="Times New Roman" w:hAnsi="Times New Roman" w:eastAsia="宋体" w:cs="宋体"/>
          <w:sz w:val="24"/>
          <w:lang w:eastAsia="zh-CN"/>
        </w:rPr>
        <w:t>间库房各配置</w:t>
      </w:r>
      <w:r>
        <w:rPr>
          <w:rFonts w:hint="eastAsia" w:ascii="Times New Roman" w:hAnsi="Times New Roman" w:eastAsia="宋体" w:cs="宋体"/>
          <w:sz w:val="24"/>
          <w:lang w:val="en-US" w:eastAsia="zh-CN"/>
        </w:rPr>
        <w:t>1</w:t>
      </w:r>
      <w:r>
        <w:rPr>
          <w:rFonts w:hint="eastAsia" w:ascii="Times New Roman" w:hAnsi="Times New Roman" w:eastAsia="宋体" w:cs="宋体"/>
          <w:sz w:val="24"/>
          <w:lang w:eastAsia="zh-CN"/>
        </w:rPr>
        <w:t>张文物专用整理案</w:t>
      </w:r>
      <w:r>
        <w:rPr>
          <w:rFonts w:hint="eastAsia" w:ascii="Times New Roman" w:hAnsi="Times New Roman" w:eastAsia="宋体" w:cs="宋体"/>
          <w:sz w:val="24"/>
        </w:rPr>
        <w:t>；为珍贵文物中的有机质文物、铜器、金银玉器等</w:t>
      </w:r>
      <w:r>
        <w:rPr>
          <w:rFonts w:hint="eastAsia" w:ascii="Times New Roman" w:hAnsi="Times New Roman" w:eastAsia="宋体" w:cs="宋体"/>
          <w:sz w:val="24"/>
          <w:lang w:eastAsia="zh-CN"/>
        </w:rPr>
        <w:t>部分</w:t>
      </w:r>
      <w:r>
        <w:rPr>
          <w:rFonts w:hint="eastAsia" w:ascii="Times New Roman" w:hAnsi="Times New Roman" w:eastAsia="宋体" w:cs="宋体"/>
          <w:sz w:val="24"/>
        </w:rPr>
        <w:t>文物配置</w:t>
      </w:r>
      <w:r>
        <w:rPr>
          <w:rFonts w:hint="eastAsia" w:ascii="Times New Roman" w:hAnsi="Times New Roman" w:cs="宋体"/>
          <w:sz w:val="24"/>
          <w:lang w:val="en-US" w:eastAsia="zh-CN"/>
        </w:rPr>
        <w:t>30个</w:t>
      </w:r>
      <w:r>
        <w:rPr>
          <w:rFonts w:hint="eastAsia" w:ascii="Times New Roman" w:hAnsi="Times New Roman" w:eastAsia="宋体" w:cs="宋体"/>
          <w:sz w:val="24"/>
        </w:rPr>
        <w:t>文物专用囊匣，减少和减缓外部环境对文物的不利影响，提高</w:t>
      </w:r>
      <w:r>
        <w:rPr>
          <w:rFonts w:hint="eastAsia" w:ascii="Times New Roman" w:hAnsi="Times New Roman" w:eastAsia="宋体" w:cs="宋体"/>
          <w:sz w:val="24"/>
          <w:lang w:eastAsia="zh-CN"/>
        </w:rPr>
        <w:t>对</w:t>
      </w:r>
      <w:r>
        <w:rPr>
          <w:rFonts w:hint="eastAsia" w:ascii="Times New Roman" w:hAnsi="Times New Roman" w:eastAsia="宋体" w:cs="宋体"/>
          <w:sz w:val="24"/>
        </w:rPr>
        <w:t>文物</w:t>
      </w:r>
      <w:r>
        <w:rPr>
          <w:rFonts w:hint="eastAsia" w:ascii="Times New Roman" w:hAnsi="Times New Roman" w:eastAsia="宋体" w:cs="宋体"/>
          <w:sz w:val="24"/>
          <w:lang w:eastAsia="zh-CN"/>
        </w:rPr>
        <w:t>的</w:t>
      </w:r>
      <w:r>
        <w:rPr>
          <w:rFonts w:hint="eastAsia" w:ascii="Times New Roman" w:hAnsi="Times New Roman" w:eastAsia="宋体" w:cs="宋体"/>
          <w:sz w:val="24"/>
        </w:rPr>
        <w:t>保存保管能力；通过对文物库房进行安全性改造，改善库房保存环境基本设施条件，提高文物库房安全性</w:t>
      </w:r>
      <w:r>
        <w:rPr>
          <w:rFonts w:hint="eastAsia" w:ascii="Times New Roman" w:hAnsi="Times New Roman" w:eastAsia="宋体" w:cs="宋体"/>
          <w:sz w:val="24"/>
          <w:lang w:eastAsia="zh-CN"/>
        </w:rPr>
        <w:t>，</w:t>
      </w:r>
      <w:r>
        <w:rPr>
          <w:rFonts w:hint="eastAsia" w:ascii="Times New Roman" w:hAnsi="Times New Roman" w:eastAsia="宋体" w:cs="宋体"/>
          <w:sz w:val="24"/>
        </w:rPr>
        <w:t>配置</w:t>
      </w:r>
      <w:r>
        <w:rPr>
          <w:rFonts w:hint="eastAsia" w:ascii="Times New Roman" w:hAnsi="Times New Roman" w:cs="宋体"/>
          <w:sz w:val="24"/>
          <w:lang w:val="en-US" w:eastAsia="zh-CN"/>
        </w:rPr>
        <w:t>4</w:t>
      </w:r>
      <w:r>
        <w:rPr>
          <w:rFonts w:hint="eastAsia" w:ascii="Times New Roman" w:hAnsi="Times New Roman" w:eastAsia="宋体" w:cs="宋体"/>
          <w:sz w:val="24"/>
        </w:rPr>
        <w:t>套</w:t>
      </w:r>
      <w:r>
        <w:rPr>
          <w:rFonts w:hint="eastAsia" w:ascii="Times New Roman" w:hAnsi="Times New Roman" w:eastAsia="宋体" w:cs="宋体"/>
          <w:sz w:val="24"/>
          <w:lang w:eastAsia="zh-CN"/>
        </w:rPr>
        <w:t>特制文物库房门，</w:t>
      </w:r>
      <w:r>
        <w:rPr>
          <w:rFonts w:hint="eastAsia" w:ascii="Times New Roman" w:hAnsi="Times New Roman" w:eastAsia="宋体" w:cs="宋体"/>
          <w:sz w:val="24"/>
          <w:lang w:val="en-US" w:eastAsia="zh-CN"/>
        </w:rPr>
        <w:t>对</w:t>
      </w:r>
      <w:r>
        <w:rPr>
          <w:rFonts w:hint="eastAsia" w:ascii="Times New Roman" w:hAnsi="Times New Roman" w:eastAsia="宋体" w:cs="宋体"/>
          <w:sz w:val="24"/>
          <w:lang w:eastAsia="zh-CN"/>
        </w:rPr>
        <w:t>窗户</w:t>
      </w:r>
      <w:r>
        <w:rPr>
          <w:rFonts w:hint="eastAsia" w:ascii="Times New Roman" w:hAnsi="Times New Roman" w:eastAsia="宋体" w:cs="宋体"/>
          <w:sz w:val="24"/>
          <w:lang w:val="en-US" w:eastAsia="zh-CN"/>
        </w:rPr>
        <w:t>进行</w:t>
      </w:r>
      <w:r>
        <w:rPr>
          <w:rFonts w:hint="eastAsia" w:ascii="Times New Roman" w:hAnsi="Times New Roman" w:eastAsia="宋体" w:cs="宋体"/>
          <w:sz w:val="24"/>
          <w:lang w:eastAsia="zh-CN"/>
        </w:rPr>
        <w:t>防盗遮光改造，</w:t>
      </w:r>
      <w:r>
        <w:rPr>
          <w:rFonts w:hint="eastAsia" w:ascii="Times New Roman" w:hAnsi="Times New Roman" w:eastAsia="宋体" w:cs="宋体"/>
          <w:sz w:val="24"/>
          <w:lang w:val="en-US" w:eastAsia="zh-CN"/>
        </w:rPr>
        <w:t>对</w:t>
      </w:r>
      <w:r>
        <w:rPr>
          <w:rFonts w:hint="eastAsia" w:ascii="Times New Roman" w:hAnsi="Times New Roman" w:eastAsia="宋体" w:cs="宋体"/>
          <w:sz w:val="24"/>
          <w:lang w:eastAsia="zh-CN"/>
        </w:rPr>
        <w:t>地面</w:t>
      </w:r>
      <w:r>
        <w:rPr>
          <w:rFonts w:hint="eastAsia" w:ascii="Times New Roman" w:hAnsi="Times New Roman" w:eastAsia="宋体" w:cs="宋体"/>
          <w:sz w:val="24"/>
          <w:lang w:val="en-US" w:eastAsia="zh-CN"/>
        </w:rPr>
        <w:t>进行</w:t>
      </w:r>
      <w:r>
        <w:rPr>
          <w:rFonts w:hint="eastAsia" w:ascii="Times New Roman" w:hAnsi="Times New Roman" w:eastAsia="宋体" w:cs="宋体"/>
          <w:sz w:val="24"/>
          <w:lang w:eastAsia="zh-CN"/>
        </w:rPr>
        <w:t>防水防潮</w:t>
      </w:r>
      <w:r>
        <w:rPr>
          <w:rFonts w:hint="eastAsia" w:ascii="Times New Roman" w:hAnsi="Times New Roman" w:eastAsia="宋体" w:cs="宋体"/>
          <w:sz w:val="24"/>
          <w:lang w:val="en-US" w:eastAsia="zh-CN"/>
        </w:rPr>
        <w:t>处理，</w:t>
      </w:r>
      <w:r>
        <w:rPr>
          <w:rFonts w:hint="eastAsia" w:ascii="Times New Roman" w:hAnsi="Times New Roman" w:eastAsia="宋体" w:cs="宋体"/>
          <w:sz w:val="24"/>
        </w:rPr>
        <w:t>形成文物保护管理、协调、监测、分析、处理、预案等一系列风险预控机制</w:t>
      </w:r>
      <w:r>
        <w:rPr>
          <w:rFonts w:ascii="Times New Roman" w:hAnsi="Times New Roman"/>
          <w:sz w:val="24"/>
        </w:rPr>
        <w:t>。</w:t>
      </w:r>
    </w:p>
    <w:p w14:paraId="389C1312">
      <w:pPr>
        <w:pStyle w:val="4"/>
        <w:bidi w:val="0"/>
        <w:rPr>
          <w:rFonts w:hint="eastAsia" w:ascii="宋体" w:hAnsi="宋体" w:eastAsia="宋体" w:cs="宋体"/>
          <w:b/>
          <w:bCs/>
          <w:sz w:val="28"/>
          <w:szCs w:val="32"/>
          <w:lang w:val="en-US" w:eastAsia="zh-CN" w:bidi="ar-SA"/>
        </w:rPr>
      </w:pPr>
      <w:r>
        <w:rPr>
          <w:rFonts w:hint="eastAsia" w:ascii="宋体" w:hAnsi="宋体" w:eastAsia="宋体" w:cs="宋体"/>
          <w:b/>
          <w:bCs/>
          <w:sz w:val="28"/>
          <w:szCs w:val="32"/>
          <w:lang w:val="en-US" w:eastAsia="zh-CN" w:bidi="ar-SA"/>
        </w:rPr>
        <w:t>采购项目清单</w:t>
      </w:r>
    </w:p>
    <w:p w14:paraId="6CD6FC57">
      <w:pPr>
        <w:pStyle w:val="6"/>
        <w:bidi w:val="0"/>
        <w:rPr>
          <w:rFonts w:hint="eastAsia"/>
          <w:lang w:val="en-US" w:eastAsia="zh-CN"/>
        </w:rPr>
      </w:pPr>
      <w:r>
        <w:rPr>
          <w:rFonts w:hint="eastAsia"/>
        </w:rPr>
        <w:t>采购项目一览表</w:t>
      </w:r>
    </w:p>
    <w:tbl>
      <w:tblPr>
        <w:tblStyle w:val="17"/>
        <w:tblpPr w:leftFromText="180" w:rightFromText="180" w:vertAnchor="text" w:horzAnchor="page" w:tblpX="1787" w:tblpY="92"/>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772"/>
        <w:gridCol w:w="3297"/>
        <w:gridCol w:w="1890"/>
        <w:gridCol w:w="1832"/>
      </w:tblGrid>
      <w:tr w14:paraId="54C3B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 w:hRule="atLeast"/>
        </w:trPr>
        <w:tc>
          <w:tcPr>
            <w:tcW w:w="426" w:type="pct"/>
            <w:tcBorders>
              <w:top w:val="single" w:color="auto" w:sz="12" w:space="0"/>
              <w:left w:val="single" w:color="auto" w:sz="12" w:space="0"/>
              <w:bottom w:val="single" w:color="auto" w:sz="6" w:space="0"/>
              <w:right w:val="single" w:color="auto" w:sz="6" w:space="0"/>
            </w:tcBorders>
            <w:shd w:val="clear" w:color="auto" w:fill="EEECE1"/>
            <w:noWrap w:val="0"/>
            <w:vAlign w:val="center"/>
          </w:tcPr>
          <w:p w14:paraId="1016F9F9">
            <w:pPr>
              <w:keepLines w:val="0"/>
              <w:pageBreakBefore w:val="0"/>
              <w:widowControl w:val="0"/>
              <w:kinsoku/>
              <w:wordWrap/>
              <w:overflowPunct/>
              <w:topLinePunct w:val="0"/>
              <w:autoSpaceDE/>
              <w:autoSpaceDN/>
              <w:bidi w:val="0"/>
              <w:adjustRightInd/>
              <w:snapToGrid w:val="0"/>
              <w:ind w:firstLine="0" w:firstLine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序号</w:t>
            </w:r>
          </w:p>
        </w:tc>
        <w:tc>
          <w:tcPr>
            <w:tcW w:w="453" w:type="pct"/>
            <w:tcBorders>
              <w:top w:val="single" w:color="auto" w:sz="12" w:space="0"/>
              <w:left w:val="single" w:color="auto" w:sz="6" w:space="0"/>
              <w:bottom w:val="single" w:color="auto" w:sz="6" w:space="0"/>
              <w:right w:val="single" w:color="auto" w:sz="6" w:space="0"/>
            </w:tcBorders>
            <w:shd w:val="clear" w:color="auto" w:fill="EEECE1"/>
            <w:noWrap w:val="0"/>
            <w:vAlign w:val="center"/>
          </w:tcPr>
          <w:p w14:paraId="5E26BAAF">
            <w:pPr>
              <w:keepLines w:val="0"/>
              <w:pageBreakBefore w:val="0"/>
              <w:widowControl w:val="0"/>
              <w:kinsoku/>
              <w:wordWrap/>
              <w:overflowPunct/>
              <w:topLinePunct w:val="0"/>
              <w:autoSpaceDE/>
              <w:autoSpaceDN/>
              <w:bidi w:val="0"/>
              <w:adjustRightInd/>
              <w:snapToGrid w:val="0"/>
              <w:ind w:firstLine="0" w:firstLine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包号</w:t>
            </w:r>
          </w:p>
        </w:tc>
        <w:tc>
          <w:tcPr>
            <w:tcW w:w="1935" w:type="pct"/>
            <w:tcBorders>
              <w:top w:val="single" w:color="auto" w:sz="12" w:space="0"/>
              <w:left w:val="single" w:color="auto" w:sz="6" w:space="0"/>
              <w:bottom w:val="single" w:color="auto" w:sz="6" w:space="0"/>
              <w:right w:val="single" w:color="auto" w:sz="12" w:space="0"/>
            </w:tcBorders>
            <w:shd w:val="clear" w:color="auto" w:fill="EEECE1"/>
            <w:noWrap w:val="0"/>
            <w:vAlign w:val="center"/>
          </w:tcPr>
          <w:p w14:paraId="7516187D">
            <w:pPr>
              <w:keepLines w:val="0"/>
              <w:pageBreakBefore w:val="0"/>
              <w:widowControl w:val="0"/>
              <w:kinsoku/>
              <w:wordWrap/>
              <w:overflowPunct/>
              <w:topLinePunct w:val="0"/>
              <w:autoSpaceDE/>
              <w:autoSpaceDN/>
              <w:bidi w:val="0"/>
              <w:adjustRightInd/>
              <w:snapToGrid w:val="0"/>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项目名称</w:t>
            </w:r>
          </w:p>
        </w:tc>
        <w:tc>
          <w:tcPr>
            <w:tcW w:w="1109" w:type="pct"/>
            <w:tcBorders>
              <w:top w:val="single" w:color="auto" w:sz="12" w:space="0"/>
              <w:left w:val="single" w:color="auto" w:sz="6" w:space="0"/>
              <w:bottom w:val="single" w:color="auto" w:sz="6" w:space="0"/>
              <w:right w:val="single" w:color="auto" w:sz="12" w:space="0"/>
            </w:tcBorders>
            <w:shd w:val="clear" w:color="auto" w:fill="EEECE1"/>
            <w:noWrap w:val="0"/>
            <w:vAlign w:val="center"/>
          </w:tcPr>
          <w:p w14:paraId="375E7277">
            <w:pPr>
              <w:keepLines w:val="0"/>
              <w:pageBreakBefore w:val="0"/>
              <w:widowControl w:val="0"/>
              <w:kinsoku/>
              <w:wordWrap/>
              <w:overflowPunct/>
              <w:topLinePunct w:val="0"/>
              <w:autoSpaceDE/>
              <w:autoSpaceDN/>
              <w:bidi w:val="0"/>
              <w:adjustRightInd/>
              <w:snapToGrid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预算（元）</w:t>
            </w:r>
          </w:p>
        </w:tc>
        <w:tc>
          <w:tcPr>
            <w:tcW w:w="1075" w:type="pct"/>
            <w:tcBorders>
              <w:top w:val="single" w:color="auto" w:sz="12" w:space="0"/>
              <w:left w:val="single" w:color="auto" w:sz="6" w:space="0"/>
              <w:bottom w:val="single" w:color="auto" w:sz="6" w:space="0"/>
              <w:right w:val="single" w:color="auto" w:sz="12" w:space="0"/>
            </w:tcBorders>
            <w:shd w:val="clear" w:color="auto" w:fill="EEECE1"/>
            <w:noWrap w:val="0"/>
            <w:vAlign w:val="center"/>
          </w:tcPr>
          <w:p w14:paraId="2E43F788">
            <w:pPr>
              <w:keepLines w:val="0"/>
              <w:pageBreakBefore w:val="0"/>
              <w:widowControl w:val="0"/>
              <w:kinsoku/>
              <w:wordWrap/>
              <w:overflowPunct/>
              <w:topLinePunct w:val="0"/>
              <w:autoSpaceDE/>
              <w:autoSpaceDN/>
              <w:bidi w:val="0"/>
              <w:adjustRightInd/>
              <w:snapToGrid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最高预算（元）</w:t>
            </w:r>
          </w:p>
        </w:tc>
      </w:tr>
      <w:tr w14:paraId="5D1F6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426" w:type="pct"/>
            <w:tcBorders>
              <w:top w:val="single" w:color="auto" w:sz="6" w:space="0"/>
              <w:left w:val="single" w:color="auto" w:sz="12" w:space="0"/>
              <w:bottom w:val="single" w:color="auto" w:sz="6" w:space="0"/>
              <w:right w:val="single" w:color="auto" w:sz="6" w:space="0"/>
            </w:tcBorders>
            <w:noWrap w:val="0"/>
            <w:vAlign w:val="center"/>
          </w:tcPr>
          <w:p w14:paraId="7775967C">
            <w:pPr>
              <w:keepLines w:val="0"/>
              <w:pageBreakBefore w:val="0"/>
              <w:widowControl w:val="0"/>
              <w:kinsoku/>
              <w:wordWrap/>
              <w:overflowPunct/>
              <w:topLinePunct w:val="0"/>
              <w:autoSpaceDE/>
              <w:autoSpaceDN/>
              <w:bidi w:val="0"/>
              <w:adjustRightInd/>
              <w:snapToGrid w:val="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p>
        </w:tc>
        <w:tc>
          <w:tcPr>
            <w:tcW w:w="453" w:type="pct"/>
            <w:tcBorders>
              <w:top w:val="single" w:color="auto" w:sz="6" w:space="0"/>
              <w:left w:val="single" w:color="auto" w:sz="6" w:space="0"/>
              <w:bottom w:val="single" w:color="auto" w:sz="6" w:space="0"/>
              <w:right w:val="single" w:color="auto" w:sz="6" w:space="0"/>
            </w:tcBorders>
            <w:noWrap w:val="0"/>
            <w:vAlign w:val="center"/>
          </w:tcPr>
          <w:p w14:paraId="06156D94">
            <w:pPr>
              <w:keepLines w:val="0"/>
              <w:pageBreakBefore w:val="0"/>
              <w:widowControl w:val="0"/>
              <w:kinsoku/>
              <w:wordWrap/>
              <w:overflowPunct/>
              <w:topLinePunct w:val="0"/>
              <w:autoSpaceDE/>
              <w:autoSpaceDN/>
              <w:bidi w:val="0"/>
              <w:adjustRightInd/>
              <w:snapToGrid w:val="0"/>
              <w:ind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w:t>
            </w:r>
          </w:p>
        </w:tc>
        <w:tc>
          <w:tcPr>
            <w:tcW w:w="1935" w:type="pct"/>
            <w:tcBorders>
              <w:top w:val="single" w:color="auto" w:sz="6" w:space="0"/>
              <w:left w:val="single" w:color="auto" w:sz="6" w:space="0"/>
              <w:bottom w:val="single" w:color="auto" w:sz="6" w:space="0"/>
              <w:right w:val="single" w:color="auto" w:sz="12" w:space="0"/>
            </w:tcBorders>
            <w:noWrap w:val="0"/>
            <w:vAlign w:val="center"/>
          </w:tcPr>
          <w:p w14:paraId="29763BB5">
            <w:pPr>
              <w:keepLines w:val="0"/>
              <w:pageBreakBefore w:val="0"/>
              <w:widowControl w:val="0"/>
              <w:kinsoku/>
              <w:wordWrap/>
              <w:overflowPunct/>
              <w:topLinePunct w:val="0"/>
              <w:autoSpaceDE/>
              <w:autoSpaceDN/>
              <w:bidi w:val="0"/>
              <w:adjustRightInd/>
              <w:snapToGrid w:val="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lang w:val="en-US" w:eastAsia="zh-CN" w:bidi="ar"/>
              </w:rPr>
              <w:t>襄城县文化广电和旅游局文物库房改造提升项目</w:t>
            </w:r>
          </w:p>
        </w:tc>
        <w:tc>
          <w:tcPr>
            <w:tcW w:w="1109" w:type="pct"/>
            <w:tcBorders>
              <w:top w:val="single" w:color="auto" w:sz="6" w:space="0"/>
              <w:left w:val="single" w:color="auto" w:sz="6" w:space="0"/>
              <w:bottom w:val="single" w:color="auto" w:sz="6" w:space="0"/>
              <w:right w:val="single" w:color="auto" w:sz="12" w:space="0"/>
            </w:tcBorders>
            <w:noWrap w:val="0"/>
            <w:vAlign w:val="center"/>
          </w:tcPr>
          <w:p w14:paraId="23967917">
            <w:pPr>
              <w:keepNext/>
              <w:keepLines w:val="0"/>
              <w:pageBreakBefore w:val="0"/>
              <w:widowControl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410</w:t>
            </w:r>
            <w:r>
              <w:rPr>
                <w:rFonts w:hint="eastAsia" w:ascii="宋体" w:hAnsi="宋体" w:eastAsia="宋体" w:cs="宋体"/>
                <w:color w:val="auto"/>
                <w:sz w:val="24"/>
                <w:szCs w:val="24"/>
                <w:highlight w:val="none"/>
              </w:rPr>
              <w:t>0,00.00</w:t>
            </w:r>
          </w:p>
        </w:tc>
        <w:tc>
          <w:tcPr>
            <w:tcW w:w="1075" w:type="pct"/>
            <w:tcBorders>
              <w:top w:val="single" w:color="auto" w:sz="6" w:space="0"/>
              <w:left w:val="single" w:color="auto" w:sz="6" w:space="0"/>
              <w:bottom w:val="single" w:color="auto" w:sz="6" w:space="0"/>
              <w:right w:val="single" w:color="auto" w:sz="12" w:space="0"/>
            </w:tcBorders>
            <w:noWrap w:val="0"/>
            <w:vAlign w:val="center"/>
          </w:tcPr>
          <w:p w14:paraId="4D4C6C84">
            <w:pPr>
              <w:keepNext/>
              <w:keepLines w:val="0"/>
              <w:pageBreakBefore w:val="0"/>
              <w:widowControl w:val="0"/>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410</w:t>
            </w:r>
            <w:r>
              <w:rPr>
                <w:rFonts w:hint="eastAsia" w:ascii="宋体" w:hAnsi="宋体" w:eastAsia="宋体" w:cs="宋体"/>
                <w:color w:val="auto"/>
                <w:sz w:val="24"/>
                <w:szCs w:val="24"/>
                <w:highlight w:val="none"/>
              </w:rPr>
              <w:t>0,00.00</w:t>
            </w:r>
          </w:p>
        </w:tc>
      </w:tr>
    </w:tbl>
    <w:p w14:paraId="0824AC1F">
      <w:pPr>
        <w:pStyle w:val="6"/>
        <w:bidi w:val="0"/>
        <w:rPr>
          <w:rFonts w:hint="eastAsia"/>
        </w:rPr>
      </w:pPr>
      <w:r>
        <w:rPr>
          <w:rFonts w:hint="eastAsia"/>
        </w:rPr>
        <w:t>采购项目</w:t>
      </w:r>
      <w:r>
        <w:rPr>
          <w:rFonts w:hint="eastAsia"/>
          <w:lang w:val="en-US" w:eastAsia="zh-CN"/>
        </w:rPr>
        <w:t>详细</w:t>
      </w:r>
      <w:r>
        <w:rPr>
          <w:rFonts w:hint="eastAsia"/>
        </w:rPr>
        <w:t>清单</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3046"/>
        <w:gridCol w:w="2659"/>
        <w:gridCol w:w="871"/>
        <w:gridCol w:w="1079"/>
      </w:tblGrid>
      <w:tr w14:paraId="0C86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50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BBB6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787" w:type="pct"/>
            <w:tcBorders>
              <w:top w:val="single" w:color="000000" w:sz="8" w:space="0"/>
              <w:left w:val="nil"/>
              <w:bottom w:val="single" w:color="000000" w:sz="8" w:space="0"/>
              <w:right w:val="single" w:color="000000" w:sz="8" w:space="0"/>
            </w:tcBorders>
            <w:shd w:val="clear" w:color="auto" w:fill="auto"/>
            <w:vAlign w:val="center"/>
          </w:tcPr>
          <w:p w14:paraId="42DE03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货物名称</w:t>
            </w:r>
          </w:p>
        </w:tc>
        <w:tc>
          <w:tcPr>
            <w:tcW w:w="1560" w:type="pct"/>
            <w:tcBorders>
              <w:top w:val="single" w:color="000000" w:sz="8" w:space="0"/>
              <w:left w:val="nil"/>
              <w:bottom w:val="single" w:color="000000" w:sz="8" w:space="0"/>
              <w:right w:val="single" w:color="000000" w:sz="8" w:space="0"/>
            </w:tcBorders>
            <w:shd w:val="clear" w:color="auto" w:fill="auto"/>
            <w:vAlign w:val="center"/>
          </w:tcPr>
          <w:p w14:paraId="214210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尺寸规格（MM）</w:t>
            </w:r>
          </w:p>
        </w:tc>
        <w:tc>
          <w:tcPr>
            <w:tcW w:w="511" w:type="pct"/>
            <w:tcBorders>
              <w:top w:val="single" w:color="000000" w:sz="8" w:space="0"/>
              <w:left w:val="nil"/>
              <w:bottom w:val="single" w:color="000000" w:sz="8" w:space="0"/>
              <w:right w:val="single" w:color="000000" w:sz="8" w:space="0"/>
            </w:tcBorders>
            <w:shd w:val="clear" w:color="auto" w:fill="auto"/>
            <w:vAlign w:val="center"/>
          </w:tcPr>
          <w:p w14:paraId="07E8EB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633" w:type="pct"/>
            <w:tcBorders>
              <w:top w:val="single" w:color="000000" w:sz="8" w:space="0"/>
              <w:left w:val="nil"/>
              <w:bottom w:val="single" w:color="000000" w:sz="8" w:space="0"/>
              <w:right w:val="single" w:color="000000" w:sz="8" w:space="0"/>
            </w:tcBorders>
            <w:shd w:val="clear" w:color="auto" w:fill="auto"/>
            <w:vAlign w:val="center"/>
          </w:tcPr>
          <w:p w14:paraId="0D8323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r>
      <w:tr w14:paraId="27A7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7640D6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787" w:type="pct"/>
            <w:tcBorders>
              <w:top w:val="nil"/>
              <w:left w:val="nil"/>
              <w:bottom w:val="single" w:color="000000" w:sz="8" w:space="0"/>
              <w:right w:val="single" w:color="000000" w:sz="8" w:space="0"/>
            </w:tcBorders>
            <w:shd w:val="clear" w:color="auto" w:fill="auto"/>
            <w:vAlign w:val="center"/>
          </w:tcPr>
          <w:p w14:paraId="2CC707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文物储藏柜架(组合型）</w:t>
            </w:r>
          </w:p>
        </w:tc>
        <w:tc>
          <w:tcPr>
            <w:tcW w:w="1560" w:type="pct"/>
            <w:tcBorders>
              <w:top w:val="nil"/>
              <w:left w:val="nil"/>
              <w:bottom w:val="single" w:color="000000" w:sz="8" w:space="0"/>
              <w:right w:val="single" w:color="000000" w:sz="8" w:space="0"/>
            </w:tcBorders>
            <w:shd w:val="clear" w:color="auto" w:fill="auto"/>
            <w:vAlign w:val="center"/>
          </w:tcPr>
          <w:p w14:paraId="22149C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1200*800*2000mm</w:t>
            </w:r>
          </w:p>
        </w:tc>
        <w:tc>
          <w:tcPr>
            <w:tcW w:w="511" w:type="pct"/>
            <w:tcBorders>
              <w:top w:val="nil"/>
              <w:left w:val="nil"/>
              <w:bottom w:val="single" w:color="000000" w:sz="8" w:space="0"/>
              <w:right w:val="single" w:color="000000" w:sz="8" w:space="0"/>
            </w:tcBorders>
            <w:shd w:val="clear" w:color="auto" w:fill="auto"/>
            <w:vAlign w:val="center"/>
          </w:tcPr>
          <w:p w14:paraId="19E86A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633" w:type="pct"/>
            <w:tcBorders>
              <w:top w:val="nil"/>
              <w:left w:val="nil"/>
              <w:bottom w:val="single" w:color="000000" w:sz="8" w:space="0"/>
              <w:right w:val="single" w:color="000000" w:sz="8" w:space="0"/>
            </w:tcBorders>
            <w:shd w:val="clear" w:color="auto" w:fill="auto"/>
            <w:vAlign w:val="center"/>
          </w:tcPr>
          <w:p w14:paraId="0A3582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w:t>
            </w:r>
          </w:p>
        </w:tc>
      </w:tr>
      <w:tr w14:paraId="41B0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7701C5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787" w:type="pct"/>
            <w:tcBorders>
              <w:top w:val="nil"/>
              <w:left w:val="nil"/>
              <w:bottom w:val="single" w:color="000000" w:sz="8" w:space="0"/>
              <w:right w:val="single" w:color="000000" w:sz="8" w:space="0"/>
            </w:tcBorders>
            <w:shd w:val="clear" w:color="auto" w:fill="auto"/>
            <w:vAlign w:val="center"/>
          </w:tcPr>
          <w:p w14:paraId="4D44BF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文物储藏柜架(多功能）</w:t>
            </w:r>
          </w:p>
        </w:tc>
        <w:tc>
          <w:tcPr>
            <w:tcW w:w="1560" w:type="pct"/>
            <w:tcBorders>
              <w:top w:val="nil"/>
              <w:left w:val="nil"/>
              <w:bottom w:val="single" w:color="000000" w:sz="8" w:space="0"/>
              <w:right w:val="single" w:color="000000" w:sz="8" w:space="0"/>
            </w:tcBorders>
            <w:shd w:val="clear" w:color="auto" w:fill="auto"/>
            <w:vAlign w:val="center"/>
          </w:tcPr>
          <w:p w14:paraId="1E9E7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1200*800*2000mm</w:t>
            </w:r>
          </w:p>
        </w:tc>
        <w:tc>
          <w:tcPr>
            <w:tcW w:w="511" w:type="pct"/>
            <w:tcBorders>
              <w:top w:val="nil"/>
              <w:left w:val="nil"/>
              <w:bottom w:val="single" w:color="000000" w:sz="8" w:space="0"/>
              <w:right w:val="single" w:color="000000" w:sz="8" w:space="0"/>
            </w:tcBorders>
            <w:shd w:val="clear" w:color="auto" w:fill="auto"/>
            <w:vAlign w:val="center"/>
          </w:tcPr>
          <w:p w14:paraId="42E9F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633" w:type="pct"/>
            <w:tcBorders>
              <w:top w:val="nil"/>
              <w:left w:val="nil"/>
              <w:bottom w:val="single" w:color="000000" w:sz="8" w:space="0"/>
              <w:right w:val="single" w:color="000000" w:sz="8" w:space="0"/>
            </w:tcBorders>
            <w:shd w:val="clear" w:color="auto" w:fill="auto"/>
            <w:vAlign w:val="center"/>
          </w:tcPr>
          <w:p w14:paraId="68BD9F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w:t>
            </w:r>
          </w:p>
        </w:tc>
      </w:tr>
      <w:tr w14:paraId="3A94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06A3B7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787" w:type="pct"/>
            <w:tcBorders>
              <w:top w:val="nil"/>
              <w:left w:val="nil"/>
              <w:bottom w:val="single" w:color="000000" w:sz="8" w:space="0"/>
              <w:right w:val="single" w:color="000000" w:sz="8" w:space="0"/>
            </w:tcBorders>
            <w:shd w:val="clear" w:color="auto" w:fill="auto"/>
            <w:vAlign w:val="center"/>
          </w:tcPr>
          <w:p w14:paraId="484BD3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重型文物储藏专用架</w:t>
            </w:r>
          </w:p>
        </w:tc>
        <w:tc>
          <w:tcPr>
            <w:tcW w:w="1560" w:type="pct"/>
            <w:tcBorders>
              <w:top w:val="nil"/>
              <w:left w:val="nil"/>
              <w:bottom w:val="single" w:color="000000" w:sz="8" w:space="0"/>
              <w:right w:val="single" w:color="000000" w:sz="8" w:space="0"/>
            </w:tcBorders>
            <w:shd w:val="clear" w:color="auto" w:fill="auto"/>
            <w:vAlign w:val="center"/>
          </w:tcPr>
          <w:p w14:paraId="2B8172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1200*800*2000mm</w:t>
            </w:r>
          </w:p>
        </w:tc>
        <w:tc>
          <w:tcPr>
            <w:tcW w:w="511" w:type="pct"/>
            <w:tcBorders>
              <w:top w:val="nil"/>
              <w:left w:val="nil"/>
              <w:bottom w:val="single" w:color="000000" w:sz="8" w:space="0"/>
              <w:right w:val="single" w:color="000000" w:sz="8" w:space="0"/>
            </w:tcBorders>
            <w:shd w:val="clear" w:color="auto" w:fill="auto"/>
            <w:vAlign w:val="center"/>
          </w:tcPr>
          <w:p w14:paraId="5F0271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633" w:type="pct"/>
            <w:tcBorders>
              <w:top w:val="nil"/>
              <w:left w:val="nil"/>
              <w:bottom w:val="single" w:color="000000" w:sz="8" w:space="0"/>
              <w:right w:val="single" w:color="000000" w:sz="8" w:space="0"/>
            </w:tcBorders>
            <w:shd w:val="clear" w:color="auto" w:fill="auto"/>
            <w:vAlign w:val="center"/>
          </w:tcPr>
          <w:p w14:paraId="2535F2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w:t>
            </w:r>
          </w:p>
        </w:tc>
      </w:tr>
      <w:tr w14:paraId="6E45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47819A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787" w:type="pct"/>
            <w:tcBorders>
              <w:top w:val="nil"/>
              <w:left w:val="nil"/>
              <w:bottom w:val="single" w:color="000000" w:sz="8" w:space="0"/>
              <w:right w:val="single" w:color="000000" w:sz="8" w:space="0"/>
            </w:tcBorders>
            <w:shd w:val="clear" w:color="auto" w:fill="auto"/>
            <w:vAlign w:val="center"/>
          </w:tcPr>
          <w:p w14:paraId="5647DB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文物专用整理案</w:t>
            </w:r>
          </w:p>
        </w:tc>
        <w:tc>
          <w:tcPr>
            <w:tcW w:w="1560" w:type="pct"/>
            <w:tcBorders>
              <w:top w:val="nil"/>
              <w:left w:val="nil"/>
              <w:bottom w:val="single" w:color="000000" w:sz="8" w:space="0"/>
              <w:right w:val="single" w:color="000000" w:sz="8" w:space="0"/>
            </w:tcBorders>
            <w:shd w:val="clear" w:color="auto" w:fill="auto"/>
            <w:vAlign w:val="center"/>
          </w:tcPr>
          <w:p w14:paraId="7B548B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1200*600*750mm</w:t>
            </w:r>
          </w:p>
        </w:tc>
        <w:tc>
          <w:tcPr>
            <w:tcW w:w="511" w:type="pct"/>
            <w:tcBorders>
              <w:top w:val="nil"/>
              <w:left w:val="nil"/>
              <w:bottom w:val="single" w:color="000000" w:sz="8" w:space="0"/>
              <w:right w:val="single" w:color="000000" w:sz="8" w:space="0"/>
            </w:tcBorders>
            <w:shd w:val="clear" w:color="auto" w:fill="auto"/>
            <w:vAlign w:val="center"/>
          </w:tcPr>
          <w:p w14:paraId="408B3F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633" w:type="pct"/>
            <w:tcBorders>
              <w:top w:val="nil"/>
              <w:left w:val="nil"/>
              <w:bottom w:val="single" w:color="000000" w:sz="8" w:space="0"/>
              <w:right w:val="single" w:color="000000" w:sz="8" w:space="0"/>
            </w:tcBorders>
            <w:shd w:val="clear" w:color="auto" w:fill="auto"/>
            <w:vAlign w:val="center"/>
          </w:tcPr>
          <w:p w14:paraId="42AA56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708D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5687AB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1787" w:type="pct"/>
            <w:tcBorders>
              <w:top w:val="nil"/>
              <w:left w:val="nil"/>
              <w:bottom w:val="single" w:color="000000" w:sz="8" w:space="0"/>
              <w:right w:val="single" w:color="000000" w:sz="8" w:space="0"/>
            </w:tcBorders>
            <w:shd w:val="clear" w:color="auto" w:fill="auto"/>
            <w:vAlign w:val="center"/>
          </w:tcPr>
          <w:p w14:paraId="25357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文物卡片柜</w:t>
            </w:r>
          </w:p>
        </w:tc>
        <w:tc>
          <w:tcPr>
            <w:tcW w:w="1560" w:type="pct"/>
            <w:tcBorders>
              <w:top w:val="nil"/>
              <w:left w:val="nil"/>
              <w:bottom w:val="single" w:color="000000" w:sz="8" w:space="0"/>
              <w:right w:val="single" w:color="000000" w:sz="8" w:space="0"/>
            </w:tcBorders>
            <w:shd w:val="clear" w:color="auto" w:fill="auto"/>
            <w:vAlign w:val="center"/>
          </w:tcPr>
          <w:p w14:paraId="6D0C77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1000*400*1600mm</w:t>
            </w:r>
          </w:p>
        </w:tc>
        <w:tc>
          <w:tcPr>
            <w:tcW w:w="511" w:type="pct"/>
            <w:tcBorders>
              <w:top w:val="nil"/>
              <w:left w:val="nil"/>
              <w:bottom w:val="single" w:color="000000" w:sz="8" w:space="0"/>
              <w:right w:val="single" w:color="000000" w:sz="8" w:space="0"/>
            </w:tcBorders>
            <w:shd w:val="clear" w:color="auto" w:fill="auto"/>
            <w:vAlign w:val="center"/>
          </w:tcPr>
          <w:p w14:paraId="40B622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633" w:type="pct"/>
            <w:tcBorders>
              <w:top w:val="nil"/>
              <w:left w:val="nil"/>
              <w:bottom w:val="single" w:color="000000" w:sz="8" w:space="0"/>
              <w:right w:val="single" w:color="000000" w:sz="8" w:space="0"/>
            </w:tcBorders>
            <w:shd w:val="clear" w:color="auto" w:fill="auto"/>
            <w:vAlign w:val="center"/>
          </w:tcPr>
          <w:p w14:paraId="6FCAA1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w:t>
            </w:r>
          </w:p>
        </w:tc>
      </w:tr>
      <w:tr w14:paraId="3134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6E6EBF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787" w:type="pct"/>
            <w:tcBorders>
              <w:top w:val="nil"/>
              <w:left w:val="nil"/>
              <w:bottom w:val="single" w:color="000000" w:sz="8" w:space="0"/>
              <w:right w:val="single" w:color="000000" w:sz="8" w:space="0"/>
            </w:tcBorders>
            <w:shd w:val="clear" w:color="auto" w:fill="auto"/>
            <w:vAlign w:val="center"/>
          </w:tcPr>
          <w:p w14:paraId="667D48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文物多功能空调</w:t>
            </w:r>
          </w:p>
        </w:tc>
        <w:tc>
          <w:tcPr>
            <w:tcW w:w="1560" w:type="pct"/>
            <w:tcBorders>
              <w:top w:val="nil"/>
              <w:left w:val="nil"/>
              <w:bottom w:val="single" w:color="000000" w:sz="8" w:space="0"/>
              <w:right w:val="single" w:color="000000" w:sz="8" w:space="0"/>
            </w:tcBorders>
            <w:shd w:val="clear" w:color="auto" w:fill="auto"/>
            <w:vAlign w:val="center"/>
          </w:tcPr>
          <w:p w14:paraId="542279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1765*302*506mm</w:t>
            </w:r>
          </w:p>
        </w:tc>
        <w:tc>
          <w:tcPr>
            <w:tcW w:w="511" w:type="pct"/>
            <w:tcBorders>
              <w:top w:val="nil"/>
              <w:left w:val="nil"/>
              <w:bottom w:val="single" w:color="000000" w:sz="8" w:space="0"/>
              <w:right w:val="single" w:color="000000" w:sz="8" w:space="0"/>
            </w:tcBorders>
            <w:shd w:val="clear" w:color="auto" w:fill="auto"/>
            <w:vAlign w:val="center"/>
          </w:tcPr>
          <w:p w14:paraId="01B19F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633" w:type="pct"/>
            <w:tcBorders>
              <w:top w:val="nil"/>
              <w:left w:val="nil"/>
              <w:bottom w:val="single" w:color="000000" w:sz="8" w:space="0"/>
              <w:right w:val="single" w:color="000000" w:sz="8" w:space="0"/>
            </w:tcBorders>
            <w:shd w:val="clear" w:color="auto" w:fill="auto"/>
            <w:vAlign w:val="center"/>
          </w:tcPr>
          <w:p w14:paraId="25315F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753D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4906A0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1787" w:type="pct"/>
            <w:tcBorders>
              <w:top w:val="nil"/>
              <w:left w:val="nil"/>
              <w:bottom w:val="single" w:color="000000" w:sz="8" w:space="0"/>
              <w:right w:val="single" w:color="000000" w:sz="8" w:space="0"/>
            </w:tcBorders>
            <w:shd w:val="clear" w:color="auto" w:fill="auto"/>
            <w:vAlign w:val="center"/>
          </w:tcPr>
          <w:p w14:paraId="75039F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文物登高梯</w:t>
            </w:r>
          </w:p>
        </w:tc>
        <w:tc>
          <w:tcPr>
            <w:tcW w:w="1560" w:type="pct"/>
            <w:tcBorders>
              <w:top w:val="nil"/>
              <w:left w:val="nil"/>
              <w:bottom w:val="single" w:color="000000" w:sz="8" w:space="0"/>
              <w:right w:val="single" w:color="000000" w:sz="8" w:space="0"/>
            </w:tcBorders>
            <w:shd w:val="clear" w:color="auto" w:fill="auto"/>
            <w:vAlign w:val="center"/>
          </w:tcPr>
          <w:p w14:paraId="1F158A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三步</w:t>
            </w:r>
          </w:p>
        </w:tc>
        <w:tc>
          <w:tcPr>
            <w:tcW w:w="511" w:type="pct"/>
            <w:tcBorders>
              <w:top w:val="nil"/>
              <w:left w:val="nil"/>
              <w:bottom w:val="single" w:color="000000" w:sz="8" w:space="0"/>
              <w:right w:val="single" w:color="000000" w:sz="8" w:space="0"/>
            </w:tcBorders>
            <w:shd w:val="clear" w:color="auto" w:fill="auto"/>
            <w:vAlign w:val="center"/>
          </w:tcPr>
          <w:p w14:paraId="560EA0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633" w:type="pct"/>
            <w:tcBorders>
              <w:top w:val="nil"/>
              <w:left w:val="nil"/>
              <w:bottom w:val="single" w:color="000000" w:sz="8" w:space="0"/>
              <w:right w:val="single" w:color="000000" w:sz="8" w:space="0"/>
            </w:tcBorders>
            <w:shd w:val="clear" w:color="auto" w:fill="auto"/>
            <w:vAlign w:val="center"/>
          </w:tcPr>
          <w:p w14:paraId="4FDD3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191D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1C7671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787" w:type="pct"/>
            <w:tcBorders>
              <w:top w:val="nil"/>
              <w:left w:val="nil"/>
              <w:bottom w:val="single" w:color="000000" w:sz="8" w:space="0"/>
              <w:right w:val="single" w:color="000000" w:sz="8" w:space="0"/>
            </w:tcBorders>
            <w:shd w:val="clear" w:color="auto" w:fill="auto"/>
            <w:vAlign w:val="center"/>
          </w:tcPr>
          <w:p w14:paraId="3F13A6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文物囊匣</w:t>
            </w:r>
          </w:p>
        </w:tc>
        <w:tc>
          <w:tcPr>
            <w:tcW w:w="1560" w:type="pct"/>
            <w:tcBorders>
              <w:top w:val="nil"/>
              <w:left w:val="nil"/>
              <w:bottom w:val="single" w:color="000000" w:sz="8" w:space="0"/>
              <w:right w:val="single" w:color="000000" w:sz="8" w:space="0"/>
            </w:tcBorders>
            <w:shd w:val="clear" w:color="auto" w:fill="auto"/>
            <w:vAlign w:val="center"/>
          </w:tcPr>
          <w:p w14:paraId="2951B6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定制</w:t>
            </w:r>
          </w:p>
        </w:tc>
        <w:tc>
          <w:tcPr>
            <w:tcW w:w="511" w:type="pct"/>
            <w:tcBorders>
              <w:top w:val="nil"/>
              <w:left w:val="nil"/>
              <w:bottom w:val="single" w:color="000000" w:sz="8" w:space="0"/>
              <w:right w:val="single" w:color="000000" w:sz="8" w:space="0"/>
            </w:tcBorders>
            <w:shd w:val="clear" w:color="auto" w:fill="auto"/>
            <w:vAlign w:val="center"/>
          </w:tcPr>
          <w:p w14:paraId="7B1A13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633" w:type="pct"/>
            <w:tcBorders>
              <w:top w:val="nil"/>
              <w:left w:val="nil"/>
              <w:bottom w:val="single" w:color="000000" w:sz="8" w:space="0"/>
              <w:right w:val="single" w:color="000000" w:sz="8" w:space="0"/>
            </w:tcBorders>
            <w:shd w:val="clear" w:color="auto" w:fill="auto"/>
            <w:vAlign w:val="center"/>
          </w:tcPr>
          <w:p w14:paraId="0C89DC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r>
      <w:tr w14:paraId="5FE9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7B0EF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1787" w:type="pct"/>
            <w:tcBorders>
              <w:top w:val="nil"/>
              <w:left w:val="nil"/>
              <w:bottom w:val="single" w:color="000000" w:sz="8" w:space="0"/>
              <w:right w:val="single" w:color="000000" w:sz="8" w:space="0"/>
            </w:tcBorders>
            <w:shd w:val="clear" w:color="auto" w:fill="auto"/>
            <w:vAlign w:val="center"/>
          </w:tcPr>
          <w:p w14:paraId="6A066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减震文物车（单斗）</w:t>
            </w:r>
          </w:p>
        </w:tc>
        <w:tc>
          <w:tcPr>
            <w:tcW w:w="1560" w:type="pct"/>
            <w:tcBorders>
              <w:top w:val="nil"/>
              <w:left w:val="nil"/>
              <w:bottom w:val="single" w:color="000000" w:sz="8" w:space="0"/>
              <w:right w:val="single" w:color="000000" w:sz="8" w:space="0"/>
            </w:tcBorders>
            <w:shd w:val="clear" w:color="auto" w:fill="auto"/>
            <w:vAlign w:val="center"/>
          </w:tcPr>
          <w:p w14:paraId="1D8277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900*600*900mm</w:t>
            </w:r>
          </w:p>
        </w:tc>
        <w:tc>
          <w:tcPr>
            <w:tcW w:w="511" w:type="pct"/>
            <w:tcBorders>
              <w:top w:val="nil"/>
              <w:left w:val="nil"/>
              <w:bottom w:val="single" w:color="000000" w:sz="8" w:space="0"/>
              <w:right w:val="single" w:color="000000" w:sz="8" w:space="0"/>
            </w:tcBorders>
            <w:shd w:val="clear" w:color="auto" w:fill="auto"/>
            <w:vAlign w:val="center"/>
          </w:tcPr>
          <w:p w14:paraId="193C53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633" w:type="pct"/>
            <w:tcBorders>
              <w:top w:val="nil"/>
              <w:left w:val="nil"/>
              <w:bottom w:val="single" w:color="000000" w:sz="8" w:space="0"/>
              <w:right w:val="single" w:color="000000" w:sz="8" w:space="0"/>
            </w:tcBorders>
            <w:shd w:val="clear" w:color="auto" w:fill="auto"/>
            <w:vAlign w:val="center"/>
          </w:tcPr>
          <w:p w14:paraId="6C45A8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1700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7ED109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1787" w:type="pct"/>
            <w:tcBorders>
              <w:top w:val="nil"/>
              <w:left w:val="nil"/>
              <w:bottom w:val="single" w:color="000000" w:sz="8" w:space="0"/>
              <w:right w:val="single" w:color="000000" w:sz="8" w:space="0"/>
            </w:tcBorders>
            <w:shd w:val="clear" w:color="auto" w:fill="auto"/>
            <w:vAlign w:val="center"/>
          </w:tcPr>
          <w:p w14:paraId="303EB7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减震文物车（双斗）</w:t>
            </w:r>
          </w:p>
        </w:tc>
        <w:tc>
          <w:tcPr>
            <w:tcW w:w="1560" w:type="pct"/>
            <w:tcBorders>
              <w:top w:val="nil"/>
              <w:left w:val="nil"/>
              <w:bottom w:val="single" w:color="000000" w:sz="8" w:space="0"/>
              <w:right w:val="single" w:color="000000" w:sz="8" w:space="0"/>
            </w:tcBorders>
            <w:shd w:val="clear" w:color="auto" w:fill="auto"/>
            <w:vAlign w:val="center"/>
          </w:tcPr>
          <w:p w14:paraId="340684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1000*600*900mm</w:t>
            </w:r>
          </w:p>
        </w:tc>
        <w:tc>
          <w:tcPr>
            <w:tcW w:w="511" w:type="pct"/>
            <w:tcBorders>
              <w:top w:val="nil"/>
              <w:left w:val="nil"/>
              <w:bottom w:val="single" w:color="000000" w:sz="8" w:space="0"/>
              <w:right w:val="single" w:color="000000" w:sz="8" w:space="0"/>
            </w:tcBorders>
            <w:shd w:val="clear" w:color="auto" w:fill="auto"/>
            <w:vAlign w:val="center"/>
          </w:tcPr>
          <w:p w14:paraId="48BC3A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633" w:type="pct"/>
            <w:tcBorders>
              <w:top w:val="nil"/>
              <w:left w:val="nil"/>
              <w:bottom w:val="single" w:color="000000" w:sz="8" w:space="0"/>
              <w:right w:val="single" w:color="000000" w:sz="8" w:space="0"/>
            </w:tcBorders>
            <w:shd w:val="clear" w:color="auto" w:fill="auto"/>
            <w:vAlign w:val="center"/>
          </w:tcPr>
          <w:p w14:paraId="3E7879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0D9A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1954F1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1787" w:type="pct"/>
            <w:tcBorders>
              <w:top w:val="nil"/>
              <w:left w:val="nil"/>
              <w:bottom w:val="single" w:color="000000" w:sz="8" w:space="0"/>
              <w:right w:val="single" w:color="000000" w:sz="8" w:space="0"/>
            </w:tcBorders>
            <w:shd w:val="clear" w:color="auto" w:fill="auto"/>
            <w:vAlign w:val="center"/>
          </w:tcPr>
          <w:p w14:paraId="782A5A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甲级防盗门</w:t>
            </w:r>
          </w:p>
        </w:tc>
        <w:tc>
          <w:tcPr>
            <w:tcW w:w="1560" w:type="pct"/>
            <w:tcBorders>
              <w:top w:val="nil"/>
              <w:left w:val="nil"/>
              <w:bottom w:val="single" w:color="000000" w:sz="8" w:space="0"/>
              <w:right w:val="single" w:color="000000" w:sz="8" w:space="0"/>
            </w:tcBorders>
            <w:shd w:val="clear" w:color="auto" w:fill="auto"/>
            <w:vAlign w:val="center"/>
          </w:tcPr>
          <w:p w14:paraId="7B73DF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900*2100mm</w:t>
            </w:r>
          </w:p>
        </w:tc>
        <w:tc>
          <w:tcPr>
            <w:tcW w:w="511" w:type="pct"/>
            <w:tcBorders>
              <w:top w:val="nil"/>
              <w:left w:val="nil"/>
              <w:bottom w:val="single" w:color="000000" w:sz="8" w:space="0"/>
              <w:right w:val="single" w:color="000000" w:sz="8" w:space="0"/>
            </w:tcBorders>
            <w:shd w:val="clear" w:color="auto" w:fill="auto"/>
            <w:vAlign w:val="center"/>
          </w:tcPr>
          <w:p w14:paraId="51C93B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633" w:type="pct"/>
            <w:tcBorders>
              <w:top w:val="nil"/>
              <w:left w:val="nil"/>
              <w:bottom w:val="single" w:color="000000" w:sz="8" w:space="0"/>
              <w:right w:val="single" w:color="000000" w:sz="8" w:space="0"/>
            </w:tcBorders>
            <w:shd w:val="clear" w:color="auto" w:fill="auto"/>
            <w:vAlign w:val="center"/>
          </w:tcPr>
          <w:p w14:paraId="1BE259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r>
      <w:tr w14:paraId="4F31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194EFD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1787" w:type="pct"/>
            <w:tcBorders>
              <w:top w:val="nil"/>
              <w:left w:val="nil"/>
              <w:bottom w:val="single" w:color="000000" w:sz="8" w:space="0"/>
              <w:right w:val="single" w:color="000000" w:sz="8" w:space="0"/>
            </w:tcBorders>
            <w:shd w:val="clear" w:color="auto" w:fill="auto"/>
            <w:vAlign w:val="center"/>
          </w:tcPr>
          <w:p w14:paraId="14D081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窗户防盗遮光改造</w:t>
            </w:r>
          </w:p>
        </w:tc>
        <w:tc>
          <w:tcPr>
            <w:tcW w:w="1560" w:type="pct"/>
            <w:tcBorders>
              <w:top w:val="nil"/>
              <w:left w:val="nil"/>
              <w:bottom w:val="single" w:color="000000" w:sz="8" w:space="0"/>
              <w:right w:val="single" w:color="000000" w:sz="8" w:space="0"/>
            </w:tcBorders>
            <w:shd w:val="clear" w:color="auto" w:fill="auto"/>
            <w:vAlign w:val="center"/>
          </w:tcPr>
          <w:p w14:paraId="008FFE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1500*1200mm</w:t>
            </w:r>
          </w:p>
        </w:tc>
        <w:tc>
          <w:tcPr>
            <w:tcW w:w="511" w:type="pct"/>
            <w:tcBorders>
              <w:top w:val="nil"/>
              <w:left w:val="nil"/>
              <w:bottom w:val="single" w:color="000000" w:sz="8" w:space="0"/>
              <w:right w:val="single" w:color="000000" w:sz="8" w:space="0"/>
            </w:tcBorders>
            <w:shd w:val="clear" w:color="auto" w:fill="auto"/>
            <w:vAlign w:val="center"/>
          </w:tcPr>
          <w:p w14:paraId="794177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633" w:type="pct"/>
            <w:tcBorders>
              <w:top w:val="nil"/>
              <w:left w:val="nil"/>
              <w:bottom w:val="single" w:color="000000" w:sz="8" w:space="0"/>
              <w:right w:val="single" w:color="000000" w:sz="8" w:space="0"/>
            </w:tcBorders>
            <w:shd w:val="clear" w:color="auto" w:fill="auto"/>
            <w:vAlign w:val="center"/>
          </w:tcPr>
          <w:p w14:paraId="172240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r>
      <w:tr w14:paraId="1949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7A597F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1787" w:type="pct"/>
            <w:tcBorders>
              <w:top w:val="nil"/>
              <w:left w:val="nil"/>
              <w:bottom w:val="single" w:color="000000" w:sz="8" w:space="0"/>
              <w:right w:val="single" w:color="000000" w:sz="8" w:space="0"/>
            </w:tcBorders>
            <w:shd w:val="clear" w:color="auto" w:fill="auto"/>
            <w:vAlign w:val="center"/>
          </w:tcPr>
          <w:p w14:paraId="016B4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地面防水防潮</w:t>
            </w:r>
          </w:p>
        </w:tc>
        <w:tc>
          <w:tcPr>
            <w:tcW w:w="1560" w:type="pct"/>
            <w:tcBorders>
              <w:top w:val="nil"/>
              <w:left w:val="nil"/>
              <w:bottom w:val="single" w:color="000000" w:sz="8" w:space="0"/>
              <w:right w:val="single" w:color="000000" w:sz="8" w:space="0"/>
            </w:tcBorders>
            <w:shd w:val="clear" w:color="auto" w:fill="auto"/>
            <w:vAlign w:val="center"/>
          </w:tcPr>
          <w:p w14:paraId="61E949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PVC地胶,2mm厚</w:t>
            </w:r>
          </w:p>
        </w:tc>
        <w:tc>
          <w:tcPr>
            <w:tcW w:w="511" w:type="pct"/>
            <w:tcBorders>
              <w:top w:val="nil"/>
              <w:left w:val="nil"/>
              <w:bottom w:val="single" w:color="000000" w:sz="8" w:space="0"/>
              <w:right w:val="single" w:color="000000" w:sz="8" w:space="0"/>
            </w:tcBorders>
            <w:shd w:val="clear" w:color="auto" w:fill="auto"/>
            <w:vAlign w:val="center"/>
          </w:tcPr>
          <w:p w14:paraId="1185D6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80</w:t>
            </w:r>
          </w:p>
        </w:tc>
        <w:tc>
          <w:tcPr>
            <w:tcW w:w="633" w:type="pct"/>
            <w:tcBorders>
              <w:top w:val="nil"/>
              <w:left w:val="nil"/>
              <w:bottom w:val="single" w:color="000000" w:sz="8" w:space="0"/>
              <w:right w:val="single" w:color="000000" w:sz="8" w:space="0"/>
            </w:tcBorders>
            <w:shd w:val="clear" w:color="auto" w:fill="auto"/>
            <w:vAlign w:val="center"/>
          </w:tcPr>
          <w:p w14:paraId="1A6DE5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平方米</w:t>
            </w:r>
          </w:p>
        </w:tc>
      </w:tr>
    </w:tbl>
    <w:p w14:paraId="5E914C0A">
      <w:pPr>
        <w:rPr>
          <w:rFonts w:hint="eastAsia"/>
          <w:b/>
          <w:bCs/>
          <w:sz w:val="24"/>
          <w:szCs w:val="32"/>
        </w:rPr>
      </w:pPr>
      <w:r>
        <w:rPr>
          <w:rFonts w:hint="eastAsia"/>
          <w:b/>
          <w:bCs/>
          <w:sz w:val="24"/>
          <w:szCs w:val="32"/>
        </w:rPr>
        <w:br w:type="page"/>
      </w:r>
    </w:p>
    <w:p w14:paraId="02F49415">
      <w:pPr>
        <w:pStyle w:val="4"/>
        <w:bidi w:val="0"/>
        <w:rPr>
          <w:rFonts w:hint="default"/>
          <w:lang w:val="en-US" w:eastAsia="zh-CN"/>
        </w:rPr>
      </w:pPr>
      <w:r>
        <w:rPr>
          <w:rFonts w:hint="eastAsia"/>
          <w:lang w:val="en-US" w:eastAsia="zh-CN"/>
        </w:rPr>
        <w:t>采购技术要求</w:t>
      </w:r>
    </w:p>
    <w:p w14:paraId="6AF83152">
      <w:pPr>
        <w:pStyle w:val="5"/>
        <w:rPr>
          <w:rFonts w:hint="default"/>
          <w:lang w:val="en-US" w:eastAsia="zh-CN"/>
        </w:r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878"/>
        <w:gridCol w:w="6025"/>
        <w:gridCol w:w="388"/>
        <w:gridCol w:w="575"/>
      </w:tblGrid>
      <w:tr w14:paraId="4730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8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F800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515" w:type="pct"/>
            <w:tcBorders>
              <w:top w:val="single" w:color="000000" w:sz="8" w:space="0"/>
              <w:left w:val="nil"/>
              <w:bottom w:val="single" w:color="000000" w:sz="8" w:space="0"/>
              <w:right w:val="single" w:color="000000" w:sz="8" w:space="0"/>
            </w:tcBorders>
            <w:shd w:val="clear" w:color="auto" w:fill="auto"/>
            <w:vAlign w:val="center"/>
          </w:tcPr>
          <w:p w14:paraId="0D84012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货物名称</w:t>
            </w:r>
          </w:p>
        </w:tc>
        <w:tc>
          <w:tcPr>
            <w:tcW w:w="3536" w:type="pct"/>
            <w:tcBorders>
              <w:top w:val="single" w:color="000000" w:sz="8" w:space="0"/>
              <w:left w:val="nil"/>
              <w:bottom w:val="single" w:color="000000" w:sz="8" w:space="0"/>
              <w:right w:val="single" w:color="000000" w:sz="8" w:space="0"/>
            </w:tcBorders>
            <w:shd w:val="clear" w:color="auto" w:fill="auto"/>
            <w:vAlign w:val="center"/>
          </w:tcPr>
          <w:p w14:paraId="5BE0B26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snapToGrid w:val="0"/>
                <w:color w:val="000000"/>
                <w:kern w:val="0"/>
                <w:sz w:val="24"/>
                <w:szCs w:val="24"/>
                <w:u w:val="none"/>
                <w:lang w:val="en-US" w:eastAsia="zh-CN" w:bidi="ar"/>
              </w:rPr>
              <w:t>技术要求</w:t>
            </w:r>
          </w:p>
        </w:tc>
        <w:tc>
          <w:tcPr>
            <w:tcW w:w="227" w:type="pct"/>
            <w:tcBorders>
              <w:top w:val="single" w:color="000000" w:sz="8" w:space="0"/>
              <w:left w:val="nil"/>
              <w:bottom w:val="single" w:color="000000" w:sz="8" w:space="0"/>
              <w:right w:val="single" w:color="000000" w:sz="8" w:space="0"/>
            </w:tcBorders>
            <w:shd w:val="clear" w:color="auto" w:fill="auto"/>
            <w:vAlign w:val="center"/>
          </w:tcPr>
          <w:p w14:paraId="3A4AF50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337" w:type="pct"/>
            <w:tcBorders>
              <w:top w:val="single" w:color="000000" w:sz="8" w:space="0"/>
              <w:left w:val="nil"/>
              <w:bottom w:val="single" w:color="000000" w:sz="8" w:space="0"/>
              <w:right w:val="single" w:color="000000" w:sz="8" w:space="0"/>
            </w:tcBorders>
            <w:shd w:val="clear" w:color="auto" w:fill="auto"/>
            <w:vAlign w:val="center"/>
          </w:tcPr>
          <w:p w14:paraId="5C2D5B0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r>
      <w:tr w14:paraId="1DD8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047091F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515" w:type="pct"/>
            <w:tcBorders>
              <w:top w:val="nil"/>
              <w:left w:val="nil"/>
              <w:bottom w:val="single" w:color="000000" w:sz="8" w:space="0"/>
              <w:right w:val="single" w:color="000000" w:sz="8" w:space="0"/>
            </w:tcBorders>
            <w:shd w:val="clear" w:color="auto" w:fill="auto"/>
            <w:vAlign w:val="center"/>
          </w:tcPr>
          <w:p w14:paraId="07B769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文物储藏柜架(组合型）</w:t>
            </w:r>
          </w:p>
        </w:tc>
        <w:tc>
          <w:tcPr>
            <w:tcW w:w="3536" w:type="pct"/>
            <w:tcBorders>
              <w:top w:val="nil"/>
              <w:left w:val="nil"/>
              <w:bottom w:val="single" w:color="000000" w:sz="8" w:space="0"/>
              <w:right w:val="single" w:color="000000" w:sz="8" w:space="0"/>
            </w:tcBorders>
            <w:shd w:val="clear" w:color="auto" w:fill="auto"/>
            <w:vAlign w:val="center"/>
          </w:tcPr>
          <w:p w14:paraId="23F8C81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1.名称：文物储藏柜架(组合型）</w:t>
            </w:r>
          </w:p>
          <w:p w14:paraId="4B6F56F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2.规格：1200*800*2200mm</w:t>
            </w:r>
          </w:p>
          <w:p w14:paraId="270B4C1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3.结构：上对开门，下5层抽屉。联排组装；</w:t>
            </w:r>
          </w:p>
          <w:p w14:paraId="5AE0A16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（1）拆装框架体钢结构联排组装，高度可根据美观及使用实际程度分割。</w:t>
            </w:r>
          </w:p>
          <w:p w14:paraId="08D6E25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（2）外形简洁、大方美观，架体外侧四周做圆弧处理。</w:t>
            </w:r>
          </w:p>
          <w:p w14:paraId="3FFD65C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（3）门与门之间没有外露的文物承重柱，门开启角度160度以上。</w:t>
            </w:r>
          </w:p>
          <w:p w14:paraId="6ADA56D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4）柜门开启次数达到4万次以上并且无损坏变形；隔板分别每层载重160kg重物保持120min，试验后各零部件无损坏，无变形可正常使用；抽屉分别每层载重160kg重物保持120min，试验后各零部件无损坏，无变形可正常使用。</w:t>
            </w:r>
          </w:p>
          <w:p w14:paraId="1651E13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（5）底座配备水平调节装置。</w:t>
            </w:r>
          </w:p>
          <w:p w14:paraId="22B9175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（6）搁板均铺设亚麻布，实木板表面平整。</w:t>
            </w:r>
          </w:p>
          <w:p w14:paraId="22F97E2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（7）隔板分别每层承重达150KG，试验后不应开裂和断裂，各零部件不应有出现松动，任何零部件不得有严重影响使用功能的磨损或变形，活动零部件的工作应能灵活自如。</w:t>
            </w:r>
          </w:p>
          <w:p w14:paraId="7BAD723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（8）每层文物放置板、挂板能沿承重柱的垂直方向独立自由调整高度，同时可用螺丝固定在架体上起到避震作用。</w:t>
            </w:r>
          </w:p>
          <w:p w14:paraId="4FEC42D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（9）整列文物存储设施有气流通透性，且有防尘效果。</w:t>
            </w:r>
          </w:p>
          <w:p w14:paraId="6A4DBBF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（10）文物安保储藏设施达到互换性、延展性、空间随时可独立性、单架内部自由分割性、文物保护性等。</w:t>
            </w:r>
          </w:p>
          <w:p w14:paraId="0E30D77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▲（11）金属喷漆（塑）涂层硬度≥H；金属喷漆(塑)涂层附着力不低于1级；文物储藏柜架专用热固性粉末耐碱性(5%Na0H)检测方法GB/T9274-1988 中甲法240h无异常，耐酸性(3%HC1)检测方法GB/T9274-1988中甲法240h无异常，耐湿热性：检测方法GB/T1740-2007240h无异常。</w:t>
            </w:r>
          </w:p>
          <w:p w14:paraId="54AEB7C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门、抽屉面板侧板、顶板平整度≤0.2mm；着地平稳性≤2mm；门与框架、门与门、抽屉与框架、抽屉与门、抽屉与抽屉、多节式的柜与柜相邻两表面间的距离偏差(非设计要求的距离)≤2.0mm；抽屉下垂度≤20mm；抽屉摆动度≤15mm。</w:t>
            </w:r>
          </w:p>
          <w:p w14:paraId="41ABACD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（13）抽屉轨道采用隐形三节承重低噪音滑轨。</w:t>
            </w:r>
          </w:p>
          <w:p w14:paraId="30FF7AC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（14）隔板分别每层载重150KG以上，保持120min后各零部件无损坏无变形。</w:t>
            </w:r>
          </w:p>
          <w:p w14:paraId="562814F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en-US" w:eastAsia="zh-CN"/>
              </w:rPr>
              <w:t>（15）阻燃亚麻布：B1级阻燃。</w:t>
            </w:r>
          </w:p>
        </w:tc>
        <w:tc>
          <w:tcPr>
            <w:tcW w:w="227" w:type="pct"/>
            <w:tcBorders>
              <w:top w:val="nil"/>
              <w:left w:val="nil"/>
              <w:bottom w:val="single" w:color="000000" w:sz="8" w:space="0"/>
              <w:right w:val="single" w:color="000000" w:sz="8" w:space="0"/>
            </w:tcBorders>
            <w:shd w:val="clear" w:color="auto" w:fill="auto"/>
            <w:vAlign w:val="center"/>
          </w:tcPr>
          <w:p w14:paraId="3BFE04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337" w:type="pct"/>
            <w:tcBorders>
              <w:top w:val="nil"/>
              <w:left w:val="nil"/>
              <w:bottom w:val="single" w:color="000000" w:sz="8" w:space="0"/>
              <w:right w:val="single" w:color="000000" w:sz="8" w:space="0"/>
            </w:tcBorders>
            <w:shd w:val="clear" w:color="auto" w:fill="auto"/>
            <w:vAlign w:val="center"/>
          </w:tcPr>
          <w:p w14:paraId="6247D86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w:t>
            </w:r>
          </w:p>
        </w:tc>
      </w:tr>
      <w:tr w14:paraId="50D9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2C4385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515" w:type="pct"/>
            <w:tcBorders>
              <w:top w:val="nil"/>
              <w:left w:val="nil"/>
              <w:bottom w:val="single" w:color="000000" w:sz="8" w:space="0"/>
              <w:right w:val="single" w:color="000000" w:sz="8" w:space="0"/>
            </w:tcBorders>
            <w:shd w:val="clear" w:color="auto" w:fill="auto"/>
            <w:vAlign w:val="center"/>
          </w:tcPr>
          <w:p w14:paraId="72BBB2E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文物储藏柜架(多功能）</w:t>
            </w:r>
          </w:p>
        </w:tc>
        <w:tc>
          <w:tcPr>
            <w:tcW w:w="3536" w:type="pct"/>
            <w:tcBorders>
              <w:top w:val="nil"/>
              <w:left w:val="nil"/>
              <w:bottom w:val="single" w:color="000000" w:sz="8" w:space="0"/>
              <w:right w:val="single" w:color="000000" w:sz="8" w:space="0"/>
            </w:tcBorders>
            <w:shd w:val="clear" w:color="auto" w:fill="auto"/>
            <w:vAlign w:val="center"/>
          </w:tcPr>
          <w:p w14:paraId="786F690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val="en-US" w:eastAsia="zh-CN"/>
              </w:rPr>
              <w:t>名称：</w:t>
            </w:r>
            <w:r>
              <w:rPr>
                <w:rFonts w:hint="eastAsia" w:ascii="仿宋" w:hAnsi="仿宋" w:eastAsia="仿宋" w:cs="仿宋"/>
                <w:i w:val="0"/>
                <w:iCs w:val="0"/>
                <w:snapToGrid w:val="0"/>
                <w:color w:val="000000"/>
                <w:kern w:val="0"/>
                <w:sz w:val="24"/>
                <w:szCs w:val="24"/>
                <w:u w:val="none"/>
                <w:lang w:val="en-US" w:eastAsia="zh-CN" w:bidi="ar"/>
              </w:rPr>
              <w:t>文物储藏柜架(多功能）</w:t>
            </w:r>
          </w:p>
          <w:p w14:paraId="7F6F2EF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2.规格：1200*800*2200mm，可定制。</w:t>
            </w:r>
          </w:p>
          <w:p w14:paraId="4FD336A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3.结构：对开玻璃门；6层搁板；联排组装。</w:t>
            </w:r>
          </w:p>
          <w:p w14:paraId="662E8B3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（1）拆装框架体钢结构联排组装，高度可根据美观及使用实际程度分割。</w:t>
            </w:r>
          </w:p>
          <w:p w14:paraId="5EBCA30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（2）外形简洁、大方美观，架体外侧四周做圆弧处理。</w:t>
            </w:r>
          </w:p>
          <w:p w14:paraId="28912E4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（3）门与门之间没有外露的文物承重柱，门开启角度160度以上。</w:t>
            </w:r>
          </w:p>
          <w:p w14:paraId="3BEF091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（4）底座配备水平调节装置，有效确保架体平稳性。底座配置固定装置，可使底座与地面连接牢靠。 </w:t>
            </w:r>
          </w:p>
          <w:p w14:paraId="6A0A9B7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（5）每层文物放置板、挂板能沿文物承重柱的垂直方向独立自由调整高度。</w:t>
            </w:r>
          </w:p>
          <w:p w14:paraId="74673CF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（6）锁采用黑方锁，材质为合金结构，锁、拉手、连动装置一体化设计钥匙采用三级管理（便于文物管理员管理）。</w:t>
            </w:r>
          </w:p>
          <w:p w14:paraId="5737E83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（7）整列文物存储设施有气流通透性，且有防尘效果。</w:t>
            </w:r>
          </w:p>
          <w:p w14:paraId="6E391FF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（8）文物安保储藏设施达到互换性、延展性、空间随时可独立性、单架内部自由分割性、文物保护性等。</w:t>
            </w:r>
          </w:p>
          <w:p w14:paraId="253E4B6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（9）隔板分别每层载重150KG以上，保持120min后各零部件无损坏无变形。</w:t>
            </w:r>
          </w:p>
          <w:p w14:paraId="1AF8528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（三）性能：</w:t>
            </w:r>
          </w:p>
          <w:p w14:paraId="4DCC50A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▲（1）柜体外观底框对角线差≤1.5mm，架体对角线差≤2mm；柜体整体环保要求满足：甲醛释放量≤0.05mg/m3，苯≤0.05mg/m3，甲苯≤0.5mg/m3，二甲苯≤0.5mg/m3，总挥发性有机化合物（TVOC）≤0.5mg/m3；</w:t>
            </w:r>
          </w:p>
          <w:p w14:paraId="45DA013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▲（2）柜门开启次数需达到4万次以上，门板平整度≤0.2mm，门板对角线差≤1.0mm，柜门垂直加载：开启后向下施加100kg力，承载受力60min，试验后柜体无倾斜，无损坏，无明显变形，可正常使用。</w:t>
            </w:r>
          </w:p>
          <w:p w14:paraId="24CBE1C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（3）组件拆装方便，所有部件外观平滑，没有外露尖角、毛刺。</w:t>
            </w:r>
          </w:p>
          <w:p w14:paraId="13BADB0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（4）文物放置板载重正压力大于150kg，每层自由调整，便于存放尺寸较大的文物，</w:t>
            </w:r>
          </w:p>
          <w:p w14:paraId="1B3C4CE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（5）每标准节的高层门开启90度及文物放置板完全抽出并施加100kg向下正压力时，架体无任何倾斜。</w:t>
            </w:r>
          </w:p>
          <w:p w14:paraId="6AE5FDE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▲（6）隔板分别每层载重150KG以上，保持120min后各零部件无损坏无变形；搁板铺设，承载受力300h,承重160kg，挠度≤1.5mm，不损坏、无明显变形；搁板表面平整度≤0.2mm，搁板对角线差≤1.5mm。</w:t>
            </w:r>
          </w:p>
          <w:p w14:paraId="28608D1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en-US" w:eastAsia="zh-CN"/>
              </w:rPr>
              <w:t>（7）阻燃亚麻布：B1级阻燃。</w:t>
            </w:r>
          </w:p>
        </w:tc>
        <w:tc>
          <w:tcPr>
            <w:tcW w:w="227" w:type="pct"/>
            <w:tcBorders>
              <w:top w:val="nil"/>
              <w:left w:val="nil"/>
              <w:bottom w:val="single" w:color="000000" w:sz="8" w:space="0"/>
              <w:right w:val="single" w:color="000000" w:sz="8" w:space="0"/>
            </w:tcBorders>
            <w:shd w:val="clear" w:color="auto" w:fill="auto"/>
            <w:vAlign w:val="center"/>
          </w:tcPr>
          <w:p w14:paraId="70CE5C2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337" w:type="pct"/>
            <w:tcBorders>
              <w:top w:val="nil"/>
              <w:left w:val="nil"/>
              <w:bottom w:val="single" w:color="000000" w:sz="8" w:space="0"/>
              <w:right w:val="single" w:color="000000" w:sz="8" w:space="0"/>
            </w:tcBorders>
            <w:shd w:val="clear" w:color="auto" w:fill="auto"/>
            <w:vAlign w:val="center"/>
          </w:tcPr>
          <w:p w14:paraId="4C6E04E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w:t>
            </w:r>
          </w:p>
        </w:tc>
      </w:tr>
      <w:tr w14:paraId="2963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7F0FEB0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515" w:type="pct"/>
            <w:tcBorders>
              <w:top w:val="nil"/>
              <w:left w:val="nil"/>
              <w:bottom w:val="single" w:color="000000" w:sz="8" w:space="0"/>
              <w:right w:val="single" w:color="000000" w:sz="8" w:space="0"/>
            </w:tcBorders>
            <w:shd w:val="clear" w:color="auto" w:fill="auto"/>
            <w:vAlign w:val="center"/>
          </w:tcPr>
          <w:p w14:paraId="0442712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重型文物储藏专用架</w:t>
            </w:r>
          </w:p>
        </w:tc>
        <w:tc>
          <w:tcPr>
            <w:tcW w:w="3536" w:type="pct"/>
            <w:tcBorders>
              <w:top w:val="nil"/>
              <w:left w:val="nil"/>
              <w:bottom w:val="single" w:color="000000" w:sz="8" w:space="0"/>
              <w:right w:val="single" w:color="000000" w:sz="8" w:space="0"/>
            </w:tcBorders>
            <w:shd w:val="clear" w:color="auto" w:fill="auto"/>
            <w:vAlign w:val="center"/>
          </w:tcPr>
          <w:p w14:paraId="27E0DBC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1.名称：</w:t>
            </w:r>
            <w:r>
              <w:rPr>
                <w:rFonts w:hint="eastAsia" w:ascii="仿宋" w:hAnsi="仿宋" w:eastAsia="仿宋" w:cs="仿宋"/>
                <w:i w:val="0"/>
                <w:iCs w:val="0"/>
                <w:snapToGrid w:val="0"/>
                <w:color w:val="000000"/>
                <w:kern w:val="0"/>
                <w:sz w:val="24"/>
                <w:szCs w:val="24"/>
                <w:u w:val="none"/>
                <w:lang w:val="en-US" w:eastAsia="zh-CN" w:bidi="ar"/>
              </w:rPr>
              <w:t>重型文物储藏专用架</w:t>
            </w:r>
          </w:p>
          <w:p w14:paraId="3CE4039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2.规格：1200*800*2200mm，可定制。</w:t>
            </w:r>
          </w:p>
          <w:p w14:paraId="496D195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val="zh-CN" w:eastAsia="zh-CN"/>
              </w:rPr>
              <w:t>结构：</w:t>
            </w:r>
            <w:r>
              <w:rPr>
                <w:rFonts w:hint="eastAsia" w:ascii="仿宋" w:hAnsi="仿宋" w:eastAsia="仿宋" w:cs="仿宋"/>
                <w:b w:val="0"/>
                <w:bCs w:val="0"/>
                <w:sz w:val="24"/>
                <w:szCs w:val="24"/>
                <w:lang w:val="en-US" w:eastAsia="zh-CN"/>
              </w:rPr>
              <w:t>分4层（含顶），联排组装。</w:t>
            </w:r>
          </w:p>
          <w:p w14:paraId="3F8EBB9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（1）单层</w:t>
            </w:r>
            <w:r>
              <w:rPr>
                <w:rFonts w:hint="eastAsia" w:ascii="仿宋" w:hAnsi="仿宋" w:eastAsia="仿宋" w:cs="仿宋"/>
                <w:b w:val="0"/>
                <w:bCs w:val="0"/>
                <w:sz w:val="24"/>
                <w:szCs w:val="24"/>
                <w:lang w:val="zh-CN" w:eastAsia="zh-CN"/>
              </w:rPr>
              <w:t>承重</w:t>
            </w:r>
            <w:r>
              <w:rPr>
                <w:rFonts w:hint="eastAsia" w:ascii="仿宋" w:hAnsi="仿宋" w:eastAsia="仿宋" w:cs="仿宋"/>
                <w:b w:val="0"/>
                <w:bCs w:val="0"/>
                <w:sz w:val="24"/>
                <w:szCs w:val="24"/>
                <w:lang w:val="en-US" w:eastAsia="zh-CN"/>
              </w:rPr>
              <w:t>不低于1000KG。</w:t>
            </w:r>
          </w:p>
          <w:p w14:paraId="490D972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val="zh-CN" w:eastAsia="zh-CN"/>
              </w:rPr>
              <w:t>主体结构分底框主拉杆、文物承重柱、层板主拉杆、顶板主拉杆、文物放置板等组成，采用框架底座，可拆开运输安装。各部位的安装绝对牢固、可靠、无松动现象，文物放置板外沿与文物承重柱外侧、同联同层板均在一个水平面上，文物放置板连接部位没有任何活动量底框主拉杆、层板主拉杆、顶板主拉杆、固定板、均为三挂钩固定。确保整个架体的稳定性。</w:t>
            </w:r>
          </w:p>
          <w:p w14:paraId="341374F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（3）最下面两层文物放置板加装龙骨支撑，确保承重。</w:t>
            </w:r>
          </w:p>
          <w:p w14:paraId="41D81CC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（4）底梁、横梁、顶梁、配备防跌落装置。</w:t>
            </w:r>
          </w:p>
          <w:p w14:paraId="49A1FE7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每标准节(4层双面文物放置板)在全负载(每层单面文物放置板均匀载重1000kg)的情况下，架体、文物承重柱没有任何变形,架体不产生倾斜现象，经48小时，文物放置板最大挠度不超过1mm，卸载后无裂纹，无明显变形，残余变形量&lt;0.1mm；搁板承重搁板加有支撑横梁，承重受力300h，承载1000kg，试验后各零部件无损坏，无明显变形；立柱下屈服强度≥300MPa。</w:t>
            </w:r>
          </w:p>
          <w:p w14:paraId="60E50DB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（三）</w:t>
            </w:r>
            <w:r>
              <w:rPr>
                <w:rFonts w:hint="eastAsia" w:ascii="仿宋" w:hAnsi="仿宋" w:eastAsia="仿宋" w:cs="仿宋"/>
                <w:b w:val="0"/>
                <w:bCs w:val="0"/>
                <w:sz w:val="24"/>
                <w:szCs w:val="24"/>
                <w:lang w:val="zh-CN" w:eastAsia="zh-CN"/>
              </w:rPr>
              <w:t>性能：</w:t>
            </w:r>
          </w:p>
          <w:p w14:paraId="3A2AE74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（1）文物承重柱结构采用2.</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lang w:val="zh-CN" w:eastAsia="zh-CN"/>
              </w:rPr>
              <w:t>mm冷轧板部件组成,组装后平整牢固。</w:t>
            </w:r>
          </w:p>
          <w:p w14:paraId="7C3B8DC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（2）文物放置板冷轧钢板模具冲压成形,互换性强。每层标准均匀承重力≥</w:t>
            </w:r>
            <w:r>
              <w:rPr>
                <w:rFonts w:hint="eastAsia" w:ascii="仿宋" w:hAnsi="仿宋" w:eastAsia="仿宋" w:cs="仿宋"/>
                <w:b w:val="0"/>
                <w:bCs w:val="0"/>
                <w:sz w:val="24"/>
                <w:szCs w:val="24"/>
                <w:lang w:val="en-US" w:eastAsia="zh-CN"/>
              </w:rPr>
              <w:t>160</w:t>
            </w:r>
            <w:r>
              <w:rPr>
                <w:rFonts w:hint="eastAsia" w:ascii="仿宋" w:hAnsi="仿宋" w:eastAsia="仿宋" w:cs="仿宋"/>
                <w:b w:val="0"/>
                <w:bCs w:val="0"/>
                <w:sz w:val="24"/>
                <w:szCs w:val="24"/>
                <w:lang w:val="zh-CN" w:eastAsia="zh-CN"/>
              </w:rPr>
              <w:t>Kg。</w:t>
            </w:r>
          </w:p>
          <w:p w14:paraId="40FD067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（3）整体牢固，无任何松动、晃动，部件组装后全负载情况下没有任何变形。</w:t>
            </w:r>
          </w:p>
          <w:p w14:paraId="57606C1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（4）</w:t>
            </w:r>
            <w:r>
              <w:rPr>
                <w:rFonts w:hint="eastAsia" w:ascii="仿宋" w:hAnsi="仿宋" w:eastAsia="仿宋" w:cs="仿宋"/>
                <w:b w:val="0"/>
                <w:bCs w:val="0"/>
                <w:sz w:val="24"/>
                <w:szCs w:val="24"/>
                <w:lang w:val="en-US" w:eastAsia="zh-CN"/>
              </w:rPr>
              <w:t>隔板分别每层载重160kg重物保持120min，试验后各零部件无损坏，无变形</w:t>
            </w:r>
            <w:r>
              <w:rPr>
                <w:rFonts w:hint="eastAsia" w:ascii="仿宋" w:hAnsi="仿宋" w:eastAsia="仿宋" w:cs="仿宋"/>
                <w:b w:val="0"/>
                <w:bCs w:val="0"/>
                <w:sz w:val="24"/>
                <w:szCs w:val="24"/>
                <w:lang w:val="zh-CN" w:eastAsia="zh-CN"/>
              </w:rPr>
              <w:t>。</w:t>
            </w:r>
          </w:p>
          <w:p w14:paraId="407B9FC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（5）</w:t>
            </w:r>
            <w:r>
              <w:rPr>
                <w:rFonts w:hint="eastAsia" w:ascii="仿宋" w:hAnsi="仿宋" w:eastAsia="仿宋" w:cs="仿宋"/>
                <w:b w:val="0"/>
                <w:bCs w:val="0"/>
                <w:sz w:val="24"/>
                <w:szCs w:val="24"/>
                <w:lang w:val="en-US" w:eastAsia="zh-CN"/>
              </w:rPr>
              <w:t>金属喷漆涂层附着力不低于1级，硬度大于等于H。</w:t>
            </w:r>
          </w:p>
          <w:p w14:paraId="02DA227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en-US" w:eastAsia="zh-CN"/>
              </w:rPr>
              <w:t>（6）柜体整体环保要求满足：甲醛释放量≤0.05mg/m3，苯≤0.05mg/m3，甲苯≤0.1mg/m3，二甲苯≤0.1mg/m3，总挥发性有机化合物（TVOC）≤0.3mg/m3。</w:t>
            </w:r>
          </w:p>
        </w:tc>
        <w:tc>
          <w:tcPr>
            <w:tcW w:w="227" w:type="pct"/>
            <w:tcBorders>
              <w:top w:val="nil"/>
              <w:left w:val="nil"/>
              <w:bottom w:val="single" w:color="000000" w:sz="8" w:space="0"/>
              <w:right w:val="single" w:color="000000" w:sz="8" w:space="0"/>
            </w:tcBorders>
            <w:shd w:val="clear" w:color="auto" w:fill="auto"/>
            <w:vAlign w:val="center"/>
          </w:tcPr>
          <w:p w14:paraId="1D877D0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337" w:type="pct"/>
            <w:tcBorders>
              <w:top w:val="nil"/>
              <w:left w:val="nil"/>
              <w:bottom w:val="single" w:color="000000" w:sz="8" w:space="0"/>
              <w:right w:val="single" w:color="000000" w:sz="8" w:space="0"/>
            </w:tcBorders>
            <w:shd w:val="clear" w:color="auto" w:fill="auto"/>
            <w:vAlign w:val="center"/>
          </w:tcPr>
          <w:p w14:paraId="60CEF3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w:t>
            </w:r>
          </w:p>
        </w:tc>
      </w:tr>
      <w:tr w14:paraId="0B15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6CB6A23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515" w:type="pct"/>
            <w:tcBorders>
              <w:top w:val="nil"/>
              <w:left w:val="nil"/>
              <w:bottom w:val="single" w:color="000000" w:sz="8" w:space="0"/>
              <w:right w:val="single" w:color="000000" w:sz="8" w:space="0"/>
            </w:tcBorders>
            <w:shd w:val="clear" w:color="auto" w:fill="auto"/>
            <w:vAlign w:val="center"/>
          </w:tcPr>
          <w:p w14:paraId="640CB01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文物专用整理案</w:t>
            </w:r>
          </w:p>
        </w:tc>
        <w:tc>
          <w:tcPr>
            <w:tcW w:w="3536" w:type="pct"/>
            <w:tcBorders>
              <w:top w:val="nil"/>
              <w:left w:val="nil"/>
              <w:bottom w:val="single" w:color="000000" w:sz="8" w:space="0"/>
              <w:right w:val="single" w:color="000000" w:sz="8" w:space="0"/>
            </w:tcBorders>
            <w:shd w:val="clear" w:color="auto" w:fill="auto"/>
            <w:vAlign w:val="center"/>
          </w:tcPr>
          <w:p w14:paraId="3ADADDD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一）规格：1200*600*800mm</w:t>
            </w:r>
          </w:p>
          <w:p w14:paraId="14C31B8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二）结构：复合实木桌面，钢制桌架；</w:t>
            </w:r>
          </w:p>
          <w:p w14:paraId="1F3F64D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三）材质：桌面采用E1级优质环保复合实木板，楸木纯木皮贴面，厚度0.4mm，优质“易涂宝”环保油漆喷涂，颜色由甲方确定；桌架为固定焊接型，确保牢固稳定，桌腿采用60mm×30mm优质方管，厚度2mm，横梁、边梁采用30mm×60mm矩形优质钢管，厚度1.5 mm，底角加装可调节亮光可调脚，喷涂前对钢制架体表面进行抛丸除锈和磷化、钝化双重处理，确保架体表面涂层不脱落坚固耐用，外观颜色采用热固型环氧树脂粉末喷涂，颜色为银灰色；</w:t>
            </w:r>
          </w:p>
        </w:tc>
        <w:tc>
          <w:tcPr>
            <w:tcW w:w="227" w:type="pct"/>
            <w:tcBorders>
              <w:top w:val="nil"/>
              <w:left w:val="nil"/>
              <w:bottom w:val="single" w:color="000000" w:sz="8" w:space="0"/>
              <w:right w:val="single" w:color="000000" w:sz="8" w:space="0"/>
            </w:tcBorders>
            <w:shd w:val="clear" w:color="auto" w:fill="auto"/>
            <w:vAlign w:val="center"/>
          </w:tcPr>
          <w:p w14:paraId="4BD407B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337" w:type="pct"/>
            <w:tcBorders>
              <w:top w:val="nil"/>
              <w:left w:val="nil"/>
              <w:bottom w:val="single" w:color="000000" w:sz="8" w:space="0"/>
              <w:right w:val="single" w:color="000000" w:sz="8" w:space="0"/>
            </w:tcBorders>
            <w:shd w:val="clear" w:color="auto" w:fill="auto"/>
            <w:vAlign w:val="center"/>
          </w:tcPr>
          <w:p w14:paraId="6E0A501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1C4C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18C3F59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515" w:type="pct"/>
            <w:tcBorders>
              <w:top w:val="nil"/>
              <w:left w:val="nil"/>
              <w:bottom w:val="single" w:color="000000" w:sz="8" w:space="0"/>
              <w:right w:val="single" w:color="000000" w:sz="8" w:space="0"/>
            </w:tcBorders>
            <w:shd w:val="clear" w:color="auto" w:fill="auto"/>
            <w:vAlign w:val="center"/>
          </w:tcPr>
          <w:p w14:paraId="7F0BEE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文物卡片柜</w:t>
            </w:r>
          </w:p>
        </w:tc>
        <w:tc>
          <w:tcPr>
            <w:tcW w:w="3536" w:type="pct"/>
            <w:tcBorders>
              <w:top w:val="nil"/>
              <w:left w:val="nil"/>
              <w:bottom w:val="single" w:color="000000" w:sz="8" w:space="0"/>
              <w:right w:val="single" w:color="000000" w:sz="8" w:space="0"/>
            </w:tcBorders>
            <w:shd w:val="clear" w:color="auto" w:fill="auto"/>
            <w:vAlign w:val="center"/>
          </w:tcPr>
          <w:p w14:paraId="7B16E7F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lang w:val="zh-CN" w:eastAsia="zh-CN"/>
              </w:rPr>
              <w:t>规格：1000*400*1600mm</w:t>
            </w:r>
          </w:p>
          <w:p w14:paraId="7068C3D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二）</w:t>
            </w:r>
            <w:r>
              <w:rPr>
                <w:rFonts w:hint="eastAsia" w:ascii="仿宋" w:hAnsi="仿宋" w:eastAsia="仿宋" w:cs="仿宋"/>
                <w:b w:val="0"/>
                <w:bCs w:val="0"/>
                <w:sz w:val="24"/>
                <w:szCs w:val="24"/>
                <w:lang w:val="zh-CN" w:eastAsia="zh-CN"/>
              </w:rPr>
              <w:t>结构：28抽，七层抽屉，每层四抽；下对开门</w:t>
            </w:r>
          </w:p>
          <w:p w14:paraId="5663C88E">
            <w:pPr>
              <w:pStyle w:val="24"/>
              <w:keepNext w:val="0"/>
              <w:keepLines w:val="0"/>
              <w:pageBreakBefore w:val="0"/>
              <w:numPr>
                <w:ilvl w:val="0"/>
                <w:numId w:val="5"/>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全钢制柜体结构，七层抽屉，每层四抽。</w:t>
            </w:r>
          </w:p>
          <w:p w14:paraId="378D7832">
            <w:pPr>
              <w:pStyle w:val="24"/>
              <w:keepNext w:val="0"/>
              <w:keepLines w:val="0"/>
              <w:pageBreakBefore w:val="0"/>
              <w:numPr>
                <w:ilvl w:val="0"/>
                <w:numId w:val="5"/>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外形简洁、大方美观。</w:t>
            </w:r>
          </w:p>
          <w:p w14:paraId="49671258">
            <w:pPr>
              <w:pStyle w:val="24"/>
              <w:keepNext w:val="0"/>
              <w:keepLines w:val="0"/>
              <w:pageBreakBefore w:val="0"/>
              <w:numPr>
                <w:ilvl w:val="0"/>
                <w:numId w:val="5"/>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抽屉与抽屉之间没有外露横梁和立柱。   </w:t>
            </w:r>
          </w:p>
          <w:p w14:paraId="4703864C">
            <w:pPr>
              <w:pStyle w:val="24"/>
              <w:keepNext w:val="0"/>
              <w:keepLines w:val="0"/>
              <w:pageBreakBefore w:val="0"/>
              <w:numPr>
                <w:ilvl w:val="0"/>
                <w:numId w:val="5"/>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S型钢折边拉手美观，耐腐蚀。</w:t>
            </w:r>
          </w:p>
          <w:p w14:paraId="754B1199">
            <w:pPr>
              <w:pStyle w:val="24"/>
              <w:keepNext w:val="0"/>
              <w:keepLines w:val="0"/>
              <w:pageBreakBefore w:val="0"/>
              <w:numPr>
                <w:ilvl w:val="0"/>
                <w:numId w:val="5"/>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抽屉采用隐蔽型载重三节滚珠路轨。</w:t>
            </w:r>
          </w:p>
          <w:p w14:paraId="69A1F48D">
            <w:pPr>
              <w:pStyle w:val="24"/>
              <w:keepNext w:val="0"/>
              <w:keepLines w:val="0"/>
              <w:pageBreakBefore w:val="0"/>
              <w:numPr>
                <w:ilvl w:val="0"/>
                <w:numId w:val="5"/>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抽屉内安装表面平整。</w:t>
            </w:r>
          </w:p>
          <w:p w14:paraId="21137527">
            <w:pPr>
              <w:pStyle w:val="24"/>
              <w:keepNext w:val="0"/>
              <w:keepLines w:val="0"/>
              <w:pageBreakBefore w:val="0"/>
              <w:numPr>
                <w:ilvl w:val="0"/>
                <w:numId w:val="5"/>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抽屉安装加重三节道轨，整个抽屉可全部拉出；</w:t>
            </w:r>
          </w:p>
          <w:p w14:paraId="72796911">
            <w:pPr>
              <w:pStyle w:val="24"/>
              <w:keepNext w:val="0"/>
              <w:keepLines w:val="0"/>
              <w:pageBreakBefore w:val="0"/>
              <w:numPr>
                <w:ilvl w:val="0"/>
                <w:numId w:val="5"/>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每抽屉内部加装文物检索牌固定装置。 </w:t>
            </w:r>
          </w:p>
          <w:p w14:paraId="7756A584">
            <w:pPr>
              <w:keepNext w:val="0"/>
              <w:keepLines w:val="0"/>
              <w:pageBreakBefore w:val="0"/>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三）</w:t>
            </w:r>
            <w:r>
              <w:rPr>
                <w:rFonts w:hint="eastAsia" w:ascii="仿宋" w:hAnsi="仿宋" w:eastAsia="仿宋" w:cs="仿宋"/>
                <w:sz w:val="24"/>
                <w:szCs w:val="24"/>
              </w:rPr>
              <w:t>性能</w:t>
            </w:r>
          </w:p>
          <w:p w14:paraId="27646845">
            <w:pPr>
              <w:pStyle w:val="24"/>
              <w:keepNext w:val="0"/>
              <w:keepLines w:val="0"/>
              <w:pageBreakBefore w:val="0"/>
              <w:numPr>
                <w:ilvl w:val="0"/>
                <w:numId w:val="6"/>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柜体稳定坚固，抽屉使用灵活可靠。</w:t>
            </w:r>
          </w:p>
          <w:p w14:paraId="10F79F5D">
            <w:pPr>
              <w:pStyle w:val="24"/>
              <w:keepNext w:val="0"/>
              <w:keepLines w:val="0"/>
              <w:pageBreakBefore w:val="0"/>
              <w:numPr>
                <w:ilvl w:val="0"/>
                <w:numId w:val="6"/>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柜门及抽屉开关轻便、没有噪声。</w:t>
            </w:r>
          </w:p>
          <w:p w14:paraId="4B27BA27">
            <w:pPr>
              <w:pStyle w:val="24"/>
              <w:keepNext w:val="0"/>
              <w:keepLines w:val="0"/>
              <w:pageBreakBefore w:val="0"/>
              <w:numPr>
                <w:ilvl w:val="0"/>
                <w:numId w:val="6"/>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组件拆装方便，所有部件外观平滑，没有外露尖角、毛刺。</w:t>
            </w:r>
          </w:p>
          <w:p w14:paraId="407BE205">
            <w:pPr>
              <w:pStyle w:val="24"/>
              <w:keepNext w:val="0"/>
              <w:keepLines w:val="0"/>
              <w:pageBreakBefore w:val="0"/>
              <w:numPr>
                <w:ilvl w:val="0"/>
                <w:numId w:val="6"/>
              </w:numPr>
              <w:wordWrap/>
              <w:overflowPunct/>
              <w:topLinePunct w:val="0"/>
              <w:bidi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抽屉每层均匀载重正压力大于40kg。</w:t>
            </w:r>
          </w:p>
          <w:p w14:paraId="0D858879">
            <w:pPr>
              <w:pStyle w:val="24"/>
              <w:keepNext w:val="0"/>
              <w:keepLines w:val="0"/>
              <w:pageBreakBefore w:val="0"/>
              <w:numPr>
                <w:ilvl w:val="0"/>
                <w:numId w:val="6"/>
              </w:numPr>
              <w:wordWrap/>
              <w:overflowPunct/>
              <w:topLinePunct w:val="0"/>
              <w:bidi w:val="0"/>
              <w:spacing w:line="240" w:lineRule="auto"/>
              <w:ind w:left="0" w:firstLine="0" w:firstLineChars="0"/>
              <w:jc w:val="left"/>
              <w:rPr>
                <w:rFonts w:hint="eastAsia" w:ascii="仿宋" w:hAnsi="仿宋" w:eastAsia="仿宋" w:cs="仿宋"/>
                <w:i w:val="0"/>
                <w:iCs w:val="0"/>
                <w:color w:val="000000"/>
                <w:sz w:val="24"/>
                <w:szCs w:val="24"/>
                <w:u w:val="none"/>
              </w:rPr>
            </w:pPr>
            <w:r>
              <w:rPr>
                <w:rFonts w:hint="eastAsia" w:ascii="仿宋" w:hAnsi="仿宋" w:eastAsia="仿宋" w:cs="仿宋"/>
                <w:sz w:val="24"/>
                <w:szCs w:val="24"/>
              </w:rPr>
              <w:t>每标准节的高层门开启90度及高层抽屉完全抽出并施加80kg向下正压力时，架体不会有任何倾斜</w:t>
            </w:r>
          </w:p>
        </w:tc>
        <w:tc>
          <w:tcPr>
            <w:tcW w:w="227" w:type="pct"/>
            <w:tcBorders>
              <w:top w:val="nil"/>
              <w:left w:val="nil"/>
              <w:bottom w:val="single" w:color="000000" w:sz="8" w:space="0"/>
              <w:right w:val="single" w:color="000000" w:sz="8" w:space="0"/>
            </w:tcBorders>
            <w:shd w:val="clear" w:color="auto" w:fill="auto"/>
            <w:vAlign w:val="center"/>
          </w:tcPr>
          <w:p w14:paraId="2D80555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337" w:type="pct"/>
            <w:tcBorders>
              <w:top w:val="nil"/>
              <w:left w:val="nil"/>
              <w:bottom w:val="single" w:color="000000" w:sz="8" w:space="0"/>
              <w:right w:val="single" w:color="000000" w:sz="8" w:space="0"/>
            </w:tcBorders>
            <w:shd w:val="clear" w:color="auto" w:fill="auto"/>
            <w:vAlign w:val="center"/>
          </w:tcPr>
          <w:p w14:paraId="4F78447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组</w:t>
            </w:r>
          </w:p>
        </w:tc>
      </w:tr>
      <w:tr w14:paraId="434D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5F99B52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515" w:type="pct"/>
            <w:tcBorders>
              <w:top w:val="nil"/>
              <w:left w:val="nil"/>
              <w:bottom w:val="single" w:color="000000" w:sz="8" w:space="0"/>
              <w:right w:val="single" w:color="000000" w:sz="8" w:space="0"/>
            </w:tcBorders>
            <w:shd w:val="clear" w:color="auto" w:fill="auto"/>
            <w:vAlign w:val="center"/>
          </w:tcPr>
          <w:p w14:paraId="6B60FDA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文物多功能空调</w:t>
            </w:r>
          </w:p>
        </w:tc>
        <w:tc>
          <w:tcPr>
            <w:tcW w:w="3536" w:type="pct"/>
            <w:tcBorders>
              <w:top w:val="nil"/>
              <w:left w:val="nil"/>
              <w:bottom w:val="single" w:color="000000" w:sz="8" w:space="0"/>
              <w:right w:val="single" w:color="000000" w:sz="8" w:space="0"/>
            </w:tcBorders>
            <w:shd w:val="clear" w:color="auto" w:fill="auto"/>
            <w:vAlign w:val="center"/>
          </w:tcPr>
          <w:p w14:paraId="435CE02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（一）尺寸：1765*302*506mm</w:t>
            </w:r>
          </w:p>
          <w:p w14:paraId="1F4A068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en-US" w:eastAsia="zh-CN"/>
              </w:rPr>
              <w:t>（二）简介：8500W的制冷量和9220W的制热量，1210m³/h的风量，适用于33-50㎡的空间；支持键控和遥控两种操作方式，用户还可以通过手机APP进行远程操控，方便快捷，可提前开启空调或调节温度等；采用双温差PID变频技术，可快速响应室内温度变化；具有独立除湿功能，可有效去除室内湿气能快速调节室内温度；具备一键PMV功能，可根据环境自动调节最舒适温度，比普通模式省电约30%。</w:t>
            </w:r>
          </w:p>
        </w:tc>
        <w:tc>
          <w:tcPr>
            <w:tcW w:w="227" w:type="pct"/>
            <w:tcBorders>
              <w:top w:val="nil"/>
              <w:left w:val="nil"/>
              <w:bottom w:val="single" w:color="000000" w:sz="8" w:space="0"/>
              <w:right w:val="single" w:color="000000" w:sz="8" w:space="0"/>
            </w:tcBorders>
            <w:shd w:val="clear" w:color="auto" w:fill="auto"/>
            <w:vAlign w:val="center"/>
          </w:tcPr>
          <w:p w14:paraId="4F96740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337" w:type="pct"/>
            <w:tcBorders>
              <w:top w:val="nil"/>
              <w:left w:val="nil"/>
              <w:bottom w:val="single" w:color="000000" w:sz="8" w:space="0"/>
              <w:right w:val="single" w:color="000000" w:sz="8" w:space="0"/>
            </w:tcBorders>
            <w:shd w:val="clear" w:color="auto" w:fill="auto"/>
            <w:vAlign w:val="center"/>
          </w:tcPr>
          <w:p w14:paraId="5B2F897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1716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4D13DE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515" w:type="pct"/>
            <w:tcBorders>
              <w:top w:val="nil"/>
              <w:left w:val="nil"/>
              <w:bottom w:val="single" w:color="000000" w:sz="8" w:space="0"/>
              <w:right w:val="single" w:color="000000" w:sz="8" w:space="0"/>
            </w:tcBorders>
            <w:shd w:val="clear" w:color="auto" w:fill="auto"/>
            <w:vAlign w:val="center"/>
          </w:tcPr>
          <w:p w14:paraId="2FDAAAE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文物登高梯</w:t>
            </w:r>
          </w:p>
        </w:tc>
        <w:tc>
          <w:tcPr>
            <w:tcW w:w="3536" w:type="pct"/>
            <w:tcBorders>
              <w:top w:val="nil"/>
              <w:left w:val="nil"/>
              <w:bottom w:val="single" w:color="000000" w:sz="8" w:space="0"/>
              <w:right w:val="single" w:color="000000" w:sz="8" w:space="0"/>
            </w:tcBorders>
            <w:shd w:val="clear" w:color="auto" w:fill="auto"/>
            <w:vAlign w:val="center"/>
          </w:tcPr>
          <w:p w14:paraId="4475CEF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lang w:val="zh-CN" w:eastAsia="zh-CN"/>
              </w:rPr>
              <w:t>规格：</w:t>
            </w:r>
            <w:r>
              <w:rPr>
                <w:rFonts w:hint="eastAsia" w:ascii="仿宋" w:hAnsi="仿宋" w:eastAsia="仿宋" w:cs="仿宋"/>
                <w:b w:val="0"/>
                <w:bCs w:val="0"/>
                <w:sz w:val="24"/>
                <w:szCs w:val="24"/>
                <w:lang w:val="en-US" w:eastAsia="zh-CN"/>
              </w:rPr>
              <w:t>三步</w:t>
            </w:r>
          </w:p>
          <w:p w14:paraId="0741E32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en-US" w:eastAsia="zh-CN"/>
              </w:rPr>
              <w:t>（二）结构：框架整体焊接结构，有扶手，及放物斗。踏板加装塑胶防滑垫，或软毡,下带方向轮，移动方便，并保证稳定性；当人踩踏上去之后，登高梯底部万向轮自动缩进，稳当可靠。</w:t>
            </w:r>
          </w:p>
        </w:tc>
        <w:tc>
          <w:tcPr>
            <w:tcW w:w="227" w:type="pct"/>
            <w:tcBorders>
              <w:top w:val="nil"/>
              <w:left w:val="nil"/>
              <w:bottom w:val="single" w:color="000000" w:sz="8" w:space="0"/>
              <w:right w:val="single" w:color="000000" w:sz="8" w:space="0"/>
            </w:tcBorders>
            <w:shd w:val="clear" w:color="auto" w:fill="auto"/>
            <w:vAlign w:val="center"/>
          </w:tcPr>
          <w:p w14:paraId="58E2E03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337" w:type="pct"/>
            <w:tcBorders>
              <w:top w:val="nil"/>
              <w:left w:val="nil"/>
              <w:bottom w:val="single" w:color="000000" w:sz="8" w:space="0"/>
              <w:right w:val="single" w:color="000000" w:sz="8" w:space="0"/>
            </w:tcBorders>
            <w:shd w:val="clear" w:color="auto" w:fill="auto"/>
            <w:vAlign w:val="center"/>
          </w:tcPr>
          <w:p w14:paraId="0AC93A1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3519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53825E5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515" w:type="pct"/>
            <w:tcBorders>
              <w:top w:val="nil"/>
              <w:left w:val="nil"/>
              <w:bottom w:val="single" w:color="000000" w:sz="8" w:space="0"/>
              <w:right w:val="single" w:color="000000" w:sz="8" w:space="0"/>
            </w:tcBorders>
            <w:shd w:val="clear" w:color="auto" w:fill="auto"/>
            <w:vAlign w:val="center"/>
          </w:tcPr>
          <w:p w14:paraId="61D8D8F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文物囊匣</w:t>
            </w:r>
          </w:p>
        </w:tc>
        <w:tc>
          <w:tcPr>
            <w:tcW w:w="3536" w:type="pct"/>
            <w:tcBorders>
              <w:top w:val="nil"/>
              <w:left w:val="nil"/>
              <w:bottom w:val="single" w:color="000000" w:sz="8" w:space="0"/>
              <w:right w:val="single" w:color="000000" w:sz="8" w:space="0"/>
            </w:tcBorders>
            <w:shd w:val="clear" w:color="auto" w:fill="auto"/>
            <w:vAlign w:val="center"/>
          </w:tcPr>
          <w:p w14:paraId="015B4311">
            <w:pPr>
              <w:keepNext w:val="0"/>
              <w:keepLines w:val="0"/>
              <w:pageBreakBefore w:val="0"/>
              <w:widowControl/>
              <w:numPr>
                <w:ilvl w:val="0"/>
                <w:numId w:val="7"/>
              </w:numPr>
              <w:suppressLineNumbers w:val="0"/>
              <w:wordWrap/>
              <w:overflowPunct/>
              <w:topLinePunct w:val="0"/>
              <w:bidi w:val="0"/>
              <w:spacing w:line="240" w:lineRule="auto"/>
              <w:ind w:lef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▲中密度纤维板（澳松板）: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 环保性指标：甲醛释放量≤3mg/100g，符合最高标准（E1）。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 物理指标：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(1)厚度：≥4.5mm。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(2)密度：≥0.7g/m³。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(3)含水率：4～10%。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(4)内结合强度:≥0.6MPa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2、▲宋锦：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2.1·无酸性指标:</w:t>
            </w:r>
          </w:p>
          <w:p w14:paraId="09E880FF">
            <w:pPr>
              <w:keepNext w:val="0"/>
              <w:keepLines w:val="0"/>
              <w:pageBreakBefore w:val="0"/>
              <w:widowControl/>
              <w:numPr>
                <w:ilvl w:val="0"/>
                <w:numId w:val="0"/>
              </w:numPr>
              <w:suppressLineNumbers w:val="0"/>
              <w:wordWrap/>
              <w:overflowPunct/>
              <w:topLinePunct w:val="0"/>
              <w:bidi w:val="0"/>
              <w:spacing w:line="240" w:lineRule="auto"/>
              <w:ind w:lef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(1)p值:4.0-7.5</w:t>
            </w:r>
          </w:p>
          <w:p w14:paraId="746D395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 物理指标：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（1）耐水色牢度、耐酸/碱汗渍色牢度、耐干摩擦色牢度等项指标：≥3。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（2）密度：经密≥650 根/cm，纬向≥300 根/cm。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（3）面料：粘纤≥20%、桑蚕丝≥60%、锦纶≥5%。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（4）宋锦纹样：用户选定；定制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 环保指标：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（1）甲醛含量：不含（N.D.）。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（2）可分解致癌芳香胺染料(偶氮)：不含。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（3）异味：无异味。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3、无酸棉布: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3.1 无酸性指标：Ph值：≧7.0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 物理指标：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纤维成分含量：棉含量 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(2)密度：经向≧580根/10cm，纬向≧ 255根/10cm。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耐水色牢度、耐酸/碱汗渍色牢度、耐干摩擦色牢度等项指标：≥3，符合A类标准。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4、▲超细纤维布：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4.1 无酸性指标：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（1）pH值6.8～7.2。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4.2 物理指标：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（1）耐水色牢度、耐酸/碱汗渍色牢度、耐干摩擦色牢度等项指标：≥3，符合A类标准。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（2）克重 140～160g/㎡；灰色、耐脏。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4.3 环保指标：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（1）甲醛含量：不含。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（2）不含可分解致癌芳香胺染料。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（3）无异味。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5、仿丝棉：超细仿丝棉。以超细中空涤纶短纤维为主要原料制成；丝光细滑、柔软，回弹性好。不发霉、不生虫。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5.1 无酸性指标：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（1）pH值：6.5～7.5。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5.2 环保性指标：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（1）甲醛含量：不含。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（2）不含可分解致癌芳香胺染料。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（3）无异味。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5.3 物理指标：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（1）耐水色牢度、耐酸/碱汗渍色牢度、耐干摩擦色牢度等项指标：≥3，符合A类标准。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（2）白色；细滑柔软，回弹性好。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6、无酸卡纸板:100%纯木浆。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6.1 无酸性指标：pH值8.4～8.7。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6.2 物理指标：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（1）厚度：0.65～0.7mm。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（2）克重：540～560g/㎡。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（3）紧度：0.80～0.88g/cm³。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（4）抗张强度（纵/横向）：≥30.0/17.7kN/m。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（5）卡伯值（硬度）：＜1.2。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6.3 环保指标：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（1）不含废浆及其他成分。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（2）无化学涂层或印刷油墨。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（3）不含荧光增白剂。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（4）不含过氧化物、氯、酸、游离甲醛和金属离子等可能会造成纸张老化降解的成分。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7、环保PE泡绵（电子交联PE泡棉）: 使用物理发泡技术生产的PE泡绵，不使用化学发泡剂。无毒、无臭、无污染物质析出，化学稳定性好；不易老化和变色。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7.1 环保性指标：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(1)不含甲醛。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(2)不含苯类、醚类、重金属等物质。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7.2 物理指标：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（1）浅色系；柔软度适中。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8、文保专用白胶（无酸白胶）:胶粘性能好，不发脆，不发霉；有适度韧性；无刺激性异味。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8.1 无酸性指标：pH值7.0～9.0。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8.2 环保性指标：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（1）塑化剂含量 ＜ 0.05mg/kg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（2）硫化物含量 ＜140mg/kg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（3）铁离子含量 ＜ 30mg/kg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（4）铜离子含量 ＜ 15mg/kg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（5）不含甲醛、苯类物质；不含增塑剂和金属离子。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9、热熔胶（EVA）：环保型EVA热熔胶。高纯度EVA材料。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9.1 物理指标：透明，无臭，无毒，无腐蚀性；热稳定性好，无炭化现象。粘合强度高，耐老化。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9.2 不含甲醛、苯类物质和金属离子。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9.3 无酸性指标：pH值6.0～7.0。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9.4 环保指标：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（1）塑化剂含量 ＜ 0.05mg/kg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（2）硫化物含量 ＜ 240mg/kg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（3）铁离子含量 ＜ 30mg/kg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（4）铜离子含量 ＜ 4mg/kg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10、囊匣配件(扣件/卡片框/包角/提手)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10.1 配件材质：锌合金。不得采用镀锌铁皮、铁质做旧配件或铁质仿古配件。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10.2 物理指标：材质坚硬，不生锈；表面光洁，质感及使用 手感良好。亚光色；有一定厚度，质感良好；不生锈，不氧化。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11、标签与标志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（1）每个囊匣的外侧应设计安装可记载文物信息的卡片框及卡片。标签和标志应牢固和清晰，并且置于醒目位置。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（2）所使用的材料、标识方式必须安全环保，不能对保存环境、盒体和文物造成不良损害。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（3）若囊匣有多个（或成组/成套）文物时，应按照内部摆放位置以表格形式体现并贴附在外盒上。</w:t>
            </w:r>
          </w:p>
        </w:tc>
        <w:tc>
          <w:tcPr>
            <w:tcW w:w="227" w:type="pct"/>
            <w:tcBorders>
              <w:top w:val="nil"/>
              <w:left w:val="nil"/>
              <w:bottom w:val="single" w:color="000000" w:sz="8" w:space="0"/>
              <w:right w:val="single" w:color="000000" w:sz="8" w:space="0"/>
            </w:tcBorders>
            <w:shd w:val="clear" w:color="auto" w:fill="auto"/>
            <w:vAlign w:val="center"/>
          </w:tcPr>
          <w:p w14:paraId="6709EF9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337" w:type="pct"/>
            <w:tcBorders>
              <w:top w:val="nil"/>
              <w:left w:val="nil"/>
              <w:bottom w:val="single" w:color="000000" w:sz="8" w:space="0"/>
              <w:right w:val="single" w:color="000000" w:sz="8" w:space="0"/>
            </w:tcBorders>
            <w:shd w:val="clear" w:color="auto" w:fill="auto"/>
            <w:vAlign w:val="center"/>
          </w:tcPr>
          <w:p w14:paraId="051FB2A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r>
      <w:tr w14:paraId="194B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025B314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515" w:type="pct"/>
            <w:tcBorders>
              <w:top w:val="nil"/>
              <w:left w:val="nil"/>
              <w:bottom w:val="single" w:color="000000" w:sz="8" w:space="0"/>
              <w:right w:val="single" w:color="000000" w:sz="8" w:space="0"/>
            </w:tcBorders>
            <w:shd w:val="clear" w:color="auto" w:fill="auto"/>
            <w:vAlign w:val="center"/>
          </w:tcPr>
          <w:p w14:paraId="75322CD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减震文物车（单斗）</w:t>
            </w:r>
          </w:p>
        </w:tc>
        <w:tc>
          <w:tcPr>
            <w:tcW w:w="3536" w:type="pct"/>
            <w:tcBorders>
              <w:top w:val="nil"/>
              <w:left w:val="nil"/>
              <w:bottom w:val="single" w:color="000000" w:sz="8" w:space="0"/>
              <w:right w:val="single" w:color="000000" w:sz="8" w:space="0"/>
            </w:tcBorders>
            <w:shd w:val="clear" w:color="auto" w:fill="auto"/>
            <w:vAlign w:val="center"/>
          </w:tcPr>
          <w:p w14:paraId="6CC9E45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lang w:val="zh-CN" w:eastAsia="zh-CN"/>
              </w:rPr>
              <w:t>规格：</w:t>
            </w:r>
            <w:r>
              <w:rPr>
                <w:rFonts w:hint="eastAsia" w:ascii="仿宋" w:hAnsi="仿宋" w:eastAsia="仿宋" w:cs="仿宋"/>
                <w:b w:val="0"/>
                <w:bCs w:val="0"/>
                <w:sz w:val="24"/>
                <w:szCs w:val="24"/>
                <w:lang w:val="en-US" w:eastAsia="zh-CN"/>
              </w:rPr>
              <w:t>900*600*950mm</w:t>
            </w:r>
          </w:p>
          <w:p w14:paraId="083E562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二）结构：箱体式结构，有推手，上层可加四周护板，底部四万向轮，单支承重≥50kg，万向轮上必须带有弹簧及避震器，当有重物放置，起到减震解压作用。箱体内设计文物保护装置。</w:t>
            </w:r>
          </w:p>
        </w:tc>
        <w:tc>
          <w:tcPr>
            <w:tcW w:w="227" w:type="pct"/>
            <w:tcBorders>
              <w:top w:val="nil"/>
              <w:left w:val="nil"/>
              <w:bottom w:val="single" w:color="000000" w:sz="8" w:space="0"/>
              <w:right w:val="single" w:color="000000" w:sz="8" w:space="0"/>
            </w:tcBorders>
            <w:shd w:val="clear" w:color="auto" w:fill="auto"/>
            <w:vAlign w:val="center"/>
          </w:tcPr>
          <w:p w14:paraId="56ADEA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337" w:type="pct"/>
            <w:tcBorders>
              <w:top w:val="nil"/>
              <w:left w:val="nil"/>
              <w:bottom w:val="single" w:color="000000" w:sz="8" w:space="0"/>
              <w:right w:val="single" w:color="000000" w:sz="8" w:space="0"/>
            </w:tcBorders>
            <w:shd w:val="clear" w:color="auto" w:fill="auto"/>
            <w:vAlign w:val="center"/>
          </w:tcPr>
          <w:p w14:paraId="1CB6BBF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51FD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4310790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515" w:type="pct"/>
            <w:tcBorders>
              <w:top w:val="nil"/>
              <w:left w:val="nil"/>
              <w:bottom w:val="single" w:color="000000" w:sz="8" w:space="0"/>
              <w:right w:val="single" w:color="000000" w:sz="8" w:space="0"/>
            </w:tcBorders>
            <w:shd w:val="clear" w:color="auto" w:fill="auto"/>
            <w:vAlign w:val="center"/>
          </w:tcPr>
          <w:p w14:paraId="1004A16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减震文物车（双斗）</w:t>
            </w:r>
          </w:p>
        </w:tc>
        <w:tc>
          <w:tcPr>
            <w:tcW w:w="3536" w:type="pct"/>
            <w:tcBorders>
              <w:top w:val="nil"/>
              <w:left w:val="nil"/>
              <w:bottom w:val="single" w:color="000000" w:sz="8" w:space="0"/>
              <w:right w:val="single" w:color="000000" w:sz="8" w:space="0"/>
            </w:tcBorders>
            <w:shd w:val="clear" w:color="auto" w:fill="auto"/>
            <w:vAlign w:val="center"/>
          </w:tcPr>
          <w:p w14:paraId="69F715F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lang w:val="zh-CN" w:eastAsia="zh-CN"/>
              </w:rPr>
              <w:t>规格：</w:t>
            </w:r>
            <w:r>
              <w:rPr>
                <w:rFonts w:hint="eastAsia" w:ascii="仿宋" w:hAnsi="仿宋" w:eastAsia="仿宋" w:cs="仿宋"/>
                <w:b w:val="0"/>
                <w:bCs w:val="0"/>
                <w:sz w:val="24"/>
                <w:szCs w:val="24"/>
                <w:lang w:val="en-US" w:eastAsia="zh-CN"/>
              </w:rPr>
              <w:t>1000*600*950mm</w:t>
            </w:r>
          </w:p>
          <w:p w14:paraId="5B8BF58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zh-CN" w:eastAsia="zh-CN"/>
              </w:rPr>
              <w:t>（</w:t>
            </w:r>
            <w:r>
              <w:rPr>
                <w:rFonts w:hint="eastAsia" w:ascii="仿宋" w:hAnsi="仿宋" w:eastAsia="仿宋" w:cs="仿宋"/>
                <w:b w:val="0"/>
                <w:bCs w:val="0"/>
                <w:sz w:val="24"/>
                <w:szCs w:val="24"/>
                <w:lang w:val="en-US" w:eastAsia="zh-CN"/>
              </w:rPr>
              <w:t>二）结构：箱体式结构，双向推手，双斗配置，底部四万向轮，单支承重≥50kg，万向轮上必须带有弹簧及避震器，当有重物放置，起到减震解压作用。箱体内设计文物保护装置。</w:t>
            </w:r>
          </w:p>
        </w:tc>
        <w:tc>
          <w:tcPr>
            <w:tcW w:w="227" w:type="pct"/>
            <w:tcBorders>
              <w:top w:val="nil"/>
              <w:left w:val="nil"/>
              <w:bottom w:val="single" w:color="000000" w:sz="8" w:space="0"/>
              <w:right w:val="single" w:color="000000" w:sz="8" w:space="0"/>
            </w:tcBorders>
            <w:shd w:val="clear" w:color="auto" w:fill="auto"/>
            <w:vAlign w:val="center"/>
          </w:tcPr>
          <w:p w14:paraId="61F0FEC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337" w:type="pct"/>
            <w:tcBorders>
              <w:top w:val="nil"/>
              <w:left w:val="nil"/>
              <w:bottom w:val="single" w:color="000000" w:sz="8" w:space="0"/>
              <w:right w:val="single" w:color="000000" w:sz="8" w:space="0"/>
            </w:tcBorders>
            <w:shd w:val="clear" w:color="auto" w:fill="auto"/>
            <w:vAlign w:val="center"/>
          </w:tcPr>
          <w:p w14:paraId="074ECD6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r>
      <w:tr w14:paraId="084B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5B923D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515" w:type="pct"/>
            <w:tcBorders>
              <w:top w:val="nil"/>
              <w:left w:val="nil"/>
              <w:bottom w:val="single" w:color="000000" w:sz="8" w:space="0"/>
              <w:right w:val="single" w:color="000000" w:sz="8" w:space="0"/>
            </w:tcBorders>
            <w:shd w:val="clear" w:color="auto" w:fill="auto"/>
            <w:vAlign w:val="center"/>
          </w:tcPr>
          <w:p w14:paraId="24A0DF0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甲级防盗门</w:t>
            </w:r>
          </w:p>
        </w:tc>
        <w:tc>
          <w:tcPr>
            <w:tcW w:w="3536" w:type="pct"/>
            <w:tcBorders>
              <w:top w:val="nil"/>
              <w:left w:val="nil"/>
              <w:bottom w:val="single" w:color="000000" w:sz="8" w:space="0"/>
              <w:right w:val="single" w:color="000000" w:sz="8" w:space="0"/>
            </w:tcBorders>
            <w:shd w:val="clear" w:color="auto" w:fill="auto"/>
            <w:vAlign w:val="center"/>
          </w:tcPr>
          <w:p w14:paraId="3715FD9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（一）外观及尺寸</w:t>
            </w:r>
          </w:p>
          <w:p w14:paraId="1866BFD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门框、门扇构件表面平整光洁，无明显凹痕和机械损伤；铭牌标志端正、牢固、清晰。所有金属构件表面均进行防腐蚀处理，用喷镀、电镀、喷塑、喷漆或其它等效方法，涂层均匀，没有明显的流挂、脱落、露底等缺陷。产品的表面平整，并无明显凹痕和机械损伤。</w:t>
            </w:r>
          </w:p>
          <w:p w14:paraId="3B805F0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2.门框、门扇尺寸检验：钢门框的制作3mm钢板加2mm</w:t>
            </w:r>
            <w:r>
              <w:rPr>
                <w:rFonts w:hint="eastAsia" w:ascii="仿宋" w:hAnsi="仿宋" w:eastAsia="仿宋" w:cs="仿宋"/>
                <w:sz w:val="24"/>
                <w:szCs w:val="24"/>
                <w:lang w:val="en-US" w:eastAsia="zh-CN"/>
              </w:rPr>
              <w:t>碳</w:t>
            </w:r>
            <w:r>
              <w:rPr>
                <w:rFonts w:hint="eastAsia" w:ascii="仿宋" w:hAnsi="仿宋" w:eastAsia="仿宋" w:cs="仿宋"/>
                <w:sz w:val="24"/>
                <w:szCs w:val="24"/>
                <w:lang w:eastAsia="zh-CN"/>
              </w:rPr>
              <w:t>钢；钢门框上有锁孔时，其与锁舌（栓）的最大配合间隙不大于3mm；门扇与门框的搭接宽度不小于8mm,门扇与门框配合活动间隙不大于4mm；</w:t>
            </w:r>
            <w:bookmarkStart w:id="2" w:name="page37"/>
            <w:bookmarkEnd w:id="2"/>
            <w:r>
              <w:rPr>
                <w:rFonts w:hint="eastAsia" w:ascii="仿宋" w:hAnsi="仿宋" w:eastAsia="仿宋" w:cs="仿宋"/>
                <w:sz w:val="24"/>
                <w:szCs w:val="24"/>
                <w:lang w:eastAsia="zh-CN"/>
              </w:rPr>
              <w:t>门扇与门框的搭接宽度不小于8mm,门扇与门框配合活动间隙不大于4mm；门扇与门框铰链边贴合面间隙不大于 mm，门的开启边在关门状态与门框贴合面间隙不于3mm；门扇与地平面铰链边贴合面间隙不大于2mm,门的开启边在关门状态与门框贴合面间隙不大于3mm；门扇在30kg沙袋软冲击载荷作用9次后，不产生大于3mm的凹变形；门框与门扇的周边间隙不大于2mm。门框与门扇的表面应平整，外表面的平面度不大于2mm，内表面的平面度</w:t>
            </w:r>
            <w:r>
              <w:rPr>
                <w:rFonts w:hint="eastAsia" w:ascii="仿宋" w:hAnsi="仿宋" w:eastAsia="仿宋" w:cs="仿宋"/>
                <w:sz w:val="24"/>
                <w:szCs w:val="24"/>
                <w:lang w:eastAsia="zh-CN"/>
              </w:rPr>
              <w:t>不大于4mm，门框与门扇里外层板的钢板厚度，不小于2mm。</w:t>
            </w:r>
          </w:p>
          <w:p w14:paraId="4B8CB8C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（二）板材及材质</w:t>
            </w:r>
          </w:p>
          <w:p w14:paraId="5424A9A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安装门采用钢板+</w:t>
            </w:r>
            <w:r>
              <w:rPr>
                <w:rFonts w:hint="eastAsia" w:ascii="仿宋" w:hAnsi="仿宋" w:eastAsia="仿宋" w:cs="仿宋"/>
                <w:sz w:val="24"/>
                <w:szCs w:val="24"/>
                <w:lang w:val="en-US" w:eastAsia="zh-CN"/>
              </w:rPr>
              <w:t>碳钢</w:t>
            </w:r>
            <w:r>
              <w:rPr>
                <w:rFonts w:hint="eastAsia" w:ascii="仿宋" w:hAnsi="仿宋" w:eastAsia="仿宋" w:cs="仿宋"/>
                <w:sz w:val="24"/>
                <w:szCs w:val="24"/>
                <w:lang w:eastAsia="zh-CN"/>
              </w:rPr>
              <w:t>钢板制作。</w:t>
            </w:r>
          </w:p>
          <w:p w14:paraId="146A6AA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 xml:space="preserve"> 4级:防护面板 厚度≥0.8mm 钢板，非防护面板厚≥0.8mm钢板，门框厚度≥1.2mm 钢板，下框厚度≥1.2mm钢板，其标称厚度应符合GB17565-2022表2的要求。</w:t>
            </w:r>
          </w:p>
          <w:p w14:paraId="7C06F02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锁具：</w:t>
            </w:r>
          </w:p>
          <w:p w14:paraId="38A72A5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锁具安装部位以锁孔为中心，在半径不小于100mm的范围内有加强防钻钢板，门锁符合GA/T73-1994的相关要求。内外手轮和锁栓互锁装置：为保证库房管理人员进入库内后的人员和文物安全，库房门需在库内可以锁闭。</w:t>
            </w:r>
          </w:p>
          <w:p w14:paraId="77C0852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灵活性</w:t>
            </w:r>
          </w:p>
          <w:p w14:paraId="6656FE5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门铰链能支撑住门体重量，门在开启90º过程中，门体不产生倾斜、门铰轴线不产生大于2mm位移。门铰链在49N拉力作用下门体可灵活转动90º。门扇各种配件组装后，启闭灵活，无卡阻现象。</w:t>
            </w:r>
          </w:p>
          <w:p w14:paraId="093B70F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门安装时，门框和墙体应牢固地连接在一起，左、右两侧连接点不少于6点，上框不少于3点。</w:t>
            </w:r>
          </w:p>
          <w:p w14:paraId="1593DCF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lang w:eastAsia="zh-CN"/>
              </w:rPr>
              <w:t>防破坏能力：安全门在普通机械手工工具、便携式电动工具等相互配合作用下，在30min的净工作时间内，不能打开门或切割出一个穿透门体的615cm</w:t>
            </w:r>
            <w:r>
              <w:rPr>
                <w:rFonts w:hint="eastAsia" w:ascii="仿宋" w:hAnsi="仿宋" w:eastAsia="仿宋" w:cs="仿宋"/>
                <w:b w:val="0"/>
                <w:bCs w:val="0"/>
                <w:sz w:val="24"/>
                <w:szCs w:val="24"/>
                <w:vertAlign w:val="superscript"/>
                <w:lang w:eastAsia="zh-CN"/>
              </w:rPr>
              <w:t>2</w:t>
            </w:r>
            <w:r>
              <w:rPr>
                <w:rFonts w:hint="eastAsia" w:ascii="仿宋" w:hAnsi="仿宋" w:eastAsia="仿宋" w:cs="仿宋"/>
                <w:b w:val="0"/>
                <w:bCs w:val="0"/>
                <w:sz w:val="24"/>
                <w:szCs w:val="24"/>
                <w:lang w:eastAsia="zh-CN"/>
              </w:rPr>
              <w:t>的开口。</w:t>
            </w:r>
          </w:p>
          <w:p w14:paraId="3CDBC69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lang w:eastAsia="zh-CN"/>
              </w:rPr>
              <w:t>库房门具备防盗、防火、防钻、防冲击、防火焰切割、防潮、防暴等功能。</w:t>
            </w:r>
          </w:p>
          <w:p w14:paraId="603A08A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lang w:eastAsia="zh-CN"/>
              </w:rPr>
              <w:t>特制安全防护门外观：在明显位置设备有永久性标志，标志与安全防护门的结合牢固可靠。</w:t>
            </w:r>
          </w:p>
        </w:tc>
        <w:tc>
          <w:tcPr>
            <w:tcW w:w="227" w:type="pct"/>
            <w:tcBorders>
              <w:top w:val="nil"/>
              <w:left w:val="nil"/>
              <w:bottom w:val="single" w:color="000000" w:sz="8" w:space="0"/>
              <w:right w:val="single" w:color="000000" w:sz="8" w:space="0"/>
            </w:tcBorders>
            <w:shd w:val="clear" w:color="auto" w:fill="auto"/>
            <w:vAlign w:val="center"/>
          </w:tcPr>
          <w:p w14:paraId="7BE4C83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337" w:type="pct"/>
            <w:tcBorders>
              <w:top w:val="nil"/>
              <w:left w:val="nil"/>
              <w:bottom w:val="single" w:color="000000" w:sz="8" w:space="0"/>
              <w:right w:val="single" w:color="000000" w:sz="8" w:space="0"/>
            </w:tcBorders>
            <w:shd w:val="clear" w:color="auto" w:fill="auto"/>
            <w:vAlign w:val="center"/>
          </w:tcPr>
          <w:p w14:paraId="6398463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r>
      <w:tr w14:paraId="459A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5F1BBD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515" w:type="pct"/>
            <w:tcBorders>
              <w:top w:val="nil"/>
              <w:left w:val="nil"/>
              <w:bottom w:val="single" w:color="000000" w:sz="8" w:space="0"/>
              <w:right w:val="single" w:color="000000" w:sz="8" w:space="0"/>
            </w:tcBorders>
            <w:shd w:val="clear" w:color="auto" w:fill="auto"/>
            <w:vAlign w:val="center"/>
          </w:tcPr>
          <w:p w14:paraId="72AB090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窗户防盗遮光改造</w:t>
            </w:r>
          </w:p>
        </w:tc>
        <w:tc>
          <w:tcPr>
            <w:tcW w:w="3536" w:type="pct"/>
            <w:tcBorders>
              <w:top w:val="nil"/>
              <w:left w:val="nil"/>
              <w:bottom w:val="single" w:color="000000" w:sz="8" w:space="0"/>
              <w:right w:val="single" w:color="000000" w:sz="8" w:space="0"/>
            </w:tcBorders>
            <w:shd w:val="clear" w:color="auto" w:fill="auto"/>
            <w:vAlign w:val="center"/>
          </w:tcPr>
          <w:p w14:paraId="5972543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整体可满足库房防盗、遮光等性能要求，同时兼顾整体协调美观。</w:t>
            </w:r>
          </w:p>
          <w:p w14:paraId="55252BC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窗户外部采用防盗窗加强物防防护，内部采用遮光卷帘，避免光照直射至库房。</w:t>
            </w:r>
          </w:p>
        </w:tc>
        <w:tc>
          <w:tcPr>
            <w:tcW w:w="227" w:type="pct"/>
            <w:tcBorders>
              <w:top w:val="nil"/>
              <w:left w:val="nil"/>
              <w:bottom w:val="single" w:color="000000" w:sz="8" w:space="0"/>
              <w:right w:val="single" w:color="000000" w:sz="8" w:space="0"/>
            </w:tcBorders>
            <w:shd w:val="clear" w:color="auto" w:fill="auto"/>
            <w:vAlign w:val="center"/>
          </w:tcPr>
          <w:p w14:paraId="763B784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337" w:type="pct"/>
            <w:tcBorders>
              <w:top w:val="nil"/>
              <w:left w:val="nil"/>
              <w:bottom w:val="single" w:color="000000" w:sz="8" w:space="0"/>
              <w:right w:val="single" w:color="000000" w:sz="8" w:space="0"/>
            </w:tcBorders>
            <w:shd w:val="clear" w:color="auto" w:fill="auto"/>
            <w:vAlign w:val="center"/>
          </w:tcPr>
          <w:p w14:paraId="1382984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r>
      <w:tr w14:paraId="0D3C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3" w:type="pct"/>
            <w:tcBorders>
              <w:top w:val="nil"/>
              <w:left w:val="single" w:color="000000" w:sz="8" w:space="0"/>
              <w:bottom w:val="single" w:color="000000" w:sz="8" w:space="0"/>
              <w:right w:val="single" w:color="000000" w:sz="8" w:space="0"/>
            </w:tcBorders>
            <w:shd w:val="clear" w:color="auto" w:fill="auto"/>
            <w:vAlign w:val="center"/>
          </w:tcPr>
          <w:p w14:paraId="01637D7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515" w:type="pct"/>
            <w:tcBorders>
              <w:top w:val="nil"/>
              <w:left w:val="nil"/>
              <w:bottom w:val="single" w:color="000000" w:sz="8" w:space="0"/>
              <w:right w:val="single" w:color="000000" w:sz="8" w:space="0"/>
            </w:tcBorders>
            <w:shd w:val="clear" w:color="auto" w:fill="auto"/>
            <w:vAlign w:val="center"/>
          </w:tcPr>
          <w:p w14:paraId="416353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地面防水防潮</w:t>
            </w:r>
          </w:p>
        </w:tc>
        <w:tc>
          <w:tcPr>
            <w:tcW w:w="3536" w:type="pct"/>
            <w:tcBorders>
              <w:top w:val="nil"/>
              <w:left w:val="nil"/>
              <w:bottom w:val="single" w:color="000000" w:sz="8" w:space="0"/>
              <w:right w:val="single" w:color="000000" w:sz="8" w:space="0"/>
            </w:tcBorders>
            <w:shd w:val="clear" w:color="auto" w:fill="auto"/>
            <w:vAlign w:val="center"/>
          </w:tcPr>
          <w:p w14:paraId="7F8A92D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1.耐磨</w:t>
            </w:r>
          </w:p>
          <w:p w14:paraId="576937E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厚度2mm，抗刮擦性强，具有较理想的耐磨性。</w:t>
            </w:r>
          </w:p>
          <w:p w14:paraId="4451D1F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2.耐污抗菌</w:t>
            </w:r>
          </w:p>
          <w:p w14:paraId="7B36217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经特殊PU处理的表层，灰尘和污垢不易粘结，耐污、抗菌性优；具有良好的防水性能，且抗化学药品、油脂及墨水类污染的性能优越</w:t>
            </w:r>
          </w:p>
          <w:p w14:paraId="76F4EFD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3.尺寸稳定</w:t>
            </w:r>
          </w:p>
          <w:p w14:paraId="05AA884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高压浸涂的玻璃纤维层，使产品具有良好的尺寸稳定性。不易撕裂、耐皱且抗压。</w:t>
            </w:r>
          </w:p>
          <w:p w14:paraId="0ADEF75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4.吸音效果佳</w:t>
            </w:r>
          </w:p>
          <w:p w14:paraId="5C297F3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中间泡沫层和底部背衬的凹纹设计，具有良好的减震和消音作用，足感更舒适。</w:t>
            </w:r>
          </w:p>
          <w:p w14:paraId="1B6B338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5.色彩稳定，设计天然。</w:t>
            </w:r>
          </w:p>
          <w:p w14:paraId="2CD57B8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6.生产原料环保</w:t>
            </w:r>
          </w:p>
          <w:p w14:paraId="7740BE2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全新材料，不添加回料。绿色环保。重量相对更轻，可减轻建筑体的压力。</w:t>
            </w:r>
          </w:p>
          <w:p w14:paraId="5558C6A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7.性能</w:t>
            </w:r>
          </w:p>
          <w:p w14:paraId="214BC1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达到残余凹陷/隔音性能的理想平衡：0.06mm/18dB，玻璃纤维网格加强及超高密度发泡背层。</w:t>
            </w:r>
          </w:p>
        </w:tc>
        <w:tc>
          <w:tcPr>
            <w:tcW w:w="227" w:type="pct"/>
            <w:tcBorders>
              <w:top w:val="nil"/>
              <w:left w:val="nil"/>
              <w:bottom w:val="single" w:color="000000" w:sz="8" w:space="0"/>
              <w:right w:val="single" w:color="000000" w:sz="8" w:space="0"/>
            </w:tcBorders>
            <w:shd w:val="clear" w:color="auto" w:fill="auto"/>
            <w:vAlign w:val="center"/>
          </w:tcPr>
          <w:p w14:paraId="07520B4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80</w:t>
            </w:r>
          </w:p>
        </w:tc>
        <w:tc>
          <w:tcPr>
            <w:tcW w:w="337" w:type="pct"/>
            <w:tcBorders>
              <w:top w:val="nil"/>
              <w:left w:val="nil"/>
              <w:bottom w:val="single" w:color="000000" w:sz="8" w:space="0"/>
              <w:right w:val="single" w:color="000000" w:sz="8" w:space="0"/>
            </w:tcBorders>
            <w:shd w:val="clear" w:color="auto" w:fill="auto"/>
            <w:vAlign w:val="center"/>
          </w:tcPr>
          <w:p w14:paraId="635FD02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平方米</w:t>
            </w:r>
          </w:p>
        </w:tc>
      </w:tr>
    </w:tbl>
    <w:p w14:paraId="587296FE">
      <w:pPr>
        <w:bidi w:val="0"/>
        <w:jc w:val="center"/>
        <w:rPr>
          <w:rFonts w:hint="eastAsia" w:ascii="宋体" w:hAnsi="宋体" w:eastAsia="宋体" w:cs="宋体"/>
          <w:lang w:eastAsia="zh-CN"/>
        </w:rPr>
      </w:pPr>
    </w:p>
    <w:p w14:paraId="35098836">
      <w:r>
        <w:rPr>
          <w:rFonts w:hint="eastAsia"/>
        </w:rPr>
        <w:br w:type="page"/>
      </w:r>
    </w:p>
    <w:p w14:paraId="70F1BC24">
      <w:pPr>
        <w:pStyle w:val="4"/>
        <w:bidi w:val="0"/>
      </w:pPr>
      <w:r>
        <w:rPr>
          <w:rFonts w:hint="eastAsia"/>
        </w:rPr>
        <w:t>评分标准</w:t>
      </w:r>
      <w:bookmarkEnd w:id="0"/>
      <w:bookmarkEnd w:id="1"/>
    </w:p>
    <w:p w14:paraId="0AD9146F">
      <w:pPr>
        <w:keepNext w:val="0"/>
        <w:keepLines w:val="0"/>
        <w:pageBreakBefore w:val="0"/>
        <w:widowControl/>
        <w:kinsoku/>
        <w:wordWrap/>
        <w:overflowPunct/>
        <w:topLinePunct w:val="0"/>
        <w:autoSpaceDE/>
        <w:autoSpaceDN/>
        <w:bidi w:val="0"/>
        <w:adjustRightInd/>
        <w:snapToGrid/>
        <w:textAlignment w:val="auto"/>
        <w:rPr>
          <w:b/>
          <w:bCs/>
          <w:sz w:val="24"/>
          <w:szCs w:val="32"/>
        </w:rPr>
      </w:pPr>
      <w:r>
        <w:rPr>
          <w:rFonts w:hint="eastAsia"/>
          <w:b/>
          <w:bCs/>
          <w:sz w:val="24"/>
          <w:szCs w:val="32"/>
        </w:rPr>
        <w:t>分值构成(总分100分) 报价分：30分；技术分：</w:t>
      </w:r>
      <w:r>
        <w:rPr>
          <w:b/>
          <w:bCs/>
          <w:sz w:val="24"/>
          <w:szCs w:val="32"/>
        </w:rPr>
        <w:t>4</w:t>
      </w:r>
      <w:r>
        <w:rPr>
          <w:rFonts w:hint="eastAsia"/>
          <w:b/>
          <w:bCs/>
          <w:sz w:val="24"/>
          <w:szCs w:val="32"/>
          <w:lang w:val="en-US" w:eastAsia="zh-CN"/>
        </w:rPr>
        <w:t>2</w:t>
      </w:r>
      <w:r>
        <w:rPr>
          <w:rFonts w:hint="eastAsia"/>
          <w:b/>
          <w:bCs/>
          <w:sz w:val="24"/>
          <w:szCs w:val="32"/>
        </w:rPr>
        <w:t>分；商务分：2</w:t>
      </w:r>
      <w:r>
        <w:rPr>
          <w:rFonts w:hint="eastAsia"/>
          <w:b/>
          <w:bCs/>
          <w:sz w:val="24"/>
          <w:szCs w:val="32"/>
          <w:lang w:val="en-US" w:eastAsia="zh-CN"/>
        </w:rPr>
        <w:t>8</w:t>
      </w:r>
      <w:r>
        <w:rPr>
          <w:rFonts w:hint="eastAsia"/>
          <w:b/>
          <w:bCs/>
          <w:sz w:val="24"/>
          <w:szCs w:val="32"/>
        </w:rPr>
        <w:t>分；</w:t>
      </w:r>
    </w:p>
    <w:p w14:paraId="20A581A7">
      <w:pPr>
        <w:keepNext w:val="0"/>
        <w:keepLines w:val="0"/>
        <w:pageBreakBefore w:val="0"/>
        <w:widowControl/>
        <w:kinsoku/>
        <w:wordWrap/>
        <w:overflowPunct/>
        <w:topLinePunct w:val="0"/>
        <w:autoSpaceDE/>
        <w:autoSpaceDN/>
        <w:bidi w:val="0"/>
        <w:adjustRightInd/>
        <w:snapToGrid/>
        <w:textAlignment w:val="auto"/>
        <w:rPr>
          <w:b/>
          <w:bCs/>
          <w:sz w:val="24"/>
          <w:szCs w:val="32"/>
        </w:rPr>
      </w:pPr>
      <w:r>
        <w:rPr>
          <w:rFonts w:hint="eastAsia"/>
          <w:b/>
          <w:bCs/>
          <w:sz w:val="24"/>
          <w:szCs w:val="32"/>
        </w:rPr>
        <w:t>综合得分按公式计算：综合得分=报价得分＋技术得分＋商务得分；</w:t>
      </w:r>
    </w:p>
    <w:p w14:paraId="72F1F656">
      <w:pPr>
        <w:keepNext w:val="0"/>
        <w:keepLines w:val="0"/>
        <w:pageBreakBefore w:val="0"/>
        <w:widowControl/>
        <w:kinsoku/>
        <w:wordWrap/>
        <w:overflowPunct/>
        <w:topLinePunct w:val="0"/>
        <w:autoSpaceDE/>
        <w:autoSpaceDN/>
        <w:bidi w:val="0"/>
        <w:adjustRightInd/>
        <w:snapToGrid/>
        <w:textAlignment w:val="auto"/>
        <w:rPr>
          <w:b/>
          <w:bCs/>
          <w:sz w:val="24"/>
          <w:szCs w:val="32"/>
        </w:rPr>
      </w:pPr>
      <w:r>
        <w:rPr>
          <w:rFonts w:hint="eastAsia"/>
          <w:b/>
          <w:bCs/>
          <w:sz w:val="24"/>
          <w:szCs w:val="32"/>
        </w:rPr>
        <w:t>供应商综合得分按下列公式计算（计算分值均保留两位小数）；</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145"/>
        <w:gridCol w:w="697"/>
        <w:gridCol w:w="5469"/>
      </w:tblGrid>
      <w:tr w14:paraId="524F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tcBorders>
              <w:top w:val="single" w:color="auto" w:sz="4" w:space="0"/>
              <w:left w:val="single" w:color="auto" w:sz="4" w:space="0"/>
              <w:bottom w:val="single" w:color="auto" w:sz="4" w:space="0"/>
              <w:right w:val="single" w:color="auto" w:sz="4" w:space="0"/>
            </w:tcBorders>
            <w:vAlign w:val="center"/>
          </w:tcPr>
          <w:p w14:paraId="3AAA41A5">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评分项</w:t>
            </w:r>
          </w:p>
        </w:tc>
        <w:tc>
          <w:tcPr>
            <w:tcW w:w="672" w:type="pct"/>
            <w:tcBorders>
              <w:top w:val="single" w:color="auto" w:sz="4" w:space="0"/>
              <w:left w:val="nil"/>
              <w:bottom w:val="single" w:color="auto" w:sz="4" w:space="0"/>
              <w:right w:val="single" w:color="auto" w:sz="4" w:space="0"/>
            </w:tcBorders>
            <w:vAlign w:val="center"/>
          </w:tcPr>
          <w:p w14:paraId="7EF10453">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评审内容</w:t>
            </w:r>
          </w:p>
        </w:tc>
        <w:tc>
          <w:tcPr>
            <w:tcW w:w="409" w:type="pct"/>
            <w:tcBorders>
              <w:top w:val="single" w:color="auto" w:sz="4" w:space="0"/>
              <w:left w:val="nil"/>
              <w:bottom w:val="single" w:color="auto" w:sz="4" w:space="0"/>
              <w:right w:val="single" w:color="auto" w:sz="4" w:space="0"/>
            </w:tcBorders>
            <w:vAlign w:val="center"/>
          </w:tcPr>
          <w:p w14:paraId="794129E7">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分值</w:t>
            </w:r>
          </w:p>
        </w:tc>
        <w:tc>
          <w:tcPr>
            <w:tcW w:w="3209" w:type="pct"/>
            <w:tcBorders>
              <w:top w:val="single" w:color="auto" w:sz="4" w:space="0"/>
              <w:left w:val="nil"/>
              <w:bottom w:val="single" w:color="auto" w:sz="4" w:space="0"/>
              <w:right w:val="single" w:color="auto" w:sz="4" w:space="0"/>
            </w:tcBorders>
            <w:vAlign w:val="center"/>
          </w:tcPr>
          <w:p w14:paraId="6E2570D7">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评分准则</w:t>
            </w:r>
          </w:p>
        </w:tc>
      </w:tr>
      <w:tr w14:paraId="1C93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pct"/>
            <w:tcBorders>
              <w:top w:val="single" w:color="auto" w:sz="4" w:space="0"/>
              <w:left w:val="single" w:color="auto" w:sz="4" w:space="0"/>
              <w:bottom w:val="single" w:color="auto" w:sz="4" w:space="0"/>
              <w:right w:val="single" w:color="auto" w:sz="4" w:space="0"/>
            </w:tcBorders>
            <w:vAlign w:val="center"/>
          </w:tcPr>
          <w:p w14:paraId="3A40ECB9">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报价</w:t>
            </w:r>
          </w:p>
          <w:p w14:paraId="1D6C2624">
            <w:pPr>
              <w:keepNext w:val="0"/>
              <w:keepLines w:val="0"/>
              <w:pageBreakBefore w:val="0"/>
              <w:widowControl/>
              <w:kinsoku/>
              <w:overflowPunct/>
              <w:topLinePunct w:val="0"/>
              <w:autoSpaceDE/>
              <w:autoSpaceDN/>
              <w:bidi w:val="0"/>
              <w:snapToGrid/>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（30分）</w:t>
            </w:r>
          </w:p>
        </w:tc>
        <w:tc>
          <w:tcPr>
            <w:tcW w:w="672" w:type="pct"/>
            <w:tcBorders>
              <w:top w:val="single" w:color="auto" w:sz="4" w:space="0"/>
              <w:left w:val="nil"/>
              <w:bottom w:val="single" w:color="auto" w:sz="4" w:space="0"/>
              <w:right w:val="single" w:color="auto" w:sz="4" w:space="0"/>
            </w:tcBorders>
            <w:vAlign w:val="center"/>
          </w:tcPr>
          <w:p w14:paraId="707C87A1">
            <w:pPr>
              <w:keepNext w:val="0"/>
              <w:keepLines w:val="0"/>
              <w:pageBreakBefore w:val="0"/>
              <w:widowControl/>
              <w:kinsoku/>
              <w:overflowPunct/>
              <w:topLinePunct w:val="0"/>
              <w:autoSpaceDE/>
              <w:autoSpaceDN/>
              <w:bidi w:val="0"/>
              <w:snapToGrid/>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报价分</w:t>
            </w:r>
          </w:p>
        </w:tc>
        <w:tc>
          <w:tcPr>
            <w:tcW w:w="409" w:type="pct"/>
            <w:tcBorders>
              <w:top w:val="single" w:color="auto" w:sz="4" w:space="0"/>
              <w:left w:val="nil"/>
              <w:bottom w:val="single" w:color="auto" w:sz="4" w:space="0"/>
              <w:right w:val="single" w:color="auto" w:sz="4" w:space="0"/>
            </w:tcBorders>
            <w:vAlign w:val="center"/>
          </w:tcPr>
          <w:p w14:paraId="65936DFD">
            <w:pPr>
              <w:keepNext w:val="0"/>
              <w:keepLines w:val="0"/>
              <w:pageBreakBefore w:val="0"/>
              <w:widowControl/>
              <w:kinsoku/>
              <w:overflowPunct/>
              <w:topLinePunct w:val="0"/>
              <w:autoSpaceDE/>
              <w:autoSpaceDN/>
              <w:bidi w:val="0"/>
              <w:snapToGrid/>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30分</w:t>
            </w:r>
          </w:p>
        </w:tc>
        <w:tc>
          <w:tcPr>
            <w:tcW w:w="3209" w:type="pct"/>
            <w:tcBorders>
              <w:top w:val="single" w:color="auto" w:sz="4" w:space="0"/>
              <w:left w:val="nil"/>
              <w:bottom w:val="single" w:color="auto" w:sz="4" w:space="0"/>
              <w:right w:val="single" w:color="auto" w:sz="4" w:space="0"/>
            </w:tcBorders>
            <w:vAlign w:val="center"/>
          </w:tcPr>
          <w:p w14:paraId="281D7CEF">
            <w:pPr>
              <w:keepNext w:val="0"/>
              <w:keepLines w:val="0"/>
              <w:pageBreakBefore w:val="0"/>
              <w:kinsoku/>
              <w:overflowPunct/>
              <w:topLinePunct w:val="0"/>
              <w:autoSpaceDE/>
              <w:autoSpaceDN/>
              <w:bidi w:val="0"/>
              <w:adjustRightInd w:val="0"/>
              <w:snapToGrid/>
              <w:spacing w:line="360" w:lineRule="auto"/>
              <w:ind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价格分统一采用低价优先法计算，即满足</w:t>
            </w:r>
            <w:r>
              <w:rPr>
                <w:rFonts w:hint="eastAsia" w:ascii="仿宋" w:hAnsi="仿宋" w:eastAsia="仿宋" w:cs="仿宋"/>
                <w:sz w:val="24"/>
                <w:szCs w:val="24"/>
                <w:lang w:val="en-US" w:eastAsia="zh-CN"/>
              </w:rPr>
              <w:t>招标</w:t>
            </w:r>
            <w:r>
              <w:rPr>
                <w:rFonts w:hint="eastAsia" w:ascii="仿宋" w:hAnsi="仿宋" w:eastAsia="仿宋" w:cs="仿宋"/>
                <w:sz w:val="24"/>
                <w:szCs w:val="24"/>
              </w:rPr>
              <w:t>文件要求且最后报价最低的供应商的价格为基准价，其价格分为满分。</w:t>
            </w:r>
          </w:p>
          <w:p w14:paraId="5A9203E1">
            <w:pPr>
              <w:keepNext w:val="0"/>
              <w:keepLines w:val="0"/>
              <w:pageBreakBefore w:val="0"/>
              <w:kinsoku/>
              <w:overflowPunct/>
              <w:topLinePunct w:val="0"/>
              <w:autoSpaceDE/>
              <w:autoSpaceDN/>
              <w:bidi w:val="0"/>
              <w:adjustRightInd w:val="0"/>
              <w:snapToGrid/>
              <w:spacing w:line="360" w:lineRule="auto"/>
              <w:ind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其他供应商的价格分统一按照下列公式计算：</w:t>
            </w:r>
          </w:p>
          <w:p w14:paraId="395D93C6">
            <w:pPr>
              <w:keepNext w:val="0"/>
              <w:keepLines w:val="0"/>
              <w:pageBreakBefore w:val="0"/>
              <w:kinsoku/>
              <w:overflowPunct/>
              <w:topLinePunct w:val="0"/>
              <w:autoSpaceDE/>
              <w:autoSpaceDN/>
              <w:bidi w:val="0"/>
              <w:adjustRightInd w:val="0"/>
              <w:snapToGrid/>
              <w:spacing w:line="360" w:lineRule="auto"/>
              <w:ind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报价得分=（基准价/</w:t>
            </w:r>
            <w:r>
              <w:rPr>
                <w:rFonts w:hint="eastAsia" w:ascii="仿宋" w:hAnsi="仿宋" w:eastAsia="仿宋" w:cs="仿宋"/>
                <w:sz w:val="24"/>
                <w:szCs w:val="24"/>
                <w:lang w:val="en-US" w:eastAsia="zh-CN"/>
              </w:rPr>
              <w:t>供应商</w:t>
            </w:r>
            <w:r>
              <w:rPr>
                <w:rFonts w:hint="eastAsia" w:ascii="仿宋" w:hAnsi="仿宋" w:eastAsia="仿宋" w:cs="仿宋"/>
                <w:sz w:val="24"/>
                <w:szCs w:val="24"/>
              </w:rPr>
              <w:t>报价）×30</w:t>
            </w:r>
          </w:p>
          <w:p w14:paraId="562E8479">
            <w:pPr>
              <w:keepNext w:val="0"/>
              <w:keepLines w:val="0"/>
              <w:pageBreakBefore w:val="0"/>
              <w:kinsoku/>
              <w:overflowPunct/>
              <w:topLinePunct w:val="0"/>
              <w:autoSpaceDE/>
              <w:autoSpaceDN/>
              <w:bidi w:val="0"/>
              <w:adjustRightInd w:val="0"/>
              <w:snapToGrid/>
              <w:spacing w:line="360" w:lineRule="auto"/>
              <w:ind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注：1、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p w14:paraId="5F67AE54">
            <w:pPr>
              <w:keepNext w:val="0"/>
              <w:keepLines w:val="0"/>
              <w:pageBreakBefore w:val="0"/>
              <w:kinsoku/>
              <w:overflowPunct/>
              <w:topLinePunct w:val="0"/>
              <w:autoSpaceDE/>
              <w:autoSpaceDN/>
              <w:bidi w:val="0"/>
              <w:adjustRightInd w:val="0"/>
              <w:snapToGrid/>
              <w:spacing w:line="360" w:lineRule="auto"/>
              <w:ind w:firstLine="0" w:firstLineChars="0"/>
              <w:textAlignment w:val="baseline"/>
              <w:rPr>
                <w:rFonts w:hint="eastAsia" w:ascii="仿宋" w:hAnsi="仿宋" w:eastAsia="仿宋" w:cs="仿宋"/>
                <w:sz w:val="24"/>
                <w:szCs w:val="24"/>
                <w:highlight w:val="yellow"/>
              </w:rPr>
            </w:pPr>
            <w:r>
              <w:rPr>
                <w:rFonts w:hint="eastAsia" w:ascii="仿宋" w:hAnsi="仿宋" w:eastAsia="仿宋" w:cs="仿宋"/>
                <w:sz w:val="24"/>
                <w:szCs w:val="24"/>
              </w:rPr>
              <w:t>2、</w:t>
            </w:r>
            <w:r>
              <w:rPr>
                <w:rFonts w:hint="eastAsia" w:ascii="仿宋" w:hAnsi="仿宋" w:eastAsia="仿宋" w:cs="仿宋"/>
                <w:sz w:val="24"/>
                <w:szCs w:val="24"/>
                <w:lang w:val="en-US" w:eastAsia="zh-CN"/>
              </w:rPr>
              <w:t>评审</w:t>
            </w:r>
            <w:r>
              <w:rPr>
                <w:rFonts w:hint="eastAsia" w:ascii="仿宋" w:hAnsi="仿宋" w:eastAsia="仿宋" w:cs="仿宋"/>
                <w:sz w:val="24"/>
                <w:szCs w:val="24"/>
              </w:rPr>
              <w:t>小组认为供应商的报价明显低于其他通过符合性审查供应商的报价，有可能影响产品质量或者不能诚信履约的，应当要求其在</w:t>
            </w:r>
            <w:r>
              <w:rPr>
                <w:rFonts w:hint="eastAsia" w:ascii="仿宋" w:hAnsi="仿宋" w:eastAsia="仿宋" w:cs="仿宋"/>
                <w:sz w:val="24"/>
                <w:szCs w:val="24"/>
                <w:lang w:val="en-US" w:eastAsia="zh-CN"/>
              </w:rPr>
              <w:t>评标</w:t>
            </w:r>
            <w:r>
              <w:rPr>
                <w:rFonts w:hint="eastAsia" w:ascii="仿宋" w:hAnsi="仿宋" w:eastAsia="仿宋" w:cs="仿宋"/>
                <w:sz w:val="24"/>
                <w:szCs w:val="24"/>
              </w:rPr>
              <w:t>现场合理的时间内提供书面说明，必要时提交相关证明材料；供应商不能证明其报价合理性的，</w:t>
            </w:r>
            <w:r>
              <w:rPr>
                <w:rFonts w:hint="eastAsia" w:ascii="仿宋" w:hAnsi="仿宋" w:eastAsia="仿宋" w:cs="仿宋"/>
                <w:sz w:val="24"/>
                <w:szCs w:val="24"/>
                <w:lang w:val="en-US" w:eastAsia="zh-CN"/>
              </w:rPr>
              <w:t>评标</w:t>
            </w:r>
            <w:r>
              <w:rPr>
                <w:rFonts w:hint="eastAsia" w:ascii="仿宋" w:hAnsi="仿宋" w:eastAsia="仿宋" w:cs="仿宋"/>
                <w:sz w:val="24"/>
                <w:szCs w:val="24"/>
              </w:rPr>
              <w:t>小组应当将其作为无效报价处理。</w:t>
            </w:r>
          </w:p>
        </w:tc>
      </w:tr>
      <w:tr w14:paraId="3422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09" w:type="pct"/>
            <w:vMerge w:val="restart"/>
            <w:tcBorders>
              <w:top w:val="nil"/>
              <w:left w:val="single" w:color="auto" w:sz="4" w:space="0"/>
              <w:right w:val="single" w:color="auto" w:sz="4" w:space="0"/>
            </w:tcBorders>
            <w:vAlign w:val="center"/>
          </w:tcPr>
          <w:p w14:paraId="4EFCF230">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技术标</w:t>
            </w:r>
          </w:p>
          <w:p w14:paraId="73436A9B">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081" w:type="pct"/>
            <w:gridSpan w:val="2"/>
            <w:tcBorders>
              <w:top w:val="single" w:color="auto" w:sz="4" w:space="0"/>
              <w:left w:val="nil"/>
              <w:bottom w:val="single" w:color="auto" w:sz="4" w:space="0"/>
              <w:right w:val="single" w:color="auto" w:sz="4" w:space="0"/>
            </w:tcBorders>
            <w:vAlign w:val="center"/>
          </w:tcPr>
          <w:p w14:paraId="5ADD970C">
            <w:pPr>
              <w:keepNext w:val="0"/>
              <w:keepLines w:val="0"/>
              <w:pageBreakBefore w:val="0"/>
              <w:kinsoku/>
              <w:overflowPunct/>
              <w:topLinePunct w:val="0"/>
              <w:autoSpaceDE/>
              <w:autoSpaceDN/>
              <w:bidi w:val="0"/>
              <w:adjustRightInd w:val="0"/>
              <w:snapToGrid/>
              <w:spacing w:line="360" w:lineRule="auto"/>
              <w:ind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技术参数</w:t>
            </w:r>
          </w:p>
          <w:p w14:paraId="6ADE2E8C">
            <w:pPr>
              <w:keepNext w:val="0"/>
              <w:keepLines w:val="0"/>
              <w:pageBreakBefore w:val="0"/>
              <w:kinsoku/>
              <w:overflowPunct/>
              <w:topLinePunct w:val="0"/>
              <w:autoSpaceDE/>
              <w:autoSpaceDN/>
              <w:bidi w:val="0"/>
              <w:adjustRightInd w:val="0"/>
              <w:snapToGrid/>
              <w:spacing w:line="360" w:lineRule="auto"/>
              <w:ind w:firstLine="0" w:firstLineChars="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分）</w:t>
            </w:r>
          </w:p>
        </w:tc>
        <w:tc>
          <w:tcPr>
            <w:tcW w:w="3209" w:type="pct"/>
            <w:tcBorders>
              <w:top w:val="single" w:color="auto" w:sz="4" w:space="0"/>
              <w:left w:val="nil"/>
              <w:bottom w:val="single" w:color="auto" w:sz="4" w:space="0"/>
              <w:right w:val="single" w:color="auto" w:sz="4" w:space="0"/>
            </w:tcBorders>
            <w:vAlign w:val="center"/>
          </w:tcPr>
          <w:p w14:paraId="28FBF766">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技术指标满分为</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分，完全符合、响应磋商文件要求，没有负偏离计</w:t>
            </w: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分。技术参数每负偏离一项扣2分，扣完为止。</w:t>
            </w:r>
          </w:p>
          <w:p w14:paraId="67EC961E">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注：须提供标示“▲”的参数证明材料（以提供相关检测报告复印件并加盖供应商公章作为依据），否则视同负偏离处理。若应答时缺项，视同负偏离处理。</w:t>
            </w:r>
          </w:p>
        </w:tc>
      </w:tr>
      <w:tr w14:paraId="6D67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pct"/>
            <w:vMerge w:val="continue"/>
            <w:tcBorders>
              <w:left w:val="single" w:color="auto" w:sz="4" w:space="0"/>
              <w:right w:val="single" w:color="auto" w:sz="4" w:space="0"/>
            </w:tcBorders>
            <w:vAlign w:val="center"/>
          </w:tcPr>
          <w:p w14:paraId="105C3987">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p>
        </w:tc>
        <w:tc>
          <w:tcPr>
            <w:tcW w:w="1081" w:type="pct"/>
            <w:gridSpan w:val="2"/>
            <w:tcBorders>
              <w:top w:val="single" w:color="auto" w:sz="4" w:space="0"/>
              <w:left w:val="nil"/>
              <w:bottom w:val="single" w:color="auto" w:sz="4" w:space="0"/>
              <w:right w:val="single" w:color="auto" w:sz="4" w:space="0"/>
            </w:tcBorders>
            <w:vAlign w:val="center"/>
          </w:tcPr>
          <w:p w14:paraId="115B6579">
            <w:pPr>
              <w:keepNext w:val="0"/>
              <w:keepLines w:val="0"/>
              <w:pageBreakBefore w:val="0"/>
              <w:kinsoku/>
              <w:overflowPunct/>
              <w:topLinePunct w:val="0"/>
              <w:autoSpaceDE/>
              <w:autoSpaceDN/>
              <w:bidi w:val="0"/>
              <w:adjustRightInd w:val="0"/>
              <w:snapToGrid/>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技术方案</w:t>
            </w:r>
          </w:p>
          <w:p w14:paraId="21D75A4B">
            <w:pPr>
              <w:keepNext w:val="0"/>
              <w:keepLines w:val="0"/>
              <w:pageBreakBefore w:val="0"/>
              <w:kinsoku/>
              <w:overflowPunct/>
              <w:topLinePunct w:val="0"/>
              <w:autoSpaceDE/>
              <w:autoSpaceDN/>
              <w:bidi w:val="0"/>
              <w:adjustRightInd w:val="0"/>
              <w:snapToGrid/>
              <w:spacing w:line="360" w:lineRule="auto"/>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3209" w:type="pct"/>
            <w:tcBorders>
              <w:top w:val="single" w:color="auto" w:sz="4" w:space="0"/>
              <w:left w:val="nil"/>
              <w:bottom w:val="single" w:color="auto" w:sz="4" w:space="0"/>
              <w:right w:val="single" w:color="auto" w:sz="4" w:space="0"/>
            </w:tcBorders>
            <w:vAlign w:val="center"/>
          </w:tcPr>
          <w:p w14:paraId="07DAA891">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能够针对本项目制定专业性强、实用性强的技术方案，评审以对项目理解、重难点分析、解决方案方面方面等</w:t>
            </w:r>
          </w:p>
          <w:p w14:paraId="56AF61E7">
            <w:pPr>
              <w:pStyle w:val="13"/>
              <w:keepNext w:val="0"/>
              <w:keepLines w:val="0"/>
              <w:pageBreakBefore w:val="0"/>
              <w:kinsoku/>
              <w:overflowPunct/>
              <w:topLinePunct w:val="0"/>
              <w:autoSpaceDE/>
              <w:autoSpaceDN/>
              <w:bidi w:val="0"/>
              <w:snapToGrid/>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1、方案专业性强、实用性强的，得10分；</w:t>
            </w:r>
          </w:p>
          <w:p w14:paraId="66282374">
            <w:pPr>
              <w:pStyle w:val="13"/>
              <w:keepNext w:val="0"/>
              <w:keepLines w:val="0"/>
              <w:pageBreakBefore w:val="0"/>
              <w:kinsoku/>
              <w:overflowPunct/>
              <w:topLinePunct w:val="0"/>
              <w:autoSpaceDE/>
              <w:autoSpaceDN/>
              <w:bidi w:val="0"/>
              <w:snapToGrid/>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2、方案专业性较强、实用性较强的，得6分；</w:t>
            </w:r>
          </w:p>
          <w:p w14:paraId="4111B6E7">
            <w:pPr>
              <w:pStyle w:val="13"/>
              <w:keepNext w:val="0"/>
              <w:keepLines w:val="0"/>
              <w:pageBreakBefore w:val="0"/>
              <w:kinsoku/>
              <w:overflowPunct/>
              <w:topLinePunct w:val="0"/>
              <w:autoSpaceDE/>
              <w:autoSpaceDN/>
              <w:bidi w:val="0"/>
              <w:snapToGrid/>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3、方案专业性不强、实用性不强的，得3分；</w:t>
            </w:r>
          </w:p>
          <w:p w14:paraId="5E963C02">
            <w:pPr>
              <w:pStyle w:val="13"/>
              <w:keepNext w:val="0"/>
              <w:keepLines w:val="0"/>
              <w:pageBreakBefore w:val="0"/>
              <w:kinsoku/>
              <w:overflowPunct/>
              <w:topLinePunct w:val="0"/>
              <w:autoSpaceDE/>
              <w:autoSpaceDN/>
              <w:bidi w:val="0"/>
              <w:snapToGrid/>
              <w:spacing w:line="360" w:lineRule="auto"/>
              <w:ind w:left="0" w:leftChars="0" w:firstLine="0" w:firstLineChars="0"/>
              <w:rPr>
                <w:rFonts w:hint="eastAsia"/>
              </w:rPr>
            </w:pPr>
            <w:r>
              <w:rPr>
                <w:rFonts w:hint="eastAsia" w:ascii="仿宋" w:hAnsi="仿宋" w:eastAsia="仿宋" w:cs="仿宋"/>
                <w:kern w:val="2"/>
                <w:sz w:val="24"/>
                <w:szCs w:val="24"/>
                <w:lang w:val="en-US" w:eastAsia="zh-CN" w:bidi="ar-SA"/>
              </w:rPr>
              <w:t>4、未提供设计方案的不得分。</w:t>
            </w:r>
          </w:p>
        </w:tc>
      </w:tr>
      <w:tr w14:paraId="0637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pct"/>
            <w:vMerge w:val="continue"/>
            <w:tcBorders>
              <w:left w:val="single" w:color="auto" w:sz="4" w:space="0"/>
              <w:bottom w:val="single" w:color="auto" w:sz="4" w:space="0"/>
              <w:right w:val="single" w:color="auto" w:sz="4" w:space="0"/>
            </w:tcBorders>
            <w:vAlign w:val="center"/>
          </w:tcPr>
          <w:p w14:paraId="64CE3ADA">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p>
        </w:tc>
        <w:tc>
          <w:tcPr>
            <w:tcW w:w="1081" w:type="pct"/>
            <w:gridSpan w:val="2"/>
            <w:tcBorders>
              <w:top w:val="single" w:color="auto" w:sz="4" w:space="0"/>
              <w:left w:val="nil"/>
              <w:bottom w:val="single" w:color="auto" w:sz="4" w:space="0"/>
              <w:right w:val="single" w:color="auto" w:sz="4" w:space="0"/>
            </w:tcBorders>
            <w:vAlign w:val="center"/>
          </w:tcPr>
          <w:p w14:paraId="4F70F71A">
            <w:pPr>
              <w:keepNext w:val="0"/>
              <w:keepLines w:val="0"/>
              <w:pageBreakBefore w:val="0"/>
              <w:kinsoku/>
              <w:overflowPunct/>
              <w:topLinePunct w:val="0"/>
              <w:autoSpaceDE/>
              <w:autoSpaceDN/>
              <w:bidi w:val="0"/>
              <w:adjustRightInd w:val="0"/>
              <w:snapToGrid/>
              <w:spacing w:line="360" w:lineRule="auto"/>
              <w:ind w:firstLine="0" w:firstLineChars="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实施方案</w:t>
            </w:r>
          </w:p>
          <w:p w14:paraId="04C2E491">
            <w:pPr>
              <w:keepNext w:val="0"/>
              <w:keepLines w:val="0"/>
              <w:pageBreakBefore w:val="0"/>
              <w:kinsoku/>
              <w:overflowPunct/>
              <w:topLinePunct w:val="0"/>
              <w:autoSpaceDE/>
              <w:autoSpaceDN/>
              <w:bidi w:val="0"/>
              <w:adjustRightInd w:val="0"/>
              <w:snapToGrid/>
              <w:spacing w:line="360" w:lineRule="auto"/>
              <w:ind w:firstLine="0" w:firstLineChars="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3209" w:type="pct"/>
            <w:tcBorders>
              <w:top w:val="single" w:color="auto" w:sz="4" w:space="0"/>
              <w:left w:val="nil"/>
              <w:bottom w:val="single" w:color="auto" w:sz="4" w:space="0"/>
              <w:right w:val="single" w:color="auto" w:sz="4" w:space="0"/>
            </w:tcBorders>
            <w:vAlign w:val="center"/>
          </w:tcPr>
          <w:p w14:paraId="2868C0E4">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能够提出针对本项目科学、</w:t>
            </w:r>
            <w:r>
              <w:rPr>
                <w:rFonts w:hint="eastAsia" w:ascii="仿宋" w:hAnsi="仿宋" w:eastAsia="仿宋" w:cs="仿宋"/>
                <w:sz w:val="24"/>
                <w:szCs w:val="24"/>
                <w:lang w:val="en-US" w:eastAsia="zh-CN"/>
              </w:rPr>
              <w:t>合理合规</w:t>
            </w:r>
            <w:r>
              <w:rPr>
                <w:rFonts w:hint="eastAsia" w:ascii="仿宋" w:hAnsi="仿宋" w:eastAsia="仿宋" w:cs="仿宋"/>
                <w:sz w:val="24"/>
                <w:szCs w:val="24"/>
              </w:rPr>
              <w:t>并结合项目特点制定具体的供货方案，</w:t>
            </w:r>
            <w:r>
              <w:rPr>
                <w:rFonts w:hint="eastAsia" w:ascii="仿宋" w:hAnsi="仿宋" w:eastAsia="仿宋" w:cs="仿宋"/>
                <w:sz w:val="24"/>
                <w:szCs w:val="24"/>
                <w:lang w:val="en-US" w:eastAsia="zh-CN"/>
              </w:rPr>
              <w:t>，施工方案、</w:t>
            </w:r>
            <w:r>
              <w:rPr>
                <w:rFonts w:hint="eastAsia" w:ascii="仿宋" w:hAnsi="仿宋" w:eastAsia="仿宋" w:cs="仿宋"/>
                <w:sz w:val="24"/>
                <w:szCs w:val="24"/>
              </w:rPr>
              <w:t>进度计划安排及质量保证措施</w:t>
            </w:r>
            <w:r>
              <w:rPr>
                <w:rFonts w:hint="eastAsia" w:ascii="仿宋" w:hAnsi="仿宋" w:eastAsia="仿宋" w:cs="仿宋"/>
                <w:sz w:val="24"/>
                <w:szCs w:val="24"/>
                <w:lang w:val="en-US" w:eastAsia="zh-CN"/>
              </w:rPr>
              <w:t>等评测</w:t>
            </w:r>
          </w:p>
          <w:p w14:paraId="07CBC03F">
            <w:pPr>
              <w:pStyle w:val="13"/>
              <w:keepNext w:val="0"/>
              <w:keepLines w:val="0"/>
              <w:pageBreakBefore w:val="0"/>
              <w:kinsoku/>
              <w:overflowPunct/>
              <w:topLinePunct w:val="0"/>
              <w:autoSpaceDE/>
              <w:autoSpaceDN/>
              <w:bidi w:val="0"/>
              <w:snapToGrid/>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1、实施方案考录全面，方案切实可行，得10分；</w:t>
            </w:r>
          </w:p>
          <w:p w14:paraId="4DE3E860">
            <w:pPr>
              <w:pStyle w:val="13"/>
              <w:keepNext w:val="0"/>
              <w:keepLines w:val="0"/>
              <w:pageBreakBefore w:val="0"/>
              <w:kinsoku/>
              <w:overflowPunct/>
              <w:topLinePunct w:val="0"/>
              <w:autoSpaceDE/>
              <w:autoSpaceDN/>
              <w:bidi w:val="0"/>
              <w:snapToGrid/>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2、实施方案考录较全面，方案实施一般，得6分；</w:t>
            </w:r>
          </w:p>
          <w:p w14:paraId="1553E8EF">
            <w:pPr>
              <w:pStyle w:val="13"/>
              <w:keepNext w:val="0"/>
              <w:keepLines w:val="0"/>
              <w:pageBreakBefore w:val="0"/>
              <w:kinsoku/>
              <w:overflowPunct/>
              <w:topLinePunct w:val="0"/>
              <w:autoSpaceDE/>
              <w:autoSpaceDN/>
              <w:bidi w:val="0"/>
              <w:snapToGrid/>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3、实施方案考录不全，方案可行性底，得3分；</w:t>
            </w:r>
          </w:p>
          <w:p w14:paraId="1237CAF6">
            <w:pPr>
              <w:pStyle w:val="13"/>
              <w:keepNext w:val="0"/>
              <w:keepLines w:val="0"/>
              <w:pageBreakBefore w:val="0"/>
              <w:kinsoku/>
              <w:overflowPunct/>
              <w:topLinePunct w:val="0"/>
              <w:autoSpaceDE/>
              <w:autoSpaceDN/>
              <w:bidi w:val="0"/>
              <w:snapToGrid/>
              <w:spacing w:line="360" w:lineRule="auto"/>
              <w:ind w:left="0" w:leftChars="0" w:firstLine="0" w:firstLineChars="0"/>
              <w:rPr>
                <w:rFonts w:hint="default"/>
                <w:lang w:val="en-US" w:eastAsia="zh-CN"/>
              </w:rPr>
            </w:pPr>
            <w:r>
              <w:rPr>
                <w:rFonts w:hint="eastAsia" w:ascii="仿宋" w:hAnsi="仿宋" w:eastAsia="仿宋" w:cs="仿宋"/>
                <w:kern w:val="2"/>
                <w:sz w:val="24"/>
                <w:szCs w:val="24"/>
                <w:lang w:val="en-US" w:eastAsia="zh-CN" w:bidi="ar-SA"/>
              </w:rPr>
              <w:t>4、未提供实施方案的不得分。</w:t>
            </w:r>
          </w:p>
        </w:tc>
      </w:tr>
      <w:tr w14:paraId="0694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09" w:type="pct"/>
            <w:vMerge w:val="restart"/>
            <w:tcBorders>
              <w:top w:val="nil"/>
              <w:left w:val="single" w:color="auto" w:sz="4" w:space="0"/>
              <w:bottom w:val="single" w:color="auto" w:sz="4" w:space="0"/>
              <w:right w:val="single" w:color="auto" w:sz="4" w:space="0"/>
            </w:tcBorders>
            <w:vAlign w:val="center"/>
          </w:tcPr>
          <w:p w14:paraId="754C3289">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商务标</w:t>
            </w:r>
          </w:p>
          <w:p w14:paraId="09579AC1">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28</w:t>
            </w:r>
            <w:r>
              <w:rPr>
                <w:rFonts w:hint="eastAsia" w:ascii="仿宋" w:hAnsi="仿宋" w:eastAsia="仿宋" w:cs="仿宋"/>
                <w:sz w:val="24"/>
                <w:szCs w:val="24"/>
              </w:rPr>
              <w:t>分）</w:t>
            </w:r>
          </w:p>
        </w:tc>
        <w:tc>
          <w:tcPr>
            <w:tcW w:w="1081" w:type="pct"/>
            <w:gridSpan w:val="2"/>
            <w:tcBorders>
              <w:top w:val="single" w:color="auto" w:sz="4" w:space="0"/>
              <w:left w:val="nil"/>
              <w:bottom w:val="single" w:color="auto" w:sz="4" w:space="0"/>
              <w:right w:val="single" w:color="auto" w:sz="4" w:space="0"/>
            </w:tcBorders>
            <w:vAlign w:val="center"/>
          </w:tcPr>
          <w:p w14:paraId="5A3202EB">
            <w:pPr>
              <w:keepNext w:val="0"/>
              <w:keepLines w:val="0"/>
              <w:pageBreakBefore w:val="0"/>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企业业绩</w:t>
            </w:r>
          </w:p>
          <w:p w14:paraId="5ACC56D8">
            <w:pPr>
              <w:keepNext w:val="0"/>
              <w:keepLines w:val="0"/>
              <w:pageBreakBefore w:val="0"/>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（6分）</w:t>
            </w:r>
          </w:p>
        </w:tc>
        <w:tc>
          <w:tcPr>
            <w:tcW w:w="3209" w:type="pct"/>
            <w:tcBorders>
              <w:top w:val="single" w:color="auto" w:sz="4" w:space="0"/>
              <w:left w:val="nil"/>
              <w:bottom w:val="single" w:color="auto" w:sz="4" w:space="0"/>
              <w:right w:val="single" w:color="auto" w:sz="4" w:space="0"/>
            </w:tcBorders>
            <w:vAlign w:val="center"/>
          </w:tcPr>
          <w:p w14:paraId="3FA7827D">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投标人202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年1月1日以来具类似采购项目业绩的，每提供一份得2分，最多得6分。（提供中标通知书及合同扫描件），否则将不予认可。</w:t>
            </w:r>
          </w:p>
        </w:tc>
      </w:tr>
      <w:tr w14:paraId="3D0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09" w:type="pct"/>
            <w:vMerge w:val="continue"/>
            <w:tcBorders>
              <w:top w:val="nil"/>
              <w:left w:val="single" w:color="auto" w:sz="4" w:space="0"/>
              <w:bottom w:val="single" w:color="auto" w:sz="4" w:space="0"/>
              <w:right w:val="single" w:color="auto" w:sz="4" w:space="0"/>
            </w:tcBorders>
            <w:vAlign w:val="center"/>
          </w:tcPr>
          <w:p w14:paraId="7291576E">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p>
        </w:tc>
        <w:tc>
          <w:tcPr>
            <w:tcW w:w="1081" w:type="pct"/>
            <w:gridSpan w:val="2"/>
            <w:tcBorders>
              <w:top w:val="single" w:color="auto" w:sz="4" w:space="0"/>
              <w:left w:val="nil"/>
              <w:bottom w:val="single" w:color="auto" w:sz="4" w:space="0"/>
              <w:right w:val="single" w:color="auto" w:sz="4" w:space="0"/>
            </w:tcBorders>
            <w:vAlign w:val="center"/>
          </w:tcPr>
          <w:p w14:paraId="15E27B5A">
            <w:pPr>
              <w:keepNext w:val="0"/>
              <w:keepLines w:val="0"/>
              <w:pageBreakBefore w:val="0"/>
              <w:kinsoku/>
              <w:wordWrap w:val="0"/>
              <w:overflowPunct/>
              <w:topLinePunct w:val="0"/>
              <w:autoSpaceDE/>
              <w:autoSpaceDN/>
              <w:bidi w:val="0"/>
              <w:snapToGrid/>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售后服务</w:t>
            </w:r>
          </w:p>
          <w:p w14:paraId="6C664403">
            <w:pPr>
              <w:keepNext w:val="0"/>
              <w:keepLines w:val="0"/>
              <w:pageBreakBefore w:val="0"/>
              <w:kinsoku/>
              <w:wordWrap w:val="0"/>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分）</w:t>
            </w:r>
          </w:p>
        </w:tc>
        <w:tc>
          <w:tcPr>
            <w:tcW w:w="3209" w:type="pct"/>
            <w:tcBorders>
              <w:top w:val="single" w:color="auto" w:sz="4" w:space="0"/>
              <w:left w:val="nil"/>
              <w:bottom w:val="single" w:color="auto" w:sz="4" w:space="0"/>
              <w:right w:val="single" w:color="auto" w:sz="4" w:space="0"/>
            </w:tcBorders>
            <w:vAlign w:val="center"/>
          </w:tcPr>
          <w:p w14:paraId="5225AEE2">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对本项目的售后服务方案进行评审（售后服务方案应至少包括以下内容：</w:t>
            </w:r>
            <w:r>
              <w:rPr>
                <w:rFonts w:hint="eastAsia" w:ascii="仿宋" w:hAnsi="仿宋" w:eastAsia="仿宋" w:cs="仿宋"/>
                <w:kern w:val="0"/>
                <w:sz w:val="24"/>
                <w:szCs w:val="24"/>
                <w:lang w:val="en-US" w:eastAsia="zh-CN"/>
              </w:rPr>
              <w:t>售后响应时间及速度、售后响应方式、详细的售后解决措施</w:t>
            </w:r>
            <w:r>
              <w:rPr>
                <w:rFonts w:hint="eastAsia" w:ascii="仿宋" w:hAnsi="仿宋" w:eastAsia="仿宋" w:cs="仿宋"/>
                <w:kern w:val="0"/>
                <w:sz w:val="24"/>
                <w:szCs w:val="24"/>
              </w:rPr>
              <w:t>及规划等：</w:t>
            </w:r>
          </w:p>
          <w:p w14:paraId="6E9F6386">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在问题出现能快速响应，售后人员迅速到达现场并且给出解决方案的并且能够给与质保期内定期的维保的</w:t>
            </w:r>
            <w:r>
              <w:rPr>
                <w:rFonts w:hint="eastAsia" w:ascii="仿宋" w:hAnsi="仿宋" w:eastAsia="仿宋" w:cs="仿宋"/>
                <w:kern w:val="0"/>
                <w:sz w:val="24"/>
                <w:szCs w:val="24"/>
              </w:rPr>
              <w:t>，得</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分；</w:t>
            </w:r>
          </w:p>
          <w:p w14:paraId="0682671B">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在问题出现能快速响应，售后人员在规定时间到达现场并且提出解决方案的</w:t>
            </w:r>
            <w:r>
              <w:rPr>
                <w:rFonts w:hint="eastAsia" w:ascii="仿宋" w:hAnsi="仿宋" w:eastAsia="仿宋" w:cs="仿宋"/>
                <w:kern w:val="0"/>
                <w:sz w:val="24"/>
                <w:szCs w:val="24"/>
              </w:rPr>
              <w:t>，得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w:t>
            </w:r>
            <w:r>
              <w:rPr>
                <w:rFonts w:hint="eastAsia" w:ascii="仿宋" w:hAnsi="仿宋" w:eastAsia="仿宋" w:cs="仿宋"/>
                <w:kern w:val="0"/>
                <w:sz w:val="24"/>
                <w:szCs w:val="24"/>
              </w:rPr>
              <w:t>；</w:t>
            </w:r>
          </w:p>
          <w:p w14:paraId="6F193974">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在问题出现响应速度一般的，售后人员到达现场时间较长的，并且提出的解决方案一般的</w:t>
            </w:r>
            <w:r>
              <w:rPr>
                <w:rFonts w:hint="eastAsia" w:ascii="仿宋" w:hAnsi="仿宋" w:eastAsia="仿宋" w:cs="仿宋"/>
                <w:kern w:val="0"/>
                <w:sz w:val="24"/>
                <w:szCs w:val="24"/>
              </w:rPr>
              <w:t>，得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p w14:paraId="629915D9">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4、未提供售后服务方案的不得分。</w:t>
            </w:r>
          </w:p>
        </w:tc>
      </w:tr>
      <w:tr w14:paraId="2167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09" w:type="pct"/>
            <w:vMerge w:val="continue"/>
            <w:tcBorders>
              <w:top w:val="nil"/>
              <w:left w:val="single" w:color="auto" w:sz="4" w:space="0"/>
              <w:bottom w:val="single" w:color="auto" w:sz="4" w:space="0"/>
              <w:right w:val="single" w:color="auto" w:sz="4" w:space="0"/>
            </w:tcBorders>
            <w:vAlign w:val="center"/>
          </w:tcPr>
          <w:p w14:paraId="1408221E">
            <w:pPr>
              <w:keepNext w:val="0"/>
              <w:keepLines w:val="0"/>
              <w:pageBreakBefore w:val="0"/>
              <w:widowControl/>
              <w:kinsoku/>
              <w:overflowPunct/>
              <w:topLinePunct w:val="0"/>
              <w:autoSpaceDE/>
              <w:autoSpaceDN/>
              <w:bidi w:val="0"/>
              <w:snapToGrid/>
              <w:spacing w:line="360" w:lineRule="auto"/>
              <w:ind w:firstLine="0" w:firstLineChars="0"/>
              <w:jc w:val="center"/>
              <w:rPr>
                <w:rFonts w:hint="eastAsia" w:ascii="仿宋" w:hAnsi="仿宋" w:eastAsia="仿宋" w:cs="仿宋"/>
                <w:sz w:val="24"/>
                <w:szCs w:val="24"/>
              </w:rPr>
            </w:pPr>
          </w:p>
        </w:tc>
        <w:tc>
          <w:tcPr>
            <w:tcW w:w="1081" w:type="pct"/>
            <w:gridSpan w:val="2"/>
            <w:tcBorders>
              <w:top w:val="single" w:color="auto" w:sz="4" w:space="0"/>
              <w:left w:val="nil"/>
              <w:bottom w:val="single" w:color="auto" w:sz="4" w:space="0"/>
              <w:right w:val="single" w:color="auto" w:sz="4" w:space="0"/>
            </w:tcBorders>
            <w:vAlign w:val="center"/>
          </w:tcPr>
          <w:p w14:paraId="50AC481A">
            <w:pPr>
              <w:keepNext w:val="0"/>
              <w:keepLines w:val="0"/>
              <w:pageBreakBefore w:val="0"/>
              <w:kinsoku/>
              <w:wordWrap w:val="0"/>
              <w:overflowPunct/>
              <w:topLinePunct w:val="0"/>
              <w:autoSpaceDE/>
              <w:autoSpaceDN/>
              <w:bidi w:val="0"/>
              <w:snapToGrid/>
              <w:spacing w:line="360" w:lineRule="auto"/>
              <w:ind w:firstLine="0" w:firstLineChars="0"/>
              <w:jc w:val="center"/>
              <w:rPr>
                <w:rFonts w:hint="eastAsia" w:ascii="仿宋" w:hAnsi="仿宋" w:eastAsia="仿宋" w:cs="仿宋"/>
                <w:kern w:val="0"/>
                <w:sz w:val="24"/>
                <w:szCs w:val="24"/>
              </w:rPr>
            </w:pPr>
            <w:r>
              <w:rPr>
                <w:rFonts w:hint="eastAsia" w:ascii="宋体" w:hAnsi="宋体" w:eastAsia="宋体" w:cs="宋体"/>
                <w:sz w:val="21"/>
                <w:szCs w:val="21"/>
                <w:highlight w:val="none"/>
                <w:lang w:val="en-US" w:eastAsia="zh-CN"/>
              </w:rPr>
              <w:t>人力资源</w:t>
            </w:r>
          </w:p>
        </w:tc>
        <w:tc>
          <w:tcPr>
            <w:tcW w:w="3209" w:type="pct"/>
            <w:tcBorders>
              <w:top w:val="single" w:color="auto" w:sz="4" w:space="0"/>
              <w:left w:val="nil"/>
              <w:bottom w:val="single" w:color="auto" w:sz="4" w:space="0"/>
              <w:right w:val="single" w:color="auto" w:sz="4" w:space="0"/>
            </w:tcBorders>
            <w:vAlign w:val="center"/>
          </w:tcPr>
          <w:p w14:paraId="17F7347B">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本项共计</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分，最少得0分，具体分数扣减或增加情况如下：</w:t>
            </w:r>
          </w:p>
          <w:p w14:paraId="27BDEFCE">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 xml:space="preserve">投标人拟投入本项目的项目团队人员具有以下证书： </w:t>
            </w:r>
          </w:p>
          <w:p w14:paraId="504484A2">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具备本科及以上学历或学位证书，每提供一人，得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分，最高得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p w14:paraId="7BA6DE2E">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具备特种作业操作证，每提供一人，得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分，最高得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p w14:paraId="3AA4CD28">
            <w:pPr>
              <w:keepNext w:val="0"/>
              <w:keepLines w:val="0"/>
              <w:pageBreakBefore w:val="0"/>
              <w:kinsoku/>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应同时提供身份证、有效的证书复印件及近</w:t>
            </w:r>
            <w:r>
              <w:rPr>
                <w:rFonts w:hint="eastAsia" w:ascii="仿宋" w:hAnsi="仿宋" w:eastAsia="仿宋" w:cs="仿宋"/>
                <w:kern w:val="0"/>
                <w:sz w:val="24"/>
                <w:szCs w:val="24"/>
                <w:lang w:val="en-US" w:eastAsia="zh-CN"/>
              </w:rPr>
              <w:t>半年内连续3</w:t>
            </w:r>
            <w:r>
              <w:rPr>
                <w:rFonts w:hint="eastAsia" w:ascii="仿宋" w:hAnsi="仿宋" w:eastAsia="仿宋" w:cs="仿宋"/>
                <w:kern w:val="0"/>
                <w:sz w:val="24"/>
                <w:szCs w:val="24"/>
              </w:rPr>
              <w:t>个月在本单位购买的社保证明文件(如为成立不足一个月的新公司，则提供双方签订的劳动合同)，并加盖投标人公章方可得分，否则得0分。</w:t>
            </w:r>
          </w:p>
        </w:tc>
      </w:tr>
      <w:tr w14:paraId="5AEC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pct"/>
            <w:vMerge w:val="continue"/>
            <w:tcBorders>
              <w:top w:val="nil"/>
              <w:left w:val="single" w:color="auto" w:sz="4" w:space="0"/>
              <w:bottom w:val="single" w:color="auto" w:sz="4" w:space="0"/>
              <w:right w:val="single" w:color="auto" w:sz="4" w:space="0"/>
            </w:tcBorders>
            <w:vAlign w:val="center"/>
          </w:tcPr>
          <w:p w14:paraId="0AEAA3A9">
            <w:pPr>
              <w:keepNext w:val="0"/>
              <w:keepLines w:val="0"/>
              <w:pageBreakBefore w:val="0"/>
              <w:widowControl/>
              <w:kinsoku/>
              <w:overflowPunct/>
              <w:topLinePunct w:val="0"/>
              <w:autoSpaceDE/>
              <w:autoSpaceDN/>
              <w:bidi w:val="0"/>
              <w:snapToGrid/>
              <w:spacing w:line="360" w:lineRule="auto"/>
              <w:ind w:firstLine="0" w:firstLineChars="0"/>
              <w:rPr>
                <w:rFonts w:hint="eastAsia" w:ascii="仿宋" w:hAnsi="仿宋" w:eastAsia="仿宋" w:cs="仿宋"/>
                <w:sz w:val="24"/>
                <w:szCs w:val="24"/>
              </w:rPr>
            </w:pPr>
          </w:p>
        </w:tc>
        <w:tc>
          <w:tcPr>
            <w:tcW w:w="1081" w:type="pct"/>
            <w:gridSpan w:val="2"/>
            <w:tcBorders>
              <w:top w:val="single" w:color="auto" w:sz="4" w:space="0"/>
              <w:left w:val="nil"/>
              <w:bottom w:val="single" w:color="auto" w:sz="4" w:space="0"/>
              <w:right w:val="single" w:color="auto" w:sz="4" w:space="0"/>
            </w:tcBorders>
            <w:vAlign w:val="center"/>
          </w:tcPr>
          <w:p w14:paraId="1A4B78F8">
            <w:pPr>
              <w:keepNext w:val="0"/>
              <w:keepLines w:val="0"/>
              <w:pageBreakBefore w:val="0"/>
              <w:kinsoku/>
              <w:wordWrap w:val="0"/>
              <w:overflowPunct/>
              <w:topLinePunct w:val="0"/>
              <w:autoSpaceDE/>
              <w:autoSpaceDN/>
              <w:bidi w:val="0"/>
              <w:snapToGrid/>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质保期服务计划</w:t>
            </w:r>
          </w:p>
          <w:p w14:paraId="385EEBBA">
            <w:pPr>
              <w:keepNext w:val="0"/>
              <w:keepLines w:val="0"/>
              <w:pageBreakBefore w:val="0"/>
              <w:kinsoku/>
              <w:wordWrap w:val="0"/>
              <w:overflowPunct/>
              <w:topLinePunct w:val="0"/>
              <w:autoSpaceDE/>
              <w:autoSpaceDN/>
              <w:bidi w:val="0"/>
              <w:snapToGrid/>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w:t>
            </w:r>
          </w:p>
        </w:tc>
        <w:tc>
          <w:tcPr>
            <w:tcW w:w="3209" w:type="pct"/>
            <w:tcBorders>
              <w:top w:val="single" w:color="auto" w:sz="4" w:space="0"/>
              <w:left w:val="nil"/>
              <w:bottom w:val="single" w:color="auto" w:sz="4" w:space="0"/>
              <w:right w:val="single" w:color="auto" w:sz="4" w:space="0"/>
            </w:tcBorders>
            <w:vAlign w:val="center"/>
          </w:tcPr>
          <w:p w14:paraId="47B11934">
            <w:pPr>
              <w:keepNext w:val="0"/>
              <w:keepLines w:val="0"/>
              <w:pageBreakBefore w:val="0"/>
              <w:kinsoku/>
              <w:wordWrap w:val="0"/>
              <w:overflowPunct/>
              <w:topLinePunct w:val="0"/>
              <w:autoSpaceDE/>
              <w:autoSpaceDN/>
              <w:bidi w:val="0"/>
              <w:snapToGrid/>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质保期服务计划、服务内容、售后服务体系、备品备件供应、故障响应、巡检服务全面、详尽、合理、完全满足项目要求的，得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分，每有一项不满足扣</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分，扣完本项评分为止。</w:t>
            </w:r>
            <w:bookmarkStart w:id="3" w:name="_GoBack"/>
            <w:bookmarkEnd w:id="3"/>
          </w:p>
        </w:tc>
      </w:tr>
    </w:tbl>
    <w:p w14:paraId="20EDC3CB">
      <w:pPr>
        <w:pStyle w:val="16"/>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2BB64"/>
    <w:multiLevelType w:val="singleLevel"/>
    <w:tmpl w:val="A1F2BB64"/>
    <w:lvl w:ilvl="0" w:tentative="0">
      <w:start w:val="1"/>
      <w:numFmt w:val="decimal"/>
      <w:suff w:val="nothing"/>
      <w:lvlText w:val="%1、"/>
      <w:lvlJc w:val="left"/>
    </w:lvl>
  </w:abstractNum>
  <w:abstractNum w:abstractNumId="1">
    <w:nsid w:val="A6EFC734"/>
    <w:multiLevelType w:val="multilevel"/>
    <w:tmpl w:val="A6EFC734"/>
    <w:lvl w:ilvl="0" w:tentative="0">
      <w:start w:val="1"/>
      <w:numFmt w:val="decimal"/>
      <w:pStyle w:val="21"/>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C548594"/>
    <w:multiLevelType w:val="multilevel"/>
    <w:tmpl w:val="6C548594"/>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4">
    <w:nsid w:val="7E1A7EBC"/>
    <w:multiLevelType w:val="multilevel"/>
    <w:tmpl w:val="7E1A7EBC"/>
    <w:lvl w:ilvl="0" w:tentative="0">
      <w:start w:val="1"/>
      <w:numFmt w:val="decimal"/>
      <w:pStyle w:val="24"/>
      <w:suff w:val="nothing"/>
      <w:lvlText w:val="（%1）"/>
      <w:lvlJc w:val="left"/>
      <w:pPr>
        <w:ind w:left="85" w:firstLine="482"/>
      </w:pPr>
      <w:rPr>
        <w:rFonts w:hint="default" w:ascii="Times New Roman" w:hAnsi="Times New Roman" w:cs="Times New Roman"/>
        <w:b w:val="0"/>
        <w:sz w:val="24"/>
        <w:szCs w:val="24"/>
        <w:lang w:val="en-US"/>
      </w:rPr>
    </w:lvl>
    <w:lvl w:ilvl="1" w:tentative="0">
      <w:start w:val="1"/>
      <w:numFmt w:val="decimal"/>
      <w:lvlText w:val="%2、"/>
      <w:lvlJc w:val="left"/>
      <w:pPr>
        <w:ind w:left="692" w:hanging="360"/>
      </w:pPr>
      <w:rPr>
        <w:rFonts w:hint="default"/>
      </w:rPr>
    </w:lvl>
    <w:lvl w:ilvl="2" w:tentative="0">
      <w:start w:val="1"/>
      <w:numFmt w:val="lowerRoman"/>
      <w:lvlText w:val="%3."/>
      <w:lvlJc w:val="right"/>
      <w:pPr>
        <w:ind w:left="1172" w:hanging="420"/>
      </w:pPr>
    </w:lvl>
    <w:lvl w:ilvl="3" w:tentative="0">
      <w:start w:val="1"/>
      <w:numFmt w:val="decimal"/>
      <w:lvlText w:val="%4."/>
      <w:lvlJc w:val="left"/>
      <w:pPr>
        <w:ind w:left="1592" w:hanging="420"/>
      </w:pPr>
    </w:lvl>
    <w:lvl w:ilvl="4" w:tentative="0">
      <w:start w:val="1"/>
      <w:numFmt w:val="lowerLetter"/>
      <w:lvlText w:val="%5)"/>
      <w:lvlJc w:val="left"/>
      <w:pPr>
        <w:ind w:left="2012" w:hanging="420"/>
      </w:pPr>
    </w:lvl>
    <w:lvl w:ilvl="5" w:tentative="0">
      <w:start w:val="1"/>
      <w:numFmt w:val="lowerRoman"/>
      <w:lvlText w:val="%6."/>
      <w:lvlJc w:val="right"/>
      <w:pPr>
        <w:ind w:left="2432" w:hanging="420"/>
      </w:pPr>
    </w:lvl>
    <w:lvl w:ilvl="6" w:tentative="0">
      <w:start w:val="1"/>
      <w:numFmt w:val="decimal"/>
      <w:lvlText w:val="%7."/>
      <w:lvlJc w:val="left"/>
      <w:pPr>
        <w:ind w:left="2852" w:hanging="420"/>
      </w:pPr>
    </w:lvl>
    <w:lvl w:ilvl="7" w:tentative="0">
      <w:start w:val="1"/>
      <w:numFmt w:val="lowerLetter"/>
      <w:lvlText w:val="%8)"/>
      <w:lvlJc w:val="left"/>
      <w:pPr>
        <w:ind w:left="3272" w:hanging="420"/>
      </w:pPr>
    </w:lvl>
    <w:lvl w:ilvl="8" w:tentative="0">
      <w:start w:val="1"/>
      <w:numFmt w:val="lowerRoman"/>
      <w:lvlText w:val="%9."/>
      <w:lvlJc w:val="right"/>
      <w:pPr>
        <w:ind w:left="3692" w:hanging="420"/>
      </w:pPr>
    </w:lvl>
  </w:abstractNum>
  <w:num w:numId="1">
    <w:abstractNumId w:val="3"/>
  </w:num>
  <w:num w:numId="2">
    <w:abstractNumId w:val="1"/>
  </w:num>
  <w:num w:numId="3">
    <w:abstractNumId w:val="4"/>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C1464"/>
    <w:rsid w:val="01066CBA"/>
    <w:rsid w:val="016A6FD7"/>
    <w:rsid w:val="04E419E0"/>
    <w:rsid w:val="096A7135"/>
    <w:rsid w:val="112C1464"/>
    <w:rsid w:val="12203C9C"/>
    <w:rsid w:val="1D401836"/>
    <w:rsid w:val="209F4E11"/>
    <w:rsid w:val="222C2260"/>
    <w:rsid w:val="23C56018"/>
    <w:rsid w:val="262D26C7"/>
    <w:rsid w:val="26516A31"/>
    <w:rsid w:val="28F43EAC"/>
    <w:rsid w:val="2B5972F5"/>
    <w:rsid w:val="2B91322F"/>
    <w:rsid w:val="2D1B3B7E"/>
    <w:rsid w:val="2E0D6676"/>
    <w:rsid w:val="30E82594"/>
    <w:rsid w:val="32EE194A"/>
    <w:rsid w:val="3B241E09"/>
    <w:rsid w:val="3E1A3702"/>
    <w:rsid w:val="429C4C9E"/>
    <w:rsid w:val="482D4D0D"/>
    <w:rsid w:val="490A4E1E"/>
    <w:rsid w:val="49975BCE"/>
    <w:rsid w:val="4A10311D"/>
    <w:rsid w:val="4DEC4DE1"/>
    <w:rsid w:val="4EA423A6"/>
    <w:rsid w:val="55AA1674"/>
    <w:rsid w:val="56E143CB"/>
    <w:rsid w:val="56EE7348"/>
    <w:rsid w:val="58717201"/>
    <w:rsid w:val="5B1C2FF1"/>
    <w:rsid w:val="5E0019CA"/>
    <w:rsid w:val="5E6644B1"/>
    <w:rsid w:val="65901EB1"/>
    <w:rsid w:val="6DB00348"/>
    <w:rsid w:val="711C66C3"/>
    <w:rsid w:val="72282262"/>
    <w:rsid w:val="7452617C"/>
    <w:rsid w:val="74B244C7"/>
    <w:rsid w:val="79711F71"/>
    <w:rsid w:val="79D0629D"/>
    <w:rsid w:val="7B745B1A"/>
    <w:rsid w:val="7B776025"/>
    <w:rsid w:val="7E97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firstLineChars="0"/>
      <w:outlineLvl w:val="0"/>
    </w:pPr>
    <w:rPr>
      <w:rFonts w:eastAsia="宋体" w:cs="宋体" w:asciiTheme="minorAscii" w:hAnsiTheme="minorAscii"/>
      <w:b/>
      <w:kern w:val="44"/>
      <w:sz w:val="32"/>
    </w:rPr>
  </w:style>
  <w:style w:type="paragraph" w:styleId="4">
    <w:name w:val="heading 2"/>
    <w:basedOn w:val="1"/>
    <w:next w:val="5"/>
    <w:unhideWhenUsed/>
    <w:qFormat/>
    <w:uiPriority w:val="0"/>
    <w:pPr>
      <w:keepNext/>
      <w:keepLines/>
      <w:numPr>
        <w:ilvl w:val="1"/>
        <w:numId w:val="1"/>
      </w:numPr>
      <w:spacing w:before="260" w:beforeLines="0" w:beforeAutospacing="0" w:after="260" w:afterLines="0" w:afterAutospacing="0" w:line="413" w:lineRule="auto"/>
      <w:ind w:left="0" w:firstLine="0" w:firstLineChars="0"/>
      <w:jc w:val="left"/>
      <w:outlineLvl w:val="1"/>
    </w:pPr>
    <w:rPr>
      <w:rFonts w:ascii="Arial" w:hAnsi="Arial" w:eastAsia="宋体" w:cs="Arial"/>
      <w:b/>
      <w:snapToGrid w:val="0"/>
      <w:color w:val="000000"/>
      <w:kern w:val="0"/>
      <w:sz w:val="30"/>
      <w:szCs w:val="21"/>
      <w:lang w:eastAsia="en-US"/>
    </w:rPr>
  </w:style>
  <w:style w:type="paragraph" w:styleId="6">
    <w:name w:val="heading 3"/>
    <w:basedOn w:val="1"/>
    <w:next w:val="1"/>
    <w:link w:val="20"/>
    <w:unhideWhenUsed/>
    <w:qFormat/>
    <w:uiPriority w:val="0"/>
    <w:pPr>
      <w:keepNext/>
      <w:keepLines/>
      <w:pageBreakBefore w:val="0"/>
      <w:numPr>
        <w:ilvl w:val="2"/>
        <w:numId w:val="1"/>
      </w:numPr>
      <w:tabs>
        <w:tab w:val="left" w:pos="1440"/>
      </w:tabs>
      <w:spacing w:line="360" w:lineRule="auto"/>
      <w:ind w:firstLine="400" w:firstLineChars="0"/>
      <w:jc w:val="left"/>
      <w:outlineLvl w:val="2"/>
    </w:pPr>
    <w:rPr>
      <w:rFonts w:ascii="Times New Roman" w:hAnsi="Times New Roman" w:eastAsia="黑体" w:cs="Times New Roman"/>
      <w:b/>
      <w:sz w:val="32"/>
    </w:rPr>
  </w:style>
  <w:style w:type="paragraph" w:styleId="7">
    <w:name w:val="heading 4"/>
    <w:basedOn w:val="1"/>
    <w:next w:val="1"/>
    <w:link w:val="22"/>
    <w:semiHidden/>
    <w:unhideWhenUsed/>
    <w:qFormat/>
    <w:uiPriority w:val="0"/>
    <w:pPr>
      <w:keepNext/>
      <w:keepLines/>
      <w:numPr>
        <w:ilvl w:val="3"/>
        <w:numId w:val="1"/>
      </w:numPr>
      <w:adjustRightInd w:val="0"/>
      <w:spacing w:before="280" w:after="290" w:line="376" w:lineRule="atLeast"/>
      <w:ind w:left="0" w:firstLine="402" w:firstLineChars="0"/>
      <w:textAlignment w:val="baseline"/>
      <w:outlineLvl w:val="3"/>
    </w:pPr>
    <w:rPr>
      <w:rFonts w:ascii="Arial" w:hAnsi="Arial" w:eastAsia="宋体" w:cs="Times New Roman"/>
      <w:kern w:val="0"/>
      <w:sz w:val="28"/>
      <w:szCs w:val="20"/>
    </w:rPr>
  </w:style>
  <w:style w:type="paragraph" w:styleId="8">
    <w:name w:val="heading 5"/>
    <w:basedOn w:val="1"/>
    <w:next w:val="1"/>
    <w:link w:val="23"/>
    <w:semiHidden/>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rFonts w:eastAsia="宋体" w:cs="Times New Roman" w:asciiTheme="minorAscii" w:hAnsiTheme="minorAscii"/>
      <w:sz w:val="24"/>
    </w:rPr>
  </w:style>
  <w:style w:type="paragraph" w:styleId="9">
    <w:name w:val="heading 6"/>
    <w:basedOn w:val="1"/>
    <w:next w:val="1"/>
    <w:semiHidden/>
    <w:unhideWhenUsed/>
    <w:qFormat/>
    <w:uiPriority w:val="0"/>
    <w:pPr>
      <w:keepNext/>
      <w:keepLines/>
      <w:numPr>
        <w:ilvl w:val="5"/>
        <w:numId w:val="1"/>
      </w:numPr>
      <w:adjustRightInd w:val="0"/>
      <w:spacing w:beforeLines="0" w:beforeAutospacing="0" w:afterLines="0" w:afterAutospacing="0" w:line="317" w:lineRule="auto"/>
      <w:ind w:left="0" w:firstLine="402" w:firstLineChars="0"/>
      <w:outlineLvl w:val="5"/>
    </w:pPr>
    <w:rPr>
      <w:rFonts w:ascii="Arial" w:hAnsi="Arial"/>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1"/>
    <w:pPr>
      <w:widowControl w:val="0"/>
      <w:spacing w:line="380" w:lineRule="exact"/>
      <w:jc w:val="both"/>
    </w:pPr>
    <w:rPr>
      <w:rFonts w:ascii="Arial" w:hAnsi="Arial" w:eastAsia="仿宋_GB2312" w:cs="Times New Roman"/>
      <w:kern w:val="2"/>
      <w:sz w:val="28"/>
      <w:szCs w:val="24"/>
      <w:lang w:val="en-US" w:eastAsia="zh-CN" w:bidi="ar-SA"/>
    </w:rPr>
  </w:style>
  <w:style w:type="paragraph" w:styleId="5">
    <w:name w:val="Normal Indent"/>
    <w:basedOn w:val="1"/>
    <w:next w:val="1"/>
    <w:qFormat/>
    <w:uiPriority w:val="0"/>
    <w:pPr>
      <w:ind w:firstLine="420" w:firstLineChars="200"/>
    </w:pPr>
  </w:style>
  <w:style w:type="paragraph" w:styleId="13">
    <w:name w:val="Body Text"/>
    <w:basedOn w:val="1"/>
    <w:next w:val="14"/>
    <w:unhideWhenUsed/>
    <w:qFormat/>
    <w:uiPriority w:val="99"/>
    <w:pPr>
      <w:spacing w:after="120"/>
    </w:pPr>
  </w:style>
  <w:style w:type="paragraph" w:styleId="14">
    <w:name w:val="toc 2"/>
    <w:basedOn w:val="1"/>
    <w:next w:val="1"/>
    <w:unhideWhenUsed/>
    <w:qFormat/>
    <w:uiPriority w:val="39"/>
    <w:pPr>
      <w:ind w:left="420" w:leftChars="200"/>
    </w:pPr>
  </w:style>
  <w:style w:type="paragraph" w:styleId="15">
    <w:name w:val="Body Text Indent"/>
    <w:basedOn w:val="1"/>
    <w:qFormat/>
    <w:uiPriority w:val="0"/>
    <w:pPr>
      <w:spacing w:after="120" w:afterLines="0" w:afterAutospacing="0"/>
      <w:ind w:left="420" w:leftChars="200"/>
    </w:pPr>
  </w:style>
  <w:style w:type="paragraph" w:styleId="16">
    <w:name w:val="Body Text First Indent 2"/>
    <w:basedOn w:val="15"/>
    <w:qFormat/>
    <w:uiPriority w:val="0"/>
    <w:pPr>
      <w:ind w:firstLine="420" w:firstLineChars="200"/>
    </w:pPr>
  </w:style>
  <w:style w:type="character" w:styleId="19">
    <w:name w:val="Strong"/>
    <w:basedOn w:val="18"/>
    <w:qFormat/>
    <w:uiPriority w:val="0"/>
    <w:rPr>
      <w:rFonts w:ascii="Times New Roman" w:hAnsi="Times New Roman" w:eastAsia="宋体"/>
      <w:sz w:val="24"/>
    </w:rPr>
  </w:style>
  <w:style w:type="character" w:customStyle="1" w:styleId="20">
    <w:name w:val="标题 3 Char"/>
    <w:link w:val="6"/>
    <w:qFormat/>
    <w:uiPriority w:val="0"/>
    <w:rPr>
      <w:rFonts w:ascii="Times New Roman" w:hAnsi="Times New Roman" w:eastAsia="黑体" w:cs="Times New Roman"/>
      <w:b/>
      <w:kern w:val="2"/>
      <w:sz w:val="28"/>
      <w:szCs w:val="24"/>
      <w:lang w:val="en-US" w:eastAsia="zh-CN" w:bidi="ar-SA"/>
    </w:rPr>
  </w:style>
  <w:style w:type="paragraph" w:customStyle="1" w:styleId="21">
    <w:name w:val="样式1"/>
    <w:basedOn w:val="1"/>
    <w:next w:val="1"/>
    <w:qFormat/>
    <w:uiPriority w:val="0"/>
    <w:pPr>
      <w:keepNext/>
      <w:keepLines/>
      <w:numPr>
        <w:ilvl w:val="0"/>
        <w:numId w:val="2"/>
      </w:numPr>
      <w:spacing w:before="260" w:beforeLines="0" w:after="260" w:afterLines="0" w:line="413" w:lineRule="auto"/>
      <w:ind w:left="425" w:hanging="425"/>
      <w:outlineLvl w:val="1"/>
    </w:pPr>
    <w:rPr>
      <w:rFonts w:hint="eastAsia" w:ascii="Arial" w:hAnsi="Arial" w:eastAsia="黑体"/>
      <w:b/>
      <w:sz w:val="32"/>
    </w:rPr>
  </w:style>
  <w:style w:type="character" w:customStyle="1" w:styleId="22">
    <w:name w:val="标题 4 Char"/>
    <w:link w:val="7"/>
    <w:qFormat/>
    <w:uiPriority w:val="0"/>
    <w:rPr>
      <w:rFonts w:ascii="Arial" w:hAnsi="Arial" w:eastAsia="宋体" w:cs="Times New Roman"/>
      <w:sz w:val="28"/>
    </w:rPr>
  </w:style>
  <w:style w:type="character" w:customStyle="1" w:styleId="23">
    <w:name w:val="标题 5 Char"/>
    <w:link w:val="8"/>
    <w:autoRedefine/>
    <w:qFormat/>
    <w:uiPriority w:val="0"/>
    <w:rPr>
      <w:rFonts w:eastAsia="宋体" w:cs="Times New Roman" w:asciiTheme="minorAscii" w:hAnsiTheme="minorAscii"/>
      <w:sz w:val="24"/>
    </w:rPr>
  </w:style>
  <w:style w:type="paragraph" w:customStyle="1" w:styleId="24">
    <w:name w:val="编号正文"/>
    <w:basedOn w:val="25"/>
    <w:qFormat/>
    <w:uiPriority w:val="0"/>
    <w:pPr>
      <w:numPr>
        <w:ilvl w:val="0"/>
        <w:numId w:val="3"/>
      </w:numPr>
      <w:ind w:firstLine="0" w:firstLineChars="0"/>
    </w:pPr>
  </w:style>
  <w:style w:type="paragraph" w:styleId="25">
    <w:name w:val="List Paragraph"/>
    <w:basedOn w:val="1"/>
    <w:qFormat/>
    <w:uiPriority w:val="0"/>
    <w:pPr>
      <w:ind w:firstLine="420"/>
    </w:pPr>
  </w:style>
  <w:style w:type="character" w:customStyle="1" w:styleId="26">
    <w:name w:val="font41"/>
    <w:basedOn w:val="18"/>
    <w:uiPriority w:val="0"/>
    <w:rPr>
      <w:rFonts w:hint="default" w:ascii="Arial" w:hAnsi="Arial" w:cs="Arial"/>
      <w:color w:val="000000"/>
      <w:sz w:val="18"/>
      <w:szCs w:val="18"/>
      <w:u w:val="none"/>
    </w:rPr>
  </w:style>
  <w:style w:type="paragraph" w:customStyle="1" w:styleId="27">
    <w:name w:val="表格版式"/>
    <w:basedOn w:val="1"/>
    <w:qFormat/>
    <w:uiPriority w:val="0"/>
    <w:pPr>
      <w:ind w:firstLine="0" w:firstLineChars="0"/>
      <w:jc w:val="center"/>
    </w:pPr>
    <w:rPr>
      <w:rFonts w:ascii="楷体" w:hAnsi="楷体" w:eastAsia="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2025-07-16T03:22:00Z</dcterms:created>
  <dc:creator>1111</dc:creator>
  <cp:lastModifiedBy>1111</cp:lastModifiedBy>
  <dcterms:modified xsi:type="dcterms:W3CDTF">2025-07-16T08:27:36Z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FCC2E2F4ECC040D2ADD4088A41F568C4_11</vt:lpwstr>
  </property>
  <property fmtid="{D5CDD505-2E9C-101B-9397-08002B2CF9AE}" pid="4" name="KSOTemplateDocerSaveRecord">
    <vt:lpwstr>eyJoZGlkIjoiNGFiNzk5N2ExOTIxMjFmNDg1YmM3NzY3ZDBmOTI4YzIiLCJ1c2VySWQiOiIzODU3Mzc4OTgifQ==</vt:lpwstr>
  </property>
</Properties>
</file>