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FA55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禹州市中医院数据中心紧急扩容项目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lang w:eastAsia="zh-CN"/>
        </w:rPr>
        <w:t>（</w:t>
      </w:r>
      <w:r>
        <w:rPr>
          <w:rFonts w:hint="eastAsia" w:ascii="黑体" w:hAnsi="黑体" w:eastAsia="黑体" w:cstheme="majorEastAsia"/>
          <w:b/>
          <w:bCs/>
          <w:sz w:val="44"/>
          <w:szCs w:val="44"/>
          <w:lang w:val="en-US" w:eastAsia="zh-CN"/>
        </w:rPr>
        <w:t>三次</w:t>
      </w:r>
      <w:r>
        <w:rPr>
          <w:rFonts w:hint="eastAsia" w:ascii="黑体" w:hAnsi="黑体" w:eastAsia="黑体" w:cstheme="majorEastAsia"/>
          <w:b/>
          <w:bCs/>
          <w:sz w:val="44"/>
          <w:szCs w:val="44"/>
          <w:lang w:eastAsia="zh-CN"/>
        </w:rPr>
        <w:t>）</w:t>
      </w: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5026-2</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中医院</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九</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3ED8F3B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禹州市政府采购中心受禹州市中医院的委托，对“禹州市中医院数据中心紧急扩容项目（三次）（不见面开标）”进行竞争性谈判，现邀请符合本文件规定条件的供应商前来投标。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5026-2</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禹州市中医院数据中心紧急扩容项目（三次）（不见面开标）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1、采购人：禹州市中医院</w:t>
      </w:r>
    </w:p>
    <w:p w14:paraId="3E390CD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2、项目主要内容、数量及要求：添加数据库服务器、超融合服务器等共16项软硬件（详见谈判文件）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3、预算金额：1960000.00元 </w:t>
      </w:r>
    </w:p>
    <w:p w14:paraId="3AE94D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4、最高限价：1960000.00元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5、履约时间：合同签订后15日历天内 </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6、履约地点：禹州市中医院</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w:t>
      </w:r>
      <w:r>
        <w:rPr>
          <w:rFonts w:hint="eastAsia" w:asciiTheme="minorEastAsia" w:hAnsiTheme="minorEastAsia" w:eastAsiaTheme="minorEastAsia" w:cstheme="minorEastAsia"/>
          <w:color w:val="FF0000"/>
          <w:kern w:val="2"/>
          <w:sz w:val="21"/>
          <w:szCs w:val="21"/>
          <w:u w:val="single"/>
          <w:lang w:val="en-US" w:eastAsia="zh-CN" w:bidi="ar-SA"/>
        </w:rPr>
        <w:t>https://ggzy.xuchang.gov.cn</w:t>
      </w:r>
      <w:r>
        <w:rPr>
          <w:rFonts w:hint="eastAsia" w:asciiTheme="minorEastAsia" w:hAnsiTheme="minorEastAsia" w:eastAsiaTheme="minorEastAsia" w:cstheme="minorEastAsia"/>
          <w:color w:val="FF0000"/>
          <w:kern w:val="2"/>
          <w:sz w:val="21"/>
          <w:szCs w:val="21"/>
          <w:lang w:val="en-US" w:eastAsia="zh-CN" w:bidi="ar-SA"/>
        </w:rPr>
        <w:t>）的“投标人”登录入口免费获取本项目采购文件。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2025年9月23日8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采购人名称：禹州市中医院</w:t>
      </w:r>
    </w:p>
    <w:p w14:paraId="4F3002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地址：禹州市钧官窑路69号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eastAsiaTheme="minorEastAsia" w:cstheme="minorEastAsia"/>
          <w:kern w:val="2"/>
          <w:sz w:val="21"/>
          <w:szCs w:val="21"/>
          <w:lang w:val="en-US" w:eastAsia="zh-CN" w:bidi="ar-SA"/>
        </w:rPr>
        <w:t xml:space="preserve">董先生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0374-8816966</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w:t>
      </w:r>
      <w:r>
        <w:rPr>
          <w:rFonts w:hint="eastAsia" w:asciiTheme="minorEastAsia" w:hAnsiTheme="minorEastAsia" w:eastAsiaTheme="minorEastAsia" w:cstheme="minorEastAsia"/>
          <w:color w:val="000000"/>
          <w:kern w:val="2"/>
          <w:sz w:val="21"/>
          <w:szCs w:val="21"/>
          <w:shd w:val="clear" w:color="auto" w:fill="FFFFFF"/>
          <w:lang w:val="en-US" w:eastAsia="zh-CN" w:bidi="ar-SA"/>
        </w:rPr>
        <w:t>人：朱先生</w:t>
      </w:r>
      <w:r>
        <w:rPr>
          <w:rFonts w:hint="eastAsia" w:asciiTheme="minorEastAsia" w:hAnsiTheme="minorEastAsia" w:eastAsiaTheme="minorEastAsia" w:cstheme="minorEastAsia"/>
          <w:kern w:val="2"/>
          <w:sz w:val="21"/>
          <w:szCs w:val="21"/>
          <w:lang w:val="en-US" w:eastAsia="zh-CN" w:bidi="ar-SA"/>
        </w:rPr>
        <w:t xml:space="preserve">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70732CD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0430A59">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4EC5BF7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2A1A9322">
      <w:pPr>
        <w:widowControl/>
        <w:shd w:val="clear" w:color="auto" w:fill="FFFFFF"/>
        <w:spacing w:line="560" w:lineRule="exact"/>
        <w:ind w:firstLine="482"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对本次所有软硬件进行集成部署</w:t>
      </w:r>
    </w:p>
    <w:p w14:paraId="60BC4181">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数据库数据迁移至本次采购数据库设备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业务虚拟机迁移至本次采购虚拟化设备4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利旧设备并入本次采购虚拟化环境中5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应用虚拟机迁移至本次采购超融合服务器</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6.</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提供以上服务的实施方案。</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17"/>
        <w:gridCol w:w="5472"/>
        <w:gridCol w:w="660"/>
        <w:gridCol w:w="961"/>
      </w:tblGrid>
      <w:tr w14:paraId="0E48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5" w:type="dxa"/>
            <w:shd w:val="clear" w:color="auto" w:fill="auto"/>
            <w:vAlign w:val="top"/>
          </w:tcPr>
          <w:p w14:paraId="15622F0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517" w:type="dxa"/>
            <w:shd w:val="clear" w:color="auto" w:fill="auto"/>
            <w:vAlign w:val="top"/>
          </w:tcPr>
          <w:p w14:paraId="6BEFED9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5472" w:type="dxa"/>
            <w:shd w:val="clear" w:color="auto" w:fill="auto"/>
            <w:vAlign w:val="top"/>
          </w:tcPr>
          <w:p w14:paraId="1803EC0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参数</w:t>
            </w:r>
          </w:p>
        </w:tc>
        <w:tc>
          <w:tcPr>
            <w:tcW w:w="660" w:type="dxa"/>
            <w:shd w:val="clear" w:color="auto" w:fill="auto"/>
            <w:vAlign w:val="top"/>
          </w:tcPr>
          <w:p w14:paraId="31168C2D">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961" w:type="dxa"/>
            <w:shd w:val="clear" w:color="auto" w:fill="auto"/>
            <w:vAlign w:val="top"/>
          </w:tcPr>
          <w:p w14:paraId="124B60ED">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备注</w:t>
            </w:r>
          </w:p>
        </w:tc>
      </w:tr>
      <w:tr w14:paraId="52F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502EDB8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517" w:type="dxa"/>
            <w:shd w:val="clear" w:color="auto" w:fill="auto"/>
            <w:vAlign w:val="top"/>
          </w:tcPr>
          <w:p w14:paraId="05BD1F34">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超融合服务器</w:t>
            </w:r>
          </w:p>
        </w:tc>
        <w:tc>
          <w:tcPr>
            <w:tcW w:w="5472" w:type="dxa"/>
            <w:shd w:val="clear" w:color="auto" w:fill="auto"/>
            <w:vAlign w:val="top"/>
          </w:tcPr>
          <w:p w14:paraId="3490225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1、≥2U高度，标准机架式服务器，标配原厂导轨；</w:t>
            </w:r>
          </w:p>
          <w:p w14:paraId="55B102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2、≥2颗X86架构处理器， 主频≥2.0GHz，核数≥28核每颗；</w:t>
            </w:r>
          </w:p>
          <w:p w14:paraId="7885A90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3、≥8条32GB DDR4-3200内存，支持≥32个DDR4内存槽位；</w:t>
            </w:r>
          </w:p>
          <w:p w14:paraId="41C5F85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color w:val="FF0000"/>
                <w:sz w:val="21"/>
                <w:szCs w:val="21"/>
              </w:rPr>
            </w:pPr>
            <w:r>
              <w:rPr>
                <w:rFonts w:hint="eastAsia" w:ascii="仿宋" w:hAnsi="仿宋" w:eastAsia="仿宋" w:cs="仿宋"/>
                <w:sz w:val="21"/>
                <w:szCs w:val="21"/>
              </w:rPr>
              <w:t>4、配置≥2 块480GB SSD 系统盘，≥2块1.92TB NVMe 缓存盘，≥4 块4TB HDD 数据盘；支持SAS/SATA HDD/SSD硬盘，支持≥35个普通硬盘或者≥24块NVMe硬盘。</w:t>
            </w:r>
          </w:p>
          <w:p w14:paraId="63535CB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RAID卡，≥4GB缓存，带掉电保护装置;</w:t>
            </w:r>
          </w:p>
          <w:p w14:paraId="4B7CB40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6、提供≥10个PCIe4.0标准槽位和1个OCP 3.0槽位；</w:t>
            </w:r>
          </w:p>
          <w:p w14:paraId="1C67E4F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5C9B704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8、配置≥2块冗余电源和风扇；</w:t>
            </w:r>
          </w:p>
          <w:p w14:paraId="08E50A9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9、免费提供的服务器集群管理软件，可统一管理服务器（含海光、鲲鹏、飞腾、X86架构），可管理节点数不小于100；</w:t>
            </w:r>
          </w:p>
          <w:p w14:paraId="45AF692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10、通过传感器实现对服务器的温度、电压状态全面监控，可通过BMC页面查看温度、电流、电压、风扇转速传感器的历史曲线信息；</w:t>
            </w:r>
          </w:p>
          <w:p w14:paraId="3EC2A12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11、支持将一台服务器的操作系统（含应用、驱动、分区）批量复制到多台服务器，支持克隆Linux、VMware ESXi操作系统以及支持(克隆)镜像管理；</w:t>
            </w:r>
          </w:p>
          <w:p w14:paraId="6A5E1C8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12、支持固件&amp;驱动版本自动同步以及对版本进行合规性检测，免费更新，提升服务器版本管理效率。</w:t>
            </w:r>
          </w:p>
          <w:p w14:paraId="63D4308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p w14:paraId="79FE04E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软件需求：</w:t>
            </w:r>
          </w:p>
          <w:p w14:paraId="29F747D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1、通过超融合服务器管理平台即可实现对计算、存储、网络等资源进行统一管理，所有功能无需界面跳转即可实现全部操作，真正融合、简化管理。</w:t>
            </w:r>
          </w:p>
          <w:p w14:paraId="1BB2C27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针对超融合整体软硬件故障问题，提供统一的可视的监控管理软件，可视化实时监控软件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可视、可控、可管，简化运维。</w:t>
            </w:r>
          </w:p>
          <w:p w14:paraId="53C8A82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3、超融合管理平台集成融合在线的p2v、v2v迁移工具，支持业界主流的操作系统、虚拟化平台、公有云。包括但不限于原项目中的VMware、华为、H3C 、深信服等厂商平台的迁移，提升被迁移业务平台的普适性、提升业务迁移的便捷性，降低业务迁移的工作量。</w:t>
            </w:r>
          </w:p>
          <w:p w14:paraId="792AA0A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4、支持对整个平台实现网络拓扑管理，支持在网络拓扑页面查看当前网络配置、增删虚拟交换机、增删虚拟网卡、增删虚拟防火墙、操作虚拟机、防火墙关联虚拟机网卡，提供功能彩页截图或官网截图证明。</w:t>
            </w:r>
          </w:p>
          <w:p w14:paraId="0B249FE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5、支持快速查看、启动、删除、批量启动和批量删除长时间未使用且处于关闭状态的虚拟机，进行资源利用率统计，降低运维工作量与难度，保障投资。</w:t>
            </w:r>
          </w:p>
          <w:p w14:paraId="1202956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虚拟机可以实现物理机的全部功能，如具有自己的资源（内存、CPU、网卡、存储），可以指定单独的IP地址、MAC地址等。支持虚拟机规格的在线和离线调整，包括CPU、内存、硬盘、网卡等资源，在虚拟机操作系统本身的前提下，热添加的CPU/内存可以即时生效。</w:t>
            </w:r>
          </w:p>
          <w:p w14:paraId="45CCC0A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color w:val="FF0000"/>
                <w:sz w:val="21"/>
                <w:szCs w:val="21"/>
              </w:rPr>
            </w:pPr>
            <w:r>
              <w:rPr>
                <w:rFonts w:hint="eastAsia" w:ascii="仿宋" w:hAnsi="仿宋" w:eastAsia="仿宋" w:cs="仿宋"/>
                <w:sz w:val="21"/>
                <w:szCs w:val="21"/>
              </w:rPr>
              <w:t>7、支持虚拟机迁移历史记录功能，记录中包含迁移的操作员、迁移方式、源主机、目的主机、开始时间、迁移耗时等信息，便于对虚拟机的迁移路径进行回溯；</w:t>
            </w:r>
          </w:p>
          <w:p w14:paraId="1C64E76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支持集群动态资源调度功能，可基于主机的CPU利用率、内存利用率、磁盘I/O、存储利用率、磁盘请求、网络流量等资源对虚拟机进行动态资源调度，实现自动化的存储资源分配和负载均衡功能，主动确保云环境的服务水平，为业务系统提供健康可用的资源环境；</w:t>
            </w:r>
          </w:p>
          <w:p w14:paraId="77BC1A3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9、投标人应提供超融合产品制造厂商售后技术支持服务(免费三年以上及终身有偿服务)。</w:t>
            </w:r>
          </w:p>
          <w:p w14:paraId="241086C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10、超融合服务器需出厂即预装软件，开箱即用，硬件和软件为同一品牌。</w:t>
            </w:r>
          </w:p>
        </w:tc>
        <w:tc>
          <w:tcPr>
            <w:tcW w:w="660" w:type="dxa"/>
            <w:shd w:val="clear" w:color="auto" w:fill="auto"/>
            <w:vAlign w:val="top"/>
          </w:tcPr>
          <w:p w14:paraId="72CA4D7B">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961" w:type="dxa"/>
            <w:shd w:val="clear" w:color="auto" w:fill="auto"/>
            <w:vAlign w:val="top"/>
          </w:tcPr>
          <w:p w14:paraId="434D142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2BD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1F6B536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517" w:type="dxa"/>
            <w:shd w:val="clear" w:color="auto" w:fill="auto"/>
            <w:vAlign w:val="top"/>
          </w:tcPr>
          <w:p w14:paraId="2AD225F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超融合交换机</w:t>
            </w:r>
          </w:p>
        </w:tc>
        <w:tc>
          <w:tcPr>
            <w:tcW w:w="5472" w:type="dxa"/>
            <w:shd w:val="clear" w:color="auto" w:fill="auto"/>
            <w:vAlign w:val="top"/>
          </w:tcPr>
          <w:p w14:paraId="1CEBC14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1、交换容量≥2.56Tbps，包转发率≥360Mpps；</w:t>
            </w:r>
          </w:p>
          <w:p w14:paraId="102AF5D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2、提供≥24个1/10G SFP端口；</w:t>
            </w:r>
          </w:p>
          <w:p w14:paraId="237853F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3、支持链路聚合和虚拟化技术；</w:t>
            </w:r>
          </w:p>
          <w:p w14:paraId="6D942F0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4、支持VRRP、OSPFv1/v2、OSPF v3、BGP、ISIS等增强三层路由协议；</w:t>
            </w:r>
          </w:p>
          <w:p w14:paraId="6D2687E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5、支持CPU保护功能；</w:t>
            </w:r>
          </w:p>
          <w:p w14:paraId="4873702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内置智能图形化管理功能，能够实现通过图形化界面设备配置及命令一键下发和版本智能升级，全局配置及网管口配置，设备升级备份、监控及设备故障替换，组网拓扑可视及管理、设备列表展示等功能，提供功能彩页截图或官网截图证明。</w:t>
            </w:r>
          </w:p>
          <w:p w14:paraId="510640A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7、为保证兼容性</w:t>
            </w:r>
            <w:r>
              <w:rPr>
                <w:rFonts w:hint="eastAsia" w:ascii="仿宋" w:hAnsi="仿宋" w:eastAsia="仿宋" w:cs="仿宋"/>
                <w:bCs/>
                <w:sz w:val="21"/>
                <w:szCs w:val="21"/>
              </w:rPr>
              <w:t>，超融合交换机需与超融合服务器同一品牌。</w:t>
            </w:r>
          </w:p>
        </w:tc>
        <w:tc>
          <w:tcPr>
            <w:tcW w:w="660" w:type="dxa"/>
            <w:shd w:val="clear" w:color="auto" w:fill="auto"/>
            <w:vAlign w:val="top"/>
          </w:tcPr>
          <w:p w14:paraId="5BAC0C4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010973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081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401618FA">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517" w:type="dxa"/>
            <w:shd w:val="clear" w:color="auto" w:fill="auto"/>
            <w:vAlign w:val="top"/>
          </w:tcPr>
          <w:p w14:paraId="439965B0">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虚拟化服务器</w:t>
            </w:r>
          </w:p>
        </w:tc>
        <w:tc>
          <w:tcPr>
            <w:tcW w:w="5472" w:type="dxa"/>
            <w:shd w:val="clear" w:color="auto" w:fill="auto"/>
            <w:vAlign w:val="top"/>
          </w:tcPr>
          <w:p w14:paraId="458B0C3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1、设备高度≥2U，标配原厂导轨；</w:t>
            </w:r>
          </w:p>
          <w:p w14:paraId="3CA56CA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2、配置≥2颗X86架构处理器， 主频≥2.0GHz，核数≥28核每颗；</w:t>
            </w:r>
          </w:p>
          <w:p w14:paraId="4B2FD65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3、配置≥16 根 32GB DDR4-3200内存条，支持≥32个DDR4内存槽位；</w:t>
            </w:r>
          </w:p>
          <w:p w14:paraId="523C1BC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 块480GB SSD 硬盘，支持SAS/SATA HDD/SSD硬盘，支持≥35个普通硬盘或者≥24块NVMe硬盘，提供功能彩页截图或官网截图证明；</w:t>
            </w:r>
          </w:p>
          <w:p w14:paraId="54D1D09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w:t>
            </w:r>
            <w:r>
              <w:rPr>
                <w:rFonts w:hint="eastAsia" w:ascii="仿宋" w:hAnsi="仿宋" w:eastAsia="仿宋" w:cs="仿宋"/>
                <w:color w:val="000000" w:themeColor="text1"/>
                <w:sz w:val="21"/>
                <w:szCs w:val="21"/>
                <w14:textFill>
                  <w14:solidFill>
                    <w14:schemeClr w14:val="tx1"/>
                  </w14:solidFill>
                </w14:textFill>
              </w:rPr>
              <w:t>≥4GB缓存</w:t>
            </w:r>
            <w:r>
              <w:rPr>
                <w:rFonts w:hint="eastAsia" w:ascii="仿宋" w:hAnsi="仿宋" w:eastAsia="仿宋" w:cs="仿宋"/>
                <w:sz w:val="21"/>
                <w:szCs w:val="21"/>
              </w:rPr>
              <w:t>，支持缓存数据保护，且后备保护不受时间限制;</w:t>
            </w:r>
          </w:p>
          <w:p w14:paraId="4369903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6、提供≥10个PCIe4.0标准槽位和1个OCP 3.0槽位，提供功能彩页截图或官网截图证明；</w:t>
            </w:r>
          </w:p>
          <w:p w14:paraId="2993D0C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762F502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8、配置≥2块冗余电源和冗余风扇；</w:t>
            </w:r>
          </w:p>
          <w:p w14:paraId="782505C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9、配置LCD可触控智能管理模块，可显示服务器基本情况，</w:t>
            </w:r>
            <w:r>
              <w:rPr>
                <w:rFonts w:hint="eastAsia" w:ascii="仿宋" w:hAnsi="仿宋" w:eastAsia="仿宋" w:cs="仿宋"/>
                <w:bCs/>
                <w:sz w:val="21"/>
                <w:szCs w:val="21"/>
              </w:rPr>
              <w:t>支持各部件通过不同颜色展示健康状态；</w:t>
            </w:r>
          </w:p>
          <w:p w14:paraId="6E9A9D3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10、支持通过服务U盘下载服务器设备故障诊断日志，BM</w:t>
            </w:r>
            <w:r>
              <w:rPr>
                <w:rFonts w:hint="eastAsia" w:ascii="仿宋" w:hAnsi="仿宋" w:eastAsia="仿宋" w:cs="仿宋"/>
                <w:bCs/>
                <w:sz w:val="21"/>
                <w:szCs w:val="21"/>
              </w:rPr>
              <w:t>C支持监控主机状态进程信息，提供彩页或官网截图证明；</w:t>
            </w:r>
          </w:p>
          <w:p w14:paraId="098A51B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3884E92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4A8EE0C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w:t>
            </w:r>
          </w:p>
          <w:p w14:paraId="7B439E9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p w14:paraId="6DAE15A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15、为保证软件兼容性，</w:t>
            </w:r>
            <w:r>
              <w:rPr>
                <w:rFonts w:hint="eastAsia" w:ascii="仿宋" w:hAnsi="仿宋" w:eastAsia="仿宋" w:cs="仿宋"/>
                <w:bCs/>
                <w:sz w:val="21"/>
                <w:szCs w:val="21"/>
              </w:rPr>
              <w:t>需与序号4中的虚拟化软件为同一品牌</w:t>
            </w:r>
            <w:r>
              <w:rPr>
                <w:rFonts w:hint="eastAsia" w:ascii="仿宋" w:hAnsi="仿宋" w:eastAsia="仿宋" w:cs="仿宋"/>
                <w:sz w:val="21"/>
                <w:szCs w:val="21"/>
              </w:rPr>
              <w:t>。</w:t>
            </w:r>
          </w:p>
        </w:tc>
        <w:tc>
          <w:tcPr>
            <w:tcW w:w="660" w:type="dxa"/>
            <w:shd w:val="clear" w:color="auto" w:fill="auto"/>
            <w:vAlign w:val="top"/>
          </w:tcPr>
          <w:p w14:paraId="68AB5B2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6BB142E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198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697D092E">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517" w:type="dxa"/>
            <w:shd w:val="clear" w:color="auto" w:fill="auto"/>
            <w:vAlign w:val="top"/>
          </w:tcPr>
          <w:p w14:paraId="27E8E584">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虚拟化软件</w:t>
            </w:r>
          </w:p>
        </w:tc>
        <w:tc>
          <w:tcPr>
            <w:tcW w:w="5472" w:type="dxa"/>
            <w:shd w:val="clear" w:color="auto" w:fill="auto"/>
            <w:vAlign w:val="top"/>
          </w:tcPr>
          <w:p w14:paraId="36D5A09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1、虚拟化软件提供知识自主产权证明，以保证功能的可靠性和安全性。</w:t>
            </w:r>
          </w:p>
          <w:p w14:paraId="14716D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2、虚拟机支持市场上主流的国内外操作系统，包括Windows、RedHat、CentOS、Ubuntu、SUSE、Fedora、FreeBSD、统信、银河麒麟、中标麒麟、普华、深度、一铭、凝思等。</w:t>
            </w:r>
          </w:p>
          <w:p w14:paraId="433F9A9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虚拟化平台提供统一的虚拟化管理界面，支持管理所有虚拟化计算节点，在同一界面上提供虚拟机启动、休眠、恢复、重启、安全关闭、关闭电源、迁移、备份、快照、克隆、克隆为模板、修改等生命周期管理功能。</w:t>
            </w:r>
          </w:p>
          <w:p w14:paraId="15440C2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4、虚拟机可以实现物理机的全部功能，如具有自己的资源（内存、CPU、网卡、存储），可以指定单独的IP地址、MAC地址等。</w:t>
            </w:r>
          </w:p>
          <w:p w14:paraId="798122C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5、支持虚拟机规格的在线和离线调整，包括CPU、内存、硬盘、网卡等资源，在虚拟机操作系统本身支持的前提下，热添加</w:t>
            </w:r>
            <w:r>
              <w:rPr>
                <w:rFonts w:hint="eastAsia" w:ascii="仿宋" w:hAnsi="仿宋" w:eastAsia="仿宋" w:cs="仿宋"/>
                <w:bCs/>
                <w:sz w:val="21"/>
                <w:szCs w:val="21"/>
              </w:rPr>
              <w:t>的CPU/内存可以即时生效。</w:t>
            </w:r>
          </w:p>
          <w:p w14:paraId="654162B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w:t>
            </w:r>
            <w:r>
              <w:rPr>
                <w:rFonts w:hint="eastAsia" w:ascii="仿宋" w:hAnsi="仿宋" w:eastAsia="仿宋" w:cs="仿宋"/>
                <w:bCs/>
                <w:sz w:val="21"/>
                <w:szCs w:val="21"/>
              </w:rPr>
              <w:t>查看宿主机正在使用的服务及端口号，并设置访问端口的IP范围，防止未授权的访问和攻击。</w:t>
            </w:r>
          </w:p>
          <w:p w14:paraId="055E59E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用户运维工作量，提</w:t>
            </w:r>
            <w:r>
              <w:rPr>
                <w:rFonts w:hint="eastAsia" w:ascii="仿宋" w:hAnsi="仿宋" w:eastAsia="仿宋" w:cs="仿宋"/>
                <w:bCs/>
                <w:sz w:val="21"/>
                <w:szCs w:val="21"/>
              </w:rPr>
              <w:t>升运维效率。</w:t>
            </w:r>
          </w:p>
          <w:p w14:paraId="0A037B2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8、虚拟化管理平台内置在线p2v、v2v迁移工具，支持业界主流的操作系统、公有云平台、虚拟化平台，包括但不限于原项目中的VMware、H3C、华为等平台的迁移功能，提升被迁移业</w:t>
            </w:r>
            <w:r>
              <w:rPr>
                <w:rFonts w:hint="eastAsia" w:ascii="仿宋" w:hAnsi="仿宋" w:eastAsia="仿宋" w:cs="仿宋"/>
                <w:bCs/>
                <w:sz w:val="21"/>
                <w:szCs w:val="21"/>
              </w:rPr>
              <w:t>务平台的普适性、降低业务上云的难度，降低运维工作量。</w:t>
            </w:r>
          </w:p>
          <w:p w14:paraId="434F9A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9、支持当虚拟机的CPU、内存利用率超过设置的阈值时，在虚拟机操作系统本身支持资源热添加的前提下，系统将自动为该虚拟机增加相应的CPU和内存资源，无需人工干预。</w:t>
            </w:r>
          </w:p>
          <w:p w14:paraId="4301856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10、支持vGPU虚拟机热迁移功能，无需中断或停机即可将正在运行的vGPU虚拟机从一台服务器迁移到另一台服务</w:t>
            </w:r>
            <w:r>
              <w:rPr>
                <w:rFonts w:hint="eastAsia" w:ascii="仿宋" w:hAnsi="仿宋" w:eastAsia="仿宋" w:cs="仿宋"/>
                <w:bCs/>
                <w:sz w:val="21"/>
                <w:szCs w:val="21"/>
              </w:rPr>
              <w:t>器，提高业务连续性。</w:t>
            </w:r>
          </w:p>
          <w:p w14:paraId="1809E10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11、支持监控虚拟机应用进程的运行状态，在虚拟机应用进程故障时，重启应用或重启虚拟机，最小化业务宕机时间，支持Tomcat、IIS、HTTP Server、SharePoint等应用。</w:t>
            </w:r>
          </w:p>
          <w:p w14:paraId="0A7BA83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12、虚拟化软件授权（配置16个CPU的授权）含集成部署服务，软件技术支持服务(三年以上免费及终身有偿服务)</w:t>
            </w:r>
          </w:p>
        </w:tc>
        <w:tc>
          <w:tcPr>
            <w:tcW w:w="660" w:type="dxa"/>
            <w:shd w:val="clear" w:color="auto" w:fill="auto"/>
            <w:vAlign w:val="top"/>
          </w:tcPr>
          <w:p w14:paraId="559D45FD">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1B15BD4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773D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7BD2066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517" w:type="dxa"/>
            <w:shd w:val="clear" w:color="auto" w:fill="auto"/>
            <w:vAlign w:val="top"/>
          </w:tcPr>
          <w:p w14:paraId="0A2D53A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双活SAN存储</w:t>
            </w:r>
          </w:p>
        </w:tc>
        <w:tc>
          <w:tcPr>
            <w:tcW w:w="5472" w:type="dxa"/>
            <w:shd w:val="clear" w:color="auto" w:fill="auto"/>
            <w:vAlign w:val="top"/>
          </w:tcPr>
          <w:p w14:paraId="23B93EA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1、≥4U高度，双控高可用全冗余盘控一体架构设计，单控制器故障、更换、升级、自动切换，存储系统性能都完全不会受到影响。</w:t>
            </w:r>
          </w:p>
          <w:p w14:paraId="6040748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2、支持三盘校验，同一RAID组内任意三块数据磁盘(不含热备盘</w:t>
            </w:r>
            <w:r>
              <w:rPr>
                <w:rFonts w:hint="eastAsia" w:ascii="仿宋" w:hAnsi="仿宋" w:eastAsia="仿宋" w:cs="仿宋"/>
                <w:bCs/>
                <w:sz w:val="21"/>
                <w:szCs w:val="21"/>
              </w:rPr>
              <w:t>)失效时，数据不丢失。</w:t>
            </w:r>
          </w:p>
          <w:p w14:paraId="6DA6784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3、满足服务稳定性要求，单一存储控制器故障时，系统IOPS性能数值≥140000 IOPS，访问延迟≤0.5ms，提供功能彩页截图或官网截图证明；</w:t>
            </w:r>
          </w:p>
          <w:p w14:paraId="2AE240B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4、配置2个存储控制器，最大可以扩展到8个控制器引擎。采用Intel Cascade Lake及以上处理器，双控存储系统X86 CPU核心总数≥12；</w:t>
            </w:r>
          </w:p>
          <w:p w14:paraId="32E21DC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5、双控实际配置缓存80GB（缓存不包含SSD磁盘、PCI-E SSD、闪存和NAS控制器缓存），采用NVDIMM非易失性缓存，对写入时不同大小的数据块进行整理和聚合，以条带顺序写入后端介质，极速提升随机写入效率；</w:t>
            </w:r>
          </w:p>
          <w:p w14:paraId="5F6C6B1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6、配置万兆电口≥6，16Gb FC端口含模块≥8，支持32Gb FC/16Gb FC/25Gb /10Gb /1Gb iSCSI 等主机接口；</w:t>
            </w:r>
          </w:p>
          <w:p w14:paraId="50A7192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7、实际配置≥21块2TB HDD，配置≥6块480GB SSD，非压缩非去重可用空间≥30TB；</w:t>
            </w:r>
          </w:p>
          <w:p w14:paraId="2025545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8、配置无容量限制快照、克隆、二级缓存、重删、压缩、容灾复制、双活、智能运维许可；</w:t>
            </w:r>
          </w:p>
          <w:p w14:paraId="425F0E8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9、具有开启重删、压缩、快照功能，存储系统性能都完全不会受</w:t>
            </w:r>
            <w:r>
              <w:rPr>
                <w:rFonts w:hint="eastAsia" w:ascii="仿宋" w:hAnsi="仿宋" w:eastAsia="仿宋" w:cs="仿宋"/>
                <w:bCs/>
                <w:sz w:val="21"/>
                <w:szCs w:val="21"/>
              </w:rPr>
              <w:t>到影响；</w:t>
            </w:r>
          </w:p>
          <w:p w14:paraId="3E85714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10、支持根据应用类型，智能创建不同的数据缩减策略，提供不</w:t>
            </w:r>
            <w:r>
              <w:rPr>
                <w:rFonts w:hint="eastAsia" w:ascii="仿宋" w:hAnsi="仿宋" w:eastAsia="仿宋" w:cs="仿宋"/>
                <w:b/>
                <w:bCs/>
                <w:sz w:val="21"/>
                <w:szCs w:val="21"/>
              </w:rPr>
              <w:t>少于</w:t>
            </w:r>
            <w:r>
              <w:rPr>
                <w:rFonts w:hint="eastAsia" w:ascii="仿宋" w:hAnsi="仿宋" w:eastAsia="仿宋" w:cs="仿宋"/>
                <w:bCs/>
                <w:sz w:val="21"/>
                <w:szCs w:val="21"/>
              </w:rPr>
              <w:t>20种应用策略</w:t>
            </w:r>
            <w:r>
              <w:rPr>
                <w:rFonts w:hint="eastAsia" w:ascii="仿宋" w:hAnsi="仿宋" w:eastAsia="仿宋" w:cs="仿宋"/>
                <w:sz w:val="21"/>
                <w:szCs w:val="21"/>
              </w:rPr>
              <w:t>；</w:t>
            </w:r>
          </w:p>
          <w:p w14:paraId="47701E6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11、支持预测存储满盘时间，能够显示 CPU 饱和度、Cache 饱和度、存储容量当前已用容量、存储总容量、性能降级</w:t>
            </w:r>
            <w:r>
              <w:rPr>
                <w:rFonts w:hint="eastAsia" w:ascii="仿宋" w:hAnsi="仿宋" w:eastAsia="仿宋" w:cs="仿宋"/>
                <w:bCs/>
                <w:sz w:val="21"/>
                <w:szCs w:val="21"/>
              </w:rPr>
              <w:t>阈值和存储池容量使用预测值；</w:t>
            </w:r>
          </w:p>
          <w:p w14:paraId="3B56713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12、配置云化资源供给功能，在存储云服务平台下输入应用场景、容量、性能需求等信息，存储云服务平台可基于需求自动化分配合适的资源来供给，提供不少于15种业务应用类型进行资源供给；</w:t>
            </w:r>
          </w:p>
          <w:p w14:paraId="43309B8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13、为保证业务对接兼容，需与</w:t>
            </w:r>
            <w:r>
              <w:rPr>
                <w:rFonts w:hint="eastAsia" w:ascii="仿宋" w:hAnsi="仿宋" w:eastAsia="仿宋" w:cs="仿宋"/>
                <w:bCs/>
                <w:sz w:val="21"/>
                <w:szCs w:val="21"/>
              </w:rPr>
              <w:t>虚拟化服务器同一品牌</w:t>
            </w:r>
            <w:r>
              <w:rPr>
                <w:rFonts w:hint="eastAsia" w:ascii="仿宋" w:hAnsi="仿宋" w:eastAsia="仿宋" w:cs="仿宋"/>
                <w:sz w:val="21"/>
                <w:szCs w:val="21"/>
              </w:rPr>
              <w:t>。</w:t>
            </w:r>
          </w:p>
        </w:tc>
        <w:tc>
          <w:tcPr>
            <w:tcW w:w="660" w:type="dxa"/>
            <w:shd w:val="clear" w:color="auto" w:fill="auto"/>
            <w:vAlign w:val="top"/>
          </w:tcPr>
          <w:p w14:paraId="4642F558">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487DCF9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6CE7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3F5E195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517" w:type="dxa"/>
            <w:shd w:val="clear" w:color="auto" w:fill="auto"/>
            <w:vAlign w:val="top"/>
          </w:tcPr>
          <w:p w14:paraId="22019A3A">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数据库服</w:t>
            </w:r>
            <w:r>
              <w:rPr>
                <w:rFonts w:hint="eastAsia" w:ascii="仿宋" w:hAnsi="仿宋" w:eastAsia="仿宋" w:cs="仿宋"/>
                <w:sz w:val="21"/>
                <w:szCs w:val="21"/>
                <w:lang w:val="en-US" w:eastAsia="zh-CN"/>
              </w:rPr>
              <w:t>务</w:t>
            </w:r>
            <w:r>
              <w:rPr>
                <w:rFonts w:hint="eastAsia" w:ascii="仿宋" w:hAnsi="仿宋" w:eastAsia="仿宋" w:cs="仿宋"/>
                <w:sz w:val="21"/>
                <w:szCs w:val="21"/>
              </w:rPr>
              <w:t>器</w:t>
            </w:r>
          </w:p>
        </w:tc>
        <w:tc>
          <w:tcPr>
            <w:tcW w:w="5472" w:type="dxa"/>
            <w:shd w:val="clear" w:color="auto" w:fill="auto"/>
            <w:vAlign w:val="top"/>
          </w:tcPr>
          <w:p w14:paraId="71171D1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1、设备高度≥4U，标配原厂导轨；</w:t>
            </w:r>
          </w:p>
          <w:p w14:paraId="56635EC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2、配置≥4颗X86架构处理器， 主频≥2.1GHz，核数≥24核每颗；</w:t>
            </w:r>
          </w:p>
          <w:p w14:paraId="22EAFE0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3、实配≥16条32GB DDR5 内存，提供≥64个内存槽位；</w:t>
            </w:r>
          </w:p>
          <w:p w14:paraId="00DFB8A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4、配置≥2块480GB SSD硬盘，≥8块1.92TB SSD硬盘。支持2.5"热插拔 SAS/SATA/SSD/NVMe硬盘，支持≥48块2.5寸热插拔硬盘，支持≥24个可热插拔NVMe 硬盘；</w:t>
            </w:r>
          </w:p>
          <w:p w14:paraId="3EA4CF9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5、配置≥1个独立PCIe阵列卡，支持Raid0/1/10/5/50/6/60，≥8GB缓存。支持缓存数据保护，且后备保护不受时间限制；</w:t>
            </w:r>
          </w:p>
          <w:p w14:paraId="4D8F851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6、</w:t>
            </w:r>
            <w:r>
              <w:rPr>
                <w:rFonts w:hint="eastAsia" w:ascii="仿宋" w:hAnsi="仿宋" w:eastAsia="仿宋" w:cs="仿宋"/>
                <w:bCs/>
                <w:sz w:val="21"/>
                <w:szCs w:val="21"/>
              </w:rPr>
              <w:t>支持≥20个PCIe 5.0 标准插槽，≥2个OCP 3.0 插槽；</w:t>
            </w:r>
          </w:p>
          <w:p w14:paraId="5DC87B4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6E67847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8、标配1个前置专用管理接口，配置≥4块热插拔冗余电源，支持1+1/N+N冗余；</w:t>
            </w:r>
          </w:p>
          <w:p w14:paraId="108F660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9、配置LCD可触控智能管理模块，可显示服务器基本情况，支持各部件通过不</w:t>
            </w:r>
            <w:r>
              <w:rPr>
                <w:rFonts w:hint="eastAsia" w:ascii="仿宋" w:hAnsi="仿宋" w:eastAsia="仿宋" w:cs="仿宋"/>
                <w:b/>
                <w:bCs/>
                <w:sz w:val="21"/>
                <w:szCs w:val="21"/>
              </w:rPr>
              <w:t>同颜色展示健康状态</w:t>
            </w:r>
            <w:r>
              <w:rPr>
                <w:rFonts w:hint="eastAsia" w:ascii="仿宋" w:hAnsi="仿宋" w:eastAsia="仿宋" w:cs="仿宋"/>
                <w:sz w:val="21"/>
                <w:szCs w:val="21"/>
              </w:rPr>
              <w:t>；</w:t>
            </w:r>
          </w:p>
          <w:p w14:paraId="3202760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10、支持通过服务U盘下载服务器设备故障诊断日志，BMC支持监控主机状态进程信息；</w:t>
            </w:r>
          </w:p>
          <w:p w14:paraId="596F8C7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628FFC6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6E791A1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ESXi操作系统以及支持(克隆)镜像管理，提供功能彩页截图或官网截图证明；</w:t>
            </w:r>
          </w:p>
          <w:p w14:paraId="45479D2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tc>
        <w:tc>
          <w:tcPr>
            <w:tcW w:w="660" w:type="dxa"/>
            <w:shd w:val="clear" w:color="auto" w:fill="auto"/>
            <w:vAlign w:val="top"/>
          </w:tcPr>
          <w:p w14:paraId="77B4BDD6">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327056C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461A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17A2CF1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517" w:type="dxa"/>
            <w:shd w:val="clear" w:color="auto" w:fill="auto"/>
            <w:vAlign w:val="top"/>
          </w:tcPr>
          <w:p w14:paraId="7E3F5205">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备份服务器</w:t>
            </w:r>
          </w:p>
        </w:tc>
        <w:tc>
          <w:tcPr>
            <w:tcW w:w="5472" w:type="dxa"/>
            <w:shd w:val="clear" w:color="auto" w:fill="auto"/>
            <w:vAlign w:val="top"/>
          </w:tcPr>
          <w:p w14:paraId="4F84978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1、设备高度≥2U，标配原厂导轨；</w:t>
            </w:r>
          </w:p>
          <w:p w14:paraId="7511870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2、配置≥2颗X86架构处理器， 主频≥2.4GHz，核数≥16核每颗；</w:t>
            </w:r>
          </w:p>
          <w:p w14:paraId="084C75C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3、配置≥4 根 32GB DDR4-3200内存条，支持≥32个DDR4内存槽位；</w:t>
            </w:r>
          </w:p>
          <w:p w14:paraId="7E1F01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 块960GB SSD 硬盘，≥6 块8TB HDD硬盘，支持SAS</w:t>
            </w:r>
            <w:r>
              <w:rPr>
                <w:rFonts w:hint="eastAsia" w:ascii="仿宋" w:hAnsi="仿宋" w:eastAsia="仿宋" w:cs="仿宋"/>
                <w:bCs/>
                <w:sz w:val="21"/>
                <w:szCs w:val="21"/>
              </w:rPr>
              <w:t>/SATA HDD/SSD硬盘，支持≥35个普通硬盘或者≥24块NVMe硬盘；</w:t>
            </w:r>
          </w:p>
          <w:p w14:paraId="6676BF8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RAID卡，≥4GB缓存，支持缓存数据保护，且后备保护不受时间限制;</w:t>
            </w:r>
          </w:p>
          <w:p w14:paraId="59A0632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6、提供≥10个PCIe4.0标准槽位和1个</w:t>
            </w:r>
            <w:r>
              <w:rPr>
                <w:rFonts w:hint="eastAsia" w:ascii="仿宋" w:hAnsi="仿宋" w:eastAsia="仿宋" w:cs="仿宋"/>
                <w:bCs/>
                <w:sz w:val="21"/>
                <w:szCs w:val="21"/>
              </w:rPr>
              <w:t>OCP 3.0槽位；</w:t>
            </w:r>
          </w:p>
          <w:p w14:paraId="470D3E6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7、配置≥4个千兆电网口，≥2个万兆光网口；</w:t>
            </w:r>
          </w:p>
          <w:p w14:paraId="54B8E6B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8、配置≥2块冗余电源和冗余风扇；</w:t>
            </w:r>
          </w:p>
          <w:p w14:paraId="0D1527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9、配置LCD可触控智能管理模块，可显示服务器基本情况，支持各部件通过不同颜色</w:t>
            </w:r>
            <w:r>
              <w:rPr>
                <w:rFonts w:hint="eastAsia" w:ascii="仿宋" w:hAnsi="仿宋" w:eastAsia="仿宋" w:cs="仿宋"/>
                <w:bCs/>
                <w:sz w:val="21"/>
                <w:szCs w:val="21"/>
              </w:rPr>
              <w:t>展示健康状态；</w:t>
            </w:r>
          </w:p>
          <w:p w14:paraId="52674DD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10、支持通过服务U盘下载服务器设备故障诊断日志，BMC支持监控主机状态进程信息；</w:t>
            </w:r>
          </w:p>
          <w:p w14:paraId="3E8FB39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08D0DEE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517B263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w:t>
            </w:r>
          </w:p>
          <w:p w14:paraId="54B45CA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tc>
        <w:tc>
          <w:tcPr>
            <w:tcW w:w="660" w:type="dxa"/>
            <w:shd w:val="clear" w:color="auto" w:fill="auto"/>
            <w:vAlign w:val="top"/>
          </w:tcPr>
          <w:p w14:paraId="16C7992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6D8BCD2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560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7BA04D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517" w:type="dxa"/>
            <w:shd w:val="clear" w:color="auto" w:fill="auto"/>
            <w:vAlign w:val="top"/>
          </w:tcPr>
          <w:p w14:paraId="11FC4E9E">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备份软件</w:t>
            </w:r>
          </w:p>
        </w:tc>
        <w:tc>
          <w:tcPr>
            <w:tcW w:w="5472" w:type="dxa"/>
            <w:shd w:val="clear" w:color="auto" w:fill="auto"/>
            <w:vAlign w:val="top"/>
          </w:tcPr>
          <w:p w14:paraId="35B7804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1、备份系统的管理平台支持B/S架构，通过浏览器访问备份平台对定时备份、CDP、数据库复制等相关功能进行统一管理。</w:t>
            </w:r>
          </w:p>
          <w:p w14:paraId="20CC0BD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2、备份系统可部署在X86和ARM架构的服务器上，支持海光、鲲鹏、飞腾、龙芯、兆芯、申威等国产化服务器。</w:t>
            </w:r>
          </w:p>
          <w:p w14:paraId="542A023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3、支持管理员、安全员和审计员的管理，登录账号可自定义密码长度和复杂度，可设置登录失败次数和密码更换周期。</w:t>
            </w:r>
          </w:p>
          <w:p w14:paraId="4C439C5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4、支持RAID卡管理，可以创建、删除RAID磁盘组，并可查看RAID卡、磁盘的温度、配置参数等信息。</w:t>
            </w:r>
          </w:p>
          <w:p w14:paraId="7DCC76F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5、支持将块存储、文件存储、对象存储、物理/虚拟磁带库、光盘等作为备份数据的存储介质。</w:t>
            </w:r>
          </w:p>
          <w:p w14:paraId="2901EC1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6、支持采用LAN-Free方式对文件、数据库、操作系统和虚拟化平台进行数据备份，节省网络流量开销，LAN-Free的网络协议必须能支持iSCSI和FC。</w:t>
            </w:r>
          </w:p>
          <w:p w14:paraId="3BDBC49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7、支持NAT穿透技术，在保障数据通信安全的前提下，可同时对内网和外网的数据进行备份。提供相应界面功能截图；</w:t>
            </w:r>
          </w:p>
          <w:p w14:paraId="4AF8777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8、支持源端/目的端重删，并行重删技术，提升备份数据的去重率，满足海量数据的去重需求。</w:t>
            </w:r>
          </w:p>
          <w:p w14:paraId="4B86689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9、提供文件模拟备份和数据库模拟备份功能，不需要通过执行备份任务来获取到备份目标的文件数量和数据大小等信息，以便更合理地规划备份策略。</w:t>
            </w:r>
          </w:p>
          <w:p w14:paraId="1414B8D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10、支持对VMware vSphere、XenServer、FusionComputer和CAS等主流虚拟化平台的无代理备份，可以以资源池、集群、主机为单位进行虚拟机的备份保护，无需在虚拟机内部安装任何代理软件。</w:t>
            </w:r>
          </w:p>
          <w:p w14:paraId="5676C44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11、支持对虚拟化/超融合平台虚拟机文件细粒度的恢复，在恢复时可指定虚拟机中的某个文件夹或文件。</w:t>
            </w:r>
          </w:p>
          <w:p w14:paraId="0EB72EE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12、内置公有云备份功能，只需增加混合云备份授权，即可轻松实现备份数据上云，并且从云上恢复数据不限次数，不限流量，不另行收取下行流量费用。</w:t>
            </w:r>
          </w:p>
          <w:p w14:paraId="19B3A6E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13、</w:t>
            </w:r>
            <w:r>
              <w:rPr>
                <w:rFonts w:hint="eastAsia" w:ascii="仿宋" w:hAnsi="仿宋" w:eastAsia="仿宋" w:cs="仿宋"/>
                <w:bCs/>
                <w:sz w:val="21"/>
                <w:szCs w:val="21"/>
              </w:rPr>
              <w:t>国产自主品牌。</w:t>
            </w:r>
          </w:p>
          <w:p w14:paraId="1205A21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14、投标人提供原厂制造商通过ISO9001质量体系认证和ISO14001环境管理体系认证的证明书。</w:t>
            </w:r>
          </w:p>
          <w:p w14:paraId="55A6BFB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bCs/>
                <w:sz w:val="21"/>
                <w:szCs w:val="21"/>
              </w:rPr>
              <w:t>15、本次提供≥24TB备份容量免费授权。</w:t>
            </w:r>
          </w:p>
        </w:tc>
        <w:tc>
          <w:tcPr>
            <w:tcW w:w="660" w:type="dxa"/>
            <w:shd w:val="clear" w:color="auto" w:fill="auto"/>
            <w:vAlign w:val="top"/>
          </w:tcPr>
          <w:p w14:paraId="46E18919">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785DB0D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3CA3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5EF869A">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517" w:type="dxa"/>
            <w:shd w:val="clear" w:color="auto" w:fill="auto"/>
            <w:vAlign w:val="top"/>
          </w:tcPr>
          <w:p w14:paraId="2EE7AE61">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万兆交换机</w:t>
            </w:r>
          </w:p>
        </w:tc>
        <w:tc>
          <w:tcPr>
            <w:tcW w:w="5472" w:type="dxa"/>
            <w:shd w:val="clear" w:color="auto" w:fill="auto"/>
            <w:vAlign w:val="top"/>
          </w:tcPr>
          <w:p w14:paraId="5D92F9F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 支持并实配10G/2.5G/1G接口数≥20，25G/10G接口数量≥4，40G接口数≥2，整机可扩展支持10G接口数≥32。</w:t>
            </w:r>
          </w:p>
          <w:p w14:paraId="40DAD44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2、支持并实配可拔插双模块化电源，可拔插双模块化风扇，前后风道。</w:t>
            </w:r>
          </w:p>
          <w:p w14:paraId="40EE13B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3、交换容量≥2.56Tbps， 包转发率≥720Mpps，提供官网截图和链接证明。</w:t>
            </w:r>
          </w:p>
          <w:p w14:paraId="5EADEDB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4、支持硬件层级双boot，采用两个FLASH芯片存储boot软件（系统引导程序），实现硬件级boot冗余备份，避免因FLASH芯片故障导致交换机无法启动。</w:t>
            </w:r>
          </w:p>
          <w:p w14:paraId="496E9CA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5、支持专门基础网络保护机制，能够限制用户向网络中发送数据包的速率，对有攻击行为的用户进行隔离，保证设备和整网的安全稳定运行。</w:t>
            </w:r>
          </w:p>
          <w:p w14:paraId="1FE9138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 支持专门基础网络保护机制，能够限制用户向网络中发送数据包的速率，对有攻击行为的用户进行隔离，保证设备和整网的安全稳定运行。</w:t>
            </w:r>
          </w:p>
        </w:tc>
        <w:tc>
          <w:tcPr>
            <w:tcW w:w="660" w:type="dxa"/>
            <w:shd w:val="clear" w:color="auto" w:fill="auto"/>
            <w:vAlign w:val="top"/>
          </w:tcPr>
          <w:p w14:paraId="53F2A51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563D5D8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0A0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0B468BC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517" w:type="dxa"/>
            <w:shd w:val="clear" w:color="auto" w:fill="auto"/>
            <w:vAlign w:val="top"/>
          </w:tcPr>
          <w:p w14:paraId="5BEA670E">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万兆交换机</w:t>
            </w:r>
          </w:p>
        </w:tc>
        <w:tc>
          <w:tcPr>
            <w:tcW w:w="5472" w:type="dxa"/>
            <w:shd w:val="clear" w:color="auto" w:fill="auto"/>
            <w:vAlign w:val="top"/>
          </w:tcPr>
          <w:p w14:paraId="714C469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1、固化端口：≥48个10/100/1000Mbps电口，≥4个SFP+光口 。设备提供1个扩展槽。</w:t>
            </w:r>
          </w:p>
          <w:p w14:paraId="2AE1934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2、交换容量≥1.28Tbps， 包转发率≥252Mpps，提供官网截图证明。</w:t>
            </w:r>
          </w:p>
          <w:p w14:paraId="6E86EA6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3、设备MAC地址≥64K，ARP表项≥20K</w:t>
            </w:r>
          </w:p>
          <w:p w14:paraId="12C7E7E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 IGMP v1/v2/v3，IGMP v1/v2/v3 Snooping，支持RIP，OSPF，BGP，RIPng，OSPFv3，BGP4+。</w:t>
            </w:r>
          </w:p>
          <w:p w14:paraId="4FFA870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5、支持专门针对CPU的保护机制，能够针对发往CPU处理的各种报文进行流量控制和优先级处理，保护交换机在各种环境下稳定工作。</w:t>
            </w:r>
          </w:p>
          <w:p w14:paraId="028EF7F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6、提供工信部IPv4/IPv6 三层设备进网许可证复印件,且必须提供运营商Ipv4/IP</w:t>
            </w:r>
            <w:r>
              <w:rPr>
                <w:rFonts w:hint="eastAsia" w:ascii="仿宋" w:hAnsi="仿宋" w:eastAsia="仿宋" w:cs="仿宋"/>
                <w:bCs/>
                <w:sz w:val="21"/>
                <w:szCs w:val="21"/>
              </w:rPr>
              <w:t>v6入网测试报告；</w:t>
            </w:r>
          </w:p>
        </w:tc>
        <w:tc>
          <w:tcPr>
            <w:tcW w:w="660" w:type="dxa"/>
            <w:shd w:val="clear" w:color="auto" w:fill="auto"/>
            <w:vAlign w:val="top"/>
          </w:tcPr>
          <w:p w14:paraId="5AFD941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10A96C3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5B9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757E9B5">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517" w:type="dxa"/>
            <w:shd w:val="clear" w:color="auto" w:fill="auto"/>
            <w:vAlign w:val="top"/>
          </w:tcPr>
          <w:p w14:paraId="1C15E2A9">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服务器硬盘</w:t>
            </w:r>
          </w:p>
        </w:tc>
        <w:tc>
          <w:tcPr>
            <w:tcW w:w="5472" w:type="dxa"/>
            <w:shd w:val="clear" w:color="auto" w:fill="auto"/>
            <w:vAlign w:val="top"/>
          </w:tcPr>
          <w:p w14:paraId="3660DF3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1、1.92TB固态硬盘：硬盘容量： 1.92TB ，</w:t>
            </w:r>
          </w:p>
          <w:p w14:paraId="4B7F66D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2、成熟稳定接口： 使用广泛兼容的 SATA III 接口，理论速度上限 600 MB/s。</w:t>
            </w:r>
          </w:p>
          <w:p w14:paraId="5364423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3、标准服务器尺寸： 采用 2.5 英寸外形（注意通常是 15mm 厚），方便部署在服务器和存储系统中。</w:t>
            </w:r>
          </w:p>
          <w:p w14:paraId="247B75D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企业级；</w:t>
            </w:r>
          </w:p>
          <w:p w14:paraId="37A614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4、硬盘为原项目扩容，需与原项目匹配。</w:t>
            </w:r>
          </w:p>
        </w:tc>
        <w:tc>
          <w:tcPr>
            <w:tcW w:w="660" w:type="dxa"/>
            <w:shd w:val="clear" w:color="auto" w:fill="auto"/>
            <w:vAlign w:val="top"/>
          </w:tcPr>
          <w:p w14:paraId="233158AD">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961" w:type="dxa"/>
            <w:shd w:val="clear" w:color="auto" w:fill="auto"/>
            <w:vAlign w:val="top"/>
          </w:tcPr>
          <w:p w14:paraId="3BBB07D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3BAB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4F68C9A6">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517" w:type="dxa"/>
            <w:shd w:val="clear" w:color="auto" w:fill="auto"/>
            <w:vAlign w:val="top"/>
          </w:tcPr>
          <w:p w14:paraId="5B5000E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服务器内存</w:t>
            </w:r>
          </w:p>
        </w:tc>
        <w:tc>
          <w:tcPr>
            <w:tcW w:w="5472" w:type="dxa"/>
            <w:shd w:val="clear" w:color="auto" w:fill="auto"/>
            <w:vAlign w:val="top"/>
          </w:tcPr>
          <w:p w14:paraId="30B182D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1、32G DDR4内存：容量： 单条32GB，适合高性能计算、大型应用、虚拟化等需求。</w:t>
            </w:r>
          </w:p>
          <w:p w14:paraId="3062C76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2、现代标准： 采用 DDR4 技术。</w:t>
            </w:r>
          </w:p>
          <w:p w14:paraId="7CD4453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3、主流速度： 数据传输速率 2666 MT/s (DDR4-2666)。</w:t>
            </w:r>
          </w:p>
          <w:p w14:paraId="59D53AD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4、标准低电压： 工作电压为 1.2V。</w:t>
            </w:r>
          </w:p>
          <w:p w14:paraId="1E1450B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5、高性能结构： 双 Rank (2R) 设计，有助于提升内存访问效率。</w:t>
            </w:r>
          </w:p>
          <w:p w14:paraId="165E6CF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6、内存为原项目扩容，需与原项目匹配。</w:t>
            </w:r>
          </w:p>
        </w:tc>
        <w:tc>
          <w:tcPr>
            <w:tcW w:w="660" w:type="dxa"/>
            <w:shd w:val="clear" w:color="auto" w:fill="auto"/>
            <w:vAlign w:val="top"/>
          </w:tcPr>
          <w:p w14:paraId="6F3DDDF8">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961" w:type="dxa"/>
            <w:shd w:val="clear" w:color="auto" w:fill="auto"/>
            <w:vAlign w:val="top"/>
          </w:tcPr>
          <w:p w14:paraId="0DC3EB7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bl>
    <w:p w14:paraId="6DBAC987">
      <w:pPr>
        <w:widowControl/>
        <w:shd w:val="clear" w:color="auto" w:fill="FFFFFF"/>
        <w:spacing w:line="560" w:lineRule="exact"/>
        <w:ind w:firstLine="420" w:firstLineChars="200"/>
        <w:jc w:val="left"/>
        <w:rPr>
          <w:rFonts w:hint="eastAsia"/>
          <w:color w:val="FF0000"/>
          <w:lang w:eastAsia="zh-CN"/>
        </w:rPr>
      </w:pPr>
      <w:r>
        <w:rPr>
          <w:rFonts w:hint="eastAsia" w:asciiTheme="minorEastAsia" w:hAnsiTheme="minorEastAsia" w:cstheme="minorEastAsia"/>
          <w:b w:val="0"/>
          <w:bCs w:val="0"/>
          <w:i w:val="0"/>
          <w:iCs w:val="0"/>
          <w:color w:val="FF0000"/>
          <w:spacing w:val="0"/>
          <w:w w:val="100"/>
          <w:kern w:val="2"/>
          <w:sz w:val="21"/>
          <w:szCs w:val="21"/>
          <w:vertAlign w:val="baseline"/>
          <w:lang w:val="en-US" w:eastAsia="zh-CN" w:bidi="ar-SA"/>
        </w:rPr>
        <w:t>注：由于本项目牵涉数据迁移，需与原设备兼容匹配，现将原设备参数（见附件）供参考。</w:t>
      </w:r>
    </w:p>
    <w:p w14:paraId="6B290635">
      <w:pPr>
        <w:keepNext w:val="0"/>
        <w:keepLines w:val="0"/>
        <w:pageBreakBefore w:val="0"/>
        <w:kinsoku/>
        <w:overflowPunct/>
        <w:topLinePunct w:val="0"/>
        <w:autoSpaceDE/>
        <w:autoSpaceDN/>
        <w:bidi w:val="0"/>
        <w:adjustRightInd/>
        <w:snapToGrid/>
        <w:spacing w:line="596" w:lineRule="exact"/>
        <w:ind w:firstLine="482"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三</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采购标的执行标准：</w:t>
      </w:r>
    </w:p>
    <w:p w14:paraId="0ABE4AA8">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1、国家标准：</w:t>
      </w:r>
    </w:p>
    <w:p w14:paraId="70FD7B71">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（1）强制性产品认证</w:t>
      </w:r>
    </w:p>
    <w:p w14:paraId="6A5A0F1E">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641ED43">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（2）信息安全产品强制性认证</w:t>
      </w:r>
    </w:p>
    <w:p w14:paraId="667AF8F3">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如供应商所投产品</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属于《信息安全产品强制性认证目录》，供应商不能提供超出此目录范畴外的替代品并须在响应文件中提供：</w:t>
      </w:r>
    </w:p>
    <w:p w14:paraId="18CD9BCF">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①</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中国信息安全认证中心官网</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（http://www.isccc.gov.cn/index.shtml）</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产品查询结果截图并加盖供应商公章</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p>
    <w:p w14:paraId="49F3F415">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②中国信息安全认证中心颁发的《</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fldChar w:fldCharType="begin"/>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instrText xml:space="preserve"> HYPERLINK "http://www.cnca.gov.cn/cnca/zwxx/ggxx/images/2010/07/19/A6C32D2A507AC2A38326896013A67542.doc" \t "_blank"</w:instrTex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fldChar w:fldCharType="separate"/>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中国国家信息安全产品认证证书</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fldChar w:fldCharType="end"/>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》的原件扫描件（或图片）并加盖供应商公章。</w:t>
      </w:r>
    </w:p>
    <w:p w14:paraId="2741D367">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注：仅需提供序号</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①～②其中之一即可。</w:t>
      </w:r>
    </w:p>
    <w:p w14:paraId="50382290">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四</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服务标准、期限、效率等要求：</w:t>
      </w:r>
    </w:p>
    <w:p w14:paraId="30010D1A">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1、质保期为设备安装调试验收合格后1年，质保期内发生故障或质量问题，卖方在接到通知后</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分钟进行响应，</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小时到达，</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小时内处理问题，否则需提供备用机直至原设备修好为止。</w:t>
      </w:r>
    </w:p>
    <w:p w14:paraId="470EA963">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2、所投产品必须符合国家质量检测标准和本招标文件规定的全新正品现货；本项目为交钥匙工程，采购方不再</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承担</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费用。</w:t>
      </w:r>
    </w:p>
    <w:p w14:paraId="5E81CE5D">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3、投标商所投产品须符合国家环保要求。</w:t>
      </w:r>
    </w:p>
    <w:p w14:paraId="3537B7DC">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4、投标商应负责对买方操作人员进行使用培训，使其能够独立操作，并可以简单的维护和保养。</w:t>
      </w:r>
    </w:p>
    <w:p w14:paraId="028EBA39">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五、采购标的其他技术、服务等要求</w:t>
      </w:r>
    </w:p>
    <w:p w14:paraId="38C93D33">
      <w:pPr>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1、投标方须明确投标产品的厂家、产地、品牌、型号等参数，</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2E49A09E">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2、投标人应就本项目完整投标，报价含税费、设备、材料、元件等购置、安装调试、验收、与其它施工单位协作所产生的费用等综合费用，</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7389E50C">
      <w:pPr>
        <w:spacing w:line="360" w:lineRule="auto"/>
        <w:ind w:firstLine="420" w:firstLineChars="200"/>
        <w:jc w:val="left"/>
        <w:rPr>
          <w:rFonts w:hint="eastAsia" w:asciiTheme="minorEastAsia" w:hAnsiTheme="minorEastAsia" w:eastAsiaTheme="minorEastAsia" w:cstheme="minorEastAsia"/>
          <w:b w:val="0"/>
          <w:bCs w:val="0"/>
          <w:i w:val="0"/>
          <w:iCs w:val="0"/>
          <w:color w:val="FF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3、投标人须有完整的技术方案，</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0B4F8D5D">
      <w:pPr>
        <w:widowControl/>
        <w:shd w:val="clear" w:color="auto" w:fill="FFFFFF"/>
        <w:spacing w:line="360" w:lineRule="auto"/>
        <w:ind w:firstLine="422" w:firstLineChars="200"/>
        <w:contextualSpacing/>
        <w:jc w:val="left"/>
        <w:rPr>
          <w:rFonts w:hint="eastAsia" w:ascii="新宋体" w:hAnsi="新宋体" w:eastAsia="新宋体" w:cs="新宋体"/>
          <w:b/>
          <w:bCs/>
          <w:szCs w:val="21"/>
        </w:rPr>
      </w:pP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29D3E705">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7020A2B">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1、项目质量按照国家相关标准、行业标准、地方标准或者其他标准、规范验收；</w:t>
      </w:r>
    </w:p>
    <w:p w14:paraId="562C9AD6">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2、按照招标文件要求、投标文件响应和承诺验收；</w:t>
      </w:r>
    </w:p>
    <w:p w14:paraId="1580A204">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617F9667">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（一）支付方式：按照合同约定，经验收合格后申请支付。</w:t>
      </w:r>
    </w:p>
    <w:p w14:paraId="23BDBE6C">
      <w:pPr>
        <w:spacing w:line="360" w:lineRule="auto"/>
        <w:ind w:firstLine="420" w:firstLineChars="200"/>
        <w:jc w:val="left"/>
        <w:rPr>
          <w:rFonts w:hint="eastAsia" w:ascii="宋体" w:hAnsi="宋体" w:eastAsia="宋体"/>
          <w:szCs w:val="21"/>
          <w:lang w:val="en-US" w:eastAsia="zh-CN"/>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（二）支付时间及条件：以合同为准。</w:t>
      </w:r>
    </w:p>
    <w:p w14:paraId="35E59D91">
      <w:pPr>
        <w:tabs>
          <w:tab w:val="left" w:pos="7095"/>
        </w:tabs>
        <w:spacing w:line="440" w:lineRule="exact"/>
        <w:ind w:firstLine="420" w:firstLineChars="200"/>
        <w:rPr>
          <w:rFonts w:ascii="宋体" w:hAnsi="宋体" w:eastAsia="宋体"/>
          <w:szCs w:val="21"/>
        </w:rPr>
      </w:pPr>
    </w:p>
    <w:p w14:paraId="60185310">
      <w:pPr>
        <w:pStyle w:val="32"/>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禹州市中医院数据中心紧急扩容项目</w:t>
            </w:r>
            <w:r>
              <w:rPr>
                <w:rFonts w:hint="eastAsia" w:asciiTheme="minorEastAsia" w:hAnsiTheme="minorEastAsia" w:cstheme="minorEastAsia"/>
                <w:kern w:val="2"/>
                <w:sz w:val="21"/>
                <w:szCs w:val="21"/>
                <w:lang w:val="en-US" w:eastAsia="zh-CN" w:bidi="ar-SA"/>
              </w:rPr>
              <w:t>（三次）</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5026-2</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禹州市中医院</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采购人名称：禹州市中医院</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地址：禹州市钧官窑路69号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kern w:val="2"/>
                <w:sz w:val="21"/>
                <w:szCs w:val="21"/>
                <w:lang w:val="en-US" w:eastAsia="zh-CN" w:bidi="ar-SA"/>
              </w:rPr>
              <w:t>董先生</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0374-8816966</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朱先生</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1960000.00元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23</w:t>
            </w:r>
            <w:bookmarkStart w:id="1" w:name="_GoBack"/>
            <w:bookmarkEnd w:id="1"/>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2"/>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本项目强制节能产品：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en-US" w:eastAsia="zh-CN"/>
                <w14:textFill>
                  <w14:solidFill>
                    <w14:schemeClr w14:val="tx1"/>
                  </w14:solidFill>
                </w14:textFill>
              </w:rPr>
              <w:t>1、</w:t>
            </w:r>
            <w:r>
              <w:rPr>
                <w:rFonts w:hint="eastAsia" w:cs="宋体" w:asciiTheme="minorEastAsia" w:hAnsiTheme="minorEastAsia"/>
                <w:bCs/>
                <w:color w:val="000000" w:themeColor="text1"/>
                <w:szCs w:val="21"/>
                <w:lang w:val="zh-CN"/>
                <w14:textFill>
                  <w14:solidFill>
                    <w14:schemeClr w14:val="tx1"/>
                  </w14:solidFill>
                </w14:textFill>
              </w:rPr>
              <w:t>本项目网络关键设备：</w:t>
            </w:r>
            <w:r>
              <w:rPr>
                <w:rFonts w:hint="eastAsia" w:cs="宋体" w:asciiTheme="minorEastAsia" w:hAnsiTheme="minorEastAsia"/>
                <w:bCs/>
                <w:color w:val="000000" w:themeColor="text1"/>
                <w:szCs w:val="21"/>
                <w:lang w:val="en-US" w:eastAsia="zh-CN"/>
                <w14:textFill>
                  <w14:solidFill>
                    <w14:schemeClr w14:val="tx1"/>
                  </w14:solidFill>
                </w14:textFill>
              </w:rPr>
              <w:t>无</w:t>
            </w:r>
            <w:r>
              <w:rPr>
                <w:rFonts w:hint="eastAsia" w:cs="宋体" w:asciiTheme="minorEastAsia" w:hAnsiTheme="minorEastAsia"/>
                <w:bCs/>
                <w:color w:val="000000" w:themeColor="text1"/>
                <w:szCs w:val="21"/>
                <w:lang w:val="zh-CN"/>
                <w14:textFill>
                  <w14:solidFill>
                    <w14:schemeClr w14:val="tx1"/>
                  </w14:solidFill>
                </w14:textFill>
              </w:rPr>
              <w:t>；网络安全专用产品：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w:t>
            </w:r>
            <w:r>
              <w:rPr>
                <w:rFonts w:hint="eastAsia" w:ascii="Calibri" w:hAnsi="Calibri" w:cs="Calibri"/>
                <w:b w:val="0"/>
                <w:bCs w:val="0"/>
                <w:i w:val="0"/>
                <w:iCs w:val="0"/>
                <w:color w:val="FF0000"/>
                <w:spacing w:val="0"/>
                <w:w w:val="100"/>
                <w:sz w:val="21"/>
                <w:szCs w:val="21"/>
                <w:vertAlign w:val="baseline"/>
              </w:rPr>
              <w:t>http</w:t>
            </w:r>
            <w:r>
              <w:rPr>
                <w:rFonts w:hint="eastAsia" w:ascii="Calibri" w:hAnsi="Calibri" w:cs="Calibri"/>
                <w:b w:val="0"/>
                <w:bCs w:val="0"/>
                <w:i w:val="0"/>
                <w:iCs w:val="0"/>
                <w:color w:val="FF0000"/>
                <w:spacing w:val="0"/>
                <w:w w:val="100"/>
                <w:sz w:val="21"/>
                <w:szCs w:val="21"/>
                <w:vertAlign w:val="baseline"/>
                <w:lang w:val="en-US" w:eastAsia="zh-CN"/>
              </w:rPr>
              <w:t>s</w:t>
            </w:r>
            <w:r>
              <w:rPr>
                <w:rFonts w:hint="eastAsia" w:ascii="Calibri" w:hAnsi="Calibri" w:cs="Calibri"/>
                <w:b w:val="0"/>
                <w:bCs w:val="0"/>
                <w:i w:val="0"/>
                <w:iCs w:val="0"/>
                <w:color w:val="FF0000"/>
                <w:spacing w:val="0"/>
                <w:w w:val="100"/>
                <w:sz w:val="21"/>
                <w:szCs w:val="21"/>
                <w:vertAlign w:val="baseline"/>
              </w:rPr>
              <w:t>://ggzy.xuchang.gov.cn</w:t>
            </w:r>
            <w:r>
              <w:rPr>
                <w:rFonts w:hint="default" w:ascii="Calibri" w:hAnsi="Calibri" w:cs="Calibri"/>
                <w:b w:val="0"/>
                <w:bCs w:val="0"/>
                <w:i w:val="0"/>
                <w:iCs w:val="0"/>
                <w:color w:val="FF0000"/>
                <w:spacing w:val="0"/>
                <w:w w:val="100"/>
                <w:sz w:val="21"/>
                <w:szCs w:val="21"/>
                <w:vertAlign w:val="baseline"/>
              </w:rPr>
              <w:t>/tpbidder）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w:t>
      </w:r>
      <w:r>
        <w:rPr>
          <w:rFonts w:hint="eastAsia" w:cs="宋体" w:asciiTheme="minorEastAsia" w:hAnsiTheme="minorEastAsia"/>
          <w:kern w:val="0"/>
          <w:szCs w:val="21"/>
          <w:lang w:val="en-US" w:eastAsia="zh-CN"/>
        </w:rPr>
        <w:t>投标时</w:t>
      </w:r>
      <w:r>
        <w:rPr>
          <w:rFonts w:hint="eastAsia" w:cs="宋体" w:asciiTheme="minorEastAsia" w:hAnsiTheme="minorEastAsia"/>
          <w:kern w:val="0"/>
          <w:szCs w:val="21"/>
        </w:rPr>
        <w:t>须对此项做出响应</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格式自拟</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否则有可能导致响应被拒绝，其风险由供应商自行承担。</w:t>
      </w:r>
    </w:p>
    <w:p w14:paraId="5F310C04">
      <w:pPr>
        <w:pStyle w:val="32"/>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2"/>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51A3C25">
            <w:pPr>
              <w:spacing w:line="360" w:lineRule="auto"/>
              <w:jc w:val="center"/>
              <w:rPr>
                <w:rFonts w:hint="eastAsia" w:asciiTheme="minorEastAsia" w:hAnsiTheme="minorEastAsia" w:eastAsiaTheme="minorEastAsia" w:cstheme="minorEastAsia"/>
                <w:sz w:val="21"/>
                <w:szCs w:val="21"/>
                <w:lang w:eastAsia="zh-CN"/>
              </w:rPr>
            </w:pPr>
          </w:p>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1BC90458">
            <w:pPr>
              <w:spacing w:line="36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李朝峰</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2"/>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val="en-US" w:eastAsia="zh-CN"/>
        </w:rPr>
        <w:t>供应</w:t>
      </w:r>
      <w:r>
        <w:rPr>
          <w:rFonts w:hint="eastAsia" w:ascii="宋体" w:hAnsi="宋体" w:eastAsia="宋体"/>
          <w:szCs w:val="21"/>
        </w:rPr>
        <w:t>、运输、安装调试。免费培训、售后服务。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w:t>
      </w:r>
      <w:r>
        <w:rPr>
          <w:rFonts w:hint="eastAsia" w:ascii="宋体" w:hAnsi="宋体" w:eastAsia="宋体"/>
          <w:szCs w:val="21"/>
          <w:lang w:val="en-US" w:eastAsia="zh-CN"/>
        </w:rPr>
        <w:t>快递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val="en-US" w:eastAsia="zh-CN"/>
        </w:rPr>
        <w:t>纰漏</w:t>
      </w:r>
      <w:r>
        <w:rPr>
          <w:rFonts w:hint="eastAsia" w:ascii="宋体" w:hAnsi="宋体" w:eastAsia="宋体"/>
          <w:szCs w:val="21"/>
        </w:rPr>
        <w:t>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val="en-US" w:eastAsia="zh-CN"/>
        </w:rPr>
        <w:t>违约</w:t>
      </w:r>
      <w:r>
        <w:rPr>
          <w:rFonts w:hint="eastAsia" w:ascii="宋体" w:hAnsi="宋体" w:eastAsia="宋体"/>
          <w:szCs w:val="21"/>
        </w:rPr>
        <w:t>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w:t>
      </w:r>
      <w:r>
        <w:rPr>
          <w:rFonts w:hint="eastAsia" w:ascii="宋体" w:hAnsi="宋体" w:eastAsia="宋体"/>
          <w:szCs w:val="21"/>
          <w:lang w:val="en-US" w:eastAsia="zh-CN"/>
        </w:rPr>
        <w:t>赔偿</w:t>
      </w:r>
      <w:r>
        <w:rPr>
          <w:rFonts w:hint="eastAsia" w:ascii="宋体" w:hAnsi="宋体" w:eastAsia="宋体"/>
          <w:szCs w:val="21"/>
        </w:rPr>
        <w:t>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w:t>
      </w:r>
      <w:r>
        <w:rPr>
          <w:rFonts w:hint="eastAsia" w:ascii="宋体" w:hAnsi="宋体" w:eastAsia="宋体"/>
          <w:szCs w:val="21"/>
          <w:lang w:val="en-US" w:eastAsia="zh-CN"/>
        </w:rPr>
        <w:t>保密</w:t>
      </w:r>
      <w:r>
        <w:rPr>
          <w:rFonts w:hint="eastAsia" w:ascii="宋体" w:hAnsi="宋体" w:eastAsia="宋体"/>
          <w:szCs w:val="21"/>
        </w:rPr>
        <w:t>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w:t>
      </w:r>
      <w:r>
        <w:rPr>
          <w:rFonts w:hint="eastAsia" w:ascii="宋体" w:hAnsi="宋体" w:eastAsia="宋体"/>
          <w:szCs w:val="21"/>
          <w:lang w:val="en-US" w:eastAsia="zh-CN"/>
        </w:rPr>
        <w:t>合同</w:t>
      </w:r>
      <w:r>
        <w:rPr>
          <w:rFonts w:hint="eastAsia" w:ascii="宋体" w:hAnsi="宋体" w:eastAsia="宋体"/>
          <w:szCs w:val="21"/>
        </w:rPr>
        <w:t>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val="en-US"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val="en-US" w:eastAsia="zh-CN"/>
        </w:rPr>
        <w:t>汇缴</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lang w:val="en-US" w:eastAsia="zh-CN"/>
        </w:rPr>
        <w:t>合同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w:t>
      </w:r>
      <w:r>
        <w:rPr>
          <w:rFonts w:hint="eastAsia" w:ascii="宋体" w:hAnsi="宋体" w:eastAsia="宋体"/>
          <w:szCs w:val="21"/>
          <w:lang w:val="en-US" w:eastAsia="zh-CN"/>
        </w:rPr>
        <w:t>合同</w:t>
      </w:r>
      <w:r>
        <w:rPr>
          <w:rFonts w:hint="eastAsia" w:ascii="宋体" w:hAnsi="宋体" w:eastAsia="宋体"/>
          <w:szCs w:val="21"/>
        </w:rPr>
        <w:t>资金准确支付到贷款银行确认的回款账户。采购人不得</w:t>
      </w:r>
      <w:r>
        <w:rPr>
          <w:rFonts w:hint="eastAsia" w:ascii="宋体" w:hAnsi="宋体" w:eastAsia="宋体"/>
          <w:szCs w:val="21"/>
          <w:lang w:val="en-US" w:eastAsia="zh-CN"/>
        </w:rPr>
        <w:t>未经</w:t>
      </w:r>
      <w:r>
        <w:rPr>
          <w:rFonts w:hint="eastAsia" w:ascii="宋体" w:hAnsi="宋体" w:eastAsia="宋体"/>
          <w:szCs w:val="21"/>
        </w:rPr>
        <w:t>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2"/>
        <w:rPr>
          <w:lang w:val="zh-CN"/>
        </w:rPr>
      </w:pPr>
    </w:p>
    <w:p w14:paraId="6418E7B1">
      <w:pPr>
        <w:pStyle w:val="32"/>
        <w:rPr>
          <w:lang w:val="zh-CN"/>
        </w:rPr>
      </w:pPr>
    </w:p>
    <w:p w14:paraId="6834617F">
      <w:pPr>
        <w:pStyle w:val="32"/>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en-US" w:eastAsia="zh-CN"/>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9251C3"/>
    <w:rsid w:val="04D37589"/>
    <w:rsid w:val="05921AC4"/>
    <w:rsid w:val="05A76A4C"/>
    <w:rsid w:val="05CD222A"/>
    <w:rsid w:val="060269B6"/>
    <w:rsid w:val="067F52D3"/>
    <w:rsid w:val="06A72A7B"/>
    <w:rsid w:val="07140111"/>
    <w:rsid w:val="0765096C"/>
    <w:rsid w:val="07B83B6F"/>
    <w:rsid w:val="08156475"/>
    <w:rsid w:val="081E3533"/>
    <w:rsid w:val="089B1EC4"/>
    <w:rsid w:val="08E34143"/>
    <w:rsid w:val="091742F7"/>
    <w:rsid w:val="096133B5"/>
    <w:rsid w:val="097D7536"/>
    <w:rsid w:val="09FC30DE"/>
    <w:rsid w:val="0A960E3D"/>
    <w:rsid w:val="0B002E5D"/>
    <w:rsid w:val="0B8666A8"/>
    <w:rsid w:val="0BC6115D"/>
    <w:rsid w:val="0BF56037"/>
    <w:rsid w:val="0C436DA2"/>
    <w:rsid w:val="0C4F2BA9"/>
    <w:rsid w:val="0C6A5094"/>
    <w:rsid w:val="0CA737D5"/>
    <w:rsid w:val="0CA75583"/>
    <w:rsid w:val="0CC57239"/>
    <w:rsid w:val="0CD923C2"/>
    <w:rsid w:val="0D097FEC"/>
    <w:rsid w:val="0D30650C"/>
    <w:rsid w:val="0D38442D"/>
    <w:rsid w:val="0D4258E7"/>
    <w:rsid w:val="0D58687D"/>
    <w:rsid w:val="0DC31AF9"/>
    <w:rsid w:val="0DDC125D"/>
    <w:rsid w:val="0E8652B6"/>
    <w:rsid w:val="0EF16F8A"/>
    <w:rsid w:val="0F0547E3"/>
    <w:rsid w:val="0F2904D1"/>
    <w:rsid w:val="0F47598F"/>
    <w:rsid w:val="0F4B00B9"/>
    <w:rsid w:val="0FBD6E6C"/>
    <w:rsid w:val="0FCD6BA8"/>
    <w:rsid w:val="100E1475"/>
    <w:rsid w:val="102B0279"/>
    <w:rsid w:val="108A31F2"/>
    <w:rsid w:val="110A68BF"/>
    <w:rsid w:val="11A52883"/>
    <w:rsid w:val="11DF5B42"/>
    <w:rsid w:val="12042B30"/>
    <w:rsid w:val="12103BD7"/>
    <w:rsid w:val="121E4214"/>
    <w:rsid w:val="132E651F"/>
    <w:rsid w:val="137419B4"/>
    <w:rsid w:val="13B62550"/>
    <w:rsid w:val="13D05FE8"/>
    <w:rsid w:val="14292D22"/>
    <w:rsid w:val="14885D40"/>
    <w:rsid w:val="14A80DDB"/>
    <w:rsid w:val="1520048F"/>
    <w:rsid w:val="1534197E"/>
    <w:rsid w:val="15AE2BE6"/>
    <w:rsid w:val="161517B0"/>
    <w:rsid w:val="162E62FE"/>
    <w:rsid w:val="1661121E"/>
    <w:rsid w:val="166C5148"/>
    <w:rsid w:val="175C31C5"/>
    <w:rsid w:val="18401E8C"/>
    <w:rsid w:val="18F558C8"/>
    <w:rsid w:val="19306900"/>
    <w:rsid w:val="19483C4A"/>
    <w:rsid w:val="19C71013"/>
    <w:rsid w:val="1A02204B"/>
    <w:rsid w:val="1A367F46"/>
    <w:rsid w:val="1A6F007A"/>
    <w:rsid w:val="1B85380A"/>
    <w:rsid w:val="1BC97183"/>
    <w:rsid w:val="1BD17ACD"/>
    <w:rsid w:val="1BEC2FB3"/>
    <w:rsid w:val="1C566820"/>
    <w:rsid w:val="1CA73630"/>
    <w:rsid w:val="1CAD0994"/>
    <w:rsid w:val="1CBB2985"/>
    <w:rsid w:val="1D22566A"/>
    <w:rsid w:val="1D332DC8"/>
    <w:rsid w:val="1D46139B"/>
    <w:rsid w:val="1D48392C"/>
    <w:rsid w:val="1D7403AC"/>
    <w:rsid w:val="1D7A073C"/>
    <w:rsid w:val="1DC835AB"/>
    <w:rsid w:val="1DC846D2"/>
    <w:rsid w:val="1E116D00"/>
    <w:rsid w:val="1E256308"/>
    <w:rsid w:val="1E3B1FCF"/>
    <w:rsid w:val="1E934ADA"/>
    <w:rsid w:val="1E9E5F3D"/>
    <w:rsid w:val="1ED6635C"/>
    <w:rsid w:val="1F016D75"/>
    <w:rsid w:val="1F81420A"/>
    <w:rsid w:val="20762B03"/>
    <w:rsid w:val="20916509"/>
    <w:rsid w:val="210A3EE5"/>
    <w:rsid w:val="218C669E"/>
    <w:rsid w:val="21A954A2"/>
    <w:rsid w:val="21AD0AEE"/>
    <w:rsid w:val="2298591C"/>
    <w:rsid w:val="2347632E"/>
    <w:rsid w:val="239F4DAE"/>
    <w:rsid w:val="23E10F23"/>
    <w:rsid w:val="246456B0"/>
    <w:rsid w:val="251470D6"/>
    <w:rsid w:val="251A6AD4"/>
    <w:rsid w:val="25891872"/>
    <w:rsid w:val="27101F3C"/>
    <w:rsid w:val="27C546B8"/>
    <w:rsid w:val="27CB1FDF"/>
    <w:rsid w:val="28A47E0D"/>
    <w:rsid w:val="2974579E"/>
    <w:rsid w:val="29842A7C"/>
    <w:rsid w:val="29B02CBC"/>
    <w:rsid w:val="2A7F3244"/>
    <w:rsid w:val="2A87268B"/>
    <w:rsid w:val="2B1C2A88"/>
    <w:rsid w:val="2B3C1135"/>
    <w:rsid w:val="2BAC62BA"/>
    <w:rsid w:val="2CF25D23"/>
    <w:rsid w:val="2CF33A75"/>
    <w:rsid w:val="2EE8585B"/>
    <w:rsid w:val="2F0A3A24"/>
    <w:rsid w:val="2F0F2DE8"/>
    <w:rsid w:val="2FCC2A87"/>
    <w:rsid w:val="304D13E0"/>
    <w:rsid w:val="307A7AF5"/>
    <w:rsid w:val="30BA3228"/>
    <w:rsid w:val="31AC0DC2"/>
    <w:rsid w:val="31BE3656"/>
    <w:rsid w:val="322D0C63"/>
    <w:rsid w:val="330662B0"/>
    <w:rsid w:val="335E6B36"/>
    <w:rsid w:val="336851BD"/>
    <w:rsid w:val="33F56325"/>
    <w:rsid w:val="34256C0A"/>
    <w:rsid w:val="3487669F"/>
    <w:rsid w:val="353926C2"/>
    <w:rsid w:val="358A766C"/>
    <w:rsid w:val="35D61E88"/>
    <w:rsid w:val="361E1B63"/>
    <w:rsid w:val="36CD3FAC"/>
    <w:rsid w:val="36D13079"/>
    <w:rsid w:val="37285044"/>
    <w:rsid w:val="37F47148"/>
    <w:rsid w:val="38097051"/>
    <w:rsid w:val="38404966"/>
    <w:rsid w:val="38AB7314"/>
    <w:rsid w:val="38E54BBA"/>
    <w:rsid w:val="39231D25"/>
    <w:rsid w:val="392D778D"/>
    <w:rsid w:val="39761CB6"/>
    <w:rsid w:val="39E82BB3"/>
    <w:rsid w:val="3A30455A"/>
    <w:rsid w:val="3A306505"/>
    <w:rsid w:val="3A410516"/>
    <w:rsid w:val="3A79072A"/>
    <w:rsid w:val="3ADE3FB6"/>
    <w:rsid w:val="3AE66A84"/>
    <w:rsid w:val="3BD056AD"/>
    <w:rsid w:val="3C862210"/>
    <w:rsid w:val="3CDC3488"/>
    <w:rsid w:val="3D18555E"/>
    <w:rsid w:val="3D391317"/>
    <w:rsid w:val="3D4A148F"/>
    <w:rsid w:val="3DB72FC9"/>
    <w:rsid w:val="3E706AA3"/>
    <w:rsid w:val="3E7C3E75"/>
    <w:rsid w:val="3ECC70E8"/>
    <w:rsid w:val="3F4441CA"/>
    <w:rsid w:val="3FEF631E"/>
    <w:rsid w:val="402C1320"/>
    <w:rsid w:val="404228F2"/>
    <w:rsid w:val="40A94EAD"/>
    <w:rsid w:val="416036D4"/>
    <w:rsid w:val="41A24945"/>
    <w:rsid w:val="41D279A9"/>
    <w:rsid w:val="41EC6AFB"/>
    <w:rsid w:val="42127FFC"/>
    <w:rsid w:val="422340D2"/>
    <w:rsid w:val="423053ED"/>
    <w:rsid w:val="42994282"/>
    <w:rsid w:val="42A258CA"/>
    <w:rsid w:val="42DF08CC"/>
    <w:rsid w:val="432163BA"/>
    <w:rsid w:val="437234EE"/>
    <w:rsid w:val="437B23A2"/>
    <w:rsid w:val="43833B65"/>
    <w:rsid w:val="43C114AA"/>
    <w:rsid w:val="445D5F4C"/>
    <w:rsid w:val="44C91833"/>
    <w:rsid w:val="44D04970"/>
    <w:rsid w:val="44D159A7"/>
    <w:rsid w:val="454B049A"/>
    <w:rsid w:val="457A54F1"/>
    <w:rsid w:val="457F41B2"/>
    <w:rsid w:val="458E2F8D"/>
    <w:rsid w:val="45B46B5A"/>
    <w:rsid w:val="45DB0C41"/>
    <w:rsid w:val="46794B93"/>
    <w:rsid w:val="46B61944"/>
    <w:rsid w:val="46FD367C"/>
    <w:rsid w:val="477525EB"/>
    <w:rsid w:val="477D6972"/>
    <w:rsid w:val="478C4B44"/>
    <w:rsid w:val="47BB0A1B"/>
    <w:rsid w:val="47DF4EBE"/>
    <w:rsid w:val="48094372"/>
    <w:rsid w:val="483E7E42"/>
    <w:rsid w:val="48DA43E6"/>
    <w:rsid w:val="48E629B4"/>
    <w:rsid w:val="49A56FB8"/>
    <w:rsid w:val="49D26A89"/>
    <w:rsid w:val="4A8415A5"/>
    <w:rsid w:val="4AE72B77"/>
    <w:rsid w:val="4B616322"/>
    <w:rsid w:val="4B9F6E4A"/>
    <w:rsid w:val="4BAC7C7B"/>
    <w:rsid w:val="4C23418A"/>
    <w:rsid w:val="4C3E2B07"/>
    <w:rsid w:val="4C3E6663"/>
    <w:rsid w:val="4C930FAA"/>
    <w:rsid w:val="4C9D1723"/>
    <w:rsid w:val="4CDB65A8"/>
    <w:rsid w:val="4CE54D31"/>
    <w:rsid w:val="4D7E765F"/>
    <w:rsid w:val="4D7F33D7"/>
    <w:rsid w:val="4D812CAB"/>
    <w:rsid w:val="4D9036ED"/>
    <w:rsid w:val="4DA44BEC"/>
    <w:rsid w:val="4F172EB2"/>
    <w:rsid w:val="4F381A8F"/>
    <w:rsid w:val="4F552641"/>
    <w:rsid w:val="4F624D5E"/>
    <w:rsid w:val="4F7973DD"/>
    <w:rsid w:val="4F923A7B"/>
    <w:rsid w:val="4FA40ED3"/>
    <w:rsid w:val="50067238"/>
    <w:rsid w:val="50B1220C"/>
    <w:rsid w:val="50E13A61"/>
    <w:rsid w:val="51103F74"/>
    <w:rsid w:val="51452242"/>
    <w:rsid w:val="51453FF0"/>
    <w:rsid w:val="52322221"/>
    <w:rsid w:val="526F487A"/>
    <w:rsid w:val="529E7E5B"/>
    <w:rsid w:val="52A35472"/>
    <w:rsid w:val="53670B95"/>
    <w:rsid w:val="53714D2C"/>
    <w:rsid w:val="53980D4F"/>
    <w:rsid w:val="53D578AD"/>
    <w:rsid w:val="53E2021C"/>
    <w:rsid w:val="542919A7"/>
    <w:rsid w:val="549B1E04"/>
    <w:rsid w:val="55733821"/>
    <w:rsid w:val="56231A34"/>
    <w:rsid w:val="565C6063"/>
    <w:rsid w:val="565D1DDC"/>
    <w:rsid w:val="56A7383F"/>
    <w:rsid w:val="577367A5"/>
    <w:rsid w:val="57AC4DC9"/>
    <w:rsid w:val="57C6703C"/>
    <w:rsid w:val="57FA3D86"/>
    <w:rsid w:val="58354DBE"/>
    <w:rsid w:val="584774D4"/>
    <w:rsid w:val="58B220EB"/>
    <w:rsid w:val="58E862D4"/>
    <w:rsid w:val="592856EA"/>
    <w:rsid w:val="59374B66"/>
    <w:rsid w:val="596F2F5E"/>
    <w:rsid w:val="59883613"/>
    <w:rsid w:val="59D5489E"/>
    <w:rsid w:val="59E265EA"/>
    <w:rsid w:val="59FB3DE5"/>
    <w:rsid w:val="5A025174"/>
    <w:rsid w:val="5A0709DC"/>
    <w:rsid w:val="5A3C1E2C"/>
    <w:rsid w:val="5A620455"/>
    <w:rsid w:val="5ABA40EA"/>
    <w:rsid w:val="5ACC7530"/>
    <w:rsid w:val="5B2F24B5"/>
    <w:rsid w:val="5BC433D0"/>
    <w:rsid w:val="5C4557EC"/>
    <w:rsid w:val="5CDE4FBC"/>
    <w:rsid w:val="5CF96B93"/>
    <w:rsid w:val="5DAD189A"/>
    <w:rsid w:val="5DC76A50"/>
    <w:rsid w:val="5E27164D"/>
    <w:rsid w:val="5E4A70E9"/>
    <w:rsid w:val="5E9071F2"/>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630F05"/>
    <w:rsid w:val="64701E66"/>
    <w:rsid w:val="64C51278"/>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0C16F7"/>
    <w:rsid w:val="6A16113C"/>
    <w:rsid w:val="6A244C92"/>
    <w:rsid w:val="6AAE0F26"/>
    <w:rsid w:val="6B477EE6"/>
    <w:rsid w:val="6B851761"/>
    <w:rsid w:val="6B890AF4"/>
    <w:rsid w:val="6BDD2BA4"/>
    <w:rsid w:val="6C6972D4"/>
    <w:rsid w:val="6C9C4317"/>
    <w:rsid w:val="6CC7316E"/>
    <w:rsid w:val="6CF3231D"/>
    <w:rsid w:val="6D1045AC"/>
    <w:rsid w:val="6E13574A"/>
    <w:rsid w:val="6E3336F6"/>
    <w:rsid w:val="6E6B10E2"/>
    <w:rsid w:val="6F586836"/>
    <w:rsid w:val="70BA1EAD"/>
    <w:rsid w:val="70F94A85"/>
    <w:rsid w:val="71072C18"/>
    <w:rsid w:val="71285068"/>
    <w:rsid w:val="71593931"/>
    <w:rsid w:val="7202032D"/>
    <w:rsid w:val="72355BB2"/>
    <w:rsid w:val="72B72A29"/>
    <w:rsid w:val="72E04F19"/>
    <w:rsid w:val="72E63E7E"/>
    <w:rsid w:val="736B376C"/>
    <w:rsid w:val="742650CC"/>
    <w:rsid w:val="74375DA0"/>
    <w:rsid w:val="74D8656F"/>
    <w:rsid w:val="74DA0D6F"/>
    <w:rsid w:val="7528245B"/>
    <w:rsid w:val="755747BE"/>
    <w:rsid w:val="75C50DBF"/>
    <w:rsid w:val="75D05B45"/>
    <w:rsid w:val="761F3B91"/>
    <w:rsid w:val="762115A2"/>
    <w:rsid w:val="763769EB"/>
    <w:rsid w:val="764804B7"/>
    <w:rsid w:val="765A0A00"/>
    <w:rsid w:val="76AE24B4"/>
    <w:rsid w:val="77470212"/>
    <w:rsid w:val="778925D9"/>
    <w:rsid w:val="77B574A4"/>
    <w:rsid w:val="77E6121F"/>
    <w:rsid w:val="780103C1"/>
    <w:rsid w:val="78112CFA"/>
    <w:rsid w:val="782C63A8"/>
    <w:rsid w:val="78746DE5"/>
    <w:rsid w:val="788D434B"/>
    <w:rsid w:val="78AF42C1"/>
    <w:rsid w:val="78DD498A"/>
    <w:rsid w:val="790C1713"/>
    <w:rsid w:val="793B3DA7"/>
    <w:rsid w:val="79425135"/>
    <w:rsid w:val="79CA65E3"/>
    <w:rsid w:val="79D3446D"/>
    <w:rsid w:val="79E7681A"/>
    <w:rsid w:val="79EF6B22"/>
    <w:rsid w:val="79EF706B"/>
    <w:rsid w:val="79F74636"/>
    <w:rsid w:val="7B67425B"/>
    <w:rsid w:val="7BB97537"/>
    <w:rsid w:val="7BC95D25"/>
    <w:rsid w:val="7BE92A89"/>
    <w:rsid w:val="7BE97AEA"/>
    <w:rsid w:val="7C6B04FF"/>
    <w:rsid w:val="7D0C3A90"/>
    <w:rsid w:val="7D3C1A3B"/>
    <w:rsid w:val="7D407EEB"/>
    <w:rsid w:val="7DF74D1C"/>
    <w:rsid w:val="7DFC1D56"/>
    <w:rsid w:val="7E2D0162"/>
    <w:rsid w:val="7E394D59"/>
    <w:rsid w:val="7E3A63DB"/>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列出段落1"/>
    <w:basedOn w:val="1"/>
    <w:qFormat/>
    <w:uiPriority w:val="99"/>
    <w:pPr>
      <w:ind w:firstLine="420" w:firstLineChars="200"/>
    </w:p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4514</Words>
  <Characters>4829</Characters>
  <Lines>319</Lines>
  <Paragraphs>89</Paragraphs>
  <TotalTime>41</TotalTime>
  <ScaleCrop>false</ScaleCrop>
  <LinksUpToDate>false</LinksUpToDate>
  <CharactersWithSpaces>4907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2025-09-04T09:35:00Z</cp:lastPrinted>
  <dcterms:modified xsi:type="dcterms:W3CDTF">2025-09-16T02:56:12Z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FBF453DA7B104E3185D27B8DDE5540B6_13</vt:lpwstr>
  </property>
  <property fmtid="{D5CDD505-2E9C-101B-9397-08002B2CF9AE}" pid="4" name="KSOTemplateDocerSaveRecord">
    <vt:lpwstr>eyJoZGlkIjoiZjFmZWIzNDg2MmIzZjExOTIzMmViNTBmYTMwYTk0ZWYiLCJ1c2VySWQiOiIyNDk3NDU2MzUifQ==</vt:lpwstr>
  </property>
</Properties>
</file>