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E33B3">
      <w:pPr>
        <w:tabs>
          <w:tab w:val="left" w:pos="420"/>
        </w:tabs>
        <w:spacing w:line="1700" w:lineRule="exact"/>
        <w:jc w:val="center"/>
        <w:rPr>
          <w:rFonts w:ascii="Arial Black" w:hAnsi="Arial Black" w:eastAsia="黑体"/>
          <w:b/>
          <w:color w:val="auto"/>
          <w:spacing w:val="36"/>
          <w:sz w:val="52"/>
          <w:szCs w:val="52"/>
          <w:highlight w:val="none"/>
        </w:rPr>
      </w:pPr>
      <w:r>
        <w:rPr>
          <w:rFonts w:hint="eastAsia" w:ascii="Arial Black" w:hAnsi="Arial Black" w:eastAsia="黑体"/>
          <w:b/>
          <w:bCs/>
          <w:color w:val="auto"/>
          <w:spacing w:val="36"/>
          <w:sz w:val="52"/>
          <w:szCs w:val="52"/>
          <w:highlight w:val="none"/>
        </w:rPr>
        <w:t>周口市公共资源交易中心</w:t>
      </w:r>
    </w:p>
    <w:p w14:paraId="0AC65AFD">
      <w:pPr>
        <w:tabs>
          <w:tab w:val="left" w:pos="315"/>
          <w:tab w:val="left" w:pos="8820"/>
        </w:tabs>
        <w:spacing w:line="500" w:lineRule="exact"/>
        <w:ind w:right="267" w:rightChars="127"/>
        <w:jc w:val="center"/>
        <w:rPr>
          <w:rFonts w:ascii="仿宋_GB2312" w:eastAsia="仿宋_GB2312"/>
          <w:b/>
          <w:bCs/>
          <w:color w:val="auto"/>
          <w:sz w:val="48"/>
          <w:highlight w:val="none"/>
        </w:rPr>
      </w:pPr>
    </w:p>
    <w:p w14:paraId="2490CDCF">
      <w:pPr>
        <w:pStyle w:val="36"/>
        <w:rPr>
          <w:rFonts w:ascii="仿宋_GB2312" w:eastAsia="仿宋_GB2312"/>
          <w:b/>
          <w:bCs/>
          <w:color w:val="auto"/>
          <w:sz w:val="48"/>
          <w:highlight w:val="none"/>
        </w:rPr>
      </w:pPr>
    </w:p>
    <w:p w14:paraId="6E4DD862">
      <w:pPr>
        <w:pStyle w:val="36"/>
        <w:rPr>
          <w:rFonts w:ascii="仿宋_GB2312" w:eastAsia="仿宋_GB2312"/>
          <w:b/>
          <w:bCs/>
          <w:color w:val="auto"/>
          <w:sz w:val="48"/>
          <w:highlight w:val="none"/>
        </w:rPr>
      </w:pPr>
    </w:p>
    <w:p w14:paraId="73B64AA9">
      <w:pPr>
        <w:pStyle w:val="36"/>
        <w:rPr>
          <w:rFonts w:ascii="仿宋_GB2312" w:eastAsia="仿宋_GB2312"/>
          <w:b/>
          <w:bCs/>
          <w:color w:val="auto"/>
          <w:sz w:val="48"/>
          <w:highlight w:val="none"/>
        </w:rPr>
      </w:pPr>
    </w:p>
    <w:p w14:paraId="4D1A67E4">
      <w:pPr>
        <w:pStyle w:val="36"/>
        <w:rPr>
          <w:rFonts w:ascii="仿宋_GB2312" w:eastAsia="仿宋_GB2312"/>
          <w:b/>
          <w:bCs/>
          <w:color w:val="auto"/>
          <w:sz w:val="48"/>
          <w:highlight w:val="none"/>
        </w:rPr>
      </w:pPr>
    </w:p>
    <w:p w14:paraId="2B036F04">
      <w:pPr>
        <w:pStyle w:val="36"/>
        <w:rPr>
          <w:rFonts w:ascii="仿宋_GB2312" w:eastAsia="仿宋_GB2312"/>
          <w:b/>
          <w:bCs/>
          <w:color w:val="auto"/>
          <w:sz w:val="48"/>
          <w:highlight w:val="none"/>
        </w:rPr>
      </w:pPr>
    </w:p>
    <w:p w14:paraId="32C25E3E">
      <w:pPr>
        <w:tabs>
          <w:tab w:val="left" w:pos="315"/>
          <w:tab w:val="left" w:pos="8820"/>
        </w:tabs>
        <w:spacing w:line="240" w:lineRule="auto"/>
        <w:ind w:right="267" w:rightChars="127"/>
        <w:jc w:val="center"/>
        <w:rPr>
          <w:rFonts w:ascii="微软简标宋" w:eastAsia="黑体"/>
          <w:b/>
          <w:bCs/>
          <w:color w:val="auto"/>
          <w:sz w:val="52"/>
          <w:highlight w:val="none"/>
        </w:rPr>
      </w:pPr>
      <w:r>
        <w:rPr>
          <w:rFonts w:hint="eastAsia" w:ascii="微软简标宋" w:eastAsia="黑体"/>
          <w:b/>
          <w:bCs/>
          <w:color w:val="auto"/>
          <w:sz w:val="52"/>
          <w:highlight w:val="none"/>
        </w:rPr>
        <w:t>竞争性磋商文件</w:t>
      </w:r>
    </w:p>
    <w:p w14:paraId="6A6F27BB">
      <w:pPr>
        <w:tabs>
          <w:tab w:val="left" w:pos="315"/>
          <w:tab w:val="left" w:pos="8820"/>
        </w:tabs>
        <w:spacing w:line="500" w:lineRule="exact"/>
        <w:ind w:right="267" w:rightChars="127"/>
        <w:jc w:val="both"/>
        <w:rPr>
          <w:rFonts w:ascii="仿宋_GB2312" w:eastAsia="仿宋_GB2312"/>
          <w:color w:val="auto"/>
          <w:sz w:val="44"/>
          <w:highlight w:val="none"/>
        </w:rPr>
      </w:pPr>
    </w:p>
    <w:p w14:paraId="11D1B352">
      <w:pPr>
        <w:tabs>
          <w:tab w:val="left" w:pos="315"/>
          <w:tab w:val="left" w:pos="8820"/>
        </w:tabs>
        <w:ind w:right="267" w:rightChars="127"/>
        <w:rPr>
          <w:rFonts w:ascii="仿宋_GB2312" w:eastAsia="仿宋_GB2312"/>
          <w:color w:val="auto"/>
          <w:sz w:val="44"/>
          <w:highlight w:val="none"/>
        </w:rPr>
      </w:pPr>
    </w:p>
    <w:p w14:paraId="35FDF73E">
      <w:pPr>
        <w:pStyle w:val="36"/>
        <w:ind w:left="0" w:leftChars="0" w:firstLine="0" w:firstLineChars="0"/>
        <w:rPr>
          <w:rFonts w:ascii="仿宋_GB2312" w:eastAsia="仿宋_GB2312"/>
          <w:color w:val="auto"/>
          <w:sz w:val="44"/>
          <w:highlight w:val="none"/>
        </w:rPr>
      </w:pPr>
    </w:p>
    <w:p w14:paraId="2E8DA788">
      <w:pPr>
        <w:pStyle w:val="36"/>
        <w:ind w:left="0" w:leftChars="0" w:firstLine="0" w:firstLineChars="0"/>
        <w:rPr>
          <w:rFonts w:ascii="仿宋_GB2312" w:eastAsia="仿宋_GB2312"/>
          <w:color w:val="auto"/>
          <w:sz w:val="44"/>
          <w:highlight w:val="none"/>
        </w:rPr>
      </w:pPr>
    </w:p>
    <w:p w14:paraId="51813C37">
      <w:pPr>
        <w:tabs>
          <w:tab w:val="left" w:pos="315"/>
          <w:tab w:val="left" w:pos="8820"/>
        </w:tabs>
        <w:spacing w:line="500" w:lineRule="exact"/>
        <w:ind w:right="267" w:rightChars="127"/>
        <w:rPr>
          <w:rFonts w:ascii="仿宋_GB2312" w:eastAsia="仿宋_GB2312"/>
          <w:b/>
          <w:bCs/>
          <w:color w:val="auto"/>
          <w:sz w:val="36"/>
          <w:highlight w:val="none"/>
        </w:rPr>
      </w:pPr>
    </w:p>
    <w:p w14:paraId="48239AE6">
      <w:pPr>
        <w:tabs>
          <w:tab w:val="left" w:pos="315"/>
          <w:tab w:val="left" w:pos="8820"/>
        </w:tabs>
        <w:spacing w:line="500" w:lineRule="exact"/>
        <w:ind w:right="267" w:rightChars="127"/>
        <w:rPr>
          <w:rFonts w:ascii="仿宋_GB2312" w:eastAsia="仿宋_GB2312"/>
          <w:b/>
          <w:bCs/>
          <w:color w:val="auto"/>
          <w:sz w:val="36"/>
          <w:highlight w:val="none"/>
        </w:rPr>
      </w:pPr>
    </w:p>
    <w:p w14:paraId="7051660D">
      <w:pPr>
        <w:tabs>
          <w:tab w:val="left" w:pos="315"/>
          <w:tab w:val="left" w:pos="8820"/>
        </w:tabs>
        <w:spacing w:line="500" w:lineRule="exact"/>
        <w:ind w:right="267" w:rightChars="127"/>
        <w:jc w:val="both"/>
        <w:rPr>
          <w:rFonts w:ascii="宋体" w:hAnsi="宋体"/>
          <w:color w:val="auto"/>
          <w:sz w:val="32"/>
          <w:highlight w:val="none"/>
        </w:rPr>
      </w:pPr>
    </w:p>
    <w:p w14:paraId="5BAAAD14">
      <w:pPr>
        <w:tabs>
          <w:tab w:val="left" w:pos="315"/>
          <w:tab w:val="left" w:pos="8820"/>
        </w:tabs>
        <w:spacing w:line="500" w:lineRule="exact"/>
        <w:ind w:right="267" w:rightChars="127"/>
        <w:jc w:val="both"/>
        <w:rPr>
          <w:rFonts w:ascii="微软简标宋" w:eastAsia="黑体"/>
          <w:b/>
          <w:bCs/>
          <w:color w:val="auto"/>
          <w:sz w:val="52"/>
          <w:highlight w:val="none"/>
        </w:rPr>
      </w:pPr>
    </w:p>
    <w:p w14:paraId="555F5BB0">
      <w:pPr>
        <w:tabs>
          <w:tab w:val="left" w:pos="315"/>
          <w:tab w:val="left" w:pos="8820"/>
        </w:tabs>
        <w:spacing w:line="600" w:lineRule="exact"/>
        <w:ind w:left="1807" w:right="267" w:rightChars="127" w:hanging="1807" w:hangingChars="600"/>
        <w:jc w:val="left"/>
        <w:rPr>
          <w:rFonts w:ascii="微软简标宋" w:eastAsia="黑体"/>
          <w:b/>
          <w:bCs/>
          <w:color w:val="auto"/>
          <w:sz w:val="30"/>
          <w:szCs w:val="30"/>
          <w:highlight w:val="none"/>
        </w:rPr>
      </w:pPr>
      <w:r>
        <w:rPr>
          <w:rFonts w:hint="eastAsia" w:ascii="微软简标宋" w:eastAsia="黑体"/>
          <w:b/>
          <w:bCs/>
          <w:color w:val="auto"/>
          <w:sz w:val="30"/>
          <w:szCs w:val="30"/>
          <w:highlight w:val="none"/>
        </w:rPr>
        <w:t>项目名称:扶沟县水利局洪水影响、水土保持区域评估服务项目</w:t>
      </w:r>
    </w:p>
    <w:p w14:paraId="2CD1E004">
      <w:pPr>
        <w:tabs>
          <w:tab w:val="left" w:pos="315"/>
          <w:tab w:val="left" w:pos="8820"/>
        </w:tabs>
        <w:spacing w:line="600" w:lineRule="exact"/>
        <w:ind w:right="267" w:rightChars="127"/>
        <w:jc w:val="left"/>
        <w:rPr>
          <w:rFonts w:hint="default" w:ascii="微软简标宋" w:eastAsia="黑体"/>
          <w:b/>
          <w:bCs/>
          <w:color w:val="auto"/>
          <w:sz w:val="30"/>
          <w:szCs w:val="30"/>
          <w:highlight w:val="none"/>
          <w:lang w:val="en-US" w:eastAsia="zh-CN"/>
        </w:rPr>
      </w:pPr>
      <w:r>
        <w:rPr>
          <w:rFonts w:hint="eastAsia" w:ascii="微软简标宋" w:eastAsia="黑体"/>
          <w:b/>
          <w:bCs/>
          <w:color w:val="auto"/>
          <w:sz w:val="30"/>
          <w:szCs w:val="30"/>
          <w:highlight w:val="none"/>
        </w:rPr>
        <w:t>项目编号:</w:t>
      </w:r>
      <w:r>
        <w:rPr>
          <w:rFonts w:hint="eastAsia" w:ascii="微软简标宋" w:eastAsia="黑体"/>
          <w:b/>
          <w:bCs/>
          <w:color w:val="auto"/>
          <w:sz w:val="30"/>
          <w:szCs w:val="30"/>
          <w:highlight w:val="none"/>
          <w:lang w:val="en-US" w:eastAsia="zh-CN"/>
        </w:rPr>
        <w:t>扶财磋商采购-2025-33</w:t>
      </w:r>
    </w:p>
    <w:p w14:paraId="4293DC16">
      <w:pPr>
        <w:pStyle w:val="8"/>
        <w:jc w:val="center"/>
        <w:rPr>
          <w:rFonts w:hint="eastAsia" w:ascii="微软简标宋" w:hAnsi="Times New Roman" w:eastAsia="黑体" w:cs="Times New Roman"/>
          <w:b/>
          <w:bCs/>
          <w:color w:val="auto"/>
          <w:kern w:val="2"/>
          <w:sz w:val="30"/>
          <w:szCs w:val="30"/>
          <w:highlight w:val="none"/>
          <w:lang w:val="en-US" w:eastAsia="zh-CN" w:bidi="ar-SA"/>
        </w:rPr>
      </w:pPr>
      <w:r>
        <w:rPr>
          <w:rFonts w:hint="eastAsia" w:ascii="微软简标宋" w:hAnsi="Times New Roman" w:eastAsia="黑体" w:cs="Times New Roman"/>
          <w:b/>
          <w:bCs/>
          <w:color w:val="auto"/>
          <w:kern w:val="2"/>
          <w:sz w:val="30"/>
          <w:szCs w:val="30"/>
          <w:highlight w:val="none"/>
          <w:lang w:val="en-US" w:eastAsia="zh-CN" w:bidi="ar-SA"/>
        </w:rPr>
        <w:t>2025年08月</w:t>
      </w:r>
      <w:r>
        <w:rPr>
          <w:rFonts w:hint="eastAsia" w:ascii="微软简标宋" w:eastAsia="黑体" w:cs="Times New Roman"/>
          <w:b/>
          <w:bCs/>
          <w:color w:val="auto"/>
          <w:kern w:val="2"/>
          <w:sz w:val="30"/>
          <w:szCs w:val="30"/>
          <w:highlight w:val="none"/>
          <w:lang w:val="en-US" w:eastAsia="zh-CN" w:bidi="ar-SA"/>
        </w:rPr>
        <w:t>27</w:t>
      </w:r>
      <w:r>
        <w:rPr>
          <w:rFonts w:hint="eastAsia" w:ascii="微软简标宋" w:hAnsi="Times New Roman" w:eastAsia="黑体" w:cs="Times New Roman"/>
          <w:b/>
          <w:bCs/>
          <w:color w:val="auto"/>
          <w:kern w:val="2"/>
          <w:sz w:val="30"/>
          <w:szCs w:val="30"/>
          <w:highlight w:val="none"/>
          <w:lang w:val="en-US" w:eastAsia="zh-CN" w:bidi="ar-SA"/>
        </w:rPr>
        <w:t>日</w:t>
      </w:r>
    </w:p>
    <w:sdt>
      <w:sdtPr>
        <w:rPr>
          <w:rFonts w:ascii="宋体" w:hAnsi="宋体" w:eastAsia="宋体" w:cs="Times New Roman"/>
          <w:color w:val="auto"/>
          <w:kern w:val="2"/>
          <w:sz w:val="21"/>
          <w:szCs w:val="24"/>
          <w:highlight w:val="none"/>
          <w:lang w:val="en-US" w:eastAsia="zh-CN" w:bidi="ar-SA"/>
        </w:rPr>
        <w:id w:val="147465548"/>
        <w15:color w:val="DBDBDB"/>
        <w:docPartObj>
          <w:docPartGallery w:val="Table of Contents"/>
          <w:docPartUnique/>
        </w:docPartObj>
      </w:sdtPr>
      <w:sdtEndPr>
        <w:rPr>
          <w:rFonts w:hint="eastAsia" w:ascii="宋体" w:hAnsi="宋体" w:eastAsia="宋体" w:cs="Times New Roman"/>
          <w:color w:val="auto"/>
          <w:kern w:val="2"/>
          <w:sz w:val="21"/>
          <w:szCs w:val="24"/>
          <w:highlight w:val="none"/>
          <w:lang w:val="en-US" w:eastAsia="zh-CN" w:bidi="ar-SA"/>
        </w:rPr>
      </w:sdtEndPr>
      <w:sdtContent>
        <w:p w14:paraId="3F95F743">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color w:val="auto"/>
              <w:highlight w:val="none"/>
            </w:rPr>
          </w:pPr>
          <w:r>
            <w:rPr>
              <w:rFonts w:ascii="宋体" w:hAnsi="宋体" w:eastAsia="宋体"/>
              <w:color w:val="auto"/>
              <w:sz w:val="21"/>
              <w:highlight w:val="none"/>
            </w:rPr>
            <w:t>目录</w:t>
          </w:r>
        </w:p>
        <w:p w14:paraId="6998D5BE">
          <w:pPr>
            <w:pStyle w:val="20"/>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b/>
              <w:color w:val="auto"/>
              <w:sz w:val="32"/>
              <w:szCs w:val="32"/>
              <w:highlight w:val="none"/>
            </w:rPr>
            <w:fldChar w:fldCharType="begin"/>
          </w:r>
          <w:r>
            <w:rPr>
              <w:rFonts w:hint="eastAsia" w:ascii="仿宋_GB2312" w:eastAsia="仿宋_GB2312"/>
              <w:b/>
              <w:color w:val="auto"/>
              <w:sz w:val="32"/>
              <w:szCs w:val="32"/>
              <w:highlight w:val="none"/>
            </w:rPr>
            <w:instrText xml:space="preserve">TOC \o "1-3" \h \u </w:instrText>
          </w:r>
          <w:r>
            <w:rPr>
              <w:rFonts w:hint="eastAsia" w:ascii="仿宋_GB2312" w:eastAsia="仿宋_GB2312"/>
              <w:b/>
              <w:color w:val="auto"/>
              <w:sz w:val="32"/>
              <w:szCs w:val="32"/>
              <w:highlight w:val="none"/>
            </w:rPr>
            <w:fldChar w:fldCharType="separate"/>
          </w: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_Toc29265 </w:instrText>
          </w:r>
          <w:r>
            <w:rPr>
              <w:rFonts w:hint="eastAsia" w:ascii="仿宋_GB2312" w:eastAsia="仿宋_GB2312"/>
              <w:color w:val="auto"/>
              <w:szCs w:val="32"/>
              <w:highlight w:val="none"/>
            </w:rPr>
            <w:fldChar w:fldCharType="separate"/>
          </w:r>
          <w:r>
            <w:rPr>
              <w:rFonts w:hint="eastAsia" w:ascii="宋体" w:hAnsi="宋体" w:cs="宋体"/>
              <w:color w:val="auto"/>
              <w:szCs w:val="32"/>
              <w:highlight w:val="none"/>
            </w:rPr>
            <w:t>第一章 竞争性磋商邀请函</w:t>
          </w:r>
          <w:r>
            <w:rPr>
              <w:color w:val="auto"/>
              <w:highlight w:val="none"/>
            </w:rPr>
            <w:tab/>
          </w:r>
          <w:r>
            <w:rPr>
              <w:color w:val="auto"/>
              <w:highlight w:val="none"/>
            </w:rPr>
            <w:fldChar w:fldCharType="begin"/>
          </w:r>
          <w:r>
            <w:rPr>
              <w:color w:val="auto"/>
              <w:highlight w:val="none"/>
            </w:rPr>
            <w:instrText xml:space="preserve"> PAGEREF _Toc29265 \h </w:instrText>
          </w:r>
          <w:r>
            <w:rPr>
              <w:color w:val="auto"/>
              <w:highlight w:val="none"/>
            </w:rPr>
            <w:fldChar w:fldCharType="separate"/>
          </w:r>
          <w:r>
            <w:rPr>
              <w:color w:val="auto"/>
              <w:highlight w:val="none"/>
            </w:rPr>
            <w:t>3</w:t>
          </w:r>
          <w:r>
            <w:rPr>
              <w:color w:val="auto"/>
              <w:highlight w:val="none"/>
            </w:rPr>
            <w:fldChar w:fldCharType="end"/>
          </w:r>
          <w:r>
            <w:rPr>
              <w:rFonts w:hint="eastAsia" w:ascii="仿宋_GB2312" w:eastAsia="仿宋_GB2312"/>
              <w:color w:val="auto"/>
              <w:szCs w:val="32"/>
              <w:highlight w:val="none"/>
            </w:rPr>
            <w:fldChar w:fldCharType="end"/>
          </w:r>
        </w:p>
        <w:p w14:paraId="489F7099">
          <w:pPr>
            <w:pStyle w:val="20"/>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_Toc4395 </w:instrText>
          </w:r>
          <w:r>
            <w:rPr>
              <w:rFonts w:hint="eastAsia" w:ascii="仿宋_GB2312" w:eastAsia="仿宋_GB2312"/>
              <w:color w:val="auto"/>
              <w:szCs w:val="32"/>
              <w:highlight w:val="none"/>
            </w:rPr>
            <w:fldChar w:fldCharType="separate"/>
          </w:r>
          <w:r>
            <w:rPr>
              <w:rFonts w:hint="eastAsia" w:ascii="宋体" w:hAnsi="宋体" w:cs="宋体"/>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_Toc4395 \h </w:instrText>
          </w:r>
          <w:r>
            <w:rPr>
              <w:color w:val="auto"/>
              <w:highlight w:val="none"/>
            </w:rPr>
            <w:fldChar w:fldCharType="separate"/>
          </w:r>
          <w:r>
            <w:rPr>
              <w:color w:val="auto"/>
              <w:highlight w:val="none"/>
            </w:rPr>
            <w:t>6</w:t>
          </w:r>
          <w:r>
            <w:rPr>
              <w:color w:val="auto"/>
              <w:highlight w:val="none"/>
            </w:rPr>
            <w:fldChar w:fldCharType="end"/>
          </w:r>
          <w:r>
            <w:rPr>
              <w:rFonts w:hint="eastAsia" w:ascii="仿宋_GB2312" w:eastAsia="仿宋_GB2312"/>
              <w:color w:val="auto"/>
              <w:szCs w:val="32"/>
              <w:highlight w:val="none"/>
            </w:rPr>
            <w:fldChar w:fldCharType="end"/>
          </w:r>
        </w:p>
        <w:p w14:paraId="59A1D74C">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_Toc32362 </w:instrText>
          </w:r>
          <w:r>
            <w:rPr>
              <w:rFonts w:hint="eastAsia" w:ascii="仿宋_GB2312" w:eastAsia="仿宋_GB2312"/>
              <w:color w:val="auto"/>
              <w:szCs w:val="32"/>
              <w:highlight w:val="none"/>
            </w:rPr>
            <w:fldChar w:fldCharType="separate"/>
          </w:r>
          <w:r>
            <w:rPr>
              <w:rFonts w:hint="eastAsia" w:ascii="宋体" w:hAnsi="宋体" w:cs="宋体"/>
              <w:color w:val="auto"/>
              <w:szCs w:val="30"/>
              <w:highlight w:val="none"/>
            </w:rPr>
            <w:t>一、总则</w:t>
          </w:r>
          <w:r>
            <w:rPr>
              <w:color w:val="auto"/>
              <w:highlight w:val="none"/>
            </w:rPr>
            <w:tab/>
          </w:r>
          <w:r>
            <w:rPr>
              <w:color w:val="auto"/>
              <w:highlight w:val="none"/>
            </w:rPr>
            <w:fldChar w:fldCharType="begin"/>
          </w:r>
          <w:r>
            <w:rPr>
              <w:color w:val="auto"/>
              <w:highlight w:val="none"/>
            </w:rPr>
            <w:instrText xml:space="preserve"> PAGEREF _Toc32362 \h </w:instrText>
          </w:r>
          <w:r>
            <w:rPr>
              <w:color w:val="auto"/>
              <w:highlight w:val="none"/>
            </w:rPr>
            <w:fldChar w:fldCharType="separate"/>
          </w:r>
          <w:r>
            <w:rPr>
              <w:color w:val="auto"/>
              <w:highlight w:val="none"/>
            </w:rPr>
            <w:t>8</w:t>
          </w:r>
          <w:r>
            <w:rPr>
              <w:color w:val="auto"/>
              <w:highlight w:val="none"/>
            </w:rPr>
            <w:fldChar w:fldCharType="end"/>
          </w:r>
          <w:r>
            <w:rPr>
              <w:rFonts w:hint="eastAsia" w:ascii="仿宋_GB2312" w:eastAsia="仿宋_GB2312"/>
              <w:color w:val="auto"/>
              <w:szCs w:val="32"/>
              <w:highlight w:val="none"/>
            </w:rPr>
            <w:fldChar w:fldCharType="end"/>
          </w:r>
        </w:p>
        <w:p w14:paraId="6C50DD43">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_Toc5748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_Toc5748 \h </w:instrText>
          </w:r>
          <w:r>
            <w:rPr>
              <w:color w:val="auto"/>
              <w:highlight w:val="none"/>
            </w:rPr>
            <w:fldChar w:fldCharType="separate"/>
          </w:r>
          <w:r>
            <w:rPr>
              <w:color w:val="auto"/>
              <w:highlight w:val="none"/>
            </w:rPr>
            <w:t>9</w:t>
          </w:r>
          <w:r>
            <w:rPr>
              <w:color w:val="auto"/>
              <w:highlight w:val="none"/>
            </w:rPr>
            <w:fldChar w:fldCharType="end"/>
          </w:r>
          <w:r>
            <w:rPr>
              <w:rFonts w:hint="eastAsia" w:ascii="仿宋_GB2312" w:eastAsia="仿宋_GB2312"/>
              <w:color w:val="auto"/>
              <w:szCs w:val="32"/>
              <w:highlight w:val="none"/>
            </w:rPr>
            <w:fldChar w:fldCharType="end"/>
          </w:r>
        </w:p>
        <w:p w14:paraId="117FC8A3">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_Toc14193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三、响应性文件的编制</w:t>
          </w:r>
          <w:r>
            <w:rPr>
              <w:color w:val="auto"/>
              <w:highlight w:val="none"/>
            </w:rPr>
            <w:tab/>
          </w:r>
          <w:r>
            <w:rPr>
              <w:color w:val="auto"/>
              <w:highlight w:val="none"/>
            </w:rPr>
            <w:fldChar w:fldCharType="begin"/>
          </w:r>
          <w:r>
            <w:rPr>
              <w:color w:val="auto"/>
              <w:highlight w:val="none"/>
            </w:rPr>
            <w:instrText xml:space="preserve"> PAGEREF _Toc14193 \h </w:instrText>
          </w:r>
          <w:r>
            <w:rPr>
              <w:color w:val="auto"/>
              <w:highlight w:val="none"/>
            </w:rPr>
            <w:fldChar w:fldCharType="separate"/>
          </w:r>
          <w:r>
            <w:rPr>
              <w:color w:val="auto"/>
              <w:highlight w:val="none"/>
            </w:rPr>
            <w:t>11</w:t>
          </w:r>
          <w:r>
            <w:rPr>
              <w:color w:val="auto"/>
              <w:highlight w:val="none"/>
            </w:rPr>
            <w:fldChar w:fldCharType="end"/>
          </w:r>
          <w:r>
            <w:rPr>
              <w:rFonts w:hint="eastAsia" w:ascii="仿宋_GB2312" w:eastAsia="仿宋_GB2312"/>
              <w:color w:val="auto"/>
              <w:szCs w:val="32"/>
              <w:highlight w:val="none"/>
            </w:rPr>
            <w:fldChar w:fldCharType="end"/>
          </w:r>
        </w:p>
        <w:p w14:paraId="73DAC45F">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_Toc16349 </w:instrText>
          </w:r>
          <w:r>
            <w:rPr>
              <w:rFonts w:hint="eastAsia" w:ascii="仿宋_GB2312" w:eastAsia="仿宋_GB2312"/>
              <w:color w:val="auto"/>
              <w:szCs w:val="32"/>
              <w:highlight w:val="none"/>
            </w:rPr>
            <w:fldChar w:fldCharType="separate"/>
          </w:r>
          <w:r>
            <w:rPr>
              <w:rFonts w:hint="default" w:ascii="宋体" w:hAnsi="宋体" w:cs="宋体"/>
              <w:color w:val="auto"/>
              <w:highlight w:val="none"/>
            </w:rPr>
            <w:t xml:space="preserve">四、 </w:t>
          </w:r>
          <w:r>
            <w:rPr>
              <w:rFonts w:hint="eastAsia" w:ascii="宋体" w:hAnsi="宋体" w:cs="宋体"/>
              <w:color w:val="auto"/>
              <w:highlight w:val="none"/>
            </w:rPr>
            <w:t>响应性文件的递交</w:t>
          </w:r>
          <w:r>
            <w:rPr>
              <w:color w:val="auto"/>
              <w:highlight w:val="none"/>
            </w:rPr>
            <w:tab/>
          </w:r>
          <w:r>
            <w:rPr>
              <w:color w:val="auto"/>
              <w:highlight w:val="none"/>
            </w:rPr>
            <w:fldChar w:fldCharType="begin"/>
          </w:r>
          <w:r>
            <w:rPr>
              <w:color w:val="auto"/>
              <w:highlight w:val="none"/>
            </w:rPr>
            <w:instrText xml:space="preserve"> PAGEREF _Toc16349 \h </w:instrText>
          </w:r>
          <w:r>
            <w:rPr>
              <w:color w:val="auto"/>
              <w:highlight w:val="none"/>
            </w:rPr>
            <w:fldChar w:fldCharType="separate"/>
          </w:r>
          <w:r>
            <w:rPr>
              <w:color w:val="auto"/>
              <w:highlight w:val="none"/>
            </w:rPr>
            <w:t>13</w:t>
          </w:r>
          <w:r>
            <w:rPr>
              <w:color w:val="auto"/>
              <w:highlight w:val="none"/>
            </w:rPr>
            <w:fldChar w:fldCharType="end"/>
          </w:r>
          <w:r>
            <w:rPr>
              <w:rFonts w:hint="eastAsia" w:ascii="仿宋_GB2312" w:eastAsia="仿宋_GB2312"/>
              <w:color w:val="auto"/>
              <w:szCs w:val="32"/>
              <w:highlight w:val="none"/>
            </w:rPr>
            <w:fldChar w:fldCharType="end"/>
          </w:r>
        </w:p>
        <w:p w14:paraId="2B421630">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_Toc12385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五、竞争性磋商</w:t>
          </w:r>
          <w:r>
            <w:rPr>
              <w:color w:val="auto"/>
              <w:highlight w:val="none"/>
            </w:rPr>
            <w:tab/>
          </w:r>
          <w:r>
            <w:rPr>
              <w:color w:val="auto"/>
              <w:highlight w:val="none"/>
            </w:rPr>
            <w:fldChar w:fldCharType="begin"/>
          </w:r>
          <w:r>
            <w:rPr>
              <w:color w:val="auto"/>
              <w:highlight w:val="none"/>
            </w:rPr>
            <w:instrText xml:space="preserve"> PAGEREF _Toc12385 \h </w:instrText>
          </w:r>
          <w:r>
            <w:rPr>
              <w:color w:val="auto"/>
              <w:highlight w:val="none"/>
            </w:rPr>
            <w:fldChar w:fldCharType="separate"/>
          </w:r>
          <w:r>
            <w:rPr>
              <w:color w:val="auto"/>
              <w:highlight w:val="none"/>
            </w:rPr>
            <w:t>14</w:t>
          </w:r>
          <w:r>
            <w:rPr>
              <w:color w:val="auto"/>
              <w:highlight w:val="none"/>
            </w:rPr>
            <w:fldChar w:fldCharType="end"/>
          </w:r>
          <w:r>
            <w:rPr>
              <w:rFonts w:hint="eastAsia" w:ascii="仿宋_GB2312" w:eastAsia="仿宋_GB2312"/>
              <w:color w:val="auto"/>
              <w:szCs w:val="32"/>
              <w:highlight w:val="none"/>
            </w:rPr>
            <w:fldChar w:fldCharType="end"/>
          </w:r>
        </w:p>
        <w:p w14:paraId="1FEF8E7E">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_Toc7593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六、评定标准</w:t>
          </w:r>
          <w:r>
            <w:rPr>
              <w:color w:val="auto"/>
              <w:highlight w:val="none"/>
            </w:rPr>
            <w:tab/>
          </w:r>
          <w:r>
            <w:rPr>
              <w:color w:val="auto"/>
              <w:highlight w:val="none"/>
            </w:rPr>
            <w:fldChar w:fldCharType="begin"/>
          </w:r>
          <w:r>
            <w:rPr>
              <w:color w:val="auto"/>
              <w:highlight w:val="none"/>
            </w:rPr>
            <w:instrText xml:space="preserve"> PAGEREF _Toc7593 \h </w:instrText>
          </w:r>
          <w:r>
            <w:rPr>
              <w:color w:val="auto"/>
              <w:highlight w:val="none"/>
            </w:rPr>
            <w:fldChar w:fldCharType="separate"/>
          </w:r>
          <w:r>
            <w:rPr>
              <w:color w:val="auto"/>
              <w:highlight w:val="none"/>
            </w:rPr>
            <w:t>19</w:t>
          </w:r>
          <w:r>
            <w:rPr>
              <w:color w:val="auto"/>
              <w:highlight w:val="none"/>
            </w:rPr>
            <w:fldChar w:fldCharType="end"/>
          </w:r>
          <w:r>
            <w:rPr>
              <w:rFonts w:hint="eastAsia" w:ascii="仿宋_GB2312" w:eastAsia="仿宋_GB2312"/>
              <w:color w:val="auto"/>
              <w:szCs w:val="32"/>
              <w:highlight w:val="none"/>
            </w:rPr>
            <w:fldChar w:fldCharType="end"/>
          </w:r>
        </w:p>
        <w:p w14:paraId="468C7B8F">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_Toc17605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七、成交通知</w:t>
          </w:r>
          <w:r>
            <w:rPr>
              <w:color w:val="auto"/>
              <w:highlight w:val="none"/>
            </w:rPr>
            <w:tab/>
          </w:r>
          <w:r>
            <w:rPr>
              <w:color w:val="auto"/>
              <w:highlight w:val="none"/>
            </w:rPr>
            <w:fldChar w:fldCharType="begin"/>
          </w:r>
          <w:r>
            <w:rPr>
              <w:color w:val="auto"/>
              <w:highlight w:val="none"/>
            </w:rPr>
            <w:instrText xml:space="preserve"> PAGEREF _Toc17605 \h </w:instrText>
          </w:r>
          <w:r>
            <w:rPr>
              <w:color w:val="auto"/>
              <w:highlight w:val="none"/>
            </w:rPr>
            <w:fldChar w:fldCharType="separate"/>
          </w:r>
          <w:r>
            <w:rPr>
              <w:color w:val="auto"/>
              <w:highlight w:val="none"/>
            </w:rPr>
            <w:t>23</w:t>
          </w:r>
          <w:r>
            <w:rPr>
              <w:color w:val="auto"/>
              <w:highlight w:val="none"/>
            </w:rPr>
            <w:fldChar w:fldCharType="end"/>
          </w:r>
          <w:r>
            <w:rPr>
              <w:rFonts w:hint="eastAsia" w:ascii="仿宋_GB2312" w:eastAsia="仿宋_GB2312"/>
              <w:color w:val="auto"/>
              <w:szCs w:val="32"/>
              <w:highlight w:val="none"/>
            </w:rPr>
            <w:fldChar w:fldCharType="end"/>
          </w:r>
        </w:p>
        <w:p w14:paraId="44349C6C">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_Toc16454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八、合同授予</w:t>
          </w:r>
          <w:r>
            <w:rPr>
              <w:color w:val="auto"/>
              <w:highlight w:val="none"/>
            </w:rPr>
            <w:tab/>
          </w:r>
          <w:r>
            <w:rPr>
              <w:color w:val="auto"/>
              <w:highlight w:val="none"/>
            </w:rPr>
            <w:fldChar w:fldCharType="begin"/>
          </w:r>
          <w:r>
            <w:rPr>
              <w:color w:val="auto"/>
              <w:highlight w:val="none"/>
            </w:rPr>
            <w:instrText xml:space="preserve"> PAGEREF _Toc16454 \h </w:instrText>
          </w:r>
          <w:r>
            <w:rPr>
              <w:color w:val="auto"/>
              <w:highlight w:val="none"/>
            </w:rPr>
            <w:fldChar w:fldCharType="separate"/>
          </w:r>
          <w:r>
            <w:rPr>
              <w:color w:val="auto"/>
              <w:highlight w:val="none"/>
            </w:rPr>
            <w:t>23</w:t>
          </w:r>
          <w:r>
            <w:rPr>
              <w:color w:val="auto"/>
              <w:highlight w:val="none"/>
            </w:rPr>
            <w:fldChar w:fldCharType="end"/>
          </w:r>
          <w:r>
            <w:rPr>
              <w:rFonts w:hint="eastAsia" w:ascii="仿宋_GB2312" w:eastAsia="仿宋_GB2312"/>
              <w:color w:val="auto"/>
              <w:szCs w:val="32"/>
              <w:highlight w:val="none"/>
            </w:rPr>
            <w:fldChar w:fldCharType="end"/>
          </w:r>
        </w:p>
        <w:p w14:paraId="3FDF07A0">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_Toc563 </w:instrText>
          </w:r>
          <w:r>
            <w:rPr>
              <w:rFonts w:hint="eastAsia" w:ascii="仿宋_GB2312" w:eastAsia="仿宋_GB2312"/>
              <w:color w:val="auto"/>
              <w:szCs w:val="32"/>
              <w:highlight w:val="none"/>
            </w:rPr>
            <w:fldChar w:fldCharType="separate"/>
          </w:r>
          <w:r>
            <w:rPr>
              <w:rFonts w:hint="eastAsia" w:ascii="宋体" w:hAnsi="宋体" w:cs="宋体"/>
              <w:color w:val="auto"/>
              <w:highlight w:val="none"/>
            </w:rPr>
            <w:t>九、质疑处理</w:t>
          </w:r>
          <w:r>
            <w:rPr>
              <w:color w:val="auto"/>
              <w:highlight w:val="none"/>
            </w:rPr>
            <w:tab/>
          </w:r>
          <w:r>
            <w:rPr>
              <w:color w:val="auto"/>
              <w:highlight w:val="none"/>
            </w:rPr>
            <w:fldChar w:fldCharType="begin"/>
          </w:r>
          <w:r>
            <w:rPr>
              <w:color w:val="auto"/>
              <w:highlight w:val="none"/>
            </w:rPr>
            <w:instrText xml:space="preserve"> PAGEREF _Toc563 \h </w:instrText>
          </w:r>
          <w:r>
            <w:rPr>
              <w:color w:val="auto"/>
              <w:highlight w:val="none"/>
            </w:rPr>
            <w:fldChar w:fldCharType="separate"/>
          </w:r>
          <w:r>
            <w:rPr>
              <w:color w:val="auto"/>
              <w:highlight w:val="none"/>
            </w:rPr>
            <w:t>23</w:t>
          </w:r>
          <w:r>
            <w:rPr>
              <w:color w:val="auto"/>
              <w:highlight w:val="none"/>
            </w:rPr>
            <w:fldChar w:fldCharType="end"/>
          </w:r>
          <w:r>
            <w:rPr>
              <w:rFonts w:hint="eastAsia" w:ascii="仿宋_GB2312" w:eastAsia="仿宋_GB2312"/>
              <w:color w:val="auto"/>
              <w:szCs w:val="32"/>
              <w:highlight w:val="none"/>
            </w:rPr>
            <w:fldChar w:fldCharType="end"/>
          </w:r>
        </w:p>
        <w:p w14:paraId="6466473F">
          <w:pPr>
            <w:pStyle w:val="20"/>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_Toc1759 </w:instrText>
          </w:r>
          <w:r>
            <w:rPr>
              <w:rFonts w:hint="eastAsia" w:ascii="仿宋_GB2312" w:eastAsia="仿宋_GB2312"/>
              <w:color w:val="auto"/>
              <w:szCs w:val="32"/>
              <w:highlight w:val="none"/>
            </w:rPr>
            <w:fldChar w:fldCharType="separate"/>
          </w:r>
          <w:r>
            <w:rPr>
              <w:rFonts w:hint="eastAsia" w:ascii="宋体" w:hAnsi="宋体" w:cs="宋体"/>
              <w:color w:val="auto"/>
              <w:szCs w:val="32"/>
              <w:highlight w:val="none"/>
            </w:rPr>
            <w:t>第三章 采购项目内容及要求</w:t>
          </w:r>
          <w:r>
            <w:rPr>
              <w:color w:val="auto"/>
              <w:highlight w:val="none"/>
            </w:rPr>
            <w:tab/>
          </w:r>
          <w:r>
            <w:rPr>
              <w:color w:val="auto"/>
              <w:highlight w:val="none"/>
            </w:rPr>
            <w:fldChar w:fldCharType="begin"/>
          </w:r>
          <w:r>
            <w:rPr>
              <w:color w:val="auto"/>
              <w:highlight w:val="none"/>
            </w:rPr>
            <w:instrText xml:space="preserve"> PAGEREF _Toc1759 \h </w:instrText>
          </w:r>
          <w:r>
            <w:rPr>
              <w:color w:val="auto"/>
              <w:highlight w:val="none"/>
            </w:rPr>
            <w:fldChar w:fldCharType="separate"/>
          </w:r>
          <w:r>
            <w:rPr>
              <w:color w:val="auto"/>
              <w:highlight w:val="none"/>
            </w:rPr>
            <w:t>25</w:t>
          </w:r>
          <w:r>
            <w:rPr>
              <w:color w:val="auto"/>
              <w:highlight w:val="none"/>
            </w:rPr>
            <w:fldChar w:fldCharType="end"/>
          </w:r>
          <w:r>
            <w:rPr>
              <w:rFonts w:hint="eastAsia" w:ascii="仿宋_GB2312" w:eastAsia="仿宋_GB2312"/>
              <w:color w:val="auto"/>
              <w:szCs w:val="32"/>
              <w:highlight w:val="none"/>
            </w:rPr>
            <w:fldChar w:fldCharType="end"/>
          </w:r>
        </w:p>
        <w:p w14:paraId="5FC98F1D">
          <w:pPr>
            <w:pStyle w:val="20"/>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_Toc5955 </w:instrText>
          </w:r>
          <w:r>
            <w:rPr>
              <w:rFonts w:hint="eastAsia" w:ascii="仿宋_GB2312" w:eastAsia="仿宋_GB2312"/>
              <w:color w:val="auto"/>
              <w:szCs w:val="32"/>
              <w:highlight w:val="none"/>
            </w:rPr>
            <w:fldChar w:fldCharType="separate"/>
          </w:r>
          <w:r>
            <w:rPr>
              <w:rFonts w:hint="eastAsia" w:ascii="宋体" w:hAnsi="宋体" w:cs="宋体"/>
              <w:bCs/>
              <w:color w:val="auto"/>
              <w:szCs w:val="30"/>
              <w:highlight w:val="none"/>
            </w:rPr>
            <w:t>第四章 响应性文件内容及格式</w:t>
          </w:r>
          <w:r>
            <w:rPr>
              <w:color w:val="auto"/>
              <w:highlight w:val="none"/>
            </w:rPr>
            <w:tab/>
          </w:r>
          <w:r>
            <w:rPr>
              <w:color w:val="auto"/>
              <w:highlight w:val="none"/>
            </w:rPr>
            <w:fldChar w:fldCharType="begin"/>
          </w:r>
          <w:r>
            <w:rPr>
              <w:color w:val="auto"/>
              <w:highlight w:val="none"/>
            </w:rPr>
            <w:instrText xml:space="preserve"> PAGEREF _Toc5955 \h </w:instrText>
          </w:r>
          <w:r>
            <w:rPr>
              <w:color w:val="auto"/>
              <w:highlight w:val="none"/>
            </w:rPr>
            <w:fldChar w:fldCharType="separate"/>
          </w:r>
          <w:r>
            <w:rPr>
              <w:color w:val="auto"/>
              <w:highlight w:val="none"/>
            </w:rPr>
            <w:t>28</w:t>
          </w:r>
          <w:r>
            <w:rPr>
              <w:color w:val="auto"/>
              <w:highlight w:val="none"/>
            </w:rPr>
            <w:fldChar w:fldCharType="end"/>
          </w:r>
          <w:r>
            <w:rPr>
              <w:rFonts w:hint="eastAsia" w:ascii="仿宋_GB2312" w:eastAsia="仿宋_GB2312"/>
              <w:color w:val="auto"/>
              <w:szCs w:val="32"/>
              <w:highlight w:val="none"/>
            </w:rPr>
            <w:fldChar w:fldCharType="end"/>
          </w:r>
        </w:p>
        <w:p w14:paraId="6ECB107D">
          <w:pPr>
            <w:pStyle w:val="20"/>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color w:val="auto"/>
              <w:highlight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\l _Toc17821 </w:instrText>
          </w:r>
          <w:r>
            <w:rPr>
              <w:rFonts w:hint="eastAsia" w:ascii="仿宋_GB2312" w:eastAsia="仿宋_GB2312"/>
              <w:color w:val="auto"/>
              <w:szCs w:val="32"/>
              <w:highlight w:val="none"/>
            </w:rPr>
            <w:fldChar w:fldCharType="separate"/>
          </w:r>
          <w:r>
            <w:rPr>
              <w:rFonts w:hint="eastAsia" w:ascii="宋体" w:hAnsi="宋体" w:cs="宋体"/>
              <w:bCs w:val="0"/>
              <w:color w:val="auto"/>
              <w:szCs w:val="32"/>
              <w:highlight w:val="none"/>
            </w:rPr>
            <w:t xml:space="preserve">第五章 </w:t>
          </w:r>
          <w:r>
            <w:rPr>
              <w:rFonts w:hint="eastAsia" w:ascii="宋体" w:hAnsi="宋体" w:eastAsia="宋体" w:cs="宋体"/>
              <w:bCs w:val="0"/>
              <w:color w:val="auto"/>
              <w:w w:val="92"/>
              <w:szCs w:val="32"/>
              <w:highlight w:val="none"/>
              <w:lang w:val="en-US"/>
            </w:rPr>
            <w:t>周口市</w:t>
          </w:r>
          <w:r>
            <w:rPr>
              <w:rFonts w:hint="eastAsia" w:ascii="宋体" w:hAnsi="宋体" w:eastAsia="宋体" w:cs="宋体"/>
              <w:bCs w:val="0"/>
              <w:color w:val="auto"/>
              <w:szCs w:val="32"/>
              <w:highlight w:val="none"/>
              <w:lang w:val="en-US"/>
            </w:rPr>
            <w:t>政府采购合同（服务类）标准文本</w:t>
          </w:r>
          <w:r>
            <w:rPr>
              <w:color w:val="auto"/>
              <w:highlight w:val="none"/>
            </w:rPr>
            <w:tab/>
          </w:r>
          <w:r>
            <w:rPr>
              <w:color w:val="auto"/>
              <w:highlight w:val="none"/>
            </w:rPr>
            <w:fldChar w:fldCharType="begin"/>
          </w:r>
          <w:r>
            <w:rPr>
              <w:color w:val="auto"/>
              <w:highlight w:val="none"/>
            </w:rPr>
            <w:instrText xml:space="preserve"> PAGEREF _Toc17821 \h </w:instrText>
          </w:r>
          <w:r>
            <w:rPr>
              <w:color w:val="auto"/>
              <w:highlight w:val="none"/>
            </w:rPr>
            <w:fldChar w:fldCharType="separate"/>
          </w:r>
          <w:r>
            <w:rPr>
              <w:color w:val="auto"/>
              <w:highlight w:val="none"/>
            </w:rPr>
            <w:t>41</w:t>
          </w:r>
          <w:r>
            <w:rPr>
              <w:color w:val="auto"/>
              <w:highlight w:val="none"/>
            </w:rPr>
            <w:fldChar w:fldCharType="end"/>
          </w:r>
          <w:r>
            <w:rPr>
              <w:rFonts w:hint="eastAsia" w:ascii="仿宋_GB2312" w:eastAsia="仿宋_GB2312"/>
              <w:color w:val="auto"/>
              <w:szCs w:val="32"/>
              <w:highlight w:val="none"/>
            </w:rPr>
            <w:fldChar w:fldCharType="end"/>
          </w:r>
        </w:p>
        <w:p w14:paraId="024C9D41">
          <w:pPr>
            <w:bidi w:val="0"/>
            <w:rPr>
              <w:rFonts w:hint="eastAsia"/>
              <w:color w:val="auto"/>
              <w:highlight w:val="none"/>
              <w:lang w:val="en-US" w:eastAsia="zh-CN"/>
            </w:rPr>
          </w:pPr>
          <w:r>
            <w:rPr>
              <w:rFonts w:hint="eastAsia"/>
              <w:color w:val="auto"/>
              <w:highlight w:val="none"/>
            </w:rPr>
            <w:fldChar w:fldCharType="end"/>
          </w:r>
        </w:p>
      </w:sdtContent>
    </w:sdt>
    <w:p w14:paraId="45FA35E9">
      <w:pPr>
        <w:bidi w:val="0"/>
        <w:rPr>
          <w:rFonts w:hint="eastAsia"/>
          <w:color w:val="auto"/>
          <w:highlight w:val="none"/>
        </w:rPr>
      </w:pPr>
    </w:p>
    <w:p w14:paraId="0F33ECD1">
      <w:pPr>
        <w:keepNext w:val="0"/>
        <w:keepLines w:val="0"/>
        <w:pageBreakBefore w:val="0"/>
        <w:kinsoku/>
        <w:wordWrap/>
        <w:overflowPunct/>
        <w:topLinePunct w:val="0"/>
        <w:bidi w:val="0"/>
        <w:adjustRightInd/>
        <w:spacing w:line="520" w:lineRule="exact"/>
        <w:jc w:val="center"/>
        <w:textAlignment w:val="auto"/>
        <w:outlineLvl w:val="0"/>
        <w:rPr>
          <w:rFonts w:ascii="宋体" w:hAnsi="宋体" w:cs="宋体"/>
          <w:b/>
          <w:color w:val="auto"/>
          <w:sz w:val="32"/>
          <w:szCs w:val="32"/>
          <w:highlight w:val="none"/>
        </w:rPr>
      </w:pPr>
      <w:r>
        <w:rPr>
          <w:rFonts w:hint="eastAsia" w:ascii="仿宋_GB2312" w:eastAsia="仿宋_GB2312"/>
          <w:b/>
          <w:color w:val="auto"/>
          <w:sz w:val="32"/>
          <w:szCs w:val="32"/>
          <w:highlight w:val="none"/>
        </w:rPr>
        <w:br w:type="page"/>
      </w:r>
      <w:bookmarkStart w:id="0" w:name="_Toc29265"/>
      <w:r>
        <w:rPr>
          <w:rFonts w:hint="eastAsia" w:ascii="宋体" w:hAnsi="宋体" w:cs="宋体"/>
          <w:b/>
          <w:color w:val="auto"/>
          <w:sz w:val="32"/>
          <w:szCs w:val="32"/>
          <w:highlight w:val="none"/>
        </w:rPr>
        <w:t>第一章 竞争性磋商邀请函</w:t>
      </w:r>
      <w:bookmarkEnd w:id="0"/>
    </w:p>
    <w:p w14:paraId="0657AE29">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项目概况</w:t>
      </w:r>
    </w:p>
    <w:p w14:paraId="521B529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auto"/>
          <w:sz w:val="24"/>
          <w:szCs w:val="24"/>
          <w:highlight w:val="none"/>
          <w:lang w:val="en-US" w:eastAsia="zh-CN"/>
        </w:rPr>
        <w:t>扶沟县水利局洪水影响、水土保持区域评估服务项目(项目名称)项目的潜在投标人应在周口市公共资源交易中心网（http://jyzx.zhoukou.gov.cn）获取招标文件，并于</w:t>
      </w:r>
      <w:r>
        <w:rPr>
          <w:rFonts w:hint="eastAsia" w:ascii="宋体" w:hAnsi="宋体" w:cs="宋体"/>
          <w:i w:val="0"/>
          <w:iCs w:val="0"/>
          <w:color w:val="auto"/>
          <w:sz w:val="24"/>
          <w:szCs w:val="24"/>
          <w:highlight w:val="none"/>
          <w:lang w:val="en-US" w:eastAsia="zh-CN"/>
        </w:rPr>
        <w:t>2025</w:t>
      </w:r>
      <w:r>
        <w:rPr>
          <w:rFonts w:hint="eastAsia" w:ascii="宋体" w:hAnsi="宋体" w:eastAsia="宋体" w:cs="宋体"/>
          <w:i w:val="0"/>
          <w:iCs w:val="0"/>
          <w:color w:val="auto"/>
          <w:sz w:val="24"/>
          <w:szCs w:val="24"/>
          <w:highlight w:val="none"/>
          <w:lang w:val="en-US" w:eastAsia="zh-CN"/>
        </w:rPr>
        <w:t>年</w:t>
      </w:r>
      <w:r>
        <w:rPr>
          <w:rFonts w:hint="eastAsia" w:ascii="宋体" w:hAnsi="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日</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点</w:t>
      </w:r>
      <w:r>
        <w:rPr>
          <w:rFonts w:hint="eastAsia" w:ascii="宋体" w:hAnsi="宋体" w:cs="宋体"/>
          <w:i w:val="0"/>
          <w:iCs w:val="0"/>
          <w:color w:val="auto"/>
          <w:sz w:val="24"/>
          <w:szCs w:val="24"/>
          <w:highlight w:val="none"/>
          <w:lang w:val="en-US" w:eastAsia="zh-CN"/>
        </w:rPr>
        <w:t>00</w:t>
      </w:r>
      <w:r>
        <w:rPr>
          <w:rFonts w:hint="eastAsia" w:ascii="宋体" w:hAnsi="宋体" w:eastAsia="宋体" w:cs="宋体"/>
          <w:i w:val="0"/>
          <w:iCs w:val="0"/>
          <w:color w:val="auto"/>
          <w:sz w:val="24"/>
          <w:szCs w:val="24"/>
          <w:highlight w:val="none"/>
          <w:lang w:val="en-US" w:eastAsia="zh-CN"/>
        </w:rPr>
        <w:t>分（北京时间）前递交投标文件。</w:t>
      </w:r>
    </w:p>
    <w:p w14:paraId="52E6BEA5">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bookmarkStart w:id="1" w:name="_Toc35393798"/>
      <w:bookmarkStart w:id="2" w:name="_Toc35393629"/>
      <w:bookmarkStart w:id="3" w:name="_Toc28359012"/>
      <w:bookmarkStart w:id="4" w:name="_Toc28359089"/>
      <w:r>
        <w:rPr>
          <w:rFonts w:hint="eastAsia" w:asciiTheme="minorEastAsia" w:hAnsiTheme="minorEastAsia" w:eastAsiaTheme="minorEastAsia" w:cstheme="minorEastAsia"/>
          <w:b w:val="0"/>
          <w:color w:val="auto"/>
          <w:sz w:val="24"/>
          <w:szCs w:val="24"/>
          <w:highlight w:val="none"/>
        </w:rPr>
        <w:t>一、项目基本情况</w:t>
      </w:r>
      <w:bookmarkEnd w:id="1"/>
      <w:bookmarkEnd w:id="2"/>
      <w:bookmarkEnd w:id="3"/>
      <w:bookmarkEnd w:id="4"/>
    </w:p>
    <w:p w14:paraId="76CE021C">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扶财磋商采购-2025-33</w:t>
      </w:r>
    </w:p>
    <w:p w14:paraId="455AB5C3">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rPr>
        <w:t>项目名称：</w:t>
      </w:r>
      <w:r>
        <w:rPr>
          <w:rFonts w:hint="eastAsia" w:ascii="宋体" w:hAnsi="宋体" w:eastAsia="宋体" w:cs="宋体"/>
          <w:i w:val="0"/>
          <w:iCs w:val="0"/>
          <w:color w:val="auto"/>
          <w:sz w:val="24"/>
          <w:szCs w:val="24"/>
          <w:highlight w:val="none"/>
          <w:lang w:val="en-US" w:eastAsia="zh-CN"/>
        </w:rPr>
        <w:t>扶沟县水利局洪水影响、水土保持区域评估服务项目</w:t>
      </w:r>
    </w:p>
    <w:p w14:paraId="7817CDEF">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采购方式：竞争性</w:t>
      </w:r>
      <w:r>
        <w:rPr>
          <w:rFonts w:hint="eastAsia" w:asciiTheme="minorEastAsia" w:hAnsiTheme="minorEastAsia" w:eastAsiaTheme="minorEastAsia" w:cstheme="minorEastAsia"/>
          <w:i w:val="0"/>
          <w:iCs w:val="0"/>
          <w:color w:val="auto"/>
          <w:sz w:val="24"/>
          <w:szCs w:val="24"/>
          <w:highlight w:val="none"/>
          <w:lang w:val="en-US" w:eastAsia="zh-CN"/>
        </w:rPr>
        <w:t>磋商</w:t>
      </w:r>
    </w:p>
    <w:p w14:paraId="1380C25D">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预算金额：</w:t>
      </w:r>
      <w:r>
        <w:rPr>
          <w:rFonts w:hint="eastAsia" w:asciiTheme="minorEastAsia" w:hAnsiTheme="minorEastAsia" w:eastAsiaTheme="minorEastAsia" w:cstheme="minorEastAsia"/>
          <w:i w:val="0"/>
          <w:iCs w:val="0"/>
          <w:color w:val="auto"/>
          <w:sz w:val="24"/>
          <w:szCs w:val="24"/>
          <w:highlight w:val="none"/>
          <w:lang w:val="en-US" w:eastAsia="zh-CN"/>
        </w:rPr>
        <w:t>1100000.00元</w:t>
      </w:r>
    </w:p>
    <w:p w14:paraId="3792D69D">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default" w:asciiTheme="minorEastAsia" w:hAnsiTheme="minorEastAsia" w:eastAsiaTheme="minorEastAsia" w:cstheme="minorEastAsia"/>
          <w:i w:val="0"/>
          <w:iCs w:val="0"/>
          <w:color w:val="auto"/>
          <w:sz w:val="24"/>
          <w:szCs w:val="24"/>
          <w:highlight w:val="none"/>
          <w:lang w:val="en-US"/>
        </w:rPr>
      </w:pPr>
      <w:r>
        <w:rPr>
          <w:rFonts w:hint="eastAsia" w:asciiTheme="minorEastAsia" w:hAnsiTheme="minorEastAsia" w:eastAsiaTheme="minorEastAsia" w:cstheme="minorEastAsia"/>
          <w:i w:val="0"/>
          <w:iCs w:val="0"/>
          <w:color w:val="auto"/>
          <w:sz w:val="24"/>
          <w:szCs w:val="24"/>
          <w:highlight w:val="none"/>
        </w:rPr>
        <w:t>最高限价：</w:t>
      </w:r>
      <w:r>
        <w:rPr>
          <w:rFonts w:hint="eastAsia" w:asciiTheme="minorEastAsia" w:hAnsiTheme="minorEastAsia" w:eastAsiaTheme="minorEastAsia" w:cstheme="minorEastAsia"/>
          <w:i w:val="0"/>
          <w:iCs w:val="0"/>
          <w:color w:val="auto"/>
          <w:sz w:val="24"/>
          <w:szCs w:val="24"/>
          <w:highlight w:val="none"/>
          <w:lang w:val="en-US" w:eastAsia="zh-CN"/>
        </w:rPr>
        <w:t>1100000.00元</w:t>
      </w:r>
    </w:p>
    <w:p w14:paraId="747A1BDF">
      <w:pPr>
        <w:pStyle w:val="25"/>
        <w:keepNext w:val="0"/>
        <w:keepLines w:val="0"/>
        <w:pageBreakBefore w:val="0"/>
        <w:kinsoku/>
        <w:wordWrap/>
        <w:overflowPunct/>
        <w:topLinePunct w:val="0"/>
        <w:bidi w:val="0"/>
        <w:adjustRightInd/>
        <w:snapToGrid w:val="0"/>
        <w:spacing w:before="0" w:beforeAutospacing="0" w:after="0" w:afterAutospacing="0" w:line="520" w:lineRule="exact"/>
        <w:ind w:firstLine="480"/>
        <w:jc w:val="both"/>
        <w:textAlignment w:val="auto"/>
        <w:outlineLvl w:val="9"/>
        <w:rPr>
          <w:rFonts w:hint="eastAsia" w:eastAsia="宋体" w:cs="宋体"/>
          <w:color w:val="auto"/>
          <w:highlight w:val="none"/>
          <w:lang w:val="en-US" w:eastAsia="zh-CN"/>
        </w:rPr>
      </w:pPr>
      <w:r>
        <w:rPr>
          <w:rFonts w:hint="eastAsia" w:cs="宋体"/>
          <w:color w:val="auto"/>
          <w:highlight w:val="none"/>
          <w:lang w:val="en-US" w:eastAsia="zh-CN"/>
        </w:rPr>
        <w:t>包</w:t>
      </w:r>
      <w:r>
        <w:rPr>
          <w:rFonts w:hint="eastAsia" w:cs="宋体"/>
          <w:color w:val="auto"/>
          <w:highlight w:val="none"/>
        </w:rPr>
        <w:t>划分：</w:t>
      </w:r>
      <w:r>
        <w:rPr>
          <w:rFonts w:hint="eastAsia" w:cs="宋体"/>
          <w:color w:val="auto"/>
          <w:highlight w:val="none"/>
          <w:lang w:val="en-US" w:eastAsia="zh-CN"/>
        </w:rPr>
        <w:t>1</w:t>
      </w:r>
      <w:r>
        <w:rPr>
          <w:rFonts w:hint="eastAsia" w:cs="宋体"/>
          <w:color w:val="auto"/>
          <w:highlight w:val="none"/>
        </w:rPr>
        <w:t>个</w:t>
      </w:r>
      <w:r>
        <w:rPr>
          <w:rFonts w:hint="eastAsia" w:cs="宋体"/>
          <w:color w:val="auto"/>
          <w:highlight w:val="none"/>
          <w:lang w:val="en-US" w:eastAsia="zh-CN"/>
        </w:rPr>
        <w:t>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3584"/>
        <w:gridCol w:w="2893"/>
      </w:tblGrid>
      <w:tr w14:paraId="247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46" w:type="dxa"/>
            <w:vAlign w:val="center"/>
          </w:tcPr>
          <w:p w14:paraId="06BF155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3584" w:type="dxa"/>
            <w:vAlign w:val="center"/>
          </w:tcPr>
          <w:p w14:paraId="3DC0784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包名称</w:t>
            </w:r>
          </w:p>
        </w:tc>
        <w:tc>
          <w:tcPr>
            <w:tcW w:w="2893" w:type="dxa"/>
            <w:vAlign w:val="center"/>
          </w:tcPr>
          <w:p w14:paraId="57727855">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包最高限价万元</w:t>
            </w:r>
          </w:p>
        </w:tc>
      </w:tr>
      <w:tr w14:paraId="178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46" w:type="dxa"/>
            <w:vAlign w:val="center"/>
          </w:tcPr>
          <w:p w14:paraId="65789D2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c>
          <w:tcPr>
            <w:tcW w:w="3584" w:type="dxa"/>
            <w:vAlign w:val="center"/>
          </w:tcPr>
          <w:p w14:paraId="645A0F9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扶沟县水利局洪水影响、水土保持区域评估服务项目</w:t>
            </w:r>
          </w:p>
        </w:tc>
        <w:tc>
          <w:tcPr>
            <w:tcW w:w="2893" w:type="dxa"/>
            <w:vAlign w:val="center"/>
          </w:tcPr>
          <w:p w14:paraId="28C8B10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1100000.00</w:t>
            </w:r>
          </w:p>
        </w:tc>
      </w:tr>
    </w:tbl>
    <w:p w14:paraId="6C1D5830">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采购需求：（包括但不限于标的的名称、数量、简要技术需求或服务要求等）</w:t>
      </w:r>
    </w:p>
    <w:p w14:paraId="4CE5B8CE">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合同履行期限：</w:t>
      </w:r>
      <w:r>
        <w:rPr>
          <w:rFonts w:hint="eastAsia" w:asciiTheme="minorEastAsia" w:hAnsiTheme="minorEastAsia" w:eastAsiaTheme="minorEastAsia" w:cstheme="minorEastAsia"/>
          <w:i w:val="0"/>
          <w:iCs w:val="0"/>
          <w:color w:val="auto"/>
          <w:sz w:val="24"/>
          <w:szCs w:val="24"/>
          <w:highlight w:val="none"/>
          <w:lang w:val="en-US" w:eastAsia="zh-CN"/>
        </w:rPr>
        <w:t>自合同签订之日起30日历天</w:t>
      </w:r>
    </w:p>
    <w:p w14:paraId="5548B9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lang w:val="en-US" w:eastAsia="zh-CN"/>
        </w:rPr>
      </w:pPr>
      <w:bookmarkStart w:id="5" w:name="_Toc28359090"/>
      <w:bookmarkStart w:id="6" w:name="_Toc35393630"/>
      <w:bookmarkStart w:id="7" w:name="_Toc35393799"/>
      <w:bookmarkStart w:id="8" w:name="_Toc28359013"/>
      <w:r>
        <w:rPr>
          <w:rFonts w:hint="eastAsia" w:ascii="宋体" w:hAnsi="宋体" w:eastAsia="宋体" w:cs="宋体"/>
          <w:i w:val="0"/>
          <w:iCs w:val="0"/>
          <w:color w:val="auto"/>
          <w:sz w:val="24"/>
          <w:szCs w:val="24"/>
          <w:highlight w:val="none"/>
        </w:rPr>
        <w:t>是否接受进口产品：否</w:t>
      </w:r>
    </w:p>
    <w:p w14:paraId="40686E5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本项目是否接受联合体投标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否</w:t>
      </w:r>
    </w:p>
    <w:p w14:paraId="32072CB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本项目</w:t>
      </w:r>
      <w:r>
        <w:rPr>
          <w:rFonts w:hint="eastAsia" w:ascii="宋体" w:hAnsi="宋体" w:eastAsia="宋体" w:cs="宋体"/>
          <w:i w:val="0"/>
          <w:iCs w:val="0"/>
          <w:color w:val="auto"/>
          <w:sz w:val="24"/>
          <w:szCs w:val="24"/>
          <w:highlight w:val="none"/>
          <w:lang w:val="en-US" w:eastAsia="zh-CN"/>
        </w:rPr>
        <w:t>是否为只面向中小企业采购：</w:t>
      </w:r>
      <w:r>
        <w:rPr>
          <w:rFonts w:hint="eastAsia" w:ascii="宋体" w:hAnsi="宋体" w:eastAsia="宋体" w:cs="宋体"/>
          <w:i w:val="0"/>
          <w:iCs w:val="0"/>
          <w:color w:val="auto"/>
          <w:sz w:val="24"/>
          <w:szCs w:val="24"/>
          <w:highlight w:val="none"/>
        </w:rPr>
        <w:t>是</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采购预留金额</w:t>
      </w:r>
      <w:r>
        <w:rPr>
          <w:rFonts w:hint="eastAsia" w:ascii="宋体" w:hAnsi="宋体" w:cs="宋体"/>
          <w:i w:val="0"/>
          <w:iCs w:val="0"/>
          <w:color w:val="auto"/>
          <w:sz w:val="24"/>
          <w:szCs w:val="24"/>
          <w:highlight w:val="none"/>
          <w:lang w:val="en-US" w:eastAsia="zh-CN"/>
        </w:rPr>
        <w:t>1100000.00</w:t>
      </w:r>
      <w:r>
        <w:rPr>
          <w:rFonts w:hint="eastAsia" w:ascii="宋体" w:hAnsi="宋体" w:eastAsia="宋体" w:cs="宋体"/>
          <w:i w:val="0"/>
          <w:iCs w:val="0"/>
          <w:color w:val="auto"/>
          <w:sz w:val="24"/>
          <w:szCs w:val="24"/>
          <w:highlight w:val="none"/>
          <w:lang w:val="en-US" w:eastAsia="zh-CN"/>
        </w:rPr>
        <w:t>万元）必须提供中小企业声明函。</w:t>
      </w:r>
      <w:bookmarkStart w:id="53" w:name="_GoBack"/>
      <w:bookmarkEnd w:id="53"/>
    </w:p>
    <w:p w14:paraId="4861EEF1">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二、申请人的资格要求：</w:t>
      </w:r>
      <w:bookmarkEnd w:id="5"/>
      <w:bookmarkEnd w:id="6"/>
      <w:bookmarkEnd w:id="7"/>
      <w:bookmarkEnd w:id="8"/>
    </w:p>
    <w:p w14:paraId="669D976E">
      <w:pPr>
        <w:keepNext w:val="0"/>
        <w:keepLines w:val="0"/>
        <w:pageBreakBefore w:val="0"/>
        <w:widowControl w:val="0"/>
        <w:kinsoku/>
        <w:wordWrap/>
        <w:overflowPunct/>
        <w:topLinePunct w:val="0"/>
        <w:autoSpaceDE w:val="0"/>
        <w:autoSpaceDN w:val="0"/>
        <w:bidi w:val="0"/>
        <w:adjustRightInd/>
        <w:snapToGrid/>
        <w:spacing w:line="520" w:lineRule="exact"/>
        <w:ind w:firstLine="540"/>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1.满足《中华人民共和国政府采购法》第二十二条规定；</w:t>
      </w:r>
    </w:p>
    <w:p w14:paraId="6CCAB877">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color w:val="auto"/>
          <w:sz w:val="24"/>
          <w:highlight w:val="none"/>
        </w:rPr>
      </w:pPr>
      <w:r>
        <w:rPr>
          <w:rFonts w:hint="eastAsia"/>
          <w:color w:val="auto"/>
          <w:sz w:val="24"/>
          <w:highlight w:val="none"/>
        </w:rPr>
        <w:t>（1）具有独立承担民事责任的能力；</w:t>
      </w:r>
    </w:p>
    <w:p w14:paraId="7C4625E4">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color w:val="auto"/>
          <w:sz w:val="24"/>
          <w:highlight w:val="none"/>
        </w:rPr>
      </w:pPr>
      <w:r>
        <w:rPr>
          <w:rFonts w:hint="eastAsia"/>
          <w:color w:val="auto"/>
          <w:sz w:val="24"/>
          <w:highlight w:val="none"/>
        </w:rPr>
        <w:t>（2）具有良好的商业信誉和健全的财务会计制度；</w:t>
      </w:r>
    </w:p>
    <w:p w14:paraId="54043148">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color w:val="auto"/>
          <w:sz w:val="24"/>
          <w:highlight w:val="none"/>
        </w:rPr>
      </w:pPr>
      <w:r>
        <w:rPr>
          <w:rFonts w:hint="eastAsia"/>
          <w:color w:val="auto"/>
          <w:sz w:val="24"/>
          <w:highlight w:val="none"/>
        </w:rPr>
        <w:t>（3）具有履行合同所必需的设备和专业技术能力；</w:t>
      </w:r>
    </w:p>
    <w:p w14:paraId="158181F7">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color w:val="auto"/>
          <w:sz w:val="24"/>
          <w:highlight w:val="none"/>
        </w:rPr>
      </w:pPr>
      <w:r>
        <w:rPr>
          <w:rFonts w:hint="eastAsia"/>
          <w:color w:val="auto"/>
          <w:sz w:val="24"/>
          <w:highlight w:val="none"/>
        </w:rPr>
        <w:t>（4）有依法缴纳税收和社会保障资金的良好记录；</w:t>
      </w:r>
    </w:p>
    <w:p w14:paraId="72FD9149">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color w:val="auto"/>
          <w:sz w:val="24"/>
          <w:highlight w:val="none"/>
        </w:rPr>
      </w:pPr>
      <w:r>
        <w:rPr>
          <w:rFonts w:hint="eastAsia"/>
          <w:color w:val="auto"/>
          <w:sz w:val="24"/>
          <w:highlight w:val="none"/>
        </w:rPr>
        <w:t>（5）参加政府采购活动前三年内，在经营活动中没有重大违法记录；</w:t>
      </w:r>
    </w:p>
    <w:p w14:paraId="0BBDD1DA">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outlineLvl w:val="9"/>
        <w:rPr>
          <w:rFonts w:hint="eastAsia"/>
          <w:color w:val="auto"/>
          <w:highlight w:val="none"/>
        </w:rPr>
      </w:pPr>
      <w:r>
        <w:rPr>
          <w:rFonts w:hint="eastAsia"/>
          <w:color w:val="auto"/>
          <w:sz w:val="24"/>
          <w:highlight w:val="none"/>
        </w:rPr>
        <w:t>（6）法律、行政法规规定的其他条件。</w:t>
      </w:r>
    </w:p>
    <w:p w14:paraId="468FBFEC">
      <w:pPr>
        <w:keepNext w:val="0"/>
        <w:keepLines w:val="0"/>
        <w:pageBreakBefore w:val="0"/>
        <w:widowControl w:val="0"/>
        <w:kinsoku/>
        <w:wordWrap/>
        <w:overflowPunct/>
        <w:topLinePunct w:val="0"/>
        <w:autoSpaceDE w:val="0"/>
        <w:autoSpaceDN w:val="0"/>
        <w:bidi w:val="0"/>
        <w:adjustRightInd/>
        <w:snapToGrid/>
        <w:spacing w:line="520" w:lineRule="exact"/>
        <w:ind w:firstLine="540"/>
        <w:textAlignment w:val="auto"/>
        <w:outlineLvl w:val="9"/>
        <w:rPr>
          <w:rFonts w:hint="eastAsia" w:asciiTheme="minorEastAsia" w:hAnsiTheme="minorEastAsia" w:eastAsiaTheme="minorEastAsia" w:cstheme="minorEastAsia"/>
          <w:i w:val="0"/>
          <w:iCs w:val="0"/>
          <w:color w:val="auto"/>
          <w:sz w:val="24"/>
          <w:szCs w:val="24"/>
          <w:highlight w:val="none"/>
        </w:rPr>
      </w:pPr>
      <w:bookmarkStart w:id="9" w:name="_Toc28359014"/>
      <w:bookmarkStart w:id="10" w:name="_Toc28359091"/>
      <w:r>
        <w:rPr>
          <w:rFonts w:hint="eastAsia" w:asciiTheme="minorEastAsia" w:hAnsiTheme="minorEastAsia" w:eastAsiaTheme="minorEastAsia" w:cstheme="minorEastAsia"/>
          <w:i w:val="0"/>
          <w:iCs w:val="0"/>
          <w:color w:val="auto"/>
          <w:sz w:val="24"/>
          <w:szCs w:val="24"/>
          <w:highlight w:val="none"/>
        </w:rPr>
        <w:t>2.落实政府采购政策需满足的资格要求：促进中小企业和监狱企业发展扶持政策、政府强制采购节能产品强制采购、节能产品及环境标志产品优先采购、促进残疾人就业政府采购政策。</w:t>
      </w:r>
    </w:p>
    <w:p w14:paraId="684F466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3.本项目的特定资格要求：</w:t>
      </w:r>
    </w:p>
    <w:p w14:paraId="08C309C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HYPERLINK "http://www.creditchina.gov.cn/"</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www.creditchina.gov.cn</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重大税收违法失信主体</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失信被执行人</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和“中国政府采购”网站(</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HYPERLINK "http://www.ccgp.gov.cn/"</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www.ccgp.gov.cn</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)的“政府采购严重违法失信行为记录名单”的供应商，将拒绝其参加政府采购活动；在标书中附加盖公章的供应商及</w:t>
      </w:r>
      <w:r>
        <w:rPr>
          <w:rFonts w:hint="eastAsia" w:ascii="宋体" w:hAnsi="宋体" w:eastAsia="宋体" w:cs="宋体"/>
          <w:i w:val="0"/>
          <w:iCs w:val="0"/>
          <w:color w:val="auto"/>
          <w:sz w:val="24"/>
          <w:szCs w:val="24"/>
          <w:highlight w:val="none"/>
          <w:lang w:val="en-US" w:eastAsia="zh-CN"/>
        </w:rPr>
        <w:t>其</w:t>
      </w:r>
      <w:r>
        <w:rPr>
          <w:rFonts w:hint="eastAsia" w:ascii="宋体" w:hAnsi="宋体" w:eastAsia="宋体" w:cs="宋体"/>
          <w:i w:val="0"/>
          <w:iCs w:val="0"/>
          <w:color w:val="auto"/>
          <w:sz w:val="24"/>
          <w:szCs w:val="24"/>
          <w:highlight w:val="none"/>
        </w:rPr>
        <w:t>法定代表人网页查询扫描件，查询日期为公告发布之日起至投标截止之日止。</w:t>
      </w:r>
    </w:p>
    <w:p w14:paraId="74C3404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color w:val="auto"/>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拟派项目负责人具有水利相关专业中级或以上技术职称证书。</w:t>
      </w:r>
    </w:p>
    <w:p w14:paraId="023422A4">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bookmarkStart w:id="11" w:name="_Toc35393800"/>
      <w:bookmarkStart w:id="12" w:name="_Toc35393631"/>
      <w:r>
        <w:rPr>
          <w:rFonts w:hint="eastAsia" w:asciiTheme="minorEastAsia" w:hAnsiTheme="minorEastAsia" w:eastAsiaTheme="minorEastAsia" w:cstheme="minorEastAsia"/>
          <w:b w:val="0"/>
          <w:color w:val="auto"/>
          <w:sz w:val="24"/>
          <w:szCs w:val="24"/>
          <w:highlight w:val="none"/>
        </w:rPr>
        <w:t>三、获取采购文件</w:t>
      </w:r>
      <w:bookmarkEnd w:id="9"/>
      <w:bookmarkEnd w:id="10"/>
      <w:bookmarkEnd w:id="11"/>
      <w:bookmarkEnd w:id="12"/>
    </w:p>
    <w:p w14:paraId="60C9E7AF">
      <w:pPr>
        <w:keepNext w:val="0"/>
        <w:keepLines w:val="0"/>
        <w:pageBreakBefore w:val="0"/>
        <w:widowControl w:val="0"/>
        <w:kinsoku/>
        <w:wordWrap/>
        <w:overflowPunct/>
        <w:topLinePunct w:val="0"/>
        <w:autoSpaceDE w:val="0"/>
        <w:autoSpaceDN w:val="0"/>
        <w:bidi w:val="0"/>
        <w:adjustRightInd/>
        <w:snapToGrid/>
        <w:spacing w:line="520" w:lineRule="exact"/>
        <w:ind w:firstLine="540"/>
        <w:textAlignment w:val="auto"/>
        <w:outlineLvl w:val="9"/>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8</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27</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9</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3</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（北京时间，法定节假日除外 ）</w:t>
      </w:r>
    </w:p>
    <w:p w14:paraId="19892A8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地点：周口市公共资源交易</w:t>
      </w:r>
      <w:r>
        <w:rPr>
          <w:rFonts w:hint="eastAsia" w:ascii="宋体" w:hAnsi="宋体" w:eastAsia="宋体" w:cs="宋体"/>
          <w:i w:val="0"/>
          <w:iCs w:val="0"/>
          <w:color w:val="auto"/>
          <w:sz w:val="24"/>
          <w:szCs w:val="24"/>
          <w:highlight w:val="none"/>
          <w:lang w:eastAsia="zh-CN"/>
        </w:rPr>
        <w:t>中心网</w:t>
      </w:r>
      <w:r>
        <w:rPr>
          <w:rFonts w:hint="eastAsia" w:ascii="宋体" w:hAnsi="宋体" w:eastAsia="宋体" w:cs="宋体"/>
          <w:i w:val="0"/>
          <w:iCs w:val="0"/>
          <w:color w:val="auto"/>
          <w:sz w:val="24"/>
          <w:szCs w:val="24"/>
          <w:highlight w:val="none"/>
        </w:rPr>
        <w:t>（http://jyzx.zhoukou.gov.cn）</w:t>
      </w:r>
    </w:p>
    <w:p w14:paraId="015EB4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方式：供应商</w:t>
      </w:r>
      <w:r>
        <w:rPr>
          <w:rFonts w:hint="eastAsia" w:ascii="宋体" w:hAnsi="宋体" w:eastAsia="宋体" w:cs="宋体"/>
          <w:i w:val="0"/>
          <w:iCs w:val="0"/>
          <w:color w:val="auto"/>
          <w:sz w:val="24"/>
          <w:szCs w:val="24"/>
          <w:highlight w:val="none"/>
          <w:lang w:val="en-US" w:eastAsia="zh-CN"/>
        </w:rPr>
        <w:t>请在网站自主注册后</w:t>
      </w:r>
      <w:r>
        <w:rPr>
          <w:rFonts w:hint="eastAsia" w:ascii="宋体" w:hAnsi="宋体" w:eastAsia="宋体" w:cs="宋体"/>
          <w:i w:val="0"/>
          <w:iCs w:val="0"/>
          <w:color w:val="auto"/>
          <w:sz w:val="24"/>
          <w:szCs w:val="24"/>
          <w:highlight w:val="none"/>
        </w:rPr>
        <w:t>下载采购文件（zkzf格式）及资料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需</w:t>
      </w:r>
      <w:r>
        <w:rPr>
          <w:rFonts w:hint="eastAsia" w:ascii="宋体" w:hAnsi="宋体" w:eastAsia="宋体" w:cs="宋体"/>
          <w:i w:val="0"/>
          <w:iCs w:val="0"/>
          <w:color w:val="auto"/>
          <w:sz w:val="24"/>
          <w:szCs w:val="24"/>
          <w:highlight w:val="none"/>
          <w:lang w:val="en-US" w:eastAsia="zh-CN"/>
        </w:rPr>
        <w:t>办理</w:t>
      </w:r>
      <w:r>
        <w:rPr>
          <w:rFonts w:hint="eastAsia" w:ascii="宋体" w:hAnsi="宋体" w:eastAsia="宋体" w:cs="宋体"/>
          <w:i w:val="0"/>
          <w:iCs w:val="0"/>
          <w:color w:val="auto"/>
          <w:sz w:val="24"/>
          <w:szCs w:val="24"/>
          <w:highlight w:val="none"/>
        </w:rPr>
        <w:t>CA数字证书</w:t>
      </w:r>
      <w:r>
        <w:rPr>
          <w:rFonts w:hint="eastAsia" w:ascii="宋体" w:hAnsi="宋体" w:eastAsia="宋体" w:cs="宋体"/>
          <w:i w:val="0"/>
          <w:iCs w:val="0"/>
          <w:color w:val="auto"/>
          <w:sz w:val="24"/>
          <w:szCs w:val="24"/>
          <w:highlight w:val="none"/>
          <w:lang w:val="en-US" w:eastAsia="zh-CN"/>
        </w:rPr>
        <w:t>后方可提交响应文件</w:t>
      </w:r>
      <w:r>
        <w:rPr>
          <w:rFonts w:hint="eastAsia" w:ascii="宋体" w:hAnsi="宋体" w:eastAsia="宋体" w:cs="宋体"/>
          <w:i w:val="0"/>
          <w:iCs w:val="0"/>
          <w:color w:val="auto"/>
          <w:sz w:val="24"/>
          <w:szCs w:val="24"/>
          <w:highlight w:val="none"/>
        </w:rPr>
        <w:t>，具体办理事宜请查阅周口市公共资源</w:t>
      </w:r>
      <w:r>
        <w:rPr>
          <w:rFonts w:hint="eastAsia" w:ascii="宋体" w:hAnsi="宋体" w:eastAsia="宋体" w:cs="宋体"/>
          <w:i w:val="0"/>
          <w:iCs w:val="0"/>
          <w:color w:val="auto"/>
          <w:sz w:val="24"/>
          <w:szCs w:val="24"/>
          <w:highlight w:val="none"/>
          <w:lang w:eastAsia="zh-CN"/>
        </w:rPr>
        <w:t>交易中心</w:t>
      </w:r>
      <w:r>
        <w:rPr>
          <w:rFonts w:hint="eastAsia" w:ascii="宋体" w:hAnsi="宋体" w:eastAsia="宋体" w:cs="宋体"/>
          <w:i w:val="0"/>
          <w:iCs w:val="0"/>
          <w:color w:val="auto"/>
          <w:sz w:val="24"/>
          <w:szCs w:val="24"/>
          <w:highlight w:val="none"/>
        </w:rPr>
        <w:t>网站。</w:t>
      </w:r>
    </w:p>
    <w:p w14:paraId="2D464A68">
      <w:pPr>
        <w:keepNext w:val="0"/>
        <w:keepLines w:val="0"/>
        <w:pageBreakBefore w:val="0"/>
        <w:widowControl w:val="0"/>
        <w:kinsoku/>
        <w:wordWrap/>
        <w:overflowPunct/>
        <w:topLinePunct w:val="0"/>
        <w:autoSpaceDE w:val="0"/>
        <w:autoSpaceDN w:val="0"/>
        <w:bidi w:val="0"/>
        <w:adjustRightInd/>
        <w:snapToGrid/>
        <w:spacing w:line="520" w:lineRule="exact"/>
        <w:ind w:firstLine="540"/>
        <w:textAlignment w:val="auto"/>
        <w:outlineLvl w:val="9"/>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售价：</w:t>
      </w:r>
      <w:r>
        <w:rPr>
          <w:rFonts w:hint="eastAsia" w:asciiTheme="minorEastAsia" w:hAnsiTheme="minorEastAsia" w:eastAsiaTheme="minorEastAsia" w:cstheme="minorEastAsia"/>
          <w:i w:val="0"/>
          <w:iCs w:val="0"/>
          <w:color w:val="auto"/>
          <w:sz w:val="24"/>
          <w:szCs w:val="24"/>
          <w:highlight w:val="none"/>
          <w:lang w:val="en-US" w:eastAsia="zh-CN"/>
        </w:rPr>
        <w:t>0</w:t>
      </w:r>
    </w:p>
    <w:p w14:paraId="5A232379">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bookmarkStart w:id="13" w:name="_Toc28359015"/>
      <w:bookmarkStart w:id="14" w:name="_Toc28359092"/>
      <w:bookmarkStart w:id="15" w:name="_Toc35393632"/>
      <w:bookmarkStart w:id="16" w:name="_Toc35393801"/>
      <w:r>
        <w:rPr>
          <w:rFonts w:hint="eastAsia" w:asciiTheme="minorEastAsia" w:hAnsiTheme="minorEastAsia" w:eastAsiaTheme="minorEastAsia" w:cstheme="minorEastAsia"/>
          <w:b w:val="0"/>
          <w:color w:val="auto"/>
          <w:sz w:val="24"/>
          <w:szCs w:val="24"/>
          <w:highlight w:val="none"/>
        </w:rPr>
        <w:t>四、响应文件提交</w:t>
      </w:r>
      <w:bookmarkEnd w:id="13"/>
      <w:bookmarkEnd w:id="14"/>
      <w:bookmarkEnd w:id="15"/>
      <w:bookmarkEnd w:id="16"/>
    </w:p>
    <w:p w14:paraId="33966BBC">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rPr>
        <w:t>截止时间：</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bCs/>
          <w:i w:val="0"/>
          <w:iCs w:val="0"/>
          <w:color w:val="auto"/>
          <w:sz w:val="24"/>
          <w:szCs w:val="24"/>
          <w:highlight w:val="none"/>
          <w:u w:val="single"/>
        </w:rPr>
        <w:t>年</w:t>
      </w:r>
      <w:r>
        <w:rPr>
          <w:rFonts w:hint="eastAsia" w:asciiTheme="minorEastAsia" w:hAnsiTheme="minorEastAsia" w:eastAsiaTheme="minorEastAsia" w:cstheme="minorEastAsia"/>
          <w:bCs/>
          <w:i w:val="0"/>
          <w:iCs w:val="0"/>
          <w:color w:val="auto"/>
          <w:sz w:val="24"/>
          <w:szCs w:val="24"/>
          <w:highlight w:val="none"/>
          <w:u w:val="single"/>
          <w:lang w:val="en-US" w:eastAsia="zh-CN"/>
        </w:rPr>
        <w:t>9</w:t>
      </w:r>
      <w:r>
        <w:rPr>
          <w:rFonts w:hint="eastAsia" w:asciiTheme="minorEastAsia" w:hAnsiTheme="minorEastAsia" w:eastAsiaTheme="minorEastAsia" w:cstheme="minorEastAsia"/>
          <w:bCs/>
          <w:i w:val="0"/>
          <w:iCs w:val="0"/>
          <w:color w:val="auto"/>
          <w:sz w:val="24"/>
          <w:szCs w:val="24"/>
          <w:highlight w:val="none"/>
          <w:u w:val="single"/>
        </w:rPr>
        <w:t>月</w:t>
      </w:r>
      <w:r>
        <w:rPr>
          <w:rFonts w:hint="eastAsia" w:asciiTheme="minorEastAsia" w:hAnsiTheme="minorEastAsia" w:eastAsiaTheme="minorEastAsia" w:cstheme="minorEastAsia"/>
          <w:bCs/>
          <w:i w:val="0"/>
          <w:iCs w:val="0"/>
          <w:color w:val="auto"/>
          <w:sz w:val="24"/>
          <w:szCs w:val="24"/>
          <w:highlight w:val="none"/>
          <w:u w:val="single"/>
          <w:lang w:val="en-US" w:eastAsia="zh-CN"/>
        </w:rPr>
        <w:t>8</w:t>
      </w:r>
      <w:r>
        <w:rPr>
          <w:rFonts w:hint="eastAsia" w:asciiTheme="minorEastAsia" w:hAnsiTheme="minorEastAsia" w:eastAsiaTheme="minorEastAsia" w:cstheme="minorEastAsia"/>
          <w:bCs/>
          <w:i w:val="0"/>
          <w:iCs w:val="0"/>
          <w:color w:val="auto"/>
          <w:sz w:val="24"/>
          <w:szCs w:val="24"/>
          <w:highlight w:val="none"/>
          <w:u w:val="single"/>
        </w:rPr>
        <w:t>日</w:t>
      </w:r>
      <w:r>
        <w:rPr>
          <w:rFonts w:hint="eastAsia" w:asciiTheme="minorEastAsia" w:hAnsiTheme="minorEastAsia" w:eastAsiaTheme="minorEastAsia" w:cstheme="minorEastAsia"/>
          <w:bCs/>
          <w:i w:val="0"/>
          <w:iCs w:val="0"/>
          <w:color w:val="auto"/>
          <w:sz w:val="24"/>
          <w:szCs w:val="24"/>
          <w:highlight w:val="none"/>
          <w:u w:val="single"/>
          <w:lang w:val="en-US" w:eastAsia="zh-CN"/>
        </w:rPr>
        <w:t>10</w:t>
      </w:r>
      <w:r>
        <w:rPr>
          <w:rFonts w:hint="eastAsia" w:asciiTheme="minorEastAsia" w:hAnsiTheme="minorEastAsia" w:eastAsiaTheme="minorEastAsia" w:cstheme="minorEastAsia"/>
          <w:bCs/>
          <w:i w:val="0"/>
          <w:iCs w:val="0"/>
          <w:color w:val="auto"/>
          <w:sz w:val="24"/>
          <w:szCs w:val="24"/>
          <w:highlight w:val="none"/>
          <w:u w:val="single"/>
        </w:rPr>
        <w:t>点</w:t>
      </w:r>
      <w:r>
        <w:rPr>
          <w:rFonts w:hint="eastAsia" w:asciiTheme="minorEastAsia" w:hAnsiTheme="minorEastAsia" w:eastAsiaTheme="minorEastAsia" w:cstheme="minorEastAsia"/>
          <w:bCs/>
          <w:i w:val="0"/>
          <w:iCs w:val="0"/>
          <w:color w:val="auto"/>
          <w:sz w:val="24"/>
          <w:szCs w:val="24"/>
          <w:highlight w:val="none"/>
          <w:u w:val="single"/>
          <w:lang w:val="en-US" w:eastAsia="zh-CN"/>
        </w:rPr>
        <w:t>00</w:t>
      </w:r>
      <w:r>
        <w:rPr>
          <w:rFonts w:hint="eastAsia" w:asciiTheme="minorEastAsia" w:hAnsiTheme="minorEastAsia" w:eastAsiaTheme="minorEastAsia" w:cstheme="minorEastAsia"/>
          <w:bCs/>
          <w:i w:val="0"/>
          <w:iCs w:val="0"/>
          <w:color w:val="auto"/>
          <w:sz w:val="24"/>
          <w:szCs w:val="24"/>
          <w:highlight w:val="none"/>
          <w:u w:val="single"/>
        </w:rPr>
        <w:t>分</w:t>
      </w:r>
      <w:r>
        <w:rPr>
          <w:rFonts w:hint="eastAsia" w:asciiTheme="minorEastAsia" w:hAnsiTheme="minorEastAsia" w:eastAsiaTheme="minorEastAsia" w:cstheme="minorEastAsia"/>
          <w:bCs/>
          <w:i w:val="0"/>
          <w:iCs w:val="0"/>
          <w:color w:val="auto"/>
          <w:sz w:val="24"/>
          <w:szCs w:val="24"/>
          <w:highlight w:val="none"/>
        </w:rPr>
        <w:t>（北京时间）</w:t>
      </w:r>
    </w:p>
    <w:p w14:paraId="6E14C6F4">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highlight w:val="none"/>
        </w:rPr>
        <w:t>周口市公共资源交易中心网</w:t>
      </w:r>
      <w:r>
        <w:rPr>
          <w:rFonts w:hint="eastAsia" w:asciiTheme="minorEastAsia" w:hAnsiTheme="minorEastAsia" w:eastAsiaTheme="minorEastAsia" w:cstheme="minorEastAsia"/>
          <w:i w:val="0"/>
          <w:iCs w:val="0"/>
          <w:color w:val="auto"/>
          <w:sz w:val="24"/>
          <w:szCs w:val="24"/>
          <w:highlight w:val="none"/>
        </w:rPr>
        <w:t>（网址</w:t>
      </w:r>
      <w:r>
        <w:rPr>
          <w:rFonts w:hint="eastAsia" w:asciiTheme="minorEastAsia" w:hAnsiTheme="minorEastAsia" w:eastAsiaTheme="minorEastAsia" w:cstheme="minorEastAsia"/>
          <w:i w:val="0"/>
          <w:iCs w:val="0"/>
          <w:color w:val="auto"/>
          <w:kern w:val="2"/>
          <w:sz w:val="24"/>
          <w:szCs w:val="24"/>
          <w:highlight w:val="none"/>
        </w:rPr>
        <w:t>http://jyzx.zhoukou.gov.cn</w:t>
      </w:r>
      <w:r>
        <w:rPr>
          <w:rFonts w:hint="eastAsia" w:asciiTheme="minorEastAsia" w:hAnsiTheme="minorEastAsia" w:eastAsiaTheme="minorEastAsia" w:cstheme="minorEastAsia"/>
          <w:i w:val="0"/>
          <w:iCs w:val="0"/>
          <w:color w:val="auto"/>
          <w:sz w:val="24"/>
          <w:szCs w:val="24"/>
          <w:highlight w:val="none"/>
        </w:rPr>
        <w:t>）。</w:t>
      </w:r>
    </w:p>
    <w:p w14:paraId="05C9223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i w:val="0"/>
          <w:iCs w:val="0"/>
          <w:color w:val="auto"/>
          <w:sz w:val="24"/>
          <w:szCs w:val="24"/>
          <w:highlight w:val="none"/>
        </w:rPr>
      </w:pPr>
      <w:bookmarkStart w:id="17" w:name="_Toc35393633"/>
      <w:bookmarkStart w:id="18" w:name="_Toc28359093"/>
      <w:bookmarkStart w:id="19" w:name="_Toc35393802"/>
      <w:bookmarkStart w:id="20" w:name="_Toc28359016"/>
      <w:r>
        <w:rPr>
          <w:rFonts w:hint="eastAsia" w:asciiTheme="minorEastAsia" w:hAnsiTheme="minorEastAsia" w:eastAsiaTheme="minorEastAsia" w:cstheme="minorEastAsia"/>
          <w:b w:val="0"/>
          <w:i w:val="0"/>
          <w:iCs w:val="0"/>
          <w:color w:val="auto"/>
          <w:sz w:val="24"/>
          <w:szCs w:val="24"/>
          <w:highlight w:val="none"/>
        </w:rPr>
        <w:t>五、开启（竞争性磋商方式必须填写）</w:t>
      </w:r>
      <w:bookmarkEnd w:id="17"/>
      <w:bookmarkEnd w:id="18"/>
      <w:bookmarkEnd w:id="19"/>
      <w:bookmarkEnd w:id="20"/>
    </w:p>
    <w:p w14:paraId="6C402AFD">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stheme="minorEastAsia"/>
          <w:bCs/>
          <w:color w:val="auto"/>
          <w:sz w:val="24"/>
          <w:szCs w:val="24"/>
          <w:highlight w:val="none"/>
        </w:rPr>
        <w:t>（北京时间）</w:t>
      </w:r>
    </w:p>
    <w:p w14:paraId="044DC168">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left"/>
        <w:textAlignment w:val="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s="宋体"/>
          <w:i w:val="0"/>
          <w:iCs w:val="0"/>
          <w:color w:val="auto"/>
          <w:sz w:val="24"/>
          <w:szCs w:val="24"/>
          <w:highlight w:val="none"/>
        </w:rPr>
        <w:t>周口市公共资源</w:t>
      </w:r>
      <w:r>
        <w:rPr>
          <w:rFonts w:hint="eastAsia" w:ascii="宋体" w:hAnsi="宋体" w:eastAsia="宋体" w:cs="宋体"/>
          <w:i w:val="0"/>
          <w:iCs w:val="0"/>
          <w:color w:val="auto"/>
          <w:sz w:val="24"/>
          <w:szCs w:val="24"/>
          <w:highlight w:val="none"/>
          <w:lang w:eastAsia="zh-CN"/>
        </w:rPr>
        <w:t>交易中心</w:t>
      </w:r>
      <w:r>
        <w:rPr>
          <w:rFonts w:hint="eastAsia" w:ascii="宋体" w:hAnsi="宋体" w:eastAsia="宋体" w:cs="宋体"/>
          <w:i w:val="0"/>
          <w:iCs w:val="0"/>
          <w:color w:val="auto"/>
          <w:sz w:val="24"/>
          <w:szCs w:val="24"/>
          <w:highlight w:val="none"/>
          <w:lang w:val="en-US" w:eastAsia="zh-CN"/>
        </w:rPr>
        <w:t>开标室</w:t>
      </w:r>
    </w:p>
    <w:p w14:paraId="4D27C357">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bookmarkStart w:id="21" w:name="_Toc35393803"/>
      <w:bookmarkStart w:id="22" w:name="_Toc35393634"/>
      <w:bookmarkStart w:id="23" w:name="_Toc28359094"/>
      <w:bookmarkStart w:id="24" w:name="_Toc28359017"/>
      <w:r>
        <w:rPr>
          <w:rFonts w:hint="eastAsia" w:asciiTheme="minorEastAsia" w:hAnsiTheme="minorEastAsia" w:eastAsiaTheme="minorEastAsia" w:cstheme="minorEastAsia"/>
          <w:b w:val="0"/>
          <w:color w:val="auto"/>
          <w:sz w:val="24"/>
          <w:szCs w:val="24"/>
          <w:highlight w:val="none"/>
        </w:rPr>
        <w:t>六、公告期限</w:t>
      </w:r>
      <w:bookmarkEnd w:id="21"/>
      <w:bookmarkEnd w:id="22"/>
      <w:bookmarkEnd w:id="23"/>
      <w:bookmarkEnd w:id="24"/>
    </w:p>
    <w:p w14:paraId="38CE5590">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自本公告发布之日起3个工作日。</w:t>
      </w:r>
    </w:p>
    <w:p w14:paraId="17367A85">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color w:val="auto"/>
          <w:sz w:val="24"/>
          <w:szCs w:val="24"/>
          <w:highlight w:val="none"/>
        </w:rPr>
      </w:pPr>
      <w:bookmarkStart w:id="25" w:name="_Toc35393804"/>
      <w:bookmarkStart w:id="26" w:name="_Toc35393635"/>
      <w:r>
        <w:rPr>
          <w:rFonts w:hint="eastAsia" w:asciiTheme="minorEastAsia" w:hAnsiTheme="minorEastAsia" w:eastAsiaTheme="minorEastAsia" w:cstheme="minorEastAsia"/>
          <w:b w:val="0"/>
          <w:color w:val="auto"/>
          <w:sz w:val="24"/>
          <w:szCs w:val="24"/>
          <w:highlight w:val="none"/>
        </w:rPr>
        <w:t>七、其他补充事宜</w:t>
      </w:r>
      <w:bookmarkEnd w:id="25"/>
      <w:bookmarkEnd w:id="26"/>
    </w:p>
    <w:p w14:paraId="361B3F66">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Theme="minorEastAsia" w:hAnsiTheme="minorEastAsia" w:eastAsiaTheme="minorEastAsia" w:cstheme="minorEastAsia"/>
          <w:b w:val="0"/>
          <w:color w:val="auto"/>
          <w:sz w:val="24"/>
          <w:szCs w:val="24"/>
          <w:highlight w:val="none"/>
        </w:rPr>
      </w:pPr>
      <w:bookmarkStart w:id="27" w:name="_Toc35393636"/>
      <w:bookmarkStart w:id="28" w:name="_Toc28359095"/>
      <w:bookmarkStart w:id="29" w:name="_Toc28359018"/>
      <w:bookmarkStart w:id="30" w:name="_Toc35393805"/>
      <w:r>
        <w:rPr>
          <w:rFonts w:hint="eastAsia" w:asciiTheme="minorEastAsia" w:hAnsiTheme="minorEastAsia" w:eastAsiaTheme="minorEastAsia" w:cstheme="minorEastAsia"/>
          <w:b w:val="0"/>
          <w:color w:val="auto"/>
          <w:sz w:val="24"/>
          <w:szCs w:val="24"/>
          <w:highlight w:val="none"/>
        </w:rPr>
        <w:t>八、凡对本次采购提出询问，请按以下方式联系。</w:t>
      </w:r>
      <w:bookmarkEnd w:id="27"/>
      <w:bookmarkEnd w:id="28"/>
      <w:bookmarkEnd w:id="29"/>
      <w:bookmarkEnd w:id="30"/>
    </w:p>
    <w:p w14:paraId="2013019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14:paraId="7D7AD8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w:t>
      </w:r>
      <w:r>
        <w:rPr>
          <w:rFonts w:hint="eastAsia" w:ascii="宋体" w:hAnsi="宋体" w:eastAsia="宋体" w:cs="宋体"/>
          <w:i w:val="0"/>
          <w:iCs w:val="0"/>
          <w:color w:val="auto"/>
          <w:sz w:val="24"/>
          <w:szCs w:val="24"/>
          <w:highlight w:val="none"/>
          <w:lang w:val="en-US" w:eastAsia="zh-CN"/>
        </w:rPr>
        <w:t>扶沟县水利局</w:t>
      </w:r>
    </w:p>
    <w:p w14:paraId="4E2E68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地址：</w:t>
      </w:r>
      <w:r>
        <w:rPr>
          <w:rFonts w:hint="eastAsia" w:ascii="宋体" w:hAnsi="宋体" w:cs="宋体"/>
          <w:i w:val="0"/>
          <w:iCs w:val="0"/>
          <w:color w:val="auto"/>
          <w:sz w:val="24"/>
          <w:szCs w:val="24"/>
          <w:highlight w:val="none"/>
          <w:lang w:val="en-US" w:eastAsia="zh-CN"/>
        </w:rPr>
        <w:t>扶沟县</w:t>
      </w:r>
    </w:p>
    <w:p w14:paraId="5CB6C51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项目联系人：马飞翔</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联系方式：</w:t>
      </w:r>
      <w:bookmarkStart w:id="31" w:name="_Toc28359086"/>
      <w:bookmarkStart w:id="32" w:name="_Toc28359009"/>
      <w:r>
        <w:rPr>
          <w:rFonts w:hint="eastAsia" w:ascii="宋体" w:hAnsi="宋体" w:eastAsia="宋体" w:cs="宋体"/>
          <w:i w:val="0"/>
          <w:iCs w:val="0"/>
          <w:color w:val="auto"/>
          <w:sz w:val="24"/>
          <w:szCs w:val="24"/>
          <w:highlight w:val="none"/>
        </w:rPr>
        <w:t>1569O816268</w:t>
      </w:r>
    </w:p>
    <w:p w14:paraId="1F48826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31"/>
      <w:bookmarkEnd w:id="32"/>
    </w:p>
    <w:p w14:paraId="1290E0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称：周口市公共资源交易中心政府采购中心</w:t>
      </w:r>
    </w:p>
    <w:p w14:paraId="1D75299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址：周口市光明路与政通路交叉口</w:t>
      </w:r>
      <w:r>
        <w:rPr>
          <w:rFonts w:hint="eastAsia" w:ascii="宋体" w:hAnsi="宋体" w:eastAsia="宋体" w:cs="宋体"/>
          <w:i w:val="0"/>
          <w:iCs w:val="0"/>
          <w:color w:val="auto"/>
          <w:sz w:val="24"/>
          <w:szCs w:val="24"/>
          <w:highlight w:val="none"/>
          <w:lang w:val="en-US" w:eastAsia="zh-CN"/>
        </w:rPr>
        <w:t>向北100米路东</w:t>
      </w:r>
    </w:p>
    <w:p w14:paraId="6907C6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项目联系人：</w:t>
      </w:r>
      <w:r>
        <w:rPr>
          <w:rFonts w:hint="eastAsia" w:ascii="宋体" w:hAnsi="宋体" w:cs="宋体"/>
          <w:i w:val="0"/>
          <w:iCs w:val="0"/>
          <w:color w:val="auto"/>
          <w:sz w:val="24"/>
          <w:szCs w:val="24"/>
          <w:highlight w:val="none"/>
          <w:lang w:val="en-US" w:eastAsia="zh-CN"/>
        </w:rPr>
        <w:t>王硕</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联系方式：</w:t>
      </w:r>
      <w:bookmarkStart w:id="33" w:name="_Toc28359087"/>
      <w:bookmarkStart w:id="34" w:name="_Toc28359010"/>
      <w:r>
        <w:rPr>
          <w:rFonts w:hint="eastAsia" w:ascii="宋体" w:hAnsi="宋体" w:cs="宋体"/>
          <w:i w:val="0"/>
          <w:iCs w:val="0"/>
          <w:color w:val="auto"/>
          <w:sz w:val="24"/>
          <w:szCs w:val="24"/>
          <w:highlight w:val="none"/>
          <w:lang w:val="en-US" w:eastAsia="zh-CN"/>
        </w:rPr>
        <w:t>0394-8106517、13525741688</w:t>
      </w:r>
    </w:p>
    <w:bookmarkEnd w:id="33"/>
    <w:bookmarkEnd w:id="34"/>
    <w:p w14:paraId="7491737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3.监督单位：扶沟县财政局</w:t>
      </w:r>
    </w:p>
    <w:p w14:paraId="346D2AFB">
      <w:pPr>
        <w:pStyle w:val="36"/>
        <w:keepNext w:val="0"/>
        <w:keepLines w:val="0"/>
        <w:pageBreakBefore w:val="0"/>
        <w:widowControl w:val="0"/>
        <w:kinsoku/>
        <w:wordWrap/>
        <w:overflowPunct/>
        <w:topLinePunct w:val="0"/>
        <w:bidi w:val="0"/>
        <w:spacing w:line="520" w:lineRule="exact"/>
        <w:ind w:firstLine="720" w:firstLineChars="300"/>
        <w:textAlignment w:val="auto"/>
        <w:outlineLvl w:val="9"/>
        <w:rPr>
          <w:rFonts w:hint="default"/>
          <w:color w:val="auto"/>
          <w:highlight w:val="none"/>
          <w:lang w:val="en-US" w:eastAsia="zh-CN"/>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lang w:val="en-US" w:eastAsia="zh-CN"/>
        </w:rPr>
        <w:t>0394-6234634</w:t>
      </w:r>
    </w:p>
    <w:p w14:paraId="25A5B72F">
      <w:pPr>
        <w:pStyle w:val="36"/>
        <w:keepNext w:val="0"/>
        <w:keepLines w:val="0"/>
        <w:pageBreakBefore w:val="0"/>
        <w:widowControl w:val="0"/>
        <w:numPr>
          <w:ilvl w:val="0"/>
          <w:numId w:val="0"/>
        </w:numPr>
        <w:kinsoku/>
        <w:wordWrap/>
        <w:overflowPunct/>
        <w:topLinePunct w:val="0"/>
        <w:bidi w:val="0"/>
        <w:spacing w:line="520" w:lineRule="exact"/>
        <w:textAlignment w:val="auto"/>
        <w:outlineLvl w:val="9"/>
        <w:rPr>
          <w:rFonts w:hint="default"/>
          <w:color w:val="auto"/>
          <w:highlight w:val="none"/>
          <w:lang w:val="en-US" w:eastAsia="zh-CN"/>
        </w:rPr>
      </w:pPr>
    </w:p>
    <w:p w14:paraId="58B7FDD5">
      <w:pPr>
        <w:pStyle w:val="9"/>
        <w:keepNext w:val="0"/>
        <w:keepLines w:val="0"/>
        <w:pageBreakBefore w:val="0"/>
        <w:widowControl w:val="0"/>
        <w:kinsoku/>
        <w:wordWrap/>
        <w:overflowPunct/>
        <w:topLinePunct w:val="0"/>
        <w:bidi w:val="0"/>
        <w:adjustRightInd w:val="0"/>
        <w:snapToGrid w:val="0"/>
        <w:spacing w:line="520" w:lineRule="exact"/>
        <w:ind w:firstLine="2040" w:firstLineChars="850"/>
        <w:textAlignment w:val="auto"/>
        <w:outlineLvl w:val="9"/>
        <w:rPr>
          <w:rFonts w:hint="eastAsia" w:ascii="宋体" w:hAnsi="宋体" w:eastAsia="宋体" w:cs="宋体"/>
          <w:color w:val="auto"/>
          <w:sz w:val="24"/>
          <w:szCs w:val="24"/>
          <w:highlight w:val="none"/>
        </w:rPr>
      </w:pPr>
    </w:p>
    <w:p w14:paraId="419284AF">
      <w:pPr>
        <w:pStyle w:val="9"/>
        <w:keepNext w:val="0"/>
        <w:keepLines w:val="0"/>
        <w:pageBreakBefore w:val="0"/>
        <w:widowControl w:val="0"/>
        <w:kinsoku/>
        <w:wordWrap/>
        <w:overflowPunct/>
        <w:topLinePunct w:val="0"/>
        <w:bidi w:val="0"/>
        <w:adjustRightInd w:val="0"/>
        <w:snapToGrid w:val="0"/>
        <w:spacing w:line="520" w:lineRule="exact"/>
        <w:ind w:firstLine="2040" w:firstLineChars="850"/>
        <w:textAlignment w:val="auto"/>
        <w:outlineLvl w:val="9"/>
        <w:rPr>
          <w:rFonts w:hint="eastAsia" w:ascii="宋体" w:hAnsi="宋体" w:eastAsia="宋体" w:cs="宋体"/>
          <w:color w:val="auto"/>
          <w:sz w:val="24"/>
          <w:szCs w:val="24"/>
          <w:highlight w:val="none"/>
        </w:rPr>
      </w:pPr>
    </w:p>
    <w:p w14:paraId="10F2DCF9">
      <w:pPr>
        <w:pStyle w:val="9"/>
        <w:keepNext w:val="0"/>
        <w:keepLines w:val="0"/>
        <w:pageBreakBefore w:val="0"/>
        <w:widowControl w:val="0"/>
        <w:kinsoku/>
        <w:wordWrap/>
        <w:overflowPunct/>
        <w:topLinePunct w:val="0"/>
        <w:bidi w:val="0"/>
        <w:adjustRightInd w:val="0"/>
        <w:snapToGrid w:val="0"/>
        <w:spacing w:line="520" w:lineRule="exact"/>
        <w:ind w:firstLine="3480" w:firstLineChars="145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周口市公共资源交易中心政府采购中心</w:t>
      </w:r>
    </w:p>
    <w:p w14:paraId="78D8A57D">
      <w:pPr>
        <w:pStyle w:val="21"/>
        <w:keepNext w:val="0"/>
        <w:keepLines w:val="0"/>
        <w:pageBreakBefore w:val="0"/>
        <w:widowControl w:val="0"/>
        <w:kinsoku/>
        <w:wordWrap/>
        <w:overflowPunct/>
        <w:topLinePunct w:val="0"/>
        <w:bidi w:val="0"/>
        <w:adjustRightInd w:val="0"/>
        <w:spacing w:line="520" w:lineRule="exact"/>
        <w:ind w:firstLine="4320" w:firstLineChars="1800"/>
        <w:textAlignment w:val="auto"/>
        <w:outlineLvl w:val="9"/>
        <w:rPr>
          <w:rFonts w:hint="eastAsia" w:eastAsia="仿宋_GB2312"/>
          <w:color w:val="auto"/>
          <w:highlight w:val="none"/>
          <w:lang w:val="en-US" w:eastAsia="zh-CN"/>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p>
    <w:p w14:paraId="0FA41427">
      <w:pPr>
        <w:jc w:val="center"/>
        <w:outlineLvl w:val="0"/>
        <w:rPr>
          <w:rFonts w:ascii="宋体" w:hAnsi="宋体" w:cs="宋体"/>
          <w:b/>
          <w:color w:val="auto"/>
          <w:sz w:val="32"/>
          <w:szCs w:val="32"/>
          <w:highlight w:val="none"/>
        </w:rPr>
      </w:pPr>
      <w:r>
        <w:rPr>
          <w:rFonts w:ascii="宋体" w:hAnsi="宋体" w:cs="宋体"/>
          <w:b/>
          <w:color w:val="auto"/>
          <w:sz w:val="32"/>
          <w:szCs w:val="32"/>
          <w:highlight w:val="none"/>
        </w:rPr>
        <w:br w:type="page"/>
      </w:r>
      <w:bookmarkStart w:id="35" w:name="_Toc4395"/>
      <w:r>
        <w:rPr>
          <w:rFonts w:hint="eastAsia" w:ascii="宋体" w:hAnsi="宋体" w:cs="宋体"/>
          <w:b/>
          <w:color w:val="auto"/>
          <w:sz w:val="32"/>
          <w:szCs w:val="32"/>
          <w:highlight w:val="none"/>
        </w:rPr>
        <w:t>第二章 供应商须知</w:t>
      </w:r>
      <w:bookmarkEnd w:id="35"/>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76"/>
        <w:gridCol w:w="6834"/>
      </w:tblGrid>
      <w:tr w14:paraId="6BF2E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0442B74C">
            <w:pPr>
              <w:jc w:val="center"/>
              <w:rPr>
                <w:rFonts w:ascii="宋体" w:hAnsi="宋体"/>
                <w:color w:val="auto"/>
                <w:szCs w:val="21"/>
                <w:highlight w:val="none"/>
              </w:rPr>
            </w:pPr>
            <w:r>
              <w:rPr>
                <w:rFonts w:hint="eastAsia" w:ascii="宋体" w:hAnsi="宋体" w:cs="楷体_GB2312"/>
                <w:color w:val="auto"/>
                <w:sz w:val="32"/>
                <w:szCs w:val="32"/>
                <w:highlight w:val="none"/>
              </w:rPr>
              <w:t>供应商须知前附表</w:t>
            </w:r>
          </w:p>
        </w:tc>
      </w:tr>
      <w:tr w14:paraId="64CBF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4729C6B1">
            <w:pPr>
              <w:spacing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76" w:type="dxa"/>
            <w:vAlign w:val="center"/>
          </w:tcPr>
          <w:p w14:paraId="15ACB34C">
            <w:pPr>
              <w:spacing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834" w:type="dxa"/>
            <w:vAlign w:val="center"/>
          </w:tcPr>
          <w:p w14:paraId="07F95783">
            <w:pPr>
              <w:rPr>
                <w:rFonts w:ascii="宋体" w:hAnsi="宋体" w:cs="宋体"/>
                <w:color w:val="auto"/>
                <w:sz w:val="24"/>
                <w:highlight w:val="none"/>
              </w:rPr>
            </w:pPr>
            <w:r>
              <w:rPr>
                <w:rFonts w:hint="eastAsia" w:ascii="宋体" w:hAnsi="宋体" w:cs="宋体"/>
                <w:color w:val="auto"/>
                <w:sz w:val="24"/>
                <w:highlight w:val="none"/>
              </w:rPr>
              <w:t>内  容</w:t>
            </w:r>
          </w:p>
        </w:tc>
      </w:tr>
      <w:tr w14:paraId="6DB409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29B200D7">
            <w:pPr>
              <w:numPr>
                <w:ilvl w:val="0"/>
                <w:numId w:val="1"/>
              </w:numPr>
              <w:spacing w:beforeLines="50"/>
              <w:jc w:val="center"/>
              <w:rPr>
                <w:rFonts w:ascii="宋体" w:hAnsi="宋体" w:cs="宋体"/>
                <w:color w:val="auto"/>
                <w:sz w:val="24"/>
                <w:highlight w:val="none"/>
              </w:rPr>
            </w:pPr>
          </w:p>
        </w:tc>
        <w:tc>
          <w:tcPr>
            <w:tcW w:w="1776" w:type="dxa"/>
            <w:vAlign w:val="center"/>
          </w:tcPr>
          <w:p w14:paraId="75029A3E">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834" w:type="dxa"/>
            <w:vAlign w:val="center"/>
          </w:tcPr>
          <w:p w14:paraId="7E9C47B0">
            <w:pPr>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eastAsia="宋体" w:cs="宋体"/>
                <w:i w:val="0"/>
                <w:iCs w:val="0"/>
                <w:color w:val="auto"/>
                <w:sz w:val="24"/>
                <w:szCs w:val="24"/>
                <w:highlight w:val="none"/>
                <w:lang w:val="en-US" w:eastAsia="zh-CN"/>
              </w:rPr>
              <w:t>扶沟县水利局洪水影响、水土保持区域评估服务项目</w:t>
            </w:r>
          </w:p>
          <w:p w14:paraId="52D0AFB8">
            <w:pPr>
              <w:rPr>
                <w:rFonts w:ascii="宋体" w:hAnsi="宋体" w:cs="宋体"/>
                <w:color w:val="auto"/>
                <w:sz w:val="24"/>
                <w:highlight w:val="none"/>
              </w:rPr>
            </w:pPr>
            <w:r>
              <w:rPr>
                <w:rFonts w:hint="eastAsia" w:ascii="宋体" w:hAnsi="宋体" w:cs="宋体"/>
                <w:color w:val="auto"/>
                <w:sz w:val="24"/>
                <w:highlight w:val="none"/>
              </w:rPr>
              <w:t>采购内容：</w:t>
            </w:r>
            <w:r>
              <w:rPr>
                <w:rFonts w:hint="eastAsia" w:ascii="宋体" w:hAnsi="宋体" w:eastAsia="宋体" w:cs="宋体"/>
                <w:i w:val="0"/>
                <w:iCs w:val="0"/>
                <w:color w:val="auto"/>
                <w:sz w:val="24"/>
                <w:szCs w:val="24"/>
                <w:highlight w:val="none"/>
                <w:lang w:val="en-US" w:eastAsia="zh-CN"/>
              </w:rPr>
              <w:t>洪水影响、水土保持区域评估服务</w:t>
            </w:r>
          </w:p>
          <w:p w14:paraId="31A90907">
            <w:pPr>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eastAsia="宋体" w:cs="宋体"/>
                <w:i w:val="0"/>
                <w:iCs w:val="0"/>
                <w:color w:val="auto"/>
                <w:sz w:val="24"/>
                <w:szCs w:val="24"/>
                <w:highlight w:val="none"/>
                <w:lang w:val="en-US" w:eastAsia="zh-CN"/>
              </w:rPr>
              <w:t>扶沟县水利局</w:t>
            </w:r>
          </w:p>
          <w:p w14:paraId="254EF652">
            <w:pPr>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eastAsia="宋体" w:cs="宋体"/>
                <w:i w:val="0"/>
                <w:iCs w:val="0"/>
                <w:color w:val="auto"/>
                <w:sz w:val="24"/>
                <w:szCs w:val="24"/>
                <w:highlight w:val="none"/>
              </w:rPr>
              <w:t>周口市光明路与政通路交叉口</w:t>
            </w:r>
            <w:r>
              <w:rPr>
                <w:rFonts w:hint="eastAsia" w:ascii="宋体" w:hAnsi="宋体" w:eastAsia="宋体" w:cs="宋体"/>
                <w:i w:val="0"/>
                <w:iCs w:val="0"/>
                <w:color w:val="auto"/>
                <w:sz w:val="24"/>
                <w:szCs w:val="24"/>
                <w:highlight w:val="none"/>
                <w:lang w:val="en-US" w:eastAsia="zh-CN"/>
              </w:rPr>
              <w:t>向北100米路东</w:t>
            </w:r>
          </w:p>
        </w:tc>
      </w:tr>
      <w:tr w14:paraId="762813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19E6CF78">
            <w:pPr>
              <w:numPr>
                <w:ilvl w:val="0"/>
                <w:numId w:val="1"/>
              </w:numPr>
              <w:spacing w:beforeLines="50"/>
              <w:jc w:val="center"/>
              <w:rPr>
                <w:rFonts w:ascii="宋体" w:hAnsi="宋体" w:cs="宋体"/>
                <w:color w:val="auto"/>
                <w:sz w:val="24"/>
                <w:highlight w:val="none"/>
              </w:rPr>
            </w:pPr>
          </w:p>
        </w:tc>
        <w:tc>
          <w:tcPr>
            <w:tcW w:w="1776" w:type="dxa"/>
            <w:vAlign w:val="center"/>
          </w:tcPr>
          <w:p w14:paraId="40A7491A">
            <w:pPr>
              <w:spacing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834" w:type="dxa"/>
            <w:vAlign w:val="center"/>
          </w:tcPr>
          <w:p w14:paraId="451C68E5">
            <w:pPr>
              <w:spacing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14:paraId="4A77D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5049EE17">
            <w:pPr>
              <w:numPr>
                <w:ilvl w:val="0"/>
                <w:numId w:val="1"/>
              </w:numPr>
              <w:spacing w:beforeLines="50"/>
              <w:jc w:val="center"/>
              <w:rPr>
                <w:rFonts w:ascii="宋体" w:hAnsi="宋体" w:cs="宋体"/>
                <w:color w:val="auto"/>
                <w:sz w:val="24"/>
                <w:highlight w:val="none"/>
              </w:rPr>
            </w:pPr>
          </w:p>
        </w:tc>
        <w:tc>
          <w:tcPr>
            <w:tcW w:w="1776" w:type="dxa"/>
            <w:vAlign w:val="center"/>
          </w:tcPr>
          <w:p w14:paraId="11CB213C">
            <w:pPr>
              <w:spacing w:beforeLines="50"/>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834" w:type="dxa"/>
            <w:vAlign w:val="center"/>
          </w:tcPr>
          <w:p w14:paraId="6757C8B6">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w:t>
            </w:r>
          </w:p>
        </w:tc>
      </w:tr>
      <w:tr w14:paraId="30A64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523FC319">
            <w:pPr>
              <w:numPr>
                <w:ilvl w:val="0"/>
                <w:numId w:val="1"/>
              </w:numPr>
              <w:spacing w:beforeLines="50"/>
              <w:rPr>
                <w:rFonts w:ascii="宋体" w:hAnsi="宋体" w:cs="宋体"/>
                <w:color w:val="auto"/>
                <w:sz w:val="24"/>
                <w:highlight w:val="none"/>
              </w:rPr>
            </w:pPr>
          </w:p>
        </w:tc>
        <w:tc>
          <w:tcPr>
            <w:tcW w:w="1776" w:type="dxa"/>
            <w:vAlign w:val="center"/>
          </w:tcPr>
          <w:p w14:paraId="4832B4E8">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834" w:type="dxa"/>
            <w:vAlign w:val="center"/>
          </w:tcPr>
          <w:p w14:paraId="6EEFFCFF">
            <w:pPr>
              <w:snapToGrid w:val="0"/>
              <w:rPr>
                <w:rFonts w:ascii="宋体" w:hAnsi="宋体" w:cs="宋体"/>
                <w:color w:val="auto"/>
                <w:sz w:val="24"/>
                <w:highlight w:val="none"/>
              </w:rPr>
            </w:pPr>
            <w:r>
              <w:rPr>
                <w:rFonts w:hint="eastAsia" w:ascii="宋体" w:hAnsi="宋体" w:cs="宋体"/>
                <w:color w:val="auto"/>
                <w:sz w:val="24"/>
                <w:highlight w:val="none"/>
              </w:rPr>
              <w:t>中文</w:t>
            </w:r>
          </w:p>
        </w:tc>
      </w:tr>
      <w:tr w14:paraId="55B2D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0FACF846">
            <w:pPr>
              <w:numPr>
                <w:ilvl w:val="0"/>
                <w:numId w:val="1"/>
              </w:numPr>
              <w:spacing w:beforeLines="50"/>
              <w:rPr>
                <w:rFonts w:ascii="宋体" w:hAnsi="宋体" w:cs="宋体"/>
                <w:color w:val="auto"/>
                <w:sz w:val="24"/>
                <w:highlight w:val="none"/>
              </w:rPr>
            </w:pPr>
          </w:p>
        </w:tc>
        <w:tc>
          <w:tcPr>
            <w:tcW w:w="1776" w:type="dxa"/>
            <w:vAlign w:val="center"/>
          </w:tcPr>
          <w:p w14:paraId="5E4144F0">
            <w:pPr>
              <w:spacing w:beforeLines="50"/>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834" w:type="dxa"/>
            <w:vAlign w:val="center"/>
          </w:tcPr>
          <w:p w14:paraId="7FC715FD">
            <w:pPr>
              <w:rPr>
                <w:rFonts w:ascii="宋体" w:hAnsi="宋体" w:cs="宋体"/>
                <w:color w:val="auto"/>
                <w:sz w:val="24"/>
                <w:highlight w:val="none"/>
              </w:rPr>
            </w:pPr>
            <w:r>
              <w:rPr>
                <w:rFonts w:hint="eastAsia" w:ascii="宋体" w:hAnsi="宋体" w:cs="宋体"/>
                <w:color w:val="auto"/>
                <w:sz w:val="24"/>
                <w:highlight w:val="none"/>
              </w:rPr>
              <w:t>人民币</w:t>
            </w:r>
          </w:p>
        </w:tc>
      </w:tr>
      <w:tr w14:paraId="44E40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07EB0D21">
            <w:pPr>
              <w:numPr>
                <w:ilvl w:val="0"/>
                <w:numId w:val="1"/>
              </w:numPr>
              <w:spacing w:beforeLines="50"/>
              <w:jc w:val="center"/>
              <w:rPr>
                <w:rFonts w:ascii="宋体" w:hAnsi="宋体" w:cs="宋体"/>
                <w:color w:val="auto"/>
                <w:sz w:val="24"/>
                <w:highlight w:val="none"/>
              </w:rPr>
            </w:pPr>
          </w:p>
        </w:tc>
        <w:tc>
          <w:tcPr>
            <w:tcW w:w="1776" w:type="dxa"/>
            <w:vAlign w:val="center"/>
          </w:tcPr>
          <w:p w14:paraId="47B02F4E">
            <w:pPr>
              <w:spacing w:beforeLines="50"/>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834" w:type="dxa"/>
            <w:vAlign w:val="center"/>
          </w:tcPr>
          <w:p w14:paraId="3E747AA9">
            <w:pPr>
              <w:rPr>
                <w:rFonts w:ascii="宋体" w:hAnsi="宋体" w:cs="宋体"/>
                <w:color w:val="auto"/>
                <w:sz w:val="24"/>
                <w:highlight w:val="none"/>
              </w:rPr>
            </w:pPr>
            <w:r>
              <w:rPr>
                <w:rFonts w:hint="eastAsia" w:ascii="宋体" w:hAnsi="宋体" w:cs="宋体"/>
                <w:color w:val="auto"/>
                <w:sz w:val="24"/>
                <w:highlight w:val="none"/>
              </w:rPr>
              <w:t>报价包括本项目所招标的服务、保险、税费、验收等（采购项目技术规格、参数及要求）</w:t>
            </w:r>
          </w:p>
        </w:tc>
      </w:tr>
      <w:tr w14:paraId="7846D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5BFCF67A">
            <w:pPr>
              <w:numPr>
                <w:ilvl w:val="0"/>
                <w:numId w:val="1"/>
              </w:numPr>
              <w:spacing w:beforeLines="50"/>
              <w:jc w:val="center"/>
              <w:rPr>
                <w:rFonts w:ascii="宋体" w:hAnsi="宋体" w:cs="宋体"/>
                <w:color w:val="auto"/>
                <w:sz w:val="24"/>
                <w:highlight w:val="none"/>
              </w:rPr>
            </w:pPr>
          </w:p>
        </w:tc>
        <w:tc>
          <w:tcPr>
            <w:tcW w:w="1776" w:type="dxa"/>
            <w:vAlign w:val="center"/>
          </w:tcPr>
          <w:p w14:paraId="3821AEA2">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834" w:type="dxa"/>
            <w:vAlign w:val="center"/>
          </w:tcPr>
          <w:p w14:paraId="3AFFB2CA">
            <w:pPr>
              <w:rPr>
                <w:rFonts w:ascii="宋体" w:hAnsi="宋体" w:cs="宋体"/>
                <w:color w:val="auto"/>
                <w:sz w:val="24"/>
                <w:highlight w:val="none"/>
              </w:rPr>
            </w:pPr>
            <w:r>
              <w:rPr>
                <w:rFonts w:hint="eastAsia" w:ascii="宋体" w:hAnsi="宋体" w:cs="宋体"/>
                <w:color w:val="auto"/>
                <w:sz w:val="24"/>
                <w:highlight w:val="none"/>
              </w:rPr>
              <w:t>响应文件递交截止期后60日内有效</w:t>
            </w:r>
          </w:p>
        </w:tc>
      </w:tr>
      <w:tr w14:paraId="3FF28E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66FB9D08">
            <w:pPr>
              <w:numPr>
                <w:ilvl w:val="0"/>
                <w:numId w:val="1"/>
              </w:numPr>
              <w:spacing w:beforeLines="50"/>
              <w:jc w:val="center"/>
              <w:rPr>
                <w:rFonts w:ascii="宋体" w:hAnsi="宋体" w:cs="宋体"/>
                <w:color w:val="auto"/>
                <w:sz w:val="24"/>
                <w:highlight w:val="none"/>
              </w:rPr>
            </w:pPr>
          </w:p>
        </w:tc>
        <w:tc>
          <w:tcPr>
            <w:tcW w:w="1776" w:type="dxa"/>
            <w:vAlign w:val="center"/>
          </w:tcPr>
          <w:p w14:paraId="0C176807">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834" w:type="dxa"/>
            <w:vAlign w:val="center"/>
          </w:tcPr>
          <w:p w14:paraId="6C9B612C">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31BD3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47BF197D">
            <w:pPr>
              <w:numPr>
                <w:ilvl w:val="0"/>
                <w:numId w:val="1"/>
              </w:numPr>
              <w:spacing w:beforeLines="50"/>
              <w:jc w:val="center"/>
              <w:rPr>
                <w:rFonts w:ascii="宋体" w:hAnsi="宋体" w:cs="宋体"/>
                <w:color w:val="auto"/>
                <w:sz w:val="24"/>
                <w:highlight w:val="none"/>
              </w:rPr>
            </w:pPr>
          </w:p>
        </w:tc>
        <w:tc>
          <w:tcPr>
            <w:tcW w:w="1776" w:type="dxa"/>
            <w:vAlign w:val="center"/>
          </w:tcPr>
          <w:p w14:paraId="5FE82672">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834" w:type="dxa"/>
            <w:vAlign w:val="center"/>
          </w:tcPr>
          <w:p w14:paraId="4AD34B4F">
            <w:pPr>
              <w:tabs>
                <w:tab w:val="left" w:pos="8640"/>
              </w:tabs>
              <w:rPr>
                <w:rFonts w:hint="eastAsia" w:ascii="宋体" w:hAnsi="宋体" w:eastAsia="宋体" w:cs="宋体"/>
                <w:color w:val="auto"/>
                <w:sz w:val="24"/>
                <w:highlight w:val="none"/>
                <w:lang w:eastAsia="zh-CN"/>
              </w:rPr>
            </w:pPr>
            <w:r>
              <w:rPr>
                <w:rFonts w:hint="eastAsia" w:ascii="宋体" w:hAnsi="宋体" w:eastAsia="宋体" w:cs="宋体"/>
                <w:color w:val="auto"/>
                <w:spacing w:val="0"/>
                <w:position w:val="0"/>
                <w:sz w:val="24"/>
                <w:szCs w:val="24"/>
                <w:highlight w:val="none"/>
                <w:shd w:val="clear" w:fill="auto"/>
              </w:rPr>
              <w:t>列明项目名称、本磋商文件编号、供应商名称及地址</w:t>
            </w:r>
          </w:p>
        </w:tc>
      </w:tr>
      <w:tr w14:paraId="03936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E92A1E3">
            <w:pPr>
              <w:numPr>
                <w:ilvl w:val="0"/>
                <w:numId w:val="1"/>
              </w:numPr>
              <w:spacing w:beforeLines="50"/>
              <w:jc w:val="center"/>
              <w:rPr>
                <w:rFonts w:ascii="宋体" w:hAnsi="宋体" w:cs="宋体"/>
                <w:color w:val="auto"/>
                <w:sz w:val="24"/>
                <w:highlight w:val="none"/>
              </w:rPr>
            </w:pPr>
          </w:p>
        </w:tc>
        <w:tc>
          <w:tcPr>
            <w:tcW w:w="1776" w:type="dxa"/>
            <w:vAlign w:val="center"/>
          </w:tcPr>
          <w:p w14:paraId="184CFA40">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834" w:type="dxa"/>
            <w:vAlign w:val="center"/>
          </w:tcPr>
          <w:p w14:paraId="65AB37B5">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14:paraId="6245F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DBC8620">
            <w:pPr>
              <w:numPr>
                <w:ilvl w:val="0"/>
                <w:numId w:val="1"/>
              </w:numPr>
              <w:spacing w:beforeLines="50"/>
              <w:jc w:val="center"/>
              <w:rPr>
                <w:rFonts w:ascii="宋体" w:hAnsi="宋体" w:cs="宋体"/>
                <w:color w:val="auto"/>
                <w:sz w:val="24"/>
                <w:highlight w:val="none"/>
              </w:rPr>
            </w:pPr>
          </w:p>
        </w:tc>
        <w:tc>
          <w:tcPr>
            <w:tcW w:w="1776" w:type="dxa"/>
            <w:vAlign w:val="center"/>
          </w:tcPr>
          <w:p w14:paraId="7832AA1C">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834" w:type="dxa"/>
            <w:vAlign w:val="center"/>
          </w:tcPr>
          <w:p w14:paraId="3BD1671A">
            <w:pPr>
              <w:rPr>
                <w:rFonts w:ascii="宋体" w:hAnsi="宋体" w:cs="宋体"/>
                <w:color w:val="auto"/>
                <w:sz w:val="24"/>
                <w:highlight w:val="none"/>
              </w:rPr>
            </w:pPr>
            <w:r>
              <w:rPr>
                <w:rFonts w:hint="eastAsia" w:ascii="宋体" w:hAnsi="宋体" w:cs="宋体"/>
                <w:color w:val="auto"/>
                <w:sz w:val="24"/>
                <w:highlight w:val="none"/>
              </w:rPr>
              <w:t>无</w:t>
            </w:r>
          </w:p>
        </w:tc>
      </w:tr>
      <w:tr w14:paraId="784CF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BAD90DD">
            <w:pPr>
              <w:numPr>
                <w:ilvl w:val="0"/>
                <w:numId w:val="1"/>
              </w:numPr>
              <w:spacing w:beforeLines="50"/>
              <w:jc w:val="center"/>
              <w:rPr>
                <w:rFonts w:ascii="宋体" w:hAnsi="宋体" w:cs="宋体"/>
                <w:color w:val="auto"/>
                <w:sz w:val="24"/>
                <w:highlight w:val="none"/>
              </w:rPr>
            </w:pPr>
          </w:p>
        </w:tc>
        <w:tc>
          <w:tcPr>
            <w:tcW w:w="1776" w:type="dxa"/>
            <w:vAlign w:val="center"/>
          </w:tcPr>
          <w:p w14:paraId="49E4272E">
            <w:pPr>
              <w:spacing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834" w:type="dxa"/>
            <w:vAlign w:val="center"/>
          </w:tcPr>
          <w:p w14:paraId="26E1169F">
            <w:pPr>
              <w:rPr>
                <w:rFonts w:ascii="宋体" w:hAnsi="宋体" w:cs="宋体"/>
                <w:color w:val="auto"/>
                <w:sz w:val="24"/>
                <w:highlight w:val="none"/>
              </w:rPr>
            </w:pPr>
            <w:r>
              <w:rPr>
                <w:rFonts w:hint="eastAsia" w:ascii="宋体" w:hAnsi="宋体" w:cs="宋体"/>
                <w:color w:val="auto"/>
                <w:sz w:val="24"/>
                <w:highlight w:val="none"/>
              </w:rPr>
              <w:t>对竞争性磋商文件进行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澄清，以</w:t>
            </w:r>
            <w:r>
              <w:rPr>
                <w:rFonts w:hint="eastAsia" w:ascii="宋体" w:hAnsi="宋体" w:cs="宋体"/>
                <w:color w:val="auto"/>
                <w:sz w:val="24"/>
                <w:highlight w:val="none"/>
                <w:lang w:val="en-US" w:eastAsia="zh-CN"/>
              </w:rPr>
              <w:t>网上公告的方式</w:t>
            </w:r>
            <w:r>
              <w:rPr>
                <w:rFonts w:hint="eastAsia" w:ascii="宋体" w:hAnsi="宋体" w:cs="宋体"/>
                <w:color w:val="auto"/>
                <w:sz w:val="24"/>
                <w:highlight w:val="none"/>
              </w:rPr>
              <w:t>通知</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。澄清或修改的内容可能影响响应文件编制的，采购人、采购代理机构应当在提交响应文件截止时间至少5日前。</w:t>
            </w:r>
          </w:p>
        </w:tc>
      </w:tr>
      <w:tr w14:paraId="77467F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60710988">
            <w:pPr>
              <w:numPr>
                <w:ilvl w:val="0"/>
                <w:numId w:val="1"/>
              </w:numPr>
              <w:spacing w:beforeLines="50"/>
              <w:jc w:val="center"/>
              <w:rPr>
                <w:rFonts w:ascii="宋体" w:hAnsi="宋体" w:cs="宋体"/>
                <w:color w:val="auto"/>
                <w:sz w:val="24"/>
                <w:highlight w:val="none"/>
              </w:rPr>
            </w:pPr>
          </w:p>
        </w:tc>
        <w:tc>
          <w:tcPr>
            <w:tcW w:w="1776" w:type="dxa"/>
            <w:vAlign w:val="center"/>
          </w:tcPr>
          <w:p w14:paraId="73B5B8BE">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834" w:type="dxa"/>
            <w:vAlign w:val="center"/>
          </w:tcPr>
          <w:p w14:paraId="3FE0231D">
            <w:pPr>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年   月   日上午   （见磋商公告） </w:t>
            </w:r>
          </w:p>
        </w:tc>
      </w:tr>
      <w:tr w14:paraId="283DF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2169B41">
            <w:pPr>
              <w:numPr>
                <w:ilvl w:val="0"/>
                <w:numId w:val="1"/>
              </w:numPr>
              <w:spacing w:beforeLines="50"/>
              <w:jc w:val="center"/>
              <w:rPr>
                <w:rFonts w:ascii="宋体" w:hAnsi="宋体" w:cs="宋体"/>
                <w:color w:val="auto"/>
                <w:sz w:val="24"/>
                <w:highlight w:val="none"/>
              </w:rPr>
            </w:pPr>
          </w:p>
        </w:tc>
        <w:tc>
          <w:tcPr>
            <w:tcW w:w="1776" w:type="dxa"/>
            <w:vAlign w:val="center"/>
          </w:tcPr>
          <w:p w14:paraId="4A0771D8">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834" w:type="dxa"/>
            <w:vAlign w:val="center"/>
          </w:tcPr>
          <w:p w14:paraId="01AC215E">
            <w:pPr>
              <w:rPr>
                <w:rFonts w:hint="eastAsia" w:ascii="宋体" w:hAnsi="宋体" w:eastAsia="宋体"/>
                <w:color w:val="auto"/>
                <w:sz w:val="24"/>
                <w:highlight w:val="none"/>
                <w:lang w:val="en-US" w:eastAsia="zh-CN"/>
              </w:rPr>
            </w:pPr>
            <w:r>
              <w:rPr>
                <w:rFonts w:hint="eastAsia" w:ascii="宋体" w:hAnsi="宋体"/>
                <w:color w:val="auto"/>
                <w:sz w:val="24"/>
                <w:highlight w:val="none"/>
              </w:rPr>
              <w:t>周口市公共资源交易中心</w:t>
            </w:r>
            <w:r>
              <w:rPr>
                <w:rFonts w:hint="eastAsia" w:ascii="宋体" w:hAnsi="宋体"/>
                <w:color w:val="auto"/>
                <w:sz w:val="24"/>
                <w:highlight w:val="none"/>
                <w:lang w:val="en-US" w:eastAsia="zh-CN"/>
              </w:rPr>
              <w:t>网</w:t>
            </w:r>
          </w:p>
          <w:p w14:paraId="7912611E">
            <w:pPr>
              <w:rPr>
                <w:rFonts w:hint="eastAsia" w:ascii="宋体" w:hAnsi="宋体" w:cs="宋体" w:eastAsiaTheme="minorEastAsia"/>
                <w:color w:val="auto"/>
                <w:sz w:val="24"/>
                <w:szCs w:val="24"/>
                <w:highlight w:val="none"/>
                <w:lang w:val="en-US" w:eastAsia="zh-CN"/>
              </w:rPr>
            </w:pPr>
            <w:r>
              <w:rPr>
                <w:rFonts w:hint="eastAsia" w:ascii="宋体" w:hAnsi="宋体"/>
                <w:color w:val="auto"/>
                <w:sz w:val="24"/>
                <w:highlight w:val="none"/>
              </w:rPr>
              <w:t>网址：周口市公共资源电子交易服务平台会员系统（网址</w:t>
            </w:r>
            <w:r>
              <w:rPr>
                <w:rFonts w:hint="eastAsia" w:asciiTheme="minorEastAsia" w:hAnsiTheme="minorEastAsia" w:eastAsiaTheme="minorEastAsia"/>
                <w:color w:val="auto"/>
                <w:highlight w:val="none"/>
              </w:rPr>
              <w:t>http://jyzx.zhoukou.gov.cn</w:t>
            </w:r>
            <w:r>
              <w:rPr>
                <w:rFonts w:hint="eastAsia" w:asciiTheme="minorEastAsia" w:hAnsiTheme="minorEastAsia" w:eastAsiaTheme="minorEastAsia"/>
                <w:color w:val="auto"/>
                <w:highlight w:val="none"/>
                <w:lang w:eastAsia="zh-CN"/>
              </w:rPr>
              <w:t>）</w:t>
            </w:r>
          </w:p>
          <w:p w14:paraId="6845CA2B">
            <w:pPr>
              <w:spacing w:line="560" w:lineRule="exact"/>
              <w:rPr>
                <w:rFonts w:ascii="宋体" w:hAnsi="宋体" w:cs="宋体"/>
                <w:color w:val="auto"/>
                <w:sz w:val="24"/>
                <w:highlight w:val="none"/>
              </w:rPr>
            </w:pPr>
            <w:r>
              <w:rPr>
                <w:rFonts w:hint="eastAsia" w:ascii="宋体" w:hAnsi="宋体" w:eastAsia="宋体" w:cs="宋体"/>
                <w:color w:val="auto"/>
                <w:sz w:val="24"/>
                <w:szCs w:val="24"/>
                <w:highlight w:val="none"/>
              </w:rPr>
              <w:t>（本项目实行网上远程开标无须到现场提交响应文件）</w:t>
            </w:r>
          </w:p>
        </w:tc>
      </w:tr>
      <w:tr w14:paraId="03A41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0A5D2EE4">
            <w:pPr>
              <w:numPr>
                <w:ilvl w:val="0"/>
                <w:numId w:val="1"/>
              </w:numPr>
              <w:spacing w:beforeLines="50"/>
              <w:jc w:val="center"/>
              <w:rPr>
                <w:rFonts w:ascii="宋体" w:hAnsi="宋体" w:cs="宋体"/>
                <w:color w:val="auto"/>
                <w:sz w:val="24"/>
                <w:highlight w:val="none"/>
              </w:rPr>
            </w:pPr>
          </w:p>
        </w:tc>
        <w:tc>
          <w:tcPr>
            <w:tcW w:w="1776" w:type="dxa"/>
            <w:vAlign w:val="center"/>
          </w:tcPr>
          <w:p w14:paraId="0E4A954A">
            <w:pPr>
              <w:spacing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834" w:type="dxa"/>
            <w:vAlign w:val="center"/>
          </w:tcPr>
          <w:p w14:paraId="48FB320B">
            <w:pPr>
              <w:tabs>
                <w:tab w:val="left" w:pos="8640"/>
              </w:tabs>
              <w:ind w:left="-2" w:leftChars="-1" w:firstLine="240" w:firstLineChars="100"/>
              <w:rPr>
                <w:rFonts w:ascii="宋体" w:hAnsi="宋体" w:cs="宋体"/>
                <w:color w:val="auto"/>
                <w:sz w:val="24"/>
                <w:highlight w:val="none"/>
              </w:rPr>
            </w:pPr>
            <w:r>
              <w:rPr>
                <w:rFonts w:hint="eastAsia" w:ascii="宋体" w:hAnsi="宋体" w:cs="宋体"/>
                <w:color w:val="auto"/>
                <w:sz w:val="24"/>
                <w:highlight w:val="none"/>
              </w:rPr>
              <w:t>年   月  日上午    见磋商公告</w:t>
            </w:r>
          </w:p>
        </w:tc>
      </w:tr>
      <w:tr w14:paraId="55C66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74020BA8">
            <w:pPr>
              <w:numPr>
                <w:ilvl w:val="0"/>
                <w:numId w:val="1"/>
              </w:numPr>
              <w:spacing w:beforeLines="50"/>
              <w:jc w:val="center"/>
              <w:rPr>
                <w:rFonts w:ascii="宋体" w:hAnsi="宋体" w:cs="宋体"/>
                <w:color w:val="auto"/>
                <w:sz w:val="24"/>
                <w:highlight w:val="none"/>
              </w:rPr>
            </w:pPr>
          </w:p>
        </w:tc>
        <w:tc>
          <w:tcPr>
            <w:tcW w:w="1776" w:type="dxa"/>
            <w:vAlign w:val="center"/>
          </w:tcPr>
          <w:p w14:paraId="143F08A1">
            <w:pPr>
              <w:spacing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834" w:type="dxa"/>
            <w:vAlign w:val="center"/>
          </w:tcPr>
          <w:p w14:paraId="7A8F1675">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14:paraId="22446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154B2F8">
            <w:pPr>
              <w:numPr>
                <w:ilvl w:val="0"/>
                <w:numId w:val="1"/>
              </w:numPr>
              <w:spacing w:beforeLines="50"/>
              <w:jc w:val="center"/>
              <w:rPr>
                <w:rFonts w:ascii="宋体" w:hAnsi="宋体" w:cs="宋体"/>
                <w:color w:val="auto"/>
                <w:sz w:val="24"/>
                <w:highlight w:val="none"/>
              </w:rPr>
            </w:pPr>
          </w:p>
        </w:tc>
        <w:tc>
          <w:tcPr>
            <w:tcW w:w="1776" w:type="dxa"/>
            <w:vAlign w:val="center"/>
          </w:tcPr>
          <w:p w14:paraId="1F930899">
            <w:pPr>
              <w:spacing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834" w:type="dxa"/>
            <w:vAlign w:val="center"/>
          </w:tcPr>
          <w:p w14:paraId="0B93B619">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14:paraId="67B8F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F210735">
            <w:pPr>
              <w:numPr>
                <w:ilvl w:val="0"/>
                <w:numId w:val="1"/>
              </w:numPr>
              <w:spacing w:beforeLines="50"/>
              <w:jc w:val="center"/>
              <w:rPr>
                <w:rFonts w:ascii="宋体" w:hAnsi="宋体" w:cs="宋体"/>
                <w:color w:val="auto"/>
                <w:sz w:val="24"/>
                <w:highlight w:val="none"/>
              </w:rPr>
            </w:pPr>
          </w:p>
        </w:tc>
        <w:tc>
          <w:tcPr>
            <w:tcW w:w="1776" w:type="dxa"/>
            <w:vAlign w:val="center"/>
          </w:tcPr>
          <w:p w14:paraId="4D45D4C0">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834" w:type="dxa"/>
            <w:vAlign w:val="center"/>
          </w:tcPr>
          <w:p w14:paraId="2E019DC5">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14:paraId="6C3F6DB2">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14:paraId="52FE6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E07A907">
            <w:pPr>
              <w:numPr>
                <w:ilvl w:val="0"/>
                <w:numId w:val="1"/>
              </w:numPr>
              <w:spacing w:beforeLines="50"/>
              <w:jc w:val="center"/>
              <w:rPr>
                <w:rFonts w:ascii="宋体" w:hAnsi="宋体" w:cs="宋体"/>
                <w:color w:val="auto"/>
                <w:sz w:val="24"/>
                <w:highlight w:val="none"/>
              </w:rPr>
            </w:pPr>
          </w:p>
        </w:tc>
        <w:tc>
          <w:tcPr>
            <w:tcW w:w="1776" w:type="dxa"/>
            <w:vAlign w:val="center"/>
          </w:tcPr>
          <w:p w14:paraId="56575382">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834" w:type="dxa"/>
            <w:vAlign w:val="center"/>
          </w:tcPr>
          <w:p w14:paraId="68E89171">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14:paraId="3A00C8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BE7D0D0">
            <w:pPr>
              <w:numPr>
                <w:ilvl w:val="0"/>
                <w:numId w:val="1"/>
              </w:numPr>
              <w:spacing w:beforeLines="50"/>
              <w:jc w:val="center"/>
              <w:rPr>
                <w:rFonts w:ascii="宋体" w:hAnsi="宋体" w:cs="宋体"/>
                <w:color w:val="auto"/>
                <w:sz w:val="24"/>
                <w:highlight w:val="none"/>
              </w:rPr>
            </w:pPr>
          </w:p>
        </w:tc>
        <w:tc>
          <w:tcPr>
            <w:tcW w:w="1776" w:type="dxa"/>
            <w:vAlign w:val="center"/>
          </w:tcPr>
          <w:p w14:paraId="5506B5A8">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834" w:type="dxa"/>
            <w:vAlign w:val="center"/>
          </w:tcPr>
          <w:p w14:paraId="5B0803AC">
            <w:pPr>
              <w:jc w:val="left"/>
              <w:rPr>
                <w:rFonts w:ascii="宋体" w:hAnsi="宋体" w:cs="宋体"/>
                <w:color w:val="auto"/>
                <w:sz w:val="24"/>
                <w:highlight w:val="none"/>
              </w:rPr>
            </w:pPr>
            <w:r>
              <w:rPr>
                <w:rFonts w:hint="eastAsia" w:ascii="宋体" w:hAnsi="宋体" w:cs="宋体"/>
                <w:color w:val="auto"/>
                <w:sz w:val="24"/>
                <w:highlight w:val="none"/>
                <w:lang w:val="en-US" w:eastAsia="zh-CN"/>
              </w:rPr>
              <w:t>自合同签订之日起30日历天</w:t>
            </w:r>
          </w:p>
        </w:tc>
      </w:tr>
      <w:tr w14:paraId="5537F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5" w:type="dxa"/>
            <w:vAlign w:val="center"/>
          </w:tcPr>
          <w:p w14:paraId="287A5E16">
            <w:pPr>
              <w:numPr>
                <w:ilvl w:val="0"/>
                <w:numId w:val="1"/>
              </w:numPr>
              <w:spacing w:beforeLines="50"/>
              <w:jc w:val="center"/>
              <w:rPr>
                <w:rFonts w:ascii="宋体" w:hAnsi="宋体" w:cs="宋体"/>
                <w:color w:val="auto"/>
                <w:sz w:val="24"/>
                <w:highlight w:val="none"/>
              </w:rPr>
            </w:pPr>
          </w:p>
        </w:tc>
        <w:tc>
          <w:tcPr>
            <w:tcW w:w="1776" w:type="dxa"/>
            <w:vAlign w:val="center"/>
          </w:tcPr>
          <w:p w14:paraId="3991A4CD">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6834" w:type="dxa"/>
            <w:vAlign w:val="center"/>
          </w:tcPr>
          <w:p w14:paraId="705AEE36">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签订合同后付款至 30%，成果方案提交经相关部门验收完成后付款至100%</w:t>
            </w:r>
          </w:p>
        </w:tc>
      </w:tr>
      <w:tr w14:paraId="5B0B7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0E757E1A">
            <w:pPr>
              <w:numPr>
                <w:ilvl w:val="0"/>
                <w:numId w:val="1"/>
              </w:numPr>
              <w:spacing w:beforeLines="50"/>
              <w:jc w:val="center"/>
              <w:rPr>
                <w:rFonts w:ascii="宋体" w:hAnsi="宋体" w:cs="宋体"/>
                <w:color w:val="auto"/>
                <w:sz w:val="24"/>
                <w:highlight w:val="none"/>
              </w:rPr>
            </w:pPr>
          </w:p>
        </w:tc>
        <w:tc>
          <w:tcPr>
            <w:tcW w:w="1776" w:type="dxa"/>
            <w:vAlign w:val="center"/>
          </w:tcPr>
          <w:p w14:paraId="6B08D923">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834" w:type="dxa"/>
            <w:vAlign w:val="center"/>
          </w:tcPr>
          <w:p w14:paraId="7EA48698">
            <w:pPr>
              <w:tabs>
                <w:tab w:val="left" w:pos="8640"/>
              </w:tabs>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不组织</w:t>
            </w:r>
          </w:p>
        </w:tc>
      </w:tr>
      <w:tr w14:paraId="173FC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36FB7370">
            <w:pPr>
              <w:numPr>
                <w:ilvl w:val="0"/>
                <w:numId w:val="1"/>
              </w:numPr>
              <w:spacing w:beforeLines="50"/>
              <w:jc w:val="center"/>
              <w:rPr>
                <w:rFonts w:ascii="宋体" w:hAnsi="宋体" w:cs="宋体"/>
                <w:color w:val="auto"/>
                <w:sz w:val="24"/>
                <w:highlight w:val="none"/>
              </w:rPr>
            </w:pPr>
          </w:p>
        </w:tc>
        <w:tc>
          <w:tcPr>
            <w:tcW w:w="1776" w:type="dxa"/>
            <w:vAlign w:val="center"/>
          </w:tcPr>
          <w:p w14:paraId="281F6AC6">
            <w:pPr>
              <w:spacing w:beforeLines="50"/>
              <w:ind w:firstLine="14" w:firstLineChars="6"/>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报价</w:t>
            </w:r>
          </w:p>
        </w:tc>
        <w:tc>
          <w:tcPr>
            <w:tcW w:w="6834" w:type="dxa"/>
            <w:vAlign w:val="center"/>
          </w:tcPr>
          <w:p w14:paraId="40F79B3F">
            <w:pPr>
              <w:tabs>
                <w:tab w:val="left" w:pos="8640"/>
              </w:tabs>
              <w:jc w:val="left"/>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lang w:val="en-US" w:eastAsia="zh-CN"/>
              </w:rPr>
              <w:t>一次报价</w:t>
            </w:r>
          </w:p>
        </w:tc>
      </w:tr>
      <w:tr w14:paraId="32699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389E0E83">
            <w:pPr>
              <w:numPr>
                <w:ilvl w:val="0"/>
                <w:numId w:val="1"/>
              </w:numPr>
              <w:spacing w:beforeLines="50"/>
              <w:jc w:val="center"/>
              <w:rPr>
                <w:rFonts w:ascii="宋体" w:hAnsi="宋体" w:cs="宋体"/>
                <w:color w:val="auto"/>
                <w:sz w:val="24"/>
                <w:highlight w:val="none"/>
              </w:rPr>
            </w:pPr>
          </w:p>
        </w:tc>
        <w:tc>
          <w:tcPr>
            <w:tcW w:w="1776" w:type="dxa"/>
            <w:vAlign w:val="center"/>
          </w:tcPr>
          <w:p w14:paraId="64EDCBBA">
            <w:pPr>
              <w:spacing w:beforeLines="50"/>
              <w:ind w:firstLine="14" w:firstLineChars="6"/>
              <w:jc w:val="center"/>
              <w:rPr>
                <w:rFonts w:hint="eastAsia" w:ascii="宋体" w:hAnsi="宋体" w:cs="宋体"/>
                <w:b/>
                <w:bCs/>
                <w:color w:val="auto"/>
                <w:sz w:val="24"/>
                <w:highlight w:val="none"/>
                <w:lang w:val="en-US" w:eastAsia="zh-CN"/>
              </w:rPr>
            </w:pPr>
            <w:r>
              <w:rPr>
                <w:rFonts w:hint="eastAsia" w:ascii="宋体" w:hAnsi="宋体" w:cs="宋体"/>
                <w:b/>
                <w:bCs/>
                <w:color w:val="auto"/>
                <w:sz w:val="24"/>
                <w:szCs w:val="24"/>
                <w:highlight w:val="none"/>
                <w:lang w:val="en-US" w:eastAsia="zh-CN"/>
              </w:rPr>
              <w:t>行业分类</w:t>
            </w:r>
          </w:p>
        </w:tc>
        <w:tc>
          <w:tcPr>
            <w:tcW w:w="6834" w:type="dxa"/>
            <w:vAlign w:val="center"/>
          </w:tcPr>
          <w:p w14:paraId="0DD72C29">
            <w:pPr>
              <w:tabs>
                <w:tab w:val="left" w:pos="8640"/>
              </w:tabs>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服务业</w:t>
            </w:r>
          </w:p>
        </w:tc>
      </w:tr>
    </w:tbl>
    <w:p w14:paraId="66AE67F1">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0A9FB9F">
      <w:pPr>
        <w:spacing w:line="720" w:lineRule="auto"/>
        <w:jc w:val="center"/>
        <w:outlineLvl w:val="1"/>
        <w:rPr>
          <w:rFonts w:ascii="宋体" w:hAnsi="宋体" w:cs="宋体"/>
          <w:b/>
          <w:color w:val="auto"/>
          <w:sz w:val="30"/>
          <w:szCs w:val="30"/>
          <w:highlight w:val="none"/>
        </w:rPr>
      </w:pPr>
      <w:bookmarkStart w:id="36" w:name="_Toc32362"/>
      <w:r>
        <w:rPr>
          <w:rFonts w:hint="eastAsia" w:ascii="宋体" w:hAnsi="宋体" w:cs="宋体"/>
          <w:b/>
          <w:color w:val="auto"/>
          <w:sz w:val="30"/>
          <w:szCs w:val="30"/>
          <w:highlight w:val="none"/>
        </w:rPr>
        <w:t>一、总则</w:t>
      </w:r>
      <w:bookmarkEnd w:id="36"/>
    </w:p>
    <w:p w14:paraId="1547ACCD">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14:paraId="1EDA60A9">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14:paraId="14B9CCA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588909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14:paraId="7BA0E451">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2.2“采购人”：</w:t>
      </w:r>
      <w:r>
        <w:rPr>
          <w:rFonts w:hint="eastAsia" w:ascii="宋体" w:hAnsi="宋体" w:cs="宋体"/>
          <w:color w:val="auto"/>
          <w:sz w:val="24"/>
          <w:highlight w:val="none"/>
          <w:lang w:val="en-US" w:eastAsia="zh-CN"/>
        </w:rPr>
        <w:t>扶沟县水利局</w:t>
      </w:r>
    </w:p>
    <w:p w14:paraId="30E2F3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14:paraId="5CDD61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14:paraId="47A3D5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2.5“服务”：系指本项目所采购的服务及其他要求等。</w:t>
      </w:r>
    </w:p>
    <w:p w14:paraId="1CA2EB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43FC36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14:paraId="460240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14:paraId="3CFC27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14:paraId="2A1C54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14:paraId="398F61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14:paraId="6D9D02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14:paraId="0F09C8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14:paraId="0681B4E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14:paraId="3E1AA2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14:paraId="0EA3A3A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14:paraId="745B0C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w:t>
      </w:r>
    </w:p>
    <w:p w14:paraId="5111CD30">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4.1.2参加政府采购活动前三年内，在经营活动中没有重大违法记录的声明函；</w:t>
      </w:r>
    </w:p>
    <w:p w14:paraId="0CD58A80">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 政府采购供应商诚信承诺书；</w:t>
      </w:r>
    </w:p>
    <w:p w14:paraId="6A8BAB49">
      <w:pPr>
        <w:pStyle w:val="72"/>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1.4 供应商</w:t>
      </w:r>
      <w:r>
        <w:rPr>
          <w:rFonts w:hint="eastAsia" w:hAnsi="宋体" w:eastAsia="宋体"/>
          <w:color w:val="auto"/>
          <w:sz w:val="24"/>
          <w:highlight w:val="none"/>
        </w:rPr>
        <w:t>自觉抵制政府采购领域商业贿赂行为承诺书；</w:t>
      </w:r>
    </w:p>
    <w:p w14:paraId="1AD905C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4.2 </w:t>
      </w:r>
      <w:r>
        <w:rPr>
          <w:rFonts w:hint="eastAsia" w:ascii="宋体" w:hAnsi="宋体" w:cs="宋体"/>
          <w:color w:val="auto"/>
          <w:kern w:val="0"/>
          <w:sz w:val="24"/>
          <w:highlight w:val="none"/>
        </w:rPr>
        <w:t>供应商需提供售后服务体系与承诺</w:t>
      </w:r>
      <w:r>
        <w:rPr>
          <w:rFonts w:hint="eastAsia" w:ascii="宋体" w:hAnsi="宋体" w:cs="宋体"/>
          <w:color w:val="auto"/>
          <w:kern w:val="0"/>
          <w:sz w:val="24"/>
          <w:highlight w:val="none"/>
          <w:lang w:val="zh-CN"/>
        </w:rPr>
        <w:t>。</w:t>
      </w:r>
    </w:p>
    <w:p w14:paraId="75E74028">
      <w:pPr>
        <w:pStyle w:val="72"/>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3</w:t>
      </w:r>
      <w:r>
        <w:rPr>
          <w:rFonts w:hint="eastAsia" w:hAnsi="宋体" w:eastAsia="宋体"/>
          <w:color w:val="auto"/>
          <w:sz w:val="24"/>
          <w:highlight w:val="none"/>
        </w:rPr>
        <w:t>符合本竞争性磋商文件规定的供应商资格要求及项目要求的其它条件，并按照要求提供相关证明材料。</w:t>
      </w:r>
    </w:p>
    <w:p w14:paraId="3C2D7EA6">
      <w:pPr>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4.4供应商应遵守国家法律、法规有关竞争性磋商的规定。</w:t>
      </w:r>
    </w:p>
    <w:p w14:paraId="0042E068">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4.5 凡通过磋商小组符合性审查的供应商均为合格供应商。未通过符合性审查的供</w:t>
      </w:r>
    </w:p>
    <w:p w14:paraId="33670181">
      <w:pPr>
        <w:spacing w:line="56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szCs w:val="24"/>
          <w:highlight w:val="none"/>
          <w:lang w:val="zh-CN" w:eastAsia="zh-CN" w:bidi="ar-SA"/>
        </w:rPr>
        <w:t>注：</w:t>
      </w:r>
      <w:r>
        <w:rPr>
          <w:rFonts w:hint="eastAsia" w:ascii="宋体" w:hAnsi="宋体" w:cs="宋体"/>
          <w:color w:val="auto"/>
          <w:sz w:val="24"/>
          <w:highlight w:val="none"/>
        </w:rPr>
        <w:t>单位负责人为同一人或者存在直接控股、管理关系的不同供应商，不得参加同一合同项下的政府采购活动。</w:t>
      </w:r>
    </w:p>
    <w:p w14:paraId="76ADBF3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14:paraId="4D70A0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5.l供应商一旦参加竞争性磋商，即被认为接受了本竞争性磋商文件中的所有条款和规定。</w:t>
      </w:r>
    </w:p>
    <w:p w14:paraId="166A0B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719F8F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14:paraId="0F9709FF">
      <w:pPr>
        <w:spacing w:line="720" w:lineRule="auto"/>
        <w:jc w:val="center"/>
        <w:outlineLvl w:val="1"/>
        <w:rPr>
          <w:rFonts w:ascii="宋体" w:hAnsi="宋体" w:cs="宋体"/>
          <w:b/>
          <w:color w:val="auto"/>
          <w:sz w:val="24"/>
          <w:highlight w:val="none"/>
        </w:rPr>
      </w:pPr>
      <w:bookmarkStart w:id="37" w:name="_Toc5748"/>
      <w:r>
        <w:rPr>
          <w:rFonts w:hint="eastAsia" w:ascii="宋体" w:hAnsi="宋体" w:cs="宋体"/>
          <w:b/>
          <w:color w:val="auto"/>
          <w:sz w:val="24"/>
          <w:highlight w:val="none"/>
        </w:rPr>
        <w:t>二、竞争性磋商文件</w:t>
      </w:r>
      <w:bookmarkEnd w:id="37"/>
    </w:p>
    <w:p w14:paraId="70DDAC0B">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14:paraId="6197745B">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14:paraId="07C66B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14:paraId="0A4443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14:paraId="0A00EB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（3）采购需求；</w:t>
      </w:r>
    </w:p>
    <w:p w14:paraId="508FFE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14:paraId="2EA002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27AB9B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846F8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200BB7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24301F2">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14:paraId="7D9C4768">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7F73411E">
      <w:pPr>
        <w:spacing w:line="720" w:lineRule="auto"/>
        <w:jc w:val="center"/>
        <w:outlineLvl w:val="1"/>
        <w:rPr>
          <w:rFonts w:ascii="宋体" w:hAnsi="宋体" w:cs="宋体"/>
          <w:b/>
          <w:color w:val="auto"/>
          <w:sz w:val="24"/>
          <w:highlight w:val="none"/>
        </w:rPr>
      </w:pPr>
      <w:bookmarkStart w:id="38" w:name="_Toc14193"/>
      <w:r>
        <w:rPr>
          <w:rFonts w:hint="eastAsia" w:ascii="宋体" w:hAnsi="宋体" w:cs="宋体"/>
          <w:b/>
          <w:color w:val="auto"/>
          <w:sz w:val="24"/>
          <w:highlight w:val="none"/>
        </w:rPr>
        <w:t>三、响应性文件的编制</w:t>
      </w:r>
      <w:bookmarkEnd w:id="38"/>
    </w:p>
    <w:p w14:paraId="54E0489E">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14:paraId="1D64F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678F7E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14:paraId="4B054333">
      <w:pPr>
        <w:spacing w:line="560" w:lineRule="exact"/>
        <w:ind w:firstLine="480" w:firstLineChars="200"/>
        <w:rPr>
          <w:rFonts w:ascii="宋体" w:hAnsi="宋体" w:cs="宋体"/>
          <w:i/>
          <w:iCs/>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14:paraId="31393946">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14:paraId="10D300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14:paraId="097EB4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14:paraId="0EC28A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362219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14:paraId="461CAA9E">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14:paraId="42DD99DE">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w:t>
      </w:r>
      <w:r>
        <w:rPr>
          <w:rFonts w:hint="eastAsia" w:ascii="宋体" w:hAnsi="宋体" w:cs="宋体"/>
          <w:bCs/>
          <w:color w:val="auto"/>
          <w:sz w:val="24"/>
          <w:highlight w:val="none"/>
          <w:u w:val="single"/>
        </w:rPr>
        <w:t>资格性证明材料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符合性证明材料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其他材料</w:t>
      </w:r>
      <w:r>
        <w:rPr>
          <w:rFonts w:hint="eastAsia" w:ascii="宋体" w:hAnsi="宋体" w:cs="宋体"/>
          <w:color w:val="auto"/>
          <w:sz w:val="24"/>
          <w:highlight w:val="none"/>
        </w:rPr>
        <w:t>三部分组成。具体内容和格式见竞争性磋商文件</w:t>
      </w:r>
      <w:r>
        <w:rPr>
          <w:rFonts w:hint="eastAsia" w:ascii="宋体" w:hAnsi="宋体" w:cs="宋体"/>
          <w:bCs/>
          <w:color w:val="auto"/>
          <w:sz w:val="24"/>
          <w:highlight w:val="none"/>
        </w:rPr>
        <w:t>第四章</w:t>
      </w:r>
      <w:r>
        <w:rPr>
          <w:rFonts w:hint="eastAsia" w:ascii="宋体" w:hAnsi="宋体" w:cs="宋体"/>
          <w:color w:val="auto"/>
          <w:sz w:val="24"/>
          <w:highlight w:val="none"/>
        </w:rPr>
        <w:t>。</w:t>
      </w:r>
    </w:p>
    <w:p w14:paraId="0229809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14:paraId="7F84F3F6">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480"/>
        <w:jc w:val="both"/>
        <w:textAlignment w:val="auto"/>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r>
        <w:rPr>
          <w:rFonts w:hint="eastAsia" w:ascii="宋体" w:hAnsi="宋体" w:eastAsia="宋体" w:cs="宋体"/>
          <w:color w:val="auto"/>
          <w:spacing w:val="0"/>
          <w:position w:val="0"/>
          <w:sz w:val="24"/>
          <w:highlight w:val="none"/>
          <w:shd w:val="clear" w:fill="auto"/>
        </w:rPr>
        <w:t>响应文件应编制连续页码，并编制目录；每个页面应在明显位置编制页码和总页码；除特殊规格的图纸或方案、图片资料等外，均应按A4规格制作。</w:t>
      </w:r>
    </w:p>
    <w:p w14:paraId="6850A8D3">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14:paraId="6C55A8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12.1报价包括所投服务、保险、税费、检测、验收和交付后约定期限内免费维保等工作所发生的一切应有费用。</w:t>
      </w:r>
    </w:p>
    <w:p w14:paraId="27C854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14:paraId="264CA7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14:paraId="2FA68E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14:paraId="7B8229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12.5报价均须以人民币为计算单位。</w:t>
      </w:r>
    </w:p>
    <w:p w14:paraId="4FE2A925">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14:paraId="40870E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13.l响应性文件有效期为自竞争性磋商开始之日起60天，有效期短于此规定的响应性文件将被视为无效。</w:t>
      </w:r>
    </w:p>
    <w:p w14:paraId="25A562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0DAB8947">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14:paraId="309D21F3">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w:t>
      </w:r>
      <w:r>
        <w:rPr>
          <w:rFonts w:hint="eastAsia" w:ascii="宋体" w:hAnsi="宋体" w:eastAsia="宋体" w:cs="宋体"/>
          <w:color w:val="auto"/>
          <w:spacing w:val="0"/>
          <w:position w:val="0"/>
          <w:sz w:val="24"/>
          <w:highlight w:val="none"/>
          <w:shd w:val="clear" w:fill="auto"/>
        </w:rPr>
        <w:t>生成后的电子响应文件需要供应商法定代表人或委托代理人逐页签字盖章。</w:t>
      </w:r>
      <w:r>
        <w:rPr>
          <w:rFonts w:hint="eastAsia" w:ascii="宋体" w:hAnsi="宋体" w:cs="宋体"/>
          <w:color w:val="auto"/>
          <w:sz w:val="24"/>
          <w:highlight w:val="none"/>
          <w:lang w:val="zh-CN"/>
        </w:rPr>
        <w:t>本竞争性磋商文件所表述（指定）的公章是指法人（供应商）行政公章，不包括专用章。</w:t>
      </w:r>
    </w:p>
    <w:p w14:paraId="5E9E82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4F2EB6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14:paraId="0804B24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15电子投标文件制作</w:t>
      </w:r>
      <w:r>
        <w:rPr>
          <w:rFonts w:hint="eastAsia" w:ascii="宋体" w:hAnsi="宋体" w:cs="宋体"/>
          <w:color w:val="auto"/>
          <w:sz w:val="24"/>
          <w:highlight w:val="none"/>
          <w:lang w:eastAsia="zh-CN"/>
        </w:rPr>
        <w:t>，</w:t>
      </w:r>
      <w:r>
        <w:rPr>
          <w:rFonts w:hint="eastAsia" w:ascii="宋体" w:hAnsi="宋体" w:cs="宋体"/>
          <w:color w:val="auto"/>
          <w:sz w:val="24"/>
          <w:highlight w:val="none"/>
        </w:rPr>
        <w:t>见周口市公共资源交易中心</w:t>
      </w:r>
      <w:r>
        <w:rPr>
          <w:rFonts w:hint="eastAsia" w:ascii="宋体" w:hAnsi="宋体" w:cs="宋体"/>
          <w:color w:val="auto"/>
          <w:sz w:val="24"/>
          <w:highlight w:val="none"/>
          <w:lang w:val="en-US" w:eastAsia="zh-CN"/>
        </w:rPr>
        <w:t>网站下载中心版块</w:t>
      </w:r>
      <w:r>
        <w:rPr>
          <w:rFonts w:hint="eastAsia" w:ascii="宋体" w:hAnsi="宋体" w:cs="宋体"/>
          <w:color w:val="auto"/>
          <w:sz w:val="24"/>
          <w:highlight w:val="none"/>
        </w:rPr>
        <w:t>《投标单位-电子投标文件视频制作手册》的相关规定。</w:t>
      </w:r>
    </w:p>
    <w:p w14:paraId="5F614B63">
      <w:pPr>
        <w:numPr>
          <w:ilvl w:val="0"/>
          <w:numId w:val="2"/>
        </w:numPr>
        <w:spacing w:line="720" w:lineRule="auto"/>
        <w:jc w:val="center"/>
        <w:outlineLvl w:val="1"/>
        <w:rPr>
          <w:rFonts w:ascii="宋体" w:hAnsi="宋体" w:cs="宋体"/>
          <w:b/>
          <w:color w:val="auto"/>
          <w:sz w:val="24"/>
          <w:highlight w:val="none"/>
        </w:rPr>
      </w:pPr>
      <w:bookmarkStart w:id="39" w:name="_Toc16349"/>
      <w:r>
        <w:rPr>
          <w:rFonts w:hint="eastAsia" w:ascii="宋体" w:hAnsi="宋体" w:cs="宋体"/>
          <w:b/>
          <w:color w:val="auto"/>
          <w:sz w:val="24"/>
          <w:highlight w:val="none"/>
        </w:rPr>
        <w:t>响应性文件的递交</w:t>
      </w:r>
      <w:bookmarkEnd w:id="39"/>
    </w:p>
    <w:p w14:paraId="7A35BC27">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文件和纸质</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文件均不再提交。在解密投标</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开始时30分钟内进行解密，超时视为放弃递交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14:paraId="4039B2FB">
      <w:pPr>
        <w:spacing w:line="360" w:lineRule="auto"/>
        <w:ind w:firstLine="55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加密的电子投标文件的递交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《投标单位-电子投标文件视频制作手册》的相关规定。</w:t>
      </w:r>
      <w:r>
        <w:rPr>
          <w:rFonts w:hint="eastAsia" w:ascii="宋体" w:hAnsi="宋体" w:cs="宋体"/>
          <w:color w:val="auto"/>
          <w:sz w:val="24"/>
          <w:highlight w:val="none"/>
        </w:rPr>
        <w:t>如未在招标文件规定的投标时间截止前上传网上</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文件，投标无效。</w:t>
      </w:r>
    </w:p>
    <w:p w14:paraId="10ECFBCC">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w:t>
      </w:r>
      <w:r>
        <w:rPr>
          <w:rFonts w:hint="eastAsia" w:ascii="宋体" w:hAnsi="宋体" w:cs="宋体"/>
          <w:color w:val="auto"/>
          <w:sz w:val="24"/>
          <w:highlight w:val="none"/>
          <w:lang w:val="en-US" w:eastAsia="zh-CN"/>
        </w:rPr>
        <w:t>办事指南</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不见面开标远程在线解密会员端操作手册操作指南</w:t>
      </w:r>
      <w:r>
        <w:rPr>
          <w:rFonts w:hint="eastAsia" w:ascii="宋体" w:hAnsi="宋体" w:eastAsia="宋体" w:cs="宋体"/>
          <w:bCs/>
          <w:color w:val="auto"/>
          <w:sz w:val="24"/>
          <w:highlight w:val="none"/>
          <w:lang w:val="en-US" w:eastAsia="zh-CN"/>
        </w:rPr>
        <w:t>》</w:t>
      </w:r>
      <w:r>
        <w:rPr>
          <w:rFonts w:hint="eastAsia" w:ascii="宋体" w:hAnsi="宋体" w:cs="宋体"/>
          <w:color w:val="auto"/>
          <w:sz w:val="24"/>
          <w:highlight w:val="none"/>
        </w:rPr>
        <w:t>。</w:t>
      </w:r>
    </w:p>
    <w:p w14:paraId="3F6FD76C">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14:paraId="39FD1C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14:paraId="611D82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377AB088">
      <w:pPr>
        <w:pStyle w:val="56"/>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14:paraId="0CDF8312">
      <w:pPr>
        <w:pStyle w:val="56"/>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1B0DC3DE">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14:paraId="4E70A705">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14:paraId="2015700B">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14:paraId="5541DCAE">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14:paraId="64E9336C">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14:paraId="2D531D52">
      <w:pPr>
        <w:pStyle w:val="56"/>
        <w:spacing w:line="56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17.4.3一个供应商不止递交一套响应性文件的。</w:t>
      </w:r>
    </w:p>
    <w:p w14:paraId="2AAC4436">
      <w:pPr>
        <w:spacing w:line="720" w:lineRule="auto"/>
        <w:jc w:val="center"/>
        <w:outlineLvl w:val="1"/>
        <w:rPr>
          <w:rFonts w:ascii="宋体" w:hAnsi="宋体" w:cs="宋体"/>
          <w:b/>
          <w:color w:val="auto"/>
          <w:sz w:val="24"/>
          <w:highlight w:val="none"/>
        </w:rPr>
      </w:pPr>
      <w:bookmarkStart w:id="40" w:name="_Toc12385"/>
      <w:r>
        <w:rPr>
          <w:rFonts w:hint="eastAsia" w:ascii="宋体" w:hAnsi="宋体" w:cs="宋体"/>
          <w:b/>
          <w:color w:val="auto"/>
          <w:sz w:val="24"/>
          <w:highlight w:val="none"/>
        </w:rPr>
        <w:t>五、竞争性磋商</w:t>
      </w:r>
      <w:bookmarkEnd w:id="40"/>
    </w:p>
    <w:p w14:paraId="71F6C2A1">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14:paraId="7F551C4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14:paraId="67801E3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18.2竞争性磋商小组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14:paraId="611BF11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14:paraId="233D19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0EE6E194">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14:paraId="29CC66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731172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14:paraId="5D9C1D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14:paraId="4F90F3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14:paraId="6C663D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14:paraId="46E55C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14:paraId="2668AB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14:paraId="36485F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601B80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4954A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14:paraId="3794FC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14:paraId="04C26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14:paraId="07DBA2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14:paraId="57E87E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14:paraId="22B72B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14:paraId="18D55A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14:paraId="674E75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14:paraId="02DA88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14:paraId="71E6C2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19.7.7响应性文件的内容修改处未按规定签名或盖章的；</w:t>
      </w:r>
    </w:p>
    <w:p w14:paraId="573375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14:paraId="5F32924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637E93A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4DD8BAF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2B8E45A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不同供应商的投标（响应）文件的内容存在两处以上细节错误一致；</w:t>
      </w:r>
    </w:p>
    <w:p w14:paraId="6DAA23A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01F15D47">
      <w:pPr>
        <w:spacing w:line="360" w:lineRule="auto"/>
        <w:ind w:firstLine="480" w:firstLineChars="200"/>
        <w:rPr>
          <w:color w:val="auto"/>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041F80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0AA1E2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14:paraId="7CE0E1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14:paraId="624DDC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14:paraId="5051A7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14:paraId="580F4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p w14:paraId="399FC5EF">
      <w:pPr>
        <w:pStyle w:val="38"/>
        <w:rPr>
          <w:rFonts w:ascii="宋体" w:hAnsi="宋体" w:cs="宋体"/>
          <w:color w:val="auto"/>
          <w:sz w:val="24"/>
          <w:szCs w:val="24"/>
          <w:highlight w:val="none"/>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091D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22BAEE1D">
            <w:pPr>
              <w:pStyle w:val="73"/>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14:paraId="558D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07A17FE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14:paraId="44A901FB">
            <w:pPr>
              <w:pStyle w:val="73"/>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14:paraId="400FCCA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14:paraId="77FA6D6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14:paraId="36226FF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14:paraId="1E50BDF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14:paraId="7AEDA25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14:paraId="7E40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CB0EDC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14:paraId="1DFEFEEB">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14:paraId="4F85FFF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E0EB104">
            <w:pPr>
              <w:adjustRightInd w:val="0"/>
              <w:snapToGrid w:val="0"/>
              <w:spacing w:line="360" w:lineRule="auto"/>
              <w:ind w:right="-10"/>
              <w:rPr>
                <w:rFonts w:ascii="宋体" w:hAnsi="宋体" w:cs="宋体"/>
                <w:color w:val="auto"/>
                <w:sz w:val="24"/>
                <w:highlight w:val="none"/>
              </w:rPr>
            </w:pPr>
          </w:p>
        </w:tc>
        <w:tc>
          <w:tcPr>
            <w:tcW w:w="2371" w:type="dxa"/>
            <w:vAlign w:val="center"/>
          </w:tcPr>
          <w:p w14:paraId="5357C287">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D27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A32194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14:paraId="2D443A78">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14:paraId="7DABE74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9886699">
            <w:pPr>
              <w:adjustRightInd w:val="0"/>
              <w:snapToGrid w:val="0"/>
              <w:spacing w:line="360" w:lineRule="auto"/>
              <w:ind w:right="-10"/>
              <w:rPr>
                <w:rFonts w:ascii="宋体" w:hAnsi="宋体" w:cs="宋体"/>
                <w:color w:val="auto"/>
                <w:sz w:val="24"/>
                <w:highlight w:val="none"/>
              </w:rPr>
            </w:pPr>
          </w:p>
        </w:tc>
        <w:tc>
          <w:tcPr>
            <w:tcW w:w="2371" w:type="dxa"/>
            <w:vAlign w:val="center"/>
          </w:tcPr>
          <w:p w14:paraId="7F077A5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1CC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F75E327">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14:paraId="458FE09B">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14:paraId="355737E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7F410CEE">
            <w:pPr>
              <w:adjustRightInd w:val="0"/>
              <w:snapToGrid w:val="0"/>
              <w:spacing w:line="360" w:lineRule="auto"/>
              <w:ind w:right="-10"/>
              <w:rPr>
                <w:rFonts w:ascii="宋体" w:hAnsi="宋体" w:cs="宋体"/>
                <w:color w:val="auto"/>
                <w:sz w:val="24"/>
                <w:highlight w:val="none"/>
              </w:rPr>
            </w:pPr>
          </w:p>
        </w:tc>
        <w:tc>
          <w:tcPr>
            <w:tcW w:w="2371" w:type="dxa"/>
            <w:vAlign w:val="center"/>
          </w:tcPr>
          <w:p w14:paraId="0A5E195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589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414FAD2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14:paraId="2683DF88">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14:paraId="7BAFD48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7D9C5583">
            <w:pPr>
              <w:adjustRightInd w:val="0"/>
              <w:snapToGrid w:val="0"/>
              <w:spacing w:line="360" w:lineRule="auto"/>
              <w:ind w:right="-10"/>
              <w:rPr>
                <w:rFonts w:ascii="宋体" w:hAnsi="宋体" w:cs="宋体"/>
                <w:color w:val="auto"/>
                <w:sz w:val="24"/>
                <w:highlight w:val="none"/>
              </w:rPr>
            </w:pPr>
          </w:p>
        </w:tc>
        <w:tc>
          <w:tcPr>
            <w:tcW w:w="2371" w:type="dxa"/>
            <w:vAlign w:val="center"/>
          </w:tcPr>
          <w:p w14:paraId="21EF5B1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5F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686C3E9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14:paraId="5B62D3B4">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14:paraId="7022BB29">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7CA1795">
            <w:pPr>
              <w:adjustRightInd w:val="0"/>
              <w:snapToGrid w:val="0"/>
              <w:spacing w:line="360" w:lineRule="auto"/>
              <w:ind w:right="-10"/>
              <w:rPr>
                <w:rFonts w:ascii="宋体" w:hAnsi="宋体" w:cs="宋体"/>
                <w:color w:val="auto"/>
                <w:sz w:val="24"/>
                <w:highlight w:val="none"/>
              </w:rPr>
            </w:pPr>
          </w:p>
        </w:tc>
        <w:tc>
          <w:tcPr>
            <w:tcW w:w="2371" w:type="dxa"/>
            <w:vAlign w:val="center"/>
          </w:tcPr>
          <w:p w14:paraId="6DBC853C">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5C1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72A5D47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14:paraId="67CD7B0D">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投标文件签字盖章格式</w:t>
            </w:r>
          </w:p>
        </w:tc>
        <w:tc>
          <w:tcPr>
            <w:tcW w:w="1937" w:type="dxa"/>
            <w:vAlign w:val="center"/>
          </w:tcPr>
          <w:p w14:paraId="43E76D91">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09D9EA3">
            <w:pPr>
              <w:adjustRightInd w:val="0"/>
              <w:snapToGrid w:val="0"/>
              <w:spacing w:line="360" w:lineRule="auto"/>
              <w:ind w:right="-10"/>
              <w:rPr>
                <w:rFonts w:ascii="宋体" w:hAnsi="宋体" w:cs="宋体"/>
                <w:color w:val="auto"/>
                <w:sz w:val="24"/>
                <w:highlight w:val="none"/>
              </w:rPr>
            </w:pPr>
          </w:p>
        </w:tc>
        <w:tc>
          <w:tcPr>
            <w:tcW w:w="2371" w:type="dxa"/>
            <w:vAlign w:val="center"/>
          </w:tcPr>
          <w:p w14:paraId="4391D82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D2F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1FA2408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14:paraId="72AC86FA">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合格供应商的声明函和承诺书</w:t>
            </w:r>
          </w:p>
        </w:tc>
        <w:tc>
          <w:tcPr>
            <w:tcW w:w="1937" w:type="dxa"/>
            <w:vAlign w:val="center"/>
          </w:tcPr>
          <w:p w14:paraId="23188947">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6C5D001D">
            <w:pPr>
              <w:adjustRightInd w:val="0"/>
              <w:snapToGrid w:val="0"/>
              <w:spacing w:line="360" w:lineRule="auto"/>
              <w:ind w:right="-10"/>
              <w:rPr>
                <w:rFonts w:ascii="宋体" w:hAnsi="宋体" w:cs="宋体"/>
                <w:color w:val="auto"/>
                <w:sz w:val="24"/>
                <w:highlight w:val="none"/>
              </w:rPr>
            </w:pPr>
          </w:p>
        </w:tc>
        <w:tc>
          <w:tcPr>
            <w:tcW w:w="2371" w:type="dxa"/>
            <w:vAlign w:val="center"/>
          </w:tcPr>
          <w:p w14:paraId="6BA042C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0208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3A1028A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8</w:t>
            </w:r>
          </w:p>
        </w:tc>
        <w:tc>
          <w:tcPr>
            <w:tcW w:w="2665" w:type="dxa"/>
            <w:vAlign w:val="center"/>
          </w:tcPr>
          <w:p w14:paraId="1E621F4B">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lang w:val="en-US" w:eastAsia="zh-CN"/>
              </w:rPr>
              <w:t>服务</w:t>
            </w:r>
            <w:r>
              <w:rPr>
                <w:rFonts w:hint="eastAsia" w:ascii="宋体" w:hAnsi="宋体" w:cs="宋体"/>
                <w:bCs/>
                <w:color w:val="auto"/>
                <w:sz w:val="24"/>
                <w:highlight w:val="none"/>
              </w:rPr>
              <w:t>期</w:t>
            </w:r>
          </w:p>
        </w:tc>
        <w:tc>
          <w:tcPr>
            <w:tcW w:w="1937" w:type="dxa"/>
            <w:vAlign w:val="center"/>
          </w:tcPr>
          <w:p w14:paraId="7525F31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CD74B8E">
            <w:pPr>
              <w:adjustRightInd w:val="0"/>
              <w:snapToGrid w:val="0"/>
              <w:spacing w:line="360" w:lineRule="auto"/>
              <w:ind w:right="-10"/>
              <w:rPr>
                <w:rFonts w:ascii="宋体" w:hAnsi="宋体" w:cs="宋体"/>
                <w:color w:val="auto"/>
                <w:sz w:val="24"/>
                <w:highlight w:val="none"/>
              </w:rPr>
            </w:pPr>
          </w:p>
        </w:tc>
        <w:tc>
          <w:tcPr>
            <w:tcW w:w="2371" w:type="dxa"/>
            <w:vAlign w:val="center"/>
          </w:tcPr>
          <w:p w14:paraId="69434F17">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10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19D9A72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9</w:t>
            </w:r>
          </w:p>
        </w:tc>
        <w:tc>
          <w:tcPr>
            <w:tcW w:w="2665" w:type="dxa"/>
            <w:vAlign w:val="center"/>
          </w:tcPr>
          <w:p w14:paraId="531B9C62">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投标有效期</w:t>
            </w:r>
          </w:p>
        </w:tc>
        <w:tc>
          <w:tcPr>
            <w:tcW w:w="1937" w:type="dxa"/>
            <w:vAlign w:val="center"/>
          </w:tcPr>
          <w:p w14:paraId="1A1E21DB">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A56066A">
            <w:pPr>
              <w:adjustRightInd w:val="0"/>
              <w:snapToGrid w:val="0"/>
              <w:spacing w:line="360" w:lineRule="auto"/>
              <w:ind w:right="-10"/>
              <w:rPr>
                <w:rFonts w:ascii="宋体" w:hAnsi="宋体" w:cs="宋体"/>
                <w:color w:val="auto"/>
                <w:sz w:val="24"/>
                <w:highlight w:val="none"/>
              </w:rPr>
            </w:pPr>
          </w:p>
        </w:tc>
        <w:tc>
          <w:tcPr>
            <w:tcW w:w="2371" w:type="dxa"/>
            <w:vAlign w:val="center"/>
          </w:tcPr>
          <w:p w14:paraId="4FFB8885">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958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7836CBF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10</w:t>
            </w:r>
          </w:p>
        </w:tc>
        <w:tc>
          <w:tcPr>
            <w:tcW w:w="2665" w:type="dxa"/>
            <w:vAlign w:val="center"/>
          </w:tcPr>
          <w:p w14:paraId="2AAC00F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服务技术要求</w:t>
            </w:r>
          </w:p>
        </w:tc>
        <w:tc>
          <w:tcPr>
            <w:tcW w:w="1937" w:type="dxa"/>
            <w:vAlign w:val="center"/>
          </w:tcPr>
          <w:p w14:paraId="4851324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D8E0ADC">
            <w:pPr>
              <w:adjustRightInd w:val="0"/>
              <w:snapToGrid w:val="0"/>
              <w:spacing w:line="360" w:lineRule="auto"/>
              <w:ind w:right="-10"/>
              <w:rPr>
                <w:rFonts w:ascii="宋体" w:hAnsi="宋体" w:cs="宋体"/>
                <w:color w:val="auto"/>
                <w:sz w:val="24"/>
                <w:highlight w:val="none"/>
              </w:rPr>
            </w:pPr>
          </w:p>
        </w:tc>
        <w:tc>
          <w:tcPr>
            <w:tcW w:w="2371" w:type="dxa"/>
            <w:vAlign w:val="center"/>
          </w:tcPr>
          <w:p w14:paraId="4A4E642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3DA9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F918FB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11</w:t>
            </w:r>
          </w:p>
        </w:tc>
        <w:tc>
          <w:tcPr>
            <w:tcW w:w="2665" w:type="dxa"/>
            <w:vAlign w:val="center"/>
          </w:tcPr>
          <w:p w14:paraId="5062A261">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14:paraId="2D5F42FF">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65450CE6">
            <w:pPr>
              <w:adjustRightInd w:val="0"/>
              <w:snapToGrid w:val="0"/>
              <w:spacing w:line="360" w:lineRule="auto"/>
              <w:ind w:right="-10"/>
              <w:rPr>
                <w:rFonts w:ascii="宋体" w:hAnsi="宋体" w:cs="宋体"/>
                <w:color w:val="auto"/>
                <w:sz w:val="24"/>
                <w:highlight w:val="none"/>
              </w:rPr>
            </w:pPr>
          </w:p>
        </w:tc>
        <w:tc>
          <w:tcPr>
            <w:tcW w:w="2371" w:type="dxa"/>
            <w:vAlign w:val="center"/>
          </w:tcPr>
          <w:p w14:paraId="79A599C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CF0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0F63A1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12</w:t>
            </w:r>
          </w:p>
        </w:tc>
        <w:tc>
          <w:tcPr>
            <w:tcW w:w="2665" w:type="dxa"/>
            <w:vAlign w:val="center"/>
          </w:tcPr>
          <w:p w14:paraId="45972903">
            <w:pPr>
              <w:spacing w:after="50" w:line="360" w:lineRule="auto"/>
              <w:ind w:right="-10"/>
              <w:jc w:val="center"/>
              <w:rPr>
                <w:rFonts w:ascii="宋体" w:hAnsi="宋体" w:cs="宋体"/>
                <w:bCs/>
                <w:color w:val="auto"/>
                <w:sz w:val="24"/>
                <w:highlight w:val="none"/>
              </w:rPr>
            </w:pPr>
          </w:p>
        </w:tc>
        <w:tc>
          <w:tcPr>
            <w:tcW w:w="1937" w:type="dxa"/>
            <w:vAlign w:val="center"/>
          </w:tcPr>
          <w:p w14:paraId="0A250358">
            <w:pPr>
              <w:spacing w:after="50" w:line="360" w:lineRule="auto"/>
              <w:ind w:right="-10"/>
              <w:jc w:val="center"/>
              <w:rPr>
                <w:rFonts w:ascii="宋体" w:hAnsi="宋体" w:cs="宋体"/>
                <w:color w:val="auto"/>
                <w:sz w:val="24"/>
                <w:highlight w:val="none"/>
              </w:rPr>
            </w:pPr>
          </w:p>
        </w:tc>
        <w:tc>
          <w:tcPr>
            <w:tcW w:w="825" w:type="dxa"/>
            <w:vAlign w:val="center"/>
          </w:tcPr>
          <w:p w14:paraId="23CD36C1">
            <w:pPr>
              <w:adjustRightInd w:val="0"/>
              <w:snapToGrid w:val="0"/>
              <w:spacing w:line="360" w:lineRule="auto"/>
              <w:ind w:right="-10"/>
              <w:rPr>
                <w:rFonts w:ascii="宋体" w:hAnsi="宋体" w:cs="宋体"/>
                <w:color w:val="auto"/>
                <w:sz w:val="24"/>
                <w:highlight w:val="none"/>
              </w:rPr>
            </w:pPr>
          </w:p>
        </w:tc>
        <w:tc>
          <w:tcPr>
            <w:tcW w:w="2371" w:type="dxa"/>
            <w:vAlign w:val="center"/>
          </w:tcPr>
          <w:p w14:paraId="1E3AF5B7">
            <w:pPr>
              <w:adjustRightInd w:val="0"/>
              <w:snapToGrid w:val="0"/>
              <w:spacing w:line="360" w:lineRule="auto"/>
              <w:ind w:right="-10"/>
              <w:jc w:val="center"/>
              <w:rPr>
                <w:rFonts w:ascii="宋体" w:hAnsi="宋体" w:cs="宋体"/>
                <w:color w:val="auto"/>
                <w:sz w:val="24"/>
                <w:highlight w:val="none"/>
              </w:rPr>
            </w:pPr>
          </w:p>
        </w:tc>
      </w:tr>
      <w:tr w14:paraId="0897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0F9513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13</w:t>
            </w:r>
          </w:p>
        </w:tc>
        <w:tc>
          <w:tcPr>
            <w:tcW w:w="2665" w:type="dxa"/>
            <w:vAlign w:val="center"/>
          </w:tcPr>
          <w:p w14:paraId="1D9DBBD6">
            <w:pPr>
              <w:spacing w:after="50" w:line="360" w:lineRule="auto"/>
              <w:ind w:right="-10"/>
              <w:jc w:val="center"/>
              <w:rPr>
                <w:rFonts w:ascii="宋体" w:hAnsi="宋体" w:cs="宋体"/>
                <w:color w:val="auto"/>
                <w:sz w:val="24"/>
                <w:highlight w:val="none"/>
              </w:rPr>
            </w:pPr>
          </w:p>
        </w:tc>
        <w:tc>
          <w:tcPr>
            <w:tcW w:w="1937" w:type="dxa"/>
            <w:vAlign w:val="center"/>
          </w:tcPr>
          <w:p w14:paraId="503E5391">
            <w:pPr>
              <w:spacing w:after="50" w:line="360" w:lineRule="auto"/>
              <w:ind w:right="-10"/>
              <w:jc w:val="center"/>
              <w:rPr>
                <w:rFonts w:ascii="宋体" w:hAnsi="宋体" w:cs="宋体"/>
                <w:color w:val="auto"/>
                <w:sz w:val="24"/>
                <w:highlight w:val="none"/>
              </w:rPr>
            </w:pPr>
          </w:p>
        </w:tc>
        <w:tc>
          <w:tcPr>
            <w:tcW w:w="825" w:type="dxa"/>
            <w:vAlign w:val="center"/>
          </w:tcPr>
          <w:p w14:paraId="2D7C1B1D">
            <w:pPr>
              <w:adjustRightInd w:val="0"/>
              <w:snapToGrid w:val="0"/>
              <w:spacing w:line="360" w:lineRule="auto"/>
              <w:ind w:right="-10"/>
              <w:rPr>
                <w:rFonts w:ascii="宋体" w:hAnsi="宋体" w:cs="宋体"/>
                <w:color w:val="auto"/>
                <w:sz w:val="24"/>
                <w:highlight w:val="none"/>
              </w:rPr>
            </w:pPr>
          </w:p>
        </w:tc>
        <w:tc>
          <w:tcPr>
            <w:tcW w:w="2371" w:type="dxa"/>
            <w:vAlign w:val="center"/>
          </w:tcPr>
          <w:p w14:paraId="3B90CDEE">
            <w:pPr>
              <w:adjustRightInd w:val="0"/>
              <w:snapToGrid w:val="0"/>
              <w:spacing w:line="360" w:lineRule="auto"/>
              <w:ind w:right="-10"/>
              <w:jc w:val="center"/>
              <w:rPr>
                <w:rFonts w:ascii="宋体" w:hAnsi="宋体" w:cs="宋体"/>
                <w:color w:val="auto"/>
                <w:sz w:val="24"/>
                <w:highlight w:val="none"/>
              </w:rPr>
            </w:pPr>
          </w:p>
        </w:tc>
      </w:tr>
      <w:tr w14:paraId="64FA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7C1D24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14</w:t>
            </w:r>
          </w:p>
        </w:tc>
        <w:tc>
          <w:tcPr>
            <w:tcW w:w="2665" w:type="dxa"/>
            <w:vAlign w:val="center"/>
          </w:tcPr>
          <w:p w14:paraId="51A2850F">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14:paraId="437032F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14:paraId="076D5AE8">
      <w:pPr>
        <w:pStyle w:val="38"/>
        <w:rPr>
          <w:rFonts w:ascii="宋体" w:hAnsi="宋体" w:cs="宋体"/>
          <w:color w:val="auto"/>
          <w:sz w:val="24"/>
          <w:szCs w:val="24"/>
          <w:highlight w:val="none"/>
        </w:rPr>
      </w:pPr>
    </w:p>
    <w:p w14:paraId="0BD9DFD5">
      <w:pPr>
        <w:pStyle w:val="38"/>
        <w:rPr>
          <w:rFonts w:ascii="宋体" w:hAnsi="宋体" w:cs="宋体"/>
          <w:color w:val="auto"/>
          <w:sz w:val="24"/>
          <w:szCs w:val="24"/>
          <w:highlight w:val="none"/>
        </w:rPr>
      </w:pPr>
    </w:p>
    <w:p w14:paraId="76D302F4">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14:paraId="60FE9E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BA7C6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1D5DDF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14:paraId="6FC835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14:paraId="143634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14:paraId="52418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14:paraId="7032043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14:paraId="1021A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14:paraId="1FD75F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14:paraId="55AD25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14:paraId="687506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14:paraId="215E56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14:paraId="117C72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14:paraId="3F8FFD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14:paraId="17A1CC81">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22EF7CB">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14:paraId="379BEEE6">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21.4.2供应商应当按照竞争性磋商文件的变动情况和竞争性磋商小组的要求重新提交响应性文件，并由其法定代表人或授权代表签字或者加盖公章。</w:t>
      </w:r>
    </w:p>
    <w:p w14:paraId="3D1EF276">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21.5报价</w:t>
      </w:r>
    </w:p>
    <w:p w14:paraId="484A4002">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lang w:val="zh-CN"/>
        </w:rPr>
        <w:t>供应商的投标函和开标记。</w:t>
      </w:r>
    </w:p>
    <w:p w14:paraId="3E639CA1">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lang w:val="en-US" w:eastAsia="zh-CN"/>
        </w:rPr>
        <w:t>报价次数见供应商须知前附表。</w:t>
      </w:r>
    </w:p>
    <w:p w14:paraId="11DE39DB">
      <w:pPr>
        <w:spacing w:line="560" w:lineRule="exact"/>
        <w:ind w:firstLine="480" w:firstLineChars="200"/>
        <w:rPr>
          <w:rFonts w:hint="default" w:eastAsia="宋体"/>
          <w:color w:val="auto"/>
          <w:sz w:val="24"/>
          <w:highlight w:val="none"/>
          <w:lang w:val="en-US" w:eastAsia="zh-CN"/>
        </w:rPr>
      </w:pPr>
      <w:r>
        <w:rPr>
          <w:rFonts w:hint="eastAsia" w:ascii="宋体" w:hAnsi="宋体" w:eastAsia="宋体" w:cs="宋体"/>
          <w:color w:val="auto"/>
          <w:sz w:val="24"/>
          <w:highlight w:val="none"/>
          <w:lang w:val="en-US" w:eastAsia="zh-CN"/>
        </w:rPr>
        <w:t>开标后请供应商在计算前等待报价，网上报价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lang w:val="en-US" w:eastAsia="zh-CN"/>
        </w:rPr>
        <w:t>中的《周口市公共资源交易系统政府采购供应商操作手册》相关规定。</w:t>
      </w:r>
    </w:p>
    <w:p w14:paraId="4B5550C9">
      <w:pPr>
        <w:spacing w:line="720" w:lineRule="auto"/>
        <w:jc w:val="center"/>
        <w:outlineLvl w:val="1"/>
        <w:rPr>
          <w:rFonts w:ascii="宋体" w:hAnsi="宋体" w:cs="宋体"/>
          <w:b/>
          <w:color w:val="auto"/>
          <w:sz w:val="24"/>
          <w:highlight w:val="none"/>
        </w:rPr>
      </w:pPr>
      <w:bookmarkStart w:id="41" w:name="_Toc7593"/>
      <w:r>
        <w:rPr>
          <w:rFonts w:hint="eastAsia" w:ascii="宋体" w:hAnsi="宋体" w:cs="宋体"/>
          <w:b/>
          <w:color w:val="auto"/>
          <w:sz w:val="24"/>
          <w:highlight w:val="none"/>
        </w:rPr>
        <w:t>六、评定标准</w:t>
      </w:r>
      <w:bookmarkEnd w:id="41"/>
    </w:p>
    <w:p w14:paraId="082F2CEA">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14:paraId="4B2A01C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7937DFE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个工作日内将评标报告送采购人。采购人自收到评标报告之日起５个工作日内，在评标报告确定的中标候选人名单中确定中标人。</w:t>
      </w:r>
    </w:p>
    <w:p w14:paraId="4E464522">
      <w:pPr>
        <w:pStyle w:val="16"/>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14:paraId="2AF9B5C9">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tbl>
      <w:tblPr>
        <w:tblStyle w:val="28"/>
        <w:tblW w:w="86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692"/>
        <w:gridCol w:w="5551"/>
      </w:tblGrid>
      <w:tr w14:paraId="049BA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391" w:type="dxa"/>
            <w:tcBorders>
              <w:left w:val="single" w:color="auto" w:sz="4" w:space="0"/>
            </w:tcBorders>
            <w:noWrap w:val="0"/>
            <w:vAlign w:val="center"/>
          </w:tcPr>
          <w:p w14:paraId="3FCEF2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投标报价评分标准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692" w:type="dxa"/>
            <w:noWrap w:val="0"/>
            <w:vAlign w:val="center"/>
          </w:tcPr>
          <w:p w14:paraId="23351A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551" w:type="dxa"/>
            <w:noWrap w:val="0"/>
            <w:vAlign w:val="center"/>
          </w:tcPr>
          <w:p w14:paraId="66AA9E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0DF897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BA133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注：价格分计算保留小数点后二位。</w:t>
            </w:r>
          </w:p>
          <w:p w14:paraId="5D7230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备注：根据财政部、工信部关于印发《政府采购促进中小企业发展管理办法》的通知（财库〔2020〕46号 ）文件规定：</w:t>
            </w:r>
          </w:p>
          <w:p w14:paraId="007539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（1）对小微企业报价给予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%扣除，请按照《政府采购促进中小企业发展管理办法》要求提供中小企业声明函。</w:t>
            </w:r>
          </w:p>
          <w:p w14:paraId="4DF7AE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（2）关于监狱企业：视同小微企业。须提供由省级以上监狱管理局、戒毒管理局（含新疆生产建设兵团）出具的属于监狱企业的证明文件，否则不考虑价格扣除。</w:t>
            </w:r>
          </w:p>
          <w:p w14:paraId="3DDE5A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（3）关于残疾人福利性单位：视同小微企业。须提供完整的“残疾人福利性单位声明函”，否则在价格评审时不予考虑价格扣除。残疾人福利性单位属于小型、微型企业的，不重复享受政策。</w:t>
            </w:r>
          </w:p>
          <w:p w14:paraId="7C59BB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（4）没有提供有效证明材料的供应商将被视为不接受投标总价的扣除，用原投标总价参与评审。</w:t>
            </w:r>
          </w:p>
        </w:tc>
      </w:tr>
      <w:tr w14:paraId="11DBD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391" w:type="dxa"/>
            <w:vMerge w:val="restart"/>
            <w:tcBorders>
              <w:left w:val="single" w:color="auto" w:sz="4" w:space="0"/>
            </w:tcBorders>
            <w:noWrap w:val="0"/>
            <w:vAlign w:val="center"/>
          </w:tcPr>
          <w:p w14:paraId="75ED5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技术部分</w:t>
            </w:r>
          </w:p>
          <w:p w14:paraId="2302B3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分）</w:t>
            </w:r>
          </w:p>
        </w:tc>
        <w:tc>
          <w:tcPr>
            <w:tcW w:w="1692" w:type="dxa"/>
            <w:tcBorders>
              <w:right w:val="single" w:color="auto" w:sz="4" w:space="0"/>
            </w:tcBorders>
            <w:noWrap w:val="0"/>
            <w:vAlign w:val="center"/>
          </w:tcPr>
          <w:p w14:paraId="5FBAC4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总体实施方案</w:t>
            </w:r>
          </w:p>
          <w:p w14:paraId="28F754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5551" w:type="dxa"/>
            <w:tcBorders>
              <w:left w:val="single" w:color="auto" w:sz="4" w:space="0"/>
            </w:tcBorders>
            <w:noWrap w:val="0"/>
            <w:vAlign w:val="center"/>
          </w:tcPr>
          <w:p w14:paraId="007FF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供应商提供总体实施方案得10分；无此项不得分。</w:t>
            </w:r>
          </w:p>
        </w:tc>
      </w:tr>
      <w:tr w14:paraId="15366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2" w:hRule="atLeast"/>
          <w:jc w:val="center"/>
        </w:trPr>
        <w:tc>
          <w:tcPr>
            <w:tcW w:w="1391" w:type="dxa"/>
            <w:vMerge w:val="continue"/>
            <w:tcBorders>
              <w:left w:val="single" w:color="auto" w:sz="4" w:space="0"/>
            </w:tcBorders>
            <w:noWrap w:val="0"/>
            <w:vAlign w:val="center"/>
          </w:tcPr>
          <w:p w14:paraId="4F9266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noWrap w:val="0"/>
            <w:vAlign w:val="center"/>
          </w:tcPr>
          <w:p w14:paraId="5FA346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项目组织机</w:t>
            </w:r>
          </w:p>
          <w:p w14:paraId="20995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构及主要人</w:t>
            </w:r>
          </w:p>
          <w:p w14:paraId="36AA55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员岗位职责</w:t>
            </w:r>
          </w:p>
          <w:p w14:paraId="00C863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551" w:type="dxa"/>
            <w:tcBorders>
              <w:left w:val="single" w:color="auto" w:sz="4" w:space="0"/>
            </w:tcBorders>
            <w:noWrap w:val="0"/>
            <w:vAlign w:val="center"/>
          </w:tcPr>
          <w:p w14:paraId="795C06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供应商提供组织机构方案、人员职责岗位分工明细且对本项目有专属的人员配备的得10分（项目人员不少于3人）,无描述的此项不得分</w:t>
            </w:r>
          </w:p>
        </w:tc>
      </w:tr>
      <w:tr w14:paraId="51DA2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391" w:type="dxa"/>
            <w:vMerge w:val="continue"/>
            <w:tcBorders>
              <w:left w:val="single" w:color="auto" w:sz="4" w:space="0"/>
            </w:tcBorders>
            <w:noWrap w:val="0"/>
            <w:vAlign w:val="center"/>
          </w:tcPr>
          <w:p w14:paraId="1C771D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shd w:val="clear" w:color="auto" w:fill="auto"/>
            <w:noWrap w:val="0"/>
            <w:vAlign w:val="center"/>
          </w:tcPr>
          <w:p w14:paraId="6B8451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对本项目实施过程质量保障的合理性(10分)</w:t>
            </w:r>
          </w:p>
        </w:tc>
        <w:tc>
          <w:tcPr>
            <w:tcW w:w="5551" w:type="dxa"/>
            <w:tcBorders>
              <w:left w:val="single" w:color="auto" w:sz="4" w:space="0"/>
            </w:tcBorders>
            <w:shd w:val="clear" w:color="auto" w:fill="auto"/>
            <w:noWrap w:val="0"/>
            <w:vAlign w:val="center"/>
          </w:tcPr>
          <w:p w14:paraId="2C26DF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供应商提供项目实施管理过程质量保障措施得10分；无描述的此项不得分</w:t>
            </w:r>
          </w:p>
        </w:tc>
      </w:tr>
      <w:tr w14:paraId="209AF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391" w:type="dxa"/>
            <w:vMerge w:val="continue"/>
            <w:tcBorders>
              <w:left w:val="single" w:color="auto" w:sz="4" w:space="0"/>
            </w:tcBorders>
            <w:noWrap w:val="0"/>
            <w:vAlign w:val="center"/>
          </w:tcPr>
          <w:p w14:paraId="4AC1F9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shd w:val="clear" w:color="auto" w:fill="auto"/>
            <w:noWrap w:val="0"/>
            <w:vAlign w:val="center"/>
          </w:tcPr>
          <w:p w14:paraId="5E7636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工作进度的计划安排情况(10分)</w:t>
            </w:r>
          </w:p>
        </w:tc>
        <w:tc>
          <w:tcPr>
            <w:tcW w:w="5551" w:type="dxa"/>
            <w:tcBorders>
              <w:left w:val="single" w:color="auto" w:sz="4" w:space="0"/>
            </w:tcBorders>
            <w:shd w:val="clear" w:color="auto" w:fill="auto"/>
            <w:noWrap w:val="0"/>
            <w:vAlign w:val="center"/>
          </w:tcPr>
          <w:p w14:paraId="2563B2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提供进度计划保障措施得10分(响应文件内须包含进度计划表，否则不得分)无此项描述不得分</w:t>
            </w:r>
          </w:p>
        </w:tc>
      </w:tr>
      <w:tr w14:paraId="0F129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391" w:type="dxa"/>
            <w:vMerge w:val="continue"/>
            <w:tcBorders>
              <w:left w:val="single" w:color="auto" w:sz="4" w:space="0"/>
            </w:tcBorders>
            <w:noWrap w:val="0"/>
            <w:vAlign w:val="center"/>
          </w:tcPr>
          <w:p w14:paraId="33D2C8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shd w:val="clear" w:color="auto" w:fill="auto"/>
            <w:noWrap w:val="0"/>
            <w:vAlign w:val="center"/>
          </w:tcPr>
          <w:p w14:paraId="1E6283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zh-CN" w:eastAsia="en-US" w:bidi="ar-SA"/>
              </w:rPr>
            </w:pPr>
            <w:r>
              <w:rPr>
                <w:rFonts w:hint="eastAsia" w:ascii="宋体" w:hAnsi="宋体" w:eastAsia="宋体" w:cs="宋体"/>
                <w:color w:val="auto"/>
                <w:sz w:val="24"/>
                <w:szCs w:val="24"/>
                <w:highlight w:val="none"/>
                <w:lang w:val="en-US" w:eastAsia="zh-CN"/>
              </w:rPr>
              <w:t>重点难点分析(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51" w:type="dxa"/>
            <w:tcBorders>
              <w:left w:val="single" w:color="auto" w:sz="4" w:space="0"/>
            </w:tcBorders>
            <w:shd w:val="clear" w:color="auto" w:fill="auto"/>
            <w:noWrap w:val="0"/>
            <w:vAlign w:val="center"/>
          </w:tcPr>
          <w:p w14:paraId="536D0C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zh-CN" w:eastAsia="en-US" w:bidi="ar-SA"/>
              </w:rPr>
            </w:pPr>
            <w:r>
              <w:rPr>
                <w:rFonts w:hint="eastAsia" w:ascii="宋体" w:hAnsi="宋体" w:eastAsia="宋体" w:cs="宋体"/>
                <w:color w:val="auto"/>
                <w:sz w:val="24"/>
                <w:szCs w:val="24"/>
                <w:highlight w:val="none"/>
                <w:lang w:val="en-US" w:eastAsia="zh-CN"/>
              </w:rPr>
              <w:t>提供项目实际情况及项目的要求重点难点分析解决方案得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分；无描述的此项不得分</w:t>
            </w:r>
          </w:p>
        </w:tc>
      </w:tr>
      <w:tr w14:paraId="64149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0" w:hRule="atLeast"/>
          <w:jc w:val="center"/>
        </w:trPr>
        <w:tc>
          <w:tcPr>
            <w:tcW w:w="1391" w:type="dxa"/>
            <w:vMerge w:val="continue"/>
            <w:tcBorders>
              <w:left w:val="single" w:color="auto" w:sz="4" w:space="0"/>
            </w:tcBorders>
            <w:noWrap w:val="0"/>
            <w:vAlign w:val="center"/>
          </w:tcPr>
          <w:p w14:paraId="1F1D39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noWrap w:val="0"/>
            <w:vAlign w:val="center"/>
          </w:tcPr>
          <w:p w14:paraId="6329ED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应急服务方案及抗风险措施(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51" w:type="dxa"/>
            <w:tcBorders>
              <w:left w:val="single" w:color="auto" w:sz="4" w:space="0"/>
            </w:tcBorders>
            <w:noWrap w:val="0"/>
            <w:vAlign w:val="center"/>
          </w:tcPr>
          <w:p w14:paraId="5EC23C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准确、高效的完成受托业务采取的措施及服务期间可能遇到的问题的处理方式措施得分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分，无此项不得分。</w:t>
            </w:r>
          </w:p>
        </w:tc>
      </w:tr>
      <w:tr w14:paraId="7913F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1391" w:type="dxa"/>
            <w:vMerge w:val="restart"/>
            <w:tcBorders>
              <w:left w:val="single" w:color="auto" w:sz="4" w:space="0"/>
            </w:tcBorders>
            <w:noWrap w:val="0"/>
            <w:vAlign w:val="center"/>
          </w:tcPr>
          <w:p w14:paraId="1A50C9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w:t>
            </w:r>
          </w:p>
          <w:p w14:paraId="7098FC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1692" w:type="dxa"/>
            <w:tcBorders>
              <w:right w:val="single" w:color="auto" w:sz="4" w:space="0"/>
            </w:tcBorders>
            <w:shd w:val="clear" w:color="auto" w:fill="auto"/>
            <w:noWrap w:val="0"/>
            <w:vAlign w:val="center"/>
          </w:tcPr>
          <w:p w14:paraId="752C61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51" w:type="dxa"/>
            <w:tcBorders>
              <w:left w:val="single" w:color="auto" w:sz="4" w:space="0"/>
            </w:tcBorders>
            <w:shd w:val="clear" w:color="auto" w:fill="auto"/>
            <w:noWrap w:val="0"/>
            <w:vAlign w:val="center"/>
          </w:tcPr>
          <w:p w14:paraId="2A3DC4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2022年1月1日以来，承担过类似项目业绩（洪水影响或水土保持）的，每提供一项得2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分。（提供合同扫描件）</w:t>
            </w:r>
          </w:p>
        </w:tc>
      </w:tr>
      <w:tr w14:paraId="0831C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0" w:hRule="atLeast"/>
          <w:jc w:val="center"/>
        </w:trPr>
        <w:tc>
          <w:tcPr>
            <w:tcW w:w="1391" w:type="dxa"/>
            <w:vMerge w:val="continue"/>
            <w:tcBorders>
              <w:left w:val="single" w:color="auto" w:sz="4" w:space="0"/>
            </w:tcBorders>
            <w:noWrap w:val="0"/>
            <w:vAlign w:val="center"/>
          </w:tcPr>
          <w:p w14:paraId="5DACFD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tc>
        <w:tc>
          <w:tcPr>
            <w:tcW w:w="1692" w:type="dxa"/>
            <w:tcBorders>
              <w:right w:val="single" w:color="auto" w:sz="4" w:space="0"/>
            </w:tcBorders>
            <w:shd w:val="clear" w:color="auto" w:fill="auto"/>
            <w:noWrap w:val="0"/>
            <w:vAlign w:val="center"/>
          </w:tcPr>
          <w:p w14:paraId="3EA6A3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拟投入人员</w:t>
            </w:r>
          </w:p>
          <w:p w14:paraId="221BB3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en-US"/>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en-US"/>
              </w:rPr>
              <w:t>分）</w:t>
            </w:r>
          </w:p>
        </w:tc>
        <w:tc>
          <w:tcPr>
            <w:tcW w:w="5551" w:type="dxa"/>
            <w:tcBorders>
              <w:left w:val="single" w:color="auto" w:sz="4" w:space="0"/>
            </w:tcBorders>
            <w:shd w:val="clear" w:color="auto" w:fill="auto"/>
            <w:noWrap w:val="0"/>
            <w:vAlign w:val="center"/>
          </w:tcPr>
          <w:p w14:paraId="632E20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en-US"/>
              </w:rPr>
              <w:t>除项目负责人外，拟派项目组成员具有（水利相关专业）中级及以上职称或职业资格证书的得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en-US"/>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en-US"/>
              </w:rPr>
              <w:t>分。（提供职称证书及本单位为其缴纳社保证明）</w:t>
            </w:r>
          </w:p>
        </w:tc>
      </w:tr>
      <w:tr w14:paraId="3F6D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1391" w:type="dxa"/>
            <w:vMerge w:val="continue"/>
            <w:tcBorders>
              <w:left w:val="single" w:color="auto" w:sz="4" w:space="0"/>
            </w:tcBorders>
            <w:noWrap w:val="0"/>
            <w:vAlign w:val="center"/>
          </w:tcPr>
          <w:p w14:paraId="2EAC5F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1692" w:type="dxa"/>
            <w:tcBorders>
              <w:right w:val="single" w:color="auto" w:sz="4" w:space="0"/>
            </w:tcBorders>
            <w:shd w:val="clear" w:color="auto" w:fill="auto"/>
            <w:noWrap w:val="0"/>
            <w:vAlign w:val="center"/>
          </w:tcPr>
          <w:p w14:paraId="00953B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zh-CN" w:eastAsia="en-US" w:bidi="ar-SA"/>
              </w:rPr>
            </w:pPr>
            <w:r>
              <w:rPr>
                <w:rFonts w:hint="eastAsia" w:ascii="宋体" w:hAnsi="宋体" w:eastAsia="宋体" w:cs="宋体"/>
                <w:color w:val="auto"/>
                <w:sz w:val="24"/>
                <w:szCs w:val="24"/>
                <w:highlight w:val="none"/>
                <w:lang w:val="en-US" w:eastAsia="zh-CN"/>
              </w:rPr>
              <w:t>证书（3分）</w:t>
            </w:r>
          </w:p>
        </w:tc>
        <w:tc>
          <w:tcPr>
            <w:tcW w:w="5551" w:type="dxa"/>
            <w:tcBorders>
              <w:left w:val="single" w:color="auto" w:sz="4" w:space="0"/>
            </w:tcBorders>
            <w:shd w:val="clear" w:color="auto" w:fill="auto"/>
            <w:noWrap w:val="0"/>
            <w:vAlign w:val="center"/>
          </w:tcPr>
          <w:p w14:paraId="355EF0F8">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供应商拥有水文地质勘察乙级及以上资质得2分，以提供证书扫描件为准，未提供的不得分。</w:t>
            </w:r>
          </w:p>
          <w:p w14:paraId="545D28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zh-CN" w:eastAsia="en-US" w:bidi="ar-SA"/>
              </w:rPr>
            </w:pPr>
            <w:r>
              <w:rPr>
                <w:rFonts w:hint="eastAsia" w:ascii="宋体" w:hAnsi="宋体" w:eastAsia="宋体" w:cs="宋体"/>
                <w:color w:val="auto"/>
                <w:sz w:val="24"/>
                <w:szCs w:val="24"/>
                <w:highlight w:val="none"/>
                <w:lang w:val="en-US" w:eastAsia="zh-CN"/>
              </w:rPr>
              <w:t>2.供应商拥有行业设计乙级及以上资质得1分，以提供证书扫描件为准，未提供的不得分。</w:t>
            </w:r>
          </w:p>
        </w:tc>
      </w:tr>
      <w:tr w14:paraId="5EC76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1391" w:type="dxa"/>
            <w:vMerge w:val="continue"/>
            <w:tcBorders>
              <w:left w:val="single" w:color="auto" w:sz="4" w:space="0"/>
            </w:tcBorders>
            <w:noWrap w:val="0"/>
            <w:vAlign w:val="center"/>
          </w:tcPr>
          <w:p w14:paraId="7ACA59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auto"/>
                <w:sz w:val="24"/>
                <w:szCs w:val="24"/>
                <w:highlight w:val="none"/>
                <w:lang w:val="zh-CN" w:eastAsia="zh-CN"/>
              </w:rPr>
            </w:pPr>
          </w:p>
        </w:tc>
        <w:tc>
          <w:tcPr>
            <w:tcW w:w="1692" w:type="dxa"/>
            <w:tcBorders>
              <w:right w:val="single" w:color="auto" w:sz="4" w:space="0"/>
            </w:tcBorders>
            <w:noWrap w:val="0"/>
            <w:vAlign w:val="center"/>
          </w:tcPr>
          <w:p w14:paraId="2F7FBC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服务保证措施(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5551" w:type="dxa"/>
            <w:tcBorders>
              <w:left w:val="single" w:color="auto" w:sz="4" w:space="0"/>
            </w:tcBorders>
            <w:noWrap w:val="0"/>
            <w:vAlign w:val="center"/>
          </w:tcPr>
          <w:p w14:paraId="5A3209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供应商提供服务质量保证措施、保密措施等得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分，无描述的此项不得分。</w:t>
            </w:r>
          </w:p>
        </w:tc>
      </w:tr>
      <w:tr w14:paraId="4138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1391" w:type="dxa"/>
            <w:vMerge w:val="continue"/>
            <w:tcBorders>
              <w:left w:val="single" w:color="auto" w:sz="4" w:space="0"/>
            </w:tcBorders>
            <w:noWrap w:val="0"/>
            <w:vAlign w:val="center"/>
          </w:tcPr>
          <w:p w14:paraId="2FB778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auto"/>
                <w:sz w:val="24"/>
                <w:szCs w:val="24"/>
                <w:highlight w:val="none"/>
                <w:lang w:val="zh-CN" w:eastAsia="zh-CN"/>
              </w:rPr>
            </w:pPr>
          </w:p>
        </w:tc>
        <w:tc>
          <w:tcPr>
            <w:tcW w:w="1692" w:type="dxa"/>
            <w:tcBorders>
              <w:right w:val="single" w:color="auto" w:sz="4" w:space="0"/>
            </w:tcBorders>
            <w:shd w:val="clear" w:color="auto" w:fill="auto"/>
            <w:noWrap w:val="0"/>
            <w:vAlign w:val="center"/>
          </w:tcPr>
          <w:p w14:paraId="79CBCC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服务承诺(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5551" w:type="dxa"/>
            <w:tcBorders>
              <w:left w:val="single" w:color="auto" w:sz="4" w:space="0"/>
              <w:bottom w:val="single" w:color="auto" w:sz="4" w:space="0"/>
            </w:tcBorders>
            <w:shd w:val="clear" w:color="auto" w:fill="auto"/>
            <w:noWrap w:val="0"/>
            <w:vAlign w:val="center"/>
          </w:tcPr>
          <w:p w14:paraId="63CF80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①承诺拟派人员未经采购单位同意中途不得更换人员，且能够提供现场服务。</w:t>
            </w:r>
          </w:p>
          <w:p w14:paraId="77C228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②承诺能够免费提供本项目以外有关内容口头咨询服务。</w:t>
            </w:r>
          </w:p>
          <w:p w14:paraId="402A7F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③在项目实施过程中，供应商与拟投入人员承诺廉洁自律，能够实事求是的实施项目、出具评价报告。</w:t>
            </w:r>
          </w:p>
          <w:p w14:paraId="4783C0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提供服务承诺方案得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分，未提供服务承诺方案不得分。</w:t>
            </w:r>
          </w:p>
        </w:tc>
      </w:tr>
    </w:tbl>
    <w:p w14:paraId="37205FB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最终得分为磋商小组所有成员计分的算术平均值，计算保留小数点两位，小数点后第三位四舍五入。</w:t>
      </w:r>
    </w:p>
    <w:p w14:paraId="50EB0A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62B0E9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7A3F8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14:paraId="1B1E5B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AD1EF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14:paraId="2039AA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14:paraId="35E6AE5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14:paraId="0FF24F29">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14:paraId="212E37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14:paraId="441C8B1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21E225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14:paraId="466AB7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14:paraId="30B96005">
      <w:pPr>
        <w:spacing w:line="720" w:lineRule="auto"/>
        <w:jc w:val="center"/>
        <w:outlineLvl w:val="1"/>
        <w:rPr>
          <w:rFonts w:ascii="宋体" w:hAnsi="宋体" w:cs="宋体"/>
          <w:b/>
          <w:color w:val="auto"/>
          <w:sz w:val="24"/>
          <w:highlight w:val="none"/>
        </w:rPr>
      </w:pPr>
      <w:bookmarkStart w:id="42" w:name="_Toc17605"/>
      <w:r>
        <w:rPr>
          <w:rFonts w:hint="eastAsia" w:ascii="宋体" w:hAnsi="宋体" w:cs="宋体"/>
          <w:b/>
          <w:color w:val="auto"/>
          <w:sz w:val="24"/>
          <w:highlight w:val="none"/>
        </w:rPr>
        <w:t>七、成交通知</w:t>
      </w:r>
      <w:bookmarkEnd w:id="42"/>
    </w:p>
    <w:p w14:paraId="1145FF94">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14:paraId="0ABF2301">
      <w:pPr>
        <w:pStyle w:val="3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14:paraId="1C22F372">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w:t>
      </w:r>
      <w:r>
        <w:rPr>
          <w:rFonts w:hint="eastAsia" w:ascii="宋体" w:hAnsi="宋体" w:cs="宋体"/>
          <w:color w:val="auto"/>
          <w:sz w:val="24"/>
          <w:highlight w:val="none"/>
          <w:lang w:val="en-US" w:eastAsia="zh-CN"/>
        </w:rPr>
        <w:t>在发出成交公告后</w:t>
      </w:r>
      <w:r>
        <w:rPr>
          <w:rFonts w:hint="eastAsia" w:ascii="宋体" w:hAnsi="宋体" w:eastAsia="宋体" w:cs="宋体"/>
          <w:color w:val="auto"/>
          <w:sz w:val="24"/>
          <w:highlight w:val="none"/>
          <w:lang w:val="en-US" w:eastAsia="zh-CN"/>
        </w:rPr>
        <w:t>请采购人、中标人登录</w:t>
      </w:r>
      <w:r>
        <w:rPr>
          <w:rFonts w:hint="eastAsia" w:ascii="宋体" w:hAnsi="宋体" w:eastAsia="宋体" w:cs="宋体"/>
          <w:color w:val="auto"/>
          <w:sz w:val="24"/>
          <w:highlight w:val="none"/>
        </w:rPr>
        <w:t>周口市公共资源</w:t>
      </w:r>
      <w:r>
        <w:rPr>
          <w:rFonts w:hint="eastAsia" w:ascii="宋体" w:hAnsi="宋体" w:eastAsia="宋体" w:cs="宋体"/>
          <w:color w:val="auto"/>
          <w:sz w:val="24"/>
          <w:szCs w:val="24"/>
          <w:highlight w:val="none"/>
        </w:rPr>
        <w:t>交易</w:t>
      </w:r>
      <w:r>
        <w:rPr>
          <w:rFonts w:hint="eastAsia" w:ascii="宋体" w:hAnsi="宋体" w:eastAsia="宋体" w:cs="宋体"/>
          <w:color w:val="auto"/>
          <w:sz w:val="24"/>
          <w:highlight w:val="none"/>
          <w:lang w:eastAsia="zh-CN"/>
        </w:rPr>
        <w:t>中心网</w:t>
      </w:r>
      <w:r>
        <w:rPr>
          <w:rFonts w:hint="eastAsia" w:ascii="宋体" w:hAnsi="宋体" w:eastAsia="宋体" w:cs="宋体"/>
          <w:color w:val="auto"/>
          <w:sz w:val="24"/>
          <w:szCs w:val="24"/>
          <w:highlight w:val="none"/>
        </w:rPr>
        <w:t>（http://jyzx.zhoukou.gov.cn）</w:t>
      </w:r>
      <w:r>
        <w:rPr>
          <w:rFonts w:hint="eastAsia" w:ascii="宋体" w:hAnsi="宋体" w:eastAsia="宋体" w:cs="宋体"/>
          <w:color w:val="auto"/>
          <w:sz w:val="24"/>
          <w:szCs w:val="24"/>
          <w:highlight w:val="none"/>
          <w:lang w:val="en-US" w:eastAsia="zh-CN"/>
        </w:rPr>
        <w:t>自行下载</w:t>
      </w:r>
      <w:r>
        <w:rPr>
          <w:rFonts w:hint="eastAsia" w:cs="宋体"/>
          <w:color w:val="auto"/>
          <w:sz w:val="24"/>
          <w:highlight w:val="none"/>
          <w:lang w:val="en-US" w:eastAsia="zh-CN"/>
        </w:rPr>
        <w:t>成交</w:t>
      </w:r>
      <w:r>
        <w:rPr>
          <w:rFonts w:hint="eastAsia" w:ascii="宋体" w:hAnsi="宋体" w:eastAsia="宋体" w:cs="宋体"/>
          <w:color w:val="auto"/>
          <w:sz w:val="24"/>
          <w:highlight w:val="none"/>
        </w:rPr>
        <w:t>通知书。</w:t>
      </w:r>
    </w:p>
    <w:p w14:paraId="49E6585E">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14:paraId="371F62C3">
      <w:pPr>
        <w:spacing w:line="720" w:lineRule="auto"/>
        <w:jc w:val="center"/>
        <w:outlineLvl w:val="1"/>
        <w:rPr>
          <w:rFonts w:ascii="宋体" w:hAnsi="宋体" w:cs="宋体"/>
          <w:color w:val="auto"/>
          <w:sz w:val="24"/>
          <w:highlight w:val="none"/>
        </w:rPr>
      </w:pPr>
      <w:bookmarkStart w:id="43" w:name="_Toc16454"/>
      <w:r>
        <w:rPr>
          <w:rFonts w:hint="eastAsia" w:ascii="宋体" w:hAnsi="宋体" w:cs="宋体"/>
          <w:b/>
          <w:color w:val="auto"/>
          <w:sz w:val="24"/>
          <w:highlight w:val="none"/>
        </w:rPr>
        <w:t>八、合同授予</w:t>
      </w:r>
      <w:bookmarkEnd w:id="43"/>
    </w:p>
    <w:p w14:paraId="6450F377">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14:paraId="738289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25.1采购人、成交供应商按照竞争性磋商文件确定的合同文本签订政府采购合同。</w:t>
      </w:r>
    </w:p>
    <w:p w14:paraId="696699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0BAE2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09D99290">
      <w:pPr>
        <w:spacing w:line="720" w:lineRule="auto"/>
        <w:jc w:val="center"/>
        <w:outlineLvl w:val="1"/>
        <w:rPr>
          <w:rFonts w:ascii="宋体" w:hAnsi="宋体" w:cs="宋体"/>
          <w:b/>
          <w:color w:val="auto"/>
          <w:sz w:val="24"/>
          <w:highlight w:val="none"/>
        </w:rPr>
      </w:pPr>
      <w:bookmarkStart w:id="44" w:name="_Toc563"/>
      <w:r>
        <w:rPr>
          <w:rFonts w:hint="eastAsia" w:ascii="宋体" w:hAnsi="宋体" w:cs="宋体"/>
          <w:b/>
          <w:color w:val="auto"/>
          <w:sz w:val="24"/>
          <w:highlight w:val="none"/>
        </w:rPr>
        <w:t>九、质疑处理</w:t>
      </w:r>
      <w:bookmarkEnd w:id="44"/>
    </w:p>
    <w:p w14:paraId="3F068C14">
      <w:pPr>
        <w:pStyle w:val="3"/>
        <w:spacing w:line="560" w:lineRule="exact"/>
        <w:ind w:firstLine="482" w:firstLineChars="200"/>
        <w:jc w:val="both"/>
        <w:rPr>
          <w:rFonts w:ascii="宋体" w:hAnsi="宋体" w:cs="宋体"/>
          <w:b/>
          <w:color w:val="auto"/>
          <w:sz w:val="24"/>
          <w:highlight w:val="none"/>
        </w:rPr>
      </w:pPr>
      <w:bookmarkStart w:id="45" w:name="_Toc19018"/>
      <w:r>
        <w:rPr>
          <w:rFonts w:hint="eastAsia" w:ascii="宋体" w:hAnsi="宋体" w:cs="宋体"/>
          <w:b/>
          <w:color w:val="auto"/>
          <w:sz w:val="24"/>
          <w:highlight w:val="none"/>
        </w:rPr>
        <w:t>26.质疑程序及处理</w:t>
      </w:r>
      <w:bookmarkEnd w:id="45"/>
    </w:p>
    <w:p w14:paraId="3AB908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5BCAA0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14:paraId="003242C9">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14:paraId="29410D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29A4F6EB">
      <w:pPr>
        <w:spacing w:line="560" w:lineRule="exact"/>
        <w:ind w:firstLine="480" w:firstLineChars="200"/>
        <w:rPr>
          <w:rFonts w:hint="eastAsia" w:ascii="宋体" w:hAnsi="宋体" w:cs="宋体"/>
          <w:color w:val="auto"/>
          <w:sz w:val="24"/>
          <w:highlight w:val="none"/>
        </w:rPr>
      </w:pPr>
    </w:p>
    <w:p w14:paraId="3938EB0B">
      <w:pPr>
        <w:spacing w:line="560" w:lineRule="exact"/>
        <w:rPr>
          <w:rFonts w:ascii="宋体" w:hAnsi="宋体" w:cs="宋体"/>
          <w:color w:val="auto"/>
          <w:sz w:val="24"/>
          <w:highlight w:val="none"/>
        </w:rPr>
        <w:sectPr>
          <w:headerReference r:id="rId3" w:type="default"/>
          <w:footerReference r:id="rId4" w:type="default"/>
          <w:pgSz w:w="11907" w:h="16840"/>
          <w:pgMar w:top="1440" w:right="1800" w:bottom="1440" w:left="1800" w:header="851" w:footer="992" w:gutter="0"/>
          <w:cols w:space="720" w:num="1"/>
          <w:docGrid w:type="lines" w:linePitch="312" w:charSpace="0"/>
        </w:sectPr>
      </w:pPr>
    </w:p>
    <w:p w14:paraId="2EF3CFA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宋体" w:hAnsi="宋体" w:cs="宋体"/>
          <w:b/>
          <w:color w:val="auto"/>
          <w:sz w:val="32"/>
          <w:szCs w:val="32"/>
          <w:highlight w:val="none"/>
        </w:rPr>
      </w:pPr>
      <w:bookmarkStart w:id="46" w:name="_Toc1759"/>
      <w:r>
        <w:rPr>
          <w:rFonts w:hint="eastAsia" w:ascii="宋体" w:hAnsi="宋体" w:cs="宋体"/>
          <w:b/>
          <w:color w:val="auto"/>
          <w:sz w:val="32"/>
          <w:szCs w:val="32"/>
          <w:highlight w:val="none"/>
        </w:rPr>
        <w:t>第三章 采购项目内容及要求</w:t>
      </w:r>
      <w:bookmarkEnd w:id="46"/>
    </w:p>
    <w:p w14:paraId="44424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Style w:val="67"/>
          <w:rFonts w:ascii="宋体" w:hAnsi="宋体" w:cs="宋体"/>
          <w:color w:val="auto"/>
          <w:sz w:val="24"/>
          <w:szCs w:val="24"/>
          <w:highlight w:val="none"/>
          <w:lang w:val="zh-CN"/>
        </w:rPr>
      </w:pPr>
      <w:r>
        <w:rPr>
          <w:rStyle w:val="67"/>
          <w:rFonts w:hint="eastAsia" w:ascii="宋体" w:hAnsi="宋体" w:cs="宋体"/>
          <w:color w:val="auto"/>
          <w:sz w:val="24"/>
          <w:szCs w:val="24"/>
          <w:highlight w:val="none"/>
          <w:lang w:val="en-US" w:eastAsia="zh-CN"/>
        </w:rPr>
        <w:t>1、</w:t>
      </w:r>
      <w:r>
        <w:rPr>
          <w:rStyle w:val="67"/>
          <w:rFonts w:hint="eastAsia" w:ascii="宋体" w:hAnsi="宋体" w:cs="宋体"/>
          <w:color w:val="auto"/>
          <w:sz w:val="24"/>
          <w:szCs w:val="24"/>
          <w:highlight w:val="none"/>
          <w:lang w:val="zh-CN"/>
        </w:rPr>
        <w:t>本项目采购内容：</w:t>
      </w:r>
    </w:p>
    <w:p w14:paraId="676007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24"/>
          <w:szCs w:val="24"/>
          <w:highlight w:val="none"/>
          <w:lang w:val="zh-CN" w:eastAsia="zh-CN"/>
        </w:rPr>
      </w:pPr>
      <w:r>
        <w:rPr>
          <w:rFonts w:hint="eastAsia"/>
          <w:b/>
          <w:bCs/>
          <w:color w:val="auto"/>
          <w:sz w:val="24"/>
          <w:szCs w:val="24"/>
          <w:highlight w:val="none"/>
          <w:lang w:val="zh-CN" w:eastAsia="zh-CN"/>
        </w:rPr>
        <w:t>水土保持</w:t>
      </w:r>
      <w:r>
        <w:rPr>
          <w:rFonts w:hint="eastAsia"/>
          <w:b/>
          <w:bCs/>
          <w:color w:val="auto"/>
          <w:sz w:val="24"/>
          <w:szCs w:val="24"/>
          <w:highlight w:val="none"/>
          <w:lang w:val="zh-CN"/>
        </w:rPr>
        <w:t>区域评估编制的</w:t>
      </w:r>
      <w:r>
        <w:rPr>
          <w:rFonts w:hint="eastAsia"/>
          <w:b/>
          <w:bCs/>
          <w:color w:val="auto"/>
          <w:sz w:val="24"/>
          <w:szCs w:val="24"/>
          <w:highlight w:val="none"/>
          <w:lang w:val="zh-CN" w:eastAsia="zh-CN"/>
        </w:rPr>
        <w:t>目的</w:t>
      </w:r>
    </w:p>
    <w:p w14:paraId="2EB506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sz w:val="24"/>
          <w:szCs w:val="24"/>
          <w:highlight w:val="none"/>
          <w:lang w:val="zh-CN"/>
        </w:rPr>
      </w:pPr>
      <w:r>
        <w:rPr>
          <w:rFonts w:hint="default"/>
          <w:color w:val="auto"/>
          <w:sz w:val="24"/>
          <w:szCs w:val="24"/>
          <w:highlight w:val="none"/>
          <w:lang w:val="zh-CN"/>
        </w:rPr>
        <w:t>为深化“放管服”改革，进一步降低企业成本，优化营商发展环境，贯彻落实《国务院办公厅关于全面开展工程建设项目审批制度改革的实施意见》（国办发〔2019〕11号）、《河南省人民政府办公厅关于实施工程建设项目区域评估的指导意见》（豫政办〔2019〕10号）、《水利部关于进一步深化“放管服”改革全面加强水土保持监管的意见》（水保〔2019〕160号），通过开展区域水土保持评估，制定区域项目准入标准及负面清单，分类优化行政审批工作机制和流程，依法加强事中、事后监管，督促入驻生产建设单位履行好水土流失防治责任和义务，提升水行政部门管理效能，为区域投资建设提供更好的营商环境。先进制造业开发区区域内规划开发建设项目众多，部分区域建设密度较为集中，极易产生水土流失。先进制造业开发区目前正处在区域建设的关键时期，也是防治水土流失、保护和合理利用水土资源的关键时期，迫切需要对预防和治理水土流失、保护和合理利用水土资源做出总体部署。编制先进制造业开发区水土保持区域评估报告书，对</w:t>
      </w:r>
      <w:r>
        <w:rPr>
          <w:rFonts w:hint="default"/>
          <w:color w:val="auto"/>
          <w:sz w:val="24"/>
          <w:szCs w:val="24"/>
          <w:highlight w:val="none"/>
          <w:lang w:val="zh-CN" w:eastAsia="zh-CN"/>
        </w:rPr>
        <w:t>开发</w:t>
      </w:r>
      <w:r>
        <w:rPr>
          <w:rFonts w:hint="default"/>
          <w:color w:val="auto"/>
          <w:sz w:val="24"/>
          <w:szCs w:val="24"/>
          <w:highlight w:val="none"/>
          <w:lang w:val="zh-CN"/>
        </w:rPr>
        <w:t>区内防治责任范围划分，土石方综合利用和表土资源保护，水土流失防治标准范围制定，水土保持措施布设安排及水土保持补偿费缴纳要求等方面提供科学指导与合理安排，具有重要意义。</w:t>
      </w:r>
    </w:p>
    <w:p w14:paraId="575CDA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24"/>
          <w:szCs w:val="24"/>
          <w:highlight w:val="none"/>
          <w:lang w:val="zh-CN" w:eastAsia="zh-CN"/>
        </w:rPr>
      </w:pPr>
      <w:r>
        <w:rPr>
          <w:rFonts w:hint="eastAsia"/>
          <w:b/>
          <w:bCs/>
          <w:color w:val="auto"/>
          <w:sz w:val="24"/>
          <w:szCs w:val="24"/>
          <w:highlight w:val="none"/>
          <w:lang w:val="zh-CN" w:eastAsia="zh-CN"/>
        </w:rPr>
        <w:t>工作要求</w:t>
      </w:r>
    </w:p>
    <w:p w14:paraId="1BD2D0B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一）水土保持区域评估报告应按照水土保持法律法规、规章和标准的要求，依据开发区设立文件和开发区规划，在开发区开展“五通一平”前编制。</w:t>
      </w:r>
    </w:p>
    <w:p w14:paraId="16965E9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二）水土</w:t>
      </w:r>
      <w:r>
        <w:rPr>
          <w:rFonts w:hint="eastAsia"/>
          <w:color w:val="auto"/>
          <w:sz w:val="24"/>
          <w:szCs w:val="24"/>
          <w:highlight w:val="none"/>
          <w:lang w:val="zh-CN" w:eastAsia="zh-CN"/>
        </w:rPr>
        <w:t>保</w:t>
      </w:r>
      <w:r>
        <w:rPr>
          <w:rFonts w:hint="default"/>
          <w:color w:val="auto"/>
          <w:sz w:val="24"/>
          <w:szCs w:val="24"/>
          <w:highlight w:val="none"/>
          <w:lang w:val="zh-CN" w:eastAsia="zh-CN"/>
        </w:rPr>
        <w:t>持区域评估报告应进行水土保持调查，分析水土流失现状 和水土保持制约性因素，开展水土保持评价，划分水土流失防治区。</w:t>
      </w:r>
    </w:p>
    <w:p w14:paraId="374A825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三）水土保持区域评估报告应做好表土资源合理利用，科学调配土石方 ，明确取、弃土方案，确定取、弃土场位置和表土存放地。</w:t>
      </w:r>
    </w:p>
    <w:p w14:paraId="42C4A58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sz w:val="24"/>
          <w:szCs w:val="24"/>
          <w:highlight w:val="none"/>
          <w:lang w:val="zh-CN"/>
        </w:rPr>
      </w:pPr>
      <w:r>
        <w:rPr>
          <w:rFonts w:hint="default"/>
          <w:color w:val="auto"/>
          <w:sz w:val="24"/>
          <w:szCs w:val="24"/>
          <w:highlight w:val="none"/>
          <w:lang w:val="zh-CN" w:eastAsia="zh-CN"/>
        </w:rPr>
        <w:t>（四）水土保持区域评估报告应明确水土流失防治责任范围，确定水土流失防治标准和目标，提出水土保持防治措施体系和要求。</w:t>
      </w:r>
    </w:p>
    <w:p w14:paraId="4430A4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highlight w:val="none"/>
          <w:lang w:val="zh-CN" w:eastAsia="zh-CN"/>
        </w:rPr>
      </w:pPr>
      <w:r>
        <w:rPr>
          <w:rFonts w:hint="default"/>
          <w:color w:val="auto"/>
          <w:sz w:val="24"/>
          <w:szCs w:val="24"/>
          <w:highlight w:val="none"/>
          <w:lang w:val="zh-CN" w:eastAsia="zh-CN"/>
        </w:rPr>
        <w:t>（五）水土保持区域评估报告应明确水土流失防治责任主体、水土保持监 测工作责任主体及开展方式、水土保持补偿费缴纳主体及水土保持设施验收主体 等水土保持管理相关事项</w:t>
      </w:r>
      <w:r>
        <w:rPr>
          <w:rFonts w:hint="eastAsia"/>
          <w:color w:val="auto"/>
          <w:sz w:val="24"/>
          <w:szCs w:val="24"/>
          <w:highlight w:val="none"/>
          <w:lang w:val="zh-CN" w:eastAsia="zh-CN"/>
        </w:rPr>
        <w:t>。</w:t>
      </w:r>
    </w:p>
    <w:p w14:paraId="56599B8F">
      <w:pPr>
        <w:rPr>
          <w:b/>
          <w:bCs/>
          <w:color w:val="auto"/>
          <w:sz w:val="24"/>
          <w:szCs w:val="24"/>
          <w:highlight w:val="none"/>
          <w:lang w:val="zh-CN" w:eastAsia="zh-CN"/>
        </w:rPr>
      </w:pPr>
      <w:r>
        <w:rPr>
          <w:b/>
          <w:bCs/>
          <w:color w:val="auto"/>
          <w:sz w:val="24"/>
          <w:szCs w:val="24"/>
          <w:highlight w:val="none"/>
          <w:lang w:val="zh-CN" w:eastAsia="zh-CN"/>
        </w:rPr>
        <w:br w:type="page"/>
      </w:r>
    </w:p>
    <w:p w14:paraId="24A78E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color w:val="auto"/>
          <w:sz w:val="24"/>
          <w:szCs w:val="24"/>
          <w:highlight w:val="none"/>
          <w:lang w:val="zh-CN"/>
        </w:rPr>
      </w:pPr>
      <w:r>
        <w:rPr>
          <w:b/>
          <w:bCs/>
          <w:color w:val="auto"/>
          <w:sz w:val="24"/>
          <w:szCs w:val="24"/>
          <w:highlight w:val="none"/>
          <w:lang w:val="zh-CN" w:eastAsia="zh-CN"/>
        </w:rPr>
        <w:t>区域洪水影响评估报告编制的</w:t>
      </w:r>
      <w:r>
        <w:rPr>
          <w:rFonts w:hint="eastAsia"/>
          <w:b/>
          <w:bCs/>
          <w:color w:val="auto"/>
          <w:sz w:val="24"/>
          <w:szCs w:val="24"/>
          <w:highlight w:val="none"/>
          <w:lang w:val="zh-CN" w:eastAsia="zh-CN"/>
        </w:rPr>
        <w:t>目标</w:t>
      </w:r>
    </w:p>
    <w:p w14:paraId="79A864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为贯彻落实《中共中央办公厅国务院办公厅印发〈关于深入推进审批服务便民化的指导意见〉的通知》精神，深化“放管服”改革，优化营商环境的各项决策部署，聚焦项目评估评价事项多、耗时长、成本高等问题，提高项目审批效率，减轻企业负担，加快建设项目落地，按照《中共河南省委办公厅河南省人民政府办公厅关于印发〈深</w:t>
      </w:r>
      <w:r>
        <w:rPr>
          <w:color w:val="auto"/>
          <w:sz w:val="24"/>
          <w:szCs w:val="24"/>
          <w:highlight w:val="none"/>
          <w:lang w:val="zh-CN" w:eastAsia="zh-CN"/>
        </w:rPr>
        <w:t>化“一网通办”前提下“最多跑一次”改革推进审批服务便民化实施</w:t>
      </w:r>
      <w:r>
        <w:rPr>
          <w:rFonts w:hint="eastAsia"/>
          <w:color w:val="auto"/>
          <w:sz w:val="24"/>
          <w:szCs w:val="24"/>
          <w:highlight w:val="none"/>
          <w:lang w:val="zh-CN" w:eastAsia="zh-CN"/>
        </w:rPr>
        <w:t>方案〉的通知》（厅文〔</w:t>
      </w:r>
      <w:r>
        <w:rPr>
          <w:rFonts w:hint="default"/>
          <w:color w:val="auto"/>
          <w:sz w:val="24"/>
          <w:szCs w:val="24"/>
          <w:highlight w:val="none"/>
          <w:lang w:val="zh-CN" w:eastAsia="zh-CN"/>
        </w:rPr>
        <w:t>2018</w:t>
      </w:r>
      <w:r>
        <w:rPr>
          <w:rFonts w:hint="eastAsia"/>
          <w:color w:val="auto"/>
          <w:sz w:val="24"/>
          <w:szCs w:val="24"/>
          <w:highlight w:val="none"/>
          <w:lang w:val="zh-CN" w:eastAsia="zh-CN"/>
        </w:rPr>
        <w:t>〕</w:t>
      </w:r>
      <w:r>
        <w:rPr>
          <w:rFonts w:hint="default"/>
          <w:color w:val="auto"/>
          <w:sz w:val="24"/>
          <w:szCs w:val="24"/>
          <w:highlight w:val="none"/>
          <w:lang w:val="zh-CN" w:eastAsia="zh-CN"/>
        </w:rPr>
        <w:t xml:space="preserve">18 </w:t>
      </w:r>
      <w:r>
        <w:rPr>
          <w:rFonts w:hint="eastAsia"/>
          <w:color w:val="auto"/>
          <w:sz w:val="24"/>
          <w:szCs w:val="24"/>
          <w:highlight w:val="none"/>
          <w:lang w:val="zh-CN" w:eastAsia="zh-CN"/>
        </w:rPr>
        <w:t>号）、《河南省人民政府办公厅关于实施工程建设建设项目评估的指导意见》（豫政办〔</w:t>
      </w:r>
      <w:r>
        <w:rPr>
          <w:rFonts w:hint="default"/>
          <w:color w:val="auto"/>
          <w:sz w:val="24"/>
          <w:szCs w:val="24"/>
          <w:highlight w:val="none"/>
          <w:lang w:val="zh-CN" w:eastAsia="zh-CN"/>
        </w:rPr>
        <w:t>2019</w:t>
      </w:r>
      <w:r>
        <w:rPr>
          <w:rFonts w:hint="eastAsia"/>
          <w:color w:val="auto"/>
          <w:sz w:val="24"/>
          <w:szCs w:val="24"/>
          <w:highlight w:val="none"/>
          <w:lang w:val="zh-CN" w:eastAsia="zh-CN"/>
        </w:rPr>
        <w:t>〕</w:t>
      </w:r>
      <w:r>
        <w:rPr>
          <w:rFonts w:hint="default"/>
          <w:color w:val="auto"/>
          <w:sz w:val="24"/>
          <w:szCs w:val="24"/>
          <w:highlight w:val="none"/>
          <w:lang w:val="zh-CN" w:eastAsia="zh-CN"/>
        </w:rPr>
        <w:t>10</w:t>
      </w:r>
      <w:r>
        <w:rPr>
          <w:rFonts w:hint="eastAsia"/>
          <w:color w:val="auto"/>
          <w:sz w:val="24"/>
          <w:szCs w:val="24"/>
          <w:highlight w:val="none"/>
          <w:lang w:val="zh-CN" w:eastAsia="zh-CN"/>
        </w:rPr>
        <w:t>号）等文件要求：“全省范围内的自由贸易试验区、产业集聚区、高新技术产业开发区、经济技术开发区等园区、功能区等管理机构统一组织对区内土地勘测、矿产压覆、地质灾害、节能、水土保持、文物保护、洪水影响、地震安全性、气候可行性、环境评价等事项实施区域评估，不再进行单个项目的评估评价，区内的项目全部共享、免费使用评估成果。开发区根据所处的地理位置等情况，确需进行洪水影响评价的，将其纳入评估事项清单，统一编制洪水影响评价报告，供区内项目使用”。</w:t>
      </w:r>
    </w:p>
    <w:p w14:paraId="7F55F0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24"/>
          <w:szCs w:val="24"/>
          <w:highlight w:val="none"/>
          <w:lang w:val="zh-CN" w:eastAsia="zh-CN"/>
        </w:rPr>
      </w:pPr>
      <w:r>
        <w:rPr>
          <w:rFonts w:hint="eastAsia"/>
          <w:b/>
          <w:bCs/>
          <w:color w:val="auto"/>
          <w:sz w:val="24"/>
          <w:szCs w:val="24"/>
          <w:highlight w:val="none"/>
          <w:lang w:val="zh-CN" w:eastAsia="zh-CN"/>
        </w:rPr>
        <w:t>工作要求</w:t>
      </w:r>
    </w:p>
    <w:p w14:paraId="14B84F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color w:val="auto"/>
          <w:sz w:val="24"/>
          <w:szCs w:val="24"/>
          <w:highlight w:val="none"/>
          <w:lang w:val="zh-CN" w:eastAsia="zh-CN"/>
        </w:rPr>
        <w:t>根据《洪水影响评价报告编制导则》（</w:t>
      </w:r>
      <w:r>
        <w:rPr>
          <w:rFonts w:hint="default"/>
          <w:color w:val="auto"/>
          <w:sz w:val="24"/>
          <w:szCs w:val="24"/>
          <w:highlight w:val="none"/>
          <w:lang w:val="zh-CN" w:eastAsia="zh-CN"/>
        </w:rPr>
        <w:t>SL520-2014</w:t>
      </w:r>
      <w:r>
        <w:rPr>
          <w:rFonts w:hint="eastAsia"/>
          <w:color w:val="auto"/>
          <w:sz w:val="24"/>
          <w:szCs w:val="24"/>
          <w:highlight w:val="none"/>
          <w:lang w:val="zh-CN" w:eastAsia="zh-CN"/>
        </w:rPr>
        <w:t>）的要求，结合项目区域实际情况，确定本项目的主要研究内容，主要包括：</w:t>
      </w:r>
    </w:p>
    <w:p w14:paraId="64EA8B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1</w:t>
      </w:r>
      <w:r>
        <w:rPr>
          <w:rFonts w:hint="eastAsia"/>
          <w:color w:val="auto"/>
          <w:sz w:val="24"/>
          <w:szCs w:val="24"/>
          <w:highlight w:val="none"/>
          <w:lang w:val="zh-CN" w:eastAsia="zh-CN"/>
        </w:rPr>
        <w:t>）收集项目区域所在流域范围内的水文资料，结合工程现状，分析工程河段的设计洪水。</w:t>
      </w:r>
    </w:p>
    <w:p w14:paraId="7E4733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2</w:t>
      </w:r>
      <w:r>
        <w:rPr>
          <w:rFonts w:hint="eastAsia"/>
          <w:color w:val="auto"/>
          <w:sz w:val="24"/>
          <w:szCs w:val="24"/>
          <w:highlight w:val="none"/>
          <w:lang w:val="zh-CN" w:eastAsia="zh-CN"/>
        </w:rPr>
        <w:t>）分析评价地块的土地基本情况、水文气象特征、区域地质概况、河流水系基本情况、集水区概况以及历史洪涝灾害情况。</w:t>
      </w:r>
    </w:p>
    <w:p w14:paraId="1AC545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3</w:t>
      </w:r>
      <w:r>
        <w:rPr>
          <w:rFonts w:hint="eastAsia"/>
          <w:color w:val="auto"/>
          <w:sz w:val="24"/>
          <w:szCs w:val="24"/>
          <w:highlight w:val="none"/>
          <w:lang w:val="zh-CN" w:eastAsia="zh-CN"/>
        </w:rPr>
        <w:t>）复核计算区域主要堤防安全超高及稳定等。</w:t>
      </w:r>
    </w:p>
    <w:p w14:paraId="71497A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4</w:t>
      </w:r>
      <w:r>
        <w:rPr>
          <w:rFonts w:hint="eastAsia"/>
          <w:color w:val="auto"/>
          <w:sz w:val="24"/>
          <w:szCs w:val="24"/>
          <w:highlight w:val="none"/>
          <w:lang w:val="zh-CN" w:eastAsia="zh-CN"/>
        </w:rPr>
        <w:t>）通过洪水计算结果，分析河道洪水对项目区域的主要影响因子影响范围、影响程度等，以及现状主要涉水构筑物的洪水影响。</w:t>
      </w:r>
    </w:p>
    <w:p w14:paraId="2EF4E7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5</w:t>
      </w:r>
      <w:r>
        <w:rPr>
          <w:rFonts w:hint="eastAsia"/>
          <w:color w:val="auto"/>
          <w:sz w:val="24"/>
          <w:szCs w:val="24"/>
          <w:highlight w:val="none"/>
          <w:lang w:val="zh-CN" w:eastAsia="zh-CN"/>
        </w:rPr>
        <w:t>）依据区域的现状情况、有关规划，经对现场勘察分析，根据地方规划和国家防洪标准的有关规定，确定评价区域的防洪标准</w:t>
      </w:r>
    </w:p>
    <w:p w14:paraId="13497A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6</w:t>
      </w:r>
      <w:r>
        <w:rPr>
          <w:rFonts w:hint="eastAsia"/>
          <w:color w:val="auto"/>
          <w:sz w:val="24"/>
          <w:szCs w:val="24"/>
          <w:highlight w:val="none"/>
          <w:lang w:val="zh-CN" w:eastAsia="zh-CN"/>
        </w:rPr>
        <w:t>）根据项目区域交通道路规划，分析园区对防汛抢险的影响</w:t>
      </w:r>
    </w:p>
    <w:p w14:paraId="0264D0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7</w:t>
      </w:r>
      <w:r>
        <w:rPr>
          <w:rFonts w:hint="eastAsia"/>
          <w:color w:val="auto"/>
          <w:sz w:val="24"/>
          <w:szCs w:val="24"/>
          <w:highlight w:val="none"/>
          <w:lang w:val="zh-CN" w:eastAsia="zh-CN"/>
        </w:rPr>
        <w:t>）根据设计频率工况下的水文要素，综合分析在设计洪涝水标准情况下洪涝水对建设地块的影响，提出合理的建议。</w:t>
      </w:r>
    </w:p>
    <w:p w14:paraId="3168CE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67"/>
          <w:rFonts w:hint="eastAsia" w:ascii="宋体" w:hAnsi="宋体" w:cs="宋体"/>
          <w:color w:val="auto"/>
          <w:sz w:val="24"/>
          <w:szCs w:val="24"/>
          <w:highlight w:val="none"/>
          <w:lang w:val="zh-CN"/>
        </w:rPr>
      </w:pPr>
      <w:r>
        <w:rPr>
          <w:rFonts w:hint="eastAsia"/>
          <w:color w:val="auto"/>
          <w:sz w:val="24"/>
          <w:szCs w:val="24"/>
          <w:highlight w:val="none"/>
          <w:lang w:val="zh-CN" w:eastAsia="zh-CN"/>
        </w:rPr>
        <w:t>（</w:t>
      </w:r>
      <w:r>
        <w:rPr>
          <w:rFonts w:hint="default"/>
          <w:color w:val="auto"/>
          <w:sz w:val="24"/>
          <w:szCs w:val="24"/>
          <w:highlight w:val="none"/>
          <w:lang w:val="zh-CN" w:eastAsia="zh-CN"/>
        </w:rPr>
        <w:t>8</w:t>
      </w:r>
      <w:r>
        <w:rPr>
          <w:rFonts w:hint="eastAsia"/>
          <w:color w:val="auto"/>
          <w:sz w:val="24"/>
          <w:szCs w:val="24"/>
          <w:highlight w:val="none"/>
          <w:lang w:val="zh-CN" w:eastAsia="zh-CN"/>
        </w:rPr>
        <w:t>）根据洪水影响分析结论，提出影响补救措施、开发区防洪管理要求和建议。</w:t>
      </w:r>
    </w:p>
    <w:p w14:paraId="79C1745C">
      <w:pPr>
        <w:keepNext w:val="0"/>
        <w:keepLines w:val="0"/>
        <w:pageBreakBefore w:val="0"/>
        <w:widowControl w:val="0"/>
        <w:kinsoku/>
        <w:wordWrap/>
        <w:overflowPunct/>
        <w:topLinePunct w:val="0"/>
        <w:autoSpaceDE/>
        <w:autoSpaceDN/>
        <w:bidi w:val="0"/>
        <w:adjustRightInd/>
        <w:snapToGrid/>
        <w:spacing w:line="520" w:lineRule="exact"/>
        <w:ind w:left="350"/>
        <w:textAlignment w:val="auto"/>
        <w:rPr>
          <w:rStyle w:val="67"/>
          <w:rFonts w:ascii="宋体" w:hAnsi="宋体" w:cs="宋体"/>
          <w:color w:val="auto"/>
          <w:sz w:val="24"/>
          <w:szCs w:val="24"/>
          <w:highlight w:val="none"/>
          <w:lang w:val="zh-CN"/>
        </w:rPr>
      </w:pPr>
      <w:r>
        <w:rPr>
          <w:rStyle w:val="67"/>
          <w:rFonts w:hint="eastAsia" w:ascii="宋体" w:hAnsi="宋体" w:cs="宋体"/>
          <w:color w:val="auto"/>
          <w:sz w:val="24"/>
          <w:szCs w:val="24"/>
          <w:highlight w:val="none"/>
          <w:lang w:val="zh-CN"/>
        </w:rPr>
        <w:t>2、服务内容及要求：</w:t>
      </w:r>
    </w:p>
    <w:p w14:paraId="565D29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67"/>
          <w:rFonts w:ascii="宋体" w:hAnsi="宋体" w:cs="宋体"/>
          <w:color w:val="auto"/>
          <w:sz w:val="24"/>
          <w:szCs w:val="24"/>
          <w:highlight w:val="none"/>
          <w:lang w:val="zh-CN"/>
        </w:rPr>
      </w:pPr>
      <w:r>
        <w:rPr>
          <w:rStyle w:val="67"/>
          <w:rFonts w:hint="eastAsia" w:ascii="宋体" w:hAnsi="宋体" w:cs="宋体"/>
          <w:color w:val="auto"/>
          <w:sz w:val="24"/>
          <w:szCs w:val="24"/>
          <w:highlight w:val="none"/>
          <w:lang w:val="zh-CN"/>
        </w:rPr>
        <w:t>2.1服务要求：服务年限,在接到采购方服务请求后，1小时响应，2小时内上门解决问题；质保期内提供免费上门服务，质保期外的收费按相关行业规则或由双方协商收取。</w:t>
      </w:r>
    </w:p>
    <w:p w14:paraId="65A8C0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67"/>
          <w:rFonts w:ascii="宋体" w:hAnsi="宋体" w:cs="宋体"/>
          <w:color w:val="auto"/>
          <w:sz w:val="24"/>
          <w:szCs w:val="24"/>
          <w:highlight w:val="none"/>
          <w:lang w:val="zh-CN"/>
        </w:rPr>
      </w:pPr>
      <w:r>
        <w:rPr>
          <w:rStyle w:val="67"/>
          <w:rFonts w:hint="eastAsia" w:ascii="宋体" w:hAnsi="宋体" w:cs="宋体"/>
          <w:color w:val="auto"/>
          <w:sz w:val="24"/>
          <w:szCs w:val="24"/>
          <w:highlight w:val="none"/>
          <w:lang w:val="zh-CN"/>
        </w:rPr>
        <w:t>2.2</w:t>
      </w:r>
      <w:r>
        <w:rPr>
          <w:rStyle w:val="67"/>
          <w:rFonts w:hint="eastAsia" w:ascii="宋体" w:hAnsi="宋体" w:cs="宋体"/>
          <w:color w:val="auto"/>
          <w:sz w:val="24"/>
          <w:szCs w:val="24"/>
          <w:highlight w:val="none"/>
          <w:lang w:val="en-US" w:eastAsia="zh-CN"/>
        </w:rPr>
        <w:t>服务</w:t>
      </w:r>
      <w:r>
        <w:rPr>
          <w:rStyle w:val="67"/>
          <w:rFonts w:hint="eastAsia" w:ascii="宋体" w:hAnsi="宋体" w:cs="宋体"/>
          <w:color w:val="auto"/>
          <w:sz w:val="24"/>
          <w:szCs w:val="24"/>
          <w:highlight w:val="none"/>
          <w:lang w:val="zh-CN"/>
        </w:rPr>
        <w:t>地点：采购人指定地点。</w:t>
      </w:r>
    </w:p>
    <w:p w14:paraId="63B0A95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67"/>
          <w:rFonts w:ascii="宋体" w:hAnsi="宋体" w:cs="宋体"/>
          <w:color w:val="auto"/>
          <w:sz w:val="24"/>
          <w:szCs w:val="24"/>
          <w:highlight w:val="none"/>
          <w:lang w:val="zh-CN"/>
        </w:rPr>
      </w:pPr>
      <w:r>
        <w:rPr>
          <w:rStyle w:val="67"/>
          <w:rFonts w:hint="eastAsia" w:ascii="宋体" w:hAnsi="宋体" w:cs="宋体"/>
          <w:color w:val="auto"/>
          <w:sz w:val="24"/>
          <w:szCs w:val="24"/>
          <w:highlight w:val="none"/>
          <w:lang w:val="zh-CN"/>
        </w:rPr>
        <w:t>2.3</w:t>
      </w:r>
      <w:r>
        <w:rPr>
          <w:rFonts w:hint="eastAsia" w:ascii="宋体" w:hAnsi="宋体" w:cs="宋体"/>
          <w:color w:val="auto"/>
          <w:sz w:val="24"/>
          <w:szCs w:val="24"/>
          <w:highlight w:val="none"/>
        </w:rPr>
        <w:t>服务期限</w:t>
      </w:r>
      <w:r>
        <w:rPr>
          <w:rStyle w:val="67"/>
          <w:rFonts w:hint="eastAsia" w:ascii="宋体" w:hAnsi="宋体" w:cs="宋体"/>
          <w:color w:val="auto"/>
          <w:sz w:val="24"/>
          <w:szCs w:val="24"/>
          <w:highlight w:val="none"/>
          <w:lang w:val="zh-CN"/>
        </w:rPr>
        <w:t>：</w:t>
      </w:r>
      <w:r>
        <w:rPr>
          <w:rStyle w:val="67"/>
          <w:rFonts w:hint="eastAsia" w:ascii="宋体" w:hAnsi="宋体" w:cs="宋体"/>
          <w:color w:val="auto"/>
          <w:sz w:val="24"/>
          <w:szCs w:val="24"/>
          <w:highlight w:val="none"/>
          <w:lang w:val="zh-CN" w:eastAsia="zh-CN"/>
        </w:rPr>
        <w:t>自合同签订之日起30日历天。</w:t>
      </w:r>
    </w:p>
    <w:p w14:paraId="133871D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67"/>
          <w:rFonts w:hint="eastAsia" w:ascii="宋体" w:hAnsi="宋体" w:eastAsia="宋体" w:cs="宋体"/>
          <w:color w:val="auto"/>
          <w:sz w:val="24"/>
          <w:szCs w:val="24"/>
          <w:highlight w:val="none"/>
          <w:lang w:val="zh-CN"/>
        </w:rPr>
      </w:pPr>
      <w:r>
        <w:rPr>
          <w:rStyle w:val="67"/>
          <w:rFonts w:hint="eastAsia" w:ascii="宋体" w:hAnsi="宋体" w:eastAsia="宋体" w:cs="宋体"/>
          <w:color w:val="auto"/>
          <w:sz w:val="24"/>
          <w:szCs w:val="24"/>
          <w:highlight w:val="none"/>
          <w:lang w:val="zh-CN"/>
        </w:rPr>
        <w:t>2.4验收：由最终用户组织验收。</w:t>
      </w:r>
    </w:p>
    <w:p w14:paraId="28538A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eastAsia="宋体"/>
          <w:color w:val="auto"/>
          <w:highlight w:val="none"/>
          <w:lang w:val="en-US" w:eastAsia="zh-CN"/>
        </w:rPr>
      </w:pPr>
      <w:r>
        <w:rPr>
          <w:rStyle w:val="67"/>
          <w:rFonts w:hint="eastAsia" w:ascii="宋体" w:hAnsi="宋体" w:eastAsia="宋体" w:cs="宋体"/>
          <w:color w:val="auto"/>
          <w:sz w:val="24"/>
          <w:szCs w:val="24"/>
          <w:highlight w:val="none"/>
          <w:lang w:val="en-US" w:eastAsia="zh-CN"/>
        </w:rPr>
        <w:t>2.5质量要求：最终成果合格，符合国家、行业、地方政府有关法律法规及技术规范要求，通过相关部门的审批。</w:t>
      </w:r>
    </w:p>
    <w:p w14:paraId="0BB1FE80">
      <w:pPr>
        <w:rPr>
          <w:rStyle w:val="67"/>
          <w:rFonts w:ascii="宋体" w:hAnsi="宋体" w:cs="宋体"/>
          <w:color w:val="auto"/>
          <w:sz w:val="24"/>
          <w:highlight w:val="none"/>
          <w:lang w:val="zh-CN"/>
        </w:rPr>
      </w:pPr>
      <w:r>
        <w:rPr>
          <w:rStyle w:val="67"/>
          <w:rFonts w:ascii="宋体" w:hAnsi="宋体" w:cs="宋体"/>
          <w:color w:val="auto"/>
          <w:sz w:val="24"/>
          <w:highlight w:val="none"/>
          <w:lang w:val="zh-CN"/>
        </w:rPr>
        <w:br w:type="page"/>
      </w:r>
    </w:p>
    <w:p w14:paraId="525F6B83">
      <w:pPr>
        <w:spacing w:line="480" w:lineRule="auto"/>
        <w:jc w:val="center"/>
        <w:outlineLvl w:val="0"/>
        <w:rPr>
          <w:rFonts w:ascii="宋体" w:hAnsi="宋体" w:cs="宋体"/>
          <w:color w:val="auto"/>
          <w:sz w:val="30"/>
          <w:szCs w:val="30"/>
          <w:highlight w:val="none"/>
        </w:rPr>
      </w:pPr>
      <w:bookmarkStart w:id="47" w:name="_Toc5955"/>
      <w:r>
        <w:rPr>
          <w:rFonts w:hint="eastAsia" w:ascii="宋体" w:hAnsi="宋体" w:cs="宋体"/>
          <w:b/>
          <w:bCs/>
          <w:color w:val="auto"/>
          <w:sz w:val="30"/>
          <w:szCs w:val="30"/>
          <w:highlight w:val="none"/>
        </w:rPr>
        <w:t>第四章 响应性文件内容及格式</w:t>
      </w:r>
      <w:bookmarkEnd w:id="47"/>
    </w:p>
    <w:p w14:paraId="1CDF09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注：请供应商按照以下文件的要求格式、内容，顺序制作响应性文件，并编制目录及页码，否则可能将影响对响应性文件的评价。</w:t>
      </w:r>
    </w:p>
    <w:p w14:paraId="6771906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14:paraId="67393B2A">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．供应商在编制响应性文件时，对于给定格式的文件内容，必须按照给定的标准格式进行填报；对于没有给定标准格式的文件内容，可以由供应商自行设计。</w:t>
      </w:r>
    </w:p>
    <w:p w14:paraId="6A99AD9D">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.法定代表人本人参加竞争性磋商的，不需提供授权委托书。</w:t>
      </w:r>
    </w:p>
    <w:p w14:paraId="2FEC966F">
      <w:pPr>
        <w:rPr>
          <w:rFonts w:hint="eastAsia" w:ascii="宋体" w:hAnsi="宋体" w:cs="宋体"/>
          <w:color w:val="auto"/>
          <w:sz w:val="24"/>
          <w:highlight w:val="none"/>
        </w:rPr>
      </w:pPr>
      <w:r>
        <w:rPr>
          <w:rFonts w:hint="eastAsia" w:ascii="宋体" w:hAnsi="宋体" w:cs="宋体"/>
          <w:color w:val="auto"/>
          <w:sz w:val="24"/>
          <w:highlight w:val="none"/>
        </w:rPr>
        <w:br w:type="page"/>
      </w:r>
    </w:p>
    <w:p w14:paraId="6352244C">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格式2-1</w:t>
      </w:r>
    </w:p>
    <w:p w14:paraId="3D95D87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企业营业执照副本</w:t>
      </w:r>
      <w:r>
        <w:rPr>
          <w:rFonts w:hint="eastAsia" w:ascii="宋体" w:hAnsi="宋体" w:cs="宋体"/>
          <w:color w:val="auto"/>
          <w:sz w:val="24"/>
          <w:highlight w:val="none"/>
          <w:lang w:val="en-US" w:eastAsia="zh-CN"/>
        </w:rPr>
        <w:t>及</w:t>
      </w:r>
      <w:r>
        <w:rPr>
          <w:rFonts w:hint="eastAsia" w:ascii="宋体" w:hAnsi="宋体" w:cs="宋体"/>
          <w:color w:val="auto"/>
          <w:kern w:val="0"/>
          <w:sz w:val="24"/>
          <w:highlight w:val="none"/>
        </w:rPr>
        <w:t>资格性证明材料</w:t>
      </w:r>
    </w:p>
    <w:p w14:paraId="765CD940">
      <w:pPr>
        <w:pStyle w:val="36"/>
        <w:rPr>
          <w:rFonts w:hint="eastAsia"/>
          <w:color w:val="auto"/>
          <w:highlight w:val="none"/>
          <w:lang w:eastAsia="zh-CN"/>
        </w:rPr>
      </w:pPr>
    </w:p>
    <w:p w14:paraId="59BF6645">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2</w:t>
      </w:r>
    </w:p>
    <w:p w14:paraId="6C5571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14:paraId="649104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（法定代表人参加竞争性磋商的，出具此证明书）</w:t>
      </w:r>
    </w:p>
    <w:p w14:paraId="1B934607">
      <w:pPr>
        <w:spacing w:line="360" w:lineRule="auto"/>
        <w:ind w:firstLine="480" w:firstLineChars="200"/>
        <w:rPr>
          <w:rFonts w:ascii="宋体" w:hAnsi="宋体" w:cs="宋体"/>
          <w:color w:val="auto"/>
          <w:sz w:val="24"/>
          <w:highlight w:val="none"/>
        </w:rPr>
      </w:pPr>
    </w:p>
    <w:p w14:paraId="3D6FC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同志，系我单位法定代表人，任职务。</w:t>
      </w:r>
    </w:p>
    <w:p w14:paraId="61842A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7588F7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14:paraId="0FBD3CF8">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0409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C504E73">
            <w:pPr>
              <w:spacing w:line="480" w:lineRule="exact"/>
              <w:rPr>
                <w:rFonts w:ascii="宋体" w:hAnsi="宋体" w:cs="宋体"/>
                <w:b/>
                <w:bCs/>
                <w:color w:val="auto"/>
                <w:sz w:val="24"/>
                <w:highlight w:val="none"/>
              </w:rPr>
            </w:pPr>
          </w:p>
          <w:p w14:paraId="231E6290">
            <w:pPr>
              <w:spacing w:line="480" w:lineRule="exact"/>
              <w:rPr>
                <w:rFonts w:ascii="宋体" w:hAnsi="宋体" w:cs="宋体"/>
                <w:b/>
                <w:bCs/>
                <w:color w:val="auto"/>
                <w:sz w:val="24"/>
                <w:highlight w:val="none"/>
              </w:rPr>
            </w:pPr>
          </w:p>
          <w:p w14:paraId="7A039184">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w:t>
            </w:r>
          </w:p>
          <w:p w14:paraId="6102A4E2">
            <w:pPr>
              <w:spacing w:line="480" w:lineRule="exact"/>
              <w:rPr>
                <w:rFonts w:ascii="宋体" w:hAnsi="宋体" w:cs="宋体"/>
                <w:color w:val="auto"/>
                <w:sz w:val="24"/>
                <w:highlight w:val="none"/>
              </w:rPr>
            </w:pPr>
          </w:p>
          <w:p w14:paraId="32447CE8">
            <w:pPr>
              <w:spacing w:line="480" w:lineRule="exact"/>
              <w:rPr>
                <w:rFonts w:ascii="宋体" w:hAnsi="宋体" w:cs="宋体"/>
                <w:color w:val="auto"/>
                <w:sz w:val="24"/>
                <w:highlight w:val="none"/>
              </w:rPr>
            </w:pPr>
          </w:p>
        </w:tc>
      </w:tr>
    </w:tbl>
    <w:p w14:paraId="40660512">
      <w:pPr>
        <w:spacing w:line="360" w:lineRule="auto"/>
        <w:ind w:firstLine="960" w:firstLineChars="400"/>
        <w:rPr>
          <w:rFonts w:ascii="宋体" w:hAnsi="宋体" w:cs="宋体"/>
          <w:color w:val="auto"/>
          <w:sz w:val="24"/>
          <w:highlight w:val="none"/>
        </w:rPr>
      </w:pPr>
    </w:p>
    <w:p w14:paraId="72B47E09">
      <w:pPr>
        <w:spacing w:line="360" w:lineRule="auto"/>
        <w:ind w:firstLine="3840" w:firstLineChars="1600"/>
        <w:rPr>
          <w:rFonts w:ascii="宋体" w:hAnsi="宋体" w:cs="宋体"/>
          <w:color w:val="auto"/>
          <w:sz w:val="24"/>
          <w:highlight w:val="none"/>
        </w:rPr>
      </w:pPr>
    </w:p>
    <w:p w14:paraId="0BF068D4">
      <w:pPr>
        <w:spacing w:line="360" w:lineRule="auto"/>
        <w:ind w:firstLine="3840" w:firstLineChars="1600"/>
        <w:rPr>
          <w:rFonts w:ascii="宋体" w:hAnsi="宋体" w:cs="宋体"/>
          <w:color w:val="auto"/>
          <w:sz w:val="24"/>
          <w:highlight w:val="none"/>
        </w:rPr>
      </w:pPr>
    </w:p>
    <w:p w14:paraId="652FABB8">
      <w:pPr>
        <w:spacing w:line="360" w:lineRule="auto"/>
        <w:ind w:firstLine="3840" w:firstLineChars="1600"/>
        <w:rPr>
          <w:rFonts w:ascii="宋体" w:hAnsi="宋体" w:cs="宋体"/>
          <w:color w:val="auto"/>
          <w:sz w:val="24"/>
          <w:highlight w:val="none"/>
        </w:rPr>
      </w:pPr>
    </w:p>
    <w:p w14:paraId="005DBB9F">
      <w:pPr>
        <w:spacing w:line="360" w:lineRule="auto"/>
        <w:jc w:val="center"/>
        <w:rPr>
          <w:rFonts w:ascii="宋体" w:hAnsi="宋体" w:cs="宋体"/>
          <w:color w:val="auto"/>
          <w:sz w:val="24"/>
          <w:highlight w:val="none"/>
        </w:rPr>
      </w:pPr>
    </w:p>
    <w:p w14:paraId="3FF9BDF3">
      <w:pPr>
        <w:spacing w:line="360" w:lineRule="auto"/>
        <w:jc w:val="center"/>
        <w:rPr>
          <w:rFonts w:ascii="宋体" w:hAnsi="宋体" w:cs="宋体"/>
          <w:color w:val="auto"/>
          <w:sz w:val="24"/>
          <w:highlight w:val="none"/>
        </w:rPr>
      </w:pPr>
    </w:p>
    <w:p w14:paraId="0E2E63AE">
      <w:pPr>
        <w:spacing w:line="360" w:lineRule="auto"/>
        <w:jc w:val="center"/>
        <w:rPr>
          <w:rFonts w:ascii="宋体" w:hAnsi="宋体" w:cs="宋体"/>
          <w:color w:val="auto"/>
          <w:sz w:val="24"/>
          <w:highlight w:val="none"/>
        </w:rPr>
      </w:pPr>
    </w:p>
    <w:p w14:paraId="5114C40E">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3E73C1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90DBE47">
      <w:pPr>
        <w:rPr>
          <w:rFonts w:hint="eastAsia" w:ascii="宋体" w:hAnsi="宋体" w:cs="宋体"/>
          <w:color w:val="auto"/>
          <w:sz w:val="24"/>
          <w:highlight w:val="none"/>
        </w:rPr>
      </w:pPr>
      <w:r>
        <w:rPr>
          <w:rFonts w:hint="eastAsia" w:ascii="宋体" w:hAnsi="宋体" w:cs="宋体"/>
          <w:color w:val="auto"/>
          <w:sz w:val="24"/>
          <w:highlight w:val="none"/>
        </w:rPr>
        <w:br w:type="page"/>
      </w:r>
    </w:p>
    <w:p w14:paraId="414019E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3</w:t>
      </w:r>
    </w:p>
    <w:p w14:paraId="39EF2965">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14:paraId="263ABA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（委托代理人参加竞争性磋商的，出具此证明书）</w:t>
      </w:r>
    </w:p>
    <w:p w14:paraId="2461C46F">
      <w:pPr>
        <w:spacing w:line="360" w:lineRule="auto"/>
        <w:ind w:firstLine="480" w:firstLineChars="200"/>
        <w:rPr>
          <w:rFonts w:ascii="宋体" w:hAnsi="宋体" w:cs="宋体"/>
          <w:color w:val="auto"/>
          <w:sz w:val="24"/>
          <w:highlight w:val="none"/>
        </w:rPr>
      </w:pPr>
    </w:p>
    <w:p w14:paraId="29F1CB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委托人授权（被委托人的姓名、职务）为委托人的委托代理人，就项目编号为的项目及合同的执行，以本单位名义处理一切与之有关的事务。</w:t>
      </w:r>
    </w:p>
    <w:p w14:paraId="3ED2E0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本授权书于年月日签字生效，特此声明。</w:t>
      </w:r>
    </w:p>
    <w:p w14:paraId="11C4350A">
      <w:pPr>
        <w:spacing w:line="360" w:lineRule="auto"/>
        <w:rPr>
          <w:rFonts w:ascii="宋体" w:hAnsi="宋体" w:cs="宋体"/>
          <w:color w:val="auto"/>
          <w:sz w:val="24"/>
          <w:highlight w:val="none"/>
        </w:rPr>
      </w:pPr>
    </w:p>
    <w:p w14:paraId="5EF07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w:t>
      </w:r>
    </w:p>
    <w:p w14:paraId="72037E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电子签章：       </w:t>
      </w:r>
    </w:p>
    <w:p w14:paraId="5B6CF1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被委托人：</w:t>
      </w:r>
    </w:p>
    <w:p w14:paraId="20E05C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5F06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30F21062">
            <w:pPr>
              <w:spacing w:line="480" w:lineRule="exact"/>
              <w:rPr>
                <w:rFonts w:ascii="宋体" w:hAnsi="宋体" w:cs="宋体"/>
                <w:b/>
                <w:bCs/>
                <w:color w:val="auto"/>
                <w:sz w:val="24"/>
                <w:highlight w:val="none"/>
              </w:rPr>
            </w:pPr>
          </w:p>
          <w:p w14:paraId="04E4EF51">
            <w:pPr>
              <w:spacing w:line="480" w:lineRule="exact"/>
              <w:rPr>
                <w:rFonts w:ascii="宋体" w:hAnsi="宋体" w:cs="宋体"/>
                <w:b/>
                <w:bCs/>
                <w:color w:val="auto"/>
                <w:sz w:val="24"/>
                <w:highlight w:val="none"/>
              </w:rPr>
            </w:pPr>
          </w:p>
          <w:p w14:paraId="31BB5B73">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w:t>
            </w:r>
          </w:p>
        </w:tc>
      </w:tr>
    </w:tbl>
    <w:p w14:paraId="3A9EC946">
      <w:pPr>
        <w:spacing w:line="360" w:lineRule="auto"/>
        <w:ind w:firstLine="480" w:firstLineChars="200"/>
        <w:rPr>
          <w:rFonts w:ascii="宋体" w:hAnsi="宋体" w:cs="宋体"/>
          <w:color w:val="auto"/>
          <w:sz w:val="24"/>
          <w:highlight w:val="none"/>
        </w:rPr>
      </w:pPr>
    </w:p>
    <w:p w14:paraId="53C36594">
      <w:pPr>
        <w:spacing w:line="360" w:lineRule="auto"/>
        <w:ind w:firstLine="480" w:firstLineChars="200"/>
        <w:rPr>
          <w:rFonts w:ascii="宋体" w:hAnsi="宋体" w:cs="宋体"/>
          <w:color w:val="auto"/>
          <w:sz w:val="24"/>
          <w:highlight w:val="none"/>
        </w:rPr>
      </w:pPr>
    </w:p>
    <w:p w14:paraId="5DCB28DF">
      <w:pPr>
        <w:spacing w:line="360" w:lineRule="auto"/>
        <w:ind w:firstLine="480" w:firstLineChars="200"/>
        <w:rPr>
          <w:rFonts w:ascii="宋体" w:hAnsi="宋体" w:cs="宋体"/>
          <w:color w:val="auto"/>
          <w:sz w:val="24"/>
          <w:highlight w:val="none"/>
        </w:rPr>
      </w:pPr>
    </w:p>
    <w:p w14:paraId="3C261580">
      <w:pPr>
        <w:spacing w:line="360" w:lineRule="auto"/>
        <w:ind w:firstLine="4920" w:firstLineChars="2050"/>
        <w:rPr>
          <w:rFonts w:ascii="宋体" w:hAnsi="宋体" w:cs="宋体"/>
          <w:color w:val="auto"/>
          <w:sz w:val="24"/>
          <w:highlight w:val="none"/>
        </w:rPr>
      </w:pPr>
    </w:p>
    <w:p w14:paraId="5C0F4DB5">
      <w:pPr>
        <w:spacing w:line="360" w:lineRule="auto"/>
        <w:jc w:val="center"/>
        <w:rPr>
          <w:rFonts w:ascii="宋体" w:hAnsi="宋体" w:cs="宋体"/>
          <w:color w:val="auto"/>
          <w:sz w:val="24"/>
          <w:highlight w:val="none"/>
        </w:rPr>
      </w:pPr>
    </w:p>
    <w:p w14:paraId="2FDCF474">
      <w:pPr>
        <w:spacing w:line="360" w:lineRule="auto"/>
        <w:jc w:val="center"/>
        <w:rPr>
          <w:rFonts w:hint="eastAsia" w:ascii="宋体" w:hAnsi="宋体" w:cs="宋体"/>
          <w:color w:val="auto"/>
          <w:sz w:val="24"/>
          <w:highlight w:val="none"/>
        </w:rPr>
      </w:pPr>
    </w:p>
    <w:p w14:paraId="31EAD27F">
      <w:pPr>
        <w:spacing w:line="360" w:lineRule="auto"/>
        <w:jc w:val="center"/>
        <w:rPr>
          <w:rFonts w:hint="eastAsia" w:ascii="宋体" w:hAnsi="宋体" w:cs="宋体"/>
          <w:color w:val="auto"/>
          <w:sz w:val="24"/>
          <w:highlight w:val="none"/>
        </w:rPr>
      </w:pPr>
    </w:p>
    <w:p w14:paraId="6E7D8968">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601939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0D72F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7F21F152">
      <w:pPr>
        <w:rPr>
          <w:rFonts w:hint="eastAsia" w:ascii="宋体" w:hAnsi="宋体" w:cs="宋体"/>
          <w:color w:val="auto"/>
          <w:sz w:val="24"/>
          <w:highlight w:val="none"/>
        </w:rPr>
      </w:pPr>
      <w:r>
        <w:rPr>
          <w:rFonts w:hint="eastAsia" w:ascii="宋体" w:hAnsi="宋体" w:cs="宋体"/>
          <w:color w:val="auto"/>
          <w:sz w:val="24"/>
          <w:highlight w:val="none"/>
        </w:rPr>
        <w:br w:type="page"/>
      </w:r>
    </w:p>
    <w:p w14:paraId="233B875C">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格式2-3政府采购法第二十二条及参加政府采购活动前三年内无重大违法记录的书面声明</w:t>
      </w:r>
    </w:p>
    <w:p w14:paraId="6D0DBCAD">
      <w:pPr>
        <w:spacing w:line="360" w:lineRule="auto"/>
        <w:jc w:val="left"/>
        <w:rPr>
          <w:rFonts w:ascii="宋体" w:hAnsi="宋体" w:cs="宋体"/>
          <w:color w:val="auto"/>
          <w:sz w:val="24"/>
          <w:highlight w:val="none"/>
        </w:rPr>
      </w:pPr>
    </w:p>
    <w:p w14:paraId="76B3F3A7">
      <w:pPr>
        <w:rPr>
          <w:rFonts w:hint="eastAsia" w:ascii="宋体" w:hAnsi="宋体" w:cs="宋体"/>
          <w:color w:val="auto"/>
          <w:sz w:val="24"/>
          <w:highlight w:val="none"/>
        </w:rPr>
      </w:pPr>
      <w:r>
        <w:rPr>
          <w:rFonts w:hint="eastAsia" w:ascii="宋体" w:hAnsi="宋体" w:cs="宋体"/>
          <w:color w:val="auto"/>
          <w:sz w:val="24"/>
          <w:highlight w:val="none"/>
        </w:rPr>
        <w:br w:type="page"/>
      </w:r>
    </w:p>
    <w:p w14:paraId="005E4C7F">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14:paraId="4AC64FA3">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14:paraId="7226173D">
      <w:pPr>
        <w:pStyle w:val="25"/>
        <w:shd w:val="clear" w:color="auto" w:fill="FFFFFF"/>
        <w:adjustRightInd w:val="0"/>
        <w:snapToGrid w:val="0"/>
        <w:spacing w:before="0" w:beforeAutospacing="0" w:after="0" w:afterAutospacing="0" w:line="360" w:lineRule="auto"/>
        <w:rPr>
          <w:rFonts w:ascii="宋体" w:hAnsi="宋体" w:cs="宋体"/>
          <w:color w:val="auto"/>
          <w:kern w:val="0"/>
          <w:sz w:val="24"/>
          <w:highlight w:val="none"/>
        </w:rPr>
      </w:pPr>
      <w:r>
        <w:rPr>
          <w:rFonts w:hint="eastAsia" w:cs="宋体"/>
          <w:color w:val="auto"/>
          <w:szCs w:val="24"/>
          <w:highlight w:val="none"/>
        </w:rPr>
        <w:t>致：</w:t>
      </w:r>
      <w:r>
        <w:rPr>
          <w:rFonts w:hint="eastAsia" w:ascii="宋体" w:hAnsi="宋体" w:eastAsia="宋体" w:cs="宋体"/>
          <w:b w:val="0"/>
          <w:color w:val="auto"/>
          <w:kern w:val="2"/>
          <w:sz w:val="24"/>
          <w:highlight w:val="none"/>
          <w:lang w:val="en-US" w:eastAsia="zh-CN" w:bidi="ar-SA"/>
        </w:rPr>
        <w:t>（采购人或采购代理机构）</w:t>
      </w:r>
    </w:p>
    <w:p w14:paraId="52294949">
      <w:pPr>
        <w:pStyle w:val="56"/>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（本项目名称）</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 (全名、职务)代表 供应商名称、地址)提交投标文件，报价为</w:t>
      </w:r>
      <w:r>
        <w:rPr>
          <w:rFonts w:hint="eastAsia" w:ascii="宋体" w:hAnsi="宋体"/>
          <w:color w:val="auto"/>
          <w:sz w:val="24"/>
          <w:szCs w:val="24"/>
          <w:highlight w:val="none"/>
          <w:u w:val="single"/>
        </w:rPr>
        <w:t>：    元，</w:t>
      </w:r>
      <w:r>
        <w:rPr>
          <w:rFonts w:hint="eastAsia" w:ascii="宋体" w:hAnsi="宋体"/>
          <w:color w:val="auto"/>
          <w:sz w:val="24"/>
          <w:szCs w:val="24"/>
          <w:highlight w:val="none"/>
        </w:rPr>
        <w:t>并对之负法律责任。</w:t>
      </w:r>
    </w:p>
    <w:p w14:paraId="0E976296">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14:paraId="0A6420FB">
      <w:pPr>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14:paraId="582356B9">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14:paraId="464A9F9A">
      <w:pPr>
        <w:numPr>
          <w:ilvl w:val="0"/>
          <w:numId w:val="4"/>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14:paraId="5F7B0BA9">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14:paraId="7C2CF6D8">
      <w:pPr>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14:paraId="4C157F2C">
      <w:pPr>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如果我们的谈判响应文件被接受，我们将履行谈判文件中规定的每一项要求，按期、按质、按量履行合同。</w:t>
      </w:r>
    </w:p>
    <w:p w14:paraId="1FB98E12">
      <w:pPr>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我方愿按《中华人民共和国合同法》履行我方的全部责任。</w:t>
      </w:r>
    </w:p>
    <w:p w14:paraId="747D691B">
      <w:pPr>
        <w:ind w:firstLine="480" w:firstLineChars="200"/>
        <w:rPr>
          <w:rFonts w:ascii="宋体" w:hAnsi="宋体" w:cs="宋体"/>
          <w:color w:val="auto"/>
          <w:sz w:val="24"/>
          <w:highlight w:val="none"/>
        </w:rPr>
      </w:pPr>
      <w:r>
        <w:rPr>
          <w:rFonts w:hint="eastAsia" w:ascii="宋体" w:hAnsi="宋体" w:cs="宋体"/>
          <w:color w:val="auto"/>
          <w:sz w:val="24"/>
          <w:highlight w:val="none"/>
        </w:rPr>
        <w:t>(8)与本次竞争性磋商有关的正式通讯地址为：</w:t>
      </w:r>
    </w:p>
    <w:p w14:paraId="00D71645">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14:paraId="2EEA3743">
      <w:pPr>
        <w:ind w:firstLine="480" w:firstLineChars="200"/>
        <w:rPr>
          <w:rFonts w:ascii="宋体" w:hAnsi="宋体" w:cs="宋体"/>
          <w:color w:val="auto"/>
          <w:sz w:val="24"/>
          <w:highlight w:val="none"/>
        </w:rPr>
      </w:pPr>
      <w:r>
        <w:rPr>
          <w:rFonts w:hint="eastAsia" w:ascii="宋体" w:hAnsi="宋体" w:cs="宋体"/>
          <w:color w:val="auto"/>
          <w:sz w:val="24"/>
          <w:highlight w:val="none"/>
        </w:rPr>
        <w:t>电 话：                  电子信箱：</w:t>
      </w:r>
    </w:p>
    <w:p w14:paraId="2A0A7C79">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14:paraId="60095506">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14:paraId="38B5BFC5">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14:paraId="410D9ABD">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14:paraId="2326D82E">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14:paraId="6279A111">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14:paraId="3216BC9D">
      <w:pPr>
        <w:spacing w:line="560" w:lineRule="exact"/>
        <w:jc w:val="left"/>
        <w:rPr>
          <w:rFonts w:ascii="宋体" w:hAnsi="宋体" w:cs="宋体"/>
          <w:color w:val="auto"/>
          <w:sz w:val="24"/>
          <w:highlight w:val="none"/>
        </w:rPr>
      </w:pPr>
    </w:p>
    <w:p w14:paraId="060C7F25">
      <w:pPr>
        <w:spacing w:line="5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联系人：              联系电话：</w:t>
      </w:r>
    </w:p>
    <w:p w14:paraId="0CD64412">
      <w:pPr>
        <w:spacing w:line="360" w:lineRule="auto"/>
        <w:jc w:val="left"/>
        <w:rPr>
          <w:rFonts w:ascii="宋体" w:hAnsi="宋体" w:cs="宋体"/>
          <w:color w:val="auto"/>
          <w:sz w:val="24"/>
          <w:highlight w:val="none"/>
        </w:rPr>
      </w:pPr>
    </w:p>
    <w:p w14:paraId="0FADA57D">
      <w:pPr>
        <w:spacing w:line="360" w:lineRule="auto"/>
        <w:jc w:val="left"/>
        <w:rPr>
          <w:rFonts w:ascii="宋体" w:hAnsi="宋体" w:cs="宋体"/>
          <w:color w:val="auto"/>
          <w:sz w:val="24"/>
          <w:highlight w:val="none"/>
        </w:rPr>
      </w:pPr>
    </w:p>
    <w:p w14:paraId="69831CDC">
      <w:pPr>
        <w:spacing w:line="360" w:lineRule="auto"/>
        <w:jc w:val="left"/>
        <w:rPr>
          <w:rFonts w:ascii="宋体" w:hAnsi="宋体" w:cs="宋体"/>
          <w:color w:val="auto"/>
          <w:sz w:val="24"/>
          <w:highlight w:val="none"/>
        </w:rPr>
      </w:pPr>
    </w:p>
    <w:p w14:paraId="1EA462A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33F190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1E47DD8">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格式4</w:t>
      </w:r>
    </w:p>
    <w:p w14:paraId="07831503">
      <w:pPr>
        <w:jc w:val="center"/>
        <w:outlineLvl w:val="9"/>
        <w:rPr>
          <w:rFonts w:ascii="宋体" w:hAnsi="宋体" w:cs="宋体"/>
          <w:b w:val="0"/>
          <w:color w:val="auto"/>
          <w:sz w:val="24"/>
          <w:szCs w:val="24"/>
          <w:highlight w:val="none"/>
        </w:rPr>
      </w:pPr>
      <w:bookmarkStart w:id="48" w:name="_Toc197934561"/>
      <w:bookmarkStart w:id="49" w:name="_Toc495414231"/>
      <w:r>
        <w:rPr>
          <w:rFonts w:hint="eastAsia" w:ascii="宋体" w:hAnsi="宋体" w:cs="宋体"/>
          <w:b w:val="0"/>
          <w:color w:val="auto"/>
          <w:sz w:val="24"/>
          <w:szCs w:val="24"/>
          <w:highlight w:val="none"/>
        </w:rPr>
        <w:t>一．报价一览表</w:t>
      </w:r>
      <w:bookmarkEnd w:id="48"/>
      <w:bookmarkEnd w:id="49"/>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7F1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6AD1805F">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14:paraId="4D86D241">
            <w:pPr>
              <w:spacing w:line="360" w:lineRule="exact"/>
              <w:jc w:val="center"/>
              <w:rPr>
                <w:rFonts w:ascii="宋体" w:hAnsi="宋体" w:cs="宋体"/>
                <w:color w:val="auto"/>
                <w:sz w:val="24"/>
                <w:highlight w:val="none"/>
              </w:rPr>
            </w:pPr>
          </w:p>
        </w:tc>
      </w:tr>
      <w:tr w14:paraId="7F40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3BF7457">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14:paraId="615E01BF">
            <w:pPr>
              <w:spacing w:line="360" w:lineRule="auto"/>
              <w:rPr>
                <w:rFonts w:ascii="宋体" w:hAnsi="宋体" w:cs="宋体"/>
                <w:color w:val="auto"/>
                <w:sz w:val="24"/>
                <w:highlight w:val="none"/>
              </w:rPr>
            </w:pPr>
          </w:p>
        </w:tc>
      </w:tr>
      <w:tr w14:paraId="7EC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B52469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最终投标报价（包：）</w:t>
            </w:r>
          </w:p>
          <w:p w14:paraId="32B58D52">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14:paraId="39B99BED">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大写：           </w:t>
            </w:r>
          </w:p>
        </w:tc>
      </w:tr>
      <w:tr w14:paraId="0A2C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3A1032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14:paraId="616038B7">
            <w:pPr>
              <w:spacing w:line="360" w:lineRule="auto"/>
              <w:jc w:val="left"/>
              <w:rPr>
                <w:rFonts w:ascii="宋体" w:hAnsi="宋体" w:cs="宋体"/>
                <w:color w:val="auto"/>
                <w:sz w:val="24"/>
                <w:highlight w:val="none"/>
              </w:rPr>
            </w:pPr>
          </w:p>
        </w:tc>
      </w:tr>
    </w:tbl>
    <w:p w14:paraId="378E8097">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219EEFEA">
      <w:pPr>
        <w:spacing w:line="360" w:lineRule="auto"/>
        <w:ind w:firstLine="3840" w:firstLineChars="16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被授权人和法人：(签字)</w:t>
      </w:r>
    </w:p>
    <w:p w14:paraId="3BF3113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备注：</w:t>
      </w:r>
    </w:p>
    <w:p w14:paraId="55CC47FF">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14:paraId="62E390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2、表中最终投标报价即为优惠后报价，并作为评审及定标依据。任何有选择或有条件的最终投标报价，或者表中某一包填写多个报价，均为无效报价。</w:t>
      </w:r>
    </w:p>
    <w:p w14:paraId="6957091B">
      <w:pPr>
        <w:rPr>
          <w:rFonts w:hint="eastAsia" w:ascii="宋体" w:hAnsi="宋体" w:cs="宋体"/>
          <w:color w:val="auto"/>
          <w:sz w:val="24"/>
          <w:highlight w:val="none"/>
        </w:rPr>
      </w:pPr>
      <w:r>
        <w:rPr>
          <w:rFonts w:hint="eastAsia" w:ascii="宋体" w:hAnsi="宋体" w:cs="宋体"/>
          <w:color w:val="auto"/>
          <w:sz w:val="24"/>
          <w:highlight w:val="none"/>
        </w:rPr>
        <w:br w:type="page"/>
      </w:r>
    </w:p>
    <w:p w14:paraId="3A584231">
      <w:pPr>
        <w:spacing w:line="360" w:lineRule="auto"/>
        <w:jc w:val="left"/>
        <w:rPr>
          <w:rFonts w:ascii="宋体" w:hAnsi="宋体" w:cs="宋体"/>
          <w:color w:val="auto"/>
          <w:sz w:val="24"/>
          <w:highlight w:val="none"/>
        </w:rPr>
      </w:pPr>
      <w:bookmarkStart w:id="50" w:name="_Toc495414234"/>
      <w:bookmarkStart w:id="51" w:name="_Toc220232409"/>
      <w:r>
        <w:rPr>
          <w:rFonts w:hint="eastAsia" w:ascii="宋体" w:hAnsi="宋体" w:cs="宋体"/>
          <w:color w:val="auto"/>
          <w:sz w:val="24"/>
          <w:highlight w:val="none"/>
        </w:rPr>
        <w:t>格式5</w:t>
      </w:r>
    </w:p>
    <w:p w14:paraId="79C3FE07">
      <w:pPr>
        <w:jc w:val="center"/>
        <w:outlineLvl w:val="9"/>
        <w:rPr>
          <w:rFonts w:ascii="宋体" w:hAnsi="宋体" w:cs="宋体"/>
          <w:b w:val="0"/>
          <w:color w:val="auto"/>
          <w:sz w:val="24"/>
          <w:szCs w:val="24"/>
          <w:highlight w:val="none"/>
        </w:rPr>
      </w:pPr>
      <w:r>
        <w:rPr>
          <w:rFonts w:hint="eastAsia" w:ascii="宋体" w:hAnsi="宋体" w:cs="宋体"/>
          <w:b w:val="0"/>
          <w:color w:val="auto"/>
          <w:sz w:val="24"/>
          <w:szCs w:val="24"/>
          <w:highlight w:val="none"/>
        </w:rPr>
        <w:t>投标分项报价表</w:t>
      </w:r>
      <w:bookmarkEnd w:id="50"/>
      <w:bookmarkEnd w:id="51"/>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3939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3E89F9EA">
            <w:pPr>
              <w:pStyle w:val="60"/>
              <w:widowControl w:val="0"/>
              <w:spacing w:before="0" w:beforeAutospacing="0" w:after="0" w:afterAutospacing="0" w:line="340" w:lineRule="exact"/>
              <w:rPr>
                <w:rFonts w:cs="宋体"/>
                <w:b w:val="0"/>
                <w:bCs w:val="0"/>
                <w:color w:val="auto"/>
                <w:kern w:val="2"/>
                <w:sz w:val="24"/>
                <w:szCs w:val="24"/>
                <w:highlight w:val="none"/>
              </w:rPr>
            </w:pPr>
            <w:r>
              <w:rPr>
                <w:rFonts w:hint="eastAsia" w:cs="宋体"/>
                <w:b w:val="0"/>
                <w:bCs w:val="0"/>
                <w:color w:val="auto"/>
                <w:kern w:val="2"/>
                <w:sz w:val="24"/>
                <w:szCs w:val="24"/>
                <w:highlight w:val="none"/>
              </w:rPr>
              <w:t>序号</w:t>
            </w:r>
          </w:p>
        </w:tc>
        <w:tc>
          <w:tcPr>
            <w:tcW w:w="2205" w:type="dxa"/>
            <w:vAlign w:val="center"/>
          </w:tcPr>
          <w:p w14:paraId="1612B52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服务项目名称</w:t>
            </w:r>
          </w:p>
        </w:tc>
        <w:tc>
          <w:tcPr>
            <w:tcW w:w="957" w:type="dxa"/>
            <w:vAlign w:val="center"/>
          </w:tcPr>
          <w:p w14:paraId="03A39E9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840" w:type="dxa"/>
            <w:vAlign w:val="center"/>
          </w:tcPr>
          <w:p w14:paraId="0D4F032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60" w:type="dxa"/>
            <w:vAlign w:val="center"/>
          </w:tcPr>
          <w:p w14:paraId="6B91EC6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40" w:type="dxa"/>
            <w:vAlign w:val="center"/>
          </w:tcPr>
          <w:p w14:paraId="4F0B7A21">
            <w:pPr>
              <w:spacing w:line="340" w:lineRule="exact"/>
              <w:jc w:val="center"/>
              <w:rPr>
                <w:rFonts w:ascii="宋体" w:hAnsi="宋体" w:cs="宋体"/>
                <w:color w:val="auto"/>
                <w:sz w:val="24"/>
                <w:highlight w:val="none"/>
              </w:rPr>
            </w:pPr>
            <w:r>
              <w:rPr>
                <w:rFonts w:hint="eastAsia" w:ascii="宋体" w:hAnsi="宋体" w:cs="宋体"/>
                <w:bCs/>
                <w:color w:val="auto"/>
                <w:sz w:val="24"/>
                <w:highlight w:val="none"/>
              </w:rPr>
              <w:t>小计</w:t>
            </w:r>
          </w:p>
        </w:tc>
        <w:tc>
          <w:tcPr>
            <w:tcW w:w="1347" w:type="dxa"/>
            <w:vAlign w:val="center"/>
          </w:tcPr>
          <w:p w14:paraId="04FDDF6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3E75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19B5B6D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05" w:type="dxa"/>
          </w:tcPr>
          <w:p w14:paraId="34A20FFE">
            <w:pPr>
              <w:spacing w:line="340" w:lineRule="exact"/>
              <w:rPr>
                <w:rFonts w:ascii="宋体" w:hAnsi="宋体" w:cs="宋体"/>
                <w:color w:val="auto"/>
                <w:sz w:val="24"/>
                <w:highlight w:val="none"/>
              </w:rPr>
            </w:pPr>
          </w:p>
        </w:tc>
        <w:tc>
          <w:tcPr>
            <w:tcW w:w="957" w:type="dxa"/>
          </w:tcPr>
          <w:p w14:paraId="734BDB15">
            <w:pPr>
              <w:spacing w:line="340" w:lineRule="exact"/>
              <w:rPr>
                <w:rFonts w:ascii="宋体" w:hAnsi="宋体" w:cs="宋体"/>
                <w:color w:val="auto"/>
                <w:sz w:val="24"/>
                <w:highlight w:val="none"/>
              </w:rPr>
            </w:pPr>
          </w:p>
        </w:tc>
        <w:tc>
          <w:tcPr>
            <w:tcW w:w="840" w:type="dxa"/>
          </w:tcPr>
          <w:p w14:paraId="236D5B22">
            <w:pPr>
              <w:spacing w:line="340" w:lineRule="exact"/>
              <w:rPr>
                <w:rFonts w:ascii="宋体" w:hAnsi="宋体" w:cs="宋体"/>
                <w:color w:val="auto"/>
                <w:sz w:val="24"/>
                <w:highlight w:val="none"/>
              </w:rPr>
            </w:pPr>
          </w:p>
        </w:tc>
        <w:tc>
          <w:tcPr>
            <w:tcW w:w="1260" w:type="dxa"/>
          </w:tcPr>
          <w:p w14:paraId="0E1198AA">
            <w:pPr>
              <w:spacing w:line="340" w:lineRule="exact"/>
              <w:rPr>
                <w:rFonts w:ascii="宋体" w:hAnsi="宋体" w:cs="宋体"/>
                <w:color w:val="auto"/>
                <w:sz w:val="24"/>
                <w:highlight w:val="none"/>
              </w:rPr>
            </w:pPr>
          </w:p>
        </w:tc>
        <w:tc>
          <w:tcPr>
            <w:tcW w:w="1340" w:type="dxa"/>
          </w:tcPr>
          <w:p w14:paraId="61EEF9F0">
            <w:pPr>
              <w:spacing w:line="340" w:lineRule="exact"/>
              <w:rPr>
                <w:rFonts w:ascii="宋体" w:hAnsi="宋体" w:cs="宋体"/>
                <w:color w:val="auto"/>
                <w:sz w:val="24"/>
                <w:highlight w:val="none"/>
              </w:rPr>
            </w:pPr>
          </w:p>
        </w:tc>
        <w:tc>
          <w:tcPr>
            <w:tcW w:w="1347" w:type="dxa"/>
          </w:tcPr>
          <w:p w14:paraId="4E6AD395">
            <w:pPr>
              <w:spacing w:line="340" w:lineRule="exact"/>
              <w:rPr>
                <w:rFonts w:ascii="宋体" w:hAnsi="宋体" w:cs="宋体"/>
                <w:color w:val="auto"/>
                <w:sz w:val="24"/>
                <w:highlight w:val="none"/>
              </w:rPr>
            </w:pPr>
          </w:p>
        </w:tc>
      </w:tr>
      <w:tr w14:paraId="6449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B023C8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205" w:type="dxa"/>
          </w:tcPr>
          <w:p w14:paraId="6DFE96A4">
            <w:pPr>
              <w:spacing w:line="340" w:lineRule="exact"/>
              <w:rPr>
                <w:rFonts w:ascii="宋体" w:hAnsi="宋体" w:cs="宋体"/>
                <w:color w:val="auto"/>
                <w:sz w:val="24"/>
                <w:highlight w:val="none"/>
              </w:rPr>
            </w:pPr>
          </w:p>
        </w:tc>
        <w:tc>
          <w:tcPr>
            <w:tcW w:w="957" w:type="dxa"/>
          </w:tcPr>
          <w:p w14:paraId="32ADB870">
            <w:pPr>
              <w:spacing w:line="340" w:lineRule="exact"/>
              <w:rPr>
                <w:rFonts w:ascii="宋体" w:hAnsi="宋体" w:cs="宋体"/>
                <w:color w:val="auto"/>
                <w:sz w:val="24"/>
                <w:highlight w:val="none"/>
              </w:rPr>
            </w:pPr>
          </w:p>
        </w:tc>
        <w:tc>
          <w:tcPr>
            <w:tcW w:w="840" w:type="dxa"/>
          </w:tcPr>
          <w:p w14:paraId="5F6BDC50">
            <w:pPr>
              <w:spacing w:line="340" w:lineRule="exact"/>
              <w:rPr>
                <w:rFonts w:ascii="宋体" w:hAnsi="宋体" w:cs="宋体"/>
                <w:color w:val="auto"/>
                <w:sz w:val="24"/>
                <w:highlight w:val="none"/>
              </w:rPr>
            </w:pPr>
          </w:p>
        </w:tc>
        <w:tc>
          <w:tcPr>
            <w:tcW w:w="1260" w:type="dxa"/>
          </w:tcPr>
          <w:p w14:paraId="3CFD457C">
            <w:pPr>
              <w:spacing w:line="340" w:lineRule="exact"/>
              <w:rPr>
                <w:rFonts w:ascii="宋体" w:hAnsi="宋体" w:cs="宋体"/>
                <w:color w:val="auto"/>
                <w:sz w:val="24"/>
                <w:highlight w:val="none"/>
              </w:rPr>
            </w:pPr>
          </w:p>
        </w:tc>
        <w:tc>
          <w:tcPr>
            <w:tcW w:w="1340" w:type="dxa"/>
          </w:tcPr>
          <w:p w14:paraId="7CB37E3E">
            <w:pPr>
              <w:spacing w:line="340" w:lineRule="exact"/>
              <w:rPr>
                <w:rFonts w:ascii="宋体" w:hAnsi="宋体" w:cs="宋体"/>
                <w:color w:val="auto"/>
                <w:sz w:val="24"/>
                <w:highlight w:val="none"/>
              </w:rPr>
            </w:pPr>
          </w:p>
        </w:tc>
        <w:tc>
          <w:tcPr>
            <w:tcW w:w="1347" w:type="dxa"/>
          </w:tcPr>
          <w:p w14:paraId="7A55EC73">
            <w:pPr>
              <w:spacing w:line="340" w:lineRule="exact"/>
              <w:rPr>
                <w:rFonts w:ascii="宋体" w:hAnsi="宋体" w:cs="宋体"/>
                <w:color w:val="auto"/>
                <w:sz w:val="24"/>
                <w:highlight w:val="none"/>
              </w:rPr>
            </w:pPr>
          </w:p>
        </w:tc>
      </w:tr>
      <w:tr w14:paraId="78D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DC6B8E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205" w:type="dxa"/>
          </w:tcPr>
          <w:p w14:paraId="3E1E3807">
            <w:pPr>
              <w:spacing w:line="340" w:lineRule="exact"/>
              <w:rPr>
                <w:rFonts w:ascii="宋体" w:hAnsi="宋体" w:cs="宋体"/>
                <w:color w:val="auto"/>
                <w:sz w:val="24"/>
                <w:highlight w:val="none"/>
              </w:rPr>
            </w:pPr>
          </w:p>
        </w:tc>
        <w:tc>
          <w:tcPr>
            <w:tcW w:w="957" w:type="dxa"/>
          </w:tcPr>
          <w:p w14:paraId="265807C3">
            <w:pPr>
              <w:spacing w:line="340" w:lineRule="exact"/>
              <w:rPr>
                <w:rFonts w:ascii="宋体" w:hAnsi="宋体" w:cs="宋体"/>
                <w:color w:val="auto"/>
                <w:sz w:val="24"/>
                <w:highlight w:val="none"/>
              </w:rPr>
            </w:pPr>
          </w:p>
        </w:tc>
        <w:tc>
          <w:tcPr>
            <w:tcW w:w="840" w:type="dxa"/>
          </w:tcPr>
          <w:p w14:paraId="0400928D">
            <w:pPr>
              <w:spacing w:line="340" w:lineRule="exact"/>
              <w:rPr>
                <w:rFonts w:ascii="宋体" w:hAnsi="宋体" w:cs="宋体"/>
                <w:color w:val="auto"/>
                <w:sz w:val="24"/>
                <w:highlight w:val="none"/>
              </w:rPr>
            </w:pPr>
          </w:p>
        </w:tc>
        <w:tc>
          <w:tcPr>
            <w:tcW w:w="1260" w:type="dxa"/>
          </w:tcPr>
          <w:p w14:paraId="30AFB796">
            <w:pPr>
              <w:spacing w:line="340" w:lineRule="exact"/>
              <w:rPr>
                <w:rFonts w:ascii="宋体" w:hAnsi="宋体" w:cs="宋体"/>
                <w:color w:val="auto"/>
                <w:sz w:val="24"/>
                <w:highlight w:val="none"/>
              </w:rPr>
            </w:pPr>
          </w:p>
        </w:tc>
        <w:tc>
          <w:tcPr>
            <w:tcW w:w="1340" w:type="dxa"/>
          </w:tcPr>
          <w:p w14:paraId="25446CDD">
            <w:pPr>
              <w:spacing w:line="340" w:lineRule="exact"/>
              <w:rPr>
                <w:rFonts w:ascii="宋体" w:hAnsi="宋体" w:cs="宋体"/>
                <w:color w:val="auto"/>
                <w:sz w:val="24"/>
                <w:highlight w:val="none"/>
              </w:rPr>
            </w:pPr>
          </w:p>
        </w:tc>
        <w:tc>
          <w:tcPr>
            <w:tcW w:w="1347" w:type="dxa"/>
          </w:tcPr>
          <w:p w14:paraId="068276AD">
            <w:pPr>
              <w:spacing w:line="340" w:lineRule="exact"/>
              <w:rPr>
                <w:rFonts w:ascii="宋体" w:hAnsi="宋体" w:cs="宋体"/>
                <w:color w:val="auto"/>
                <w:sz w:val="24"/>
                <w:highlight w:val="none"/>
              </w:rPr>
            </w:pPr>
          </w:p>
        </w:tc>
      </w:tr>
      <w:tr w14:paraId="3BD8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CB7E51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205" w:type="dxa"/>
          </w:tcPr>
          <w:p w14:paraId="51C52323">
            <w:pPr>
              <w:spacing w:line="340" w:lineRule="exact"/>
              <w:rPr>
                <w:rFonts w:ascii="宋体" w:hAnsi="宋体" w:cs="宋体"/>
                <w:color w:val="auto"/>
                <w:sz w:val="24"/>
                <w:highlight w:val="none"/>
              </w:rPr>
            </w:pPr>
          </w:p>
        </w:tc>
        <w:tc>
          <w:tcPr>
            <w:tcW w:w="957" w:type="dxa"/>
          </w:tcPr>
          <w:p w14:paraId="052258F8">
            <w:pPr>
              <w:spacing w:line="340" w:lineRule="exact"/>
              <w:rPr>
                <w:rFonts w:ascii="宋体" w:hAnsi="宋体" w:cs="宋体"/>
                <w:color w:val="auto"/>
                <w:sz w:val="24"/>
                <w:highlight w:val="none"/>
              </w:rPr>
            </w:pPr>
          </w:p>
        </w:tc>
        <w:tc>
          <w:tcPr>
            <w:tcW w:w="840" w:type="dxa"/>
          </w:tcPr>
          <w:p w14:paraId="524D28F7">
            <w:pPr>
              <w:spacing w:line="340" w:lineRule="exact"/>
              <w:rPr>
                <w:rFonts w:ascii="宋体" w:hAnsi="宋体" w:cs="宋体"/>
                <w:color w:val="auto"/>
                <w:sz w:val="24"/>
                <w:highlight w:val="none"/>
              </w:rPr>
            </w:pPr>
          </w:p>
        </w:tc>
        <w:tc>
          <w:tcPr>
            <w:tcW w:w="1260" w:type="dxa"/>
          </w:tcPr>
          <w:p w14:paraId="6838E54A">
            <w:pPr>
              <w:spacing w:line="340" w:lineRule="exact"/>
              <w:rPr>
                <w:rFonts w:ascii="宋体" w:hAnsi="宋体" w:cs="宋体"/>
                <w:color w:val="auto"/>
                <w:sz w:val="24"/>
                <w:highlight w:val="none"/>
              </w:rPr>
            </w:pPr>
          </w:p>
        </w:tc>
        <w:tc>
          <w:tcPr>
            <w:tcW w:w="1340" w:type="dxa"/>
          </w:tcPr>
          <w:p w14:paraId="1A804277">
            <w:pPr>
              <w:spacing w:line="340" w:lineRule="exact"/>
              <w:rPr>
                <w:rFonts w:ascii="宋体" w:hAnsi="宋体" w:cs="宋体"/>
                <w:color w:val="auto"/>
                <w:sz w:val="24"/>
                <w:highlight w:val="none"/>
              </w:rPr>
            </w:pPr>
          </w:p>
        </w:tc>
        <w:tc>
          <w:tcPr>
            <w:tcW w:w="1347" w:type="dxa"/>
          </w:tcPr>
          <w:p w14:paraId="549FE4D3">
            <w:pPr>
              <w:spacing w:line="340" w:lineRule="exact"/>
              <w:rPr>
                <w:rFonts w:ascii="宋体" w:hAnsi="宋体" w:cs="宋体"/>
                <w:color w:val="auto"/>
                <w:sz w:val="24"/>
                <w:highlight w:val="none"/>
              </w:rPr>
            </w:pPr>
          </w:p>
        </w:tc>
      </w:tr>
      <w:tr w14:paraId="14B4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C336D1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205" w:type="dxa"/>
          </w:tcPr>
          <w:p w14:paraId="2DD46187">
            <w:pPr>
              <w:spacing w:line="340" w:lineRule="exact"/>
              <w:rPr>
                <w:rFonts w:ascii="宋体" w:hAnsi="宋体" w:cs="宋体"/>
                <w:color w:val="auto"/>
                <w:sz w:val="24"/>
                <w:highlight w:val="none"/>
              </w:rPr>
            </w:pPr>
          </w:p>
        </w:tc>
        <w:tc>
          <w:tcPr>
            <w:tcW w:w="957" w:type="dxa"/>
          </w:tcPr>
          <w:p w14:paraId="2A8A04E7">
            <w:pPr>
              <w:spacing w:line="340" w:lineRule="exact"/>
              <w:rPr>
                <w:rFonts w:ascii="宋体" w:hAnsi="宋体" w:cs="宋体"/>
                <w:color w:val="auto"/>
                <w:sz w:val="24"/>
                <w:highlight w:val="none"/>
              </w:rPr>
            </w:pPr>
          </w:p>
        </w:tc>
        <w:tc>
          <w:tcPr>
            <w:tcW w:w="840" w:type="dxa"/>
          </w:tcPr>
          <w:p w14:paraId="7CB6655E">
            <w:pPr>
              <w:spacing w:line="340" w:lineRule="exact"/>
              <w:rPr>
                <w:rFonts w:ascii="宋体" w:hAnsi="宋体" w:cs="宋体"/>
                <w:color w:val="auto"/>
                <w:sz w:val="24"/>
                <w:highlight w:val="none"/>
              </w:rPr>
            </w:pPr>
          </w:p>
        </w:tc>
        <w:tc>
          <w:tcPr>
            <w:tcW w:w="1260" w:type="dxa"/>
          </w:tcPr>
          <w:p w14:paraId="6FAA3481">
            <w:pPr>
              <w:spacing w:line="340" w:lineRule="exact"/>
              <w:rPr>
                <w:rFonts w:ascii="宋体" w:hAnsi="宋体" w:cs="宋体"/>
                <w:color w:val="auto"/>
                <w:sz w:val="24"/>
                <w:highlight w:val="none"/>
              </w:rPr>
            </w:pPr>
          </w:p>
        </w:tc>
        <w:tc>
          <w:tcPr>
            <w:tcW w:w="1340" w:type="dxa"/>
          </w:tcPr>
          <w:p w14:paraId="541D894D">
            <w:pPr>
              <w:spacing w:line="340" w:lineRule="exact"/>
              <w:rPr>
                <w:rFonts w:ascii="宋体" w:hAnsi="宋体" w:cs="宋体"/>
                <w:color w:val="auto"/>
                <w:sz w:val="24"/>
                <w:highlight w:val="none"/>
              </w:rPr>
            </w:pPr>
          </w:p>
        </w:tc>
        <w:tc>
          <w:tcPr>
            <w:tcW w:w="1347" w:type="dxa"/>
          </w:tcPr>
          <w:p w14:paraId="427B7AC9">
            <w:pPr>
              <w:spacing w:line="340" w:lineRule="exact"/>
              <w:rPr>
                <w:rFonts w:ascii="宋体" w:hAnsi="宋体" w:cs="宋体"/>
                <w:color w:val="auto"/>
                <w:sz w:val="24"/>
                <w:highlight w:val="none"/>
              </w:rPr>
            </w:pPr>
          </w:p>
        </w:tc>
      </w:tr>
      <w:tr w14:paraId="489B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78B346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205" w:type="dxa"/>
          </w:tcPr>
          <w:p w14:paraId="763E4D7F">
            <w:pPr>
              <w:spacing w:line="340" w:lineRule="exact"/>
              <w:rPr>
                <w:rFonts w:ascii="宋体" w:hAnsi="宋体" w:cs="宋体"/>
                <w:color w:val="auto"/>
                <w:sz w:val="24"/>
                <w:highlight w:val="none"/>
              </w:rPr>
            </w:pPr>
          </w:p>
        </w:tc>
        <w:tc>
          <w:tcPr>
            <w:tcW w:w="957" w:type="dxa"/>
          </w:tcPr>
          <w:p w14:paraId="5F09E765">
            <w:pPr>
              <w:spacing w:line="340" w:lineRule="exact"/>
              <w:rPr>
                <w:rFonts w:ascii="宋体" w:hAnsi="宋体" w:cs="宋体"/>
                <w:color w:val="auto"/>
                <w:sz w:val="24"/>
                <w:highlight w:val="none"/>
              </w:rPr>
            </w:pPr>
          </w:p>
        </w:tc>
        <w:tc>
          <w:tcPr>
            <w:tcW w:w="840" w:type="dxa"/>
          </w:tcPr>
          <w:p w14:paraId="1099137F">
            <w:pPr>
              <w:spacing w:line="340" w:lineRule="exact"/>
              <w:rPr>
                <w:rFonts w:ascii="宋体" w:hAnsi="宋体" w:cs="宋体"/>
                <w:color w:val="auto"/>
                <w:sz w:val="24"/>
                <w:highlight w:val="none"/>
              </w:rPr>
            </w:pPr>
          </w:p>
        </w:tc>
        <w:tc>
          <w:tcPr>
            <w:tcW w:w="1260" w:type="dxa"/>
          </w:tcPr>
          <w:p w14:paraId="51AF7FB5">
            <w:pPr>
              <w:spacing w:line="340" w:lineRule="exact"/>
              <w:rPr>
                <w:rFonts w:ascii="宋体" w:hAnsi="宋体" w:cs="宋体"/>
                <w:color w:val="auto"/>
                <w:sz w:val="24"/>
                <w:highlight w:val="none"/>
              </w:rPr>
            </w:pPr>
          </w:p>
        </w:tc>
        <w:tc>
          <w:tcPr>
            <w:tcW w:w="1340" w:type="dxa"/>
          </w:tcPr>
          <w:p w14:paraId="2D6E9D8E">
            <w:pPr>
              <w:spacing w:line="340" w:lineRule="exact"/>
              <w:rPr>
                <w:rFonts w:ascii="宋体" w:hAnsi="宋体" w:cs="宋体"/>
                <w:color w:val="auto"/>
                <w:sz w:val="24"/>
                <w:highlight w:val="none"/>
              </w:rPr>
            </w:pPr>
          </w:p>
        </w:tc>
        <w:tc>
          <w:tcPr>
            <w:tcW w:w="1347" w:type="dxa"/>
          </w:tcPr>
          <w:p w14:paraId="21BE7757">
            <w:pPr>
              <w:spacing w:line="340" w:lineRule="exact"/>
              <w:rPr>
                <w:rFonts w:ascii="宋体" w:hAnsi="宋体" w:cs="宋体"/>
                <w:color w:val="auto"/>
                <w:sz w:val="24"/>
                <w:highlight w:val="none"/>
              </w:rPr>
            </w:pPr>
          </w:p>
        </w:tc>
      </w:tr>
      <w:tr w14:paraId="1076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62E899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205" w:type="dxa"/>
          </w:tcPr>
          <w:p w14:paraId="31CB3C78">
            <w:pPr>
              <w:spacing w:line="340" w:lineRule="exact"/>
              <w:rPr>
                <w:rFonts w:ascii="宋体" w:hAnsi="宋体" w:cs="宋体"/>
                <w:color w:val="auto"/>
                <w:sz w:val="24"/>
                <w:highlight w:val="none"/>
              </w:rPr>
            </w:pPr>
          </w:p>
        </w:tc>
        <w:tc>
          <w:tcPr>
            <w:tcW w:w="957" w:type="dxa"/>
          </w:tcPr>
          <w:p w14:paraId="1619C19C">
            <w:pPr>
              <w:spacing w:line="340" w:lineRule="exact"/>
              <w:rPr>
                <w:rFonts w:ascii="宋体" w:hAnsi="宋体" w:cs="宋体"/>
                <w:color w:val="auto"/>
                <w:sz w:val="24"/>
                <w:highlight w:val="none"/>
              </w:rPr>
            </w:pPr>
          </w:p>
        </w:tc>
        <w:tc>
          <w:tcPr>
            <w:tcW w:w="840" w:type="dxa"/>
          </w:tcPr>
          <w:p w14:paraId="78A40808">
            <w:pPr>
              <w:spacing w:line="340" w:lineRule="exact"/>
              <w:rPr>
                <w:rFonts w:ascii="宋体" w:hAnsi="宋体" w:cs="宋体"/>
                <w:color w:val="auto"/>
                <w:sz w:val="24"/>
                <w:highlight w:val="none"/>
              </w:rPr>
            </w:pPr>
          </w:p>
        </w:tc>
        <w:tc>
          <w:tcPr>
            <w:tcW w:w="1260" w:type="dxa"/>
          </w:tcPr>
          <w:p w14:paraId="1A23A5FF">
            <w:pPr>
              <w:spacing w:line="340" w:lineRule="exact"/>
              <w:rPr>
                <w:rFonts w:ascii="宋体" w:hAnsi="宋体" w:cs="宋体"/>
                <w:color w:val="auto"/>
                <w:sz w:val="24"/>
                <w:highlight w:val="none"/>
              </w:rPr>
            </w:pPr>
          </w:p>
        </w:tc>
        <w:tc>
          <w:tcPr>
            <w:tcW w:w="1340" w:type="dxa"/>
          </w:tcPr>
          <w:p w14:paraId="336ED533">
            <w:pPr>
              <w:spacing w:line="340" w:lineRule="exact"/>
              <w:rPr>
                <w:rFonts w:ascii="宋体" w:hAnsi="宋体" w:cs="宋体"/>
                <w:color w:val="auto"/>
                <w:sz w:val="24"/>
                <w:highlight w:val="none"/>
              </w:rPr>
            </w:pPr>
          </w:p>
        </w:tc>
        <w:tc>
          <w:tcPr>
            <w:tcW w:w="1347" w:type="dxa"/>
          </w:tcPr>
          <w:p w14:paraId="153A0C1A">
            <w:pPr>
              <w:spacing w:line="340" w:lineRule="exact"/>
              <w:rPr>
                <w:rFonts w:ascii="宋体" w:hAnsi="宋体" w:cs="宋体"/>
                <w:color w:val="auto"/>
                <w:sz w:val="24"/>
                <w:highlight w:val="none"/>
              </w:rPr>
            </w:pPr>
          </w:p>
        </w:tc>
      </w:tr>
      <w:tr w14:paraId="5129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941DF3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205" w:type="dxa"/>
          </w:tcPr>
          <w:p w14:paraId="6154B2DF">
            <w:pPr>
              <w:spacing w:line="340" w:lineRule="exact"/>
              <w:rPr>
                <w:rFonts w:ascii="宋体" w:hAnsi="宋体" w:cs="宋体"/>
                <w:color w:val="auto"/>
                <w:sz w:val="24"/>
                <w:highlight w:val="none"/>
              </w:rPr>
            </w:pPr>
          </w:p>
        </w:tc>
        <w:tc>
          <w:tcPr>
            <w:tcW w:w="957" w:type="dxa"/>
          </w:tcPr>
          <w:p w14:paraId="47B14FE4">
            <w:pPr>
              <w:spacing w:line="340" w:lineRule="exact"/>
              <w:rPr>
                <w:rFonts w:ascii="宋体" w:hAnsi="宋体" w:cs="宋体"/>
                <w:color w:val="auto"/>
                <w:sz w:val="24"/>
                <w:highlight w:val="none"/>
              </w:rPr>
            </w:pPr>
          </w:p>
        </w:tc>
        <w:tc>
          <w:tcPr>
            <w:tcW w:w="840" w:type="dxa"/>
          </w:tcPr>
          <w:p w14:paraId="683E53C3">
            <w:pPr>
              <w:spacing w:line="340" w:lineRule="exact"/>
              <w:rPr>
                <w:rFonts w:ascii="宋体" w:hAnsi="宋体" w:cs="宋体"/>
                <w:color w:val="auto"/>
                <w:sz w:val="24"/>
                <w:highlight w:val="none"/>
              </w:rPr>
            </w:pPr>
          </w:p>
        </w:tc>
        <w:tc>
          <w:tcPr>
            <w:tcW w:w="1260" w:type="dxa"/>
          </w:tcPr>
          <w:p w14:paraId="2C8BA1C1">
            <w:pPr>
              <w:spacing w:line="340" w:lineRule="exact"/>
              <w:rPr>
                <w:rFonts w:ascii="宋体" w:hAnsi="宋体" w:cs="宋体"/>
                <w:color w:val="auto"/>
                <w:sz w:val="24"/>
                <w:highlight w:val="none"/>
              </w:rPr>
            </w:pPr>
          </w:p>
        </w:tc>
        <w:tc>
          <w:tcPr>
            <w:tcW w:w="1340" w:type="dxa"/>
          </w:tcPr>
          <w:p w14:paraId="04608F8B">
            <w:pPr>
              <w:spacing w:line="340" w:lineRule="exact"/>
              <w:rPr>
                <w:rFonts w:ascii="宋体" w:hAnsi="宋体" w:cs="宋体"/>
                <w:color w:val="auto"/>
                <w:sz w:val="24"/>
                <w:highlight w:val="none"/>
              </w:rPr>
            </w:pPr>
          </w:p>
        </w:tc>
        <w:tc>
          <w:tcPr>
            <w:tcW w:w="1347" w:type="dxa"/>
          </w:tcPr>
          <w:p w14:paraId="0793CE52">
            <w:pPr>
              <w:spacing w:line="340" w:lineRule="exact"/>
              <w:rPr>
                <w:rFonts w:ascii="宋体" w:hAnsi="宋体" w:cs="宋体"/>
                <w:color w:val="auto"/>
                <w:sz w:val="24"/>
                <w:highlight w:val="none"/>
              </w:rPr>
            </w:pPr>
          </w:p>
        </w:tc>
      </w:tr>
      <w:tr w14:paraId="01F0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182BF0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05" w:type="dxa"/>
          </w:tcPr>
          <w:p w14:paraId="107E4930">
            <w:pPr>
              <w:spacing w:line="340" w:lineRule="exact"/>
              <w:rPr>
                <w:rFonts w:ascii="宋体" w:hAnsi="宋体" w:cs="宋体"/>
                <w:color w:val="auto"/>
                <w:sz w:val="24"/>
                <w:highlight w:val="none"/>
              </w:rPr>
            </w:pPr>
          </w:p>
        </w:tc>
        <w:tc>
          <w:tcPr>
            <w:tcW w:w="957" w:type="dxa"/>
          </w:tcPr>
          <w:p w14:paraId="20478148">
            <w:pPr>
              <w:spacing w:line="340" w:lineRule="exact"/>
              <w:rPr>
                <w:rFonts w:ascii="宋体" w:hAnsi="宋体" w:cs="宋体"/>
                <w:color w:val="auto"/>
                <w:sz w:val="24"/>
                <w:highlight w:val="none"/>
              </w:rPr>
            </w:pPr>
          </w:p>
        </w:tc>
        <w:tc>
          <w:tcPr>
            <w:tcW w:w="840" w:type="dxa"/>
          </w:tcPr>
          <w:p w14:paraId="52470230">
            <w:pPr>
              <w:spacing w:line="340" w:lineRule="exact"/>
              <w:rPr>
                <w:rFonts w:ascii="宋体" w:hAnsi="宋体" w:cs="宋体"/>
                <w:color w:val="auto"/>
                <w:sz w:val="24"/>
                <w:highlight w:val="none"/>
              </w:rPr>
            </w:pPr>
          </w:p>
        </w:tc>
        <w:tc>
          <w:tcPr>
            <w:tcW w:w="1260" w:type="dxa"/>
          </w:tcPr>
          <w:p w14:paraId="5598A1E0">
            <w:pPr>
              <w:spacing w:line="340" w:lineRule="exact"/>
              <w:rPr>
                <w:rFonts w:ascii="宋体" w:hAnsi="宋体" w:cs="宋体"/>
                <w:color w:val="auto"/>
                <w:sz w:val="24"/>
                <w:highlight w:val="none"/>
              </w:rPr>
            </w:pPr>
          </w:p>
        </w:tc>
        <w:tc>
          <w:tcPr>
            <w:tcW w:w="1340" w:type="dxa"/>
          </w:tcPr>
          <w:p w14:paraId="1CC7148C">
            <w:pPr>
              <w:spacing w:line="340" w:lineRule="exact"/>
              <w:rPr>
                <w:rFonts w:ascii="宋体" w:hAnsi="宋体" w:cs="宋体"/>
                <w:color w:val="auto"/>
                <w:sz w:val="24"/>
                <w:highlight w:val="none"/>
              </w:rPr>
            </w:pPr>
          </w:p>
        </w:tc>
        <w:tc>
          <w:tcPr>
            <w:tcW w:w="1347" w:type="dxa"/>
          </w:tcPr>
          <w:p w14:paraId="2CC79D38">
            <w:pPr>
              <w:spacing w:line="340" w:lineRule="exact"/>
              <w:rPr>
                <w:rFonts w:ascii="宋体" w:hAnsi="宋体" w:cs="宋体"/>
                <w:color w:val="auto"/>
                <w:sz w:val="24"/>
                <w:highlight w:val="none"/>
              </w:rPr>
            </w:pPr>
          </w:p>
        </w:tc>
      </w:tr>
      <w:tr w14:paraId="1F19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5C385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05" w:type="dxa"/>
          </w:tcPr>
          <w:p w14:paraId="349429EF">
            <w:pPr>
              <w:spacing w:line="340" w:lineRule="exact"/>
              <w:rPr>
                <w:rFonts w:ascii="宋体" w:hAnsi="宋体" w:cs="宋体"/>
                <w:color w:val="auto"/>
                <w:sz w:val="24"/>
                <w:highlight w:val="none"/>
              </w:rPr>
            </w:pPr>
          </w:p>
        </w:tc>
        <w:tc>
          <w:tcPr>
            <w:tcW w:w="957" w:type="dxa"/>
          </w:tcPr>
          <w:p w14:paraId="65F7D8FE">
            <w:pPr>
              <w:spacing w:line="340" w:lineRule="exact"/>
              <w:rPr>
                <w:rFonts w:ascii="宋体" w:hAnsi="宋体" w:cs="宋体"/>
                <w:color w:val="auto"/>
                <w:sz w:val="24"/>
                <w:highlight w:val="none"/>
              </w:rPr>
            </w:pPr>
          </w:p>
        </w:tc>
        <w:tc>
          <w:tcPr>
            <w:tcW w:w="840" w:type="dxa"/>
          </w:tcPr>
          <w:p w14:paraId="511FEA2F">
            <w:pPr>
              <w:spacing w:line="340" w:lineRule="exact"/>
              <w:rPr>
                <w:rFonts w:ascii="宋体" w:hAnsi="宋体" w:cs="宋体"/>
                <w:color w:val="auto"/>
                <w:sz w:val="24"/>
                <w:highlight w:val="none"/>
              </w:rPr>
            </w:pPr>
          </w:p>
        </w:tc>
        <w:tc>
          <w:tcPr>
            <w:tcW w:w="1260" w:type="dxa"/>
          </w:tcPr>
          <w:p w14:paraId="6FA174BE">
            <w:pPr>
              <w:spacing w:line="340" w:lineRule="exact"/>
              <w:rPr>
                <w:rFonts w:ascii="宋体" w:hAnsi="宋体" w:cs="宋体"/>
                <w:color w:val="auto"/>
                <w:sz w:val="24"/>
                <w:highlight w:val="none"/>
              </w:rPr>
            </w:pPr>
          </w:p>
        </w:tc>
        <w:tc>
          <w:tcPr>
            <w:tcW w:w="1340" w:type="dxa"/>
          </w:tcPr>
          <w:p w14:paraId="35DAF011">
            <w:pPr>
              <w:spacing w:line="340" w:lineRule="exact"/>
              <w:rPr>
                <w:rFonts w:ascii="宋体" w:hAnsi="宋体" w:cs="宋体"/>
                <w:color w:val="auto"/>
                <w:sz w:val="24"/>
                <w:highlight w:val="none"/>
              </w:rPr>
            </w:pPr>
          </w:p>
        </w:tc>
        <w:tc>
          <w:tcPr>
            <w:tcW w:w="1347" w:type="dxa"/>
          </w:tcPr>
          <w:p w14:paraId="370D859C">
            <w:pPr>
              <w:spacing w:line="340" w:lineRule="exact"/>
              <w:rPr>
                <w:rFonts w:ascii="宋体" w:hAnsi="宋体" w:cs="宋体"/>
                <w:color w:val="auto"/>
                <w:sz w:val="24"/>
                <w:highlight w:val="none"/>
              </w:rPr>
            </w:pPr>
          </w:p>
        </w:tc>
      </w:tr>
      <w:tr w14:paraId="0105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AB0E9D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205" w:type="dxa"/>
          </w:tcPr>
          <w:p w14:paraId="61C4262B">
            <w:pPr>
              <w:spacing w:line="340" w:lineRule="exact"/>
              <w:rPr>
                <w:rFonts w:ascii="宋体" w:hAnsi="宋体" w:cs="宋体"/>
                <w:color w:val="auto"/>
                <w:sz w:val="24"/>
                <w:highlight w:val="none"/>
              </w:rPr>
            </w:pPr>
          </w:p>
        </w:tc>
        <w:tc>
          <w:tcPr>
            <w:tcW w:w="957" w:type="dxa"/>
          </w:tcPr>
          <w:p w14:paraId="127CD8B9">
            <w:pPr>
              <w:spacing w:line="340" w:lineRule="exact"/>
              <w:rPr>
                <w:rFonts w:ascii="宋体" w:hAnsi="宋体" w:cs="宋体"/>
                <w:color w:val="auto"/>
                <w:sz w:val="24"/>
                <w:highlight w:val="none"/>
              </w:rPr>
            </w:pPr>
          </w:p>
        </w:tc>
        <w:tc>
          <w:tcPr>
            <w:tcW w:w="840" w:type="dxa"/>
          </w:tcPr>
          <w:p w14:paraId="1D45E014">
            <w:pPr>
              <w:spacing w:line="340" w:lineRule="exact"/>
              <w:rPr>
                <w:rFonts w:ascii="宋体" w:hAnsi="宋体" w:cs="宋体"/>
                <w:color w:val="auto"/>
                <w:sz w:val="24"/>
                <w:highlight w:val="none"/>
              </w:rPr>
            </w:pPr>
          </w:p>
        </w:tc>
        <w:tc>
          <w:tcPr>
            <w:tcW w:w="1260" w:type="dxa"/>
          </w:tcPr>
          <w:p w14:paraId="614E788A">
            <w:pPr>
              <w:spacing w:line="340" w:lineRule="exact"/>
              <w:rPr>
                <w:rFonts w:ascii="宋体" w:hAnsi="宋体" w:cs="宋体"/>
                <w:color w:val="auto"/>
                <w:sz w:val="24"/>
                <w:highlight w:val="none"/>
              </w:rPr>
            </w:pPr>
          </w:p>
        </w:tc>
        <w:tc>
          <w:tcPr>
            <w:tcW w:w="1340" w:type="dxa"/>
          </w:tcPr>
          <w:p w14:paraId="1B31E740">
            <w:pPr>
              <w:spacing w:line="340" w:lineRule="exact"/>
              <w:rPr>
                <w:rFonts w:ascii="宋体" w:hAnsi="宋体" w:cs="宋体"/>
                <w:color w:val="auto"/>
                <w:sz w:val="24"/>
                <w:highlight w:val="none"/>
              </w:rPr>
            </w:pPr>
          </w:p>
        </w:tc>
        <w:tc>
          <w:tcPr>
            <w:tcW w:w="1347" w:type="dxa"/>
          </w:tcPr>
          <w:p w14:paraId="0B4FE180">
            <w:pPr>
              <w:spacing w:line="340" w:lineRule="exact"/>
              <w:rPr>
                <w:rFonts w:ascii="宋体" w:hAnsi="宋体" w:cs="宋体"/>
                <w:color w:val="auto"/>
                <w:sz w:val="24"/>
                <w:highlight w:val="none"/>
              </w:rPr>
            </w:pPr>
          </w:p>
        </w:tc>
      </w:tr>
      <w:tr w14:paraId="58DE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88F33E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205" w:type="dxa"/>
          </w:tcPr>
          <w:p w14:paraId="32C8F5EA">
            <w:pPr>
              <w:spacing w:line="340" w:lineRule="exact"/>
              <w:rPr>
                <w:rFonts w:ascii="宋体" w:hAnsi="宋体" w:cs="宋体"/>
                <w:color w:val="auto"/>
                <w:sz w:val="24"/>
                <w:highlight w:val="none"/>
              </w:rPr>
            </w:pPr>
          </w:p>
        </w:tc>
        <w:tc>
          <w:tcPr>
            <w:tcW w:w="957" w:type="dxa"/>
          </w:tcPr>
          <w:p w14:paraId="481F6E11">
            <w:pPr>
              <w:spacing w:line="340" w:lineRule="exact"/>
              <w:rPr>
                <w:rFonts w:ascii="宋体" w:hAnsi="宋体" w:cs="宋体"/>
                <w:color w:val="auto"/>
                <w:sz w:val="24"/>
                <w:highlight w:val="none"/>
              </w:rPr>
            </w:pPr>
          </w:p>
        </w:tc>
        <w:tc>
          <w:tcPr>
            <w:tcW w:w="840" w:type="dxa"/>
          </w:tcPr>
          <w:p w14:paraId="4A67E4FD">
            <w:pPr>
              <w:spacing w:line="340" w:lineRule="exact"/>
              <w:rPr>
                <w:rFonts w:ascii="宋体" w:hAnsi="宋体" w:cs="宋体"/>
                <w:color w:val="auto"/>
                <w:sz w:val="24"/>
                <w:highlight w:val="none"/>
              </w:rPr>
            </w:pPr>
          </w:p>
        </w:tc>
        <w:tc>
          <w:tcPr>
            <w:tcW w:w="1260" w:type="dxa"/>
          </w:tcPr>
          <w:p w14:paraId="706B9486">
            <w:pPr>
              <w:spacing w:line="340" w:lineRule="exact"/>
              <w:rPr>
                <w:rFonts w:ascii="宋体" w:hAnsi="宋体" w:cs="宋体"/>
                <w:color w:val="auto"/>
                <w:sz w:val="24"/>
                <w:highlight w:val="none"/>
              </w:rPr>
            </w:pPr>
          </w:p>
        </w:tc>
        <w:tc>
          <w:tcPr>
            <w:tcW w:w="1340" w:type="dxa"/>
          </w:tcPr>
          <w:p w14:paraId="1671F56F">
            <w:pPr>
              <w:spacing w:line="340" w:lineRule="exact"/>
              <w:rPr>
                <w:rFonts w:ascii="宋体" w:hAnsi="宋体" w:cs="宋体"/>
                <w:color w:val="auto"/>
                <w:sz w:val="24"/>
                <w:highlight w:val="none"/>
              </w:rPr>
            </w:pPr>
          </w:p>
        </w:tc>
        <w:tc>
          <w:tcPr>
            <w:tcW w:w="1347" w:type="dxa"/>
          </w:tcPr>
          <w:p w14:paraId="767B9B70">
            <w:pPr>
              <w:spacing w:line="340" w:lineRule="exact"/>
              <w:rPr>
                <w:rFonts w:ascii="宋体" w:hAnsi="宋体" w:cs="宋体"/>
                <w:color w:val="auto"/>
                <w:sz w:val="24"/>
                <w:highlight w:val="none"/>
              </w:rPr>
            </w:pPr>
          </w:p>
        </w:tc>
      </w:tr>
      <w:tr w14:paraId="57F4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27EA7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205" w:type="dxa"/>
          </w:tcPr>
          <w:p w14:paraId="201982F0">
            <w:pPr>
              <w:spacing w:line="340" w:lineRule="exact"/>
              <w:rPr>
                <w:rFonts w:ascii="宋体" w:hAnsi="宋体" w:cs="宋体"/>
                <w:color w:val="auto"/>
                <w:sz w:val="24"/>
                <w:highlight w:val="none"/>
              </w:rPr>
            </w:pPr>
          </w:p>
        </w:tc>
        <w:tc>
          <w:tcPr>
            <w:tcW w:w="957" w:type="dxa"/>
          </w:tcPr>
          <w:p w14:paraId="42B8FAE4">
            <w:pPr>
              <w:spacing w:line="340" w:lineRule="exact"/>
              <w:rPr>
                <w:rFonts w:ascii="宋体" w:hAnsi="宋体" w:cs="宋体"/>
                <w:color w:val="auto"/>
                <w:sz w:val="24"/>
                <w:highlight w:val="none"/>
              </w:rPr>
            </w:pPr>
          </w:p>
        </w:tc>
        <w:tc>
          <w:tcPr>
            <w:tcW w:w="840" w:type="dxa"/>
          </w:tcPr>
          <w:p w14:paraId="7AB53D5B">
            <w:pPr>
              <w:spacing w:line="340" w:lineRule="exact"/>
              <w:rPr>
                <w:rFonts w:ascii="宋体" w:hAnsi="宋体" w:cs="宋体"/>
                <w:color w:val="auto"/>
                <w:sz w:val="24"/>
                <w:highlight w:val="none"/>
              </w:rPr>
            </w:pPr>
          </w:p>
        </w:tc>
        <w:tc>
          <w:tcPr>
            <w:tcW w:w="1260" w:type="dxa"/>
          </w:tcPr>
          <w:p w14:paraId="4B197BF1">
            <w:pPr>
              <w:spacing w:line="340" w:lineRule="exact"/>
              <w:rPr>
                <w:rFonts w:ascii="宋体" w:hAnsi="宋体" w:cs="宋体"/>
                <w:color w:val="auto"/>
                <w:sz w:val="24"/>
                <w:highlight w:val="none"/>
              </w:rPr>
            </w:pPr>
          </w:p>
        </w:tc>
        <w:tc>
          <w:tcPr>
            <w:tcW w:w="1340" w:type="dxa"/>
          </w:tcPr>
          <w:p w14:paraId="764F2A6A">
            <w:pPr>
              <w:spacing w:line="340" w:lineRule="exact"/>
              <w:rPr>
                <w:rFonts w:ascii="宋体" w:hAnsi="宋体" w:cs="宋体"/>
                <w:color w:val="auto"/>
                <w:sz w:val="24"/>
                <w:highlight w:val="none"/>
              </w:rPr>
            </w:pPr>
          </w:p>
        </w:tc>
        <w:tc>
          <w:tcPr>
            <w:tcW w:w="1347" w:type="dxa"/>
          </w:tcPr>
          <w:p w14:paraId="13DBA7FD">
            <w:pPr>
              <w:spacing w:line="340" w:lineRule="exact"/>
              <w:rPr>
                <w:rFonts w:ascii="宋体" w:hAnsi="宋体" w:cs="宋体"/>
                <w:color w:val="auto"/>
                <w:sz w:val="24"/>
                <w:highlight w:val="none"/>
              </w:rPr>
            </w:pPr>
          </w:p>
        </w:tc>
      </w:tr>
      <w:tr w14:paraId="5CFB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85CAE6">
            <w:pPr>
              <w:spacing w:line="340" w:lineRule="exact"/>
              <w:jc w:val="center"/>
              <w:rPr>
                <w:rFonts w:ascii="宋体" w:hAnsi="宋体" w:cs="宋体"/>
                <w:color w:val="auto"/>
                <w:sz w:val="24"/>
                <w:highlight w:val="none"/>
              </w:rPr>
            </w:pPr>
          </w:p>
        </w:tc>
        <w:tc>
          <w:tcPr>
            <w:tcW w:w="2205" w:type="dxa"/>
            <w:vAlign w:val="center"/>
          </w:tcPr>
          <w:p w14:paraId="3049775E">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其他费用</w:t>
            </w:r>
          </w:p>
        </w:tc>
        <w:tc>
          <w:tcPr>
            <w:tcW w:w="957" w:type="dxa"/>
          </w:tcPr>
          <w:p w14:paraId="4C5A0E54">
            <w:pPr>
              <w:spacing w:line="340" w:lineRule="exact"/>
              <w:rPr>
                <w:rFonts w:ascii="宋体" w:hAnsi="宋体" w:cs="宋体"/>
                <w:color w:val="auto"/>
                <w:sz w:val="24"/>
                <w:highlight w:val="none"/>
              </w:rPr>
            </w:pPr>
          </w:p>
        </w:tc>
        <w:tc>
          <w:tcPr>
            <w:tcW w:w="840" w:type="dxa"/>
          </w:tcPr>
          <w:p w14:paraId="45A5742B">
            <w:pPr>
              <w:spacing w:line="340" w:lineRule="exact"/>
              <w:rPr>
                <w:rFonts w:ascii="宋体" w:hAnsi="宋体" w:cs="宋体"/>
                <w:color w:val="auto"/>
                <w:sz w:val="24"/>
                <w:highlight w:val="none"/>
              </w:rPr>
            </w:pPr>
          </w:p>
        </w:tc>
        <w:tc>
          <w:tcPr>
            <w:tcW w:w="1260" w:type="dxa"/>
          </w:tcPr>
          <w:p w14:paraId="1EAC798B">
            <w:pPr>
              <w:spacing w:line="340" w:lineRule="exact"/>
              <w:rPr>
                <w:rFonts w:ascii="宋体" w:hAnsi="宋体" w:cs="宋体"/>
                <w:color w:val="auto"/>
                <w:sz w:val="24"/>
                <w:highlight w:val="none"/>
              </w:rPr>
            </w:pPr>
          </w:p>
        </w:tc>
        <w:tc>
          <w:tcPr>
            <w:tcW w:w="1340" w:type="dxa"/>
          </w:tcPr>
          <w:p w14:paraId="53F498F0">
            <w:pPr>
              <w:spacing w:line="340" w:lineRule="exact"/>
              <w:rPr>
                <w:rFonts w:ascii="宋体" w:hAnsi="宋体" w:cs="宋体"/>
                <w:color w:val="auto"/>
                <w:sz w:val="24"/>
                <w:highlight w:val="none"/>
              </w:rPr>
            </w:pPr>
          </w:p>
        </w:tc>
        <w:tc>
          <w:tcPr>
            <w:tcW w:w="1347" w:type="dxa"/>
          </w:tcPr>
          <w:p w14:paraId="51644256">
            <w:pPr>
              <w:spacing w:line="340" w:lineRule="exact"/>
              <w:rPr>
                <w:rFonts w:ascii="宋体" w:hAnsi="宋体" w:cs="宋体"/>
                <w:color w:val="auto"/>
                <w:sz w:val="24"/>
                <w:highlight w:val="none"/>
              </w:rPr>
            </w:pPr>
          </w:p>
        </w:tc>
      </w:tr>
      <w:tr w14:paraId="1DFD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19C9E0">
            <w:pPr>
              <w:spacing w:line="340" w:lineRule="exact"/>
              <w:jc w:val="center"/>
              <w:rPr>
                <w:rFonts w:ascii="宋体" w:hAnsi="宋体" w:cs="宋体"/>
                <w:color w:val="auto"/>
                <w:sz w:val="24"/>
                <w:highlight w:val="none"/>
              </w:rPr>
            </w:pPr>
          </w:p>
        </w:tc>
        <w:tc>
          <w:tcPr>
            <w:tcW w:w="2205" w:type="dxa"/>
          </w:tcPr>
          <w:p w14:paraId="34BEBEB5">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28856F98">
            <w:pPr>
              <w:spacing w:line="340" w:lineRule="exact"/>
              <w:rPr>
                <w:rFonts w:ascii="宋体" w:hAnsi="宋体" w:cs="宋体"/>
                <w:color w:val="auto"/>
                <w:sz w:val="24"/>
                <w:highlight w:val="none"/>
              </w:rPr>
            </w:pPr>
          </w:p>
        </w:tc>
        <w:tc>
          <w:tcPr>
            <w:tcW w:w="840" w:type="dxa"/>
          </w:tcPr>
          <w:p w14:paraId="5F1013C6">
            <w:pPr>
              <w:spacing w:line="340" w:lineRule="exact"/>
              <w:rPr>
                <w:rFonts w:ascii="宋体" w:hAnsi="宋体" w:cs="宋体"/>
                <w:color w:val="auto"/>
                <w:sz w:val="24"/>
                <w:highlight w:val="none"/>
              </w:rPr>
            </w:pPr>
          </w:p>
        </w:tc>
        <w:tc>
          <w:tcPr>
            <w:tcW w:w="1260" w:type="dxa"/>
          </w:tcPr>
          <w:p w14:paraId="4F6D2599">
            <w:pPr>
              <w:spacing w:line="340" w:lineRule="exact"/>
              <w:rPr>
                <w:rFonts w:ascii="宋体" w:hAnsi="宋体" w:cs="宋体"/>
                <w:color w:val="auto"/>
                <w:sz w:val="24"/>
                <w:highlight w:val="none"/>
              </w:rPr>
            </w:pPr>
          </w:p>
        </w:tc>
        <w:tc>
          <w:tcPr>
            <w:tcW w:w="1340" w:type="dxa"/>
          </w:tcPr>
          <w:p w14:paraId="6BBB0C2C">
            <w:pPr>
              <w:spacing w:line="340" w:lineRule="exact"/>
              <w:rPr>
                <w:rFonts w:ascii="宋体" w:hAnsi="宋体" w:cs="宋体"/>
                <w:color w:val="auto"/>
                <w:sz w:val="24"/>
                <w:highlight w:val="none"/>
              </w:rPr>
            </w:pPr>
          </w:p>
        </w:tc>
        <w:tc>
          <w:tcPr>
            <w:tcW w:w="1347" w:type="dxa"/>
          </w:tcPr>
          <w:p w14:paraId="073F6C0A">
            <w:pPr>
              <w:spacing w:line="340" w:lineRule="exact"/>
              <w:rPr>
                <w:rFonts w:ascii="宋体" w:hAnsi="宋体" w:cs="宋体"/>
                <w:color w:val="auto"/>
                <w:sz w:val="24"/>
                <w:highlight w:val="none"/>
              </w:rPr>
            </w:pPr>
          </w:p>
        </w:tc>
      </w:tr>
      <w:tr w14:paraId="682C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8348248">
            <w:pPr>
              <w:spacing w:line="340" w:lineRule="exact"/>
              <w:jc w:val="center"/>
              <w:rPr>
                <w:rFonts w:ascii="宋体" w:hAnsi="宋体" w:cs="宋体"/>
                <w:color w:val="auto"/>
                <w:sz w:val="24"/>
                <w:highlight w:val="none"/>
              </w:rPr>
            </w:pPr>
          </w:p>
        </w:tc>
        <w:tc>
          <w:tcPr>
            <w:tcW w:w="2205" w:type="dxa"/>
          </w:tcPr>
          <w:p w14:paraId="3BB54FEA">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w:t>
            </w:r>
          </w:p>
        </w:tc>
        <w:tc>
          <w:tcPr>
            <w:tcW w:w="957" w:type="dxa"/>
          </w:tcPr>
          <w:p w14:paraId="754FA0CC">
            <w:pPr>
              <w:spacing w:line="340" w:lineRule="exact"/>
              <w:rPr>
                <w:rFonts w:ascii="宋体" w:hAnsi="宋体" w:cs="宋体"/>
                <w:color w:val="auto"/>
                <w:sz w:val="24"/>
                <w:highlight w:val="none"/>
              </w:rPr>
            </w:pPr>
          </w:p>
        </w:tc>
        <w:tc>
          <w:tcPr>
            <w:tcW w:w="840" w:type="dxa"/>
          </w:tcPr>
          <w:p w14:paraId="240E753F">
            <w:pPr>
              <w:spacing w:line="340" w:lineRule="exact"/>
              <w:rPr>
                <w:rFonts w:ascii="宋体" w:hAnsi="宋体" w:cs="宋体"/>
                <w:color w:val="auto"/>
                <w:sz w:val="24"/>
                <w:highlight w:val="none"/>
              </w:rPr>
            </w:pPr>
          </w:p>
        </w:tc>
        <w:tc>
          <w:tcPr>
            <w:tcW w:w="1260" w:type="dxa"/>
          </w:tcPr>
          <w:p w14:paraId="2F66B1E3">
            <w:pPr>
              <w:spacing w:line="340" w:lineRule="exact"/>
              <w:rPr>
                <w:rFonts w:ascii="宋体" w:hAnsi="宋体" w:cs="宋体"/>
                <w:color w:val="auto"/>
                <w:sz w:val="24"/>
                <w:highlight w:val="none"/>
              </w:rPr>
            </w:pPr>
          </w:p>
        </w:tc>
        <w:tc>
          <w:tcPr>
            <w:tcW w:w="1340" w:type="dxa"/>
          </w:tcPr>
          <w:p w14:paraId="2FB98F93">
            <w:pPr>
              <w:spacing w:line="340" w:lineRule="exact"/>
              <w:rPr>
                <w:rFonts w:ascii="宋体" w:hAnsi="宋体" w:cs="宋体"/>
                <w:color w:val="auto"/>
                <w:sz w:val="24"/>
                <w:highlight w:val="none"/>
              </w:rPr>
            </w:pPr>
          </w:p>
        </w:tc>
        <w:tc>
          <w:tcPr>
            <w:tcW w:w="1347" w:type="dxa"/>
          </w:tcPr>
          <w:p w14:paraId="13F8FB1E">
            <w:pPr>
              <w:spacing w:line="340" w:lineRule="exact"/>
              <w:rPr>
                <w:rFonts w:ascii="宋体" w:hAnsi="宋体" w:cs="宋体"/>
                <w:color w:val="auto"/>
                <w:sz w:val="24"/>
                <w:highlight w:val="none"/>
              </w:rPr>
            </w:pPr>
          </w:p>
        </w:tc>
      </w:tr>
      <w:tr w14:paraId="2BDB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AFAC908">
            <w:pPr>
              <w:spacing w:line="340" w:lineRule="exact"/>
              <w:jc w:val="center"/>
              <w:rPr>
                <w:rFonts w:ascii="宋体" w:hAnsi="宋体" w:cs="宋体"/>
                <w:color w:val="auto"/>
                <w:sz w:val="24"/>
                <w:highlight w:val="none"/>
              </w:rPr>
            </w:pPr>
          </w:p>
        </w:tc>
        <w:tc>
          <w:tcPr>
            <w:tcW w:w="2205" w:type="dxa"/>
          </w:tcPr>
          <w:p w14:paraId="7C762DBF">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00393F7E">
            <w:pPr>
              <w:spacing w:line="340" w:lineRule="exact"/>
              <w:rPr>
                <w:rFonts w:ascii="宋体" w:hAnsi="宋体" w:cs="宋体"/>
                <w:color w:val="auto"/>
                <w:sz w:val="24"/>
                <w:highlight w:val="none"/>
              </w:rPr>
            </w:pPr>
          </w:p>
        </w:tc>
        <w:tc>
          <w:tcPr>
            <w:tcW w:w="840" w:type="dxa"/>
          </w:tcPr>
          <w:p w14:paraId="41543F7C">
            <w:pPr>
              <w:spacing w:line="340" w:lineRule="exact"/>
              <w:rPr>
                <w:rFonts w:ascii="宋体" w:hAnsi="宋体" w:cs="宋体"/>
                <w:color w:val="auto"/>
                <w:sz w:val="24"/>
                <w:highlight w:val="none"/>
              </w:rPr>
            </w:pPr>
          </w:p>
        </w:tc>
        <w:tc>
          <w:tcPr>
            <w:tcW w:w="1260" w:type="dxa"/>
          </w:tcPr>
          <w:p w14:paraId="7D053C0D">
            <w:pPr>
              <w:spacing w:line="340" w:lineRule="exact"/>
              <w:rPr>
                <w:rFonts w:ascii="宋体" w:hAnsi="宋体" w:cs="宋体"/>
                <w:color w:val="auto"/>
                <w:sz w:val="24"/>
                <w:highlight w:val="none"/>
              </w:rPr>
            </w:pPr>
          </w:p>
        </w:tc>
        <w:tc>
          <w:tcPr>
            <w:tcW w:w="1340" w:type="dxa"/>
          </w:tcPr>
          <w:p w14:paraId="5CE371E0">
            <w:pPr>
              <w:spacing w:line="340" w:lineRule="exact"/>
              <w:rPr>
                <w:rFonts w:ascii="宋体" w:hAnsi="宋体" w:cs="宋体"/>
                <w:color w:val="auto"/>
                <w:sz w:val="24"/>
                <w:highlight w:val="none"/>
              </w:rPr>
            </w:pPr>
          </w:p>
        </w:tc>
        <w:tc>
          <w:tcPr>
            <w:tcW w:w="1347" w:type="dxa"/>
          </w:tcPr>
          <w:p w14:paraId="61C5AA67">
            <w:pPr>
              <w:spacing w:line="340" w:lineRule="exact"/>
              <w:rPr>
                <w:rFonts w:ascii="宋体" w:hAnsi="宋体" w:cs="宋体"/>
                <w:color w:val="auto"/>
                <w:sz w:val="24"/>
                <w:highlight w:val="none"/>
              </w:rPr>
            </w:pPr>
          </w:p>
        </w:tc>
      </w:tr>
      <w:tr w14:paraId="7B98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A154700">
            <w:pPr>
              <w:spacing w:line="340" w:lineRule="exact"/>
              <w:jc w:val="center"/>
              <w:rPr>
                <w:rFonts w:ascii="宋体" w:hAnsi="宋体" w:cs="宋体"/>
                <w:color w:val="auto"/>
                <w:sz w:val="24"/>
                <w:highlight w:val="none"/>
              </w:rPr>
            </w:pPr>
          </w:p>
        </w:tc>
        <w:tc>
          <w:tcPr>
            <w:tcW w:w="2205" w:type="dxa"/>
            <w:vAlign w:val="center"/>
          </w:tcPr>
          <w:p w14:paraId="77B071F5">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合计</w:t>
            </w:r>
          </w:p>
        </w:tc>
        <w:tc>
          <w:tcPr>
            <w:tcW w:w="957" w:type="dxa"/>
          </w:tcPr>
          <w:p w14:paraId="2844D5A1">
            <w:pPr>
              <w:spacing w:line="340" w:lineRule="exact"/>
              <w:rPr>
                <w:rFonts w:ascii="宋体" w:hAnsi="宋体" w:cs="宋体"/>
                <w:color w:val="auto"/>
                <w:sz w:val="24"/>
                <w:highlight w:val="none"/>
              </w:rPr>
            </w:pPr>
          </w:p>
        </w:tc>
        <w:tc>
          <w:tcPr>
            <w:tcW w:w="840" w:type="dxa"/>
          </w:tcPr>
          <w:p w14:paraId="36DA9A60">
            <w:pPr>
              <w:spacing w:line="340" w:lineRule="exact"/>
              <w:rPr>
                <w:rFonts w:ascii="宋体" w:hAnsi="宋体" w:cs="宋体"/>
                <w:color w:val="auto"/>
                <w:sz w:val="24"/>
                <w:highlight w:val="none"/>
              </w:rPr>
            </w:pPr>
          </w:p>
        </w:tc>
        <w:tc>
          <w:tcPr>
            <w:tcW w:w="1260" w:type="dxa"/>
          </w:tcPr>
          <w:p w14:paraId="510576F5">
            <w:pPr>
              <w:spacing w:line="340" w:lineRule="exact"/>
              <w:rPr>
                <w:rFonts w:ascii="宋体" w:hAnsi="宋体" w:cs="宋体"/>
                <w:color w:val="auto"/>
                <w:sz w:val="24"/>
                <w:highlight w:val="none"/>
              </w:rPr>
            </w:pPr>
          </w:p>
        </w:tc>
        <w:tc>
          <w:tcPr>
            <w:tcW w:w="1340" w:type="dxa"/>
          </w:tcPr>
          <w:p w14:paraId="674F3F54">
            <w:pPr>
              <w:spacing w:line="340" w:lineRule="exact"/>
              <w:rPr>
                <w:rFonts w:ascii="宋体" w:hAnsi="宋体" w:cs="宋体"/>
                <w:color w:val="auto"/>
                <w:sz w:val="24"/>
                <w:highlight w:val="none"/>
              </w:rPr>
            </w:pPr>
          </w:p>
        </w:tc>
        <w:tc>
          <w:tcPr>
            <w:tcW w:w="1347" w:type="dxa"/>
          </w:tcPr>
          <w:p w14:paraId="0BA505F6">
            <w:pPr>
              <w:spacing w:line="340" w:lineRule="exact"/>
              <w:rPr>
                <w:rFonts w:ascii="宋体" w:hAnsi="宋体" w:cs="宋体"/>
                <w:color w:val="auto"/>
                <w:sz w:val="24"/>
                <w:highlight w:val="none"/>
              </w:rPr>
            </w:pPr>
          </w:p>
        </w:tc>
      </w:tr>
    </w:tbl>
    <w:p w14:paraId="4CC9C04C">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78C7D484">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135DA4A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5C33ACDB">
      <w:pPr>
        <w:spacing w:line="360" w:lineRule="auto"/>
        <w:jc w:val="left"/>
        <w:rPr>
          <w:rFonts w:ascii="宋体" w:hAnsi="宋体" w:cs="宋体"/>
          <w:color w:val="auto"/>
          <w:sz w:val="24"/>
          <w:highlight w:val="none"/>
        </w:rPr>
      </w:pPr>
      <w:r>
        <w:rPr>
          <w:rFonts w:hint="eastAsia" w:ascii="宋体" w:hAnsi="宋体" w:cs="宋体"/>
          <w:color w:val="auto"/>
          <w:sz w:val="24"/>
          <w:highlight w:val="none"/>
        </w:rPr>
        <w:t>表中所列内容为对应本项目需求的全部要求。如有漏项或缺项，投标人承担全部责任。</w:t>
      </w:r>
    </w:p>
    <w:p w14:paraId="76307B6F">
      <w:pPr>
        <w:spacing w:line="360" w:lineRule="auto"/>
        <w:jc w:val="center"/>
        <w:rPr>
          <w:rFonts w:ascii="宋体" w:hAnsi="宋体" w:cs="宋体"/>
          <w:b/>
          <w:color w:val="auto"/>
          <w:sz w:val="24"/>
          <w:highlight w:val="none"/>
        </w:rPr>
      </w:pPr>
    </w:p>
    <w:p w14:paraId="3B78F7FF">
      <w:pPr>
        <w:spacing w:line="360" w:lineRule="auto"/>
        <w:jc w:val="center"/>
        <w:rPr>
          <w:rFonts w:ascii="宋体" w:hAnsi="宋体" w:cs="宋体"/>
          <w:b/>
          <w:color w:val="auto"/>
          <w:sz w:val="24"/>
          <w:highlight w:val="none"/>
        </w:rPr>
      </w:pPr>
    </w:p>
    <w:p w14:paraId="00418105">
      <w:pPr>
        <w:pStyle w:val="36"/>
        <w:ind w:firstLine="241"/>
        <w:rPr>
          <w:rFonts w:ascii="宋体" w:hAnsi="宋体" w:cs="宋体"/>
          <w:b/>
          <w:color w:val="auto"/>
          <w:sz w:val="24"/>
          <w:highlight w:val="none"/>
        </w:rPr>
      </w:pPr>
    </w:p>
    <w:p w14:paraId="0779BC6F">
      <w:pPr>
        <w:pStyle w:val="36"/>
        <w:ind w:firstLine="241"/>
        <w:rPr>
          <w:rFonts w:ascii="宋体" w:hAnsi="宋体" w:cs="宋体"/>
          <w:b/>
          <w:color w:val="auto"/>
          <w:sz w:val="24"/>
          <w:highlight w:val="none"/>
        </w:rPr>
      </w:pPr>
    </w:p>
    <w:p w14:paraId="3B7A1EB9">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格式6                     </w:t>
      </w:r>
      <w:r>
        <w:rPr>
          <w:rFonts w:hint="eastAsia" w:ascii="宋体" w:hAnsi="宋体" w:cs="宋体"/>
          <w:b/>
          <w:color w:val="auto"/>
          <w:sz w:val="24"/>
          <w:highlight w:val="none"/>
        </w:rPr>
        <w:t>技术参数响应表</w:t>
      </w:r>
    </w:p>
    <w:p w14:paraId="4E99A717">
      <w:pPr>
        <w:rPr>
          <w:rFonts w:ascii="宋体" w:hAnsi="宋体" w:cs="宋体"/>
          <w:color w:val="auto"/>
          <w:sz w:val="24"/>
          <w:highlight w:val="none"/>
        </w:rPr>
      </w:pPr>
    </w:p>
    <w:p w14:paraId="42216830">
      <w:pPr>
        <w:rPr>
          <w:rFonts w:ascii="宋体" w:hAnsi="宋体" w:cs="宋体"/>
          <w:color w:val="auto"/>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4651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442D59F0">
            <w:pPr>
              <w:pStyle w:val="14"/>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355C1423">
            <w:pPr>
              <w:pStyle w:val="14"/>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14:paraId="6EAE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6B6FC063">
            <w:pPr>
              <w:pStyle w:val="14"/>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60DAB116">
            <w:pPr>
              <w:pStyle w:val="14"/>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210EBC4D">
            <w:pPr>
              <w:pStyle w:val="14"/>
              <w:jc w:val="center"/>
              <w:rPr>
                <w:rFonts w:hAnsi="宋体" w:cs="宋体"/>
                <w:bCs/>
                <w:color w:val="auto"/>
                <w:sz w:val="24"/>
                <w:szCs w:val="24"/>
                <w:highlight w:val="none"/>
              </w:rPr>
            </w:pPr>
            <w:r>
              <w:rPr>
                <w:rFonts w:hint="eastAsia" w:hAnsi="宋体" w:cs="宋体"/>
                <w:color w:val="auto"/>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05A46C14">
            <w:pPr>
              <w:pStyle w:val="14"/>
              <w:jc w:val="center"/>
              <w:rPr>
                <w:rFonts w:hAnsi="宋体" w:cs="宋体"/>
                <w:bCs/>
                <w:color w:val="auto"/>
                <w:sz w:val="24"/>
                <w:szCs w:val="24"/>
                <w:highlight w:val="none"/>
              </w:rPr>
            </w:pPr>
            <w:r>
              <w:rPr>
                <w:rFonts w:hint="eastAsia" w:hAnsi="宋体" w:cs="宋体"/>
                <w:color w:val="auto"/>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5593D8B8">
            <w:pPr>
              <w:pStyle w:val="14"/>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14:paraId="2103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CCA4DF5">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6B98A6C6">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14:paraId="6C2602EB">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14:paraId="10F27161">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0D8FD0D6">
            <w:pPr>
              <w:jc w:val="center"/>
              <w:rPr>
                <w:rFonts w:ascii="宋体" w:hAnsi="宋体" w:cs="宋体"/>
                <w:color w:val="auto"/>
                <w:sz w:val="24"/>
                <w:highlight w:val="none"/>
              </w:rPr>
            </w:pPr>
          </w:p>
        </w:tc>
      </w:tr>
      <w:tr w14:paraId="022C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E5D556C">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712E8539">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07A7B9A6">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4A18F91">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73F8CCE2">
            <w:pPr>
              <w:jc w:val="center"/>
              <w:rPr>
                <w:rFonts w:ascii="宋体" w:hAnsi="宋体" w:cs="宋体"/>
                <w:color w:val="auto"/>
                <w:sz w:val="24"/>
                <w:highlight w:val="none"/>
              </w:rPr>
            </w:pPr>
          </w:p>
        </w:tc>
      </w:tr>
      <w:tr w14:paraId="5311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B776731">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01C586DA">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6E359E8F">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3E4CC55F">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1675EC96">
            <w:pPr>
              <w:jc w:val="center"/>
              <w:rPr>
                <w:rFonts w:ascii="宋体" w:hAnsi="宋体" w:cs="宋体"/>
                <w:color w:val="auto"/>
                <w:sz w:val="24"/>
                <w:highlight w:val="none"/>
              </w:rPr>
            </w:pPr>
          </w:p>
        </w:tc>
      </w:tr>
      <w:tr w14:paraId="397B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E5F8153">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537608F7">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5BBD327F">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6D9FB3AE">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78B44F59">
            <w:pPr>
              <w:jc w:val="center"/>
              <w:rPr>
                <w:rFonts w:ascii="宋体" w:hAnsi="宋体" w:cs="宋体"/>
                <w:color w:val="auto"/>
                <w:sz w:val="24"/>
                <w:highlight w:val="none"/>
              </w:rPr>
            </w:pPr>
          </w:p>
        </w:tc>
      </w:tr>
      <w:tr w14:paraId="30F3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B033B9B">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603E4484">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289CE0F2">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816BC62">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8782EFC">
            <w:pPr>
              <w:jc w:val="center"/>
              <w:rPr>
                <w:rFonts w:ascii="宋体" w:hAnsi="宋体" w:cs="宋体"/>
                <w:color w:val="auto"/>
                <w:sz w:val="24"/>
                <w:highlight w:val="none"/>
              </w:rPr>
            </w:pPr>
          </w:p>
        </w:tc>
      </w:tr>
      <w:tr w14:paraId="4519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5F68837">
            <w:pPr>
              <w:jc w:val="center"/>
              <w:rPr>
                <w:rFonts w:ascii="宋体" w:hAnsi="宋体" w:cs="宋体"/>
                <w:color w:val="auto"/>
                <w:sz w:val="24"/>
                <w:highlight w:val="none"/>
              </w:rPr>
            </w:pPr>
            <w:r>
              <w:rPr>
                <w:rFonts w:hint="eastAsia" w:ascii="宋体" w:hAnsi="宋体" w:cs="宋体"/>
                <w:color w:val="auto"/>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1E9BCF18">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0C653629">
            <w:pPr>
              <w:ind w:left="240" w:hanging="240" w:hangingChars="100"/>
              <w:jc w:val="left"/>
              <w:rPr>
                <w:rFonts w:ascii="宋体" w:hAnsi="宋体" w:cs="宋体"/>
                <w:color w:val="auto"/>
                <w:sz w:val="24"/>
                <w:highlight w:val="none"/>
              </w:rPr>
            </w:pPr>
            <w:r>
              <w:rPr>
                <w:rFonts w:hint="eastAsia" w:ascii="宋体" w:hAnsi="宋体" w:cs="宋体"/>
                <w:color w:val="auto"/>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1505AAFF">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3CC2853E">
            <w:pPr>
              <w:jc w:val="center"/>
              <w:rPr>
                <w:rFonts w:ascii="宋体" w:hAnsi="宋体" w:cs="宋体"/>
                <w:color w:val="auto"/>
                <w:sz w:val="24"/>
                <w:highlight w:val="none"/>
              </w:rPr>
            </w:pPr>
          </w:p>
        </w:tc>
      </w:tr>
    </w:tbl>
    <w:p w14:paraId="021461A6">
      <w:pPr>
        <w:rPr>
          <w:rFonts w:ascii="宋体" w:hAnsi="宋体" w:cs="宋体"/>
          <w:color w:val="auto"/>
          <w:sz w:val="24"/>
          <w:highlight w:val="none"/>
        </w:rPr>
      </w:pPr>
    </w:p>
    <w:p w14:paraId="338EBB50">
      <w:pPr>
        <w:rPr>
          <w:rFonts w:ascii="宋体" w:hAnsi="宋体" w:cs="宋体"/>
          <w:color w:val="auto"/>
          <w:sz w:val="24"/>
          <w:highlight w:val="none"/>
        </w:rPr>
      </w:pPr>
      <w:r>
        <w:rPr>
          <w:rFonts w:hint="eastAsia" w:ascii="宋体" w:hAnsi="宋体" w:cs="宋体"/>
          <w:color w:val="auto"/>
          <w:sz w:val="24"/>
          <w:highlight w:val="none"/>
        </w:rPr>
        <w:t>(可根据需求自行更改)</w:t>
      </w:r>
    </w:p>
    <w:p w14:paraId="0365A6FF">
      <w:pPr>
        <w:rPr>
          <w:rFonts w:ascii="宋体" w:hAnsi="宋体" w:cs="宋体"/>
          <w:color w:val="auto"/>
          <w:sz w:val="24"/>
          <w:highlight w:val="none"/>
        </w:rPr>
      </w:pPr>
    </w:p>
    <w:p w14:paraId="7AE2498C">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77620A4D">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137DD31F">
      <w:pPr>
        <w:spacing w:line="360" w:lineRule="auto"/>
        <w:rPr>
          <w:rFonts w:ascii="宋体" w:hAnsi="宋体" w:cs="宋体"/>
          <w:b/>
          <w:color w:val="auto"/>
          <w:sz w:val="24"/>
          <w:highlight w:val="none"/>
        </w:rPr>
      </w:pPr>
    </w:p>
    <w:p w14:paraId="5092B614">
      <w:pPr>
        <w:spacing w:line="360" w:lineRule="auto"/>
        <w:rPr>
          <w:rFonts w:ascii="宋体" w:hAnsi="宋体" w:cs="宋体"/>
          <w:b/>
          <w:color w:val="auto"/>
          <w:sz w:val="24"/>
          <w:highlight w:val="none"/>
        </w:rPr>
      </w:pPr>
    </w:p>
    <w:p w14:paraId="1C6F57D1">
      <w:pPr>
        <w:spacing w:line="360" w:lineRule="auto"/>
        <w:rPr>
          <w:rFonts w:ascii="宋体" w:hAnsi="宋体" w:cs="宋体"/>
          <w:b/>
          <w:color w:val="auto"/>
          <w:sz w:val="24"/>
          <w:highlight w:val="none"/>
        </w:rPr>
      </w:pPr>
    </w:p>
    <w:p w14:paraId="59D862ED">
      <w:pPr>
        <w:spacing w:line="360" w:lineRule="auto"/>
        <w:rPr>
          <w:rFonts w:ascii="宋体" w:hAnsi="宋体" w:cs="宋体"/>
          <w:b/>
          <w:color w:val="auto"/>
          <w:sz w:val="24"/>
          <w:highlight w:val="none"/>
        </w:rPr>
      </w:pPr>
    </w:p>
    <w:p w14:paraId="5B6D04A2">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格式7</w:t>
      </w:r>
    </w:p>
    <w:p w14:paraId="1A7F35DA">
      <w:pPr>
        <w:pStyle w:val="27"/>
        <w:ind w:firstLine="480"/>
        <w:rPr>
          <w:rFonts w:ascii="宋体" w:hAnsi="宋体" w:eastAsia="宋体" w:cs="宋体"/>
          <w:color w:val="auto"/>
          <w:sz w:val="24"/>
          <w:highlight w:val="none"/>
        </w:rPr>
      </w:pPr>
    </w:p>
    <w:p w14:paraId="24E6F09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服务方案及服务承诺</w:t>
      </w:r>
    </w:p>
    <w:p w14:paraId="49FC0D89">
      <w:pPr>
        <w:spacing w:line="380" w:lineRule="exact"/>
        <w:jc w:val="center"/>
        <w:rPr>
          <w:rFonts w:ascii="宋体" w:hAnsi="宋体" w:cs="宋体"/>
          <w:color w:val="auto"/>
          <w:sz w:val="24"/>
          <w:highlight w:val="none"/>
        </w:rPr>
      </w:pPr>
    </w:p>
    <w:p w14:paraId="57E1C6C5">
      <w:pPr>
        <w:spacing w:line="380" w:lineRule="exact"/>
        <w:ind w:firstLine="360" w:firstLineChars="150"/>
        <w:rPr>
          <w:rFonts w:ascii="宋体" w:hAnsi="宋体" w:cs="宋体"/>
          <w:color w:val="auto"/>
          <w:sz w:val="24"/>
          <w:highlight w:val="none"/>
        </w:rPr>
      </w:pPr>
    </w:p>
    <w:p w14:paraId="1ACD2012">
      <w:pPr>
        <w:pStyle w:val="38"/>
        <w:rPr>
          <w:rFonts w:ascii="宋体" w:hAnsi="宋体" w:cs="宋体"/>
          <w:color w:val="auto"/>
          <w:sz w:val="24"/>
          <w:szCs w:val="24"/>
          <w:highlight w:val="none"/>
        </w:rPr>
      </w:pPr>
    </w:p>
    <w:p w14:paraId="17C30134">
      <w:pPr>
        <w:pStyle w:val="38"/>
        <w:rPr>
          <w:rFonts w:ascii="宋体" w:hAnsi="宋体" w:cs="宋体"/>
          <w:color w:val="auto"/>
          <w:sz w:val="24"/>
          <w:szCs w:val="24"/>
          <w:highlight w:val="none"/>
        </w:rPr>
      </w:pPr>
    </w:p>
    <w:p w14:paraId="3A788079">
      <w:pPr>
        <w:pStyle w:val="38"/>
        <w:rPr>
          <w:rFonts w:ascii="宋体" w:hAnsi="宋体" w:cs="宋体"/>
          <w:color w:val="auto"/>
          <w:sz w:val="24"/>
          <w:szCs w:val="24"/>
          <w:highlight w:val="none"/>
        </w:rPr>
      </w:pPr>
    </w:p>
    <w:p w14:paraId="1144409C">
      <w:pPr>
        <w:pStyle w:val="38"/>
        <w:rPr>
          <w:rFonts w:ascii="宋体" w:hAnsi="宋体" w:cs="宋体"/>
          <w:color w:val="auto"/>
          <w:sz w:val="24"/>
          <w:szCs w:val="24"/>
          <w:highlight w:val="none"/>
        </w:rPr>
      </w:pPr>
    </w:p>
    <w:p w14:paraId="301A8EA2">
      <w:pPr>
        <w:pStyle w:val="38"/>
        <w:rPr>
          <w:rFonts w:ascii="宋体" w:hAnsi="宋体" w:cs="宋体"/>
          <w:color w:val="auto"/>
          <w:sz w:val="24"/>
          <w:szCs w:val="24"/>
          <w:highlight w:val="none"/>
        </w:rPr>
      </w:pPr>
    </w:p>
    <w:p w14:paraId="5C9AC25D">
      <w:pPr>
        <w:pStyle w:val="38"/>
        <w:rPr>
          <w:rFonts w:ascii="宋体" w:hAnsi="宋体" w:cs="宋体"/>
          <w:color w:val="auto"/>
          <w:sz w:val="24"/>
          <w:szCs w:val="24"/>
          <w:highlight w:val="none"/>
        </w:rPr>
      </w:pPr>
    </w:p>
    <w:p w14:paraId="41DC2CD4">
      <w:pPr>
        <w:spacing w:line="380" w:lineRule="exact"/>
        <w:rPr>
          <w:rFonts w:ascii="宋体" w:hAnsi="宋体" w:cs="宋体"/>
          <w:color w:val="auto"/>
          <w:sz w:val="24"/>
          <w:highlight w:val="none"/>
        </w:rPr>
      </w:pPr>
    </w:p>
    <w:p w14:paraId="03247E2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2B2206E4">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14:paraId="1858E40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44121CAF">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格式8合格供应商的声明函和承诺书</w:t>
      </w:r>
    </w:p>
    <w:p w14:paraId="33AB9368">
      <w:pPr>
        <w:spacing w:line="360" w:lineRule="auto"/>
        <w:rPr>
          <w:rFonts w:ascii="宋体" w:hAnsi="宋体" w:cs="宋体"/>
          <w:color w:val="auto"/>
          <w:sz w:val="24"/>
          <w:highlight w:val="none"/>
        </w:rPr>
      </w:pPr>
    </w:p>
    <w:p w14:paraId="360285A7">
      <w:pPr>
        <w:spacing w:line="360" w:lineRule="auto"/>
        <w:jc w:val="center"/>
        <w:rPr>
          <w:rFonts w:ascii="宋体" w:hAnsi="宋体" w:cs="宋体"/>
          <w:b/>
          <w:bCs/>
          <w:color w:val="auto"/>
          <w:sz w:val="24"/>
          <w:highlight w:val="none"/>
        </w:rPr>
      </w:pPr>
    </w:p>
    <w:p w14:paraId="0BA13A55">
      <w:pPr>
        <w:pStyle w:val="38"/>
        <w:rPr>
          <w:color w:val="auto"/>
          <w:highlight w:val="none"/>
        </w:rPr>
      </w:pPr>
    </w:p>
    <w:p w14:paraId="22324944">
      <w:pPr>
        <w:spacing w:line="360" w:lineRule="auto"/>
        <w:jc w:val="center"/>
        <w:rPr>
          <w:rFonts w:ascii="宋体" w:hAnsi="宋体" w:cs="宋体"/>
          <w:b/>
          <w:color w:val="auto"/>
          <w:sz w:val="24"/>
          <w:highlight w:val="none"/>
        </w:rPr>
      </w:pPr>
    </w:p>
    <w:p w14:paraId="3899644F">
      <w:pPr>
        <w:spacing w:line="360" w:lineRule="auto"/>
        <w:jc w:val="center"/>
        <w:rPr>
          <w:rFonts w:ascii="宋体" w:hAnsi="宋体" w:cs="宋体"/>
          <w:b/>
          <w:color w:val="auto"/>
          <w:sz w:val="24"/>
          <w:highlight w:val="none"/>
        </w:rPr>
      </w:pPr>
    </w:p>
    <w:p w14:paraId="3B51E562">
      <w:pPr>
        <w:spacing w:line="360" w:lineRule="auto"/>
        <w:jc w:val="center"/>
        <w:rPr>
          <w:rFonts w:ascii="宋体" w:hAnsi="宋体" w:cs="宋体"/>
          <w:b/>
          <w:color w:val="auto"/>
          <w:sz w:val="24"/>
          <w:highlight w:val="none"/>
        </w:rPr>
      </w:pPr>
    </w:p>
    <w:p w14:paraId="1362BC42">
      <w:pPr>
        <w:spacing w:line="360" w:lineRule="auto"/>
        <w:jc w:val="center"/>
        <w:rPr>
          <w:rFonts w:ascii="宋体" w:hAnsi="宋体" w:cs="宋体"/>
          <w:b/>
          <w:color w:val="auto"/>
          <w:sz w:val="24"/>
          <w:highlight w:val="none"/>
        </w:rPr>
      </w:pPr>
    </w:p>
    <w:p w14:paraId="77F24C51">
      <w:pPr>
        <w:spacing w:line="360" w:lineRule="auto"/>
        <w:jc w:val="center"/>
        <w:rPr>
          <w:rFonts w:ascii="宋体" w:hAnsi="宋体" w:cs="宋体"/>
          <w:b/>
          <w:color w:val="auto"/>
          <w:sz w:val="24"/>
          <w:highlight w:val="none"/>
        </w:rPr>
      </w:pPr>
    </w:p>
    <w:p w14:paraId="06758A11">
      <w:pPr>
        <w:spacing w:line="360" w:lineRule="auto"/>
        <w:jc w:val="center"/>
        <w:rPr>
          <w:rFonts w:ascii="宋体" w:hAnsi="宋体" w:cs="宋体"/>
          <w:b/>
          <w:color w:val="auto"/>
          <w:sz w:val="24"/>
          <w:highlight w:val="none"/>
        </w:rPr>
      </w:pPr>
    </w:p>
    <w:p w14:paraId="28F70694">
      <w:pPr>
        <w:spacing w:line="360" w:lineRule="auto"/>
        <w:jc w:val="center"/>
        <w:rPr>
          <w:rFonts w:ascii="宋体" w:hAnsi="宋体" w:cs="宋体"/>
          <w:b/>
          <w:color w:val="auto"/>
          <w:sz w:val="24"/>
          <w:highlight w:val="none"/>
        </w:rPr>
      </w:pPr>
    </w:p>
    <w:p w14:paraId="44F78B44">
      <w:pPr>
        <w:spacing w:line="360" w:lineRule="auto"/>
        <w:jc w:val="center"/>
        <w:rPr>
          <w:rFonts w:ascii="宋体" w:hAnsi="宋体" w:cs="宋体"/>
          <w:b/>
          <w:color w:val="auto"/>
          <w:sz w:val="24"/>
          <w:highlight w:val="none"/>
        </w:rPr>
      </w:pPr>
    </w:p>
    <w:p w14:paraId="719D4072">
      <w:pPr>
        <w:spacing w:line="360" w:lineRule="auto"/>
        <w:jc w:val="center"/>
        <w:rPr>
          <w:rFonts w:ascii="宋体" w:hAnsi="宋体" w:cs="宋体"/>
          <w:b/>
          <w:color w:val="auto"/>
          <w:sz w:val="24"/>
          <w:highlight w:val="none"/>
        </w:rPr>
      </w:pPr>
    </w:p>
    <w:p w14:paraId="2F277C0C">
      <w:pPr>
        <w:spacing w:line="360" w:lineRule="auto"/>
        <w:jc w:val="center"/>
        <w:rPr>
          <w:rFonts w:ascii="宋体" w:hAnsi="宋体" w:cs="宋体"/>
          <w:b/>
          <w:color w:val="auto"/>
          <w:sz w:val="24"/>
          <w:highlight w:val="none"/>
        </w:rPr>
      </w:pPr>
    </w:p>
    <w:p w14:paraId="2EE916D1">
      <w:pPr>
        <w:spacing w:line="360" w:lineRule="auto"/>
        <w:jc w:val="center"/>
        <w:rPr>
          <w:rFonts w:ascii="宋体" w:hAnsi="宋体" w:cs="宋体"/>
          <w:b/>
          <w:color w:val="auto"/>
          <w:sz w:val="24"/>
          <w:highlight w:val="none"/>
        </w:rPr>
      </w:pPr>
    </w:p>
    <w:p w14:paraId="5F6E23E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041A3810">
      <w:pPr>
        <w:spacing w:line="380" w:lineRule="exact"/>
        <w:ind w:right="640" w:firstLine="1560" w:firstLineChars="650"/>
        <w:rPr>
          <w:rFonts w:ascii="宋体" w:hAnsi="宋体" w:cs="宋体"/>
          <w:color w:val="auto"/>
          <w:sz w:val="24"/>
          <w:highlight w:val="none"/>
        </w:rPr>
      </w:pPr>
    </w:p>
    <w:p w14:paraId="777B92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160DEE1">
      <w:pPr>
        <w:rPr>
          <w:rFonts w:hint="eastAsia" w:ascii="宋体" w:hAnsi="宋体" w:cs="宋体"/>
          <w:color w:val="auto"/>
          <w:sz w:val="24"/>
          <w:highlight w:val="none"/>
        </w:rPr>
      </w:pPr>
      <w:r>
        <w:rPr>
          <w:rFonts w:hint="eastAsia" w:ascii="宋体" w:hAnsi="宋体" w:cs="宋体"/>
          <w:color w:val="auto"/>
          <w:sz w:val="24"/>
          <w:highlight w:val="none"/>
        </w:rPr>
        <w:br w:type="page"/>
      </w:r>
    </w:p>
    <w:p w14:paraId="0345C40D">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格式9中小企业声明函（工程、服务）</w:t>
      </w:r>
    </w:p>
    <w:p w14:paraId="08837B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z w:val="32"/>
          <w:szCs w:val="32"/>
          <w:highlight w:val="none"/>
        </w:rPr>
      </w:pPr>
    </w:p>
    <w:p w14:paraId="6992F3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u w:val="single"/>
        </w:rPr>
        <w:t>（或者：服务全部由符合政策要求的中小企业承接）</w:t>
      </w:r>
      <w:r>
        <w:rPr>
          <w:rFonts w:hint="eastAsia" w:ascii="宋体" w:hAnsi="宋体" w:eastAsia="宋体" w:cs="宋体"/>
          <w:color w:val="auto"/>
          <w:sz w:val="24"/>
          <w:szCs w:val="24"/>
          <w:highlight w:val="none"/>
        </w:rPr>
        <w:t>。相关企业</w:t>
      </w:r>
      <w:r>
        <w:rPr>
          <w:rFonts w:hint="eastAsia" w:ascii="宋体" w:hAnsi="宋体" w:eastAsia="宋体" w:cs="宋体"/>
          <w:color w:val="auto"/>
          <w:sz w:val="24"/>
          <w:szCs w:val="24"/>
          <w:highlight w:val="none"/>
          <w:u w:val="single"/>
        </w:rPr>
        <w:t>（含联合 体中的中小企业、签订分包意向协议的中小企业）</w:t>
      </w:r>
      <w:r>
        <w:rPr>
          <w:rFonts w:hint="eastAsia" w:ascii="宋体" w:hAnsi="宋体" w:eastAsia="宋体" w:cs="宋体"/>
          <w:color w:val="auto"/>
          <w:sz w:val="24"/>
          <w:szCs w:val="24"/>
          <w:highlight w:val="none"/>
        </w:rPr>
        <w:t>的具体情 况如下：</w:t>
      </w:r>
    </w:p>
    <w:p w14:paraId="16C39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万元1，属于（中型企业、小型企业、微型企业）； </w:t>
      </w:r>
    </w:p>
    <w:p w14:paraId="31DEF4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 小型企业、微型企业）</w:t>
      </w:r>
      <w:r>
        <w:rPr>
          <w:rFonts w:hint="eastAsia" w:ascii="宋体" w:hAnsi="宋体" w:eastAsia="宋体" w:cs="宋体"/>
          <w:color w:val="auto"/>
          <w:sz w:val="24"/>
          <w:szCs w:val="24"/>
          <w:highlight w:val="none"/>
        </w:rPr>
        <w:t>； ……</w:t>
      </w:r>
    </w:p>
    <w:p w14:paraId="5652D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5DDEE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 法承担相应责任。 </w:t>
      </w:r>
    </w:p>
    <w:p w14:paraId="13E709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1DE6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2A8FD130">
      <w:pPr>
        <w:pStyle w:val="38"/>
        <w:rPr>
          <w:rFonts w:hint="eastAsia" w:ascii="宋体" w:hAnsi="宋体" w:eastAsia="宋体" w:cs="宋体"/>
          <w:color w:val="auto"/>
          <w:sz w:val="24"/>
          <w:szCs w:val="24"/>
          <w:highlight w:val="none"/>
        </w:rPr>
      </w:pPr>
    </w:p>
    <w:p w14:paraId="6F5E6AF8">
      <w:pPr>
        <w:pStyle w:val="5"/>
        <w:rPr>
          <w:rFonts w:hint="eastAsia" w:ascii="宋体" w:hAnsi="宋体" w:eastAsia="宋体" w:cs="宋体"/>
          <w:color w:val="auto"/>
          <w:sz w:val="24"/>
          <w:szCs w:val="24"/>
          <w:highlight w:val="none"/>
        </w:rPr>
      </w:pPr>
    </w:p>
    <w:p w14:paraId="6BC21E08">
      <w:pPr>
        <w:rPr>
          <w:rFonts w:hint="eastAsia" w:ascii="宋体" w:hAnsi="宋体" w:eastAsia="宋体" w:cs="宋体"/>
          <w:color w:val="auto"/>
          <w:sz w:val="24"/>
          <w:szCs w:val="24"/>
          <w:highlight w:val="none"/>
        </w:rPr>
      </w:pPr>
    </w:p>
    <w:p w14:paraId="46B755DD">
      <w:pPr>
        <w:pStyle w:val="38"/>
        <w:rPr>
          <w:rFonts w:hint="eastAsia" w:ascii="宋体" w:hAnsi="宋体" w:eastAsia="宋体" w:cs="宋体"/>
          <w:color w:val="auto"/>
          <w:sz w:val="24"/>
          <w:szCs w:val="24"/>
          <w:highlight w:val="none"/>
        </w:rPr>
      </w:pPr>
    </w:p>
    <w:p w14:paraId="2EF16D25">
      <w:pPr>
        <w:pStyle w:val="5"/>
        <w:rPr>
          <w:rFonts w:hint="eastAsia"/>
          <w:color w:val="auto"/>
          <w:highlight w:val="none"/>
        </w:rPr>
      </w:pPr>
    </w:p>
    <w:p w14:paraId="74756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注：1.从业人员、营业收入、资产总额填报上一年度数据，无上一年度数据的新成立企业可不填报。</w:t>
      </w:r>
    </w:p>
    <w:p w14:paraId="0D3D6B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2.本项目如是只面向中小企业采购的应当必须提供。</w:t>
      </w:r>
    </w:p>
    <w:p w14:paraId="522E3B38">
      <w:pPr>
        <w:spacing w:line="360" w:lineRule="auto"/>
        <w:jc w:val="center"/>
        <w:rPr>
          <w:rFonts w:ascii="宋体" w:hAnsi="宋体" w:cs="宋体"/>
          <w:b/>
          <w:bCs/>
          <w:color w:val="auto"/>
          <w:sz w:val="24"/>
          <w:highlight w:val="none"/>
        </w:rPr>
      </w:pPr>
    </w:p>
    <w:p w14:paraId="7A343DC5">
      <w:pPr>
        <w:spacing w:line="360" w:lineRule="auto"/>
        <w:jc w:val="center"/>
        <w:rPr>
          <w:rFonts w:ascii="宋体" w:hAnsi="宋体" w:cs="宋体"/>
          <w:b/>
          <w:bCs/>
          <w:color w:val="auto"/>
          <w:sz w:val="24"/>
          <w:highlight w:val="none"/>
        </w:rPr>
      </w:pPr>
    </w:p>
    <w:p w14:paraId="27DBBA8E">
      <w:pPr>
        <w:pStyle w:val="38"/>
        <w:rPr>
          <w:rFonts w:ascii="宋体" w:hAnsi="宋体" w:cs="宋体"/>
          <w:b/>
          <w:bCs/>
          <w:color w:val="auto"/>
          <w:sz w:val="24"/>
          <w:highlight w:val="none"/>
        </w:rPr>
      </w:pPr>
    </w:p>
    <w:p w14:paraId="2848F8A1">
      <w:pPr>
        <w:pStyle w:val="5"/>
        <w:rPr>
          <w:color w:val="auto"/>
          <w:highlight w:val="none"/>
        </w:rPr>
      </w:pPr>
    </w:p>
    <w:p w14:paraId="2C5780F0">
      <w:pPr>
        <w:spacing w:line="360" w:lineRule="auto"/>
        <w:rPr>
          <w:rFonts w:hint="eastAsia" w:ascii="宋体" w:hAnsi="宋体" w:cs="宋体"/>
          <w:color w:val="auto"/>
          <w:sz w:val="24"/>
          <w:highlight w:val="none"/>
        </w:rPr>
      </w:pPr>
    </w:p>
    <w:p w14:paraId="05DE65DA">
      <w:pPr>
        <w:rPr>
          <w:rFonts w:hint="eastAsia" w:ascii="宋体" w:hAnsi="宋体" w:cs="宋体"/>
          <w:color w:val="auto"/>
          <w:sz w:val="24"/>
          <w:highlight w:val="none"/>
        </w:rPr>
      </w:pPr>
      <w:r>
        <w:rPr>
          <w:rFonts w:hint="eastAsia" w:ascii="宋体" w:hAnsi="宋体" w:cs="宋体"/>
          <w:color w:val="auto"/>
          <w:sz w:val="24"/>
          <w:highlight w:val="none"/>
        </w:rPr>
        <w:br w:type="page"/>
      </w:r>
    </w:p>
    <w:p w14:paraId="1414530D">
      <w:pPr>
        <w:spacing w:line="360" w:lineRule="auto"/>
        <w:rPr>
          <w:rFonts w:ascii="宋体" w:hAnsi="宋体" w:cs="宋体"/>
          <w:color w:val="auto"/>
          <w:sz w:val="24"/>
          <w:highlight w:val="none"/>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其他资料</w:t>
      </w:r>
    </w:p>
    <w:p w14:paraId="3D8677C9">
      <w:pPr>
        <w:pStyle w:val="36"/>
        <w:ind w:firstLine="240"/>
        <w:rPr>
          <w:rFonts w:ascii="宋体" w:hAnsi="宋体" w:cs="宋体"/>
          <w:color w:val="auto"/>
          <w:sz w:val="24"/>
          <w:highlight w:val="none"/>
        </w:rPr>
      </w:pPr>
    </w:p>
    <w:p w14:paraId="6916449E">
      <w:pPr>
        <w:pStyle w:val="36"/>
        <w:ind w:firstLine="240"/>
        <w:rPr>
          <w:rFonts w:ascii="宋体" w:hAnsi="宋体" w:cs="宋体"/>
          <w:color w:val="auto"/>
          <w:sz w:val="24"/>
          <w:highlight w:val="none"/>
        </w:rPr>
      </w:pPr>
    </w:p>
    <w:p w14:paraId="2F1BF3AE">
      <w:pPr>
        <w:pStyle w:val="36"/>
        <w:ind w:firstLine="240"/>
        <w:rPr>
          <w:rFonts w:ascii="宋体" w:hAnsi="宋体" w:cs="宋体"/>
          <w:color w:val="auto"/>
          <w:sz w:val="24"/>
          <w:highlight w:val="none"/>
        </w:rPr>
      </w:pPr>
    </w:p>
    <w:p w14:paraId="52B00784">
      <w:pPr>
        <w:pStyle w:val="36"/>
        <w:ind w:firstLine="240"/>
        <w:rPr>
          <w:rFonts w:ascii="宋体" w:hAnsi="宋体" w:cs="宋体"/>
          <w:color w:val="auto"/>
          <w:sz w:val="24"/>
          <w:highlight w:val="none"/>
        </w:rPr>
      </w:pPr>
    </w:p>
    <w:p w14:paraId="3CE3064B">
      <w:pPr>
        <w:pStyle w:val="36"/>
        <w:ind w:firstLine="240"/>
        <w:rPr>
          <w:rFonts w:ascii="宋体" w:hAnsi="宋体" w:cs="宋体"/>
          <w:color w:val="auto"/>
          <w:sz w:val="24"/>
          <w:highlight w:val="none"/>
        </w:rPr>
      </w:pPr>
    </w:p>
    <w:p w14:paraId="21506C96">
      <w:pPr>
        <w:pStyle w:val="36"/>
        <w:ind w:firstLine="240"/>
        <w:rPr>
          <w:rFonts w:ascii="宋体" w:hAnsi="宋体" w:cs="宋体"/>
          <w:color w:val="auto"/>
          <w:sz w:val="24"/>
          <w:highlight w:val="none"/>
        </w:rPr>
      </w:pPr>
    </w:p>
    <w:p w14:paraId="35515CEB">
      <w:pPr>
        <w:pStyle w:val="36"/>
        <w:ind w:firstLine="240"/>
        <w:rPr>
          <w:rFonts w:ascii="宋体" w:hAnsi="宋体" w:cs="宋体"/>
          <w:color w:val="auto"/>
          <w:sz w:val="24"/>
          <w:highlight w:val="none"/>
        </w:rPr>
      </w:pPr>
    </w:p>
    <w:p w14:paraId="3E6F1BC7">
      <w:pPr>
        <w:pStyle w:val="36"/>
        <w:ind w:firstLine="240"/>
        <w:rPr>
          <w:rFonts w:ascii="宋体" w:hAnsi="宋体" w:cs="宋体"/>
          <w:color w:val="auto"/>
          <w:sz w:val="24"/>
          <w:highlight w:val="none"/>
        </w:rPr>
      </w:pPr>
    </w:p>
    <w:p w14:paraId="46634A13">
      <w:pPr>
        <w:pStyle w:val="36"/>
        <w:ind w:firstLine="240"/>
        <w:rPr>
          <w:rFonts w:ascii="宋体" w:hAnsi="宋体" w:cs="宋体"/>
          <w:color w:val="auto"/>
          <w:sz w:val="24"/>
          <w:highlight w:val="none"/>
        </w:rPr>
      </w:pPr>
    </w:p>
    <w:p w14:paraId="341BA930">
      <w:pPr>
        <w:pStyle w:val="36"/>
        <w:ind w:firstLine="240"/>
        <w:rPr>
          <w:rFonts w:ascii="宋体" w:hAnsi="宋体" w:cs="宋体"/>
          <w:color w:val="auto"/>
          <w:sz w:val="24"/>
          <w:highlight w:val="none"/>
        </w:rPr>
      </w:pPr>
    </w:p>
    <w:p w14:paraId="353873CF">
      <w:pPr>
        <w:pStyle w:val="36"/>
        <w:ind w:firstLine="240"/>
        <w:rPr>
          <w:rFonts w:ascii="宋体" w:hAnsi="宋体" w:cs="宋体"/>
          <w:color w:val="auto"/>
          <w:sz w:val="24"/>
          <w:highlight w:val="none"/>
        </w:rPr>
      </w:pPr>
    </w:p>
    <w:p w14:paraId="31E6C11D">
      <w:pPr>
        <w:rPr>
          <w:rFonts w:hint="eastAsia" w:ascii="宋体" w:hAnsi="宋体" w:cs="宋体"/>
          <w:color w:val="auto"/>
          <w:sz w:val="24"/>
          <w:highlight w:val="none"/>
        </w:rPr>
      </w:pPr>
      <w:r>
        <w:rPr>
          <w:rFonts w:hint="eastAsia" w:ascii="宋体" w:hAnsi="宋体" w:cs="宋体"/>
          <w:color w:val="auto"/>
          <w:sz w:val="24"/>
          <w:highlight w:val="none"/>
        </w:rPr>
        <w:br w:type="page"/>
      </w:r>
    </w:p>
    <w:p w14:paraId="3088C237">
      <w:pPr>
        <w:spacing w:line="360" w:lineRule="auto"/>
        <w:rPr>
          <w:rFonts w:hint="default" w:eastAsia="宋体"/>
          <w:color w:val="auto"/>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11</w:t>
      </w:r>
    </w:p>
    <w:p w14:paraId="0CBB225F">
      <w:pPr>
        <w:spacing w:line="380" w:lineRule="exact"/>
        <w:jc w:val="center"/>
        <w:rPr>
          <w:rStyle w:val="67"/>
          <w:rFonts w:ascii="宋体"/>
          <w:b/>
          <w:bCs/>
          <w:color w:val="auto"/>
          <w:sz w:val="28"/>
          <w:szCs w:val="28"/>
          <w:highlight w:val="none"/>
        </w:rPr>
      </w:pPr>
      <w:r>
        <w:rPr>
          <w:rStyle w:val="67"/>
          <w:rFonts w:hint="eastAsia" w:ascii="宋体" w:hAnsi="宋体" w:cs="宋体"/>
          <w:b/>
          <w:bCs/>
          <w:color w:val="auto"/>
          <w:sz w:val="28"/>
          <w:szCs w:val="28"/>
          <w:highlight w:val="none"/>
        </w:rPr>
        <w:t>政府采购供应商诚信承诺书</w:t>
      </w:r>
    </w:p>
    <w:p w14:paraId="39DF1D12">
      <w:pPr>
        <w:spacing w:line="380" w:lineRule="exact"/>
        <w:jc w:val="center"/>
        <w:rPr>
          <w:rStyle w:val="67"/>
          <w:rFonts w:ascii="宋体"/>
          <w:b/>
          <w:bCs/>
          <w:color w:val="auto"/>
          <w:sz w:val="24"/>
          <w:highlight w:val="none"/>
        </w:rPr>
      </w:pPr>
    </w:p>
    <w:p w14:paraId="2CF8B393">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01964F4">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14:paraId="187637D7">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14:paraId="7BA473B9">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14:paraId="1E599035">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14:paraId="069AA222">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14:paraId="0BC6BDA7">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14:paraId="5C6BF143">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14:paraId="14C861E9">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14:paraId="19211836">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14:paraId="701EC53B">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14:paraId="2659EA7F">
      <w:pPr>
        <w:spacing w:line="380" w:lineRule="exact"/>
        <w:rPr>
          <w:rFonts w:ascii="宋体" w:hAnsi="宋体" w:cs="宋体"/>
          <w:color w:val="auto"/>
          <w:sz w:val="24"/>
          <w:highlight w:val="none"/>
        </w:rPr>
      </w:pPr>
      <w:r>
        <w:rPr>
          <w:rFonts w:hint="eastAsia" w:ascii="宋体" w:hAnsi="宋体" w:cs="宋体"/>
          <w:color w:val="auto"/>
          <w:sz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21A97578">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14:paraId="1E1D6B16">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14:paraId="03B7AE02">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14:paraId="421A5270">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14:paraId="0ADD2DD7">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14:paraId="49A30A6D">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14:paraId="1EF5C6B0">
      <w:pPr>
        <w:spacing w:line="380" w:lineRule="exact"/>
        <w:ind w:firstLine="3360" w:firstLineChars="1400"/>
        <w:rPr>
          <w:rFonts w:ascii="宋体" w:hAnsi="宋体" w:cs="宋体"/>
          <w:color w:val="auto"/>
          <w:sz w:val="24"/>
          <w:highlight w:val="none"/>
        </w:rPr>
      </w:pPr>
    </w:p>
    <w:p w14:paraId="27144A5C">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14:paraId="23EDE49D">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val="en-US" w:eastAsia="zh-CN"/>
        </w:rPr>
        <w:t>定代</w:t>
      </w:r>
      <w:r>
        <w:rPr>
          <w:rFonts w:hint="eastAsia" w:ascii="宋体" w:hAnsi="宋体" w:cs="宋体"/>
          <w:color w:val="auto"/>
          <w:sz w:val="24"/>
          <w:highlight w:val="none"/>
        </w:rPr>
        <w:t>表人：（签字）</w:t>
      </w:r>
    </w:p>
    <w:p w14:paraId="17C32B60">
      <w:pPr>
        <w:spacing w:line="380" w:lineRule="exact"/>
        <w:ind w:firstLine="3360" w:firstLineChars="1400"/>
        <w:rPr>
          <w:rFonts w:ascii="宋体" w:hAnsi="宋体" w:cs="宋体"/>
          <w:color w:val="auto"/>
          <w:sz w:val="24"/>
          <w:highlight w:val="none"/>
        </w:rPr>
      </w:pPr>
    </w:p>
    <w:p w14:paraId="22566E78">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14:paraId="2D110597">
      <w:pPr>
        <w:pStyle w:val="36"/>
        <w:ind w:firstLine="0" w:firstLineChars="0"/>
        <w:rPr>
          <w:rFonts w:ascii="宋体" w:hAnsi="宋体" w:cs="宋体"/>
          <w:b/>
          <w:color w:val="auto"/>
          <w:sz w:val="24"/>
          <w:highlight w:val="none"/>
        </w:rPr>
      </w:pPr>
    </w:p>
    <w:p w14:paraId="6AADC455">
      <w:pPr>
        <w:spacing w:line="360" w:lineRule="auto"/>
        <w:rPr>
          <w:rFonts w:ascii="宋体" w:hAnsi="宋体" w:cs="宋体"/>
          <w:b/>
          <w:bCs/>
          <w:color w:val="auto"/>
          <w:sz w:val="24"/>
          <w:highlight w:val="none"/>
        </w:rPr>
      </w:pPr>
    </w:p>
    <w:p w14:paraId="6689987A">
      <w:pPr>
        <w:pStyle w:val="2"/>
        <w:spacing w:before="0" w:after="0" w:line="500" w:lineRule="exact"/>
        <w:ind w:firstLine="0"/>
        <w:jc w:val="center"/>
        <w:outlineLvl w:val="0"/>
        <w:rPr>
          <w:rFonts w:hint="eastAsia" w:ascii="宋体" w:hAnsi="宋体" w:eastAsia="宋体" w:cs="宋体"/>
          <w:b/>
          <w:bCs w:val="0"/>
          <w:color w:val="auto"/>
          <w:sz w:val="32"/>
          <w:szCs w:val="32"/>
          <w:highlight w:val="none"/>
          <w:lang w:val="en-US"/>
        </w:rPr>
      </w:pPr>
      <w:bookmarkStart w:id="52" w:name="_Toc17821"/>
      <w:r>
        <w:rPr>
          <w:rFonts w:hint="eastAsia" w:ascii="宋体" w:hAnsi="宋体" w:cs="宋体"/>
          <w:b/>
          <w:bCs w:val="0"/>
          <w:color w:val="auto"/>
          <w:sz w:val="32"/>
          <w:szCs w:val="32"/>
          <w:highlight w:val="none"/>
        </w:rPr>
        <w:t xml:space="preserve">第五章 </w:t>
      </w:r>
      <w:r>
        <w:rPr>
          <w:rFonts w:hint="eastAsia" w:ascii="宋体" w:hAnsi="宋体" w:eastAsia="宋体" w:cs="宋体"/>
          <w:b/>
          <w:bCs w:val="0"/>
          <w:color w:val="auto"/>
          <w:w w:val="92"/>
          <w:sz w:val="32"/>
          <w:szCs w:val="32"/>
          <w:highlight w:val="none"/>
          <w:lang w:val="en-US"/>
        </w:rPr>
        <w:t>周口市</w:t>
      </w:r>
      <w:r>
        <w:rPr>
          <w:rFonts w:hint="eastAsia" w:ascii="宋体" w:hAnsi="宋体" w:eastAsia="宋体" w:cs="宋体"/>
          <w:b/>
          <w:bCs w:val="0"/>
          <w:color w:val="auto"/>
          <w:sz w:val="32"/>
          <w:szCs w:val="32"/>
          <w:highlight w:val="none"/>
          <w:lang w:val="en-US"/>
        </w:rPr>
        <w:t>政府采购合同（服务类）标准文本</w:t>
      </w:r>
      <w:bookmarkEnd w:id="52"/>
    </w:p>
    <w:p w14:paraId="3FC8378C">
      <w:pPr>
        <w:ind w:firstLine="640" w:firstLineChars="200"/>
        <w:jc w:val="both"/>
        <w:rPr>
          <w:rFonts w:hint="eastAsia" w:ascii="宋体" w:hAnsi="宋体" w:eastAsia="宋体" w:cs="宋体"/>
          <w:color w:val="auto"/>
          <w:sz w:val="32"/>
          <w:szCs w:val="32"/>
          <w:highlight w:val="none"/>
          <w:lang w:val="en-US"/>
        </w:rPr>
      </w:pPr>
    </w:p>
    <w:p w14:paraId="775EEF7B">
      <w:pPr>
        <w:pStyle w:val="80"/>
        <w:spacing w:beforeLines="0" w:afterLines="0"/>
        <w:ind w:left="0" w:firstLine="640" w:firstLineChars="200"/>
        <w:jc w:val="both"/>
        <w:rPr>
          <w:rFonts w:hint="eastAsia" w:ascii="宋体" w:hAnsi="宋体" w:eastAsia="宋体" w:cs="宋体"/>
          <w:color w:val="auto"/>
          <w:sz w:val="32"/>
          <w:szCs w:val="32"/>
          <w:highlight w:val="none"/>
          <w:lang w:val="en-US"/>
        </w:rPr>
      </w:pPr>
    </w:p>
    <w:p w14:paraId="49DC8ECA">
      <w:pPr>
        <w:pStyle w:val="80"/>
        <w:spacing w:beforeLines="0" w:afterLines="0"/>
        <w:ind w:left="0" w:firstLine="640" w:firstLineChars="200"/>
        <w:jc w:val="both"/>
        <w:rPr>
          <w:rFonts w:hint="eastAsia" w:ascii="宋体" w:hAnsi="宋体" w:eastAsia="宋体" w:cs="宋体"/>
          <w:color w:val="auto"/>
          <w:sz w:val="32"/>
          <w:szCs w:val="32"/>
          <w:highlight w:val="none"/>
          <w:lang w:val="en-US"/>
        </w:rPr>
      </w:pPr>
    </w:p>
    <w:p w14:paraId="57A1CFCB">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7F137432">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37ED277E">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2678746D">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4D0EAF38">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5DD57E39">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237CA987">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政府采购项目名称：</w:t>
      </w:r>
    </w:p>
    <w:p w14:paraId="7DCEFAFB">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政府采购项目编号：</w:t>
      </w:r>
    </w:p>
    <w:p w14:paraId="15923F4F">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采      购    人：</w:t>
      </w:r>
    </w:p>
    <w:p w14:paraId="6FB9BA57">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供      应    商：</w:t>
      </w:r>
    </w:p>
    <w:p w14:paraId="0561EC11">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 订 地：</w:t>
      </w:r>
    </w:p>
    <w:p w14:paraId="32E4E9CA">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签订 时 间：</w:t>
      </w:r>
    </w:p>
    <w:p w14:paraId="793C54C4">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4AA47B3A">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03816609">
      <w:pPr>
        <w:pStyle w:val="80"/>
        <w:spacing w:beforeLines="0" w:afterLines="0"/>
        <w:ind w:left="0" w:firstLine="600" w:firstLineChars="200"/>
        <w:jc w:val="both"/>
        <w:rPr>
          <w:rFonts w:hint="eastAsia" w:ascii="宋体" w:hAnsi="宋体" w:eastAsia="宋体" w:cs="宋体"/>
          <w:color w:val="auto"/>
          <w:sz w:val="30"/>
          <w:szCs w:val="30"/>
          <w:highlight w:val="none"/>
          <w:lang w:val="en-US"/>
        </w:rPr>
      </w:pPr>
    </w:p>
    <w:p w14:paraId="68C4441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F1BF652">
      <w:pPr>
        <w:pStyle w:val="80"/>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合同签订指引</w:t>
      </w:r>
    </w:p>
    <w:p w14:paraId="28D23B94">
      <w:pPr>
        <w:pStyle w:val="80"/>
        <w:spacing w:beforeLines="0" w:afterLines="0" w:line="440" w:lineRule="exact"/>
        <w:ind w:left="0"/>
        <w:jc w:val="both"/>
        <w:rPr>
          <w:rFonts w:hint="eastAsia" w:ascii="宋体" w:hAnsi="宋体" w:eastAsia="宋体" w:cs="宋体"/>
          <w:color w:val="auto"/>
          <w:sz w:val="30"/>
          <w:szCs w:val="30"/>
          <w:highlight w:val="none"/>
        </w:rPr>
      </w:pPr>
    </w:p>
    <w:p w14:paraId="0173069E">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一、采购人在签订合同时应提供的资料：</w:t>
      </w:r>
    </w:p>
    <w:p w14:paraId="573659F3">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招标采购文件（以网上发布内容为准）；</w:t>
      </w:r>
    </w:p>
    <w:p w14:paraId="401D0963">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2、该政府采购项目</w:t>
      </w:r>
      <w:r>
        <w:rPr>
          <w:rFonts w:hint="eastAsia" w:ascii="宋体" w:hAnsi="宋体" w:eastAsia="宋体" w:cs="宋体"/>
          <w:color w:val="auto"/>
          <w:sz w:val="21"/>
          <w:szCs w:val="21"/>
          <w:highlight w:val="none"/>
        </w:rPr>
        <w:t>招标文件的澄清和修改内容（公告内容）；</w:t>
      </w:r>
    </w:p>
    <w:p w14:paraId="323EAC6F">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3、该政府采购项目评审报告；</w:t>
      </w:r>
    </w:p>
    <w:p w14:paraId="45D5D26E">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4、采购单位法人授权委托书（法人到场并签字的除外）；</w:t>
      </w:r>
    </w:p>
    <w:p w14:paraId="5D059D70">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5、采购单位被授权人身份证件（法人到场并签字的除外）；</w:t>
      </w:r>
    </w:p>
    <w:p w14:paraId="40E2375F">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6、采购人和中标供应商（或服务商，下同）约定的其它内容（不得超出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28702013">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供应商在签订合同时应提供的资料：</w:t>
      </w:r>
    </w:p>
    <w:p w14:paraId="346D49B0">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投标文件（纸质或</w:t>
      </w:r>
      <w:r>
        <w:rPr>
          <w:rFonts w:hint="eastAsia" w:ascii="宋体" w:hAnsi="宋体" w:eastAsia="宋体" w:cs="宋体"/>
          <w:color w:val="auto"/>
          <w:sz w:val="21"/>
          <w:szCs w:val="21"/>
          <w:highlight w:val="none"/>
          <w:lang w:val="en-US"/>
        </w:rPr>
        <w:t>DPF格式的电子</w:t>
      </w:r>
      <w:r>
        <w:rPr>
          <w:rFonts w:hint="eastAsia" w:ascii="宋体" w:hAnsi="宋体" w:eastAsia="宋体" w:cs="宋体"/>
          <w:color w:val="auto"/>
          <w:sz w:val="21"/>
          <w:szCs w:val="21"/>
          <w:highlight w:val="none"/>
        </w:rPr>
        <w:t>投标文件）；</w:t>
      </w:r>
    </w:p>
    <w:p w14:paraId="23FDD437">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2、针对该项目评审时评审委员会提出的质询答复（纸质并签章）；</w:t>
      </w:r>
    </w:p>
    <w:p w14:paraId="30ADAADF">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3、该政府采购项目中标通知书；</w:t>
      </w:r>
    </w:p>
    <w:p w14:paraId="7E9F3B81">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4、供应商法人授权委托书（法人到场并签字的除外）；</w:t>
      </w:r>
    </w:p>
    <w:p w14:paraId="4BDC5AC1">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5、供应商被授权人身份证件（法人到场并签字的除外）；</w:t>
      </w:r>
    </w:p>
    <w:p w14:paraId="4552E087">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6、供应商和采购人约定的其它内容（不得超出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298BADE2">
      <w:pPr>
        <w:pStyle w:val="80"/>
        <w:spacing w:beforeLines="0" w:afterLines="0" w:line="440" w:lineRule="exact"/>
        <w:ind w:left="0" w:firstLine="420" w:firstLineChars="200"/>
        <w:jc w:val="both"/>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t>三、本合同签订后二个工作日内有采购人在“周口市政府采购网”上进行合同公示。</w:t>
      </w:r>
    </w:p>
    <w:p w14:paraId="06CB89E9">
      <w:pPr>
        <w:pStyle w:val="80"/>
        <w:spacing w:beforeLines="0" w:afterLines="0" w:line="440" w:lineRule="exact"/>
        <w:ind w:left="0"/>
        <w:jc w:val="center"/>
        <w:rPr>
          <w:rFonts w:hint="eastAsia" w:ascii="宋体" w:hAnsi="宋体" w:eastAsia="宋体" w:cs="宋体"/>
          <w:bCs/>
          <w:color w:val="auto"/>
          <w:sz w:val="32"/>
          <w:szCs w:val="32"/>
          <w:highlight w:val="none"/>
        </w:rPr>
      </w:pPr>
    </w:p>
    <w:p w14:paraId="59E48A5C">
      <w:pPr>
        <w:pStyle w:val="80"/>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供应商履约验收指引</w:t>
      </w:r>
    </w:p>
    <w:p w14:paraId="77530B5A">
      <w:pPr>
        <w:pStyle w:val="80"/>
        <w:spacing w:beforeLines="0" w:afterLines="0" w:line="440" w:lineRule="exact"/>
        <w:ind w:left="0"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 w:val="21"/>
          <w:szCs w:val="21"/>
          <w:highlight w:val="none"/>
          <w:lang w:val="en-US"/>
        </w:rPr>
        <w:t>1、供应商不得</w:t>
      </w:r>
      <w:r>
        <w:rPr>
          <w:rFonts w:hint="eastAsia" w:ascii="宋体" w:hAnsi="宋体" w:eastAsia="宋体" w:cs="宋体"/>
          <w:color w:val="auto"/>
          <w:sz w:val="21"/>
          <w:szCs w:val="21"/>
          <w:highlight w:val="none"/>
        </w:rPr>
        <w:t>擅自变更合同标的服务内容；</w:t>
      </w:r>
    </w:p>
    <w:p w14:paraId="74163BD7">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不得以次充优，随意降低服务标准和水平；</w:t>
      </w:r>
    </w:p>
    <w:p w14:paraId="29049071">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对因客观上采购人采购需求发生变化造成的，应提供采、供双方的纸质备忘录材料；</w:t>
      </w:r>
    </w:p>
    <w:p w14:paraId="351C8E2C">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4、在满足</w:t>
      </w:r>
      <w:r>
        <w:rPr>
          <w:rFonts w:hint="eastAsia" w:ascii="宋体" w:hAnsi="宋体" w:eastAsia="宋体" w:cs="宋体"/>
          <w:color w:val="auto"/>
          <w:sz w:val="21"/>
          <w:szCs w:val="21"/>
          <w:highlight w:val="none"/>
        </w:rPr>
        <w:t>验收条件</w:t>
      </w:r>
      <w:r>
        <w:rPr>
          <w:rFonts w:hint="eastAsia" w:ascii="宋体" w:hAnsi="宋体" w:eastAsia="宋体" w:cs="宋体"/>
          <w:color w:val="auto"/>
          <w:sz w:val="21"/>
          <w:szCs w:val="21"/>
          <w:highlight w:val="none"/>
          <w:lang w:val="en-US"/>
        </w:rPr>
        <w:t>5个工作日</w:t>
      </w:r>
      <w:r>
        <w:rPr>
          <w:rFonts w:hint="eastAsia" w:ascii="宋体" w:hAnsi="宋体" w:eastAsia="宋体" w:cs="宋体"/>
          <w:color w:val="auto"/>
          <w:sz w:val="21"/>
          <w:szCs w:val="21"/>
          <w:highlight w:val="none"/>
        </w:rPr>
        <w:t>内通知采购人组织验收；</w:t>
      </w:r>
    </w:p>
    <w:p w14:paraId="48E9F522">
      <w:pPr>
        <w:pStyle w:val="80"/>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5、供应商应提供需验收服务的清单、标准、达到的水平等量化资料；</w:t>
      </w:r>
    </w:p>
    <w:p w14:paraId="73DD9186">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6、采、供</w:t>
      </w:r>
      <w:r>
        <w:rPr>
          <w:rFonts w:hint="eastAsia" w:ascii="宋体" w:hAnsi="宋体" w:eastAsia="宋体" w:cs="宋体"/>
          <w:color w:val="auto"/>
          <w:sz w:val="21"/>
          <w:szCs w:val="21"/>
          <w:highlight w:val="none"/>
        </w:rPr>
        <w:t>双方约定的验收机构及相关人员组成情况。</w:t>
      </w:r>
    </w:p>
    <w:p w14:paraId="3DBBEF50">
      <w:pPr>
        <w:pStyle w:val="80"/>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7、督促采购人在项目验收结束并达到相关要求后一个工作日内，在</w:t>
      </w:r>
      <w:r>
        <w:rPr>
          <w:rFonts w:hint="eastAsia" w:ascii="宋体" w:hAnsi="宋体" w:eastAsia="宋体" w:cs="宋体"/>
          <w:color w:val="auto"/>
          <w:sz w:val="21"/>
          <w:szCs w:val="21"/>
          <w:highlight w:val="none"/>
        </w:rPr>
        <w:t>“周口市政府采购网”上进行“履约验收”公示。</w:t>
      </w:r>
    </w:p>
    <w:p w14:paraId="3C13FCF5">
      <w:pPr>
        <w:bidi w:val="0"/>
        <w:rPr>
          <w:rFonts w:hint="eastAsia"/>
          <w:color w:val="auto"/>
          <w:highlight w:val="none"/>
        </w:rPr>
      </w:pPr>
    </w:p>
    <w:p w14:paraId="430D081E">
      <w:pPr>
        <w:rPr>
          <w:rFonts w:hint="eastAsia" w:ascii="宋体" w:hAnsi="宋体" w:eastAsia="宋体" w:cs="宋体"/>
          <w:b w:val="0"/>
          <w:color w:val="auto"/>
          <w:sz w:val="44"/>
          <w:szCs w:val="44"/>
          <w:highlight w:val="none"/>
        </w:rPr>
      </w:pPr>
      <w:r>
        <w:rPr>
          <w:rFonts w:hint="eastAsia" w:ascii="宋体" w:hAnsi="宋体" w:eastAsia="宋体" w:cs="宋体"/>
          <w:b w:val="0"/>
          <w:color w:val="auto"/>
          <w:sz w:val="44"/>
          <w:szCs w:val="44"/>
          <w:highlight w:val="none"/>
        </w:rPr>
        <w:br w:type="page"/>
      </w:r>
    </w:p>
    <w:p w14:paraId="642EA053">
      <w:pPr>
        <w:keepNext w:val="0"/>
        <w:keepLines w:val="0"/>
        <w:pageBreakBefore w:val="0"/>
        <w:widowControl w:val="0"/>
        <w:kinsoku/>
        <w:wordWrap/>
        <w:overflowPunct/>
        <w:topLinePunct w:val="0"/>
        <w:autoSpaceDE/>
        <w:autoSpaceDN/>
        <w:bidi w:val="0"/>
        <w:adjustRightInd/>
        <w:snapToGrid/>
        <w:spacing w:before="0" w:after="0" w:line="500" w:lineRule="exact"/>
        <w:ind w:firstLine="0"/>
        <w:jc w:val="center"/>
        <w:textAlignment w:val="auto"/>
        <w:outlineLvl w:val="9"/>
        <w:rPr>
          <w:rFonts w:hint="eastAsia" w:ascii="宋体" w:hAnsi="宋体" w:eastAsia="宋体" w:cs="宋体"/>
          <w:b w:val="0"/>
          <w:color w:val="auto"/>
          <w:sz w:val="40"/>
          <w:szCs w:val="40"/>
          <w:highlight w:val="none"/>
        </w:rPr>
      </w:pPr>
      <w:r>
        <w:rPr>
          <w:rFonts w:hint="eastAsia" w:ascii="宋体" w:hAnsi="宋体" w:eastAsia="宋体" w:cs="宋体"/>
          <w:b w:val="0"/>
          <w:color w:val="auto"/>
          <w:sz w:val="40"/>
          <w:szCs w:val="40"/>
          <w:highlight w:val="none"/>
        </w:rPr>
        <w:t>服务合同内容</w:t>
      </w:r>
    </w:p>
    <w:p w14:paraId="697A25FC">
      <w:pPr>
        <w:spacing w:line="360" w:lineRule="auto"/>
        <w:ind w:firstLine="420" w:firstLineChars="200"/>
        <w:jc w:val="both"/>
        <w:rPr>
          <w:rFonts w:hint="eastAsia" w:ascii="宋体" w:hAnsi="宋体" w:eastAsia="宋体" w:cs="宋体"/>
          <w:color w:val="auto"/>
          <w:szCs w:val="27"/>
          <w:highlight w:val="none"/>
        </w:rPr>
      </w:pPr>
    </w:p>
    <w:p w14:paraId="28F333B4">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 xml:space="preserve">采购人（甲方）： </w:t>
      </w:r>
    </w:p>
    <w:p w14:paraId="3BF0B28C">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供应商（乙方）：</w:t>
      </w:r>
    </w:p>
    <w:p w14:paraId="65401A34">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签订地点：</w:t>
      </w:r>
    </w:p>
    <w:p w14:paraId="3AAF5E9A">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项目名称：</w:t>
      </w:r>
    </w:p>
    <w:p w14:paraId="09FDB0E0">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项目编号：</w:t>
      </w:r>
    </w:p>
    <w:p w14:paraId="700D3996">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财政委托号：</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(财政资金项目必须填写)</w:t>
      </w:r>
    </w:p>
    <w:p w14:paraId="43A89F02">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本项目经批准采用</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188C19B3">
      <w:pPr>
        <w:spacing w:line="360" w:lineRule="auto"/>
        <w:ind w:firstLine="422" w:firstLineChars="200"/>
        <w:jc w:val="both"/>
        <w:rPr>
          <w:rFonts w:hint="eastAsia" w:ascii="宋体" w:hAnsi="宋体" w:eastAsia="宋体" w:cs="宋体"/>
          <w:color w:val="auto"/>
          <w:highlight w:val="none"/>
          <w:u w:val="single"/>
        </w:rPr>
      </w:pPr>
      <w:r>
        <w:rPr>
          <w:rFonts w:hint="eastAsia" w:ascii="宋体" w:hAnsi="宋体" w:eastAsia="宋体" w:cs="宋体"/>
          <w:b/>
          <w:bCs/>
          <w:color w:val="auto"/>
          <w:szCs w:val="27"/>
          <w:highlight w:val="none"/>
        </w:rPr>
        <w:t>第一条</w:t>
      </w:r>
      <w:r>
        <w:rPr>
          <w:rFonts w:hint="eastAsia" w:ascii="宋体" w:hAnsi="宋体" w:eastAsia="宋体" w:cs="宋体"/>
          <w:color w:val="auto"/>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8E2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5CFF619">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623" w:type="dxa"/>
            <w:noWrap w:val="0"/>
            <w:vAlign w:val="top"/>
          </w:tcPr>
          <w:p w14:paraId="1B7C2F10">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标准水平</w:t>
            </w:r>
          </w:p>
        </w:tc>
        <w:tc>
          <w:tcPr>
            <w:tcW w:w="902" w:type="dxa"/>
            <w:noWrap w:val="0"/>
            <w:vAlign w:val="top"/>
          </w:tcPr>
          <w:p w14:paraId="516A84EB">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02" w:type="dxa"/>
            <w:noWrap w:val="0"/>
            <w:vAlign w:val="top"/>
          </w:tcPr>
          <w:p w14:paraId="7EF5CE1B">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71" w:type="dxa"/>
            <w:noWrap w:val="0"/>
            <w:vAlign w:val="top"/>
          </w:tcPr>
          <w:p w14:paraId="05BEFF49">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250" w:type="dxa"/>
            <w:noWrap w:val="0"/>
            <w:vAlign w:val="top"/>
          </w:tcPr>
          <w:p w14:paraId="4CD22921">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小计</w:t>
            </w:r>
          </w:p>
        </w:tc>
        <w:tc>
          <w:tcPr>
            <w:tcW w:w="1106" w:type="dxa"/>
            <w:noWrap w:val="0"/>
            <w:vAlign w:val="top"/>
          </w:tcPr>
          <w:p w14:paraId="6920229B">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0B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1E44CD2">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40E0B9D7">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4230233C">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0C3D7BB8">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20BC58F1">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720204A5">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5F3BE3AC">
            <w:pPr>
              <w:spacing w:line="360" w:lineRule="auto"/>
              <w:ind w:firstLine="420" w:firstLineChars="200"/>
              <w:jc w:val="both"/>
              <w:rPr>
                <w:rFonts w:hint="eastAsia" w:ascii="宋体" w:hAnsi="宋体" w:eastAsia="宋体" w:cs="宋体"/>
                <w:color w:val="auto"/>
                <w:highlight w:val="none"/>
              </w:rPr>
            </w:pPr>
          </w:p>
        </w:tc>
      </w:tr>
      <w:tr w14:paraId="0866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3CCF5AD">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18F98B49">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096E89A5">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1BCEC9BD">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03257403">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2002E8B0">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486D3C78">
            <w:pPr>
              <w:spacing w:line="360" w:lineRule="auto"/>
              <w:ind w:firstLine="420" w:firstLineChars="200"/>
              <w:jc w:val="both"/>
              <w:rPr>
                <w:rFonts w:hint="eastAsia" w:ascii="宋体" w:hAnsi="宋体" w:eastAsia="宋体" w:cs="宋体"/>
                <w:color w:val="auto"/>
                <w:highlight w:val="none"/>
              </w:rPr>
            </w:pPr>
          </w:p>
        </w:tc>
      </w:tr>
      <w:tr w14:paraId="131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A308962">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08FBDB41">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260D9000">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58833B4F">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293703B4">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25BB6326">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691309BD">
            <w:pPr>
              <w:spacing w:line="360" w:lineRule="auto"/>
              <w:ind w:firstLine="420" w:firstLineChars="200"/>
              <w:jc w:val="both"/>
              <w:rPr>
                <w:rFonts w:hint="eastAsia" w:ascii="宋体" w:hAnsi="宋体" w:eastAsia="宋体" w:cs="宋体"/>
                <w:color w:val="auto"/>
                <w:highlight w:val="none"/>
              </w:rPr>
            </w:pPr>
          </w:p>
        </w:tc>
      </w:tr>
      <w:tr w14:paraId="69B5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78AC08CC">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合同总价款（大小写）：</w:t>
            </w:r>
          </w:p>
          <w:p w14:paraId="408AEB10">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8"/>
                <w:highlight w:val="none"/>
              </w:rPr>
              <w:t>备注：上述服务包含相关设备购置、人员工资及售后服务、税金、劳保基金、人员培训等费用。</w:t>
            </w:r>
          </w:p>
        </w:tc>
      </w:tr>
    </w:tbl>
    <w:p w14:paraId="60A8CB3E">
      <w:pPr>
        <w:spacing w:line="360" w:lineRule="auto"/>
        <w:ind w:firstLine="422" w:firstLineChars="200"/>
        <w:jc w:val="both"/>
        <w:rPr>
          <w:rFonts w:hint="eastAsia" w:ascii="宋体" w:hAnsi="宋体" w:eastAsia="宋体" w:cs="宋体"/>
          <w:color w:val="auto"/>
          <w:highlight w:val="none"/>
        </w:rPr>
      </w:pPr>
      <w:r>
        <w:rPr>
          <w:rFonts w:hint="eastAsia" w:ascii="宋体" w:hAnsi="宋体" w:eastAsia="宋体" w:cs="宋体"/>
          <w:b/>
          <w:bCs/>
          <w:color w:val="auto"/>
          <w:szCs w:val="27"/>
          <w:highlight w:val="none"/>
        </w:rPr>
        <w:t xml:space="preserve">第二条  </w:t>
      </w:r>
      <w:r>
        <w:rPr>
          <w:rFonts w:hint="eastAsia" w:ascii="宋体" w:hAnsi="宋体" w:eastAsia="宋体" w:cs="宋体"/>
          <w:color w:val="auto"/>
          <w:szCs w:val="27"/>
          <w:highlight w:val="none"/>
        </w:rPr>
        <w:t>服务标准（包括达到的水平要求），按下列第（ ）项执行：</w:t>
      </w:r>
    </w:p>
    <w:p w14:paraId="49781DCA">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①按国家标准执行；②按部颁标准执行；③若无以上标准，则应不低于同行业服务标准；④有特殊要求的，按甲乙双方在合同中商定的要求执行；</w:t>
      </w:r>
    </w:p>
    <w:p w14:paraId="0DB95D0E">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highlight w:val="none"/>
        </w:rPr>
        <w:t>乙方提供的服务标准和水平应与招标采购文件规定的标准和水平相一致。</w:t>
      </w:r>
    </w:p>
    <w:p w14:paraId="7560E2A5">
      <w:pPr>
        <w:spacing w:line="360" w:lineRule="auto"/>
        <w:ind w:firstLine="422" w:firstLineChars="200"/>
        <w:jc w:val="both"/>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第三条  </w:t>
      </w:r>
      <w:r>
        <w:rPr>
          <w:rFonts w:hint="eastAsia" w:ascii="宋体" w:hAnsi="宋体" w:eastAsia="宋体" w:cs="宋体"/>
          <w:color w:val="auto"/>
          <w:szCs w:val="27"/>
          <w:highlight w:val="none"/>
        </w:rPr>
        <w:t>服务的方式、方法、、地点和期限</w:t>
      </w:r>
    </w:p>
    <w:p w14:paraId="31B7F3CD">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1、服务方式：</w:t>
      </w:r>
    </w:p>
    <w:p w14:paraId="6C58D6DC">
      <w:pPr>
        <w:spacing w:line="360" w:lineRule="auto"/>
        <w:ind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2、服务方法：</w:t>
      </w:r>
    </w:p>
    <w:p w14:paraId="031378F4">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2、服务地点：</w:t>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p>
    <w:p w14:paraId="461ADD7C">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3、服务期限：</w:t>
      </w:r>
    </w:p>
    <w:p w14:paraId="23FE4863">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第四条</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费用及支付方式</w:t>
      </w:r>
    </w:p>
    <w:p w14:paraId="0413F757">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(一)</w:t>
      </w:r>
      <w:r>
        <w:rPr>
          <w:rFonts w:hint="eastAsia" w:ascii="宋体" w:hAnsi="宋体" w:eastAsia="宋体" w:cs="宋体"/>
          <w:b/>
          <w:color w:val="auto"/>
          <w:highlight w:val="none"/>
        </w:rPr>
        <w:t>本项目</w:t>
      </w:r>
      <w:r>
        <w:rPr>
          <w:rFonts w:hint="eastAsia" w:ascii="宋体" w:hAnsi="宋体" w:eastAsia="宋体" w:cs="宋体"/>
          <w:b/>
          <w:color w:val="auto"/>
          <w:highlight w:val="none"/>
          <w:lang w:val="en-US"/>
        </w:rPr>
        <w:t>费用有以</w:t>
      </w:r>
      <w:r>
        <w:rPr>
          <w:rFonts w:hint="eastAsia" w:ascii="宋体" w:hAnsi="宋体" w:eastAsia="宋体" w:cs="宋体"/>
          <w:b/>
          <w:color w:val="auto"/>
          <w:highlight w:val="none"/>
        </w:rPr>
        <w:t>下组成：</w:t>
      </w:r>
    </w:p>
    <w:p w14:paraId="38BB5C3F">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 xml:space="preserve"> 1、XX 万元；</w:t>
      </w:r>
    </w:p>
    <w:p w14:paraId="5B818D3B">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 万元；</w:t>
      </w:r>
    </w:p>
    <w:p w14:paraId="73C80DF1">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w:t>
      </w:r>
    </w:p>
    <w:p w14:paraId="2CC9C5B5">
      <w:pPr>
        <w:pStyle w:val="9"/>
        <w:kinsoku w:val="0"/>
        <w:overflowPunct w:val="0"/>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(二)</w:t>
      </w:r>
      <w:r>
        <w:rPr>
          <w:rFonts w:hint="eastAsia" w:ascii="宋体" w:hAnsi="宋体" w:eastAsia="宋体" w:cs="宋体"/>
          <w:b/>
          <w:color w:val="auto"/>
          <w:highlight w:val="none"/>
        </w:rPr>
        <w:t>费用支付方式：</w:t>
      </w:r>
    </w:p>
    <w:p w14:paraId="3C827FEE">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1、XXXX；</w:t>
      </w:r>
    </w:p>
    <w:p w14:paraId="317F02B1">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2、XXXX ；</w:t>
      </w:r>
    </w:p>
    <w:p w14:paraId="4F92674C">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3、在支付前甲方对乙方的服务进行考核或验收，合格的支付相应款 项。乙方须向甲方出具合法有效完整的完税发票及凭证资料进行支付结算。</w:t>
      </w:r>
    </w:p>
    <w:p w14:paraId="7C8DCEA0">
      <w:pPr>
        <w:pStyle w:val="9"/>
        <w:kinsoku w:val="0"/>
        <w:overflowPunct w:val="0"/>
        <w:ind w:left="0" w:firstLine="422" w:firstLineChars="200"/>
        <w:jc w:val="both"/>
        <w:rPr>
          <w:rFonts w:hint="eastAsia" w:ascii="宋体" w:hAnsi="宋体" w:eastAsia="宋体" w:cs="宋体"/>
          <w:color w:val="auto"/>
          <w:highlight w:val="none"/>
        </w:rPr>
      </w:pPr>
      <w:r>
        <w:rPr>
          <w:rFonts w:hint="eastAsia" w:ascii="宋体" w:hAnsi="宋体" w:eastAsia="宋体" w:cs="宋体"/>
          <w:b/>
          <w:color w:val="auto"/>
          <w:highlight w:val="none"/>
        </w:rPr>
        <w:t>第五条</w:t>
      </w:r>
      <w:r>
        <w:rPr>
          <w:rFonts w:hint="eastAsia" w:ascii="宋体" w:hAnsi="宋体" w:eastAsia="宋体" w:cs="宋体"/>
          <w:b/>
          <w:color w:val="auto"/>
          <w:highlight w:val="none"/>
          <w:lang w:val="en-US"/>
        </w:rPr>
        <w:t xml:space="preserve">  </w:t>
      </w:r>
      <w:r>
        <w:rPr>
          <w:rFonts w:hint="eastAsia" w:ascii="宋体" w:hAnsi="宋体" w:eastAsia="宋体" w:cs="宋体"/>
          <w:b/>
          <w:color w:val="auto"/>
          <w:highlight w:val="none"/>
        </w:rPr>
        <w:t xml:space="preserve">付款条件   </w:t>
      </w:r>
      <w:r>
        <w:rPr>
          <w:rFonts w:hint="eastAsia" w:ascii="宋体" w:hAnsi="宋体" w:eastAsia="宋体" w:cs="宋体"/>
          <w:color w:val="auto"/>
          <w:highlight w:val="none"/>
        </w:rPr>
        <w:t xml:space="preserve">               </w:t>
      </w:r>
    </w:p>
    <w:p w14:paraId="6D4A0068">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本合同以人民币付款。</w:t>
      </w:r>
    </w:p>
    <w:p w14:paraId="752D9801">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该项目是否实行预付款：</w:t>
      </w:r>
    </w:p>
    <w:p w14:paraId="53C540A2">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实行预付款的条件和比例：</w:t>
      </w:r>
    </w:p>
    <w:p w14:paraId="645BD48E">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合同款项结算方式和支付比例：</w:t>
      </w:r>
      <w:r>
        <w:rPr>
          <w:rFonts w:hint="eastAsia" w:ascii="宋体" w:hAnsi="宋体" w:eastAsia="宋体" w:cs="宋体"/>
          <w:color w:val="auto"/>
          <w:highlight w:val="none"/>
          <w:lang w:val="en-US"/>
        </w:rPr>
        <w:t xml:space="preserve">   </w:t>
      </w:r>
    </w:p>
    <w:p w14:paraId="314850CD">
      <w:pPr>
        <w:spacing w:line="360" w:lineRule="auto"/>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具体付款方式</w:t>
      </w:r>
      <w:r>
        <w:rPr>
          <w:rFonts w:hint="eastAsia" w:ascii="宋体" w:hAnsi="宋体" w:eastAsia="宋体" w:cs="宋体"/>
          <w:color w:val="auto"/>
          <w:highlight w:val="none"/>
          <w:u w:val="single"/>
        </w:rPr>
        <w:t>按投标人须知前附表以及采、购双方的具体约定</w:t>
      </w:r>
    </w:p>
    <w:p w14:paraId="1C7EAD87">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第六条  验收方法</w:t>
      </w:r>
    </w:p>
    <w:p w14:paraId="73FD3A4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62FE389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1FDB05A">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3、甲方视情况可以邀请参加本项目的其他投标人或者第三方机构参与验收，参与验收的投标人或者第三方机构的意见作为验收书的参考资料一并存档。</w:t>
      </w:r>
    </w:p>
    <w:p w14:paraId="00B0AAB4">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4、涉及安全、消防、环保等其他需要由质检或行业主管部门进行验收的项目，必须邀请相关部门或相关专家参与验收。涉及社会化服务的项目，甲方将要求社会公众人员参与验收。</w:t>
      </w:r>
    </w:p>
    <w:p w14:paraId="00E68DA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检测、验收费用承担方式：</w:t>
      </w:r>
    </w:p>
    <w:p w14:paraId="2DFAE291">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第七条 知识产权</w:t>
      </w:r>
    </w:p>
    <w:p w14:paraId="2C7CAD45">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乙方应保证所提供的服务或其任何一部分均不会侵犯任何第三方的专利权、商标权或著作权。</w:t>
      </w:r>
    </w:p>
    <w:p w14:paraId="4372B6F4">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第八条 无产权瑕疵条款</w:t>
      </w:r>
    </w:p>
    <w:p w14:paraId="0BA7A54F">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乙方保证所提供的服务的所有权完全属于乙方且无任何抵押、查封等产权瑕疵。如有产权瑕疵的，视为乙方违约。乙方应负担由此而产生的一切损失。</w:t>
      </w:r>
    </w:p>
    <w:p w14:paraId="66635F3D">
      <w:pPr>
        <w:pageBreakBefore w:val="0"/>
        <w:widowControl w:val="0"/>
        <w:wordWrap/>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 xml:space="preserve">第九条  </w:t>
      </w:r>
      <w:r>
        <w:rPr>
          <w:rFonts w:hint="eastAsia" w:ascii="宋体" w:hAnsi="宋体" w:eastAsia="宋体" w:cs="宋体"/>
          <w:color w:val="auto"/>
          <w:szCs w:val="27"/>
          <w:highlight w:val="none"/>
        </w:rPr>
        <w:t>履约（或质量）保证金</w:t>
      </w:r>
    </w:p>
    <w:p w14:paraId="3B4E681A">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12A9C80D">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2.若确需质量保证金的，质量保证金不得超过合同总价款的5%</w:t>
      </w:r>
    </w:p>
    <w:p w14:paraId="4E3D556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3.如乙方未能履行其合同规定的任何义务，甲方有权从履约保证金中取得补偿。</w:t>
      </w:r>
    </w:p>
    <w:p w14:paraId="2E156992">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第十条 甲方的权利和义务</w:t>
      </w:r>
    </w:p>
    <w:p w14:paraId="187FD2FC">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4846E65A">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2、甲方有权依据双方签订的考评办法对乙方提供的服务进行定期考评。当考评结果未达到标准时，有权依据考评办法约定的数额扣除履约保证金。</w:t>
      </w:r>
    </w:p>
    <w:p w14:paraId="74A78DD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3、负责检查监督乙方管理工作的实施及制度的执行情况。</w:t>
      </w:r>
    </w:p>
    <w:p w14:paraId="36E26CEE">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4、根据本合同规定，按时向乙方支付应付服务费用。</w:t>
      </w:r>
    </w:p>
    <w:p w14:paraId="5056A9B7">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5、国家法律、法规所规定由甲方承担的其他责任    </w:t>
      </w:r>
      <w:r>
        <w:rPr>
          <w:rFonts w:hint="eastAsia" w:ascii="宋体" w:hAnsi="宋体" w:eastAsia="宋体" w:cs="宋体"/>
          <w:color w:val="auto"/>
          <w:highlight w:val="none"/>
          <w:lang w:val="en-US"/>
        </w:rPr>
        <w:t xml:space="preserve">           </w:t>
      </w:r>
    </w:p>
    <w:p w14:paraId="365ED26D">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第十一条 乙方的权利和义务</w:t>
      </w:r>
    </w:p>
    <w:p w14:paraId="4A2633FF">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1、对本合同规定的委托服务范围内的项目享有管理权及服务义务。</w:t>
      </w:r>
    </w:p>
    <w:p w14:paraId="4143026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2、根据本合同的规定向甲方收取相关服务费用，并有权在本项目管理范围内管理及合理使用。</w:t>
      </w:r>
    </w:p>
    <w:p w14:paraId="24A0EBF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3、及时向甲方通告本项目服务范围内有关服务的重大事项，及时配合处理投诉。</w:t>
      </w:r>
    </w:p>
    <w:p w14:paraId="0A8AFF1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4、接受项目行业管理部门及政府有关部门的指导，接受甲方的监督。</w:t>
      </w:r>
    </w:p>
    <w:p w14:paraId="3BB3E5B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5、国家法律、法规所规定由乙方承担的其它责任。</w:t>
      </w:r>
    </w:p>
    <w:p w14:paraId="3974CC46">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第十二条 违约责任</w:t>
      </w:r>
    </w:p>
    <w:p w14:paraId="09E0DDED">
      <w:pPr>
        <w:pStyle w:val="9"/>
        <w:pageBreakBefore w:val="0"/>
        <w:widowControl w:val="0"/>
        <w:kinsoku w:val="0"/>
        <w:wordWrap/>
        <w:overflowPunct w:val="0"/>
        <w:topLinePunct w:val="0"/>
        <w:autoSpaceDE/>
        <w:autoSpaceDN/>
        <w:bidi w:val="0"/>
        <w:adjustRightInd/>
        <w:snapToGrid/>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1、甲乙双方必须遵守本合同并执行合同中的各项规定，保证本合同的正常履行。</w:t>
      </w:r>
    </w:p>
    <w:p w14:paraId="67A8B7A6">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2、甲方逾期付款的，除应及时付足款项外，应向乙方偿付欠款总额万分之 /天的违约金；逾期付款超过 天的，乙方有权终止合同。</w:t>
      </w:r>
    </w:p>
    <w:p w14:paraId="620389B7">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15D7019">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4、变更、中止或者终止合同，有过错的一方应当承担赔偿责任，双方都有过错的，各自承担相应的责任。</w:t>
      </w:r>
    </w:p>
    <w:p w14:paraId="4A1B0257">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第十三条 </w:t>
      </w:r>
      <w:r>
        <w:rPr>
          <w:rFonts w:hint="eastAsia" w:ascii="宋体" w:hAnsi="宋体" w:eastAsia="宋体" w:cs="宋体"/>
          <w:bCs/>
          <w:color w:val="auto"/>
          <w:highlight w:val="none"/>
        </w:rPr>
        <w:t>转让与分包</w:t>
      </w:r>
    </w:p>
    <w:p w14:paraId="5C4C982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除甲方事先书面同意外，乙方不得部分转让或全部转让其应履行的合同义务。</w:t>
      </w:r>
    </w:p>
    <w:p w14:paraId="26A24BE6">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1C0F16E5">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第十四条 </w:t>
      </w:r>
      <w:r>
        <w:rPr>
          <w:rFonts w:hint="eastAsia" w:ascii="宋体" w:hAnsi="宋体" w:eastAsia="宋体" w:cs="宋体"/>
          <w:bCs/>
          <w:color w:val="auto"/>
          <w:highlight w:val="none"/>
        </w:rPr>
        <w:t>合同文件及资料的使用</w:t>
      </w:r>
    </w:p>
    <w:p w14:paraId="397593A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乙方在未经甲方同意的情况下，不得将合同、合同中的规定、有关计划、图纸、样本或甲方为上述内容向乙方提供的资料透露给任何人。</w:t>
      </w:r>
    </w:p>
    <w:p w14:paraId="16B8216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除非执行合同需要，在事先未得到甲方同意的情况下，乙方不得使用前款所列的任何文件和资料。</w:t>
      </w:r>
    </w:p>
    <w:p w14:paraId="3360923D">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第十五条 不可抗力事件处理</w:t>
      </w:r>
    </w:p>
    <w:p w14:paraId="5271D2C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BB1F72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7202F621">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第十六条 合同纠纷调处</w:t>
      </w:r>
    </w:p>
    <w:p w14:paraId="2EDB5D60">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.按本合同规定应该偿付的违约金、赔偿金、保管保养费和各种经济损失，应当在明确责任后10天内，按银行规定的结算办法付清，否则按逾期付款处理。</w:t>
      </w:r>
    </w:p>
    <w:p w14:paraId="6BD3B7D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color w:val="auto"/>
          <w:szCs w:val="27"/>
          <w:highlight w:val="none"/>
          <w:u w:val="single"/>
        </w:rPr>
        <w:t>周口仲裁委员会</w:t>
      </w:r>
      <w:r>
        <w:rPr>
          <w:rFonts w:hint="eastAsia" w:ascii="宋体" w:hAnsi="宋体" w:eastAsia="宋体" w:cs="宋体"/>
          <w:color w:val="auto"/>
          <w:szCs w:val="27"/>
          <w:highlight w:val="none"/>
        </w:rPr>
        <w:t>申请仲裁。②向</w:t>
      </w:r>
      <w:r>
        <w:rPr>
          <w:rFonts w:hint="eastAsia" w:ascii="宋体" w:hAnsi="宋体" w:eastAsia="宋体" w:cs="宋体"/>
          <w:color w:val="auto"/>
          <w:highlight w:val="none"/>
        </w:rPr>
        <w:t>合同签订地有级别管辖权的</w:t>
      </w:r>
      <w:r>
        <w:rPr>
          <w:rFonts w:hint="eastAsia" w:ascii="宋体" w:hAnsi="宋体" w:eastAsia="宋体" w:cs="宋体"/>
          <w:color w:val="auto"/>
          <w:szCs w:val="27"/>
          <w:highlight w:val="none"/>
        </w:rPr>
        <w:t>人民法院起诉。</w:t>
      </w:r>
    </w:p>
    <w:p w14:paraId="36BF6DDC">
      <w:pPr>
        <w:pageBreakBefore w:val="0"/>
        <w:widowControl w:val="0"/>
        <w:kinsoku w:val="0"/>
        <w:wordWrap/>
        <w:overflowPunct w:val="0"/>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color w:val="auto"/>
          <w:kern w:val="2"/>
          <w:sz w:val="21"/>
          <w:szCs w:val="27"/>
          <w:highlight w:val="none"/>
          <w:lang w:val="en-US" w:eastAsia="zh-CN" w:bidi="ar-SA"/>
        </w:rPr>
      </w:pPr>
      <w:r>
        <w:rPr>
          <w:rFonts w:hint="eastAsia" w:ascii="宋体" w:hAnsi="宋体" w:eastAsia="宋体" w:cs="宋体"/>
          <w:b w:val="0"/>
          <w:bCs w:val="0"/>
          <w:color w:val="auto"/>
          <w:kern w:val="2"/>
          <w:sz w:val="21"/>
          <w:szCs w:val="27"/>
          <w:highlight w:val="none"/>
          <w:lang w:val="en-US" w:eastAsia="zh-CN" w:bidi="ar-SA"/>
        </w:rPr>
        <w:t>3、甲、乙双方均有权利向本项目具有监管职能的政府采购监督管理部门举报反映对方在合同履约中的违法违纪行为。</w:t>
      </w:r>
    </w:p>
    <w:p w14:paraId="6F87E3B1">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第十七条 其他</w:t>
      </w:r>
    </w:p>
    <w:p w14:paraId="2CC715EB">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 </w:t>
      </w:r>
      <w:r>
        <w:rPr>
          <w:rFonts w:hint="eastAsia" w:ascii="宋体" w:hAnsi="宋体" w:eastAsia="宋体" w:cs="宋体"/>
          <w:color w:val="auto"/>
          <w:szCs w:val="27"/>
          <w:highlight w:val="none"/>
        </w:rPr>
        <w:t>下列关于周口市公共资源交易中心政府采购代理机构名称</w:t>
      </w:r>
      <w:r>
        <w:rPr>
          <w:rFonts w:hint="eastAsia" w:ascii="宋体" w:hAnsi="宋体" w:eastAsia="宋体" w:cs="宋体"/>
          <w:color w:val="auto"/>
          <w:szCs w:val="27"/>
          <w:highlight w:val="none"/>
          <w:u w:val="single"/>
        </w:rPr>
        <w:t>某项目（项目编号：某编号）</w:t>
      </w:r>
      <w:r>
        <w:rPr>
          <w:rFonts w:hint="eastAsia" w:ascii="宋体" w:hAnsi="宋体" w:eastAsia="宋体" w:cs="宋体"/>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4360C8F">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    </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份，甲乙双方各执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r>
        <w:rPr>
          <w:rFonts w:hint="eastAsia" w:ascii="宋体" w:hAnsi="宋体" w:cs="宋体"/>
          <w:color w:val="auto"/>
          <w:highlight w:val="none"/>
          <w:lang w:eastAsia="zh-CN"/>
        </w:rPr>
        <w:t>，</w:t>
      </w:r>
      <w:r>
        <w:rPr>
          <w:rFonts w:hint="eastAsia" w:ascii="宋体" w:hAnsi="宋体" w:eastAsia="宋体" w:cs="宋体"/>
          <w:color w:val="auto"/>
          <w:highlight w:val="none"/>
        </w:rPr>
        <w:t>自双方当事人签字盖章之日起生效。</w:t>
      </w:r>
    </w:p>
    <w:p w14:paraId="78242C8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p>
    <w:p w14:paraId="7452D10B">
      <w:pPr>
        <w:pStyle w:val="36"/>
        <w:pageBreakBefore w:val="0"/>
        <w:widowControl w:val="0"/>
        <w:wordWrap/>
        <w:topLinePunct w:val="0"/>
        <w:autoSpaceDE/>
        <w:autoSpaceDN/>
        <w:bidi w:val="0"/>
        <w:adjustRightInd/>
        <w:snapToGrid/>
        <w:ind w:firstLine="240"/>
        <w:textAlignment w:val="auto"/>
        <w:outlineLvl w:val="9"/>
        <w:rPr>
          <w:rFonts w:hint="eastAsia" w:ascii="宋体" w:hAnsi="宋体" w:eastAsia="宋体" w:cs="宋体"/>
          <w:color w:val="auto"/>
          <w:highlight w:val="none"/>
        </w:rPr>
      </w:pPr>
    </w:p>
    <w:p w14:paraId="7416243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采购人（甲方）：    （公章）           供货人（乙方）：     （公章）  </w:t>
      </w:r>
    </w:p>
    <w:p w14:paraId="35C882DA">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7"/>
          <w:highlight w:val="none"/>
        </w:rPr>
        <w:t>地址：                               地址：</w:t>
      </w:r>
    </w:p>
    <w:p w14:paraId="4E2A26DF">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法定代表人：                         法定代表人：</w:t>
      </w:r>
    </w:p>
    <w:p w14:paraId="07CAF9A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szCs w:val="27"/>
          <w:highlight w:val="none"/>
        </w:rPr>
        <w:t>委托代理人：                         委托代理人：</w:t>
      </w:r>
    </w:p>
    <w:p w14:paraId="7614B44F">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电话：                               电话：</w:t>
      </w:r>
    </w:p>
    <w:p w14:paraId="00ECFF76">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开户银行：                           开户银行：</w:t>
      </w:r>
    </w:p>
    <w:p w14:paraId="0C57C3C7">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7"/>
          <w:highlight w:val="none"/>
        </w:rPr>
        <w:t>账号：                               账号：</w:t>
      </w:r>
    </w:p>
    <w:p w14:paraId="1D4EF824">
      <w:pPr>
        <w:pageBreakBefore w:val="0"/>
        <w:widowControl w:val="0"/>
        <w:wordWrap/>
        <w:topLinePunct w:val="0"/>
        <w:autoSpaceDE/>
        <w:autoSpaceDN/>
        <w:bidi w:val="0"/>
        <w:adjustRightInd/>
        <w:snapToGrid/>
        <w:spacing w:line="640" w:lineRule="exact"/>
        <w:ind w:firstLine="420" w:firstLineChars="200"/>
        <w:jc w:val="both"/>
        <w:textAlignment w:val="auto"/>
        <w:outlineLvl w:val="9"/>
        <w:rPr>
          <w:rFonts w:hint="eastAsia" w:ascii="宋体" w:hAnsi="宋体" w:eastAsia="宋体" w:cs="宋体"/>
          <w:color w:val="auto"/>
          <w:szCs w:val="27"/>
          <w:highlight w:val="none"/>
          <w:u w:val="single"/>
        </w:rPr>
      </w:pPr>
    </w:p>
    <w:p w14:paraId="73B252D0">
      <w:pPr>
        <w:pStyle w:val="36"/>
        <w:pageBreakBefore w:val="0"/>
        <w:widowControl w:val="0"/>
        <w:wordWrap/>
        <w:topLinePunct w:val="0"/>
        <w:autoSpaceDE/>
        <w:autoSpaceDN/>
        <w:bidi w:val="0"/>
        <w:adjustRightInd/>
        <w:snapToGrid/>
        <w:ind w:firstLine="321"/>
        <w:jc w:val="center"/>
        <w:textAlignment w:val="auto"/>
        <w:outlineLvl w:val="9"/>
        <w:rPr>
          <w:rFonts w:hint="eastAsia"/>
          <w:b/>
          <w:color w:val="auto"/>
          <w:sz w:val="32"/>
          <w:szCs w:val="32"/>
          <w:highlight w:val="none"/>
        </w:rPr>
      </w:pPr>
      <w:r>
        <w:rPr>
          <w:rFonts w:hint="eastAsia" w:ascii="宋体" w:hAnsi="宋体" w:eastAsia="宋体" w:cs="宋体"/>
          <w:color w:val="auto"/>
          <w:szCs w:val="27"/>
          <w:highlight w:val="none"/>
          <w:u w:val="single"/>
        </w:rPr>
        <w:t>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 xml:space="preserve">日     </w:t>
      </w:r>
      <w:r>
        <w:rPr>
          <w:rFonts w:hint="eastAsia" w:ascii="宋体" w:hAnsi="宋体" w:eastAsia="宋体" w:cs="宋体"/>
          <w:color w:val="auto"/>
          <w:szCs w:val="27"/>
          <w:highlight w:val="none"/>
          <w:lang w:val="en-US"/>
        </w:rPr>
        <w:t xml:space="preserve">   </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日</w:t>
      </w:r>
    </w:p>
    <w:p w14:paraId="6EEBB54A">
      <w:pPr>
        <w:rPr>
          <w:rFonts w:hint="eastAsia"/>
          <w:b/>
          <w:color w:val="auto"/>
          <w:sz w:val="32"/>
          <w:szCs w:val="32"/>
          <w:highlight w:val="none"/>
        </w:rPr>
      </w:pPr>
      <w:r>
        <w:rPr>
          <w:rFonts w:hint="eastAsia"/>
          <w:b/>
          <w:color w:val="auto"/>
          <w:sz w:val="32"/>
          <w:szCs w:val="32"/>
          <w:highlight w:val="none"/>
        </w:rPr>
        <w:br w:type="page"/>
      </w:r>
    </w:p>
    <w:p w14:paraId="3A1D58BF">
      <w:pPr>
        <w:pStyle w:val="36"/>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b/>
          <w:color w:val="auto"/>
          <w:sz w:val="32"/>
          <w:szCs w:val="32"/>
          <w:highlight w:val="none"/>
        </w:rPr>
      </w:pPr>
      <w:r>
        <w:rPr>
          <w:rFonts w:hint="eastAsia"/>
          <w:b/>
          <w:color w:val="auto"/>
          <w:sz w:val="32"/>
          <w:szCs w:val="32"/>
          <w:highlight w:val="none"/>
        </w:rPr>
        <w:t>周口市政府采购合同融资政策告知函</w:t>
      </w:r>
    </w:p>
    <w:p w14:paraId="20A382C4">
      <w:pPr>
        <w:pStyle w:val="36"/>
        <w:keepNext w:val="0"/>
        <w:keepLines w:val="0"/>
        <w:pageBreakBefore w:val="0"/>
        <w:widowControl w:val="0"/>
        <w:kinsoku/>
        <w:wordWrap/>
        <w:overflowPunct/>
        <w:topLinePunct w:val="0"/>
        <w:autoSpaceDE/>
        <w:autoSpaceDN/>
        <w:bidi w:val="0"/>
        <w:adjustRightInd/>
        <w:snapToGrid/>
        <w:spacing w:line="52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7073745F">
      <w:pPr>
        <w:pStyle w:val="36"/>
        <w:keepNext w:val="0"/>
        <w:keepLines w:val="0"/>
        <w:pageBreakBefore w:val="0"/>
        <w:widowControl w:val="0"/>
        <w:kinsoku/>
        <w:wordWrap/>
        <w:overflowPunct/>
        <w:topLinePunct w:val="0"/>
        <w:autoSpaceDE/>
        <w:autoSpaceDN/>
        <w:bidi w:val="0"/>
        <w:adjustRightInd/>
        <w:snapToGrid/>
        <w:spacing w:line="52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133DE44F">
      <w:pPr>
        <w:pStyle w:val="36"/>
        <w:keepNext w:val="0"/>
        <w:keepLines w:val="0"/>
        <w:pageBreakBefore w:val="0"/>
        <w:widowControl w:val="0"/>
        <w:kinsoku/>
        <w:wordWrap/>
        <w:overflowPunct/>
        <w:topLinePunct w:val="0"/>
        <w:autoSpaceDE/>
        <w:autoSpaceDN/>
        <w:bidi w:val="0"/>
        <w:adjustRightInd/>
        <w:snapToGrid/>
        <w:spacing w:line="52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5AA9FC6">
      <w:pPr>
        <w:pStyle w:val="36"/>
        <w:keepNext w:val="0"/>
        <w:keepLines w:val="0"/>
        <w:pageBreakBefore w:val="0"/>
        <w:widowControl w:val="0"/>
        <w:kinsoku/>
        <w:wordWrap/>
        <w:overflowPunct/>
        <w:topLinePunct w:val="0"/>
        <w:autoSpaceDE/>
        <w:autoSpaceDN/>
        <w:bidi w:val="0"/>
        <w:adjustRightInd/>
        <w:snapToGrid/>
        <w:spacing w:line="52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14:paraId="527E8816">
      <w:pPr>
        <w:rPr>
          <w:rFonts w:hint="eastAsia" w:eastAsia="宋体"/>
          <w:color w:val="auto"/>
          <w:highlight w:val="none"/>
          <w:lang w:val="en-US" w:eastAsia="zh-CN"/>
        </w:rPr>
      </w:pPr>
    </w:p>
    <w:sectPr>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4520">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941B">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548B90"/>
    <w:multiLevelType w:val="singleLevel"/>
    <w:tmpl w:val="3E548B90"/>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4F75BE8"/>
    <w:rsid w:val="051259ED"/>
    <w:rsid w:val="07041580"/>
    <w:rsid w:val="07932A4C"/>
    <w:rsid w:val="08DB1CFF"/>
    <w:rsid w:val="0A122539"/>
    <w:rsid w:val="0A9E30AD"/>
    <w:rsid w:val="0BEB3B44"/>
    <w:rsid w:val="0C0644C0"/>
    <w:rsid w:val="10D62AA4"/>
    <w:rsid w:val="117B48A9"/>
    <w:rsid w:val="13552B79"/>
    <w:rsid w:val="13793DF7"/>
    <w:rsid w:val="13F96B6D"/>
    <w:rsid w:val="141C4A83"/>
    <w:rsid w:val="14354A58"/>
    <w:rsid w:val="14677422"/>
    <w:rsid w:val="151F5892"/>
    <w:rsid w:val="152E6B10"/>
    <w:rsid w:val="15BF1042"/>
    <w:rsid w:val="1656732A"/>
    <w:rsid w:val="181939B9"/>
    <w:rsid w:val="18D74DC1"/>
    <w:rsid w:val="19DC3AAE"/>
    <w:rsid w:val="1AED58EF"/>
    <w:rsid w:val="1B001596"/>
    <w:rsid w:val="1B026A9B"/>
    <w:rsid w:val="1F397F3B"/>
    <w:rsid w:val="1F3A0BB5"/>
    <w:rsid w:val="1FA92FCB"/>
    <w:rsid w:val="20193BC8"/>
    <w:rsid w:val="220D398C"/>
    <w:rsid w:val="226E22B8"/>
    <w:rsid w:val="2301566F"/>
    <w:rsid w:val="24165293"/>
    <w:rsid w:val="2482721D"/>
    <w:rsid w:val="24A10BF5"/>
    <w:rsid w:val="24D70B68"/>
    <w:rsid w:val="26412FC6"/>
    <w:rsid w:val="26AB07CC"/>
    <w:rsid w:val="27EF56F2"/>
    <w:rsid w:val="287B63A6"/>
    <w:rsid w:val="28E90A10"/>
    <w:rsid w:val="29613C02"/>
    <w:rsid w:val="29714AF7"/>
    <w:rsid w:val="2A397C18"/>
    <w:rsid w:val="2A5015D5"/>
    <w:rsid w:val="2AF63392"/>
    <w:rsid w:val="2BA67492"/>
    <w:rsid w:val="2C53616B"/>
    <w:rsid w:val="2C66791C"/>
    <w:rsid w:val="2D221D01"/>
    <w:rsid w:val="2D676A80"/>
    <w:rsid w:val="2D7A3266"/>
    <w:rsid w:val="2F5F2B72"/>
    <w:rsid w:val="2FE70C36"/>
    <w:rsid w:val="312513B2"/>
    <w:rsid w:val="31B042BF"/>
    <w:rsid w:val="31F12401"/>
    <w:rsid w:val="31FF5F72"/>
    <w:rsid w:val="32035D60"/>
    <w:rsid w:val="326E6953"/>
    <w:rsid w:val="32C739DA"/>
    <w:rsid w:val="33523A32"/>
    <w:rsid w:val="340E2D06"/>
    <w:rsid w:val="36D23A94"/>
    <w:rsid w:val="375A353C"/>
    <w:rsid w:val="376940D0"/>
    <w:rsid w:val="38204506"/>
    <w:rsid w:val="39321D68"/>
    <w:rsid w:val="3BAE6CD9"/>
    <w:rsid w:val="3C3000ED"/>
    <w:rsid w:val="3D232399"/>
    <w:rsid w:val="3D2E2D19"/>
    <w:rsid w:val="3D31181A"/>
    <w:rsid w:val="3D5A2496"/>
    <w:rsid w:val="3DC87CB2"/>
    <w:rsid w:val="3F1749BD"/>
    <w:rsid w:val="3F4F365B"/>
    <w:rsid w:val="3F9A5B70"/>
    <w:rsid w:val="41093759"/>
    <w:rsid w:val="41380196"/>
    <w:rsid w:val="41415EFF"/>
    <w:rsid w:val="41D026B4"/>
    <w:rsid w:val="4512673D"/>
    <w:rsid w:val="452567EA"/>
    <w:rsid w:val="46886BA6"/>
    <w:rsid w:val="48524AAD"/>
    <w:rsid w:val="490552AA"/>
    <w:rsid w:val="4B7A4CDC"/>
    <w:rsid w:val="4DCD7488"/>
    <w:rsid w:val="4EEB759A"/>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CA161B2"/>
    <w:rsid w:val="5EE21916"/>
    <w:rsid w:val="5F4417E0"/>
    <w:rsid w:val="5F88669E"/>
    <w:rsid w:val="622F04A1"/>
    <w:rsid w:val="62707B3A"/>
    <w:rsid w:val="645C0879"/>
    <w:rsid w:val="64741C1C"/>
    <w:rsid w:val="648C064A"/>
    <w:rsid w:val="656B3097"/>
    <w:rsid w:val="666D606B"/>
    <w:rsid w:val="66AB4942"/>
    <w:rsid w:val="687951D6"/>
    <w:rsid w:val="68AB69AF"/>
    <w:rsid w:val="68D653C8"/>
    <w:rsid w:val="68D85250"/>
    <w:rsid w:val="698D4180"/>
    <w:rsid w:val="69C05D8A"/>
    <w:rsid w:val="6D1F0B58"/>
    <w:rsid w:val="6D3654A5"/>
    <w:rsid w:val="6EB24C26"/>
    <w:rsid w:val="70E92792"/>
    <w:rsid w:val="74170E85"/>
    <w:rsid w:val="75DC35E9"/>
    <w:rsid w:val="77FA11D3"/>
    <w:rsid w:val="789E6834"/>
    <w:rsid w:val="79DD67E6"/>
    <w:rsid w:val="7BCF79D9"/>
    <w:rsid w:val="7C1A4C7A"/>
    <w:rsid w:val="7C444892"/>
    <w:rsid w:val="7CAE7448"/>
    <w:rsid w:val="7D366731"/>
    <w:rsid w:val="7D9A5044"/>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rPr>
  </w:style>
  <w:style w:type="paragraph" w:styleId="6">
    <w:name w:val="Document Map"/>
    <w:basedOn w:val="1"/>
    <w:link w:val="47"/>
    <w:qFormat/>
    <w:uiPriority w:val="0"/>
    <w:rPr>
      <w:rFonts w:ascii="宋体"/>
      <w:sz w:val="18"/>
      <w:szCs w:val="18"/>
    </w:rPr>
  </w:style>
  <w:style w:type="paragraph" w:styleId="7">
    <w:name w:val="annotation text"/>
    <w:basedOn w:val="1"/>
    <w:link w:val="46"/>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link w:val="44"/>
    <w:qFormat/>
    <w:uiPriority w:val="99"/>
    <w:pPr>
      <w:spacing w:after="120"/>
    </w:pPr>
  </w:style>
  <w:style w:type="paragraph" w:customStyle="1" w:styleId="10">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400" w:leftChars="200" w:hanging="200" w:hangingChars="200"/>
    </w:pPr>
  </w:style>
  <w:style w:type="paragraph" w:styleId="14">
    <w:name w:val="Plain Text"/>
    <w:basedOn w:val="1"/>
    <w:link w:val="52"/>
    <w:qFormat/>
    <w:uiPriority w:val="99"/>
    <w:rPr>
      <w:rFonts w:ascii="宋体" w:hAnsi="Courier New"/>
      <w:szCs w:val="20"/>
    </w:rPr>
  </w:style>
  <w:style w:type="paragraph" w:styleId="15">
    <w:name w:val="Date"/>
    <w:basedOn w:val="1"/>
    <w:next w:val="1"/>
    <w:link w:val="48"/>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69"/>
    <w:qFormat/>
    <w:uiPriority w:val="99"/>
    <w:pPr>
      <w:tabs>
        <w:tab w:val="center" w:pos="4153"/>
        <w:tab w:val="right" w:pos="8306"/>
      </w:tabs>
      <w:snapToGrid w:val="0"/>
      <w:jc w:val="left"/>
    </w:pPr>
    <w:rPr>
      <w:sz w:val="18"/>
      <w:szCs w:val="18"/>
    </w:rPr>
  </w:style>
  <w:style w:type="paragraph" w:styleId="1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toc 2"/>
    <w:basedOn w:val="1"/>
    <w:next w:val="1"/>
    <w:qFormat/>
    <w:uiPriority w:val="0"/>
    <w:pPr>
      <w:ind w:left="420" w:leftChars="200"/>
    </w:pPr>
  </w:style>
  <w:style w:type="paragraph" w:styleId="23">
    <w:name w:val="Body Text 2"/>
    <w:basedOn w:val="1"/>
    <w:link w:val="66"/>
    <w:qFormat/>
    <w:uiPriority w:val="0"/>
    <w:pPr>
      <w:spacing w:after="120" w:line="480" w:lineRule="auto"/>
    </w:pPr>
  </w:style>
  <w:style w:type="paragraph" w:styleId="24">
    <w:name w:val="Message Header"/>
    <w:basedOn w:val="1"/>
    <w:qFormat/>
    <w:uiPriority w:val="0"/>
    <w:pPr>
      <w:widowControl/>
      <w:shd w:val="pct20" w:color="000000" w:fill="auto"/>
      <w:ind w:left="1080" w:hanging="1080"/>
    </w:pPr>
    <w:rPr>
      <w:rFonts w:ascii="Cambria" w:hAnsi="Cambria" w:eastAsia="Cambria"/>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9"/>
    <w:link w:val="43"/>
    <w:qFormat/>
    <w:uiPriority w:val="0"/>
    <w:pPr>
      <w:ind w:firstLine="420" w:firstLineChars="100"/>
    </w:pPr>
  </w:style>
  <w:style w:type="paragraph" w:styleId="27">
    <w:name w:val="Body Text First Indent 2"/>
    <w:basedOn w:val="11"/>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paragraph" w:customStyle="1" w:styleId="36">
    <w:name w:val="BodyText1I"/>
    <w:basedOn w:val="37"/>
    <w:qFormat/>
    <w:uiPriority w:val="99"/>
    <w:pPr>
      <w:ind w:firstLine="420" w:firstLineChars="100"/>
    </w:pPr>
  </w:style>
  <w:style w:type="paragraph" w:customStyle="1" w:styleId="37">
    <w:name w:val="BodyText"/>
    <w:basedOn w:val="1"/>
    <w:qFormat/>
    <w:uiPriority w:val="99"/>
    <w:pPr>
      <w:spacing w:after="120"/>
    </w:pPr>
  </w:style>
  <w:style w:type="paragraph" w:customStyle="1" w:styleId="38">
    <w:name w:val="无间隔1"/>
    <w:next w:val="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4"/>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6"/>
    <w:qFormat/>
    <w:uiPriority w:val="0"/>
    <w:rPr>
      <w:kern w:val="2"/>
      <w:sz w:val="21"/>
      <w:szCs w:val="24"/>
    </w:rPr>
  </w:style>
  <w:style w:type="character" w:customStyle="1" w:styleId="44">
    <w:name w:val="正文文本 Char"/>
    <w:link w:val="9"/>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7"/>
    <w:qFormat/>
    <w:uiPriority w:val="0"/>
    <w:rPr>
      <w:kern w:val="2"/>
      <w:sz w:val="21"/>
      <w:szCs w:val="24"/>
    </w:rPr>
  </w:style>
  <w:style w:type="character" w:customStyle="1" w:styleId="47">
    <w:name w:val="文档结构图 Char"/>
    <w:link w:val="6"/>
    <w:qFormat/>
    <w:uiPriority w:val="0"/>
    <w:rPr>
      <w:rFonts w:ascii="宋体"/>
      <w:kern w:val="2"/>
      <w:sz w:val="18"/>
      <w:szCs w:val="18"/>
    </w:rPr>
  </w:style>
  <w:style w:type="character" w:customStyle="1" w:styleId="48">
    <w:name w:val="日期 Char"/>
    <w:link w:val="15"/>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4"/>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0"/>
    <w:qFormat/>
    <w:uiPriority w:val="0"/>
  </w:style>
  <w:style w:type="character" w:customStyle="1" w:styleId="66">
    <w:name w:val="正文文本 2 Char"/>
    <w:link w:val="23"/>
    <w:qFormat/>
    <w:uiPriority w:val="0"/>
    <w:rPr>
      <w:kern w:val="2"/>
      <w:sz w:val="21"/>
      <w:szCs w:val="24"/>
    </w:rPr>
  </w:style>
  <w:style w:type="character" w:customStyle="1" w:styleId="67">
    <w:name w:val="NormalCharacter"/>
    <w:qFormat/>
    <w:uiPriority w:val="0"/>
  </w:style>
  <w:style w:type="character" w:customStyle="1" w:styleId="68">
    <w:name w:val="页眉 Char"/>
    <w:link w:val="19"/>
    <w:qFormat/>
    <w:uiPriority w:val="99"/>
    <w:rPr>
      <w:kern w:val="2"/>
      <w:sz w:val="18"/>
      <w:szCs w:val="18"/>
    </w:rPr>
  </w:style>
  <w:style w:type="character" w:customStyle="1" w:styleId="69">
    <w:name w:val="页脚 Char"/>
    <w:link w:val="18"/>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9"/>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30"/>
    <w:qFormat/>
    <w:uiPriority w:val="0"/>
    <w:rPr>
      <w:sz w:val="21"/>
      <w:szCs w:val="21"/>
    </w:rPr>
  </w:style>
  <w:style w:type="character" w:customStyle="1" w:styleId="75">
    <w:name w:val="first-child"/>
    <w:basedOn w:val="30"/>
    <w:qFormat/>
    <w:uiPriority w:val="0"/>
    <w:rPr>
      <w:color w:val="1F3149"/>
      <w:sz w:val="24"/>
      <w:szCs w:val="24"/>
    </w:rPr>
  </w:style>
  <w:style w:type="character" w:customStyle="1" w:styleId="76">
    <w:name w:val="first-child1"/>
    <w:basedOn w:val="30"/>
    <w:qFormat/>
    <w:uiPriority w:val="0"/>
    <w:rPr>
      <w:color w:val="1F3149"/>
      <w:sz w:val="24"/>
      <w:szCs w:val="24"/>
    </w:rPr>
  </w:style>
  <w:style w:type="character" w:customStyle="1" w:styleId="77">
    <w:name w:val="xiadan"/>
    <w:basedOn w:val="30"/>
    <w:qFormat/>
    <w:uiPriority w:val="0"/>
    <w:rPr>
      <w:shd w:val="clear" w:color="auto" w:fill="E4393C"/>
    </w:rPr>
  </w:style>
  <w:style w:type="character" w:customStyle="1" w:styleId="78">
    <w:name w:val="fr"/>
    <w:basedOn w:val="30"/>
    <w:qFormat/>
    <w:uiPriority w:val="0"/>
  </w:style>
  <w:style w:type="character" w:customStyle="1" w:styleId="79">
    <w:name w:val="icon_ds"/>
    <w:basedOn w:val="30"/>
    <w:qFormat/>
    <w:uiPriority w:val="0"/>
  </w:style>
  <w:style w:type="paragraph" w:customStyle="1" w:styleId="80">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48</Pages>
  <Words>19905</Words>
  <Characters>20873</Characters>
  <Lines>123</Lines>
  <Paragraphs>34</Paragraphs>
  <TotalTime>10</TotalTime>
  <ScaleCrop>false</ScaleCrop>
  <LinksUpToDate>false</LinksUpToDate>
  <CharactersWithSpaces>21635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HUAWEI</cp:lastModifiedBy>
  <cp:lastPrinted>2020-11-18T03:21:00Z</cp:lastPrinted>
  <dcterms:modified xsi:type="dcterms:W3CDTF">2025-08-27T00:46:53Z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3F3AEF60031F459BB45F1EB8C7A16E06</vt:lpwstr>
  </property>
  <property fmtid="{D5CDD505-2E9C-101B-9397-08002B2CF9AE}" pid="4" name="KSOTemplateDocerSaveRecord">
    <vt:lpwstr>eyJoZGlkIjoiY2FiZTFmYjI0ODY2NTM4OTI3ZDhiMDA1NjYyNjI2MmMiLCJ1c2VySWQiOiIxNTI3MjQ2NDY1In0=</vt:lpwstr>
  </property>
</Properties>
</file>