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汝南县水产服务中心汝南县2022年成品油价格调整对渔业补助资金项目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无效文件情况</w:t>
      </w:r>
    </w:p>
    <w:bookmarkEnd w:id="0"/>
    <w:tbl>
      <w:tblPr>
        <w:tblStyle w:val="4"/>
        <w:tblW w:w="5000" w:type="pct"/>
        <w:tblInd w:w="8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45"/>
        <w:gridCol w:w="2081"/>
        <w:gridCol w:w="3783"/>
        <w:gridCol w:w="757"/>
      </w:tblGrid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废标节点</w:t>
            </w:r>
          </w:p>
        </w:tc>
        <w:tc>
          <w:tcPr>
            <w:tcW w:w="20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废标原因</w:t>
            </w:r>
          </w:p>
        </w:tc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河南觉然建设有限公司</w:t>
            </w:r>
          </w:p>
        </w:tc>
        <w:tc>
          <w:tcPr>
            <w:tcW w:w="11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符合性检查</w:t>
            </w:r>
          </w:p>
        </w:tc>
        <w:tc>
          <w:tcPr>
            <w:tcW w:w="20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一、施工组织设计未提供：1：现代渔业示范场建设工程；2：渔业资源养护工程，具体施工方法与工程量清单不符。二、拟投入的设备没有提供清单。</w:t>
            </w:r>
          </w:p>
        </w:tc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河南久润建设工程有限公司</w:t>
            </w:r>
          </w:p>
        </w:tc>
        <w:tc>
          <w:tcPr>
            <w:tcW w:w="11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符合性检查</w:t>
            </w:r>
          </w:p>
        </w:tc>
        <w:tc>
          <w:tcPr>
            <w:tcW w:w="20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一、施工组织设计未提供：1：现代渔业示范场建设工程；2：渔业资源养护工程，具体施工方法与工程量清单不符。二、拟投入的设备没有提供清单。</w:t>
            </w:r>
          </w:p>
        </w:tc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河南省康乐建设工程有限公司</w:t>
            </w:r>
          </w:p>
        </w:tc>
        <w:tc>
          <w:tcPr>
            <w:tcW w:w="11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符合性检查</w:t>
            </w:r>
          </w:p>
        </w:tc>
        <w:tc>
          <w:tcPr>
            <w:tcW w:w="20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一、施工组织设计1：现代渔业示范场建设工程；2：渔业资源养护工程，具体施工方法不完整（305页写详见工程量清单）。二、313页和317页与谈判文件要求不符。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  <w:t>三、所有自拟格式承诺未附电话号码。</w:t>
            </w:r>
          </w:p>
        </w:tc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河南裕鑫建筑安装有限公司</w:t>
            </w:r>
          </w:p>
        </w:tc>
        <w:tc>
          <w:tcPr>
            <w:tcW w:w="11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资格性检查</w:t>
            </w:r>
          </w:p>
        </w:tc>
        <w:tc>
          <w:tcPr>
            <w:tcW w:w="20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  <w:t>技术负责人劳动合同与本人不符</w:t>
            </w:r>
          </w:p>
        </w:tc>
        <w:tc>
          <w:tcPr>
            <w:tcW w:w="40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DdiZjdmN2NlMTgxOTA0MTViMTFkOTc1MjczNTAifQ=="/>
  </w:docVars>
  <w:rsids>
    <w:rsidRoot w:val="00172A27"/>
    <w:rsid w:val="0FFD6112"/>
    <w:rsid w:val="1EBB3FB6"/>
    <w:rsid w:val="210672C5"/>
    <w:rsid w:val="607A1F60"/>
    <w:rsid w:val="61037307"/>
    <w:rsid w:val="69CA29FE"/>
    <w:rsid w:val="6BA40E1C"/>
    <w:rsid w:val="6E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  <w:rPr>
      <w:b/>
      <w:bCs/>
    </w:rPr>
  </w:style>
  <w:style w:type="character" w:styleId="9">
    <w:name w:val="HTML Definition"/>
    <w:basedOn w:val="5"/>
    <w:autoRedefine/>
    <w:qFormat/>
    <w:uiPriority w:val="0"/>
  </w:style>
  <w:style w:type="character" w:styleId="10">
    <w:name w:val="HTML Typewriter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2021-03-15T00:06:00Z</dcterms:created>
  <dc:creator>李林波</dc:creator>
  <cp:lastModifiedBy>李林波</cp:lastModifiedBy>
  <dcterms:modified xsi:type="dcterms:W3CDTF">2024-07-02T10:23:55Z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27159F7D0C204D7D90DC394FA0925F04</vt:lpwstr>
  </property>
</Properties>
</file>