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C0D24">
      <w:pPr>
        <w:spacing w:before="104" w:line="220" w:lineRule="auto"/>
        <w:jc w:val="center"/>
        <w:outlineLvl w:val="0"/>
        <w:rPr>
          <w:rFonts w:hint="eastAsia" w:ascii="宋体" w:hAnsi="宋体" w:eastAsia="宋体" w:cs="宋体"/>
          <w:b/>
          <w:bCs/>
          <w:color w:val="auto"/>
          <w:spacing w:val="-4"/>
          <w:sz w:val="32"/>
          <w:szCs w:val="32"/>
          <w:lang w:eastAsia="zh-CN"/>
        </w:rPr>
      </w:pPr>
    </w:p>
    <w:p w14:paraId="4A5D4D21">
      <w:pPr>
        <w:spacing w:before="104" w:line="220" w:lineRule="auto"/>
        <w:jc w:val="center"/>
        <w:outlineLvl w:val="0"/>
        <w:rPr>
          <w:rFonts w:hint="eastAsia" w:ascii="宋体" w:hAnsi="宋体" w:eastAsia="宋体" w:cs="宋体"/>
          <w:color w:val="auto"/>
          <w:sz w:val="32"/>
          <w:szCs w:val="32"/>
          <w:lang w:eastAsia="zh-CN"/>
        </w:rPr>
      </w:pPr>
      <w:r>
        <w:rPr>
          <w:rFonts w:hint="eastAsia" w:ascii="宋体" w:hAnsi="宋体" w:eastAsia="宋体" w:cs="宋体"/>
          <w:b/>
          <w:bCs/>
          <w:color w:val="auto"/>
          <w:spacing w:val="-4"/>
          <w:sz w:val="32"/>
          <w:szCs w:val="32"/>
          <w:lang w:eastAsia="zh-CN"/>
        </w:rPr>
        <w:t>遂平县花庄镇人民政府配备专用变压器及高压环网柜项目（二次）</w:t>
      </w:r>
    </w:p>
    <w:p w14:paraId="3A1739DF">
      <w:pPr>
        <w:pStyle w:val="3"/>
        <w:spacing w:line="272" w:lineRule="auto"/>
        <w:rPr>
          <w:color w:val="auto"/>
        </w:rPr>
      </w:pPr>
    </w:p>
    <w:p w14:paraId="623AEDA5">
      <w:pPr>
        <w:pStyle w:val="3"/>
        <w:spacing w:line="272" w:lineRule="auto"/>
        <w:rPr>
          <w:color w:val="auto"/>
        </w:rPr>
      </w:pPr>
    </w:p>
    <w:p w14:paraId="653C066C">
      <w:pPr>
        <w:pStyle w:val="3"/>
        <w:spacing w:line="273" w:lineRule="auto"/>
        <w:rPr>
          <w:color w:val="auto"/>
        </w:rPr>
      </w:pPr>
    </w:p>
    <w:p w14:paraId="00A2890D">
      <w:pPr>
        <w:pStyle w:val="3"/>
        <w:spacing w:line="273" w:lineRule="auto"/>
        <w:rPr>
          <w:color w:val="auto"/>
        </w:rPr>
      </w:pPr>
    </w:p>
    <w:p w14:paraId="5C4BC874">
      <w:pPr>
        <w:pStyle w:val="3"/>
        <w:spacing w:line="273" w:lineRule="auto"/>
        <w:rPr>
          <w:color w:val="auto"/>
        </w:rPr>
      </w:pPr>
    </w:p>
    <w:p w14:paraId="38C9C57F">
      <w:pPr>
        <w:spacing w:before="143" w:line="220" w:lineRule="auto"/>
        <w:ind w:left="2647"/>
        <w:outlineLvl w:val="0"/>
        <w:rPr>
          <w:rFonts w:ascii="宋体" w:hAnsi="宋体" w:eastAsia="宋体" w:cs="宋体"/>
          <w:color w:val="auto"/>
          <w:sz w:val="44"/>
          <w:szCs w:val="44"/>
        </w:rPr>
      </w:pPr>
      <w:r>
        <w:rPr>
          <w:rFonts w:ascii="宋体" w:hAnsi="宋体" w:eastAsia="宋体" w:cs="宋体"/>
          <w:b/>
          <w:bCs/>
          <w:color w:val="auto"/>
          <w:spacing w:val="-8"/>
          <w:sz w:val="44"/>
          <w:szCs w:val="44"/>
        </w:rPr>
        <w:t>竞争性谈判文件</w:t>
      </w:r>
    </w:p>
    <w:p w14:paraId="31BFA2AE">
      <w:pPr>
        <w:pStyle w:val="3"/>
        <w:spacing w:line="243" w:lineRule="auto"/>
        <w:rPr>
          <w:color w:val="auto"/>
        </w:rPr>
      </w:pPr>
    </w:p>
    <w:p w14:paraId="484EE17A">
      <w:pPr>
        <w:pStyle w:val="3"/>
        <w:spacing w:line="244" w:lineRule="auto"/>
        <w:rPr>
          <w:color w:val="auto"/>
        </w:rPr>
      </w:pPr>
    </w:p>
    <w:p w14:paraId="18F734DC">
      <w:pPr>
        <w:pStyle w:val="3"/>
        <w:spacing w:line="244" w:lineRule="auto"/>
        <w:rPr>
          <w:color w:val="auto"/>
        </w:rPr>
      </w:pPr>
    </w:p>
    <w:p w14:paraId="4199711C">
      <w:pPr>
        <w:pStyle w:val="3"/>
        <w:spacing w:line="244" w:lineRule="auto"/>
        <w:rPr>
          <w:color w:val="auto"/>
        </w:rPr>
      </w:pPr>
    </w:p>
    <w:p w14:paraId="296F9879">
      <w:pPr>
        <w:pStyle w:val="3"/>
        <w:spacing w:line="244" w:lineRule="auto"/>
        <w:rPr>
          <w:color w:val="auto"/>
        </w:rPr>
      </w:pPr>
    </w:p>
    <w:p w14:paraId="7489998E">
      <w:pPr>
        <w:pStyle w:val="3"/>
        <w:spacing w:line="244" w:lineRule="auto"/>
        <w:rPr>
          <w:color w:val="auto"/>
        </w:rPr>
      </w:pPr>
    </w:p>
    <w:p w14:paraId="6514D2D1">
      <w:pPr>
        <w:pStyle w:val="3"/>
        <w:spacing w:line="244" w:lineRule="auto"/>
        <w:rPr>
          <w:color w:val="auto"/>
        </w:rPr>
      </w:pPr>
    </w:p>
    <w:p w14:paraId="38AE90B6">
      <w:pPr>
        <w:pStyle w:val="3"/>
        <w:spacing w:line="244" w:lineRule="auto"/>
        <w:rPr>
          <w:color w:val="auto"/>
        </w:rPr>
      </w:pPr>
    </w:p>
    <w:p w14:paraId="074E5290">
      <w:pPr>
        <w:spacing w:before="91" w:line="219" w:lineRule="auto"/>
        <w:ind w:left="2080"/>
        <w:rPr>
          <w:rFonts w:ascii="宋体" w:hAnsi="宋体" w:eastAsia="宋体" w:cs="宋体"/>
          <w:b/>
          <w:bCs/>
          <w:color w:val="auto"/>
          <w:spacing w:val="-4"/>
          <w:sz w:val="28"/>
          <w:szCs w:val="28"/>
        </w:rPr>
      </w:pPr>
      <w:r>
        <w:rPr>
          <w:rFonts w:hint="eastAsia" w:ascii="宋体" w:hAnsi="宋体" w:eastAsia="宋体" w:cs="宋体"/>
          <w:b/>
          <w:bCs/>
          <w:color w:val="auto"/>
          <w:spacing w:val="-4"/>
          <w:sz w:val="28"/>
          <w:szCs w:val="28"/>
          <w:lang w:val="en-US" w:eastAsia="zh-CN"/>
        </w:rPr>
        <w:t>采购</w:t>
      </w:r>
      <w:r>
        <w:rPr>
          <w:rFonts w:ascii="宋体" w:hAnsi="宋体" w:eastAsia="宋体" w:cs="宋体"/>
          <w:b/>
          <w:bCs/>
          <w:color w:val="auto"/>
          <w:spacing w:val="-4"/>
          <w:sz w:val="28"/>
          <w:szCs w:val="28"/>
        </w:rPr>
        <w:t>编号：遂财竞谈-2025-</w:t>
      </w:r>
      <w:r>
        <w:rPr>
          <w:rFonts w:hint="eastAsia" w:ascii="宋体" w:hAnsi="宋体" w:eastAsia="宋体" w:cs="宋体"/>
          <w:b/>
          <w:bCs/>
          <w:color w:val="auto"/>
          <w:spacing w:val="-4"/>
          <w:sz w:val="28"/>
          <w:szCs w:val="28"/>
          <w:lang w:val="en-US" w:eastAsia="zh-CN"/>
        </w:rPr>
        <w:t>3</w:t>
      </w:r>
      <w:r>
        <w:rPr>
          <w:rFonts w:ascii="宋体" w:hAnsi="宋体" w:eastAsia="宋体" w:cs="宋体"/>
          <w:b/>
          <w:bCs/>
          <w:color w:val="auto"/>
          <w:spacing w:val="-4"/>
          <w:sz w:val="28"/>
          <w:szCs w:val="28"/>
        </w:rPr>
        <w:t>8</w:t>
      </w:r>
    </w:p>
    <w:p w14:paraId="5F64E959">
      <w:pPr>
        <w:spacing w:before="91" w:line="219" w:lineRule="auto"/>
        <w:ind w:left="2080"/>
        <w:rPr>
          <w:rFonts w:hint="default" w:ascii="宋体" w:hAnsi="宋体" w:eastAsia="宋体" w:cs="宋体"/>
          <w:b/>
          <w:bCs/>
          <w:color w:val="auto"/>
          <w:spacing w:val="-4"/>
          <w:sz w:val="28"/>
          <w:szCs w:val="28"/>
          <w:lang w:val="en-US" w:eastAsia="zh-CN"/>
        </w:rPr>
      </w:pPr>
      <w:r>
        <w:rPr>
          <w:rFonts w:hint="eastAsia" w:ascii="宋体" w:hAnsi="宋体" w:eastAsia="宋体" w:cs="宋体"/>
          <w:b/>
          <w:bCs/>
          <w:color w:val="auto"/>
          <w:spacing w:val="-4"/>
          <w:sz w:val="28"/>
          <w:szCs w:val="28"/>
          <w:lang w:val="en-US" w:eastAsia="zh-CN"/>
        </w:rPr>
        <w:t>项目编号：遂政采招【2025】53号</w:t>
      </w:r>
    </w:p>
    <w:p w14:paraId="21282B26">
      <w:pPr>
        <w:pStyle w:val="3"/>
        <w:spacing w:line="251" w:lineRule="auto"/>
        <w:rPr>
          <w:color w:val="auto"/>
        </w:rPr>
      </w:pPr>
    </w:p>
    <w:p w14:paraId="520EE575">
      <w:pPr>
        <w:pStyle w:val="3"/>
        <w:spacing w:line="252" w:lineRule="auto"/>
        <w:rPr>
          <w:color w:val="auto"/>
        </w:rPr>
      </w:pPr>
    </w:p>
    <w:p w14:paraId="04AC4A10">
      <w:pPr>
        <w:pStyle w:val="3"/>
        <w:spacing w:line="252" w:lineRule="auto"/>
        <w:rPr>
          <w:color w:val="auto"/>
        </w:rPr>
      </w:pPr>
    </w:p>
    <w:p w14:paraId="3F998855">
      <w:pPr>
        <w:pStyle w:val="3"/>
        <w:spacing w:line="252" w:lineRule="auto"/>
        <w:rPr>
          <w:color w:val="auto"/>
        </w:rPr>
      </w:pPr>
    </w:p>
    <w:p w14:paraId="7E29C310">
      <w:pPr>
        <w:pStyle w:val="3"/>
        <w:spacing w:line="252" w:lineRule="auto"/>
        <w:rPr>
          <w:color w:val="auto"/>
        </w:rPr>
      </w:pPr>
    </w:p>
    <w:p w14:paraId="64390EF6">
      <w:pPr>
        <w:pStyle w:val="3"/>
        <w:spacing w:line="252" w:lineRule="auto"/>
        <w:rPr>
          <w:color w:val="auto"/>
        </w:rPr>
      </w:pPr>
    </w:p>
    <w:p w14:paraId="752D82BE">
      <w:pPr>
        <w:pStyle w:val="3"/>
        <w:spacing w:line="252" w:lineRule="auto"/>
        <w:rPr>
          <w:color w:val="auto"/>
        </w:rPr>
      </w:pPr>
    </w:p>
    <w:p w14:paraId="319275F9">
      <w:pPr>
        <w:pStyle w:val="3"/>
        <w:spacing w:line="252" w:lineRule="auto"/>
        <w:rPr>
          <w:color w:val="auto"/>
        </w:rPr>
      </w:pPr>
    </w:p>
    <w:p w14:paraId="19302489">
      <w:pPr>
        <w:pStyle w:val="3"/>
        <w:spacing w:line="252" w:lineRule="auto"/>
        <w:rPr>
          <w:color w:val="auto"/>
        </w:rPr>
      </w:pPr>
    </w:p>
    <w:p w14:paraId="239EAC28">
      <w:pPr>
        <w:pStyle w:val="3"/>
        <w:spacing w:line="252" w:lineRule="auto"/>
        <w:rPr>
          <w:color w:val="auto"/>
        </w:rPr>
      </w:pPr>
    </w:p>
    <w:p w14:paraId="1F87D4A5">
      <w:pPr>
        <w:pStyle w:val="3"/>
        <w:spacing w:line="252" w:lineRule="auto"/>
        <w:rPr>
          <w:color w:val="auto"/>
        </w:rPr>
      </w:pPr>
    </w:p>
    <w:p w14:paraId="5658DB36">
      <w:pPr>
        <w:pStyle w:val="3"/>
        <w:spacing w:line="252" w:lineRule="auto"/>
        <w:rPr>
          <w:color w:val="auto"/>
        </w:rPr>
      </w:pPr>
    </w:p>
    <w:p w14:paraId="4D6BE70C">
      <w:pPr>
        <w:pStyle w:val="3"/>
        <w:spacing w:line="252" w:lineRule="auto"/>
        <w:rPr>
          <w:color w:val="auto"/>
        </w:rPr>
      </w:pPr>
    </w:p>
    <w:p w14:paraId="26F9809A">
      <w:pPr>
        <w:pStyle w:val="3"/>
        <w:spacing w:line="252" w:lineRule="auto"/>
        <w:rPr>
          <w:color w:val="auto"/>
        </w:rPr>
      </w:pPr>
    </w:p>
    <w:p w14:paraId="14B3AAE8">
      <w:pPr>
        <w:pStyle w:val="3"/>
        <w:spacing w:line="252" w:lineRule="auto"/>
        <w:rPr>
          <w:color w:val="auto"/>
        </w:rPr>
      </w:pPr>
    </w:p>
    <w:p w14:paraId="06423786">
      <w:pPr>
        <w:pStyle w:val="3"/>
        <w:spacing w:line="252" w:lineRule="auto"/>
        <w:rPr>
          <w:color w:val="auto"/>
        </w:rPr>
      </w:pPr>
    </w:p>
    <w:p w14:paraId="721ABEEE">
      <w:pPr>
        <w:spacing w:before="91" w:line="219" w:lineRule="auto"/>
        <w:ind w:left="586" w:firstLine="546" w:firstLineChars="200"/>
        <w:rPr>
          <w:rFonts w:hint="eastAsia" w:ascii="宋体" w:hAnsi="宋体" w:eastAsia="宋体" w:cs="宋体"/>
          <w:color w:val="auto"/>
          <w:sz w:val="28"/>
          <w:szCs w:val="28"/>
          <w:lang w:eastAsia="zh-CN"/>
        </w:rPr>
      </w:pPr>
      <w:r>
        <w:rPr>
          <w:rFonts w:ascii="宋体" w:hAnsi="宋体" w:eastAsia="宋体" w:cs="宋体"/>
          <w:b/>
          <w:bCs/>
          <w:color w:val="auto"/>
          <w:spacing w:val="-4"/>
          <w:sz w:val="28"/>
          <w:szCs w:val="28"/>
        </w:rPr>
        <w:t>采购人：</w:t>
      </w:r>
      <w:r>
        <w:rPr>
          <w:rFonts w:hint="eastAsia" w:ascii="宋体" w:hAnsi="宋体" w:eastAsia="宋体" w:cs="宋体"/>
          <w:b/>
          <w:bCs/>
          <w:color w:val="auto"/>
          <w:spacing w:val="-4"/>
          <w:sz w:val="28"/>
          <w:szCs w:val="28"/>
          <w:u w:val="single" w:color="auto"/>
          <w:lang w:eastAsia="zh-CN"/>
        </w:rPr>
        <w:t>遂平县花庄镇人民政府</w:t>
      </w:r>
    </w:p>
    <w:p w14:paraId="41C4AF5B">
      <w:pPr>
        <w:pStyle w:val="3"/>
        <w:spacing w:line="275" w:lineRule="auto"/>
        <w:rPr>
          <w:color w:val="auto"/>
        </w:rPr>
      </w:pPr>
    </w:p>
    <w:p w14:paraId="5862B1F3">
      <w:pPr>
        <w:spacing w:before="91" w:line="219" w:lineRule="auto"/>
        <w:ind w:left="586" w:firstLine="546" w:firstLineChars="200"/>
        <w:rPr>
          <w:rFonts w:hint="eastAsia" w:ascii="宋体" w:hAnsi="宋体" w:eastAsia="宋体" w:cs="宋体"/>
          <w:color w:val="auto"/>
          <w:sz w:val="28"/>
          <w:szCs w:val="28"/>
          <w:lang w:eastAsia="zh-CN"/>
        </w:rPr>
      </w:pPr>
      <w:r>
        <w:rPr>
          <w:rFonts w:ascii="宋体" w:hAnsi="宋体" w:eastAsia="宋体" w:cs="宋体"/>
          <w:b/>
          <w:bCs/>
          <w:color w:val="auto"/>
          <w:spacing w:val="-4"/>
          <w:sz w:val="28"/>
          <w:szCs w:val="28"/>
        </w:rPr>
        <w:t>代理机构：</w:t>
      </w:r>
      <w:r>
        <w:rPr>
          <w:rFonts w:hint="eastAsia" w:ascii="宋体" w:hAnsi="宋体" w:eastAsia="宋体" w:cs="宋体"/>
          <w:b/>
          <w:bCs/>
          <w:color w:val="auto"/>
          <w:spacing w:val="-4"/>
          <w:sz w:val="28"/>
          <w:szCs w:val="28"/>
          <w:u w:val="single" w:color="auto"/>
          <w:lang w:eastAsia="zh-CN"/>
        </w:rPr>
        <w:t>河南联仁工程管理有限公司</w:t>
      </w:r>
    </w:p>
    <w:p w14:paraId="584694C2">
      <w:pPr>
        <w:pStyle w:val="3"/>
        <w:spacing w:line="274" w:lineRule="auto"/>
        <w:rPr>
          <w:color w:val="auto"/>
        </w:rPr>
      </w:pPr>
    </w:p>
    <w:p w14:paraId="544B0C07">
      <w:pPr>
        <w:spacing w:before="91" w:line="220" w:lineRule="auto"/>
        <w:ind w:left="1642" w:firstLine="542" w:firstLineChars="200"/>
        <w:rPr>
          <w:rFonts w:ascii="宋体" w:hAnsi="宋体" w:eastAsia="宋体" w:cs="宋体"/>
          <w:color w:val="auto"/>
          <w:sz w:val="28"/>
          <w:szCs w:val="28"/>
        </w:rPr>
      </w:pPr>
      <w:r>
        <w:rPr>
          <w:rFonts w:ascii="宋体" w:hAnsi="宋体" w:eastAsia="宋体" w:cs="宋体"/>
          <w:b/>
          <w:bCs/>
          <w:color w:val="auto"/>
          <w:spacing w:val="-5"/>
          <w:sz w:val="28"/>
          <w:szCs w:val="28"/>
        </w:rPr>
        <w:t>二〇二五年</w:t>
      </w:r>
      <w:r>
        <w:rPr>
          <w:rFonts w:hint="eastAsia" w:ascii="宋体" w:hAnsi="宋体" w:eastAsia="宋体" w:cs="宋体"/>
          <w:b/>
          <w:bCs/>
          <w:color w:val="auto"/>
          <w:spacing w:val="-5"/>
          <w:sz w:val="28"/>
          <w:szCs w:val="28"/>
          <w:lang w:val="en-US" w:eastAsia="zh-CN"/>
        </w:rPr>
        <w:t>七</w:t>
      </w:r>
      <w:r>
        <w:rPr>
          <w:rFonts w:ascii="宋体" w:hAnsi="宋体" w:eastAsia="宋体" w:cs="宋体"/>
          <w:b/>
          <w:bCs/>
          <w:color w:val="auto"/>
          <w:spacing w:val="-5"/>
          <w:sz w:val="28"/>
          <w:szCs w:val="28"/>
        </w:rPr>
        <w:t>月</w:t>
      </w:r>
    </w:p>
    <w:p w14:paraId="32EBF467">
      <w:pPr>
        <w:spacing w:line="220" w:lineRule="auto"/>
        <w:rPr>
          <w:rFonts w:ascii="宋体" w:hAnsi="宋体" w:eastAsia="宋体" w:cs="宋体"/>
          <w:color w:val="auto"/>
          <w:sz w:val="28"/>
          <w:szCs w:val="28"/>
        </w:rPr>
        <w:sectPr>
          <w:pgSz w:w="11900" w:h="16839"/>
          <w:pgMar w:top="1440" w:right="1800" w:bottom="1440" w:left="1800" w:header="0" w:footer="0" w:gutter="0"/>
          <w:cols w:space="720" w:num="1"/>
        </w:sectPr>
      </w:pPr>
    </w:p>
    <w:p w14:paraId="3063F327">
      <w:pPr>
        <w:spacing w:before="91" w:line="222" w:lineRule="auto"/>
        <w:ind w:left="3474"/>
        <w:rPr>
          <w:rFonts w:ascii="宋体" w:hAnsi="宋体" w:eastAsia="宋体" w:cs="宋体"/>
          <w:color w:val="auto"/>
          <w:sz w:val="36"/>
          <w:szCs w:val="36"/>
        </w:rPr>
      </w:pPr>
      <w:r>
        <w:rPr>
          <w:rFonts w:ascii="宋体" w:hAnsi="宋体" w:eastAsia="宋体" w:cs="宋体"/>
          <w:b/>
          <w:bCs/>
          <w:color w:val="auto"/>
          <w:spacing w:val="-46"/>
          <w:sz w:val="36"/>
          <w:szCs w:val="36"/>
        </w:rPr>
        <w:t>目录</w:t>
      </w:r>
    </w:p>
    <w:p w14:paraId="2FDBC3F9">
      <w:pPr>
        <w:pStyle w:val="3"/>
        <w:spacing w:line="359" w:lineRule="auto"/>
        <w:rPr>
          <w:color w:val="auto"/>
        </w:rPr>
      </w:pPr>
    </w:p>
    <w:p w14:paraId="3293A9A0">
      <w:pPr>
        <w:pStyle w:val="3"/>
        <w:spacing w:line="360" w:lineRule="auto"/>
        <w:rPr>
          <w:color w:val="auto"/>
        </w:rPr>
      </w:pPr>
    </w:p>
    <w:p w14:paraId="79C219C3">
      <w:pPr>
        <w:spacing w:before="78" w:line="218" w:lineRule="auto"/>
        <w:ind w:left="1636"/>
        <w:rPr>
          <w:rFonts w:ascii="宋体" w:hAnsi="宋体" w:eastAsia="宋体" w:cs="宋体"/>
          <w:color w:val="auto"/>
          <w:sz w:val="24"/>
          <w:szCs w:val="24"/>
        </w:rPr>
      </w:pPr>
      <w:r>
        <w:rPr>
          <w:rFonts w:ascii="宋体" w:hAnsi="宋体" w:eastAsia="宋体" w:cs="宋体"/>
          <w:color w:val="auto"/>
          <w:spacing w:val="-1"/>
          <w:sz w:val="24"/>
          <w:szCs w:val="24"/>
        </w:rPr>
        <w:t>第一章竞争性谈判公告</w:t>
      </w:r>
    </w:p>
    <w:p w14:paraId="1D3B9D68">
      <w:pPr>
        <w:spacing w:before="316" w:line="219" w:lineRule="auto"/>
        <w:ind w:left="1636"/>
        <w:rPr>
          <w:rFonts w:ascii="宋体" w:hAnsi="宋体" w:eastAsia="宋体" w:cs="宋体"/>
          <w:color w:val="auto"/>
          <w:sz w:val="24"/>
          <w:szCs w:val="24"/>
        </w:rPr>
      </w:pPr>
      <w:r>
        <w:rPr>
          <w:rFonts w:ascii="宋体" w:hAnsi="宋体" w:eastAsia="宋体" w:cs="宋体"/>
          <w:color w:val="auto"/>
          <w:spacing w:val="-1"/>
          <w:sz w:val="24"/>
          <w:szCs w:val="24"/>
        </w:rPr>
        <w:t>第二章供应商须知</w:t>
      </w:r>
    </w:p>
    <w:sdt>
      <w:sdtPr>
        <w:rPr>
          <w:rFonts w:ascii="Arial" w:hAnsi="Arial" w:eastAsia="Arial" w:cs="Arial"/>
          <w:color w:val="auto"/>
          <w:sz w:val="21"/>
          <w:szCs w:val="21"/>
        </w:rPr>
        <w:id w:val="147451177"/>
        <w:docPartObj>
          <w:docPartGallery w:val="Table of Contents"/>
          <w:docPartUnique/>
        </w:docPartObj>
      </w:sdtPr>
      <w:sdtEndPr>
        <w:rPr>
          <w:rFonts w:ascii="宋体" w:hAnsi="宋体" w:eastAsia="宋体" w:cs="宋体"/>
          <w:color w:val="auto"/>
          <w:sz w:val="24"/>
          <w:szCs w:val="24"/>
        </w:rPr>
      </w:sdtEndPr>
      <w:sdtContent>
        <w:p w14:paraId="67EFBDAD">
          <w:pPr>
            <w:spacing w:before="314" w:line="220" w:lineRule="auto"/>
            <w:ind w:left="2060"/>
            <w:rPr>
              <w:rFonts w:ascii="宋体" w:hAnsi="宋体" w:eastAsia="宋体" w:cs="宋体"/>
              <w:color w:val="auto"/>
              <w:sz w:val="24"/>
              <w:szCs w:val="24"/>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2"/>
              <w:sz w:val="24"/>
              <w:szCs w:val="24"/>
            </w:rPr>
            <w:t>一.说明</w:t>
          </w:r>
          <w:r>
            <w:rPr>
              <w:rFonts w:ascii="宋体" w:hAnsi="宋体" w:eastAsia="宋体" w:cs="宋体"/>
              <w:color w:val="auto"/>
              <w:spacing w:val="-2"/>
              <w:sz w:val="24"/>
              <w:szCs w:val="24"/>
            </w:rPr>
            <w:fldChar w:fldCharType="end"/>
          </w:r>
        </w:p>
        <w:p w14:paraId="311C7E5F">
          <w:pPr>
            <w:spacing w:before="314" w:line="220" w:lineRule="auto"/>
            <w:ind w:left="2060"/>
            <w:rPr>
              <w:rFonts w:ascii="宋体" w:hAnsi="宋体" w:eastAsia="宋体" w:cs="宋体"/>
              <w:color w:val="auto"/>
              <w:sz w:val="24"/>
              <w:szCs w:val="24"/>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2"/>
              <w:sz w:val="24"/>
              <w:szCs w:val="24"/>
            </w:rPr>
            <w:t>二.竞争性谈判文件</w:t>
          </w:r>
          <w:r>
            <w:rPr>
              <w:rFonts w:ascii="宋体" w:hAnsi="宋体" w:eastAsia="宋体" w:cs="宋体"/>
              <w:color w:val="auto"/>
              <w:spacing w:val="-2"/>
              <w:sz w:val="24"/>
              <w:szCs w:val="24"/>
            </w:rPr>
            <w:fldChar w:fldCharType="end"/>
          </w:r>
        </w:p>
        <w:p w14:paraId="2F6A03E8">
          <w:pPr>
            <w:spacing w:before="314" w:line="220" w:lineRule="auto"/>
            <w:ind w:left="2056"/>
            <w:rPr>
              <w:rFonts w:ascii="宋体" w:hAnsi="宋体" w:eastAsia="宋体" w:cs="宋体"/>
              <w:color w:val="auto"/>
              <w:sz w:val="24"/>
              <w:szCs w:val="24"/>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1"/>
              <w:sz w:val="24"/>
              <w:szCs w:val="24"/>
            </w:rPr>
            <w:t>三.响应性文件的编制</w:t>
          </w:r>
          <w:r>
            <w:rPr>
              <w:rFonts w:ascii="宋体" w:hAnsi="宋体" w:eastAsia="宋体" w:cs="宋体"/>
              <w:color w:val="auto"/>
              <w:spacing w:val="-1"/>
              <w:sz w:val="24"/>
              <w:szCs w:val="24"/>
            </w:rPr>
            <w:fldChar w:fldCharType="end"/>
          </w:r>
        </w:p>
        <w:p w14:paraId="2E326270">
          <w:pPr>
            <w:spacing w:before="314" w:line="219" w:lineRule="auto"/>
            <w:ind w:left="2078"/>
            <w:rPr>
              <w:rFonts w:ascii="宋体" w:hAnsi="宋体" w:eastAsia="宋体" w:cs="宋体"/>
              <w:color w:val="auto"/>
              <w:sz w:val="24"/>
              <w:szCs w:val="24"/>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rPr>
            <w:t>四.响应性文件的上传、递交</w:t>
          </w:r>
          <w:r>
            <w:rPr>
              <w:rFonts w:ascii="宋体" w:hAnsi="宋体" w:eastAsia="宋体" w:cs="宋体"/>
              <w:color w:val="auto"/>
              <w:spacing w:val="-3"/>
              <w:sz w:val="24"/>
              <w:szCs w:val="24"/>
            </w:rPr>
            <w:fldChar w:fldCharType="end"/>
          </w:r>
        </w:p>
        <w:p w14:paraId="36AE48A6">
          <w:pPr>
            <w:spacing w:before="315" w:line="220" w:lineRule="auto"/>
            <w:ind w:left="2060"/>
            <w:rPr>
              <w:rFonts w:ascii="宋体" w:hAnsi="宋体" w:eastAsia="宋体" w:cs="宋体"/>
              <w:color w:val="auto"/>
              <w:sz w:val="24"/>
              <w:szCs w:val="24"/>
            </w:rPr>
          </w:pP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2"/>
              <w:sz w:val="24"/>
              <w:szCs w:val="24"/>
            </w:rPr>
            <w:t>五.响应文件的开启</w:t>
          </w:r>
          <w:r>
            <w:rPr>
              <w:rFonts w:ascii="宋体" w:hAnsi="宋体" w:eastAsia="宋体" w:cs="宋体"/>
              <w:color w:val="auto"/>
              <w:spacing w:val="-2"/>
              <w:sz w:val="24"/>
              <w:szCs w:val="24"/>
            </w:rPr>
            <w:fldChar w:fldCharType="end"/>
          </w:r>
        </w:p>
        <w:p w14:paraId="49970625">
          <w:pPr>
            <w:spacing w:before="315" w:line="220" w:lineRule="auto"/>
            <w:ind w:left="2058"/>
            <w:rPr>
              <w:rFonts w:ascii="宋体" w:hAnsi="宋体" w:eastAsia="宋体" w:cs="宋体"/>
              <w:color w:val="auto"/>
              <w:sz w:val="24"/>
              <w:szCs w:val="24"/>
            </w:rPr>
          </w:pPr>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3"/>
              <w:sz w:val="24"/>
              <w:szCs w:val="24"/>
            </w:rPr>
            <w:t>六.谈判</w:t>
          </w:r>
          <w:r>
            <w:rPr>
              <w:rFonts w:ascii="宋体" w:hAnsi="宋体" w:eastAsia="宋体" w:cs="宋体"/>
              <w:color w:val="auto"/>
              <w:spacing w:val="-3"/>
              <w:sz w:val="24"/>
              <w:szCs w:val="24"/>
            </w:rPr>
            <w:fldChar w:fldCharType="end"/>
          </w:r>
        </w:p>
        <w:p w14:paraId="4917608F">
          <w:pPr>
            <w:spacing w:before="313" w:line="219" w:lineRule="auto"/>
            <w:ind w:left="2055"/>
            <w:rPr>
              <w:rFonts w:ascii="宋体" w:hAnsi="宋体" w:eastAsia="宋体" w:cs="宋体"/>
              <w:color w:val="auto"/>
              <w:sz w:val="24"/>
              <w:szCs w:val="24"/>
            </w:rPr>
          </w:pPr>
          <w:r>
            <w:rPr>
              <w:color w:val="auto"/>
            </w:rPr>
            <w:fldChar w:fldCharType="begin"/>
          </w:r>
          <w:r>
            <w:rPr>
              <w:color w:val="auto"/>
            </w:rPr>
            <w:instrText xml:space="preserve"> HYPERLINK \l "bookmark7" </w:instrText>
          </w:r>
          <w:r>
            <w:rPr>
              <w:color w:val="auto"/>
            </w:rPr>
            <w:fldChar w:fldCharType="separate"/>
          </w:r>
          <w:r>
            <w:rPr>
              <w:rFonts w:ascii="宋体" w:hAnsi="宋体" w:eastAsia="宋体" w:cs="宋体"/>
              <w:color w:val="auto"/>
              <w:spacing w:val="-1"/>
              <w:sz w:val="24"/>
              <w:szCs w:val="24"/>
            </w:rPr>
            <w:t>七.确定成交供应商</w:t>
          </w:r>
          <w:r>
            <w:rPr>
              <w:rFonts w:ascii="宋体" w:hAnsi="宋体" w:eastAsia="宋体" w:cs="宋体"/>
              <w:color w:val="auto"/>
              <w:spacing w:val="-1"/>
              <w:sz w:val="24"/>
              <w:szCs w:val="24"/>
            </w:rPr>
            <w:fldChar w:fldCharType="end"/>
          </w:r>
        </w:p>
        <w:p w14:paraId="4F607D58">
          <w:pPr>
            <w:spacing w:before="316" w:line="220" w:lineRule="auto"/>
            <w:ind w:left="2060"/>
            <w:rPr>
              <w:rFonts w:ascii="宋体" w:hAnsi="宋体" w:eastAsia="宋体" w:cs="宋体"/>
              <w:color w:val="auto"/>
              <w:sz w:val="24"/>
              <w:szCs w:val="24"/>
            </w:rPr>
          </w:pPr>
          <w:r>
            <w:rPr>
              <w:color w:val="auto"/>
            </w:rPr>
            <w:fldChar w:fldCharType="begin"/>
          </w:r>
          <w:r>
            <w:rPr>
              <w:color w:val="auto"/>
            </w:rPr>
            <w:instrText xml:space="preserve"> HYPERLINK \l "bookmark8" </w:instrText>
          </w:r>
          <w:r>
            <w:rPr>
              <w:color w:val="auto"/>
            </w:rPr>
            <w:fldChar w:fldCharType="separate"/>
          </w:r>
          <w:r>
            <w:rPr>
              <w:rFonts w:ascii="宋体" w:hAnsi="宋体" w:eastAsia="宋体" w:cs="宋体"/>
              <w:color w:val="auto"/>
              <w:spacing w:val="-2"/>
              <w:sz w:val="24"/>
              <w:szCs w:val="24"/>
            </w:rPr>
            <w:t>八.合同授予</w:t>
          </w:r>
          <w:r>
            <w:rPr>
              <w:rFonts w:ascii="宋体" w:hAnsi="宋体" w:eastAsia="宋体" w:cs="宋体"/>
              <w:color w:val="auto"/>
              <w:spacing w:val="-2"/>
              <w:sz w:val="24"/>
              <w:szCs w:val="24"/>
            </w:rPr>
            <w:fldChar w:fldCharType="end"/>
          </w:r>
        </w:p>
      </w:sdtContent>
    </w:sdt>
    <w:p w14:paraId="698B3EAF">
      <w:pPr>
        <w:spacing w:before="314" w:line="219" w:lineRule="auto"/>
        <w:ind w:left="1636"/>
        <w:rPr>
          <w:rFonts w:ascii="宋体" w:hAnsi="宋体" w:eastAsia="宋体" w:cs="宋体"/>
          <w:color w:val="auto"/>
          <w:sz w:val="24"/>
          <w:szCs w:val="24"/>
        </w:rPr>
      </w:pPr>
      <w:r>
        <w:rPr>
          <w:rFonts w:ascii="宋体" w:hAnsi="宋体" w:eastAsia="宋体" w:cs="宋体"/>
          <w:color w:val="auto"/>
          <w:spacing w:val="-1"/>
          <w:sz w:val="24"/>
          <w:szCs w:val="24"/>
        </w:rPr>
        <w:t>第三章工程量清单</w:t>
      </w:r>
    </w:p>
    <w:p w14:paraId="529E05FF">
      <w:pPr>
        <w:spacing w:before="315" w:line="219" w:lineRule="auto"/>
        <w:ind w:left="1636"/>
        <w:rPr>
          <w:rFonts w:ascii="宋体" w:hAnsi="宋体" w:eastAsia="宋体" w:cs="宋体"/>
          <w:color w:val="auto"/>
          <w:sz w:val="24"/>
          <w:szCs w:val="24"/>
        </w:rPr>
      </w:pPr>
      <w:r>
        <w:rPr>
          <w:rFonts w:ascii="宋体" w:hAnsi="宋体" w:eastAsia="宋体" w:cs="宋体"/>
          <w:color w:val="auto"/>
          <w:spacing w:val="-1"/>
          <w:sz w:val="24"/>
          <w:szCs w:val="24"/>
        </w:rPr>
        <w:t>第四章合同条款及格式</w:t>
      </w:r>
    </w:p>
    <w:p w14:paraId="08A77A9E">
      <w:pPr>
        <w:spacing w:before="315" w:line="219" w:lineRule="auto"/>
        <w:ind w:left="1636"/>
        <w:rPr>
          <w:rFonts w:ascii="宋体" w:hAnsi="宋体" w:eastAsia="宋体" w:cs="宋体"/>
          <w:color w:val="auto"/>
          <w:sz w:val="24"/>
          <w:szCs w:val="24"/>
        </w:rPr>
      </w:pPr>
      <w:r>
        <w:rPr>
          <w:rFonts w:ascii="宋体" w:hAnsi="宋体" w:eastAsia="宋体" w:cs="宋体"/>
          <w:color w:val="auto"/>
          <w:spacing w:val="-3"/>
          <w:sz w:val="24"/>
          <w:szCs w:val="24"/>
        </w:rPr>
        <w:t>第五章响应性文件格式</w:t>
      </w:r>
    </w:p>
    <w:p w14:paraId="5A6551C9">
      <w:pPr>
        <w:spacing w:line="219" w:lineRule="auto"/>
        <w:rPr>
          <w:rFonts w:ascii="宋体" w:hAnsi="宋体" w:eastAsia="宋体" w:cs="宋体"/>
          <w:color w:val="auto"/>
          <w:sz w:val="24"/>
          <w:szCs w:val="24"/>
        </w:rPr>
        <w:sectPr>
          <w:footerReference r:id="rId5" w:type="default"/>
          <w:pgSz w:w="11900" w:h="16839"/>
          <w:pgMar w:top="1440" w:right="1800" w:bottom="1440" w:left="1800" w:header="0" w:footer="219" w:gutter="0"/>
          <w:cols w:space="720" w:num="1"/>
        </w:sectPr>
      </w:pPr>
    </w:p>
    <w:p w14:paraId="5DB5D841">
      <w:pPr>
        <w:numPr>
          <w:ilvl w:val="0"/>
          <w:numId w:val="1"/>
        </w:numPr>
        <w:spacing w:before="80" w:line="218" w:lineRule="auto"/>
        <w:ind w:left="2787"/>
        <w:rPr>
          <w:rFonts w:ascii="宋体" w:hAnsi="宋体" w:eastAsia="宋体" w:cs="宋体"/>
          <w:b/>
          <w:bCs/>
          <w:color w:val="auto"/>
          <w:spacing w:val="-4"/>
          <w:sz w:val="32"/>
          <w:szCs w:val="32"/>
        </w:rPr>
      </w:pPr>
      <w:r>
        <w:rPr>
          <w:rFonts w:ascii="宋体" w:hAnsi="宋体" w:eastAsia="宋体" w:cs="宋体"/>
          <w:b/>
          <w:bCs/>
          <w:color w:val="auto"/>
          <w:spacing w:val="-4"/>
          <w:sz w:val="32"/>
          <w:szCs w:val="32"/>
        </w:rPr>
        <w:t>竞争性谈判公告</w:t>
      </w:r>
    </w:p>
    <w:p w14:paraId="20C558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550" w:firstLineChars="200"/>
        <w:jc w:val="center"/>
        <w:textAlignment w:val="baseline"/>
        <w:rPr>
          <w:rFonts w:ascii="宋体" w:hAnsi="宋体" w:eastAsia="宋体" w:cs="宋体"/>
          <w:color w:val="auto"/>
          <w:sz w:val="28"/>
          <w:szCs w:val="28"/>
        </w:rPr>
      </w:pPr>
      <w:r>
        <w:rPr>
          <w:rFonts w:hint="eastAsia" w:ascii="宋体" w:hAnsi="宋体" w:eastAsia="宋体" w:cs="宋体"/>
          <w:b/>
          <w:bCs/>
          <w:color w:val="auto"/>
          <w:spacing w:val="-3"/>
          <w:sz w:val="28"/>
          <w:szCs w:val="28"/>
          <w:lang w:eastAsia="zh-CN"/>
        </w:rPr>
        <w:t>遂平县花庄镇人民政府配备专用变压器及高压环网柜项目（二次）</w:t>
      </w:r>
      <w:r>
        <w:rPr>
          <w:rFonts w:ascii="宋体" w:hAnsi="宋体" w:eastAsia="宋体" w:cs="宋体"/>
          <w:b/>
          <w:bCs/>
          <w:color w:val="auto"/>
          <w:spacing w:val="-4"/>
          <w:sz w:val="28"/>
          <w:szCs w:val="28"/>
        </w:rPr>
        <w:t>竞争性谈判公告</w:t>
      </w:r>
    </w:p>
    <w:tbl>
      <w:tblPr>
        <w:tblStyle w:val="10"/>
        <w:tblW w:w="922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26"/>
      </w:tblGrid>
      <w:tr w14:paraId="228634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0" w:hRule="atLeast"/>
        </w:trPr>
        <w:tc>
          <w:tcPr>
            <w:tcW w:w="9226" w:type="dxa"/>
            <w:vAlign w:val="top"/>
          </w:tcPr>
          <w:p w14:paraId="5454600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color w:val="auto"/>
              </w:rPr>
            </w:pPr>
            <w:r>
              <w:rPr>
                <w:color w:val="auto"/>
                <w:spacing w:val="-3"/>
              </w:rPr>
              <w:t>项目概况</w:t>
            </w:r>
          </w:p>
          <w:p w14:paraId="3F77DD2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rPr>
            </w:pPr>
            <w:r>
              <w:rPr>
                <w:rFonts w:hint="eastAsia"/>
                <w:color w:val="auto"/>
                <w:lang w:eastAsia="zh-CN"/>
              </w:rPr>
              <w:t>遂平县花庄镇人民政府配备专用变压器及高压环网柜项目（二次）</w:t>
            </w:r>
            <w:r>
              <w:rPr>
                <w:color w:val="auto"/>
              </w:rPr>
              <w:t>的潜在投标人</w:t>
            </w:r>
            <w:r>
              <w:rPr>
                <w:color w:val="auto"/>
                <w:spacing w:val="-1"/>
              </w:rPr>
              <w:t>应在驻马店市公共资</w:t>
            </w:r>
            <w:r>
              <w:rPr>
                <w:color w:val="auto"/>
                <w:spacing w:val="-2"/>
              </w:rPr>
              <w:t>源交易中心电子交易平台。获取招标文件，</w:t>
            </w:r>
            <w:r>
              <w:rPr>
                <w:color w:val="auto"/>
                <w:spacing w:val="-3"/>
              </w:rPr>
              <w:t>并于</w:t>
            </w:r>
            <w:r>
              <w:rPr>
                <w:color w:val="auto"/>
                <w:spacing w:val="-3"/>
                <w:u w:val="single" w:color="auto"/>
              </w:rPr>
              <w:t>2025年</w:t>
            </w:r>
            <w:r>
              <w:rPr>
                <w:rFonts w:hint="eastAsia"/>
                <w:color w:val="auto"/>
                <w:spacing w:val="114"/>
                <w:u w:val="single" w:color="auto"/>
                <w:lang w:val="en-US" w:eastAsia="zh-CN"/>
              </w:rPr>
              <w:t>8</w:t>
            </w:r>
            <w:r>
              <w:rPr>
                <w:color w:val="auto"/>
                <w:spacing w:val="-3"/>
                <w:u w:val="single" w:color="auto"/>
              </w:rPr>
              <w:t>月</w:t>
            </w:r>
            <w:r>
              <w:rPr>
                <w:rFonts w:hint="eastAsia"/>
                <w:color w:val="auto"/>
                <w:spacing w:val="-3"/>
                <w:u w:val="single" w:color="auto"/>
                <w:lang w:val="en-US" w:eastAsia="zh-CN"/>
              </w:rPr>
              <w:t>22</w:t>
            </w:r>
            <w:r>
              <w:rPr>
                <w:color w:val="auto"/>
                <w:spacing w:val="-3"/>
                <w:u w:val="single" w:color="auto"/>
              </w:rPr>
              <w:t>日09时00</w:t>
            </w:r>
            <w:r>
              <w:rPr>
                <w:color w:val="auto"/>
                <w:spacing w:val="-4"/>
                <w:u w:val="single" w:color="auto"/>
              </w:rPr>
              <w:t>分</w:t>
            </w:r>
            <w:r>
              <w:rPr>
                <w:color w:val="auto"/>
                <w:spacing w:val="-4"/>
              </w:rPr>
              <w:t>（北京时间）前递交投标文件。</w:t>
            </w:r>
          </w:p>
        </w:tc>
      </w:tr>
    </w:tbl>
    <w:p w14:paraId="7626E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一、项目基本情况</w:t>
      </w:r>
    </w:p>
    <w:p w14:paraId="101899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1、项目编号：遂财竞谈-2025-</w:t>
      </w: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rPr>
        <w:t>8</w:t>
      </w:r>
    </w:p>
    <w:p w14:paraId="21561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2、项目名称：</w:t>
      </w:r>
      <w:r>
        <w:rPr>
          <w:rFonts w:hint="eastAsia" w:ascii="宋体" w:hAnsi="宋体" w:eastAsia="宋体" w:cs="宋体"/>
          <w:color w:val="auto"/>
          <w:spacing w:val="-1"/>
          <w:sz w:val="24"/>
          <w:szCs w:val="24"/>
          <w:lang w:eastAsia="zh-CN"/>
        </w:rPr>
        <w:t>遂平县花庄镇人民政府配备专用变压器及高压环网柜项目（二次）</w:t>
      </w:r>
    </w:p>
    <w:p w14:paraId="706014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3、采购方式：竞争性谈判</w:t>
      </w:r>
    </w:p>
    <w:p w14:paraId="49E35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4、预算金额：</w:t>
      </w:r>
      <w:r>
        <w:rPr>
          <w:rFonts w:hint="eastAsia" w:ascii="宋体" w:hAnsi="宋体" w:eastAsia="宋体" w:cs="宋体"/>
          <w:color w:val="auto"/>
          <w:spacing w:val="-1"/>
          <w:sz w:val="24"/>
          <w:szCs w:val="24"/>
          <w:lang w:eastAsia="zh-CN"/>
        </w:rPr>
        <w:t>700000.00</w:t>
      </w:r>
      <w:r>
        <w:rPr>
          <w:rFonts w:ascii="宋体" w:hAnsi="宋体" w:eastAsia="宋体" w:cs="宋体"/>
          <w:color w:val="auto"/>
          <w:spacing w:val="-1"/>
          <w:sz w:val="24"/>
          <w:szCs w:val="24"/>
        </w:rPr>
        <w:t>元</w:t>
      </w:r>
    </w:p>
    <w:p w14:paraId="3DF2A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最高限价：</w:t>
      </w:r>
      <w:r>
        <w:rPr>
          <w:rFonts w:hint="eastAsia" w:ascii="宋体" w:hAnsi="宋体" w:eastAsia="宋体" w:cs="宋体"/>
          <w:color w:val="auto"/>
          <w:spacing w:val="-1"/>
          <w:sz w:val="24"/>
          <w:szCs w:val="24"/>
          <w:lang w:eastAsia="zh-CN"/>
        </w:rPr>
        <w:t>700000.00</w:t>
      </w:r>
      <w:r>
        <w:rPr>
          <w:rFonts w:ascii="宋体" w:hAnsi="宋体" w:eastAsia="宋体" w:cs="宋体"/>
          <w:color w:val="auto"/>
          <w:spacing w:val="-1"/>
          <w:sz w:val="24"/>
          <w:szCs w:val="24"/>
        </w:rPr>
        <w:t>元</w:t>
      </w:r>
    </w:p>
    <w:p w14:paraId="5B15FB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z w:val="2"/>
        </w:rPr>
      </w:pPr>
    </w:p>
    <w:tbl>
      <w:tblPr>
        <w:tblStyle w:val="10"/>
        <w:tblW w:w="9465"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2197"/>
        <w:gridCol w:w="2797"/>
        <w:gridCol w:w="1538"/>
        <w:gridCol w:w="2142"/>
      </w:tblGrid>
      <w:tr w14:paraId="7BBDE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791" w:type="dxa"/>
            <w:vAlign w:val="center"/>
          </w:tcPr>
          <w:p w14:paraId="345AB71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rPr>
            </w:pPr>
            <w:r>
              <w:rPr>
                <w:color w:val="auto"/>
                <w:spacing w:val="-3"/>
              </w:rPr>
              <w:t>序号</w:t>
            </w:r>
          </w:p>
        </w:tc>
        <w:tc>
          <w:tcPr>
            <w:tcW w:w="2197" w:type="dxa"/>
            <w:vAlign w:val="center"/>
          </w:tcPr>
          <w:p w14:paraId="6AA6601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rPr>
            </w:pPr>
            <w:r>
              <w:rPr>
                <w:color w:val="auto"/>
                <w:spacing w:val="-3"/>
              </w:rPr>
              <w:t>包号</w:t>
            </w:r>
          </w:p>
        </w:tc>
        <w:tc>
          <w:tcPr>
            <w:tcW w:w="2797" w:type="dxa"/>
            <w:vAlign w:val="center"/>
          </w:tcPr>
          <w:p w14:paraId="1601CD5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rPr>
            </w:pPr>
            <w:r>
              <w:rPr>
                <w:color w:val="auto"/>
                <w:spacing w:val="-3"/>
              </w:rPr>
              <w:t>包名称</w:t>
            </w:r>
          </w:p>
        </w:tc>
        <w:tc>
          <w:tcPr>
            <w:tcW w:w="1538" w:type="dxa"/>
            <w:vAlign w:val="center"/>
          </w:tcPr>
          <w:p w14:paraId="751306F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rPr>
            </w:pPr>
            <w:r>
              <w:rPr>
                <w:color w:val="auto"/>
                <w:spacing w:val="-4"/>
              </w:rPr>
              <w:t>包预算（元）</w:t>
            </w:r>
          </w:p>
        </w:tc>
        <w:tc>
          <w:tcPr>
            <w:tcW w:w="2142" w:type="dxa"/>
            <w:vAlign w:val="center"/>
          </w:tcPr>
          <w:p w14:paraId="5C5F609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rPr>
            </w:pPr>
            <w:r>
              <w:rPr>
                <w:color w:val="auto"/>
                <w:spacing w:val="-2"/>
              </w:rPr>
              <w:t>包最高限价</w:t>
            </w:r>
            <w:r>
              <w:rPr>
                <w:color w:val="auto"/>
                <w:spacing w:val="-8"/>
              </w:rPr>
              <w:t>（元）</w:t>
            </w:r>
          </w:p>
        </w:tc>
      </w:tr>
      <w:tr w14:paraId="6647D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91" w:type="dxa"/>
            <w:vAlign w:val="top"/>
          </w:tcPr>
          <w:p w14:paraId="20E8E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z w:val="21"/>
              </w:rPr>
            </w:pPr>
          </w:p>
          <w:p w14:paraId="6B57378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rPr>
            </w:pPr>
            <w:r>
              <w:rPr>
                <w:color w:val="auto"/>
              </w:rPr>
              <w:t>1</w:t>
            </w:r>
          </w:p>
        </w:tc>
        <w:tc>
          <w:tcPr>
            <w:tcW w:w="2197" w:type="dxa"/>
            <w:vAlign w:val="top"/>
          </w:tcPr>
          <w:p w14:paraId="2C2B43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z w:val="21"/>
              </w:rPr>
            </w:pPr>
          </w:p>
          <w:p w14:paraId="69EBFE6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eastAsia="宋体"/>
                <w:color w:val="auto"/>
                <w:lang w:val="en-US" w:eastAsia="zh-CN"/>
              </w:rPr>
            </w:pPr>
            <w:r>
              <w:rPr>
                <w:color w:val="auto"/>
              </w:rPr>
              <w:t>遂政采招【2025】53号</w:t>
            </w:r>
            <w:r>
              <w:rPr>
                <w:rFonts w:hint="eastAsia"/>
                <w:color w:val="auto"/>
                <w:lang w:val="en-US" w:eastAsia="zh-CN"/>
              </w:rPr>
              <w:t>A</w:t>
            </w:r>
          </w:p>
        </w:tc>
        <w:tc>
          <w:tcPr>
            <w:tcW w:w="2797" w:type="dxa"/>
            <w:vAlign w:val="top"/>
          </w:tcPr>
          <w:p w14:paraId="19993F0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rPr>
            </w:pPr>
            <w:r>
              <w:rPr>
                <w:rFonts w:hint="eastAsia"/>
                <w:color w:val="auto"/>
                <w:spacing w:val="-1"/>
                <w:lang w:eastAsia="zh-CN"/>
              </w:rPr>
              <w:t>遂平县花庄镇人民政府配备专用变压器及高压环网柜项目（二次）</w:t>
            </w:r>
            <w:r>
              <w:rPr>
                <w:color w:val="auto"/>
                <w:spacing w:val="-1"/>
              </w:rPr>
              <w:t>A</w:t>
            </w:r>
            <w:r>
              <w:rPr>
                <w:color w:val="auto"/>
              </w:rPr>
              <w:t>包</w:t>
            </w:r>
          </w:p>
        </w:tc>
        <w:tc>
          <w:tcPr>
            <w:tcW w:w="1538" w:type="dxa"/>
            <w:vAlign w:val="top"/>
          </w:tcPr>
          <w:p w14:paraId="33B9E0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z w:val="21"/>
              </w:rPr>
            </w:pPr>
          </w:p>
          <w:p w14:paraId="0996E1F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eastAsia="宋体"/>
                <w:color w:val="auto"/>
                <w:lang w:eastAsia="zh-CN"/>
              </w:rPr>
            </w:pPr>
            <w:r>
              <w:rPr>
                <w:rFonts w:hint="eastAsia"/>
                <w:color w:val="auto"/>
                <w:spacing w:val="-2"/>
                <w:lang w:eastAsia="zh-CN"/>
              </w:rPr>
              <w:t>700000.00</w:t>
            </w:r>
          </w:p>
        </w:tc>
        <w:tc>
          <w:tcPr>
            <w:tcW w:w="2142" w:type="dxa"/>
            <w:vAlign w:val="top"/>
          </w:tcPr>
          <w:p w14:paraId="4F450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z w:val="21"/>
              </w:rPr>
            </w:pPr>
          </w:p>
          <w:p w14:paraId="15879B8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eastAsia="宋体"/>
                <w:color w:val="auto"/>
                <w:lang w:eastAsia="zh-CN"/>
              </w:rPr>
            </w:pPr>
            <w:r>
              <w:rPr>
                <w:rFonts w:hint="eastAsia"/>
                <w:color w:val="auto"/>
                <w:spacing w:val="-2"/>
                <w:lang w:eastAsia="zh-CN"/>
              </w:rPr>
              <w:t>700000.00</w:t>
            </w:r>
          </w:p>
        </w:tc>
      </w:tr>
    </w:tbl>
    <w:p w14:paraId="3438E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5、采购需求（包括但不限于标的的名称、数量、简要技术需求或服务要求等）</w:t>
      </w:r>
    </w:p>
    <w:p w14:paraId="1D6B50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5.1采购内容：</w:t>
      </w:r>
      <w:r>
        <w:rPr>
          <w:rFonts w:hint="eastAsia" w:ascii="宋体" w:hAnsi="宋体" w:eastAsia="宋体" w:cs="宋体"/>
          <w:color w:val="auto"/>
          <w:spacing w:val="-2"/>
          <w:sz w:val="24"/>
          <w:szCs w:val="24"/>
        </w:rPr>
        <w:t>遂平县花庄镇安置社区建设项目，为满足社区用电需求及用电安全，需配备三台专用配电变压器和一组高压环网柜</w:t>
      </w:r>
      <w:r>
        <w:rPr>
          <w:rFonts w:hint="eastAsia" w:ascii="宋体" w:hAnsi="宋体" w:eastAsia="宋体" w:cs="宋体"/>
          <w:color w:val="auto"/>
          <w:spacing w:val="-2"/>
          <w:sz w:val="24"/>
          <w:szCs w:val="24"/>
          <w:lang w:val="en-US" w:eastAsia="zh-CN"/>
        </w:rPr>
        <w:t>采购安装</w:t>
      </w:r>
      <w:r>
        <w:rPr>
          <w:rFonts w:ascii="宋体" w:hAnsi="宋体" w:eastAsia="宋体" w:cs="宋体"/>
          <w:color w:val="auto"/>
          <w:spacing w:val="-2"/>
          <w:sz w:val="24"/>
          <w:szCs w:val="24"/>
        </w:rPr>
        <w:t>。</w:t>
      </w:r>
    </w:p>
    <w:p w14:paraId="5B219D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5.2资金来源：财政资金</w:t>
      </w:r>
    </w:p>
    <w:p w14:paraId="7FCDC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5.3质量要求：合格</w:t>
      </w:r>
    </w:p>
    <w:p w14:paraId="3AB0B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5.3标段划分：本次招标共划分为1个标包</w:t>
      </w:r>
    </w:p>
    <w:p w14:paraId="3F5DA4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6、合同履行期限：</w:t>
      </w:r>
      <w:r>
        <w:rPr>
          <w:rFonts w:hint="eastAsia" w:ascii="宋体" w:hAnsi="宋体" w:eastAsia="宋体" w:cs="宋体"/>
          <w:color w:val="auto"/>
          <w:spacing w:val="-1"/>
          <w:sz w:val="24"/>
          <w:szCs w:val="24"/>
          <w:lang w:val="en-US" w:eastAsia="zh-CN"/>
        </w:rPr>
        <w:t>30</w:t>
      </w:r>
      <w:r>
        <w:rPr>
          <w:rFonts w:ascii="宋体" w:hAnsi="宋体" w:eastAsia="宋体" w:cs="宋体"/>
          <w:color w:val="auto"/>
          <w:spacing w:val="-1"/>
          <w:sz w:val="24"/>
          <w:szCs w:val="24"/>
        </w:rPr>
        <w:t>日历天</w:t>
      </w:r>
    </w:p>
    <w:p w14:paraId="3C77D9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7、本项目是否接受联合体投标：否</w:t>
      </w:r>
    </w:p>
    <w:p w14:paraId="7C6A07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8、是否接受进口产品：否</w:t>
      </w:r>
    </w:p>
    <w:p w14:paraId="7677F2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9、是否专门面向中小企业：是</w:t>
      </w:r>
    </w:p>
    <w:p w14:paraId="5F2A71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color w:val="auto"/>
          <w:sz w:val="24"/>
          <w:szCs w:val="24"/>
        </w:rPr>
      </w:pPr>
      <w:r>
        <w:rPr>
          <w:rFonts w:ascii="宋体" w:hAnsi="宋体" w:eastAsia="宋体" w:cs="宋体"/>
          <w:color w:val="auto"/>
          <w:spacing w:val="-7"/>
          <w:sz w:val="24"/>
          <w:szCs w:val="24"/>
        </w:rPr>
        <w:t>二、申请人资格要求：</w:t>
      </w:r>
    </w:p>
    <w:p w14:paraId="5F8F0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1、满足《中华人民共和国政府采购法》第二十二</w:t>
      </w:r>
      <w:r>
        <w:rPr>
          <w:rFonts w:ascii="宋体" w:hAnsi="宋体" w:eastAsia="宋体" w:cs="宋体"/>
          <w:color w:val="auto"/>
          <w:spacing w:val="-4"/>
          <w:sz w:val="24"/>
          <w:szCs w:val="24"/>
        </w:rPr>
        <w:t>条规定；</w:t>
      </w:r>
    </w:p>
    <w:p w14:paraId="64E361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2、落实政府采购政策满足的资格要求：执行促进中</w:t>
      </w:r>
      <w:r>
        <w:rPr>
          <w:rFonts w:ascii="宋体" w:hAnsi="宋体" w:eastAsia="宋体" w:cs="宋体"/>
          <w:color w:val="auto"/>
          <w:spacing w:val="-1"/>
          <w:sz w:val="24"/>
          <w:szCs w:val="24"/>
        </w:rPr>
        <w:t>小企业发展</w:t>
      </w:r>
      <w:r>
        <w:rPr>
          <w:rFonts w:ascii="Calibri" w:hAnsi="Calibri" w:eastAsia="Calibri" w:cs="Calibri"/>
          <w:color w:val="auto"/>
          <w:spacing w:val="-1"/>
          <w:sz w:val="24"/>
          <w:szCs w:val="24"/>
        </w:rPr>
        <w:t>/</w:t>
      </w:r>
      <w:r>
        <w:rPr>
          <w:rFonts w:ascii="宋体" w:hAnsi="宋体" w:eastAsia="宋体" w:cs="宋体"/>
          <w:color w:val="auto"/>
          <w:spacing w:val="-1"/>
          <w:sz w:val="24"/>
          <w:szCs w:val="24"/>
        </w:rPr>
        <w:t>监狱</w:t>
      </w:r>
      <w:r>
        <w:rPr>
          <w:rFonts w:ascii="Calibri" w:hAnsi="Calibri" w:eastAsia="Calibri" w:cs="Calibri"/>
          <w:color w:val="auto"/>
          <w:spacing w:val="-1"/>
          <w:sz w:val="24"/>
          <w:szCs w:val="24"/>
        </w:rPr>
        <w:t>/</w:t>
      </w:r>
      <w:r>
        <w:rPr>
          <w:rFonts w:ascii="宋体" w:hAnsi="宋体" w:eastAsia="宋体" w:cs="宋体"/>
          <w:color w:val="auto"/>
          <w:spacing w:val="-1"/>
          <w:sz w:val="24"/>
          <w:szCs w:val="24"/>
        </w:rPr>
        <w:t>残疾人福利</w:t>
      </w:r>
      <w:r>
        <w:rPr>
          <w:rFonts w:ascii="宋体" w:hAnsi="宋体" w:eastAsia="宋体" w:cs="宋体"/>
          <w:color w:val="auto"/>
          <w:spacing w:val="-4"/>
          <w:sz w:val="24"/>
          <w:szCs w:val="24"/>
        </w:rPr>
        <w:t>性企业发展等政府采购政策。</w:t>
      </w:r>
    </w:p>
    <w:p w14:paraId="1FD49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2"/>
          <w:sz w:val="24"/>
          <w:szCs w:val="24"/>
        </w:rPr>
      </w:pPr>
      <w:r>
        <w:rPr>
          <w:rFonts w:ascii="宋体" w:hAnsi="宋体" w:eastAsia="宋体" w:cs="宋体"/>
          <w:color w:val="auto"/>
          <w:spacing w:val="-2"/>
          <w:sz w:val="24"/>
          <w:szCs w:val="24"/>
        </w:rPr>
        <w:t>3、本项目的特定资格要求</w:t>
      </w:r>
    </w:p>
    <w:p w14:paraId="7F278D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3.1符合《中华人民共和国政府采购法》第二十二条</w:t>
      </w:r>
      <w:r>
        <w:rPr>
          <w:rFonts w:ascii="宋体" w:hAnsi="宋体" w:eastAsia="宋体" w:cs="宋体"/>
          <w:color w:val="auto"/>
          <w:spacing w:val="-1"/>
          <w:sz w:val="24"/>
          <w:szCs w:val="24"/>
        </w:rPr>
        <w:t>规定（根据驻财购【2022】15</w:t>
      </w:r>
      <w:r>
        <w:rPr>
          <w:rFonts w:ascii="宋体" w:hAnsi="宋体" w:eastAsia="宋体" w:cs="宋体"/>
          <w:color w:val="auto"/>
          <w:spacing w:val="-4"/>
          <w:sz w:val="24"/>
          <w:szCs w:val="24"/>
        </w:rPr>
        <w:t>号文件规定实行承诺制）。</w:t>
      </w:r>
    </w:p>
    <w:p w14:paraId="2C1803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3.2根据《关于在政府采购活动中查询及使用信用</w:t>
      </w:r>
      <w:r>
        <w:rPr>
          <w:rFonts w:ascii="宋体" w:hAnsi="宋体" w:eastAsia="宋体" w:cs="宋体"/>
          <w:color w:val="auto"/>
          <w:spacing w:val="-1"/>
          <w:sz w:val="24"/>
          <w:szCs w:val="24"/>
        </w:rPr>
        <w:t>记录有关问题的通知》(财库[20</w:t>
      </w:r>
      <w:r>
        <w:rPr>
          <w:rFonts w:ascii="宋体" w:hAnsi="宋体" w:eastAsia="宋体" w:cs="宋体"/>
          <w:color w:val="auto"/>
          <w:spacing w:val="-5"/>
          <w:sz w:val="24"/>
          <w:szCs w:val="24"/>
        </w:rPr>
        <w:t>16]125号)</w:t>
      </w:r>
      <w:r>
        <w:rPr>
          <w:rFonts w:ascii="宋体" w:hAnsi="宋体" w:eastAsia="宋体" w:cs="宋体"/>
          <w:color w:val="auto"/>
          <w:spacing w:val="-2"/>
          <w:sz w:val="24"/>
          <w:szCs w:val="24"/>
        </w:rPr>
        <w:t>、《河南省财政厅关于转发财政部关于在政府采购活动中查询及使用信用记录有关问</w:t>
      </w:r>
      <w:r>
        <w:rPr>
          <w:rFonts w:ascii="宋体" w:hAnsi="宋体" w:eastAsia="宋体" w:cs="宋体"/>
          <w:color w:val="auto"/>
          <w:spacing w:val="-1"/>
          <w:sz w:val="24"/>
          <w:szCs w:val="24"/>
        </w:rPr>
        <w:t>题的通知的通知》（豫财购〔2016〕15</w:t>
      </w:r>
      <w:r>
        <w:rPr>
          <w:rFonts w:ascii="宋体" w:hAnsi="宋体" w:eastAsia="宋体" w:cs="宋体"/>
          <w:color w:val="auto"/>
          <w:sz w:val="24"/>
          <w:szCs w:val="24"/>
        </w:rPr>
        <w:t>号）的规定，对列入失信被执行人、重大税收</w:t>
      </w:r>
      <w:r>
        <w:rPr>
          <w:rFonts w:ascii="宋体" w:hAnsi="宋体" w:eastAsia="宋体" w:cs="宋体"/>
          <w:color w:val="auto"/>
          <w:spacing w:val="-1"/>
          <w:sz w:val="24"/>
          <w:szCs w:val="24"/>
        </w:rPr>
        <w:t>违法失信主体、政府采购严重违法失信</w:t>
      </w:r>
      <w:r>
        <w:rPr>
          <w:rFonts w:ascii="宋体" w:hAnsi="宋体" w:eastAsia="宋体" w:cs="宋体"/>
          <w:color w:val="auto"/>
          <w:sz w:val="24"/>
          <w:szCs w:val="24"/>
        </w:rPr>
        <w:t>行为记录名单的供应商（投标人</w:t>
      </w:r>
      <w:r>
        <w:rPr>
          <w:rFonts w:ascii="宋体" w:hAnsi="宋体" w:eastAsia="宋体" w:cs="宋体"/>
          <w:color w:val="auto"/>
          <w:spacing w:val="-1"/>
          <w:sz w:val="24"/>
          <w:szCs w:val="24"/>
        </w:rPr>
        <w:t>），</w:t>
      </w:r>
      <w:r>
        <w:rPr>
          <w:rFonts w:ascii="宋体" w:hAnsi="宋体" w:eastAsia="宋体" w:cs="宋体"/>
          <w:color w:val="auto"/>
          <w:sz w:val="24"/>
          <w:szCs w:val="24"/>
        </w:rPr>
        <w:t>拒绝参与本项目的投标</w:t>
      </w:r>
      <w:r>
        <w:rPr>
          <w:rFonts w:ascii="宋体" w:hAnsi="宋体" w:eastAsia="宋体" w:cs="宋体"/>
          <w:color w:val="auto"/>
          <w:spacing w:val="-1"/>
          <w:sz w:val="24"/>
          <w:szCs w:val="24"/>
        </w:rPr>
        <w:t>；【查询渠道：（</w:t>
      </w:r>
      <w:r>
        <w:rPr>
          <w:color w:val="auto"/>
        </w:rPr>
        <w:fldChar w:fldCharType="begin"/>
      </w:r>
      <w:r>
        <w:rPr>
          <w:color w:val="auto"/>
        </w:rPr>
        <w:instrText xml:space="preserve"> HYPERLINK "https://www.cre" </w:instrText>
      </w:r>
      <w:r>
        <w:rPr>
          <w:color w:val="auto"/>
        </w:rPr>
        <w:fldChar w:fldCharType="separate"/>
      </w:r>
      <w:r>
        <w:rPr>
          <w:rFonts w:ascii="宋体" w:hAnsi="宋体" w:eastAsia="宋体" w:cs="宋体"/>
          <w:color w:val="auto"/>
          <w:spacing w:val="-1"/>
          <w:sz w:val="24"/>
          <w:szCs w:val="24"/>
        </w:rPr>
        <w:t>www.cre</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ditchina.gov.cn）、“信用中国”网站、中国政府采购网（</w:t>
      </w:r>
      <w:r>
        <w:rPr>
          <w:color w:val="auto"/>
        </w:rPr>
        <w:fldChar w:fldCharType="begin"/>
      </w:r>
      <w:r>
        <w:rPr>
          <w:color w:val="auto"/>
        </w:rPr>
        <w:instrText xml:space="preserve"> HYPERLINK "https://www.ccgp.gov.cn" </w:instrText>
      </w:r>
      <w:r>
        <w:rPr>
          <w:color w:val="auto"/>
        </w:rPr>
        <w:fldChar w:fldCharType="separate"/>
      </w:r>
      <w:r>
        <w:rPr>
          <w:rFonts w:ascii="宋体" w:hAnsi="宋体" w:eastAsia="宋体" w:cs="宋体"/>
          <w:color w:val="auto"/>
          <w:spacing w:val="-1"/>
          <w:sz w:val="24"/>
          <w:szCs w:val="24"/>
        </w:rPr>
        <w:t>www.ccgp.gov.cn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w:t>
      </w:r>
    </w:p>
    <w:p w14:paraId="0D4120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查询时间为本项目发布公告日期之后。</w:t>
      </w:r>
    </w:p>
    <w:p w14:paraId="1702F3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3.3投标供应商应具有独立企业法人资格，具</w:t>
      </w:r>
      <w:r>
        <w:rPr>
          <w:rFonts w:ascii="宋体" w:hAnsi="宋体" w:eastAsia="宋体" w:cs="宋体"/>
          <w:color w:val="auto"/>
          <w:spacing w:val="-1"/>
          <w:sz w:val="24"/>
          <w:szCs w:val="24"/>
        </w:rPr>
        <w:t>有有效的营业执照、组织机构代码证</w:t>
      </w:r>
      <w:r>
        <w:rPr>
          <w:rFonts w:ascii="宋体" w:hAnsi="宋体" w:eastAsia="宋体" w:cs="宋体"/>
          <w:color w:val="auto"/>
          <w:spacing w:val="-4"/>
          <w:sz w:val="24"/>
          <w:szCs w:val="24"/>
        </w:rPr>
        <w:t>、税务登记证（三证合一证件）。</w:t>
      </w:r>
    </w:p>
    <w:p w14:paraId="5B5474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法定代表人本人参加谈判的，提供身份证</w:t>
      </w:r>
      <w:r>
        <w:rPr>
          <w:rFonts w:ascii="宋体" w:hAnsi="宋体" w:eastAsia="宋体" w:cs="宋体"/>
          <w:color w:val="auto"/>
          <w:spacing w:val="-1"/>
          <w:sz w:val="24"/>
          <w:szCs w:val="24"/>
        </w:rPr>
        <w:t>明复印件；法定代表人委托代理人参</w:t>
      </w:r>
      <w:r>
        <w:rPr>
          <w:rFonts w:ascii="宋体" w:hAnsi="宋体" w:eastAsia="宋体" w:cs="宋体"/>
          <w:color w:val="auto"/>
          <w:sz w:val="24"/>
          <w:szCs w:val="24"/>
        </w:rPr>
        <w:t>加谈判的，提供法人授权委托书原件和委托代理人的身份证</w:t>
      </w:r>
      <w:r>
        <w:rPr>
          <w:rFonts w:ascii="宋体" w:hAnsi="宋体" w:eastAsia="宋体" w:cs="宋体"/>
          <w:color w:val="auto"/>
          <w:spacing w:val="-1"/>
          <w:sz w:val="24"/>
          <w:szCs w:val="24"/>
        </w:rPr>
        <w:t>明复印件、与本单位签订</w:t>
      </w:r>
      <w:r>
        <w:rPr>
          <w:rFonts w:ascii="宋体" w:hAnsi="宋体" w:eastAsia="宋体" w:cs="宋体"/>
          <w:color w:val="auto"/>
          <w:spacing w:val="-5"/>
          <w:sz w:val="24"/>
          <w:szCs w:val="24"/>
        </w:rPr>
        <w:t>的劳动合同或社保缴纳证明；</w:t>
      </w:r>
    </w:p>
    <w:p w14:paraId="6F599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rPr>
      </w:pPr>
      <w:r>
        <w:rPr>
          <w:rFonts w:ascii="宋体" w:hAnsi="宋体" w:eastAsia="宋体" w:cs="宋体"/>
          <w:color w:val="auto"/>
          <w:spacing w:val="-4"/>
          <w:sz w:val="24"/>
          <w:szCs w:val="24"/>
        </w:rPr>
        <w:t>3.6本项目不接受联合体投标。</w:t>
      </w:r>
    </w:p>
    <w:p w14:paraId="279DC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三、获取招标文件</w:t>
      </w:r>
    </w:p>
    <w:p w14:paraId="3744EA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1.时间：2025年</w:t>
      </w:r>
      <w:r>
        <w:rPr>
          <w:rFonts w:hint="eastAsia" w:ascii="宋体" w:hAnsi="宋体" w:eastAsia="宋体" w:cs="宋体"/>
          <w:color w:val="auto"/>
          <w:spacing w:val="-1"/>
          <w:sz w:val="24"/>
          <w:szCs w:val="24"/>
          <w:lang w:val="en-US" w:eastAsia="zh-CN"/>
        </w:rPr>
        <w:t>8</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18</w:t>
      </w:r>
      <w:r>
        <w:rPr>
          <w:rFonts w:ascii="宋体" w:hAnsi="宋体" w:eastAsia="宋体" w:cs="宋体"/>
          <w:color w:val="auto"/>
          <w:spacing w:val="-1"/>
          <w:sz w:val="24"/>
          <w:szCs w:val="24"/>
        </w:rPr>
        <w:t>日至2</w:t>
      </w:r>
      <w:r>
        <w:rPr>
          <w:rFonts w:ascii="宋体" w:hAnsi="宋体" w:eastAsia="宋体" w:cs="宋体"/>
          <w:color w:val="auto"/>
          <w:spacing w:val="-2"/>
          <w:sz w:val="24"/>
          <w:szCs w:val="24"/>
        </w:rPr>
        <w:t>025年</w:t>
      </w:r>
      <w:r>
        <w:rPr>
          <w:rFonts w:hint="eastAsia" w:ascii="宋体" w:hAnsi="宋体" w:eastAsia="宋体" w:cs="宋体"/>
          <w:color w:val="auto"/>
          <w:spacing w:val="11"/>
          <w:sz w:val="24"/>
          <w:szCs w:val="24"/>
          <w:lang w:val="en-US" w:eastAsia="zh-CN"/>
        </w:rPr>
        <w:t>8</w:t>
      </w:r>
      <w:r>
        <w:rPr>
          <w:rFonts w:ascii="宋体" w:hAnsi="宋体" w:eastAsia="宋体" w:cs="宋体"/>
          <w:color w:val="auto"/>
          <w:spacing w:val="-2"/>
          <w:sz w:val="24"/>
          <w:szCs w:val="24"/>
        </w:rPr>
        <w:t>月</w:t>
      </w:r>
      <w:r>
        <w:rPr>
          <w:rFonts w:hint="eastAsia" w:ascii="宋体" w:hAnsi="宋体" w:eastAsia="宋体" w:cs="宋体"/>
          <w:color w:val="auto"/>
          <w:sz w:val="24"/>
          <w:szCs w:val="24"/>
          <w:lang w:val="en-US" w:eastAsia="zh-CN"/>
        </w:rPr>
        <w:t>20</w:t>
      </w:r>
      <w:r>
        <w:rPr>
          <w:rFonts w:ascii="宋体" w:hAnsi="宋体" w:eastAsia="宋体" w:cs="宋体"/>
          <w:color w:val="auto"/>
          <w:sz w:val="24"/>
          <w:szCs w:val="24"/>
        </w:rPr>
        <w:t>日，每天上午08:00至12:00</w:t>
      </w:r>
      <w:r>
        <w:rPr>
          <w:rFonts w:ascii="宋体" w:hAnsi="宋体" w:eastAsia="宋体" w:cs="宋体"/>
          <w:color w:val="auto"/>
          <w:spacing w:val="-1"/>
          <w:sz w:val="24"/>
          <w:szCs w:val="24"/>
        </w:rPr>
        <w:t>，下午14:30至18:00（北京时间，法定节假日除外。）</w:t>
      </w:r>
    </w:p>
    <w:p w14:paraId="1D89EF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2.地点：驻马店市公共资源交易中心电子交易平台。</w:t>
      </w:r>
    </w:p>
    <w:p w14:paraId="03BB13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3.方式：投标人凭CA密钥登录会员系统并按</w:t>
      </w:r>
      <w:r>
        <w:rPr>
          <w:rFonts w:ascii="宋体" w:hAnsi="宋体" w:eastAsia="宋体" w:cs="宋体"/>
          <w:color w:val="auto"/>
          <w:spacing w:val="-1"/>
          <w:sz w:val="24"/>
          <w:szCs w:val="24"/>
        </w:rPr>
        <w:t>网上提示下载招标文件及资料。未按</w:t>
      </w:r>
      <w:r>
        <w:rPr>
          <w:rFonts w:ascii="宋体" w:hAnsi="宋体" w:eastAsia="宋体" w:cs="宋体"/>
          <w:color w:val="auto"/>
          <w:sz w:val="24"/>
          <w:szCs w:val="24"/>
        </w:rPr>
        <w:t>规定在网上下载招标文件的，其投标将被拒绝。（详见交</w:t>
      </w:r>
      <w:r>
        <w:rPr>
          <w:rFonts w:ascii="宋体" w:hAnsi="宋体" w:eastAsia="宋体" w:cs="宋体"/>
          <w:color w:val="auto"/>
          <w:spacing w:val="-1"/>
          <w:sz w:val="24"/>
          <w:szCs w:val="24"/>
        </w:rPr>
        <w:t>易平台网站下载中心栏目里</w:t>
      </w:r>
      <w:r>
        <w:rPr>
          <w:rFonts w:ascii="宋体" w:hAnsi="宋体" w:eastAsia="宋体" w:cs="宋体"/>
          <w:color w:val="auto"/>
          <w:spacing w:val="-5"/>
          <w:sz w:val="24"/>
          <w:szCs w:val="24"/>
        </w:rPr>
        <w:t>投标人操作手册）。</w:t>
      </w:r>
    </w:p>
    <w:p w14:paraId="4818F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4.售价：0元</w:t>
      </w:r>
    </w:p>
    <w:p w14:paraId="05E05C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四、投标截止时间及地点</w:t>
      </w:r>
    </w:p>
    <w:p w14:paraId="394659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1.时间：</w:t>
      </w:r>
      <w:r>
        <w:rPr>
          <w:rFonts w:ascii="宋体" w:hAnsi="宋体" w:eastAsia="宋体" w:cs="宋体"/>
          <w:color w:val="auto"/>
          <w:spacing w:val="-2"/>
          <w:sz w:val="24"/>
          <w:szCs w:val="24"/>
          <w:u w:val="single" w:color="auto"/>
        </w:rPr>
        <w:t>2025年</w:t>
      </w:r>
      <w:r>
        <w:rPr>
          <w:rFonts w:hint="eastAsia" w:ascii="宋体" w:hAnsi="宋体" w:eastAsia="宋体" w:cs="宋体"/>
          <w:color w:val="auto"/>
          <w:spacing w:val="-2"/>
          <w:sz w:val="24"/>
          <w:szCs w:val="24"/>
          <w:u w:val="single" w:color="auto"/>
          <w:lang w:val="en-US" w:eastAsia="zh-CN"/>
        </w:rPr>
        <w:t>8</w:t>
      </w:r>
      <w:r>
        <w:rPr>
          <w:rFonts w:ascii="宋体" w:hAnsi="宋体" w:eastAsia="宋体" w:cs="宋体"/>
          <w:color w:val="auto"/>
          <w:spacing w:val="-2"/>
          <w:sz w:val="24"/>
          <w:szCs w:val="24"/>
          <w:u w:val="single" w:color="auto"/>
        </w:rPr>
        <w:t>月</w:t>
      </w:r>
      <w:r>
        <w:rPr>
          <w:rFonts w:hint="eastAsia" w:ascii="宋体" w:hAnsi="宋体" w:eastAsia="宋体" w:cs="宋体"/>
          <w:color w:val="auto"/>
          <w:spacing w:val="-2"/>
          <w:sz w:val="24"/>
          <w:szCs w:val="24"/>
          <w:u w:val="single" w:color="auto"/>
          <w:lang w:val="en-US" w:eastAsia="zh-CN"/>
        </w:rPr>
        <w:t>22</w:t>
      </w:r>
      <w:r>
        <w:rPr>
          <w:rFonts w:ascii="宋体" w:hAnsi="宋体" w:eastAsia="宋体" w:cs="宋体"/>
          <w:color w:val="auto"/>
          <w:spacing w:val="-2"/>
          <w:sz w:val="24"/>
          <w:szCs w:val="24"/>
          <w:u w:val="single" w:color="auto"/>
        </w:rPr>
        <w:t>日09时00分（北京时间）</w:t>
      </w:r>
    </w:p>
    <w:p w14:paraId="0E1ABE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rPr>
      </w:pPr>
      <w:r>
        <w:rPr>
          <w:rFonts w:ascii="宋体" w:hAnsi="宋体" w:eastAsia="宋体" w:cs="宋体"/>
          <w:color w:val="auto"/>
          <w:sz w:val="24"/>
          <w:szCs w:val="24"/>
        </w:rPr>
        <w:t>2.地点：加密电子投标文件（*.ZMDTF格式）应在</w:t>
      </w:r>
      <w:r>
        <w:rPr>
          <w:rFonts w:ascii="宋体" w:hAnsi="宋体" w:eastAsia="宋体" w:cs="宋体"/>
          <w:color w:val="auto"/>
          <w:spacing w:val="-1"/>
          <w:sz w:val="24"/>
          <w:szCs w:val="24"/>
        </w:rPr>
        <w:t>投标文件提交截止时间前通过驻</w:t>
      </w:r>
      <w:r>
        <w:rPr>
          <w:rFonts w:ascii="宋体" w:hAnsi="宋体" w:eastAsia="宋体" w:cs="宋体"/>
          <w:color w:val="auto"/>
          <w:sz w:val="24"/>
          <w:szCs w:val="24"/>
        </w:rPr>
        <w:t>马店市公共资源交易电子交易平台（</w:t>
      </w:r>
      <w:r>
        <w:rPr>
          <w:color w:val="auto"/>
        </w:rPr>
        <w:fldChar w:fldCharType="begin"/>
      </w:r>
      <w:r>
        <w:rPr>
          <w:color w:val="auto"/>
        </w:rPr>
        <w:instrText xml:space="preserve"> HYPERLINK "http://ggzy.zhumadian.gov.cn:8820/TPBidder" </w:instrText>
      </w:r>
      <w:r>
        <w:rPr>
          <w:color w:val="auto"/>
        </w:rPr>
        <w:fldChar w:fldCharType="separate"/>
      </w:r>
      <w:r>
        <w:rPr>
          <w:rFonts w:ascii="宋体" w:hAnsi="宋体" w:eastAsia="宋体" w:cs="宋体"/>
          <w:color w:val="auto"/>
          <w:sz w:val="24"/>
          <w:szCs w:val="24"/>
        </w:rPr>
        <w:t>http://ggzy.zhumadian.go</w:t>
      </w:r>
      <w:r>
        <w:rPr>
          <w:rFonts w:ascii="宋体" w:hAnsi="宋体" w:eastAsia="宋体" w:cs="宋体"/>
          <w:color w:val="auto"/>
          <w:spacing w:val="-1"/>
          <w:sz w:val="24"/>
          <w:szCs w:val="24"/>
        </w:rPr>
        <w:t>v.cn:8820/TPBidder</w:t>
      </w:r>
      <w:r>
        <w:rPr>
          <w:rFonts w:ascii="宋体" w:hAnsi="宋体" w:eastAsia="宋体" w:cs="宋体"/>
          <w:color w:val="auto"/>
          <w:spacing w:val="-1"/>
          <w:sz w:val="24"/>
          <w:szCs w:val="24"/>
        </w:rPr>
        <w:fldChar w:fldCharType="end"/>
      </w:r>
      <w:r>
        <w:rPr>
          <w:rFonts w:ascii="宋体" w:hAnsi="宋体" w:eastAsia="宋体" w:cs="宋体"/>
          <w:color w:val="auto"/>
          <w:spacing w:val="11"/>
          <w:sz w:val="24"/>
          <w:szCs w:val="24"/>
        </w:rPr>
        <w:t>)上传完成。</w:t>
      </w:r>
    </w:p>
    <w:p w14:paraId="35AA0E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五、开标时间及地点</w:t>
      </w:r>
    </w:p>
    <w:p w14:paraId="4F4E84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1.时间：</w:t>
      </w:r>
      <w:r>
        <w:rPr>
          <w:rFonts w:ascii="宋体" w:hAnsi="宋体" w:eastAsia="宋体" w:cs="宋体"/>
          <w:color w:val="auto"/>
          <w:spacing w:val="-2"/>
          <w:sz w:val="24"/>
          <w:szCs w:val="24"/>
          <w:u w:val="single" w:color="auto"/>
        </w:rPr>
        <w:t>2025年</w:t>
      </w:r>
      <w:r>
        <w:rPr>
          <w:rFonts w:hint="eastAsia" w:ascii="宋体" w:hAnsi="宋体" w:eastAsia="宋体" w:cs="宋体"/>
          <w:color w:val="auto"/>
          <w:spacing w:val="-2"/>
          <w:sz w:val="24"/>
          <w:szCs w:val="24"/>
          <w:u w:val="single" w:color="auto"/>
          <w:lang w:val="en-US" w:eastAsia="zh-CN"/>
        </w:rPr>
        <w:t>8</w:t>
      </w:r>
      <w:r>
        <w:rPr>
          <w:rFonts w:ascii="宋体" w:hAnsi="宋体" w:eastAsia="宋体" w:cs="宋体"/>
          <w:color w:val="auto"/>
          <w:spacing w:val="-2"/>
          <w:sz w:val="24"/>
          <w:szCs w:val="24"/>
          <w:u w:val="single" w:color="auto"/>
        </w:rPr>
        <w:t>月</w:t>
      </w:r>
      <w:r>
        <w:rPr>
          <w:rFonts w:hint="eastAsia" w:ascii="宋体" w:hAnsi="宋体" w:eastAsia="宋体" w:cs="宋体"/>
          <w:color w:val="auto"/>
          <w:spacing w:val="-2"/>
          <w:sz w:val="24"/>
          <w:szCs w:val="24"/>
          <w:u w:val="single" w:color="auto"/>
          <w:lang w:val="en-US" w:eastAsia="zh-CN"/>
        </w:rPr>
        <w:t>22</w:t>
      </w:r>
      <w:r>
        <w:rPr>
          <w:rFonts w:ascii="宋体" w:hAnsi="宋体" w:eastAsia="宋体" w:cs="宋体"/>
          <w:color w:val="auto"/>
          <w:spacing w:val="-2"/>
          <w:sz w:val="24"/>
          <w:szCs w:val="24"/>
          <w:u w:val="single" w:color="auto"/>
        </w:rPr>
        <w:t>日09时00分（北京时间）</w:t>
      </w:r>
    </w:p>
    <w:p w14:paraId="521DA1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2.地点：遂平县公共资源交易中心开标室</w:t>
      </w:r>
    </w:p>
    <w:p w14:paraId="69388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六、发布公告的媒介及招标公告期限</w:t>
      </w:r>
    </w:p>
    <w:p w14:paraId="57A7F0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本次招标公告在《河南省政府采购网》《驻马店市公共资源交易中心》上发布，</w:t>
      </w:r>
      <w:r>
        <w:rPr>
          <w:rFonts w:ascii="宋体" w:hAnsi="宋体" w:eastAsia="宋体" w:cs="宋体"/>
          <w:color w:val="auto"/>
          <w:spacing w:val="-4"/>
          <w:sz w:val="24"/>
          <w:szCs w:val="24"/>
        </w:rPr>
        <w:t>招标公告期限为三个工作日。</w:t>
      </w:r>
    </w:p>
    <w:p w14:paraId="09EBA9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七、其他补充事宜</w:t>
      </w:r>
    </w:p>
    <w:p w14:paraId="4D4D42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1、本项目采用不见面开标、投标供应商需要递交电子投标文件，无需递交纸质文</w:t>
      </w:r>
      <w:r>
        <w:rPr>
          <w:rFonts w:ascii="宋体" w:hAnsi="宋体" w:eastAsia="宋体" w:cs="宋体"/>
          <w:color w:val="auto"/>
          <w:spacing w:val="-11"/>
          <w:sz w:val="24"/>
          <w:szCs w:val="24"/>
        </w:rPr>
        <w:t>件。</w:t>
      </w:r>
    </w:p>
    <w:p w14:paraId="02599E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2、投标文件的上传/递交截止时间（投标截止时间，下</w:t>
      </w:r>
      <w:r>
        <w:rPr>
          <w:rFonts w:ascii="宋体" w:hAnsi="宋体" w:eastAsia="宋体" w:cs="宋体"/>
          <w:color w:val="auto"/>
          <w:spacing w:val="-2"/>
          <w:sz w:val="24"/>
          <w:szCs w:val="24"/>
        </w:rPr>
        <w:t>同）和地点见招标文件。</w:t>
      </w:r>
    </w:p>
    <w:p w14:paraId="552977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加密电子投标文件（*.ZMDTF格式）应在投标截止时间前通过</w:t>
      </w:r>
      <w:r>
        <w:rPr>
          <w:rFonts w:ascii="宋体" w:hAnsi="宋体" w:eastAsia="宋体" w:cs="宋体"/>
          <w:color w:val="auto"/>
          <w:spacing w:val="-1"/>
          <w:sz w:val="24"/>
          <w:szCs w:val="24"/>
        </w:rPr>
        <w:t>驻马店市公共资源交易电子交易平台（</w:t>
      </w:r>
      <w:r>
        <w:rPr>
          <w:color w:val="auto"/>
        </w:rPr>
        <w:fldChar w:fldCharType="begin"/>
      </w:r>
      <w:r>
        <w:rPr>
          <w:color w:val="auto"/>
        </w:rPr>
        <w:instrText xml:space="preserve"> HYPERLINK "http://ggzy.zhumadian.gov.cn:8820/TPBidder" </w:instrText>
      </w:r>
      <w:r>
        <w:rPr>
          <w:color w:val="auto"/>
        </w:rPr>
        <w:fldChar w:fldCharType="separate"/>
      </w:r>
      <w:r>
        <w:rPr>
          <w:rFonts w:ascii="宋体" w:hAnsi="宋体" w:eastAsia="宋体" w:cs="宋体"/>
          <w:color w:val="auto"/>
          <w:spacing w:val="-1"/>
          <w:sz w:val="24"/>
          <w:szCs w:val="24"/>
        </w:rPr>
        <w:t>http://ggzy.zhumadian.gov.cn:8820/TPBidder</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）上传完成。</w:t>
      </w:r>
    </w:p>
    <w:p w14:paraId="3C16EB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3、本项目采用远程不见面交易的模式。开标</w:t>
      </w:r>
      <w:r>
        <w:rPr>
          <w:rFonts w:ascii="宋体" w:hAnsi="宋体" w:eastAsia="宋体" w:cs="宋体"/>
          <w:color w:val="auto"/>
          <w:spacing w:val="-1"/>
          <w:sz w:val="24"/>
          <w:szCs w:val="24"/>
        </w:rPr>
        <w:t>当日，投标供应商无需到达开标现场</w:t>
      </w:r>
      <w:r>
        <w:rPr>
          <w:rFonts w:ascii="宋体" w:hAnsi="宋体" w:eastAsia="宋体" w:cs="宋体"/>
          <w:color w:val="auto"/>
          <w:spacing w:val="3"/>
          <w:sz w:val="24"/>
          <w:szCs w:val="24"/>
        </w:rPr>
        <w:t>,仅需在任意地点通过驻马店不见面开标系统（</w:t>
      </w:r>
      <w:r>
        <w:rPr>
          <w:color w:val="auto"/>
        </w:rPr>
        <w:fldChar w:fldCharType="begin"/>
      </w:r>
      <w:r>
        <w:rPr>
          <w:color w:val="auto"/>
        </w:rPr>
        <w:instrText xml:space="preserve"> HYPERLINK "http://ggzy.zhumadian.gov.cn:8820/TPBidder" </w:instrText>
      </w:r>
      <w:r>
        <w:rPr>
          <w:color w:val="auto"/>
        </w:rPr>
        <w:fldChar w:fldCharType="separate"/>
      </w:r>
      <w:r>
        <w:rPr>
          <w:rFonts w:ascii="宋体" w:hAnsi="宋体" w:eastAsia="宋体" w:cs="宋体"/>
          <w:color w:val="auto"/>
          <w:sz w:val="24"/>
          <w:szCs w:val="24"/>
        </w:rPr>
        <w:t>http</w:t>
      </w:r>
      <w:r>
        <w:rPr>
          <w:rFonts w:ascii="宋体" w:hAnsi="宋体" w:eastAsia="宋体" w:cs="宋体"/>
          <w:color w:val="auto"/>
          <w:spacing w:val="3"/>
          <w:sz w:val="24"/>
          <w:szCs w:val="24"/>
        </w:rPr>
        <w:t>://</w:t>
      </w:r>
      <w:r>
        <w:rPr>
          <w:rFonts w:ascii="宋体" w:hAnsi="宋体" w:eastAsia="宋体" w:cs="宋体"/>
          <w:color w:val="auto"/>
          <w:sz w:val="24"/>
          <w:szCs w:val="24"/>
        </w:rPr>
        <w:t>ggzy</w:t>
      </w:r>
      <w:r>
        <w:rPr>
          <w:rFonts w:ascii="宋体" w:hAnsi="宋体" w:eastAsia="宋体" w:cs="宋体"/>
          <w:color w:val="auto"/>
          <w:spacing w:val="3"/>
          <w:sz w:val="24"/>
          <w:szCs w:val="24"/>
        </w:rPr>
        <w:t>.</w:t>
      </w:r>
      <w:r>
        <w:rPr>
          <w:rFonts w:ascii="宋体" w:hAnsi="宋体" w:eastAsia="宋体" w:cs="宋体"/>
          <w:color w:val="auto"/>
          <w:sz w:val="24"/>
          <w:szCs w:val="24"/>
        </w:rPr>
        <w:t>zhumadian</w:t>
      </w:r>
      <w:r>
        <w:rPr>
          <w:rFonts w:ascii="宋体" w:hAnsi="宋体" w:eastAsia="宋体" w:cs="宋体"/>
          <w:color w:val="auto"/>
          <w:spacing w:val="3"/>
          <w:sz w:val="24"/>
          <w:szCs w:val="24"/>
        </w:rPr>
        <w:t>.</w:t>
      </w:r>
      <w:r>
        <w:rPr>
          <w:rFonts w:ascii="宋体" w:hAnsi="宋体" w:eastAsia="宋体" w:cs="宋体"/>
          <w:color w:val="auto"/>
          <w:sz w:val="24"/>
          <w:szCs w:val="24"/>
        </w:rPr>
        <w:t>gov</w:t>
      </w:r>
      <w:r>
        <w:rPr>
          <w:rFonts w:ascii="宋体" w:hAnsi="宋体" w:eastAsia="宋体" w:cs="宋体"/>
          <w:color w:val="auto"/>
          <w:spacing w:val="3"/>
          <w:sz w:val="24"/>
          <w:szCs w:val="24"/>
        </w:rPr>
        <w:t>.</w:t>
      </w:r>
      <w:r>
        <w:rPr>
          <w:rFonts w:ascii="宋体" w:hAnsi="宋体" w:eastAsia="宋体" w:cs="宋体"/>
          <w:color w:val="auto"/>
          <w:sz w:val="24"/>
          <w:szCs w:val="24"/>
        </w:rPr>
        <w:t>cn</w:t>
      </w:r>
      <w:r>
        <w:rPr>
          <w:rFonts w:ascii="宋体" w:hAnsi="宋体" w:eastAsia="宋体" w:cs="宋体"/>
          <w:color w:val="auto"/>
          <w:spacing w:val="3"/>
          <w:sz w:val="24"/>
          <w:szCs w:val="24"/>
        </w:rPr>
        <w:t>:9190</w:t>
      </w:r>
      <w:r>
        <w:rPr>
          <w:rFonts w:ascii="宋体" w:hAnsi="宋体" w:eastAsia="宋体" w:cs="宋体"/>
          <w:color w:val="auto"/>
          <w:spacing w:val="3"/>
          <w:sz w:val="24"/>
          <w:szCs w:val="24"/>
        </w:rPr>
        <w:fldChar w:fldCharType="end"/>
      </w:r>
      <w:r>
        <w:rPr>
          <w:color w:val="auto"/>
        </w:rPr>
        <w:fldChar w:fldCharType="begin"/>
      </w:r>
      <w:r>
        <w:rPr>
          <w:color w:val="auto"/>
        </w:rPr>
        <w:instrText xml:space="preserve"> HYPERLINK "http://ggzy.zhumadian.gov.cn:8820/TPBidder" </w:instrText>
      </w:r>
      <w:r>
        <w:rPr>
          <w:color w:val="auto"/>
        </w:rPr>
        <w:fldChar w:fldCharType="separate"/>
      </w:r>
      <w:r>
        <w:rPr>
          <w:rFonts w:ascii="宋体" w:hAnsi="宋体" w:eastAsia="宋体" w:cs="宋体"/>
          <w:color w:val="auto"/>
          <w:spacing w:val="-1"/>
          <w:sz w:val="24"/>
          <w:szCs w:val="24"/>
        </w:rPr>
        <w:t>/BidOpening/bidopeninghallaction/hall/login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）及相应的配套硬件设备（摄像头、</w:t>
      </w:r>
      <w:r>
        <w:rPr>
          <w:rFonts w:ascii="宋体" w:hAnsi="宋体" w:eastAsia="宋体" w:cs="宋体"/>
          <w:color w:val="auto"/>
          <w:sz w:val="24"/>
          <w:szCs w:val="24"/>
        </w:rPr>
        <w:t>话筒、麦克风等</w:t>
      </w:r>
      <w:r>
        <w:rPr>
          <w:rFonts w:ascii="宋体" w:hAnsi="宋体" w:eastAsia="宋体" w:cs="宋体"/>
          <w:color w:val="auto"/>
          <w:spacing w:val="-1"/>
          <w:sz w:val="24"/>
          <w:szCs w:val="24"/>
        </w:rPr>
        <w:t>），</w:t>
      </w:r>
      <w:r>
        <w:rPr>
          <w:rFonts w:ascii="宋体" w:hAnsi="宋体" w:eastAsia="宋体" w:cs="宋体"/>
          <w:color w:val="auto"/>
          <w:sz w:val="24"/>
          <w:szCs w:val="24"/>
        </w:rPr>
        <w:t>完成远程解密、文件传输、提疑澄清、开标</w:t>
      </w:r>
      <w:r>
        <w:rPr>
          <w:rFonts w:ascii="宋体" w:hAnsi="宋体" w:eastAsia="宋体" w:cs="宋体"/>
          <w:color w:val="auto"/>
          <w:spacing w:val="-1"/>
          <w:sz w:val="24"/>
          <w:szCs w:val="24"/>
        </w:rPr>
        <w:t>唱标、结果公布等交</w:t>
      </w:r>
      <w:r>
        <w:rPr>
          <w:rFonts w:ascii="宋体" w:hAnsi="宋体" w:eastAsia="宋体" w:cs="宋体"/>
          <w:color w:val="auto"/>
          <w:sz w:val="24"/>
          <w:szCs w:val="24"/>
        </w:rPr>
        <w:t>互环节。投标供应商必须使用能正确解密投标文件的“CA锁”</w:t>
      </w:r>
      <w:r>
        <w:rPr>
          <w:rFonts w:ascii="宋体" w:hAnsi="宋体" w:eastAsia="宋体" w:cs="宋体"/>
          <w:color w:val="auto"/>
          <w:spacing w:val="-1"/>
          <w:sz w:val="24"/>
          <w:szCs w:val="24"/>
        </w:rPr>
        <w:t>在规定的时间内完成远</w:t>
      </w:r>
      <w:r>
        <w:rPr>
          <w:rFonts w:ascii="宋体" w:hAnsi="宋体" w:eastAsia="宋体" w:cs="宋体"/>
          <w:color w:val="auto"/>
          <w:sz w:val="24"/>
          <w:szCs w:val="24"/>
        </w:rPr>
        <w:t>程解密，因投标供应商原因未能解密、解密失败或解密超时，</w:t>
      </w:r>
      <w:r>
        <w:rPr>
          <w:rFonts w:ascii="宋体" w:hAnsi="宋体" w:eastAsia="宋体" w:cs="宋体"/>
          <w:color w:val="auto"/>
          <w:spacing w:val="-1"/>
          <w:sz w:val="24"/>
          <w:szCs w:val="24"/>
        </w:rPr>
        <w:t>视为投标供应商撤销其</w:t>
      </w:r>
      <w:r>
        <w:rPr>
          <w:rFonts w:ascii="宋体" w:hAnsi="宋体" w:eastAsia="宋体" w:cs="宋体"/>
          <w:color w:val="auto"/>
          <w:sz w:val="24"/>
          <w:szCs w:val="24"/>
        </w:rPr>
        <w:t>投标文件，系统内投标文件将被退回；因采购人原因或网上招</w:t>
      </w:r>
      <w:r>
        <w:rPr>
          <w:rFonts w:ascii="宋体" w:hAnsi="宋体" w:eastAsia="宋体" w:cs="宋体"/>
          <w:color w:val="auto"/>
          <w:spacing w:val="-1"/>
          <w:sz w:val="24"/>
          <w:szCs w:val="24"/>
        </w:rPr>
        <w:t>投标平台发生故障，导</w:t>
      </w:r>
      <w:r>
        <w:rPr>
          <w:rFonts w:ascii="宋体" w:hAnsi="宋体" w:eastAsia="宋体" w:cs="宋体"/>
          <w:color w:val="auto"/>
          <w:sz w:val="24"/>
          <w:szCs w:val="24"/>
        </w:rPr>
        <w:t>致无法按时完成投标文件解密或开、评标工作无法进行的，可</w:t>
      </w:r>
      <w:r>
        <w:rPr>
          <w:rFonts w:ascii="宋体" w:hAnsi="宋体" w:eastAsia="宋体" w:cs="宋体"/>
          <w:color w:val="auto"/>
          <w:spacing w:val="-1"/>
          <w:sz w:val="24"/>
          <w:szCs w:val="24"/>
        </w:rPr>
        <w:t>根据实际情况相应延迟解密时间或调整开、评标时间（友情提示：若投标供应商已领取副锁（含多把副锁）</w:t>
      </w:r>
    </w:p>
    <w:p w14:paraId="7BEA52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请注意正副锁的使用差别）。</w:t>
      </w:r>
    </w:p>
    <w:p w14:paraId="3AF05E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color w:val="auto"/>
          <w:sz w:val="24"/>
          <w:szCs w:val="24"/>
        </w:rPr>
      </w:pPr>
      <w:r>
        <w:rPr>
          <w:rFonts w:ascii="宋体" w:hAnsi="宋体" w:eastAsia="宋体" w:cs="宋体"/>
          <w:color w:val="auto"/>
          <w:sz w:val="24"/>
          <w:szCs w:val="24"/>
        </w:rPr>
        <w:t>4、远程开标前，投标供应商务必在驻马店市公共资源交易电子交</w:t>
      </w:r>
      <w:r>
        <w:rPr>
          <w:rFonts w:ascii="宋体" w:hAnsi="宋体" w:eastAsia="宋体" w:cs="宋体"/>
          <w:color w:val="auto"/>
          <w:spacing w:val="-1"/>
          <w:sz w:val="24"/>
          <w:szCs w:val="24"/>
        </w:rPr>
        <w:t>易平台（</w:t>
      </w:r>
      <w:r>
        <w:rPr>
          <w:color w:val="auto"/>
        </w:rPr>
        <w:fldChar w:fldCharType="begin"/>
      </w:r>
      <w:r>
        <w:rPr>
          <w:color w:val="auto"/>
        </w:rPr>
        <w:instrText xml:space="preserve"> HYPERLINK "http://ggzy.zhumadian.gov.cn:8820/TPBidder" </w:instrText>
      </w:r>
      <w:r>
        <w:rPr>
          <w:color w:val="auto"/>
        </w:rPr>
        <w:fldChar w:fldCharType="separate"/>
      </w:r>
      <w:r>
        <w:rPr>
          <w:rFonts w:ascii="宋体" w:hAnsi="宋体" w:eastAsia="宋体" w:cs="宋体"/>
          <w:color w:val="auto"/>
          <w:spacing w:val="-1"/>
          <w:sz w:val="24"/>
          <w:szCs w:val="24"/>
        </w:rPr>
        <w:t>http:/</w:t>
      </w:r>
      <w:r>
        <w:rPr>
          <w:rFonts w:ascii="宋体" w:hAnsi="宋体" w:eastAsia="宋体" w:cs="宋体"/>
          <w:color w:val="auto"/>
          <w:spacing w:val="-1"/>
          <w:sz w:val="24"/>
          <w:szCs w:val="24"/>
        </w:rPr>
        <w:fldChar w:fldCharType="end"/>
      </w:r>
      <w:r>
        <w:rPr>
          <w:color w:val="auto"/>
        </w:rPr>
        <w:fldChar w:fldCharType="begin"/>
      </w:r>
      <w:r>
        <w:rPr>
          <w:color w:val="auto"/>
        </w:rPr>
        <w:instrText xml:space="preserve"> HYPERLINK "http://ggzy.zhumadian.gov.cn:8820/TPBidder" </w:instrText>
      </w:r>
      <w:r>
        <w:rPr>
          <w:color w:val="auto"/>
        </w:rPr>
        <w:fldChar w:fldCharType="separate"/>
      </w:r>
      <w:r>
        <w:rPr>
          <w:rFonts w:ascii="宋体" w:hAnsi="宋体" w:eastAsia="宋体" w:cs="宋体"/>
          <w:color w:val="auto"/>
          <w:sz w:val="24"/>
          <w:szCs w:val="24"/>
        </w:rPr>
        <w:t>/ggzy.zhumadian.gov.cn:8820/T</w:t>
      </w:r>
      <w:r>
        <w:rPr>
          <w:rFonts w:ascii="宋体" w:hAnsi="宋体" w:eastAsia="宋体" w:cs="宋体"/>
          <w:color w:val="auto"/>
          <w:spacing w:val="-1"/>
          <w:sz w:val="24"/>
          <w:szCs w:val="24"/>
        </w:rPr>
        <w:t>PBidder</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）投标文件上传模块中使用“模拟解密”功</w:t>
      </w:r>
      <w:r>
        <w:rPr>
          <w:rFonts w:ascii="宋体" w:hAnsi="宋体" w:eastAsia="宋体" w:cs="宋体"/>
          <w:color w:val="auto"/>
          <w:spacing w:val="-3"/>
          <w:sz w:val="24"/>
          <w:szCs w:val="24"/>
        </w:rPr>
        <w:t>能，验证本机远程自助解密环境。</w:t>
      </w:r>
    </w:p>
    <w:p w14:paraId="450ED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5、逾期上传/送达的或者未上传/未送达指定地点的投</w:t>
      </w:r>
      <w:r>
        <w:rPr>
          <w:rFonts w:ascii="宋体" w:hAnsi="宋体" w:eastAsia="宋体" w:cs="宋体"/>
          <w:color w:val="auto"/>
          <w:spacing w:val="-2"/>
          <w:sz w:val="24"/>
          <w:szCs w:val="24"/>
        </w:rPr>
        <w:t>标文件，采购人不予受理。</w:t>
      </w:r>
    </w:p>
    <w:p w14:paraId="0013AE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八、凡对本次招标提出询问，请按照以下方式联系</w:t>
      </w:r>
    </w:p>
    <w:p w14:paraId="3CB6E6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rPr>
      </w:pPr>
      <w:r>
        <w:rPr>
          <w:rFonts w:ascii="宋体" w:hAnsi="宋体" w:eastAsia="宋体" w:cs="宋体"/>
          <w:color w:val="auto"/>
          <w:spacing w:val="-4"/>
          <w:sz w:val="24"/>
          <w:szCs w:val="24"/>
        </w:rPr>
        <w:t>1.采购人信息</w:t>
      </w:r>
    </w:p>
    <w:p w14:paraId="635B1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名称：</w:t>
      </w:r>
      <w:r>
        <w:rPr>
          <w:rFonts w:hint="eastAsia" w:ascii="宋体" w:hAnsi="宋体" w:eastAsia="宋体" w:cs="宋体"/>
          <w:color w:val="auto"/>
          <w:spacing w:val="-2"/>
          <w:sz w:val="24"/>
          <w:szCs w:val="24"/>
          <w:lang w:eastAsia="zh-CN"/>
        </w:rPr>
        <w:t>遂平县花庄镇人民政府</w:t>
      </w:r>
    </w:p>
    <w:p w14:paraId="614FDD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地址：</w:t>
      </w:r>
      <w:r>
        <w:rPr>
          <w:rFonts w:hint="eastAsia" w:ascii="宋体" w:hAnsi="宋体" w:eastAsia="宋体" w:cs="宋体"/>
          <w:color w:val="auto"/>
          <w:spacing w:val="-1"/>
          <w:sz w:val="24"/>
          <w:szCs w:val="24"/>
          <w:lang w:eastAsia="zh-CN"/>
        </w:rPr>
        <w:t>遂平县花庄镇</w:t>
      </w:r>
    </w:p>
    <w:p w14:paraId="4695FB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宋体" w:hAnsi="宋体" w:eastAsia="宋体" w:cs="宋体"/>
          <w:color w:val="auto"/>
          <w:sz w:val="24"/>
          <w:szCs w:val="24"/>
          <w:lang w:val="en-US"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lang w:val="en-US" w:eastAsia="zh-CN"/>
        </w:rPr>
        <w:t>宋政立</w:t>
      </w:r>
    </w:p>
    <w:p w14:paraId="21D906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宋体" w:hAnsi="宋体" w:eastAsia="宋体" w:cs="宋体"/>
          <w:color w:val="auto"/>
          <w:sz w:val="24"/>
          <w:szCs w:val="24"/>
          <w:lang w:val="en-US" w:eastAsia="zh-CN"/>
        </w:rPr>
      </w:pPr>
      <w:r>
        <w:rPr>
          <w:rFonts w:ascii="宋体" w:hAnsi="宋体" w:eastAsia="宋体" w:cs="宋体"/>
          <w:color w:val="auto"/>
          <w:spacing w:val="-1"/>
          <w:sz w:val="24"/>
          <w:szCs w:val="24"/>
        </w:rPr>
        <w:t>联系方式：</w:t>
      </w:r>
      <w:r>
        <w:rPr>
          <w:rFonts w:hint="eastAsia" w:ascii="宋体" w:hAnsi="宋体" w:eastAsia="宋体" w:cs="宋体"/>
          <w:color w:val="auto"/>
          <w:spacing w:val="-1"/>
          <w:sz w:val="24"/>
          <w:szCs w:val="24"/>
          <w:lang w:val="en-US" w:eastAsia="zh-CN"/>
        </w:rPr>
        <w:t>17719191822</w:t>
      </w:r>
    </w:p>
    <w:p w14:paraId="31C8BA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2.采购代理机构信息</w:t>
      </w:r>
    </w:p>
    <w:p w14:paraId="473BDB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名称：</w:t>
      </w:r>
      <w:r>
        <w:rPr>
          <w:rFonts w:hint="eastAsia" w:ascii="宋体" w:hAnsi="宋体" w:eastAsia="宋体" w:cs="宋体"/>
          <w:color w:val="auto"/>
          <w:spacing w:val="-1"/>
          <w:sz w:val="24"/>
          <w:szCs w:val="24"/>
          <w:lang w:eastAsia="zh-CN"/>
        </w:rPr>
        <w:t>河南联仁工程管理有限公司</w:t>
      </w:r>
    </w:p>
    <w:p w14:paraId="51222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宋体" w:hAnsi="宋体" w:eastAsia="宋体" w:cs="宋体"/>
          <w:color w:val="auto"/>
          <w:sz w:val="24"/>
          <w:szCs w:val="24"/>
          <w:lang w:val="en-US" w:eastAsia="zh-CN"/>
        </w:rPr>
      </w:pPr>
      <w:r>
        <w:rPr>
          <w:rFonts w:ascii="宋体" w:hAnsi="宋体" w:eastAsia="宋体" w:cs="宋体"/>
          <w:color w:val="auto"/>
          <w:spacing w:val="-1"/>
          <w:sz w:val="24"/>
          <w:szCs w:val="24"/>
        </w:rPr>
        <w:t>地址：</w:t>
      </w:r>
      <w:r>
        <w:rPr>
          <w:rFonts w:hint="eastAsia" w:ascii="宋体" w:hAnsi="宋体" w:eastAsia="宋体" w:cs="宋体"/>
          <w:color w:val="auto"/>
          <w:spacing w:val="-1"/>
          <w:sz w:val="24"/>
          <w:szCs w:val="24"/>
          <w:lang w:val="en-US" w:eastAsia="zh-CN"/>
        </w:rPr>
        <w:t>郑州市建业五栋大楼B座1107</w:t>
      </w:r>
    </w:p>
    <w:p w14:paraId="3B40B8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lang w:val="en-US" w:eastAsia="zh-CN"/>
        </w:rPr>
        <w:t>李小兵</w:t>
      </w:r>
    </w:p>
    <w:p w14:paraId="2C44EA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宋体" w:hAnsi="宋体" w:eastAsia="宋体" w:cs="宋体"/>
          <w:color w:val="auto"/>
          <w:sz w:val="24"/>
          <w:szCs w:val="24"/>
          <w:lang w:val="en-US"/>
        </w:rPr>
      </w:pPr>
      <w:r>
        <w:rPr>
          <w:rFonts w:ascii="宋体" w:hAnsi="宋体" w:eastAsia="宋体" w:cs="宋体"/>
          <w:color w:val="auto"/>
          <w:spacing w:val="-1"/>
          <w:sz w:val="24"/>
          <w:szCs w:val="24"/>
        </w:rPr>
        <w:t>联系电话：</w:t>
      </w:r>
      <w:r>
        <w:rPr>
          <w:rFonts w:hint="eastAsia" w:ascii="宋体" w:hAnsi="宋体" w:eastAsia="宋体" w:cs="宋体"/>
          <w:color w:val="auto"/>
          <w:spacing w:val="-1"/>
          <w:sz w:val="24"/>
          <w:szCs w:val="24"/>
          <w:lang w:val="en-US" w:eastAsia="zh-CN"/>
        </w:rPr>
        <w:t>18736337862</w:t>
      </w:r>
    </w:p>
    <w:p w14:paraId="51C26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3.项目联系方式</w:t>
      </w:r>
    </w:p>
    <w:p w14:paraId="41E676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目联系人：</w:t>
      </w:r>
      <w:r>
        <w:rPr>
          <w:rFonts w:hint="eastAsia" w:ascii="宋体" w:hAnsi="宋体" w:eastAsia="宋体" w:cs="宋体"/>
          <w:color w:val="auto"/>
          <w:spacing w:val="-7"/>
          <w:sz w:val="24"/>
          <w:szCs w:val="24"/>
          <w:lang w:val="en-US" w:eastAsia="zh-CN"/>
        </w:rPr>
        <w:t>李小兵</w:t>
      </w:r>
    </w:p>
    <w:p w14:paraId="3DD766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联系方式：</w:t>
      </w:r>
      <w:r>
        <w:rPr>
          <w:rFonts w:hint="eastAsia" w:ascii="宋体" w:hAnsi="宋体" w:eastAsia="宋体" w:cs="宋体"/>
          <w:color w:val="auto"/>
          <w:spacing w:val="-1"/>
          <w:sz w:val="24"/>
          <w:szCs w:val="24"/>
          <w:lang w:val="en-US" w:eastAsia="zh-CN"/>
        </w:rPr>
        <w:t>18736337862</w:t>
      </w:r>
    </w:p>
    <w:p w14:paraId="169184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199678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textAlignment w:val="baseline"/>
        <w:rPr>
          <w:rFonts w:ascii="宋体" w:hAnsi="宋体" w:eastAsia="宋体" w:cs="宋体"/>
          <w:color w:val="auto"/>
          <w:sz w:val="28"/>
          <w:szCs w:val="28"/>
        </w:rPr>
      </w:pPr>
      <w:r>
        <w:rPr>
          <w:rFonts w:ascii="宋体" w:hAnsi="宋体" w:eastAsia="宋体" w:cs="宋体"/>
          <w:b/>
          <w:bCs/>
          <w:color w:val="auto"/>
          <w:spacing w:val="-5"/>
          <w:sz w:val="28"/>
          <w:szCs w:val="28"/>
        </w:rPr>
        <w:t>特别提醒</w:t>
      </w:r>
    </w:p>
    <w:p w14:paraId="3EF4DA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color w:val="auto"/>
          <w:sz w:val="24"/>
          <w:szCs w:val="24"/>
        </w:rPr>
      </w:pPr>
      <w:r>
        <w:rPr>
          <w:rFonts w:ascii="宋体" w:hAnsi="宋体" w:eastAsia="宋体" w:cs="宋体"/>
          <w:color w:val="auto"/>
          <w:spacing w:val="-1"/>
          <w:sz w:val="21"/>
          <w:szCs w:val="21"/>
        </w:rPr>
        <w:t>因驻马店不见面交易系统具备视频直播、语音通话等，对网络带宽及硬件要求相对较高的功能，故投标人在参与使用不见面交易系统开标的项目时，需确认是</w:t>
      </w:r>
      <w:r>
        <w:rPr>
          <w:rFonts w:ascii="宋体" w:hAnsi="宋体" w:eastAsia="宋体" w:cs="宋体"/>
          <w:color w:val="auto"/>
          <w:spacing w:val="-2"/>
          <w:sz w:val="21"/>
          <w:szCs w:val="21"/>
        </w:rPr>
        <w:t>否满足如下要</w:t>
      </w:r>
      <w:r>
        <w:rPr>
          <w:rFonts w:ascii="宋体" w:hAnsi="宋体" w:eastAsia="宋体" w:cs="宋体"/>
          <w:color w:val="auto"/>
          <w:spacing w:val="-2"/>
          <w:sz w:val="24"/>
          <w:szCs w:val="24"/>
        </w:rPr>
        <w:t>求：</w:t>
      </w:r>
    </w:p>
    <w:p w14:paraId="2B1C40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textAlignment w:val="baseline"/>
        <w:rPr>
          <w:rFonts w:ascii="宋体" w:hAnsi="宋体" w:eastAsia="宋体" w:cs="宋体"/>
          <w:color w:val="auto"/>
          <w:sz w:val="21"/>
          <w:szCs w:val="21"/>
        </w:rPr>
      </w:pPr>
      <w:r>
        <w:rPr>
          <w:rFonts w:ascii="宋体" w:hAnsi="宋体" w:eastAsia="宋体" w:cs="宋体"/>
          <w:color w:val="auto"/>
          <w:spacing w:val="-9"/>
          <w:sz w:val="21"/>
          <w:szCs w:val="21"/>
        </w:rPr>
        <w:t>1、网络要求：</w:t>
      </w:r>
    </w:p>
    <w:p w14:paraId="0F62F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color w:val="auto"/>
          <w:sz w:val="21"/>
          <w:szCs w:val="21"/>
        </w:rPr>
      </w:pPr>
      <w:r>
        <w:rPr>
          <w:rFonts w:ascii="宋体" w:hAnsi="宋体" w:eastAsia="宋体" w:cs="宋体"/>
          <w:color w:val="auto"/>
          <w:spacing w:val="-6"/>
          <w:sz w:val="21"/>
          <w:szCs w:val="21"/>
        </w:rPr>
        <w:t>网络带宽4M以上。</w:t>
      </w:r>
    </w:p>
    <w:p w14:paraId="7DE1A6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color w:val="auto"/>
          <w:sz w:val="21"/>
          <w:szCs w:val="21"/>
        </w:rPr>
      </w:pPr>
      <w:r>
        <w:rPr>
          <w:rFonts w:ascii="宋体" w:hAnsi="宋体" w:eastAsia="宋体" w:cs="宋体"/>
          <w:color w:val="auto"/>
          <w:spacing w:val="-2"/>
          <w:sz w:val="21"/>
          <w:szCs w:val="21"/>
        </w:rPr>
        <w:t>2、硬件要求</w:t>
      </w:r>
    </w:p>
    <w:p w14:paraId="002ED0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color w:val="auto"/>
          <w:sz w:val="21"/>
          <w:szCs w:val="21"/>
        </w:rPr>
      </w:pPr>
      <w:r>
        <w:rPr>
          <w:rFonts w:ascii="宋体" w:hAnsi="宋体" w:eastAsia="宋体" w:cs="宋体"/>
          <w:color w:val="auto"/>
          <w:spacing w:val="-2"/>
          <w:sz w:val="21"/>
          <w:szCs w:val="21"/>
        </w:rPr>
        <w:t>电脑要求内存4G及以上，且需配套网络摄像头、麦克风、音箱等，并确保其均能正常运转。</w:t>
      </w:r>
      <w:r>
        <w:rPr>
          <w:rFonts w:ascii="宋体" w:hAnsi="宋体" w:eastAsia="宋体" w:cs="宋体"/>
          <w:color w:val="auto"/>
          <w:spacing w:val="-1"/>
          <w:sz w:val="21"/>
          <w:szCs w:val="21"/>
        </w:rPr>
        <w:t>操作系统要求Windows7及以上，IE浏览器IE11及</w:t>
      </w:r>
      <w:r>
        <w:rPr>
          <w:rFonts w:ascii="宋体" w:hAnsi="宋体" w:eastAsia="宋体" w:cs="宋体"/>
          <w:color w:val="auto"/>
          <w:spacing w:val="-2"/>
          <w:sz w:val="21"/>
          <w:szCs w:val="21"/>
        </w:rPr>
        <w:t>以上。</w:t>
      </w:r>
    </w:p>
    <w:p w14:paraId="465FF1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color w:val="auto"/>
          <w:sz w:val="21"/>
          <w:szCs w:val="21"/>
        </w:rPr>
      </w:pPr>
      <w:r>
        <w:rPr>
          <w:rFonts w:ascii="宋体" w:hAnsi="宋体" w:eastAsia="宋体" w:cs="宋体"/>
          <w:color w:val="auto"/>
          <w:spacing w:val="-2"/>
          <w:sz w:val="21"/>
          <w:szCs w:val="21"/>
        </w:rPr>
        <w:t>3、人员要求</w:t>
      </w:r>
    </w:p>
    <w:p w14:paraId="367E4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1"/>
          <w:szCs w:val="21"/>
        </w:rPr>
      </w:pPr>
      <w:r>
        <w:rPr>
          <w:rFonts w:ascii="宋体" w:hAnsi="宋体" w:eastAsia="宋体" w:cs="宋体"/>
          <w:color w:val="auto"/>
          <w:sz w:val="21"/>
          <w:szCs w:val="21"/>
        </w:rPr>
        <w:t>对于参与驻马店不见面交易系统开标的投标人，要求能熟练掌握电脑基</w:t>
      </w:r>
      <w:r>
        <w:rPr>
          <w:rFonts w:ascii="宋体" w:hAnsi="宋体" w:eastAsia="宋体" w:cs="宋体"/>
          <w:color w:val="auto"/>
          <w:spacing w:val="-1"/>
          <w:sz w:val="21"/>
          <w:szCs w:val="21"/>
        </w:rPr>
        <w:t>础操作。不见面开标</w:t>
      </w:r>
      <w:r>
        <w:rPr>
          <w:rFonts w:ascii="宋体" w:hAnsi="宋体" w:eastAsia="宋体" w:cs="宋体"/>
          <w:color w:val="auto"/>
          <w:spacing w:val="-6"/>
          <w:sz w:val="21"/>
          <w:szCs w:val="21"/>
        </w:rPr>
        <w:t>操作手册下载地址：</w:t>
      </w:r>
    </w:p>
    <w:p w14:paraId="32EBF7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1"/>
          <w:szCs w:val="21"/>
        </w:rPr>
      </w:pPr>
      <w:r>
        <w:rPr>
          <w:rFonts w:ascii="宋体" w:hAnsi="宋体" w:eastAsia="宋体" w:cs="宋体"/>
          <w:color w:val="auto"/>
          <w:sz w:val="21"/>
          <w:szCs w:val="21"/>
        </w:rPr>
        <w:t>（</w:t>
      </w:r>
      <w:r>
        <w:rPr>
          <w:color w:val="auto"/>
        </w:rPr>
        <w:fldChar w:fldCharType="begin"/>
      </w:r>
      <w:r>
        <w:rPr>
          <w:color w:val="auto"/>
        </w:rPr>
        <w:instrText xml:space="preserve"> HYPERLINK "http://ggzy.zhumadian.gov.cn/TPFront/InfoDetail/?InfoID=6e085538-6be5-4d25-" </w:instrText>
      </w:r>
      <w:r>
        <w:rPr>
          <w:color w:val="auto"/>
        </w:rPr>
        <w:fldChar w:fldCharType="separate"/>
      </w:r>
      <w:r>
        <w:rPr>
          <w:rFonts w:ascii="宋体" w:hAnsi="宋体" w:eastAsia="宋体" w:cs="宋体"/>
          <w:color w:val="auto"/>
          <w:sz w:val="21"/>
          <w:szCs w:val="21"/>
        </w:rPr>
        <w:t>http://ggzy.zhumadian.gov.cn/TPFront/InfoDetail/?InfoID=6e08</w:t>
      </w:r>
      <w:r>
        <w:rPr>
          <w:rFonts w:ascii="宋体" w:hAnsi="宋体" w:eastAsia="宋体" w:cs="宋体"/>
          <w:color w:val="auto"/>
          <w:spacing w:val="-1"/>
          <w:sz w:val="21"/>
          <w:szCs w:val="21"/>
        </w:rPr>
        <w:t>5538-6be5-4d25-</w:t>
      </w:r>
      <w:r>
        <w:rPr>
          <w:rFonts w:ascii="宋体" w:hAnsi="宋体" w:eastAsia="宋体" w:cs="宋体"/>
          <w:color w:val="auto"/>
          <w:spacing w:val="-1"/>
          <w:sz w:val="21"/>
          <w:szCs w:val="21"/>
        </w:rPr>
        <w:fldChar w:fldCharType="end"/>
      </w:r>
      <w:r>
        <w:rPr>
          <w:rFonts w:ascii="宋体" w:hAnsi="宋体" w:eastAsia="宋体" w:cs="宋体"/>
          <w:color w:val="auto"/>
          <w:spacing w:val="1"/>
          <w:sz w:val="21"/>
          <w:szCs w:val="21"/>
        </w:rPr>
        <w:t>80b2-12f5</w:t>
      </w:r>
      <w:r>
        <w:rPr>
          <w:rFonts w:ascii="宋体" w:hAnsi="宋体" w:eastAsia="宋体" w:cs="宋体"/>
          <w:color w:val="auto"/>
          <w:sz w:val="21"/>
          <w:szCs w:val="21"/>
        </w:rPr>
        <w:t>fc</w:t>
      </w:r>
      <w:r>
        <w:rPr>
          <w:rFonts w:ascii="宋体" w:hAnsi="宋体" w:eastAsia="宋体" w:cs="宋体"/>
          <w:color w:val="auto"/>
          <w:spacing w:val="1"/>
          <w:sz w:val="21"/>
          <w:szCs w:val="21"/>
        </w:rPr>
        <w:t>669</w:t>
      </w:r>
      <w:r>
        <w:rPr>
          <w:rFonts w:ascii="宋体" w:hAnsi="宋体" w:eastAsia="宋体" w:cs="宋体"/>
          <w:color w:val="auto"/>
          <w:sz w:val="21"/>
          <w:szCs w:val="21"/>
        </w:rPr>
        <w:t>ba</w:t>
      </w:r>
      <w:r>
        <w:rPr>
          <w:rFonts w:ascii="宋体" w:hAnsi="宋体" w:eastAsia="宋体" w:cs="宋体"/>
          <w:color w:val="auto"/>
          <w:spacing w:val="1"/>
          <w:sz w:val="21"/>
          <w:szCs w:val="21"/>
        </w:rPr>
        <w:t>1&amp;</w:t>
      </w:r>
      <w:r>
        <w:rPr>
          <w:rFonts w:ascii="宋体" w:hAnsi="宋体" w:eastAsia="宋体" w:cs="宋体"/>
          <w:color w:val="auto"/>
          <w:sz w:val="21"/>
          <w:szCs w:val="21"/>
        </w:rPr>
        <w:t>CategoryNum</w:t>
      </w:r>
      <w:r>
        <w:rPr>
          <w:rFonts w:ascii="宋体" w:hAnsi="宋体" w:eastAsia="宋体" w:cs="宋体"/>
          <w:color w:val="auto"/>
          <w:spacing w:val="1"/>
          <w:sz w:val="21"/>
          <w:szCs w:val="21"/>
        </w:rPr>
        <w:t>=02600</w:t>
      </w:r>
      <w:r>
        <w:rPr>
          <w:rFonts w:ascii="宋体" w:hAnsi="宋体" w:eastAsia="宋体" w:cs="宋体"/>
          <w:color w:val="auto"/>
          <w:sz w:val="21"/>
          <w:szCs w:val="21"/>
        </w:rPr>
        <w:t>5</w:t>
      </w:r>
      <w:r>
        <w:rPr>
          <w:rFonts w:ascii="宋体" w:hAnsi="宋体" w:eastAsia="宋体" w:cs="宋体"/>
          <w:color w:val="auto"/>
          <w:sz w:val="21"/>
          <w:szCs w:val="21"/>
          <w:shd w:val="clear" w:fill="F6F5F5"/>
        </w:rPr>
        <w:t>）</w:t>
      </w:r>
    </w:p>
    <w:p w14:paraId="0F22687F">
      <w:pPr>
        <w:spacing w:line="350" w:lineRule="auto"/>
        <w:rPr>
          <w:rFonts w:ascii="宋体" w:hAnsi="宋体" w:eastAsia="宋体" w:cs="宋体"/>
          <w:color w:val="auto"/>
          <w:sz w:val="21"/>
          <w:szCs w:val="21"/>
        </w:rPr>
        <w:sectPr>
          <w:footerReference r:id="rId6" w:type="default"/>
          <w:pgSz w:w="11900" w:h="16839"/>
          <w:pgMar w:top="1440" w:right="1800" w:bottom="1440" w:left="1800" w:header="0" w:footer="219" w:gutter="0"/>
          <w:cols w:space="720" w:num="1"/>
        </w:sectPr>
      </w:pPr>
    </w:p>
    <w:p w14:paraId="25FAB006">
      <w:pPr>
        <w:pStyle w:val="3"/>
        <w:spacing w:line="450" w:lineRule="auto"/>
        <w:rPr>
          <w:color w:val="auto"/>
        </w:rPr>
      </w:pPr>
    </w:p>
    <w:p w14:paraId="4091210C">
      <w:pPr>
        <w:spacing w:before="104" w:line="219" w:lineRule="auto"/>
        <w:ind w:left="3138"/>
        <w:rPr>
          <w:rFonts w:ascii="宋体" w:hAnsi="宋体" w:eastAsia="宋体" w:cs="宋体"/>
          <w:color w:val="auto"/>
          <w:sz w:val="32"/>
          <w:szCs w:val="32"/>
        </w:rPr>
      </w:pPr>
      <w:r>
        <w:rPr>
          <w:rFonts w:ascii="宋体" w:hAnsi="宋体" w:eastAsia="宋体" w:cs="宋体"/>
          <w:b/>
          <w:bCs/>
          <w:color w:val="auto"/>
          <w:spacing w:val="-4"/>
          <w:sz w:val="32"/>
          <w:szCs w:val="32"/>
        </w:rPr>
        <w:t>第二章供应商须知</w:t>
      </w:r>
    </w:p>
    <w:p w14:paraId="3613929F">
      <w:pPr>
        <w:spacing w:before="74" w:line="219" w:lineRule="auto"/>
        <w:ind w:left="332"/>
        <w:jc w:val="center"/>
        <w:rPr>
          <w:rFonts w:ascii="宋体" w:hAnsi="宋体" w:eastAsia="宋体" w:cs="宋体"/>
          <w:color w:val="auto"/>
          <w:sz w:val="24"/>
          <w:szCs w:val="24"/>
        </w:rPr>
      </w:pPr>
      <w:r>
        <w:rPr>
          <w:rFonts w:ascii="宋体" w:hAnsi="宋体" w:eastAsia="宋体" w:cs="宋体"/>
          <w:b/>
          <w:bCs/>
          <w:color w:val="auto"/>
          <w:spacing w:val="-4"/>
          <w:sz w:val="24"/>
          <w:szCs w:val="24"/>
        </w:rPr>
        <w:t>供应商须知前附表</w:t>
      </w:r>
    </w:p>
    <w:p w14:paraId="600A06C4">
      <w:pPr>
        <w:spacing w:before="72"/>
        <w:rPr>
          <w:color w:val="auto"/>
        </w:rPr>
      </w:pPr>
    </w:p>
    <w:tbl>
      <w:tblPr>
        <w:tblStyle w:val="10"/>
        <w:tblW w:w="9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8921"/>
      </w:tblGrid>
      <w:tr w14:paraId="78A7F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78" w:type="dxa"/>
            <w:vAlign w:val="top"/>
          </w:tcPr>
          <w:p w14:paraId="7D1893D3">
            <w:pPr>
              <w:pStyle w:val="11"/>
              <w:spacing w:before="155" w:line="220" w:lineRule="auto"/>
              <w:ind w:left="153"/>
              <w:rPr>
                <w:color w:val="auto"/>
              </w:rPr>
            </w:pPr>
            <w:r>
              <w:rPr>
                <w:b/>
                <w:bCs/>
                <w:color w:val="auto"/>
                <w:spacing w:val="-6"/>
              </w:rPr>
              <w:t>编号</w:t>
            </w:r>
          </w:p>
        </w:tc>
        <w:tc>
          <w:tcPr>
            <w:tcW w:w="8921" w:type="dxa"/>
            <w:vAlign w:val="top"/>
          </w:tcPr>
          <w:p w14:paraId="1CA2633F">
            <w:pPr>
              <w:pStyle w:val="11"/>
              <w:spacing w:before="155" w:line="220" w:lineRule="auto"/>
              <w:ind w:left="3984"/>
              <w:rPr>
                <w:color w:val="auto"/>
              </w:rPr>
            </w:pPr>
            <w:r>
              <w:rPr>
                <w:b/>
                <w:bCs/>
                <w:color w:val="auto"/>
                <w:spacing w:val="-5"/>
              </w:rPr>
              <w:t>编列内容</w:t>
            </w:r>
          </w:p>
        </w:tc>
      </w:tr>
      <w:tr w14:paraId="7E07D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778" w:type="dxa"/>
            <w:vAlign w:val="top"/>
          </w:tcPr>
          <w:p w14:paraId="238F990F">
            <w:pPr>
              <w:spacing w:line="452" w:lineRule="auto"/>
              <w:rPr>
                <w:rFonts w:ascii="Arial"/>
                <w:color w:val="auto"/>
                <w:sz w:val="21"/>
              </w:rPr>
            </w:pPr>
          </w:p>
          <w:p w14:paraId="0FB09526">
            <w:pPr>
              <w:pStyle w:val="11"/>
              <w:spacing w:before="78" w:line="241" w:lineRule="auto"/>
              <w:ind w:left="349"/>
              <w:rPr>
                <w:color w:val="auto"/>
              </w:rPr>
            </w:pPr>
            <w:r>
              <w:rPr>
                <w:color w:val="auto"/>
              </w:rPr>
              <w:t>1</w:t>
            </w:r>
          </w:p>
        </w:tc>
        <w:tc>
          <w:tcPr>
            <w:tcW w:w="8921" w:type="dxa"/>
            <w:vAlign w:val="top"/>
          </w:tcPr>
          <w:p w14:paraId="04228419">
            <w:pPr>
              <w:pStyle w:val="11"/>
              <w:spacing w:before="65" w:line="220" w:lineRule="auto"/>
              <w:ind w:left="126"/>
              <w:rPr>
                <w:rFonts w:hint="eastAsia" w:eastAsia="宋体"/>
                <w:color w:val="auto"/>
                <w:lang w:eastAsia="zh-CN"/>
              </w:rPr>
            </w:pPr>
            <w:r>
              <w:rPr>
                <w:color w:val="auto"/>
                <w:spacing w:val="-1"/>
              </w:rPr>
              <w:t>1.1项目名称：</w:t>
            </w:r>
            <w:r>
              <w:rPr>
                <w:rFonts w:hint="eastAsia"/>
                <w:color w:val="auto"/>
                <w:spacing w:val="-1"/>
                <w:lang w:eastAsia="zh-CN"/>
              </w:rPr>
              <w:t>遂平县花庄镇人民政府配备专用变压器及高压环网柜项目（二次）</w:t>
            </w:r>
          </w:p>
          <w:p w14:paraId="45D42C44">
            <w:pPr>
              <w:pStyle w:val="11"/>
              <w:spacing w:before="181" w:line="219" w:lineRule="auto"/>
              <w:ind w:left="126"/>
              <w:rPr>
                <w:rFonts w:hint="eastAsia" w:eastAsia="宋体"/>
                <w:color w:val="auto"/>
                <w:lang w:eastAsia="zh-CN"/>
              </w:rPr>
            </w:pPr>
            <w:r>
              <w:rPr>
                <w:color w:val="auto"/>
                <w:spacing w:val="-2"/>
              </w:rPr>
              <w:t>1.2采购人名称：</w:t>
            </w:r>
            <w:r>
              <w:rPr>
                <w:rFonts w:hint="eastAsia"/>
                <w:color w:val="auto"/>
                <w:spacing w:val="-2"/>
                <w:lang w:eastAsia="zh-CN"/>
              </w:rPr>
              <w:t>遂平县花庄镇人民政府</w:t>
            </w:r>
          </w:p>
          <w:p w14:paraId="2EF2F3C0">
            <w:pPr>
              <w:pStyle w:val="11"/>
              <w:spacing w:before="182" w:line="219" w:lineRule="auto"/>
              <w:ind w:left="126"/>
              <w:rPr>
                <w:color w:val="auto"/>
                <w:spacing w:val="-2"/>
              </w:rPr>
            </w:pPr>
            <w:r>
              <w:rPr>
                <w:color w:val="auto"/>
                <w:spacing w:val="-2"/>
              </w:rPr>
              <w:t>1.3</w:t>
            </w:r>
            <w:r>
              <w:rPr>
                <w:rFonts w:hint="eastAsia"/>
                <w:color w:val="auto"/>
                <w:spacing w:val="-2"/>
                <w:lang w:val="en-US" w:eastAsia="zh-CN"/>
              </w:rPr>
              <w:t>采购</w:t>
            </w:r>
            <w:r>
              <w:rPr>
                <w:color w:val="auto"/>
                <w:spacing w:val="-2"/>
              </w:rPr>
              <w:t>编号：遂财竞谈-2025-</w:t>
            </w:r>
            <w:r>
              <w:rPr>
                <w:rFonts w:hint="eastAsia"/>
                <w:color w:val="auto"/>
                <w:spacing w:val="-2"/>
                <w:lang w:val="en-US" w:eastAsia="zh-CN"/>
              </w:rPr>
              <w:t>3</w:t>
            </w:r>
            <w:bookmarkStart w:id="0" w:name="_GoBack"/>
            <w:bookmarkEnd w:id="0"/>
            <w:r>
              <w:rPr>
                <w:color w:val="auto"/>
                <w:spacing w:val="-2"/>
              </w:rPr>
              <w:t>8</w:t>
            </w:r>
          </w:p>
          <w:p w14:paraId="663AAED7">
            <w:pPr>
              <w:pStyle w:val="11"/>
              <w:spacing w:before="182" w:line="219" w:lineRule="auto"/>
              <w:ind w:left="126"/>
              <w:rPr>
                <w:color w:val="auto"/>
              </w:rPr>
            </w:pPr>
            <w:r>
              <w:rPr>
                <w:rFonts w:hint="eastAsia"/>
                <w:color w:val="auto"/>
                <w:spacing w:val="-2"/>
                <w:lang w:val="en-US" w:eastAsia="zh-CN"/>
              </w:rPr>
              <w:t>项目编号：遂政采招【2025】53号</w:t>
            </w:r>
          </w:p>
        </w:tc>
      </w:tr>
      <w:tr w14:paraId="770C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78" w:type="dxa"/>
            <w:vAlign w:val="top"/>
          </w:tcPr>
          <w:p w14:paraId="5AE4C62F">
            <w:pPr>
              <w:pStyle w:val="11"/>
              <w:spacing w:before="301" w:line="241" w:lineRule="auto"/>
              <w:ind w:left="334"/>
              <w:rPr>
                <w:color w:val="auto"/>
              </w:rPr>
            </w:pPr>
            <w:r>
              <w:rPr>
                <w:color w:val="auto"/>
              </w:rPr>
              <w:t>2</w:t>
            </w:r>
          </w:p>
        </w:tc>
        <w:tc>
          <w:tcPr>
            <w:tcW w:w="8921" w:type="dxa"/>
            <w:vAlign w:val="top"/>
          </w:tcPr>
          <w:p w14:paraId="7C2A6680">
            <w:pPr>
              <w:pStyle w:val="11"/>
              <w:spacing w:before="67" w:line="220" w:lineRule="auto"/>
              <w:ind w:left="118"/>
              <w:rPr>
                <w:color w:val="auto"/>
              </w:rPr>
            </w:pPr>
            <w:r>
              <w:rPr>
                <w:color w:val="auto"/>
                <w:spacing w:val="-2"/>
              </w:rPr>
              <w:t>资金来源：财政资金</w:t>
            </w:r>
          </w:p>
          <w:p w14:paraId="69FC3105">
            <w:pPr>
              <w:pStyle w:val="11"/>
              <w:spacing w:before="181" w:line="218" w:lineRule="auto"/>
              <w:ind w:left="109"/>
              <w:rPr>
                <w:color w:val="auto"/>
              </w:rPr>
            </w:pPr>
            <w:r>
              <w:rPr>
                <w:color w:val="auto"/>
                <w:spacing w:val="-1"/>
              </w:rPr>
              <w:t>招标控制价：</w:t>
            </w:r>
            <w:r>
              <w:rPr>
                <w:rFonts w:hint="eastAsia"/>
                <w:color w:val="auto"/>
                <w:spacing w:val="-1"/>
                <w:lang w:eastAsia="zh-CN"/>
              </w:rPr>
              <w:t>700000.00</w:t>
            </w:r>
            <w:r>
              <w:rPr>
                <w:color w:val="auto"/>
                <w:spacing w:val="-1"/>
              </w:rPr>
              <w:t>元</w:t>
            </w:r>
          </w:p>
        </w:tc>
      </w:tr>
      <w:tr w14:paraId="2565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78" w:type="dxa"/>
            <w:vAlign w:val="top"/>
          </w:tcPr>
          <w:p w14:paraId="26A7C670">
            <w:pPr>
              <w:pStyle w:val="11"/>
              <w:spacing w:before="68"/>
              <w:ind w:left="336"/>
              <w:rPr>
                <w:color w:val="auto"/>
              </w:rPr>
            </w:pPr>
            <w:r>
              <w:rPr>
                <w:color w:val="auto"/>
              </w:rPr>
              <w:t>3</w:t>
            </w:r>
          </w:p>
        </w:tc>
        <w:tc>
          <w:tcPr>
            <w:tcW w:w="8921" w:type="dxa"/>
            <w:vAlign w:val="top"/>
          </w:tcPr>
          <w:p w14:paraId="7FE4A95C">
            <w:pPr>
              <w:pStyle w:val="11"/>
              <w:spacing w:before="67" w:line="220" w:lineRule="auto"/>
              <w:ind w:left="109"/>
              <w:rPr>
                <w:color w:val="auto"/>
              </w:rPr>
            </w:pPr>
            <w:r>
              <w:rPr>
                <w:color w:val="auto"/>
                <w:spacing w:val="-2"/>
              </w:rPr>
              <w:t>质量标准：合格</w:t>
            </w:r>
          </w:p>
        </w:tc>
      </w:tr>
      <w:tr w14:paraId="6D0AD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vAlign w:val="top"/>
          </w:tcPr>
          <w:p w14:paraId="4D548770">
            <w:pPr>
              <w:pStyle w:val="11"/>
              <w:spacing w:before="69" w:line="241" w:lineRule="auto"/>
              <w:ind w:left="330"/>
              <w:rPr>
                <w:color w:val="auto"/>
              </w:rPr>
            </w:pPr>
            <w:r>
              <w:rPr>
                <w:color w:val="auto"/>
              </w:rPr>
              <w:t>4</w:t>
            </w:r>
          </w:p>
        </w:tc>
        <w:tc>
          <w:tcPr>
            <w:tcW w:w="8921" w:type="dxa"/>
            <w:vAlign w:val="top"/>
          </w:tcPr>
          <w:p w14:paraId="46F98593">
            <w:pPr>
              <w:pStyle w:val="11"/>
              <w:spacing w:before="69" w:line="220" w:lineRule="auto"/>
              <w:ind w:left="111"/>
              <w:rPr>
                <w:color w:val="auto"/>
              </w:rPr>
            </w:pPr>
            <w:r>
              <w:rPr>
                <w:rFonts w:hint="eastAsia"/>
                <w:color w:val="auto"/>
                <w:spacing w:val="-2"/>
                <w:lang w:eastAsia="zh-CN"/>
              </w:rPr>
              <w:t>交货及安装期</w:t>
            </w:r>
            <w:r>
              <w:rPr>
                <w:color w:val="auto"/>
                <w:spacing w:val="-2"/>
              </w:rPr>
              <w:t>：</w:t>
            </w:r>
            <w:r>
              <w:rPr>
                <w:rFonts w:hint="eastAsia"/>
                <w:color w:val="auto"/>
                <w:spacing w:val="-2"/>
                <w:lang w:val="en-US" w:eastAsia="zh-CN"/>
              </w:rPr>
              <w:t>30</w:t>
            </w:r>
            <w:r>
              <w:rPr>
                <w:color w:val="auto"/>
                <w:spacing w:val="-2"/>
              </w:rPr>
              <w:t>日历天</w:t>
            </w:r>
          </w:p>
        </w:tc>
      </w:tr>
      <w:tr w14:paraId="0500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778" w:type="dxa"/>
            <w:vAlign w:val="top"/>
          </w:tcPr>
          <w:p w14:paraId="20C5FEA0">
            <w:pPr>
              <w:spacing w:line="454" w:lineRule="auto"/>
              <w:rPr>
                <w:rFonts w:ascii="Arial"/>
                <w:color w:val="auto"/>
                <w:sz w:val="21"/>
              </w:rPr>
            </w:pPr>
          </w:p>
          <w:p w14:paraId="0536CF6B">
            <w:pPr>
              <w:pStyle w:val="11"/>
              <w:spacing w:before="78"/>
              <w:ind w:left="336"/>
              <w:rPr>
                <w:color w:val="auto"/>
              </w:rPr>
            </w:pPr>
            <w:r>
              <w:rPr>
                <w:color w:val="auto"/>
              </w:rPr>
              <w:t>5</w:t>
            </w:r>
          </w:p>
        </w:tc>
        <w:tc>
          <w:tcPr>
            <w:tcW w:w="8921" w:type="dxa"/>
            <w:vAlign w:val="top"/>
          </w:tcPr>
          <w:p w14:paraId="2B5EBFDD">
            <w:pPr>
              <w:pStyle w:val="11"/>
              <w:spacing w:before="69" w:line="218" w:lineRule="auto"/>
              <w:ind w:left="107"/>
              <w:rPr>
                <w:color w:val="auto"/>
              </w:rPr>
            </w:pPr>
            <w:r>
              <w:rPr>
                <w:color w:val="auto"/>
                <w:spacing w:val="-2"/>
              </w:rPr>
              <w:t>谈判报价及费用</w:t>
            </w:r>
          </w:p>
          <w:p w14:paraId="371A7FCA">
            <w:pPr>
              <w:pStyle w:val="11"/>
              <w:spacing w:before="183" w:line="218" w:lineRule="auto"/>
              <w:ind w:left="113"/>
              <w:rPr>
                <w:color w:val="auto"/>
              </w:rPr>
            </w:pPr>
            <w:r>
              <w:rPr>
                <w:color w:val="auto"/>
                <w:spacing w:val="-3"/>
              </w:rPr>
              <w:t>5.1本次谈判应以人民币报价。</w:t>
            </w:r>
          </w:p>
          <w:p w14:paraId="642A5E29">
            <w:pPr>
              <w:pStyle w:val="11"/>
              <w:spacing w:before="183" w:line="218" w:lineRule="auto"/>
              <w:ind w:left="113"/>
              <w:rPr>
                <w:color w:val="auto"/>
              </w:rPr>
            </w:pPr>
            <w:r>
              <w:rPr>
                <w:color w:val="auto"/>
                <w:spacing w:val="-1"/>
              </w:rPr>
              <w:t>5.2供应商的最后一轮报价均超过采购预算，采购人不</w:t>
            </w:r>
            <w:r>
              <w:rPr>
                <w:color w:val="auto"/>
                <w:spacing w:val="-2"/>
              </w:rPr>
              <w:t>能支付的，本项谈判废止。</w:t>
            </w:r>
          </w:p>
        </w:tc>
      </w:tr>
      <w:tr w14:paraId="5EB1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78" w:type="dxa"/>
            <w:vAlign w:val="top"/>
          </w:tcPr>
          <w:p w14:paraId="1FE099F7">
            <w:pPr>
              <w:pStyle w:val="11"/>
              <w:spacing w:before="79"/>
              <w:ind w:left="333"/>
              <w:rPr>
                <w:color w:val="auto"/>
              </w:rPr>
            </w:pPr>
            <w:r>
              <w:rPr>
                <w:color w:val="auto"/>
              </w:rPr>
              <w:t>6</w:t>
            </w:r>
          </w:p>
        </w:tc>
        <w:tc>
          <w:tcPr>
            <w:tcW w:w="8921" w:type="dxa"/>
            <w:vAlign w:val="top"/>
          </w:tcPr>
          <w:p w14:paraId="21805A5C">
            <w:pPr>
              <w:pStyle w:val="11"/>
              <w:spacing w:before="80" w:line="218" w:lineRule="auto"/>
              <w:ind w:left="107"/>
              <w:rPr>
                <w:color w:val="auto"/>
              </w:rPr>
            </w:pPr>
            <w:r>
              <w:rPr>
                <w:color w:val="auto"/>
                <w:spacing w:val="-1"/>
              </w:rPr>
              <w:t>谈判供应商资格要求：详见谈判公告</w:t>
            </w:r>
          </w:p>
        </w:tc>
      </w:tr>
      <w:tr w14:paraId="45912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78" w:type="dxa"/>
            <w:vAlign w:val="top"/>
          </w:tcPr>
          <w:p w14:paraId="47877136">
            <w:pPr>
              <w:pStyle w:val="11"/>
              <w:spacing w:before="70"/>
              <w:ind w:left="337"/>
              <w:rPr>
                <w:color w:val="auto"/>
              </w:rPr>
            </w:pPr>
            <w:r>
              <w:rPr>
                <w:color w:val="auto"/>
              </w:rPr>
              <w:t>7</w:t>
            </w:r>
          </w:p>
        </w:tc>
        <w:tc>
          <w:tcPr>
            <w:tcW w:w="8921" w:type="dxa"/>
            <w:vAlign w:val="top"/>
          </w:tcPr>
          <w:p w14:paraId="02FE0CF7">
            <w:pPr>
              <w:pStyle w:val="11"/>
              <w:spacing w:before="70" w:line="218" w:lineRule="auto"/>
              <w:ind w:left="106"/>
              <w:rPr>
                <w:color w:val="auto"/>
              </w:rPr>
            </w:pPr>
            <w:r>
              <w:rPr>
                <w:color w:val="auto"/>
                <w:spacing w:val="-1"/>
              </w:rPr>
              <w:t>报名时间：详见谈判公告</w:t>
            </w:r>
          </w:p>
        </w:tc>
      </w:tr>
      <w:tr w14:paraId="39145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vAlign w:val="top"/>
          </w:tcPr>
          <w:p w14:paraId="26F1DB7F">
            <w:pPr>
              <w:pStyle w:val="11"/>
              <w:spacing w:before="71"/>
              <w:ind w:left="332"/>
              <w:rPr>
                <w:color w:val="auto"/>
              </w:rPr>
            </w:pPr>
            <w:r>
              <w:rPr>
                <w:color w:val="auto"/>
              </w:rPr>
              <w:t>8</w:t>
            </w:r>
          </w:p>
        </w:tc>
        <w:tc>
          <w:tcPr>
            <w:tcW w:w="8921" w:type="dxa"/>
            <w:vAlign w:val="top"/>
          </w:tcPr>
          <w:p w14:paraId="33FCC611">
            <w:pPr>
              <w:pStyle w:val="11"/>
              <w:spacing w:before="70" w:line="220" w:lineRule="auto"/>
              <w:ind w:left="108"/>
              <w:rPr>
                <w:color w:val="auto"/>
              </w:rPr>
            </w:pPr>
            <w:r>
              <w:rPr>
                <w:color w:val="auto"/>
                <w:spacing w:val="-3"/>
              </w:rPr>
              <w:t>付款方式：以双方签订的合同为准。</w:t>
            </w:r>
          </w:p>
        </w:tc>
      </w:tr>
      <w:tr w14:paraId="38D9D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778" w:type="dxa"/>
            <w:vAlign w:val="top"/>
          </w:tcPr>
          <w:p w14:paraId="5A321D63">
            <w:pPr>
              <w:pStyle w:val="11"/>
              <w:spacing w:before="78"/>
              <w:ind w:left="332"/>
              <w:rPr>
                <w:color w:val="auto"/>
              </w:rPr>
            </w:pPr>
          </w:p>
          <w:p w14:paraId="323892DB">
            <w:pPr>
              <w:pStyle w:val="11"/>
              <w:spacing w:before="78"/>
              <w:ind w:left="332"/>
              <w:rPr>
                <w:color w:val="auto"/>
              </w:rPr>
            </w:pPr>
            <w:r>
              <w:rPr>
                <w:color w:val="auto"/>
              </w:rPr>
              <w:t>9</w:t>
            </w:r>
          </w:p>
        </w:tc>
        <w:tc>
          <w:tcPr>
            <w:tcW w:w="8921" w:type="dxa"/>
            <w:vAlign w:val="top"/>
          </w:tcPr>
          <w:p w14:paraId="3B081B51">
            <w:pPr>
              <w:pStyle w:val="11"/>
              <w:spacing w:before="70" w:line="220" w:lineRule="auto"/>
              <w:ind w:left="120"/>
              <w:rPr>
                <w:color w:val="auto"/>
              </w:rPr>
            </w:pPr>
            <w:r>
              <w:rPr>
                <w:color w:val="auto"/>
                <w:spacing w:val="-2"/>
              </w:rPr>
              <w:t>响应性文件组成：加密电子响应性文件（*.ZMDTF</w:t>
            </w:r>
            <w:r>
              <w:rPr>
                <w:color w:val="auto"/>
              </w:rPr>
              <w:t>格式）应在投标截止时间前通过驻马店市公共资源交易电子交易平台</w:t>
            </w:r>
            <w:r>
              <w:rPr>
                <w:color w:val="auto"/>
                <w:spacing w:val="-1"/>
              </w:rPr>
              <w:t>（</w:t>
            </w:r>
            <w:r>
              <w:rPr>
                <w:color w:val="auto"/>
              </w:rPr>
              <w:fldChar w:fldCharType="begin"/>
            </w:r>
            <w:r>
              <w:rPr>
                <w:color w:val="auto"/>
              </w:rPr>
              <w:instrText xml:space="preserve"> HYPERLINK "http://ggzy.zhumadian.gov.cn/TPFront/" </w:instrText>
            </w:r>
            <w:r>
              <w:rPr>
                <w:color w:val="auto"/>
              </w:rPr>
              <w:fldChar w:fldCharType="separate"/>
            </w:r>
            <w:r>
              <w:rPr>
                <w:color w:val="auto"/>
                <w:spacing w:val="-1"/>
              </w:rPr>
              <w:t>http://ggz</w:t>
            </w:r>
            <w:r>
              <w:rPr>
                <w:color w:val="auto"/>
                <w:spacing w:val="-1"/>
              </w:rPr>
              <w:fldChar w:fldCharType="end"/>
            </w:r>
            <w:r>
              <w:rPr>
                <w:color w:val="auto"/>
              </w:rPr>
              <w:fldChar w:fldCharType="begin"/>
            </w:r>
            <w:r>
              <w:rPr>
                <w:color w:val="auto"/>
              </w:rPr>
              <w:instrText xml:space="preserve"> HYPERLINK "http://ggzy.zhumadian.gov.cn/TPFront/" </w:instrText>
            </w:r>
            <w:r>
              <w:rPr>
                <w:color w:val="auto"/>
              </w:rPr>
              <w:fldChar w:fldCharType="separate"/>
            </w:r>
            <w:r>
              <w:rPr>
                <w:color w:val="auto"/>
                <w:spacing w:val="-1"/>
              </w:rPr>
              <w:t>y.zhumadian.gov.cn/TPFron</w:t>
            </w:r>
            <w:r>
              <w:rPr>
                <w:color w:val="auto"/>
                <w:spacing w:val="-2"/>
              </w:rPr>
              <w:t>t/</w:t>
            </w:r>
            <w:r>
              <w:rPr>
                <w:color w:val="auto"/>
                <w:spacing w:val="-2"/>
              </w:rPr>
              <w:fldChar w:fldCharType="end"/>
            </w:r>
            <w:r>
              <w:rPr>
                <w:color w:val="auto"/>
                <w:spacing w:val="-2"/>
              </w:rPr>
              <w:t>）上传完成。</w:t>
            </w:r>
          </w:p>
        </w:tc>
      </w:tr>
      <w:tr w14:paraId="1E2C1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78" w:type="dxa"/>
            <w:vAlign w:val="top"/>
          </w:tcPr>
          <w:p w14:paraId="70188A46">
            <w:pPr>
              <w:pStyle w:val="11"/>
              <w:spacing w:before="72"/>
              <w:ind w:left="289"/>
              <w:rPr>
                <w:color w:val="auto"/>
              </w:rPr>
            </w:pPr>
            <w:r>
              <w:rPr>
                <w:color w:val="auto"/>
                <w:spacing w:val="-7"/>
              </w:rPr>
              <w:t>10</w:t>
            </w:r>
          </w:p>
        </w:tc>
        <w:tc>
          <w:tcPr>
            <w:tcW w:w="8921" w:type="dxa"/>
            <w:vAlign w:val="top"/>
          </w:tcPr>
          <w:p w14:paraId="06233DAF">
            <w:pPr>
              <w:pStyle w:val="11"/>
              <w:spacing w:before="72" w:line="219" w:lineRule="auto"/>
              <w:ind w:left="109"/>
              <w:rPr>
                <w:color w:val="auto"/>
              </w:rPr>
            </w:pPr>
            <w:r>
              <w:rPr>
                <w:color w:val="auto"/>
                <w:spacing w:val="-2"/>
              </w:rPr>
              <w:t>踏勘现场：不组织，谈判供应商可根据自己需要自行组织踏勘。</w:t>
            </w:r>
          </w:p>
        </w:tc>
      </w:tr>
      <w:tr w14:paraId="3D8B2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8" w:type="dxa"/>
            <w:vAlign w:val="top"/>
          </w:tcPr>
          <w:p w14:paraId="27D9818D">
            <w:pPr>
              <w:pStyle w:val="11"/>
              <w:spacing w:before="74" w:line="241" w:lineRule="auto"/>
              <w:ind w:left="289"/>
              <w:rPr>
                <w:color w:val="auto"/>
              </w:rPr>
            </w:pPr>
            <w:r>
              <w:rPr>
                <w:color w:val="auto"/>
                <w:spacing w:val="-7"/>
              </w:rPr>
              <w:t>11</w:t>
            </w:r>
          </w:p>
        </w:tc>
        <w:tc>
          <w:tcPr>
            <w:tcW w:w="8921" w:type="dxa"/>
            <w:vAlign w:val="top"/>
          </w:tcPr>
          <w:p w14:paraId="20B992A1">
            <w:pPr>
              <w:pStyle w:val="11"/>
              <w:spacing w:before="74" w:line="220" w:lineRule="auto"/>
              <w:ind w:left="107"/>
              <w:rPr>
                <w:color w:val="auto"/>
              </w:rPr>
            </w:pPr>
            <w:r>
              <w:rPr>
                <w:color w:val="auto"/>
                <w:spacing w:val="-1"/>
              </w:rPr>
              <w:t>谈判时间及地点：同投标截止时间及地点</w:t>
            </w:r>
          </w:p>
        </w:tc>
      </w:tr>
      <w:tr w14:paraId="33BCA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78" w:type="dxa"/>
            <w:vAlign w:val="top"/>
          </w:tcPr>
          <w:p w14:paraId="78129CD0">
            <w:pPr>
              <w:pStyle w:val="11"/>
              <w:spacing w:before="73" w:line="241" w:lineRule="auto"/>
              <w:ind w:left="289"/>
              <w:rPr>
                <w:color w:val="auto"/>
              </w:rPr>
            </w:pPr>
            <w:r>
              <w:rPr>
                <w:color w:val="auto"/>
                <w:spacing w:val="-7"/>
              </w:rPr>
              <w:t>12</w:t>
            </w:r>
          </w:p>
        </w:tc>
        <w:tc>
          <w:tcPr>
            <w:tcW w:w="8921" w:type="dxa"/>
            <w:vAlign w:val="top"/>
          </w:tcPr>
          <w:p w14:paraId="54AAD58D">
            <w:pPr>
              <w:pStyle w:val="11"/>
              <w:spacing w:before="73" w:line="219" w:lineRule="auto"/>
              <w:ind w:left="107"/>
              <w:rPr>
                <w:color w:val="auto"/>
              </w:rPr>
            </w:pPr>
            <w:r>
              <w:rPr>
                <w:color w:val="auto"/>
                <w:spacing w:val="-2"/>
              </w:rPr>
              <w:t>谈判保证金交纳与退还：本项目不收取保证金。</w:t>
            </w:r>
          </w:p>
        </w:tc>
      </w:tr>
      <w:tr w14:paraId="28EA6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4" w:hRule="atLeast"/>
        </w:trPr>
        <w:tc>
          <w:tcPr>
            <w:tcW w:w="778" w:type="dxa"/>
            <w:vAlign w:val="top"/>
          </w:tcPr>
          <w:p w14:paraId="6A4B9E95">
            <w:pPr>
              <w:rPr>
                <w:rFonts w:ascii="Arial"/>
                <w:color w:val="auto"/>
                <w:sz w:val="21"/>
              </w:rPr>
            </w:pPr>
          </w:p>
        </w:tc>
        <w:tc>
          <w:tcPr>
            <w:tcW w:w="8921" w:type="dxa"/>
            <w:vAlign w:val="top"/>
          </w:tcPr>
          <w:p w14:paraId="0E104D8C">
            <w:pPr>
              <w:pStyle w:val="11"/>
              <w:spacing w:before="74" w:line="219" w:lineRule="auto"/>
              <w:ind w:left="118"/>
              <w:rPr>
                <w:color w:val="auto"/>
              </w:rPr>
            </w:pPr>
            <w:r>
              <w:rPr>
                <w:color w:val="auto"/>
                <w:spacing w:val="-2"/>
              </w:rPr>
              <w:t>资格审查：采用资格后审方式</w:t>
            </w:r>
          </w:p>
          <w:p w14:paraId="33859397">
            <w:pPr>
              <w:pStyle w:val="11"/>
              <w:spacing w:before="181" w:line="220" w:lineRule="auto"/>
              <w:ind w:left="120"/>
              <w:rPr>
                <w:color w:val="auto"/>
              </w:rPr>
            </w:pPr>
            <w:r>
              <w:rPr>
                <w:color w:val="auto"/>
                <w:spacing w:val="-13"/>
              </w:rPr>
              <w:t>审查内容：</w:t>
            </w:r>
          </w:p>
          <w:p w14:paraId="0E079E55">
            <w:pPr>
              <w:pStyle w:val="11"/>
              <w:spacing w:before="182" w:line="289" w:lineRule="auto"/>
              <w:ind w:left="125" w:right="292"/>
              <w:rPr>
                <w:color w:val="auto"/>
              </w:rPr>
            </w:pPr>
            <w:r>
              <w:rPr>
                <w:color w:val="auto"/>
                <w:spacing w:val="-1"/>
              </w:rPr>
              <w:t>1、投标供应商应具有独立企业法人资格，具有有效的营业执照、组织机构代码证</w:t>
            </w:r>
            <w:r>
              <w:rPr>
                <w:color w:val="auto"/>
                <w:spacing w:val="-5"/>
              </w:rPr>
              <w:t>、税务登记证（三证合一证件</w:t>
            </w:r>
            <w:r>
              <w:rPr>
                <w:color w:val="auto"/>
                <w:spacing w:val="-3"/>
              </w:rPr>
              <w:t>）；</w:t>
            </w:r>
          </w:p>
          <w:p w14:paraId="187A78F5">
            <w:pPr>
              <w:pStyle w:val="11"/>
              <w:spacing w:before="182" w:line="219" w:lineRule="auto"/>
              <w:ind w:left="113"/>
              <w:rPr>
                <w:color w:val="auto"/>
              </w:rPr>
            </w:pPr>
            <w:r>
              <w:rPr>
                <w:rFonts w:hint="eastAsia"/>
                <w:color w:val="auto"/>
                <w:spacing w:val="-1"/>
                <w:lang w:val="en-US" w:eastAsia="zh-CN"/>
              </w:rPr>
              <w:t>2</w:t>
            </w:r>
            <w:r>
              <w:rPr>
                <w:color w:val="auto"/>
                <w:spacing w:val="-1"/>
              </w:rPr>
              <w:t>、提供驻马店市政府采购供应商信用承诺函（格式详见附件7）</w:t>
            </w:r>
          </w:p>
          <w:p w14:paraId="3253E199">
            <w:pPr>
              <w:pStyle w:val="11"/>
              <w:spacing w:before="180" w:line="313" w:lineRule="auto"/>
              <w:ind w:left="107" w:right="172"/>
              <w:rPr>
                <w:color w:val="auto"/>
              </w:rPr>
            </w:pPr>
            <w:r>
              <w:rPr>
                <w:rFonts w:hint="eastAsia"/>
                <w:color w:val="auto"/>
                <w:lang w:val="en-US" w:eastAsia="zh-CN"/>
              </w:rPr>
              <w:t>3</w:t>
            </w:r>
            <w:r>
              <w:rPr>
                <w:color w:val="auto"/>
              </w:rPr>
              <w:t>、法定代表人本人参加谈判的，提供身份证明复印件；法</w:t>
            </w:r>
            <w:r>
              <w:rPr>
                <w:color w:val="auto"/>
                <w:spacing w:val="-1"/>
              </w:rPr>
              <w:t>定代表人委托代理人参</w:t>
            </w:r>
            <w:r>
              <w:rPr>
                <w:color w:val="auto"/>
              </w:rPr>
              <w:t>加谈判的，提供法人授权委托书原件和委托代理人的身份</w:t>
            </w:r>
            <w:r>
              <w:rPr>
                <w:color w:val="auto"/>
                <w:spacing w:val="-1"/>
              </w:rPr>
              <w:t>证明复印件、与本单位签</w:t>
            </w:r>
            <w:r>
              <w:rPr>
                <w:color w:val="auto"/>
                <w:spacing w:val="-5"/>
              </w:rPr>
              <w:t>订的劳动合同或社保缴纳证明；</w:t>
            </w:r>
          </w:p>
          <w:p w14:paraId="2D35A927">
            <w:pPr>
              <w:pStyle w:val="11"/>
              <w:spacing w:before="179" w:line="331" w:lineRule="auto"/>
              <w:ind w:left="106" w:right="172" w:firstLine="6"/>
              <w:rPr>
                <w:color w:val="auto"/>
              </w:rPr>
            </w:pPr>
            <w:r>
              <w:rPr>
                <w:rFonts w:hint="eastAsia"/>
                <w:color w:val="auto"/>
                <w:lang w:val="en-US" w:eastAsia="zh-CN"/>
              </w:rPr>
              <w:t>4</w:t>
            </w:r>
            <w:r>
              <w:rPr>
                <w:color w:val="auto"/>
              </w:rPr>
              <w:t>、供应商提供信用中国、中国政府采购网信</w:t>
            </w:r>
            <w:r>
              <w:rPr>
                <w:color w:val="auto"/>
                <w:spacing w:val="-1"/>
              </w:rPr>
              <w:t>用查询页面截图。列入失信被执行人（查询范围为全国）、企业经营异常名录、重大税收违法案件当事人名单、政府采</w:t>
            </w:r>
            <w:r>
              <w:rPr>
                <w:color w:val="auto"/>
              </w:rPr>
              <w:t>购严重违法失信行为记录名单的企业，不得参与本项目投标。</w:t>
            </w:r>
            <w:r>
              <w:rPr>
                <w:color w:val="auto"/>
                <w:spacing w:val="-1"/>
              </w:rPr>
              <w:t>信息查询渠道：“信</w:t>
            </w:r>
            <w:r>
              <w:rPr>
                <w:color w:val="auto"/>
              </w:rPr>
              <w:t>用中国”网站（</w:t>
            </w:r>
            <w:r>
              <w:rPr>
                <w:color w:val="auto"/>
              </w:rPr>
              <w:fldChar w:fldCharType="begin"/>
            </w:r>
            <w:r>
              <w:rPr>
                <w:color w:val="auto"/>
              </w:rPr>
              <w:instrText xml:space="preserve"> HYPERLINK "https://www.creditchina.gov.cn" </w:instrText>
            </w:r>
            <w:r>
              <w:rPr>
                <w:color w:val="auto"/>
              </w:rPr>
              <w:fldChar w:fldCharType="separate"/>
            </w:r>
            <w:r>
              <w:rPr>
                <w:color w:val="auto"/>
              </w:rPr>
              <w:t>www.creditchina.gov.cn</w:t>
            </w:r>
            <w:r>
              <w:rPr>
                <w:color w:val="auto"/>
              </w:rPr>
              <w:fldChar w:fldCharType="end"/>
            </w:r>
            <w:r>
              <w:rPr>
                <w:color w:val="auto"/>
              </w:rPr>
              <w:t>）和中国政府采购网（</w:t>
            </w:r>
            <w:r>
              <w:rPr>
                <w:color w:val="auto"/>
              </w:rPr>
              <w:fldChar w:fldCharType="begin"/>
            </w:r>
            <w:r>
              <w:rPr>
                <w:color w:val="auto"/>
              </w:rPr>
              <w:instrText xml:space="preserve"> HYPERLINK "https://www.ccgp.gov.cn" </w:instrText>
            </w:r>
            <w:r>
              <w:rPr>
                <w:color w:val="auto"/>
              </w:rPr>
              <w:fldChar w:fldCharType="separate"/>
            </w:r>
            <w:r>
              <w:rPr>
                <w:color w:val="auto"/>
              </w:rPr>
              <w:t>www.cc</w:t>
            </w:r>
            <w:r>
              <w:rPr>
                <w:color w:val="auto"/>
                <w:spacing w:val="-1"/>
              </w:rPr>
              <w:t>gp.gov.cn</w:t>
            </w:r>
            <w:r>
              <w:rPr>
                <w:color w:val="auto"/>
                <w:spacing w:val="-1"/>
              </w:rPr>
              <w:fldChar w:fldCharType="end"/>
            </w:r>
            <w:r>
              <w:rPr>
                <w:color w:val="auto"/>
                <w:spacing w:val="6"/>
              </w:rPr>
              <w:t>),查询时间为公告发布日期之后，并将查询结果截图附在投标文件中。</w:t>
            </w:r>
          </w:p>
          <w:p w14:paraId="31B1115C">
            <w:pPr>
              <w:pStyle w:val="11"/>
              <w:spacing w:before="184" w:line="219" w:lineRule="auto"/>
              <w:ind w:left="110"/>
              <w:rPr>
                <w:color w:val="auto"/>
              </w:rPr>
            </w:pPr>
            <w:r>
              <w:rPr>
                <w:rFonts w:hint="eastAsia"/>
                <w:color w:val="auto"/>
                <w:spacing w:val="-2"/>
                <w:lang w:val="en-US" w:eastAsia="zh-CN"/>
              </w:rPr>
              <w:t>5</w:t>
            </w:r>
            <w:r>
              <w:rPr>
                <w:color w:val="auto"/>
                <w:spacing w:val="-2"/>
              </w:rPr>
              <w:t>、其他证明文件（采购人根据项目需要提出且为本次采购所必要的）。</w:t>
            </w:r>
          </w:p>
          <w:p w14:paraId="24F92DE5">
            <w:pPr>
              <w:pStyle w:val="11"/>
              <w:spacing w:before="181" w:line="289" w:lineRule="auto"/>
              <w:ind w:left="109" w:right="172" w:firstLine="1"/>
              <w:rPr>
                <w:color w:val="auto"/>
              </w:rPr>
            </w:pPr>
            <w:r>
              <w:rPr>
                <w:color w:val="auto"/>
              </w:rPr>
              <w:t>注：以上为必须提供的材料。本项目采用不见面交易，供</w:t>
            </w:r>
            <w:r>
              <w:rPr>
                <w:color w:val="auto"/>
                <w:spacing w:val="-1"/>
              </w:rPr>
              <w:t>应商在上传响应文件截止</w:t>
            </w:r>
            <w:r>
              <w:rPr>
                <w:color w:val="auto"/>
              </w:rPr>
              <w:t>时间前应及时完善主体诚信库中企业信息及扫描件，提交并自行核验通过。同时在“资格审查材料（不见面开标）”菜单下按分包挑选该包所用资格审查材料，以供评审过程中谈判小组查阅。供应商应确保主体诚信库信息与电子响应文件信息一致</w:t>
            </w:r>
            <w:r>
              <w:rPr>
                <w:color w:val="auto"/>
                <w:spacing w:val="3"/>
              </w:rPr>
              <w:t>,上传的资料要真实并清晰可辨。评审时以电子响应文件及“资格审查材料（不见</w:t>
            </w:r>
            <w:r>
              <w:rPr>
                <w:color w:val="auto"/>
                <w:spacing w:val="-2"/>
              </w:rPr>
              <w:t>面开标）”菜单中选取的企业信息为准。</w:t>
            </w:r>
          </w:p>
        </w:tc>
      </w:tr>
      <w:tr w14:paraId="420D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778" w:type="dxa"/>
            <w:vAlign w:val="top"/>
          </w:tcPr>
          <w:p w14:paraId="63E1EC8E">
            <w:pPr>
              <w:spacing w:line="251" w:lineRule="auto"/>
              <w:rPr>
                <w:rFonts w:ascii="Arial"/>
                <w:color w:val="auto"/>
                <w:sz w:val="21"/>
              </w:rPr>
            </w:pPr>
          </w:p>
          <w:p w14:paraId="18B6D1FD">
            <w:pPr>
              <w:spacing w:line="252" w:lineRule="auto"/>
              <w:rPr>
                <w:rFonts w:ascii="Arial"/>
                <w:color w:val="auto"/>
                <w:sz w:val="21"/>
              </w:rPr>
            </w:pPr>
          </w:p>
          <w:p w14:paraId="56E1D387">
            <w:pPr>
              <w:pStyle w:val="11"/>
              <w:spacing w:before="78" w:line="241" w:lineRule="auto"/>
              <w:ind w:left="289"/>
              <w:rPr>
                <w:color w:val="auto"/>
              </w:rPr>
            </w:pPr>
            <w:r>
              <w:rPr>
                <w:color w:val="auto"/>
                <w:spacing w:val="-7"/>
              </w:rPr>
              <w:t>14</w:t>
            </w:r>
          </w:p>
        </w:tc>
        <w:tc>
          <w:tcPr>
            <w:tcW w:w="8921" w:type="dxa"/>
            <w:vAlign w:val="top"/>
          </w:tcPr>
          <w:p w14:paraId="3B67ECF5">
            <w:pPr>
              <w:pStyle w:val="11"/>
              <w:spacing w:before="232" w:line="320" w:lineRule="auto"/>
              <w:ind w:left="107" w:right="172"/>
              <w:jc w:val="both"/>
              <w:rPr>
                <w:color w:val="auto"/>
              </w:rPr>
            </w:pPr>
            <w:r>
              <w:rPr>
                <w:color w:val="auto"/>
              </w:rPr>
              <w:t>评标办法：本次谈判将按照最低评标价法，即在符合采购需</w:t>
            </w:r>
            <w:r>
              <w:rPr>
                <w:color w:val="auto"/>
                <w:spacing w:val="-1"/>
              </w:rPr>
              <w:t>求、质量和服务相等的</w:t>
            </w:r>
            <w:r>
              <w:rPr>
                <w:color w:val="auto"/>
              </w:rPr>
              <w:t>前提下，以供应商最后一轮报价作为推荐成交候选供应商的</w:t>
            </w:r>
            <w:r>
              <w:rPr>
                <w:color w:val="auto"/>
                <w:spacing w:val="-1"/>
              </w:rPr>
              <w:t>依据，由低到高作出排</w:t>
            </w:r>
            <w:r>
              <w:rPr>
                <w:color w:val="auto"/>
                <w:spacing w:val="-2"/>
              </w:rPr>
              <w:t>序。最后一轮报价相同的，通过随机抽取产生。</w:t>
            </w:r>
          </w:p>
        </w:tc>
      </w:tr>
      <w:tr w14:paraId="02627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atLeast"/>
        </w:trPr>
        <w:tc>
          <w:tcPr>
            <w:tcW w:w="778" w:type="dxa"/>
            <w:vAlign w:val="top"/>
          </w:tcPr>
          <w:p w14:paraId="3A63C884">
            <w:pPr>
              <w:spacing w:line="277" w:lineRule="auto"/>
              <w:rPr>
                <w:rFonts w:ascii="Arial"/>
                <w:color w:val="auto"/>
                <w:sz w:val="21"/>
              </w:rPr>
            </w:pPr>
          </w:p>
          <w:p w14:paraId="3D7F5F19">
            <w:pPr>
              <w:spacing w:line="277" w:lineRule="auto"/>
              <w:rPr>
                <w:rFonts w:ascii="Arial"/>
                <w:color w:val="auto"/>
                <w:sz w:val="21"/>
              </w:rPr>
            </w:pPr>
          </w:p>
          <w:p w14:paraId="5A6D738F">
            <w:pPr>
              <w:spacing w:line="277" w:lineRule="auto"/>
              <w:rPr>
                <w:rFonts w:ascii="Arial"/>
                <w:color w:val="auto"/>
                <w:sz w:val="21"/>
              </w:rPr>
            </w:pPr>
          </w:p>
          <w:p w14:paraId="5A9600F0">
            <w:pPr>
              <w:spacing w:line="277" w:lineRule="auto"/>
              <w:rPr>
                <w:rFonts w:ascii="Arial"/>
                <w:color w:val="auto"/>
                <w:sz w:val="21"/>
              </w:rPr>
            </w:pPr>
          </w:p>
          <w:p w14:paraId="1CA551F7">
            <w:pPr>
              <w:spacing w:line="278" w:lineRule="auto"/>
              <w:rPr>
                <w:rFonts w:ascii="Arial"/>
                <w:color w:val="auto"/>
                <w:sz w:val="21"/>
              </w:rPr>
            </w:pPr>
          </w:p>
          <w:p w14:paraId="6CBD59BE">
            <w:pPr>
              <w:pStyle w:val="11"/>
              <w:spacing w:before="78"/>
              <w:ind w:left="289"/>
              <w:rPr>
                <w:color w:val="auto"/>
              </w:rPr>
            </w:pPr>
            <w:r>
              <w:rPr>
                <w:color w:val="auto"/>
                <w:spacing w:val="-7"/>
              </w:rPr>
              <w:t>15</w:t>
            </w:r>
          </w:p>
        </w:tc>
        <w:tc>
          <w:tcPr>
            <w:tcW w:w="8921" w:type="dxa"/>
            <w:vAlign w:val="top"/>
          </w:tcPr>
          <w:p w14:paraId="48B0EA49">
            <w:pPr>
              <w:pStyle w:val="11"/>
              <w:spacing w:before="71" w:line="350" w:lineRule="auto"/>
              <w:ind w:left="107" w:right="172" w:firstLine="2"/>
              <w:rPr>
                <w:color w:val="auto"/>
              </w:rPr>
            </w:pPr>
            <w:r>
              <w:rPr>
                <w:color w:val="auto"/>
              </w:rPr>
              <w:t>成交公告及成交通知书：谈判结束后，评审（标）</w:t>
            </w:r>
            <w:r>
              <w:rPr>
                <w:rFonts w:hint="eastAsia"/>
                <w:color w:val="auto"/>
                <w:lang w:val="en-US" w:eastAsia="zh-CN"/>
              </w:rPr>
              <w:t>谈判小组</w:t>
            </w:r>
            <w:r>
              <w:rPr>
                <w:color w:val="auto"/>
                <w:spacing w:val="-1"/>
              </w:rPr>
              <w:t>根据全体评审（标）成员</w:t>
            </w:r>
            <w:r>
              <w:rPr>
                <w:color w:val="auto"/>
              </w:rPr>
              <w:t>签字的原始评审（标）记录和评审（标）结果编写评审（标</w:t>
            </w:r>
            <w:r>
              <w:rPr>
                <w:color w:val="auto"/>
                <w:spacing w:val="-1"/>
              </w:rPr>
              <w:t>）报告，采购代理机构</w:t>
            </w:r>
            <w:r>
              <w:rPr>
                <w:color w:val="auto"/>
              </w:rPr>
              <w:t>应当履行核对评审（标）结果职责，并在评审评标结束后2</w:t>
            </w:r>
            <w:r>
              <w:rPr>
                <w:color w:val="auto"/>
                <w:spacing w:val="-1"/>
              </w:rPr>
              <w:t>个工作日内将评标报告</w:t>
            </w:r>
            <w:r>
              <w:rPr>
                <w:color w:val="auto"/>
              </w:rPr>
              <w:t>通过公共资源电子交易系统提交采购人，采购人应当在收到</w:t>
            </w:r>
            <w:r>
              <w:rPr>
                <w:color w:val="auto"/>
                <w:spacing w:val="-1"/>
              </w:rPr>
              <w:t>评审报告1个工作日内</w:t>
            </w:r>
            <w:r>
              <w:rPr>
                <w:color w:val="auto"/>
              </w:rPr>
              <w:t>通过公共资源电子交易系统线上确定中标、成交供应商。采</w:t>
            </w:r>
            <w:r>
              <w:rPr>
                <w:color w:val="auto"/>
                <w:spacing w:val="-1"/>
              </w:rPr>
              <w:t>购代理机构在收到采购</w:t>
            </w:r>
            <w:r>
              <w:rPr>
                <w:color w:val="auto"/>
              </w:rPr>
              <w:t>人确定的中标、成交结果确认后，第一时间在河南省政府采</w:t>
            </w:r>
            <w:r>
              <w:rPr>
                <w:color w:val="auto"/>
                <w:spacing w:val="-1"/>
              </w:rPr>
              <w:t>购网、驻马店市公共资</w:t>
            </w:r>
            <w:r>
              <w:rPr>
                <w:color w:val="auto"/>
                <w:spacing w:val="-2"/>
              </w:rPr>
              <w:t>源交易中心网上发布成交公告，同时向成交供应商发出成交通知书。</w:t>
            </w:r>
          </w:p>
        </w:tc>
      </w:tr>
      <w:tr w14:paraId="168D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78" w:type="dxa"/>
            <w:vAlign w:val="top"/>
          </w:tcPr>
          <w:p w14:paraId="1CE0F73E">
            <w:pPr>
              <w:pStyle w:val="11"/>
              <w:spacing w:before="74"/>
              <w:ind w:left="289"/>
              <w:rPr>
                <w:color w:val="auto"/>
              </w:rPr>
            </w:pPr>
            <w:r>
              <w:rPr>
                <w:color w:val="auto"/>
                <w:spacing w:val="-7"/>
              </w:rPr>
              <w:t>16</w:t>
            </w:r>
          </w:p>
        </w:tc>
        <w:tc>
          <w:tcPr>
            <w:tcW w:w="8921" w:type="dxa"/>
            <w:vAlign w:val="top"/>
          </w:tcPr>
          <w:p w14:paraId="27EA9A95">
            <w:pPr>
              <w:pStyle w:val="11"/>
              <w:spacing w:before="74" w:line="220" w:lineRule="auto"/>
              <w:ind w:left="120"/>
              <w:rPr>
                <w:color w:val="auto"/>
              </w:rPr>
            </w:pPr>
            <w:r>
              <w:rPr>
                <w:color w:val="auto"/>
                <w:spacing w:val="-3"/>
              </w:rPr>
              <w:t>响应性文件有效期：递交响应性文件截止期结束后60日。</w:t>
            </w:r>
          </w:p>
        </w:tc>
      </w:tr>
      <w:tr w14:paraId="2DFB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78" w:type="dxa"/>
            <w:vAlign w:val="top"/>
          </w:tcPr>
          <w:p w14:paraId="3FB4D3F3">
            <w:pPr>
              <w:pStyle w:val="11"/>
              <w:spacing w:before="74"/>
              <w:ind w:left="289"/>
              <w:rPr>
                <w:rFonts w:hint="default"/>
                <w:color w:val="auto"/>
                <w:spacing w:val="-7"/>
                <w:lang w:val="en-US" w:eastAsia="zh-CN"/>
              </w:rPr>
            </w:pPr>
            <w:r>
              <w:rPr>
                <w:rFonts w:hint="eastAsia"/>
                <w:color w:val="auto"/>
                <w:spacing w:val="-7"/>
                <w:lang w:val="en-US" w:eastAsia="zh-CN"/>
              </w:rPr>
              <w:t>17</w:t>
            </w:r>
          </w:p>
        </w:tc>
        <w:tc>
          <w:tcPr>
            <w:tcW w:w="8921" w:type="dxa"/>
            <w:vAlign w:val="top"/>
          </w:tcPr>
          <w:p w14:paraId="0AAB5E1A">
            <w:pPr>
              <w:pStyle w:val="11"/>
              <w:spacing w:before="74"/>
              <w:rPr>
                <w:color w:val="auto"/>
                <w:spacing w:val="-7"/>
              </w:rPr>
            </w:pPr>
            <w:r>
              <w:rPr>
                <w:color w:val="auto"/>
                <w:spacing w:val="-7"/>
              </w:rPr>
              <w:t>本项目使用远程不见面交易的模式。供应商应于提交响应文件截止时间前将加密电子响应文件(.zmdtf格式)在驻马店市公共资源交易中心电子交易平台加密上传，逾期上传谈判将被拒绝。</w:t>
            </w:r>
          </w:p>
        </w:tc>
      </w:tr>
      <w:tr w14:paraId="0A43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778" w:type="dxa"/>
            <w:vAlign w:val="top"/>
          </w:tcPr>
          <w:p w14:paraId="7D19979D">
            <w:pPr>
              <w:spacing w:line="268" w:lineRule="auto"/>
              <w:rPr>
                <w:rFonts w:ascii="Arial"/>
                <w:color w:val="auto"/>
                <w:sz w:val="21"/>
              </w:rPr>
            </w:pPr>
          </w:p>
          <w:p w14:paraId="198D311C">
            <w:pPr>
              <w:spacing w:line="268" w:lineRule="auto"/>
              <w:rPr>
                <w:rFonts w:ascii="Arial"/>
                <w:color w:val="auto"/>
                <w:sz w:val="21"/>
              </w:rPr>
            </w:pPr>
          </w:p>
          <w:p w14:paraId="05664798">
            <w:pPr>
              <w:spacing w:line="269" w:lineRule="auto"/>
              <w:rPr>
                <w:rFonts w:ascii="Arial"/>
                <w:color w:val="auto"/>
                <w:sz w:val="21"/>
              </w:rPr>
            </w:pPr>
          </w:p>
          <w:p w14:paraId="28F99C2D">
            <w:pPr>
              <w:spacing w:line="269" w:lineRule="auto"/>
              <w:rPr>
                <w:rFonts w:ascii="Arial"/>
                <w:color w:val="auto"/>
                <w:sz w:val="21"/>
              </w:rPr>
            </w:pPr>
          </w:p>
          <w:p w14:paraId="520CE83E">
            <w:pPr>
              <w:spacing w:line="269" w:lineRule="auto"/>
              <w:rPr>
                <w:rFonts w:ascii="Arial"/>
                <w:color w:val="auto"/>
                <w:sz w:val="21"/>
              </w:rPr>
            </w:pPr>
          </w:p>
          <w:p w14:paraId="2780C058">
            <w:pPr>
              <w:spacing w:line="269" w:lineRule="auto"/>
              <w:rPr>
                <w:rFonts w:ascii="Arial"/>
                <w:color w:val="auto"/>
                <w:sz w:val="21"/>
              </w:rPr>
            </w:pPr>
          </w:p>
          <w:p w14:paraId="7F2E0EAB">
            <w:pPr>
              <w:pStyle w:val="11"/>
              <w:spacing w:before="78"/>
              <w:ind w:left="289"/>
              <w:rPr>
                <w:color w:val="auto"/>
              </w:rPr>
            </w:pPr>
            <w:r>
              <w:rPr>
                <w:color w:val="auto"/>
                <w:spacing w:val="-7"/>
              </w:rPr>
              <w:t>18</w:t>
            </w:r>
          </w:p>
        </w:tc>
        <w:tc>
          <w:tcPr>
            <w:tcW w:w="8921" w:type="dxa"/>
            <w:vAlign w:val="top"/>
          </w:tcPr>
          <w:p w14:paraId="25AE707C">
            <w:pPr>
              <w:pStyle w:val="11"/>
              <w:spacing w:before="66" w:line="219" w:lineRule="auto"/>
              <w:ind w:left="108"/>
              <w:rPr>
                <w:b/>
                <w:bCs/>
                <w:color w:val="auto"/>
                <w:spacing w:val="-12"/>
              </w:rPr>
            </w:pPr>
          </w:p>
          <w:p w14:paraId="7079CD5A">
            <w:pPr>
              <w:pStyle w:val="11"/>
              <w:spacing w:before="66" w:line="219" w:lineRule="auto"/>
              <w:ind w:left="108"/>
              <w:rPr>
                <w:rFonts w:ascii="Arial"/>
                <w:color w:val="auto"/>
                <w:sz w:val="21"/>
              </w:rPr>
            </w:pPr>
            <w:r>
              <w:rPr>
                <w:b/>
                <w:bCs/>
                <w:color w:val="auto"/>
                <w:spacing w:val="-12"/>
              </w:rPr>
              <w:t>供应商注册：</w:t>
            </w:r>
          </w:p>
          <w:p w14:paraId="1FEB7727">
            <w:pPr>
              <w:pStyle w:val="11"/>
              <w:spacing w:before="78" w:line="349" w:lineRule="auto"/>
              <w:ind w:left="105" w:right="172" w:firstLine="2"/>
              <w:jc w:val="both"/>
              <w:rPr>
                <w:color w:val="auto"/>
              </w:rPr>
            </w:pPr>
            <w:r>
              <w:rPr>
                <w:color w:val="auto"/>
              </w:rPr>
              <w:t>供应商首先通过“驻马店市公共资源交易中心（</w:t>
            </w:r>
            <w:r>
              <w:rPr>
                <w:color w:val="auto"/>
              </w:rPr>
              <w:fldChar w:fldCharType="begin"/>
            </w:r>
            <w:r>
              <w:rPr>
                <w:color w:val="auto"/>
              </w:rPr>
              <w:instrText xml:space="preserve"> HYPERLINK "http://ggzy.zhumadian.gov.cn/tpfront" </w:instrText>
            </w:r>
            <w:r>
              <w:rPr>
                <w:color w:val="auto"/>
              </w:rPr>
              <w:fldChar w:fldCharType="separate"/>
            </w:r>
            <w:r>
              <w:rPr>
                <w:color w:val="auto"/>
              </w:rPr>
              <w:t>http://ggzy.zhumadi</w:t>
            </w:r>
            <w:r>
              <w:rPr>
                <w:color w:val="auto"/>
                <w:spacing w:val="-1"/>
              </w:rPr>
              <w:t>an.gov.cn/t</w:t>
            </w:r>
            <w:r>
              <w:rPr>
                <w:color w:val="auto"/>
                <w:spacing w:val="-1"/>
              </w:rPr>
              <w:fldChar w:fldCharType="end"/>
            </w:r>
            <w:r>
              <w:rPr>
                <w:color w:val="auto"/>
              </w:rPr>
              <w:fldChar w:fldCharType="begin"/>
            </w:r>
            <w:r>
              <w:rPr>
                <w:color w:val="auto"/>
              </w:rPr>
              <w:instrText xml:space="preserve"> HYPERLINK "http://ggzy.zhumadian.gov.cn/tpfront" </w:instrText>
            </w:r>
            <w:r>
              <w:rPr>
                <w:color w:val="auto"/>
              </w:rPr>
              <w:fldChar w:fldCharType="separate"/>
            </w:r>
            <w:r>
              <w:rPr>
                <w:color w:val="auto"/>
                <w:spacing w:val="-1"/>
              </w:rPr>
              <w:t>pfront</w:t>
            </w:r>
            <w:r>
              <w:rPr>
                <w:color w:val="auto"/>
                <w:spacing w:val="-1"/>
              </w:rPr>
              <w:fldChar w:fldCharType="end"/>
            </w:r>
            <w:r>
              <w:rPr>
                <w:color w:val="auto"/>
                <w:spacing w:val="-1"/>
              </w:rPr>
              <w:t>）”网站“投标人登陆版块”进行交易主体免费注册，然后按网站下载中心（其他）“诚信库申报操作手册”指导填报企业信息和上传有关资料原件的扫描件</w:t>
            </w:r>
            <w:r>
              <w:rPr>
                <w:color w:val="auto"/>
                <w:spacing w:val="3"/>
              </w:rPr>
              <w:t>,完善诚信库信息，自行核验通过后，按网站下载中心（其他）“办理</w:t>
            </w:r>
            <w:r>
              <w:rPr>
                <w:color w:val="auto"/>
              </w:rPr>
              <w:t>HNXACA</w:t>
            </w:r>
            <w:r>
              <w:rPr>
                <w:color w:val="auto"/>
                <w:spacing w:val="3"/>
              </w:rPr>
              <w:t>单位</w:t>
            </w:r>
            <w:r>
              <w:rPr>
                <w:color w:val="auto"/>
              </w:rPr>
              <w:t>个人数字证书所需材料下载”准备齐资料，最后到驻马店市公共</w:t>
            </w:r>
            <w:r>
              <w:rPr>
                <w:color w:val="auto"/>
                <w:spacing w:val="-1"/>
              </w:rPr>
              <w:t>资源交易中心（驻马店市文明路1196号公共资源交易中心1F大厅）办理CA密钥，完成注册。</w:t>
            </w:r>
          </w:p>
        </w:tc>
      </w:tr>
      <w:tr w14:paraId="01E64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778" w:type="dxa"/>
            <w:vAlign w:val="top"/>
          </w:tcPr>
          <w:p w14:paraId="4D3EEBAA">
            <w:pPr>
              <w:spacing w:line="343" w:lineRule="auto"/>
              <w:rPr>
                <w:rFonts w:ascii="Arial"/>
                <w:color w:val="auto"/>
                <w:sz w:val="21"/>
              </w:rPr>
            </w:pPr>
          </w:p>
          <w:p w14:paraId="2338EC91">
            <w:pPr>
              <w:spacing w:line="344" w:lineRule="auto"/>
              <w:rPr>
                <w:rFonts w:ascii="Arial"/>
                <w:color w:val="auto"/>
                <w:sz w:val="21"/>
              </w:rPr>
            </w:pPr>
          </w:p>
          <w:p w14:paraId="4B083550">
            <w:pPr>
              <w:pStyle w:val="11"/>
              <w:spacing w:before="78"/>
              <w:ind w:left="289"/>
              <w:rPr>
                <w:color w:val="auto"/>
              </w:rPr>
            </w:pPr>
            <w:r>
              <w:rPr>
                <w:color w:val="auto"/>
                <w:spacing w:val="-7"/>
              </w:rPr>
              <w:t>19</w:t>
            </w:r>
          </w:p>
        </w:tc>
        <w:tc>
          <w:tcPr>
            <w:tcW w:w="8921" w:type="dxa"/>
            <w:vAlign w:val="top"/>
          </w:tcPr>
          <w:p w14:paraId="019D65AF">
            <w:pPr>
              <w:pStyle w:val="11"/>
              <w:spacing w:before="69" w:line="220" w:lineRule="auto"/>
              <w:ind w:left="107"/>
              <w:rPr>
                <w:color w:val="auto"/>
              </w:rPr>
            </w:pPr>
            <w:r>
              <w:rPr>
                <w:b/>
                <w:bCs/>
                <w:color w:val="auto"/>
                <w:spacing w:val="-11"/>
              </w:rPr>
              <w:t>谈判文件下载：</w:t>
            </w:r>
          </w:p>
          <w:p w14:paraId="076FF2F1">
            <w:pPr>
              <w:pStyle w:val="11"/>
              <w:spacing w:before="182" w:line="338" w:lineRule="auto"/>
              <w:ind w:left="110" w:right="172" w:firstLine="2"/>
              <w:jc w:val="both"/>
              <w:rPr>
                <w:color w:val="auto"/>
              </w:rPr>
            </w:pPr>
            <w:r>
              <w:rPr>
                <w:color w:val="auto"/>
              </w:rPr>
              <w:t>凡有意参加谈判者，登录“驻马店市公共资源交易中心（</w:t>
            </w:r>
            <w:r>
              <w:rPr>
                <w:color w:val="auto"/>
              </w:rPr>
              <w:fldChar w:fldCharType="begin"/>
            </w:r>
            <w:r>
              <w:rPr>
                <w:color w:val="auto"/>
              </w:rPr>
              <w:instrText xml:space="preserve"> HYPERLINK "http://ggzy.zhumadian" </w:instrText>
            </w:r>
            <w:r>
              <w:rPr>
                <w:color w:val="auto"/>
              </w:rPr>
              <w:fldChar w:fldCharType="separate"/>
            </w:r>
            <w:r>
              <w:rPr>
                <w:color w:val="auto"/>
              </w:rPr>
              <w:t>http:/</w:t>
            </w:r>
            <w:r>
              <w:rPr>
                <w:color w:val="auto"/>
                <w:spacing w:val="-1"/>
              </w:rPr>
              <w:t>/ggzy.zhumadian</w:t>
            </w:r>
            <w:r>
              <w:rPr>
                <w:color w:val="auto"/>
                <w:spacing w:val="-1"/>
              </w:rPr>
              <w:fldChar w:fldCharType="end"/>
            </w:r>
            <w:r>
              <w:rPr>
                <w:color w:val="auto"/>
                <w:spacing w:val="-1"/>
              </w:rPr>
              <w:t>.</w:t>
            </w:r>
            <w:r>
              <w:rPr>
                <w:color w:val="auto"/>
              </w:rPr>
              <w:t>gov.cn/TPFront/）”网站，凭领取的企业身份认证锁</w:t>
            </w:r>
            <w:r>
              <w:rPr>
                <w:color w:val="auto"/>
                <w:spacing w:val="-1"/>
              </w:rPr>
              <w:t>（CA密钥）登录系统进行网上免费下载谈判文件。供应商未按规定在网上下载谈判文件</w:t>
            </w:r>
            <w:r>
              <w:rPr>
                <w:color w:val="auto"/>
                <w:spacing w:val="-2"/>
              </w:rPr>
              <w:t>的，其谈判将被拒绝。</w:t>
            </w:r>
          </w:p>
        </w:tc>
      </w:tr>
      <w:tr w14:paraId="3DC7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6" w:hRule="atLeast"/>
        </w:trPr>
        <w:tc>
          <w:tcPr>
            <w:tcW w:w="778" w:type="dxa"/>
            <w:vAlign w:val="top"/>
          </w:tcPr>
          <w:p w14:paraId="09C7CA49">
            <w:pPr>
              <w:spacing w:line="241" w:lineRule="auto"/>
              <w:rPr>
                <w:rFonts w:ascii="Arial"/>
                <w:color w:val="auto"/>
                <w:sz w:val="21"/>
              </w:rPr>
            </w:pPr>
          </w:p>
          <w:p w14:paraId="5D776683">
            <w:pPr>
              <w:spacing w:line="241" w:lineRule="auto"/>
              <w:rPr>
                <w:rFonts w:ascii="Arial"/>
                <w:color w:val="auto"/>
                <w:sz w:val="21"/>
              </w:rPr>
            </w:pPr>
          </w:p>
          <w:p w14:paraId="2F3FEDB0">
            <w:pPr>
              <w:spacing w:line="241" w:lineRule="auto"/>
              <w:rPr>
                <w:rFonts w:ascii="Arial"/>
                <w:color w:val="auto"/>
                <w:sz w:val="21"/>
              </w:rPr>
            </w:pPr>
          </w:p>
          <w:p w14:paraId="2F3676B8">
            <w:pPr>
              <w:spacing w:line="241" w:lineRule="auto"/>
              <w:rPr>
                <w:rFonts w:ascii="Arial"/>
                <w:color w:val="auto"/>
                <w:sz w:val="21"/>
              </w:rPr>
            </w:pPr>
          </w:p>
          <w:p w14:paraId="5512C27A">
            <w:pPr>
              <w:spacing w:line="241" w:lineRule="auto"/>
              <w:rPr>
                <w:rFonts w:ascii="Arial"/>
                <w:color w:val="auto"/>
                <w:sz w:val="21"/>
              </w:rPr>
            </w:pPr>
          </w:p>
          <w:p w14:paraId="78FE10B3">
            <w:pPr>
              <w:spacing w:line="241" w:lineRule="auto"/>
              <w:rPr>
                <w:rFonts w:ascii="Arial"/>
                <w:color w:val="auto"/>
                <w:sz w:val="21"/>
              </w:rPr>
            </w:pPr>
          </w:p>
          <w:p w14:paraId="523BA5C8">
            <w:pPr>
              <w:spacing w:line="242" w:lineRule="auto"/>
              <w:rPr>
                <w:rFonts w:ascii="Arial"/>
                <w:color w:val="auto"/>
                <w:sz w:val="21"/>
              </w:rPr>
            </w:pPr>
          </w:p>
          <w:p w14:paraId="339BC3BC">
            <w:pPr>
              <w:spacing w:line="242" w:lineRule="auto"/>
              <w:rPr>
                <w:rFonts w:ascii="Arial"/>
                <w:color w:val="auto"/>
                <w:sz w:val="21"/>
              </w:rPr>
            </w:pPr>
          </w:p>
          <w:p w14:paraId="4CDB03C3">
            <w:pPr>
              <w:spacing w:line="242" w:lineRule="auto"/>
              <w:rPr>
                <w:rFonts w:ascii="Arial"/>
                <w:color w:val="auto"/>
                <w:sz w:val="21"/>
              </w:rPr>
            </w:pPr>
          </w:p>
          <w:p w14:paraId="7E6A086B">
            <w:pPr>
              <w:spacing w:line="242" w:lineRule="auto"/>
              <w:rPr>
                <w:rFonts w:ascii="Arial"/>
                <w:color w:val="auto"/>
                <w:sz w:val="21"/>
              </w:rPr>
            </w:pPr>
          </w:p>
          <w:p w14:paraId="2B34A2F7">
            <w:pPr>
              <w:spacing w:line="242" w:lineRule="auto"/>
              <w:rPr>
                <w:rFonts w:ascii="Arial"/>
                <w:color w:val="auto"/>
                <w:sz w:val="21"/>
              </w:rPr>
            </w:pPr>
          </w:p>
          <w:p w14:paraId="6F8FAF11">
            <w:pPr>
              <w:spacing w:line="242" w:lineRule="auto"/>
              <w:rPr>
                <w:rFonts w:ascii="Arial"/>
                <w:color w:val="auto"/>
                <w:sz w:val="21"/>
              </w:rPr>
            </w:pPr>
          </w:p>
          <w:p w14:paraId="33A0D1E9">
            <w:pPr>
              <w:spacing w:line="242" w:lineRule="auto"/>
              <w:rPr>
                <w:rFonts w:ascii="Arial"/>
                <w:color w:val="auto"/>
                <w:sz w:val="21"/>
              </w:rPr>
            </w:pPr>
          </w:p>
          <w:p w14:paraId="37255143">
            <w:pPr>
              <w:spacing w:line="242" w:lineRule="auto"/>
              <w:rPr>
                <w:rFonts w:ascii="Arial"/>
                <w:color w:val="auto"/>
                <w:sz w:val="21"/>
              </w:rPr>
            </w:pPr>
          </w:p>
          <w:p w14:paraId="282A582E">
            <w:pPr>
              <w:spacing w:line="242" w:lineRule="auto"/>
              <w:rPr>
                <w:rFonts w:ascii="Arial"/>
                <w:color w:val="auto"/>
                <w:sz w:val="21"/>
              </w:rPr>
            </w:pPr>
          </w:p>
          <w:p w14:paraId="1447C0E5">
            <w:pPr>
              <w:spacing w:line="242" w:lineRule="auto"/>
              <w:rPr>
                <w:rFonts w:ascii="Arial"/>
                <w:color w:val="auto"/>
                <w:sz w:val="21"/>
              </w:rPr>
            </w:pPr>
          </w:p>
          <w:p w14:paraId="5A2516E3">
            <w:pPr>
              <w:spacing w:line="242" w:lineRule="auto"/>
              <w:rPr>
                <w:rFonts w:ascii="Arial"/>
                <w:color w:val="auto"/>
                <w:sz w:val="21"/>
              </w:rPr>
            </w:pPr>
          </w:p>
          <w:p w14:paraId="280FCE74">
            <w:pPr>
              <w:spacing w:line="242" w:lineRule="auto"/>
              <w:rPr>
                <w:rFonts w:ascii="Arial"/>
                <w:color w:val="auto"/>
                <w:sz w:val="21"/>
              </w:rPr>
            </w:pPr>
          </w:p>
          <w:p w14:paraId="576CE5CA">
            <w:pPr>
              <w:spacing w:line="242" w:lineRule="auto"/>
              <w:rPr>
                <w:rFonts w:ascii="Arial"/>
                <w:color w:val="auto"/>
                <w:sz w:val="21"/>
              </w:rPr>
            </w:pPr>
          </w:p>
          <w:p w14:paraId="44BFE1BC">
            <w:pPr>
              <w:spacing w:line="242" w:lineRule="auto"/>
              <w:rPr>
                <w:rFonts w:ascii="Arial"/>
                <w:color w:val="auto"/>
                <w:sz w:val="21"/>
              </w:rPr>
            </w:pPr>
          </w:p>
          <w:p w14:paraId="0B753CA1">
            <w:pPr>
              <w:spacing w:line="242" w:lineRule="auto"/>
              <w:rPr>
                <w:rFonts w:ascii="Arial"/>
                <w:color w:val="auto"/>
                <w:sz w:val="21"/>
              </w:rPr>
            </w:pPr>
          </w:p>
          <w:p w14:paraId="0DA84126">
            <w:pPr>
              <w:spacing w:line="242" w:lineRule="auto"/>
              <w:rPr>
                <w:rFonts w:ascii="Arial"/>
                <w:color w:val="auto"/>
                <w:sz w:val="21"/>
              </w:rPr>
            </w:pPr>
          </w:p>
          <w:p w14:paraId="496BFB43">
            <w:pPr>
              <w:spacing w:line="242" w:lineRule="auto"/>
              <w:rPr>
                <w:rFonts w:ascii="Arial"/>
                <w:color w:val="auto"/>
                <w:sz w:val="21"/>
              </w:rPr>
            </w:pPr>
          </w:p>
          <w:p w14:paraId="1347A340">
            <w:pPr>
              <w:pStyle w:val="11"/>
              <w:spacing w:before="78"/>
              <w:ind w:left="274"/>
              <w:rPr>
                <w:color w:val="auto"/>
              </w:rPr>
            </w:pPr>
            <w:r>
              <w:rPr>
                <w:color w:val="auto"/>
                <w:spacing w:val="-4"/>
              </w:rPr>
              <w:t>20</w:t>
            </w:r>
          </w:p>
        </w:tc>
        <w:tc>
          <w:tcPr>
            <w:tcW w:w="8921" w:type="dxa"/>
            <w:vAlign w:val="top"/>
          </w:tcPr>
          <w:p w14:paraId="24A93E4D">
            <w:pPr>
              <w:pStyle w:val="11"/>
              <w:spacing w:before="70" w:line="220" w:lineRule="auto"/>
              <w:ind w:left="107"/>
              <w:rPr>
                <w:color w:val="auto"/>
              </w:rPr>
            </w:pPr>
            <w:r>
              <w:rPr>
                <w:b/>
                <w:bCs/>
                <w:color w:val="auto"/>
                <w:spacing w:val="-11"/>
              </w:rPr>
              <w:t>谈判文件制作：</w:t>
            </w:r>
          </w:p>
          <w:p w14:paraId="2313D4C4">
            <w:pPr>
              <w:pStyle w:val="11"/>
              <w:spacing w:before="179" w:line="314" w:lineRule="auto"/>
              <w:ind w:left="112" w:right="172" w:firstLine="13"/>
              <w:rPr>
                <w:color w:val="auto"/>
              </w:rPr>
            </w:pPr>
            <w:r>
              <w:rPr>
                <w:color w:val="auto"/>
              </w:rPr>
              <w:t>1、供应商通过“驻马店市公共资源交易中心（</w:t>
            </w:r>
            <w:r>
              <w:rPr>
                <w:color w:val="auto"/>
              </w:rPr>
              <w:fldChar w:fldCharType="begin"/>
            </w:r>
            <w:r>
              <w:rPr>
                <w:color w:val="auto"/>
              </w:rPr>
              <w:instrText xml:space="preserve"> HYPERLINK "http://ggzy.zhumadian.gov.cn/tpfront" </w:instrText>
            </w:r>
            <w:r>
              <w:rPr>
                <w:color w:val="auto"/>
              </w:rPr>
              <w:fldChar w:fldCharType="separate"/>
            </w:r>
            <w:r>
              <w:rPr>
                <w:color w:val="auto"/>
              </w:rPr>
              <w:t>ht</w:t>
            </w:r>
            <w:r>
              <w:rPr>
                <w:color w:val="auto"/>
                <w:spacing w:val="-1"/>
              </w:rPr>
              <w:t>tp://ggzy.zhumadian.gov.cn/tp</w:t>
            </w:r>
            <w:r>
              <w:rPr>
                <w:color w:val="auto"/>
                <w:spacing w:val="-1"/>
              </w:rPr>
              <w:fldChar w:fldCharType="end"/>
            </w:r>
            <w:r>
              <w:rPr>
                <w:color w:val="auto"/>
              </w:rPr>
              <w:fldChar w:fldCharType="begin"/>
            </w:r>
            <w:r>
              <w:rPr>
                <w:color w:val="auto"/>
              </w:rPr>
              <w:instrText xml:space="preserve"> HYPERLINK "http://ggzy.zhumadian.gov.cn/tpfront" </w:instrText>
            </w:r>
            <w:r>
              <w:rPr>
                <w:color w:val="auto"/>
              </w:rPr>
              <w:fldChar w:fldCharType="separate"/>
            </w:r>
            <w:r>
              <w:rPr>
                <w:color w:val="auto"/>
                <w:spacing w:val="-1"/>
              </w:rPr>
              <w:t>front</w:t>
            </w:r>
            <w:r>
              <w:rPr>
                <w:color w:val="auto"/>
                <w:spacing w:val="-1"/>
              </w:rPr>
              <w:fldChar w:fldCharType="end"/>
            </w:r>
            <w:r>
              <w:rPr>
                <w:color w:val="auto"/>
                <w:spacing w:val="-1"/>
              </w:rPr>
              <w:t>）”网站下载中心（政府采购类</w:t>
            </w:r>
            <w:r>
              <w:rPr>
                <w:color w:val="auto"/>
                <w:spacing w:val="4"/>
              </w:rPr>
              <w:t>）：</w:t>
            </w:r>
            <w:r>
              <w:rPr>
                <w:color w:val="auto"/>
                <w:spacing w:val="-1"/>
              </w:rPr>
              <w:t>下载“新点投标文件制作软件（驻马店</w:t>
            </w:r>
            <w:r>
              <w:rPr>
                <w:color w:val="auto"/>
                <w:spacing w:val="23"/>
              </w:rPr>
              <w:t>)”。</w:t>
            </w:r>
          </w:p>
          <w:p w14:paraId="112A650F">
            <w:pPr>
              <w:pStyle w:val="11"/>
              <w:spacing w:before="177" w:line="219" w:lineRule="auto"/>
              <w:ind w:left="111"/>
              <w:rPr>
                <w:color w:val="auto"/>
              </w:rPr>
            </w:pPr>
            <w:r>
              <w:rPr>
                <w:color w:val="auto"/>
                <w:spacing w:val="-1"/>
              </w:rPr>
              <w:t>2、供应商凭CA密钥登陆交易系统下载谈判文件(.zmdzf格式)。</w:t>
            </w:r>
          </w:p>
          <w:p w14:paraId="3179273D">
            <w:pPr>
              <w:pStyle w:val="11"/>
              <w:spacing w:before="183" w:line="289" w:lineRule="auto"/>
              <w:ind w:left="108" w:right="3227" w:firstLine="4"/>
              <w:rPr>
                <w:color w:val="auto"/>
              </w:rPr>
            </w:pPr>
            <w:r>
              <w:rPr>
                <w:color w:val="auto"/>
                <w:spacing w:val="-3"/>
              </w:rPr>
              <w:t>3、供应商须在提交响应文件截止时间前制作并提交：</w:t>
            </w:r>
            <w:r>
              <w:rPr>
                <w:color w:val="auto"/>
                <w:spacing w:val="-1"/>
              </w:rPr>
              <w:t>加密的电子响应文件（.zmdtf</w:t>
            </w:r>
          </w:p>
          <w:p w14:paraId="0313BA31">
            <w:pPr>
              <w:pStyle w:val="11"/>
              <w:spacing w:before="182" w:line="358" w:lineRule="auto"/>
              <w:ind w:left="111" w:right="172" w:hanging="3"/>
              <w:rPr>
                <w:color w:val="auto"/>
              </w:rPr>
            </w:pPr>
            <w:r>
              <w:rPr>
                <w:color w:val="auto"/>
              </w:rPr>
              <w:t>格式）,应在提交响应文件截止时间前通过“驻马店市公共资源交</w:t>
            </w:r>
            <w:r>
              <w:rPr>
                <w:color w:val="auto"/>
                <w:spacing w:val="-1"/>
              </w:rPr>
              <w:t>易中心（</w:t>
            </w:r>
            <w:r>
              <w:rPr>
                <w:color w:val="auto"/>
              </w:rPr>
              <w:fldChar w:fldCharType="begin"/>
            </w:r>
            <w:r>
              <w:rPr>
                <w:color w:val="auto"/>
              </w:rPr>
              <w:instrText xml:space="preserve"> HYPERLINK "http://ggzy.zhumadian.gov.cn/tpfront" </w:instrText>
            </w:r>
            <w:r>
              <w:rPr>
                <w:color w:val="auto"/>
              </w:rPr>
              <w:fldChar w:fldCharType="separate"/>
            </w:r>
            <w:r>
              <w:rPr>
                <w:color w:val="auto"/>
                <w:spacing w:val="-1"/>
              </w:rPr>
              <w:t>http://</w:t>
            </w:r>
            <w:r>
              <w:rPr>
                <w:color w:val="auto"/>
                <w:spacing w:val="-1"/>
              </w:rPr>
              <w:fldChar w:fldCharType="end"/>
            </w:r>
            <w:r>
              <w:rPr>
                <w:color w:val="auto"/>
              </w:rPr>
              <w:fldChar w:fldCharType="begin"/>
            </w:r>
            <w:r>
              <w:rPr>
                <w:color w:val="auto"/>
              </w:rPr>
              <w:instrText xml:space="preserve"> HYPERLINK "http://ggzy.zhumadian.gov.cn/tpfront" </w:instrText>
            </w:r>
            <w:r>
              <w:rPr>
                <w:color w:val="auto"/>
              </w:rPr>
              <w:fldChar w:fldCharType="separate"/>
            </w:r>
            <w:r>
              <w:rPr>
                <w:color w:val="auto"/>
                <w:spacing w:val="-2"/>
              </w:rPr>
              <w:t>ggzy.zhumadian.gov.cn/tpfront</w:t>
            </w:r>
            <w:r>
              <w:rPr>
                <w:color w:val="auto"/>
                <w:spacing w:val="-2"/>
              </w:rPr>
              <w:fldChar w:fldCharType="end"/>
            </w:r>
            <w:r>
              <w:rPr>
                <w:color w:val="auto"/>
                <w:spacing w:val="-2"/>
              </w:rPr>
              <w:t>）”电子交易平台内上传；</w:t>
            </w:r>
          </w:p>
          <w:p w14:paraId="073DD233">
            <w:pPr>
              <w:pStyle w:val="11"/>
              <w:spacing w:before="2" w:line="359" w:lineRule="auto"/>
              <w:ind w:left="114" w:right="172" w:hanging="7"/>
              <w:rPr>
                <w:color w:val="auto"/>
              </w:rPr>
            </w:pPr>
            <w:r>
              <w:rPr>
                <w:color w:val="auto"/>
              </w:rPr>
              <w:t>4、加密的电子响应文件为“驻马店市公共资源交易中心（</w:t>
            </w:r>
            <w:r>
              <w:rPr>
                <w:color w:val="auto"/>
              </w:rPr>
              <w:fldChar w:fldCharType="begin"/>
            </w:r>
            <w:r>
              <w:rPr>
                <w:color w:val="auto"/>
              </w:rPr>
              <w:instrText xml:space="preserve"> HYPERLINK "http://ggzy.zhumadian.gov.cn/tpfront" </w:instrText>
            </w:r>
            <w:r>
              <w:rPr>
                <w:color w:val="auto"/>
              </w:rPr>
              <w:fldChar w:fldCharType="separate"/>
            </w:r>
            <w:r>
              <w:rPr>
                <w:color w:val="auto"/>
              </w:rPr>
              <w:t>http://ggzy</w:t>
            </w:r>
            <w:r>
              <w:rPr>
                <w:color w:val="auto"/>
                <w:spacing w:val="-1"/>
              </w:rPr>
              <w:t>.zhumadian</w:t>
            </w:r>
            <w:r>
              <w:rPr>
                <w:color w:val="auto"/>
                <w:spacing w:val="-1"/>
              </w:rPr>
              <w:fldChar w:fldCharType="end"/>
            </w:r>
            <w:r>
              <w:rPr>
                <w:color w:val="auto"/>
              </w:rPr>
              <w:fldChar w:fldCharType="begin"/>
            </w:r>
            <w:r>
              <w:rPr>
                <w:color w:val="auto"/>
              </w:rPr>
              <w:instrText xml:space="preserve"> HYPERLINK "http://ggzy.zhumadian.gov.cn/tpfront" </w:instrText>
            </w:r>
            <w:r>
              <w:rPr>
                <w:color w:val="auto"/>
              </w:rPr>
              <w:fldChar w:fldCharType="separate"/>
            </w:r>
            <w:r>
              <w:rPr>
                <w:color w:val="auto"/>
                <w:spacing w:val="-1"/>
              </w:rPr>
              <w:t>.gov.cn/tpfront</w:t>
            </w:r>
            <w:r>
              <w:rPr>
                <w:color w:val="auto"/>
                <w:spacing w:val="-1"/>
              </w:rPr>
              <w:fldChar w:fldCharType="end"/>
            </w:r>
            <w:r>
              <w:rPr>
                <w:color w:val="auto"/>
                <w:spacing w:val="-1"/>
              </w:rPr>
              <w:t>）”网站提供的“新点投标文件制作软件（驻马店）”制作生成</w:t>
            </w:r>
            <w:r>
              <w:rPr>
                <w:color w:val="auto"/>
                <w:spacing w:val="-6"/>
              </w:rPr>
              <w:t>的加密版响应文件。</w:t>
            </w:r>
          </w:p>
          <w:p w14:paraId="6180C97C">
            <w:pPr>
              <w:pStyle w:val="11"/>
              <w:spacing w:before="1" w:line="338" w:lineRule="auto"/>
              <w:ind w:left="108" w:right="172" w:firstLine="4"/>
              <w:rPr>
                <w:color w:val="auto"/>
              </w:rPr>
            </w:pPr>
            <w:r>
              <w:rPr>
                <w:color w:val="auto"/>
              </w:rPr>
              <w:t>5、供应商在编制电子响应文件时，生成后的</w:t>
            </w:r>
            <w:r>
              <w:rPr>
                <w:color w:val="auto"/>
                <w:spacing w:val="-1"/>
              </w:rPr>
              <w:t>电子响应文件须按谈判文件的格式要</w:t>
            </w:r>
            <w:r>
              <w:rPr>
                <w:color w:val="auto"/>
              </w:rPr>
              <w:t>求完成逐页电子签字和盖章，否则视为不响应谈判文件。</w:t>
            </w:r>
            <w:r>
              <w:rPr>
                <w:color w:val="auto"/>
                <w:spacing w:val="-1"/>
              </w:rPr>
              <w:t>供应商授权代表签字的谈判响应文件格式内容，供应商可以将签字后的扫描</w:t>
            </w:r>
            <w:r>
              <w:rPr>
                <w:color w:val="auto"/>
                <w:spacing w:val="-2"/>
              </w:rPr>
              <w:t>图片替换到相应格式中。</w:t>
            </w:r>
          </w:p>
          <w:p w14:paraId="4D31B6B4">
            <w:pPr>
              <w:pStyle w:val="11"/>
              <w:spacing w:before="69" w:line="313" w:lineRule="auto"/>
              <w:ind w:left="106" w:right="172" w:firstLine="3"/>
              <w:rPr>
                <w:color w:val="auto"/>
              </w:rPr>
            </w:pPr>
            <w:r>
              <w:rPr>
                <w:color w:val="auto"/>
              </w:rPr>
              <w:t>6、谈判文件格式所要求包含的全部资料应全部制作</w:t>
            </w:r>
            <w:r>
              <w:rPr>
                <w:color w:val="auto"/>
                <w:spacing w:val="-1"/>
              </w:rPr>
              <w:t>在响应文件内，严格按照本项</w:t>
            </w:r>
            <w:r>
              <w:rPr>
                <w:color w:val="auto"/>
              </w:rPr>
              <w:t>目谈判文件所有格式如实填写（不涉及的内容除外），不应存</w:t>
            </w:r>
            <w:r>
              <w:rPr>
                <w:color w:val="auto"/>
                <w:spacing w:val="-1"/>
              </w:rPr>
              <w:t>在漏项或缺项，否则</w:t>
            </w:r>
            <w:r>
              <w:rPr>
                <w:color w:val="auto"/>
                <w:spacing w:val="-3"/>
              </w:rPr>
              <w:t>将存在响应文件被拒绝的风险。</w:t>
            </w:r>
          </w:p>
          <w:p w14:paraId="6B53AFF9">
            <w:pPr>
              <w:pStyle w:val="11"/>
              <w:spacing w:before="181" w:line="219" w:lineRule="auto"/>
              <w:ind w:left="114"/>
              <w:rPr>
                <w:color w:val="auto"/>
              </w:rPr>
            </w:pPr>
            <w:r>
              <w:rPr>
                <w:color w:val="auto"/>
                <w:spacing w:val="-2"/>
              </w:rPr>
              <w:t>7、响应文件以外的任何资料采购人和采购代理机构将拒收。</w:t>
            </w:r>
          </w:p>
          <w:p w14:paraId="52EF2480">
            <w:pPr>
              <w:pStyle w:val="11"/>
              <w:spacing w:before="182" w:line="289" w:lineRule="auto"/>
              <w:ind w:left="109" w:right="772"/>
              <w:rPr>
                <w:color w:val="auto"/>
              </w:rPr>
            </w:pPr>
            <w:r>
              <w:rPr>
                <w:color w:val="auto"/>
              </w:rPr>
              <w:t>8、供应商编辑电子响应文件时，根据谈判文件要求用法</w:t>
            </w:r>
            <w:r>
              <w:rPr>
                <w:color w:val="auto"/>
                <w:spacing w:val="-1"/>
              </w:rPr>
              <w:t>人CA密钥和企业CA</w:t>
            </w:r>
            <w:r>
              <w:rPr>
                <w:color w:val="auto"/>
                <w:spacing w:val="-2"/>
              </w:rPr>
              <w:t>密钥进行签章制作；最后一步生成电子响应文件（.zmdtf格式和.nzmdtf</w:t>
            </w:r>
          </w:p>
          <w:p w14:paraId="3B6B354C">
            <w:pPr>
              <w:pStyle w:val="11"/>
              <w:spacing w:before="182" w:line="219" w:lineRule="auto"/>
              <w:ind w:left="108"/>
              <w:rPr>
                <w:color w:val="auto"/>
              </w:rPr>
            </w:pPr>
            <w:r>
              <w:rPr>
                <w:color w:val="auto"/>
                <w:spacing w:val="-2"/>
              </w:rPr>
              <w:t>格式）时，只能用本单位的企业CA密钥。</w:t>
            </w:r>
          </w:p>
          <w:p w14:paraId="537D0751">
            <w:pPr>
              <w:pStyle w:val="11"/>
              <w:spacing w:before="181" w:line="311" w:lineRule="auto"/>
              <w:ind w:left="109" w:right="172"/>
              <w:rPr>
                <w:color w:val="auto"/>
              </w:rPr>
            </w:pPr>
            <w:r>
              <w:rPr>
                <w:color w:val="auto"/>
              </w:rPr>
              <w:t>9、电子响应文件制作流程，可参考驻马店市公共资源</w:t>
            </w:r>
            <w:r>
              <w:rPr>
                <w:color w:val="auto"/>
                <w:spacing w:val="-1"/>
              </w:rPr>
              <w:t>交易中心官方网站的，下载</w:t>
            </w:r>
            <w:r>
              <w:rPr>
                <w:color w:val="auto"/>
              </w:rPr>
              <w:t>中心板块的视频（</w:t>
            </w:r>
            <w:r>
              <w:rPr>
                <w:color w:val="auto"/>
              </w:rPr>
              <w:fldChar w:fldCharType="begin"/>
            </w:r>
            <w:r>
              <w:rPr>
                <w:color w:val="auto"/>
              </w:rPr>
              <w:instrText xml:space="preserve"> HYPERLINK "http://ggzy.zhumadian.gov.cn:9190/BidOpening/bidopeninghallaction/hall/login" </w:instrText>
            </w:r>
            <w:r>
              <w:rPr>
                <w:color w:val="auto"/>
              </w:rPr>
              <w:fldChar w:fldCharType="separate"/>
            </w:r>
            <w:r>
              <w:rPr>
                <w:color w:val="auto"/>
              </w:rPr>
              <w:t>http://ggzy.zhumadian.gov.cn/TPFront/InfoDet</w:t>
            </w:r>
            <w:r>
              <w:rPr>
                <w:color w:val="auto"/>
                <w:spacing w:val="-1"/>
              </w:rPr>
              <w:t>ail/?InfoID=</w:t>
            </w:r>
            <w:r>
              <w:rPr>
                <w:color w:val="auto"/>
                <w:spacing w:val="-1"/>
              </w:rPr>
              <w:fldChar w:fldCharType="end"/>
            </w:r>
            <w:r>
              <w:rPr>
                <w:color w:val="auto"/>
              </w:rPr>
              <w:fldChar w:fldCharType="begin"/>
            </w:r>
            <w:r>
              <w:rPr>
                <w:color w:val="auto"/>
              </w:rPr>
              <w:instrText xml:space="preserve"> HYPERLINK "http://ggzy.zhumadian.gov.cn:9190/BidOpening/bidopeninghallaction/hall/login" </w:instrText>
            </w:r>
            <w:r>
              <w:rPr>
                <w:color w:val="auto"/>
              </w:rPr>
              <w:fldChar w:fldCharType="separate"/>
            </w:r>
            <w:r>
              <w:rPr>
                <w:color w:val="auto"/>
              </w:rPr>
              <w:t>844e0ea7-2b6c-425d-99f6-91bd5b500e5e&amp;Categor</w:t>
            </w:r>
            <w:r>
              <w:rPr>
                <w:color w:val="auto"/>
                <w:spacing w:val="-1"/>
              </w:rPr>
              <w:t>yNum=026002</w:t>
            </w:r>
            <w:r>
              <w:rPr>
                <w:color w:val="auto"/>
                <w:spacing w:val="-1"/>
              </w:rPr>
              <w:fldChar w:fldCharType="end"/>
            </w:r>
            <w:r>
              <w:rPr>
                <w:color w:val="auto"/>
                <w:spacing w:val="-1"/>
              </w:rPr>
              <w:t>）</w:t>
            </w:r>
          </w:p>
        </w:tc>
      </w:tr>
      <w:tr w14:paraId="026F5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778" w:type="dxa"/>
            <w:vAlign w:val="top"/>
          </w:tcPr>
          <w:p w14:paraId="0B6ABF28">
            <w:pPr>
              <w:spacing w:line="269" w:lineRule="auto"/>
              <w:rPr>
                <w:rFonts w:ascii="Arial"/>
                <w:color w:val="auto"/>
                <w:sz w:val="21"/>
              </w:rPr>
            </w:pPr>
          </w:p>
          <w:p w14:paraId="77AFF39C">
            <w:pPr>
              <w:spacing w:line="269" w:lineRule="auto"/>
              <w:rPr>
                <w:rFonts w:ascii="Arial"/>
                <w:color w:val="auto"/>
                <w:sz w:val="21"/>
              </w:rPr>
            </w:pPr>
          </w:p>
          <w:p w14:paraId="4C38D107">
            <w:pPr>
              <w:spacing w:line="269" w:lineRule="auto"/>
              <w:rPr>
                <w:rFonts w:ascii="Arial"/>
                <w:color w:val="auto"/>
                <w:sz w:val="21"/>
              </w:rPr>
            </w:pPr>
          </w:p>
          <w:p w14:paraId="249D5C1B">
            <w:pPr>
              <w:spacing w:line="269" w:lineRule="auto"/>
              <w:rPr>
                <w:rFonts w:ascii="Arial"/>
                <w:color w:val="auto"/>
                <w:sz w:val="21"/>
              </w:rPr>
            </w:pPr>
          </w:p>
          <w:p w14:paraId="493ED049">
            <w:pPr>
              <w:spacing w:line="269" w:lineRule="auto"/>
              <w:rPr>
                <w:rFonts w:ascii="Arial"/>
                <w:color w:val="auto"/>
                <w:sz w:val="21"/>
              </w:rPr>
            </w:pPr>
          </w:p>
          <w:p w14:paraId="728A4F99">
            <w:pPr>
              <w:spacing w:line="270" w:lineRule="auto"/>
              <w:rPr>
                <w:rFonts w:ascii="Arial"/>
                <w:color w:val="auto"/>
                <w:sz w:val="21"/>
              </w:rPr>
            </w:pPr>
          </w:p>
          <w:p w14:paraId="7F703296">
            <w:pPr>
              <w:pStyle w:val="11"/>
              <w:spacing w:before="78" w:line="241" w:lineRule="auto"/>
              <w:ind w:left="274"/>
              <w:rPr>
                <w:color w:val="auto"/>
              </w:rPr>
            </w:pPr>
            <w:r>
              <w:rPr>
                <w:color w:val="auto"/>
                <w:spacing w:val="-4"/>
              </w:rPr>
              <w:t>21</w:t>
            </w:r>
          </w:p>
        </w:tc>
        <w:tc>
          <w:tcPr>
            <w:tcW w:w="8921" w:type="dxa"/>
            <w:vAlign w:val="top"/>
          </w:tcPr>
          <w:p w14:paraId="12993567">
            <w:pPr>
              <w:pStyle w:val="11"/>
              <w:spacing w:before="69" w:line="220" w:lineRule="auto"/>
              <w:ind w:left="107"/>
              <w:rPr>
                <w:color w:val="auto"/>
              </w:rPr>
            </w:pPr>
            <w:r>
              <w:rPr>
                <w:b/>
                <w:bCs/>
                <w:color w:val="auto"/>
                <w:spacing w:val="-8"/>
              </w:rPr>
              <w:t>谈判文件的澄清与变更：</w:t>
            </w:r>
          </w:p>
          <w:p w14:paraId="074D1B25">
            <w:pPr>
              <w:pStyle w:val="11"/>
              <w:spacing w:before="181" w:line="219" w:lineRule="auto"/>
              <w:ind w:left="126"/>
              <w:rPr>
                <w:color w:val="auto"/>
              </w:rPr>
            </w:pPr>
            <w:r>
              <w:rPr>
                <w:color w:val="auto"/>
                <w:spacing w:val="-2"/>
              </w:rPr>
              <w:t>1、采购人、集中采购机构对已发出的谈判文件进行的澄清、更正或更改，澄清、</w:t>
            </w:r>
          </w:p>
          <w:p w14:paraId="495F66CC">
            <w:pPr>
              <w:pStyle w:val="11"/>
              <w:spacing w:before="180" w:line="313" w:lineRule="auto"/>
              <w:ind w:left="109" w:right="172" w:firstLine="1"/>
              <w:rPr>
                <w:color w:val="auto"/>
              </w:rPr>
            </w:pPr>
            <w:r>
              <w:rPr>
                <w:color w:val="auto"/>
              </w:rPr>
              <w:t>更正或更改的内容将作为谈判文件的组成部分。集</w:t>
            </w:r>
            <w:r>
              <w:rPr>
                <w:color w:val="auto"/>
                <w:spacing w:val="-1"/>
              </w:rPr>
              <w:t>中采购机构将通过网站“变更公</w:t>
            </w:r>
            <w:r>
              <w:rPr>
                <w:color w:val="auto"/>
              </w:rPr>
              <w:t>告”和“答疑文件”告知供应商。各供应商须下载谈判</w:t>
            </w:r>
            <w:r>
              <w:rPr>
                <w:color w:val="auto"/>
                <w:spacing w:val="-1"/>
              </w:rPr>
              <w:t>文件和最新的答疑文件，以</w:t>
            </w:r>
            <w:r>
              <w:rPr>
                <w:color w:val="auto"/>
                <w:spacing w:val="-5"/>
              </w:rPr>
              <w:t>此编制响应文件。</w:t>
            </w:r>
          </w:p>
          <w:p w14:paraId="4F92FEAA">
            <w:pPr>
              <w:pStyle w:val="11"/>
              <w:spacing w:before="179" w:line="313" w:lineRule="auto"/>
              <w:ind w:left="109" w:right="172" w:firstLine="1"/>
              <w:rPr>
                <w:color w:val="auto"/>
              </w:rPr>
            </w:pPr>
            <w:r>
              <w:rPr>
                <w:color w:val="auto"/>
              </w:rPr>
              <w:t>2、因驻马店市公共资源交易中心平台在开标前具</w:t>
            </w:r>
            <w:r>
              <w:rPr>
                <w:color w:val="auto"/>
                <w:spacing w:val="-1"/>
              </w:rPr>
              <w:t>有保密性，供应商在响应文件提</w:t>
            </w:r>
            <w:r>
              <w:rPr>
                <w:color w:val="auto"/>
              </w:rPr>
              <w:t>交截止时间前须自行查看项目进展、变更通知、澄清及</w:t>
            </w:r>
            <w:r>
              <w:rPr>
                <w:color w:val="auto"/>
                <w:spacing w:val="-1"/>
              </w:rPr>
              <w:t>回复，因供应商未及时查看</w:t>
            </w:r>
            <w:r>
              <w:rPr>
                <w:color w:val="auto"/>
                <w:spacing w:val="-5"/>
              </w:rPr>
              <w:t>而造成的后果自负。</w:t>
            </w:r>
          </w:p>
        </w:tc>
      </w:tr>
      <w:tr w14:paraId="5D061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6" w:hRule="atLeast"/>
        </w:trPr>
        <w:tc>
          <w:tcPr>
            <w:tcW w:w="778" w:type="dxa"/>
            <w:vAlign w:val="top"/>
          </w:tcPr>
          <w:p w14:paraId="27A8C5B5">
            <w:pPr>
              <w:rPr>
                <w:rFonts w:ascii="Arial"/>
                <w:color w:val="auto"/>
                <w:sz w:val="21"/>
              </w:rPr>
            </w:pPr>
          </w:p>
        </w:tc>
        <w:tc>
          <w:tcPr>
            <w:tcW w:w="8921" w:type="dxa"/>
            <w:vAlign w:val="top"/>
          </w:tcPr>
          <w:p w14:paraId="19DEF213">
            <w:pPr>
              <w:pStyle w:val="11"/>
              <w:spacing w:before="72" w:line="220" w:lineRule="auto"/>
              <w:ind w:left="109"/>
              <w:rPr>
                <w:color w:val="auto"/>
              </w:rPr>
            </w:pPr>
            <w:r>
              <w:rPr>
                <w:b/>
                <w:bCs/>
                <w:color w:val="auto"/>
                <w:spacing w:val="-12"/>
              </w:rPr>
              <w:t>开启（解密</w:t>
            </w:r>
            <w:r>
              <w:rPr>
                <w:b/>
                <w:bCs/>
                <w:color w:val="auto"/>
                <w:spacing w:val="-8"/>
              </w:rPr>
              <w:t>）：</w:t>
            </w:r>
          </w:p>
          <w:p w14:paraId="5A6E03AF">
            <w:pPr>
              <w:pStyle w:val="11"/>
              <w:spacing w:before="180" w:line="219" w:lineRule="auto"/>
              <w:ind w:left="126"/>
              <w:rPr>
                <w:color w:val="auto"/>
              </w:rPr>
            </w:pPr>
            <w:r>
              <w:rPr>
                <w:color w:val="auto"/>
                <w:spacing w:val="-1"/>
              </w:rPr>
              <w:t>1、谈判当日，供应商无需到达谈判现场，仅需在任意地点使用企业CA</w:t>
            </w:r>
          </w:p>
          <w:p w14:paraId="005DE186">
            <w:pPr>
              <w:pStyle w:val="11"/>
              <w:spacing w:before="182" w:line="359" w:lineRule="auto"/>
              <w:ind w:left="107" w:right="172" w:firstLine="1"/>
              <w:rPr>
                <w:color w:val="auto"/>
              </w:rPr>
            </w:pPr>
            <w:r>
              <w:rPr>
                <w:color w:val="auto"/>
              </w:rPr>
              <w:t>密钥登入驻马店市公共资源交易中心不见面开标大厅（</w:t>
            </w:r>
            <w:r>
              <w:rPr>
                <w:color w:val="auto"/>
              </w:rPr>
              <w:fldChar w:fldCharType="begin"/>
            </w:r>
            <w:r>
              <w:rPr>
                <w:color w:val="auto"/>
              </w:rPr>
              <w:instrText xml:space="preserve"> HYPERLINK "http://ggzy.zhumadian.gov.cn:9190/BidOpening/bidopeninghallaction/hall/login" </w:instrText>
            </w:r>
            <w:r>
              <w:rPr>
                <w:color w:val="auto"/>
              </w:rPr>
              <w:fldChar w:fldCharType="separate"/>
            </w:r>
            <w:r>
              <w:rPr>
                <w:color w:val="auto"/>
              </w:rPr>
              <w:t>http://ggzy.</w:t>
            </w:r>
            <w:r>
              <w:rPr>
                <w:color w:val="auto"/>
                <w:spacing w:val="-1"/>
              </w:rPr>
              <w:t>zhumadian.go</w:t>
            </w:r>
            <w:r>
              <w:rPr>
                <w:color w:val="auto"/>
                <w:spacing w:val="-1"/>
              </w:rPr>
              <w:fldChar w:fldCharType="end"/>
            </w:r>
            <w:r>
              <w:rPr>
                <w:color w:val="auto"/>
              </w:rPr>
              <w:fldChar w:fldCharType="begin"/>
            </w:r>
            <w:r>
              <w:rPr>
                <w:color w:val="auto"/>
              </w:rPr>
              <w:instrText xml:space="preserve"> HYPERLINK "http://ggzy.zhumadian.gov.cn:9190/BidOpening/bidopeninghallaction/hall/login" </w:instrText>
            </w:r>
            <w:r>
              <w:rPr>
                <w:color w:val="auto"/>
              </w:rPr>
              <w:fldChar w:fldCharType="separate"/>
            </w:r>
            <w:r>
              <w:rPr>
                <w:color w:val="auto"/>
              </w:rPr>
              <w:t>v.cn:9190/BidOpening/bidopeninghallaction</w:t>
            </w:r>
            <w:r>
              <w:rPr>
                <w:color w:val="auto"/>
                <w:spacing w:val="-1"/>
              </w:rPr>
              <w:t>/hall/login</w:t>
            </w:r>
            <w:r>
              <w:rPr>
                <w:color w:val="auto"/>
                <w:spacing w:val="-1"/>
              </w:rPr>
              <w:fldChar w:fldCharType="end"/>
            </w:r>
            <w:r>
              <w:rPr>
                <w:color w:val="auto"/>
                <w:spacing w:val="-1"/>
              </w:rPr>
              <w:t>）及相应的配套硬件设</w:t>
            </w:r>
            <w:r>
              <w:rPr>
                <w:color w:val="auto"/>
                <w:spacing w:val="-2"/>
              </w:rPr>
              <w:t>备（摄像头、话筒、麦克风等）参加谈判活动。</w:t>
            </w:r>
          </w:p>
          <w:p w14:paraId="3D39FEDF">
            <w:pPr>
              <w:pStyle w:val="11"/>
              <w:spacing w:before="1" w:line="218" w:lineRule="auto"/>
              <w:ind w:left="111"/>
              <w:rPr>
                <w:color w:val="auto"/>
              </w:rPr>
            </w:pPr>
            <w:r>
              <w:rPr>
                <w:color w:val="auto"/>
                <w:spacing w:val="-1"/>
              </w:rPr>
              <w:t>2、解密时，供应商必须使用能正确解密响应文件的CA</w:t>
            </w:r>
          </w:p>
          <w:p w14:paraId="234268B1">
            <w:pPr>
              <w:pStyle w:val="11"/>
              <w:spacing w:before="179" w:line="347" w:lineRule="auto"/>
              <w:ind w:left="110" w:right="172" w:hanging="1"/>
              <w:rPr>
                <w:color w:val="auto"/>
              </w:rPr>
            </w:pPr>
            <w:r>
              <w:rPr>
                <w:color w:val="auto"/>
              </w:rPr>
              <w:t>密钥在规定的时间（十分钟）内完成远程解密，因供应</w:t>
            </w:r>
            <w:r>
              <w:rPr>
                <w:color w:val="auto"/>
                <w:spacing w:val="-1"/>
              </w:rPr>
              <w:t>商原因未能解密、解密失败</w:t>
            </w:r>
            <w:r>
              <w:rPr>
                <w:color w:val="auto"/>
              </w:rPr>
              <w:t>或解密超时，视为供应商撤销其响应文件，系统内</w:t>
            </w:r>
            <w:r>
              <w:rPr>
                <w:color w:val="auto"/>
                <w:spacing w:val="-1"/>
              </w:rPr>
              <w:t>响应文件将被退回；因采购人原</w:t>
            </w:r>
            <w:r>
              <w:rPr>
                <w:color w:val="auto"/>
              </w:rPr>
              <w:t>因或网上电子交易平台发生故障，导致供应商无法</w:t>
            </w:r>
            <w:r>
              <w:rPr>
                <w:color w:val="auto"/>
                <w:spacing w:val="-1"/>
              </w:rPr>
              <w:t>按时完成响应文件解密或谈判评</w:t>
            </w:r>
            <w:r>
              <w:rPr>
                <w:color w:val="auto"/>
              </w:rPr>
              <w:t>审工作无法进行的，可根据实际情况报请批准后相</w:t>
            </w:r>
            <w:r>
              <w:rPr>
                <w:color w:val="auto"/>
                <w:spacing w:val="-1"/>
              </w:rPr>
              <w:t>应延迟解密时间或调整谈判评审时间（友情提示：若供应商已领取副锁（含多把副锁）请注意正副锁的使用差别）</w:t>
            </w:r>
          </w:p>
        </w:tc>
      </w:tr>
      <w:tr w14:paraId="35E1C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8" w:hRule="atLeast"/>
        </w:trPr>
        <w:tc>
          <w:tcPr>
            <w:tcW w:w="778" w:type="dxa"/>
            <w:vAlign w:val="top"/>
          </w:tcPr>
          <w:p w14:paraId="7AC4140F">
            <w:pPr>
              <w:rPr>
                <w:rFonts w:ascii="Arial"/>
                <w:color w:val="auto"/>
                <w:sz w:val="21"/>
              </w:rPr>
            </w:pPr>
          </w:p>
        </w:tc>
        <w:tc>
          <w:tcPr>
            <w:tcW w:w="8921" w:type="dxa"/>
            <w:vAlign w:val="top"/>
          </w:tcPr>
          <w:p w14:paraId="1502144E">
            <w:pPr>
              <w:pStyle w:val="11"/>
              <w:spacing w:before="226" w:line="121" w:lineRule="exact"/>
              <w:ind w:left="131"/>
              <w:rPr>
                <w:color w:val="auto"/>
              </w:rPr>
            </w:pPr>
            <w:r>
              <w:rPr>
                <w:color w:val="auto"/>
                <w:position w:val="1"/>
              </w:rPr>
              <w:t>。</w:t>
            </w:r>
          </w:p>
          <w:p w14:paraId="2BC387DA">
            <w:pPr>
              <w:pStyle w:val="11"/>
              <w:spacing w:before="191" w:line="359" w:lineRule="auto"/>
              <w:ind w:left="114" w:right="172" w:hanging="1"/>
              <w:rPr>
                <w:color w:val="auto"/>
              </w:rPr>
            </w:pPr>
            <w:r>
              <w:rPr>
                <w:color w:val="auto"/>
              </w:rPr>
              <w:t>3、远程解密前，供应商务必在驻马店市公共资源交易电子</w:t>
            </w:r>
            <w:r>
              <w:rPr>
                <w:color w:val="auto"/>
                <w:spacing w:val="-1"/>
              </w:rPr>
              <w:t>交易平台（</w:t>
            </w:r>
            <w:r>
              <w:rPr>
                <w:color w:val="auto"/>
              </w:rPr>
              <w:fldChar w:fldCharType="begin"/>
            </w:r>
            <w:r>
              <w:rPr>
                <w:color w:val="auto"/>
              </w:rPr>
              <w:instrText xml:space="preserve"> HYPERLINK "http://ggzy.zhumadian.gov.cn:8820/TPBidder" </w:instrText>
            </w:r>
            <w:r>
              <w:rPr>
                <w:color w:val="auto"/>
              </w:rPr>
              <w:fldChar w:fldCharType="separate"/>
            </w:r>
            <w:r>
              <w:rPr>
                <w:color w:val="auto"/>
                <w:spacing w:val="-1"/>
              </w:rPr>
              <w:t>http://ggzy</w:t>
            </w:r>
            <w:r>
              <w:rPr>
                <w:color w:val="auto"/>
                <w:spacing w:val="-1"/>
              </w:rPr>
              <w:fldChar w:fldCharType="end"/>
            </w:r>
            <w:r>
              <w:rPr>
                <w:color w:val="auto"/>
              </w:rPr>
              <w:fldChar w:fldCharType="begin"/>
            </w:r>
            <w:r>
              <w:rPr>
                <w:color w:val="auto"/>
              </w:rPr>
              <w:instrText xml:space="preserve"> HYPERLINK "http://ggzy.zhumadian.gov.cn:8820/TPBidder" </w:instrText>
            </w:r>
            <w:r>
              <w:rPr>
                <w:color w:val="auto"/>
              </w:rPr>
              <w:fldChar w:fldCharType="separate"/>
            </w:r>
            <w:r>
              <w:rPr>
                <w:color w:val="auto"/>
              </w:rPr>
              <w:t>.zhumadian.gov.cn:882</w:t>
            </w:r>
            <w:r>
              <w:rPr>
                <w:color w:val="auto"/>
                <w:spacing w:val="-1"/>
              </w:rPr>
              <w:t>0/TPBidder</w:t>
            </w:r>
            <w:r>
              <w:rPr>
                <w:color w:val="auto"/>
                <w:spacing w:val="-1"/>
              </w:rPr>
              <w:fldChar w:fldCharType="end"/>
            </w:r>
            <w:r>
              <w:rPr>
                <w:color w:val="auto"/>
                <w:spacing w:val="-1"/>
              </w:rPr>
              <w:t>）投标文件上传模块中使用“模拟解密”功能</w:t>
            </w:r>
            <w:r>
              <w:rPr>
                <w:color w:val="auto"/>
                <w:spacing w:val="4"/>
              </w:rPr>
              <w:t>,验证本机远程自助解密环境。</w:t>
            </w:r>
          </w:p>
          <w:p w14:paraId="46933792">
            <w:pPr>
              <w:pStyle w:val="11"/>
              <w:spacing w:line="219" w:lineRule="auto"/>
              <w:ind w:left="107"/>
              <w:rPr>
                <w:rFonts w:ascii="Arial"/>
                <w:color w:val="auto"/>
                <w:sz w:val="21"/>
              </w:rPr>
            </w:pPr>
            <w:r>
              <w:rPr>
                <w:color w:val="auto"/>
                <w:spacing w:val="-8"/>
              </w:rPr>
              <w:t>4、特别提醒：</w:t>
            </w:r>
          </w:p>
          <w:p w14:paraId="245720FF">
            <w:pPr>
              <w:pStyle w:val="11"/>
              <w:spacing w:before="78" w:line="359" w:lineRule="auto"/>
              <w:ind w:left="107" w:right="172" w:firstLine="19"/>
              <w:jc w:val="both"/>
              <w:rPr>
                <w:color w:val="auto"/>
              </w:rPr>
            </w:pPr>
            <w:r>
              <w:rPr>
                <w:color w:val="auto"/>
                <w:spacing w:val="-1"/>
              </w:rPr>
              <w:t>因驻马店市公共资源不见面交易系统具备视频直播、语音通话等，对网络带宽及硬</w:t>
            </w:r>
            <w:r>
              <w:rPr>
                <w:color w:val="auto"/>
              </w:rPr>
              <w:t>件要求相对较高的功能，故供应商在参与使用不见面交易系</w:t>
            </w:r>
            <w:r>
              <w:rPr>
                <w:color w:val="auto"/>
                <w:spacing w:val="-1"/>
              </w:rPr>
              <w:t>统开标的项目时，需确</w:t>
            </w:r>
            <w:r>
              <w:rPr>
                <w:color w:val="auto"/>
                <w:spacing w:val="-6"/>
              </w:rPr>
              <w:t>认是否满足如下要求：</w:t>
            </w:r>
          </w:p>
          <w:p w14:paraId="066CDF4E">
            <w:pPr>
              <w:pStyle w:val="11"/>
              <w:spacing w:line="219" w:lineRule="auto"/>
              <w:ind w:left="114"/>
              <w:rPr>
                <w:color w:val="auto"/>
              </w:rPr>
            </w:pPr>
            <w:r>
              <w:rPr>
                <w:color w:val="auto"/>
                <w:spacing w:val="-3"/>
              </w:rPr>
              <w:t>（1）网络要求：网络带宽4M以上。</w:t>
            </w:r>
          </w:p>
          <w:p w14:paraId="113D7E0D">
            <w:pPr>
              <w:pStyle w:val="11"/>
              <w:spacing w:before="181" w:line="288" w:lineRule="auto"/>
              <w:ind w:left="127" w:right="206" w:hanging="13"/>
              <w:rPr>
                <w:color w:val="auto"/>
              </w:rPr>
            </w:pPr>
            <w:r>
              <w:rPr>
                <w:color w:val="auto"/>
                <w:spacing w:val="-1"/>
              </w:rPr>
              <w:t>（2）硬件要求：电脑要求内存4G及以上，且需配套网络摄像头、麦克风、音箱等,并确保其均能正常运转。操作系统要求Windo</w:t>
            </w:r>
            <w:r>
              <w:rPr>
                <w:color w:val="auto"/>
                <w:spacing w:val="-2"/>
              </w:rPr>
              <w:t>ws7及以上，IE浏览器IE11及以上。</w:t>
            </w:r>
          </w:p>
          <w:p w14:paraId="7087FC82">
            <w:pPr>
              <w:pStyle w:val="11"/>
              <w:spacing w:before="186" w:line="289" w:lineRule="auto"/>
              <w:ind w:left="135" w:right="302" w:hanging="21"/>
              <w:rPr>
                <w:color w:val="auto"/>
              </w:rPr>
            </w:pPr>
            <w:r>
              <w:rPr>
                <w:color w:val="auto"/>
                <w:spacing w:val="-1"/>
              </w:rPr>
              <w:t>（3）人员要求：对于参与驻马店不见面交易系统谈判的供应商，要求能熟练掌握</w:t>
            </w:r>
            <w:r>
              <w:rPr>
                <w:color w:val="auto"/>
                <w:spacing w:val="-5"/>
              </w:rPr>
              <w:t>电脑基础操作。不见面开标操作手册下载地址：</w:t>
            </w:r>
          </w:p>
          <w:p w14:paraId="77E51DCD">
            <w:pPr>
              <w:pStyle w:val="11"/>
              <w:spacing w:before="182" w:line="286" w:lineRule="auto"/>
              <w:ind w:left="107" w:right="172" w:firstLine="7"/>
              <w:rPr>
                <w:color w:val="auto"/>
              </w:rPr>
            </w:pPr>
            <w:r>
              <w:rPr>
                <w:color w:val="auto"/>
              </w:rPr>
              <w:t>（</w:t>
            </w:r>
            <w:r>
              <w:rPr>
                <w:color w:val="auto"/>
              </w:rPr>
              <w:fldChar w:fldCharType="begin"/>
            </w:r>
            <w:r>
              <w:rPr>
                <w:color w:val="auto"/>
              </w:rPr>
              <w:instrText xml:space="preserve"> HYPERLINK "http://ggzy.zhumadian.gov.cn:8820/TPBidder" </w:instrText>
            </w:r>
            <w:r>
              <w:rPr>
                <w:color w:val="auto"/>
              </w:rPr>
              <w:fldChar w:fldCharType="separate"/>
            </w:r>
            <w:r>
              <w:rPr>
                <w:color w:val="auto"/>
              </w:rPr>
              <w:t>http://ggzy.zhumadian.gov.cn/TPFront/InfoDetail/?Info</w:t>
            </w:r>
            <w:r>
              <w:rPr>
                <w:color w:val="auto"/>
                <w:spacing w:val="-1"/>
              </w:rPr>
              <w:t>ID=6e085538-6be5-</w:t>
            </w:r>
            <w:r>
              <w:rPr>
                <w:color w:val="auto"/>
                <w:spacing w:val="-1"/>
              </w:rPr>
              <w:fldChar w:fldCharType="end"/>
            </w:r>
            <w:r>
              <w:rPr>
                <w:color w:val="auto"/>
              </w:rPr>
              <w:fldChar w:fldCharType="begin"/>
            </w:r>
            <w:r>
              <w:rPr>
                <w:color w:val="auto"/>
              </w:rPr>
              <w:instrText xml:space="preserve"> HYPERLINK "http://ggzy.zhumadian.gov.cn:8820/TPBidder" </w:instrText>
            </w:r>
            <w:r>
              <w:rPr>
                <w:color w:val="auto"/>
              </w:rPr>
              <w:fldChar w:fldCharType="separate"/>
            </w:r>
            <w:r>
              <w:rPr>
                <w:color w:val="auto"/>
              </w:rPr>
              <w:t>4d25-80b2-12f5fc669ba1&amp;CategoryN</w:t>
            </w:r>
            <w:r>
              <w:rPr>
                <w:color w:val="auto"/>
                <w:spacing w:val="-1"/>
              </w:rPr>
              <w:t>um=026005</w:t>
            </w:r>
            <w:r>
              <w:rPr>
                <w:color w:val="auto"/>
                <w:spacing w:val="-1"/>
              </w:rPr>
              <w:fldChar w:fldCharType="end"/>
            </w:r>
            <w:r>
              <w:rPr>
                <w:color w:val="auto"/>
                <w:spacing w:val="-1"/>
              </w:rPr>
              <w:t>）</w:t>
            </w:r>
          </w:p>
        </w:tc>
      </w:tr>
      <w:tr w14:paraId="16652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6" w:hRule="atLeast"/>
        </w:trPr>
        <w:tc>
          <w:tcPr>
            <w:tcW w:w="778" w:type="dxa"/>
            <w:vAlign w:val="top"/>
          </w:tcPr>
          <w:p w14:paraId="11FD98F2">
            <w:pPr>
              <w:spacing w:line="269" w:lineRule="auto"/>
              <w:rPr>
                <w:rFonts w:ascii="Arial"/>
                <w:color w:val="auto"/>
                <w:sz w:val="21"/>
              </w:rPr>
            </w:pPr>
          </w:p>
          <w:p w14:paraId="06B5451F">
            <w:pPr>
              <w:spacing w:line="269" w:lineRule="auto"/>
              <w:rPr>
                <w:rFonts w:ascii="Arial"/>
                <w:color w:val="auto"/>
                <w:sz w:val="21"/>
              </w:rPr>
            </w:pPr>
          </w:p>
          <w:p w14:paraId="507BD0BB">
            <w:pPr>
              <w:spacing w:line="270" w:lineRule="auto"/>
              <w:rPr>
                <w:rFonts w:ascii="Arial"/>
                <w:color w:val="auto"/>
                <w:sz w:val="21"/>
              </w:rPr>
            </w:pPr>
          </w:p>
          <w:p w14:paraId="659285A9">
            <w:pPr>
              <w:spacing w:line="270" w:lineRule="auto"/>
              <w:rPr>
                <w:rFonts w:ascii="Arial"/>
                <w:color w:val="auto"/>
                <w:sz w:val="21"/>
              </w:rPr>
            </w:pPr>
          </w:p>
          <w:p w14:paraId="3F61A894">
            <w:pPr>
              <w:spacing w:line="270" w:lineRule="auto"/>
              <w:rPr>
                <w:rFonts w:ascii="Arial"/>
                <w:color w:val="auto"/>
                <w:sz w:val="21"/>
              </w:rPr>
            </w:pPr>
          </w:p>
          <w:p w14:paraId="7CCB5C1B">
            <w:pPr>
              <w:spacing w:line="270" w:lineRule="auto"/>
              <w:rPr>
                <w:rFonts w:ascii="Arial"/>
                <w:color w:val="auto"/>
                <w:sz w:val="21"/>
              </w:rPr>
            </w:pPr>
          </w:p>
          <w:p w14:paraId="29B7BE10">
            <w:pPr>
              <w:pStyle w:val="11"/>
              <w:spacing w:before="78"/>
              <w:ind w:left="274"/>
              <w:rPr>
                <w:color w:val="auto"/>
              </w:rPr>
            </w:pPr>
            <w:r>
              <w:rPr>
                <w:color w:val="auto"/>
                <w:spacing w:val="-4"/>
              </w:rPr>
              <w:t>23</w:t>
            </w:r>
          </w:p>
        </w:tc>
        <w:tc>
          <w:tcPr>
            <w:tcW w:w="8921" w:type="dxa"/>
            <w:vAlign w:val="top"/>
          </w:tcPr>
          <w:p w14:paraId="56ECBA18">
            <w:pPr>
              <w:pStyle w:val="11"/>
              <w:spacing w:before="73" w:line="359" w:lineRule="auto"/>
              <w:ind w:left="107" w:right="172"/>
              <w:rPr>
                <w:color w:val="auto"/>
              </w:rPr>
            </w:pPr>
            <w:r>
              <w:rPr>
                <w:color w:val="auto"/>
              </w:rPr>
              <w:t>解释：构成本竞争性谈判文件的各个组成文件应互为解释，</w:t>
            </w:r>
            <w:r>
              <w:rPr>
                <w:color w:val="auto"/>
                <w:spacing w:val="-1"/>
              </w:rPr>
              <w:t>互为说明；如有不明确</w:t>
            </w:r>
            <w:r>
              <w:rPr>
                <w:color w:val="auto"/>
              </w:rPr>
              <w:t>或不一致，构成合同文件组成内容的，以合同文件约定内容</w:t>
            </w:r>
            <w:r>
              <w:rPr>
                <w:color w:val="auto"/>
                <w:spacing w:val="-1"/>
              </w:rPr>
              <w:t>为准；除竞争性谈判文</w:t>
            </w:r>
            <w:r>
              <w:rPr>
                <w:color w:val="auto"/>
              </w:rPr>
              <w:t>件中有特殊规定外，仅适用于谈判阶段的规定，按竞争性谈</w:t>
            </w:r>
            <w:r>
              <w:rPr>
                <w:color w:val="auto"/>
                <w:spacing w:val="-1"/>
              </w:rPr>
              <w:t>判公告、供应商须知、</w:t>
            </w:r>
            <w:r>
              <w:rPr>
                <w:color w:val="auto"/>
              </w:rPr>
              <w:t>响应性文件格式的先后顺序解释；同一组成文件中就同一事</w:t>
            </w:r>
            <w:r>
              <w:rPr>
                <w:color w:val="auto"/>
                <w:spacing w:val="-1"/>
              </w:rPr>
              <w:t>项的规定或约定不一致</w:t>
            </w:r>
            <w:r>
              <w:rPr>
                <w:color w:val="auto"/>
              </w:rPr>
              <w:t>的，以编排顺序在后者为准；当竞争性谈判文件与竞争性谈</w:t>
            </w:r>
            <w:r>
              <w:rPr>
                <w:color w:val="auto"/>
                <w:spacing w:val="-1"/>
              </w:rPr>
              <w:t>判文件的澄清、修改或</w:t>
            </w:r>
            <w:r>
              <w:rPr>
                <w:color w:val="auto"/>
              </w:rPr>
              <w:t>补充通知就同一内容的表述不一致时，以最后发出的书面文</w:t>
            </w:r>
            <w:r>
              <w:rPr>
                <w:color w:val="auto"/>
                <w:spacing w:val="-1"/>
              </w:rPr>
              <w:t>件为准。合同文件约定</w:t>
            </w:r>
            <w:r>
              <w:rPr>
                <w:color w:val="auto"/>
                <w:spacing w:val="-4"/>
              </w:rPr>
              <w:t>或后者明显错误的除外。</w:t>
            </w:r>
          </w:p>
          <w:p w14:paraId="7BEFD7EA">
            <w:pPr>
              <w:pStyle w:val="11"/>
              <w:spacing w:before="1" w:line="218" w:lineRule="auto"/>
              <w:ind w:left="110"/>
              <w:rPr>
                <w:color w:val="auto"/>
              </w:rPr>
            </w:pPr>
            <w:r>
              <w:rPr>
                <w:color w:val="auto"/>
                <w:spacing w:val="-2"/>
              </w:rPr>
              <w:t>按本款前述规定仍不能形成结论的，由采购人负责解释。</w:t>
            </w:r>
          </w:p>
        </w:tc>
      </w:tr>
    </w:tbl>
    <w:p w14:paraId="3B951D3F">
      <w:pPr>
        <w:pStyle w:val="3"/>
        <w:rPr>
          <w:color w:val="auto"/>
        </w:rPr>
      </w:pPr>
    </w:p>
    <w:p w14:paraId="07EE1994">
      <w:pPr>
        <w:spacing w:before="79"/>
        <w:rPr>
          <w:color w:val="auto"/>
        </w:rPr>
      </w:pPr>
    </w:p>
    <w:p w14:paraId="785E5952">
      <w:pPr>
        <w:spacing w:before="78"/>
        <w:rPr>
          <w:color w:val="auto"/>
        </w:rPr>
      </w:pPr>
    </w:p>
    <w:p w14:paraId="42711A0A">
      <w:pPr>
        <w:rPr>
          <w:color w:val="auto"/>
        </w:rPr>
        <w:sectPr>
          <w:footerReference r:id="rId7" w:type="default"/>
          <w:pgSz w:w="11900" w:h="16839"/>
          <w:pgMar w:top="1440" w:right="1800" w:bottom="1440" w:left="1800" w:header="0" w:footer="219" w:gutter="0"/>
          <w:cols w:equalWidth="0" w:num="1">
            <w:col w:w="9710"/>
          </w:cols>
        </w:sectPr>
      </w:pPr>
    </w:p>
    <w:p w14:paraId="1ED8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center"/>
        <w:textAlignment w:val="baseline"/>
        <w:rPr>
          <w:color w:val="auto"/>
          <w:sz w:val="28"/>
          <w:szCs w:val="28"/>
        </w:rPr>
      </w:pPr>
      <w:r>
        <w:rPr>
          <w:color w:val="auto"/>
          <w:sz w:val="28"/>
          <w:szCs w:val="28"/>
        </w:rPr>
        <w:t>一</w:t>
      </w:r>
      <w:r>
        <w:rPr>
          <w:rFonts w:hint="eastAsia"/>
          <w:color w:val="auto"/>
          <w:sz w:val="28"/>
          <w:szCs w:val="28"/>
          <w:lang w:eastAsia="zh-CN"/>
        </w:rPr>
        <w:t>、</w:t>
      </w:r>
      <w:r>
        <w:rPr>
          <w:color w:val="auto"/>
          <w:sz w:val="28"/>
          <w:szCs w:val="28"/>
        </w:rPr>
        <w:t>说明</w:t>
      </w:r>
    </w:p>
    <w:p w14:paraId="687AFA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color w:val="auto"/>
          <w:sz w:val="24"/>
          <w:szCs w:val="24"/>
        </w:rPr>
      </w:pPr>
      <w:r>
        <w:rPr>
          <w:rFonts w:ascii="宋体" w:hAnsi="宋体" w:eastAsia="宋体" w:cs="宋体"/>
          <w:b/>
          <w:bCs/>
          <w:color w:val="auto"/>
          <w:spacing w:val="-8"/>
          <w:sz w:val="24"/>
          <w:szCs w:val="24"/>
        </w:rPr>
        <w:t>1.适用范围</w:t>
      </w:r>
    </w:p>
    <w:p w14:paraId="6397AA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本竞争性谈判文件仅适用于竞争性谈判公告中所</w:t>
      </w:r>
      <w:r>
        <w:rPr>
          <w:rFonts w:ascii="宋体" w:hAnsi="宋体" w:eastAsia="宋体" w:cs="宋体"/>
          <w:color w:val="auto"/>
          <w:spacing w:val="-2"/>
          <w:sz w:val="24"/>
          <w:szCs w:val="24"/>
        </w:rPr>
        <w:t>叙述项目及相关服务采购。</w:t>
      </w:r>
    </w:p>
    <w:p w14:paraId="7A507A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2.定义</w:t>
      </w:r>
    </w:p>
    <w:p w14:paraId="3DD81C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2.1“采购人”系指本次采购项目的业主方。</w:t>
      </w:r>
    </w:p>
    <w:p w14:paraId="7DD86E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2.2“采购代理机构”系指本次采购项目活动组织方。</w:t>
      </w:r>
    </w:p>
    <w:p w14:paraId="5CC94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2.3“供应商”系指购买了本竞争性谈判文件，且</w:t>
      </w:r>
      <w:r>
        <w:rPr>
          <w:rFonts w:ascii="宋体" w:hAnsi="宋体" w:eastAsia="宋体" w:cs="宋体"/>
          <w:color w:val="auto"/>
          <w:spacing w:val="-1"/>
          <w:sz w:val="24"/>
          <w:szCs w:val="24"/>
        </w:rPr>
        <w:t>已经提交本次响应性文件的投标</w:t>
      </w:r>
      <w:r>
        <w:rPr>
          <w:rFonts w:ascii="宋体" w:hAnsi="宋体" w:eastAsia="宋体" w:cs="宋体"/>
          <w:color w:val="auto"/>
          <w:spacing w:val="-12"/>
          <w:sz w:val="24"/>
          <w:szCs w:val="24"/>
        </w:rPr>
        <w:t>人。</w:t>
      </w:r>
    </w:p>
    <w:p w14:paraId="4DB3A9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2.4“供应商代表”系指代表供应商参加本次谈判</w:t>
      </w:r>
      <w:r>
        <w:rPr>
          <w:rFonts w:ascii="宋体" w:hAnsi="宋体" w:eastAsia="宋体" w:cs="宋体"/>
          <w:color w:val="auto"/>
          <w:spacing w:val="-1"/>
          <w:sz w:val="24"/>
          <w:szCs w:val="24"/>
        </w:rPr>
        <w:t>活动的供应商的法定代表人或其</w:t>
      </w:r>
      <w:r>
        <w:rPr>
          <w:rFonts w:ascii="宋体" w:hAnsi="宋体" w:eastAsia="宋体" w:cs="宋体"/>
          <w:color w:val="auto"/>
          <w:spacing w:val="-6"/>
          <w:sz w:val="24"/>
          <w:szCs w:val="24"/>
        </w:rPr>
        <w:t>委托代理人。</w:t>
      </w:r>
    </w:p>
    <w:p w14:paraId="5015BC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2.5“竞争性谈判文件有效期”系指本次采购项目</w:t>
      </w:r>
      <w:r>
        <w:rPr>
          <w:rFonts w:ascii="宋体" w:hAnsi="宋体" w:eastAsia="宋体" w:cs="宋体"/>
          <w:color w:val="auto"/>
          <w:spacing w:val="-1"/>
          <w:sz w:val="24"/>
          <w:szCs w:val="24"/>
        </w:rPr>
        <w:t>递交响应性文件截止之日起至合</w:t>
      </w:r>
      <w:r>
        <w:rPr>
          <w:rFonts w:ascii="宋体" w:hAnsi="宋体" w:eastAsia="宋体" w:cs="宋体"/>
          <w:color w:val="auto"/>
          <w:spacing w:val="-2"/>
          <w:sz w:val="24"/>
          <w:szCs w:val="24"/>
        </w:rPr>
        <w:t>同签订之日止的期限。成交供应商的竞争性谈判文件有效期至合同完全履行止。</w:t>
      </w:r>
    </w:p>
    <w:p w14:paraId="3F794F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2.6供应商投标文件中无固定格式的承诺书（函）</w:t>
      </w:r>
      <w:r>
        <w:rPr>
          <w:rFonts w:ascii="宋体" w:hAnsi="宋体" w:eastAsia="宋体" w:cs="宋体"/>
          <w:color w:val="auto"/>
          <w:spacing w:val="-1"/>
          <w:sz w:val="24"/>
          <w:szCs w:val="24"/>
        </w:rPr>
        <w:t>抬头及（致）须针对招标人及代</w:t>
      </w:r>
      <w:r>
        <w:rPr>
          <w:rFonts w:ascii="宋体" w:hAnsi="宋体" w:eastAsia="宋体" w:cs="宋体"/>
          <w:color w:val="auto"/>
          <w:spacing w:val="-4"/>
          <w:sz w:val="24"/>
          <w:szCs w:val="24"/>
        </w:rPr>
        <w:t>理机构，否则按无效投标处理。</w:t>
      </w:r>
    </w:p>
    <w:p w14:paraId="74F9FC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3.谈判费用</w:t>
      </w:r>
    </w:p>
    <w:p w14:paraId="494FC0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不论谈判结果如何，供应商均应自行承担所有与谈判有关的全部费用。</w:t>
      </w:r>
    </w:p>
    <w:p w14:paraId="392028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4.联合体参加谈判（不接受）</w:t>
      </w:r>
    </w:p>
    <w:p w14:paraId="49DE06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5.转包与分包</w:t>
      </w:r>
    </w:p>
    <w:p w14:paraId="73DB6F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5.1本项目不允许采取转包方式履行合同。</w:t>
      </w:r>
    </w:p>
    <w:p w14:paraId="14F3C4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firstLineChars="200"/>
        <w:textAlignment w:val="baseline"/>
        <w:rPr>
          <w:rFonts w:ascii="宋体" w:hAnsi="宋体" w:eastAsia="宋体" w:cs="宋体"/>
          <w:color w:val="auto"/>
          <w:sz w:val="24"/>
          <w:szCs w:val="24"/>
        </w:rPr>
      </w:pPr>
      <w:r>
        <w:rPr>
          <w:rFonts w:ascii="宋体" w:hAnsi="宋体" w:eastAsia="宋体" w:cs="宋体"/>
          <w:b/>
          <w:bCs/>
          <w:color w:val="auto"/>
          <w:spacing w:val="-11"/>
          <w:sz w:val="24"/>
          <w:szCs w:val="24"/>
        </w:rPr>
        <w:t>6.特别说明：</w:t>
      </w:r>
    </w:p>
    <w:p w14:paraId="1BF56D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6.1供应商参加谈判所使用的资格、信誉、荣誉、业</w:t>
      </w:r>
      <w:r>
        <w:rPr>
          <w:rFonts w:ascii="宋体" w:hAnsi="宋体" w:eastAsia="宋体" w:cs="宋体"/>
          <w:color w:val="auto"/>
          <w:spacing w:val="-1"/>
          <w:sz w:val="24"/>
          <w:szCs w:val="24"/>
        </w:rPr>
        <w:t>绩与企业认证必须为本法人所</w:t>
      </w:r>
      <w:r>
        <w:rPr>
          <w:rFonts w:ascii="宋体" w:hAnsi="宋体" w:eastAsia="宋体" w:cs="宋体"/>
          <w:color w:val="auto"/>
          <w:spacing w:val="-2"/>
          <w:sz w:val="24"/>
          <w:szCs w:val="24"/>
        </w:rPr>
        <w:t>拥有，需出具书面承诺，作为响应文件的组成部分。</w:t>
      </w:r>
    </w:p>
    <w:p w14:paraId="421212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6.2供应商代表只能接受一个供应商的委托参加谈判。</w:t>
      </w:r>
    </w:p>
    <w:p w14:paraId="6BD44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6.3供应商在谈判活动中提供虚假材料或从事其他违法</w:t>
      </w:r>
      <w:r>
        <w:rPr>
          <w:rFonts w:ascii="宋体" w:hAnsi="宋体" w:eastAsia="宋体" w:cs="宋体"/>
          <w:color w:val="auto"/>
          <w:spacing w:val="-1"/>
          <w:sz w:val="24"/>
          <w:szCs w:val="24"/>
        </w:rPr>
        <w:t>活动的,其响应无效，由相关</w:t>
      </w:r>
      <w:r>
        <w:rPr>
          <w:rFonts w:ascii="宋体" w:hAnsi="宋体" w:eastAsia="宋体" w:cs="宋体"/>
          <w:color w:val="auto"/>
          <w:spacing w:val="-8"/>
          <w:sz w:val="24"/>
          <w:szCs w:val="24"/>
        </w:rPr>
        <w:t>部门查处。</w:t>
      </w:r>
    </w:p>
    <w:p w14:paraId="08E630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7.质疑和投诉</w:t>
      </w:r>
    </w:p>
    <w:p w14:paraId="2ECC18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7.1供应商认为竞争性谈判文件使自己的合</w:t>
      </w:r>
      <w:r>
        <w:rPr>
          <w:rFonts w:ascii="宋体" w:hAnsi="宋体" w:eastAsia="宋体" w:cs="宋体"/>
          <w:color w:val="auto"/>
          <w:spacing w:val="-1"/>
          <w:sz w:val="24"/>
          <w:szCs w:val="24"/>
        </w:rPr>
        <w:t>法权益受到损害的，应在递交响应文件</w:t>
      </w:r>
      <w:r>
        <w:rPr>
          <w:rFonts w:ascii="宋体" w:hAnsi="宋体" w:eastAsia="宋体" w:cs="宋体"/>
          <w:color w:val="auto"/>
          <w:sz w:val="24"/>
          <w:szCs w:val="24"/>
        </w:rPr>
        <w:t>截止时间2日之前提出质疑；供应商对谈判过程和成交结果使自</w:t>
      </w:r>
      <w:r>
        <w:rPr>
          <w:rFonts w:ascii="宋体" w:hAnsi="宋体" w:eastAsia="宋体" w:cs="宋体"/>
          <w:color w:val="auto"/>
          <w:spacing w:val="-1"/>
          <w:sz w:val="24"/>
          <w:szCs w:val="24"/>
        </w:rPr>
        <w:t>己的合法权益受到损害</w:t>
      </w:r>
      <w:r>
        <w:rPr>
          <w:rFonts w:ascii="宋体" w:hAnsi="宋体" w:eastAsia="宋体" w:cs="宋体"/>
          <w:color w:val="auto"/>
          <w:sz w:val="24"/>
          <w:szCs w:val="24"/>
        </w:rPr>
        <w:t>的，应当在知道或者应知其权益受到损害之日起7个工作日内提</w:t>
      </w:r>
      <w:r>
        <w:rPr>
          <w:rFonts w:ascii="宋体" w:hAnsi="宋体" w:eastAsia="宋体" w:cs="宋体"/>
          <w:color w:val="auto"/>
          <w:spacing w:val="-1"/>
          <w:sz w:val="24"/>
          <w:szCs w:val="24"/>
        </w:rPr>
        <w:t>出质疑。逾期不再受理</w:t>
      </w:r>
      <w:r>
        <w:rPr>
          <w:rFonts w:ascii="宋体" w:hAnsi="宋体" w:eastAsia="宋体" w:cs="宋体"/>
          <w:color w:val="auto"/>
          <w:spacing w:val="3"/>
          <w:sz w:val="24"/>
          <w:szCs w:val="24"/>
        </w:rPr>
        <w:t>,供应商在法定质疑期内应一次性提出针对同一采购环节的质疑。关于对招标采购程</w:t>
      </w:r>
      <w:r>
        <w:rPr>
          <w:rFonts w:ascii="宋体" w:hAnsi="宋体" w:eastAsia="宋体" w:cs="宋体"/>
          <w:color w:val="auto"/>
          <w:sz w:val="24"/>
          <w:szCs w:val="24"/>
        </w:rPr>
        <w:t>序、竞争性谈判文件格式性条款、谈判结果的询问和质疑,请向</w:t>
      </w:r>
      <w:r>
        <w:rPr>
          <w:rFonts w:ascii="宋体" w:hAnsi="宋体" w:eastAsia="宋体" w:cs="宋体"/>
          <w:color w:val="auto"/>
          <w:spacing w:val="-1"/>
          <w:sz w:val="24"/>
          <w:szCs w:val="24"/>
        </w:rPr>
        <w:t>驻马店市政府采购中心</w:t>
      </w:r>
      <w:r>
        <w:rPr>
          <w:rFonts w:ascii="宋体" w:hAnsi="宋体" w:eastAsia="宋体" w:cs="宋体"/>
          <w:color w:val="auto"/>
          <w:spacing w:val="-2"/>
          <w:sz w:val="24"/>
          <w:szCs w:val="24"/>
        </w:rPr>
        <w:t>提出；关于对供应商特殊资质要求、技术参数和技术标准、商务要求的询问和质疑，</w:t>
      </w:r>
    </w:p>
    <w:p w14:paraId="4861D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4"/>
          <w:szCs w:val="24"/>
        </w:rPr>
      </w:pPr>
      <w:r>
        <w:rPr>
          <w:rFonts w:ascii="宋体" w:hAnsi="宋体" w:eastAsia="宋体" w:cs="宋体"/>
          <w:color w:val="auto"/>
          <w:spacing w:val="-5"/>
          <w:sz w:val="24"/>
          <w:szCs w:val="24"/>
        </w:rPr>
        <w:t>请向采购人提出。</w:t>
      </w:r>
    </w:p>
    <w:p w14:paraId="011C83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2"/>
          <w:sz w:val="24"/>
          <w:szCs w:val="24"/>
        </w:rPr>
      </w:pPr>
      <w:r>
        <w:rPr>
          <w:rFonts w:ascii="宋体" w:hAnsi="宋体" w:eastAsia="宋体" w:cs="宋体"/>
          <w:color w:val="auto"/>
          <w:sz w:val="24"/>
          <w:szCs w:val="24"/>
        </w:rPr>
        <w:t>供应商对采购人或采购代理机构的质疑答复不满意,或采</w:t>
      </w:r>
      <w:r>
        <w:rPr>
          <w:rFonts w:ascii="宋体" w:hAnsi="宋体" w:eastAsia="宋体" w:cs="宋体"/>
          <w:color w:val="auto"/>
          <w:spacing w:val="-1"/>
          <w:sz w:val="24"/>
          <w:szCs w:val="24"/>
        </w:rPr>
        <w:t>购人或采购代理机构未在规定时间内作出答复的，可以在答复期满后15个工作日内向</w:t>
      </w:r>
      <w:r>
        <w:rPr>
          <w:rFonts w:ascii="宋体" w:hAnsi="宋体" w:eastAsia="宋体" w:cs="宋体"/>
          <w:color w:val="auto"/>
          <w:spacing w:val="-2"/>
          <w:sz w:val="24"/>
          <w:szCs w:val="24"/>
        </w:rPr>
        <w:t>同级财政部门投诉。</w:t>
      </w:r>
    </w:p>
    <w:p w14:paraId="1819B1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7.2质疑、投诉应当采用书面形式，质疑及</w:t>
      </w:r>
      <w:r>
        <w:rPr>
          <w:rFonts w:ascii="宋体" w:hAnsi="宋体" w:eastAsia="宋体" w:cs="宋体"/>
          <w:color w:val="auto"/>
          <w:spacing w:val="-1"/>
          <w:sz w:val="24"/>
          <w:szCs w:val="24"/>
        </w:rPr>
        <w:t>答疑将通过驻马店市公共资源交易不见</w:t>
      </w:r>
      <w:r>
        <w:rPr>
          <w:rFonts w:ascii="宋体" w:hAnsi="宋体" w:eastAsia="宋体" w:cs="宋体"/>
          <w:color w:val="auto"/>
          <w:sz w:val="24"/>
          <w:szCs w:val="24"/>
        </w:rPr>
        <w:t>面系统进行。质疑书、投诉书均应明确阐述竞争性谈判文</w:t>
      </w:r>
      <w:r>
        <w:rPr>
          <w:rFonts w:ascii="宋体" w:hAnsi="宋体" w:eastAsia="宋体" w:cs="宋体"/>
          <w:color w:val="auto"/>
          <w:spacing w:val="-1"/>
          <w:sz w:val="24"/>
          <w:szCs w:val="24"/>
        </w:rPr>
        <w:t>件、谈判过程和谈判结果中</w:t>
      </w:r>
      <w:r>
        <w:rPr>
          <w:rFonts w:ascii="宋体" w:hAnsi="宋体" w:eastAsia="宋体" w:cs="宋体"/>
          <w:color w:val="auto"/>
          <w:sz w:val="24"/>
          <w:szCs w:val="24"/>
        </w:rPr>
        <w:t>使自己合法权益受到损害的实质性内容，提供相关事实、</w:t>
      </w:r>
      <w:r>
        <w:rPr>
          <w:rFonts w:ascii="宋体" w:hAnsi="宋体" w:eastAsia="宋体" w:cs="宋体"/>
          <w:color w:val="auto"/>
          <w:spacing w:val="-1"/>
          <w:sz w:val="24"/>
          <w:szCs w:val="24"/>
        </w:rPr>
        <w:t>依据和证据及其来源或线索</w:t>
      </w:r>
      <w:r>
        <w:rPr>
          <w:rFonts w:ascii="宋体" w:hAnsi="宋体" w:eastAsia="宋体" w:cs="宋体"/>
          <w:color w:val="auto"/>
          <w:spacing w:val="4"/>
          <w:sz w:val="24"/>
          <w:szCs w:val="24"/>
        </w:rPr>
        <w:t>,便于有关单位调查、答复和处理。</w:t>
      </w:r>
    </w:p>
    <w:p w14:paraId="6830B7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8.供应商的风险</w:t>
      </w:r>
    </w:p>
    <w:p w14:paraId="48DFF1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供应商没有按照竞争性谈判文件要求提供全部资料，或者</w:t>
      </w:r>
      <w:r>
        <w:rPr>
          <w:rFonts w:ascii="宋体" w:hAnsi="宋体" w:eastAsia="宋体" w:cs="宋体"/>
          <w:color w:val="auto"/>
          <w:spacing w:val="-1"/>
          <w:sz w:val="24"/>
          <w:szCs w:val="24"/>
        </w:rPr>
        <w:t>供应商没有对响应性文件在各方面都作出实质性响应是供应商的风险，并</w:t>
      </w:r>
      <w:r>
        <w:rPr>
          <w:rFonts w:ascii="宋体" w:hAnsi="宋体" w:eastAsia="宋体" w:cs="宋体"/>
          <w:color w:val="auto"/>
          <w:spacing w:val="-2"/>
          <w:sz w:val="24"/>
          <w:szCs w:val="24"/>
        </w:rPr>
        <w:t>可能导致其响应被拒绝。</w:t>
      </w:r>
    </w:p>
    <w:p w14:paraId="48BD9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sectPr>
          <w:footerReference r:id="rId8" w:type="default"/>
          <w:pgSz w:w="11900" w:h="16839"/>
          <w:pgMar w:top="1440" w:right="1800" w:bottom="1440" w:left="1800" w:header="0" w:footer="219" w:gutter="0"/>
          <w:cols w:equalWidth="0" w:num="1">
            <w:col w:w="9052"/>
          </w:cols>
        </w:sectPr>
      </w:pPr>
    </w:p>
    <w:p w14:paraId="23CCE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9" w:firstLineChars="200"/>
        <w:textAlignment w:val="baseline"/>
        <w:rPr>
          <w:rFonts w:ascii="宋体" w:hAnsi="宋体" w:eastAsia="宋体" w:cs="宋体"/>
          <w:b/>
          <w:bCs/>
          <w:color w:val="auto"/>
          <w:spacing w:val="-6"/>
          <w:sz w:val="32"/>
          <w:szCs w:val="32"/>
        </w:rPr>
      </w:pPr>
      <w:r>
        <w:rPr>
          <w:rFonts w:hint="eastAsia" w:ascii="宋体" w:hAnsi="宋体" w:eastAsia="宋体" w:cs="宋体"/>
          <w:b/>
          <w:bCs/>
          <w:color w:val="auto"/>
          <w:spacing w:val="-6"/>
          <w:sz w:val="32"/>
          <w:szCs w:val="32"/>
          <w:lang w:val="en-US" w:eastAsia="zh-CN"/>
        </w:rPr>
        <w:t>二</w:t>
      </w:r>
      <w:r>
        <w:rPr>
          <w:rFonts w:ascii="宋体" w:hAnsi="宋体" w:eastAsia="宋体" w:cs="宋体"/>
          <w:b/>
          <w:bCs/>
          <w:color w:val="auto"/>
          <w:spacing w:val="-6"/>
          <w:sz w:val="32"/>
          <w:szCs w:val="32"/>
        </w:rPr>
        <w:t>竞争性谈判文件</w:t>
      </w:r>
    </w:p>
    <w:p w14:paraId="451CD4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9.竞争性谈判文件的构成。本竞争性谈判文件由以下部分组成：</w:t>
      </w:r>
    </w:p>
    <w:p w14:paraId="2296AD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9.1竞争性谈判公告</w:t>
      </w:r>
    </w:p>
    <w:p w14:paraId="1CD66B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9.2供应商须知</w:t>
      </w:r>
    </w:p>
    <w:p w14:paraId="0AD6A2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9.3工程量清单</w:t>
      </w:r>
    </w:p>
    <w:p w14:paraId="2948EC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9.4合同条款（主要条款）</w:t>
      </w:r>
    </w:p>
    <w:p w14:paraId="567EC4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9.5响应性文件格式</w:t>
      </w:r>
    </w:p>
    <w:p w14:paraId="5C4D0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10.竞争性谈判文件的澄清与修改</w:t>
      </w:r>
    </w:p>
    <w:p w14:paraId="1CC05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10.1采购代理机构对已发出的竞争性谈判文件进行必要澄清、修改或补充的，应</w:t>
      </w:r>
      <w:r>
        <w:rPr>
          <w:rFonts w:ascii="宋体" w:hAnsi="宋体" w:eastAsia="宋体" w:cs="宋体"/>
          <w:color w:val="auto"/>
          <w:sz w:val="24"/>
          <w:szCs w:val="24"/>
        </w:rPr>
        <w:t>当在竞争性谈判文件要求提交响应文件截止时间3个工作日（如</w:t>
      </w:r>
      <w:r>
        <w:rPr>
          <w:rFonts w:ascii="宋体" w:hAnsi="宋体" w:eastAsia="宋体" w:cs="宋体"/>
          <w:color w:val="auto"/>
          <w:spacing w:val="-1"/>
          <w:sz w:val="24"/>
          <w:szCs w:val="24"/>
        </w:rPr>
        <w:t>至原定截止时间不足3</w:t>
      </w:r>
      <w:r>
        <w:rPr>
          <w:rFonts w:ascii="宋体" w:hAnsi="宋体" w:eastAsia="宋体" w:cs="宋体"/>
          <w:color w:val="auto"/>
          <w:sz w:val="24"/>
          <w:szCs w:val="24"/>
        </w:rPr>
        <w:t>个工作日，则需延长谈判开始时间，谈判文件发售时间、递交</w:t>
      </w:r>
      <w:r>
        <w:rPr>
          <w:rFonts w:ascii="宋体" w:hAnsi="宋体" w:eastAsia="宋体" w:cs="宋体"/>
          <w:color w:val="auto"/>
          <w:spacing w:val="-1"/>
          <w:sz w:val="24"/>
          <w:szCs w:val="24"/>
        </w:rPr>
        <w:t>样品截止时间等可以相</w:t>
      </w:r>
      <w:r>
        <w:rPr>
          <w:rFonts w:ascii="宋体" w:hAnsi="宋体" w:eastAsia="宋体" w:cs="宋体"/>
          <w:color w:val="auto"/>
          <w:sz w:val="24"/>
          <w:szCs w:val="24"/>
        </w:rPr>
        <w:t>应延长）前，在河南省政府采购网、驻马店政府采购网、驻马</w:t>
      </w:r>
      <w:r>
        <w:rPr>
          <w:rFonts w:ascii="宋体" w:hAnsi="宋体" w:eastAsia="宋体" w:cs="宋体"/>
          <w:color w:val="auto"/>
          <w:spacing w:val="-1"/>
          <w:sz w:val="24"/>
          <w:szCs w:val="24"/>
        </w:rPr>
        <w:t>店市公共资源交易中心</w:t>
      </w:r>
      <w:r>
        <w:rPr>
          <w:rFonts w:ascii="宋体" w:hAnsi="宋体" w:eastAsia="宋体" w:cs="宋体"/>
          <w:color w:val="auto"/>
          <w:sz w:val="24"/>
          <w:szCs w:val="24"/>
        </w:rPr>
        <w:t>网等相关媒体上发布更正公告或变更公告。竞争性谈判文件公</w:t>
      </w:r>
      <w:r>
        <w:rPr>
          <w:rFonts w:ascii="宋体" w:hAnsi="宋体" w:eastAsia="宋体" w:cs="宋体"/>
          <w:color w:val="auto"/>
          <w:spacing w:val="-1"/>
          <w:sz w:val="24"/>
          <w:szCs w:val="24"/>
        </w:rPr>
        <w:t>示期间对竞争性谈判文</w:t>
      </w:r>
      <w:r>
        <w:rPr>
          <w:rFonts w:ascii="宋体" w:hAnsi="宋体" w:eastAsia="宋体" w:cs="宋体"/>
          <w:color w:val="auto"/>
          <w:spacing w:val="-3"/>
          <w:sz w:val="24"/>
          <w:szCs w:val="24"/>
        </w:rPr>
        <w:t>件进行的澄清、修改或补充不受上述限制。</w:t>
      </w:r>
    </w:p>
    <w:p w14:paraId="748BAE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2"/>
          <w:sz w:val="24"/>
          <w:szCs w:val="24"/>
        </w:rPr>
      </w:pPr>
      <w:r>
        <w:rPr>
          <w:rFonts w:ascii="宋体" w:hAnsi="宋体" w:eastAsia="宋体" w:cs="宋体"/>
          <w:color w:val="auto"/>
          <w:spacing w:val="-2"/>
          <w:sz w:val="24"/>
          <w:szCs w:val="24"/>
        </w:rPr>
        <w:t>10.2竞争性谈判文件澄清、修改或补充的内容为竞争性谈判文件的组成部分。</w:t>
      </w:r>
    </w:p>
    <w:p w14:paraId="586A19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10.3竞争性谈判文件的澄清、修改或补充都应通过本代理机构以法定形式发布。</w:t>
      </w:r>
      <w:r>
        <w:rPr>
          <w:rFonts w:ascii="宋体" w:hAnsi="宋体" w:eastAsia="宋体" w:cs="宋体"/>
          <w:color w:val="auto"/>
          <w:sz w:val="24"/>
          <w:szCs w:val="24"/>
        </w:rPr>
        <w:t>采购人未通过本代理机构对竞争性谈判文件进行的澄清、修改</w:t>
      </w:r>
      <w:r>
        <w:rPr>
          <w:rFonts w:ascii="宋体" w:hAnsi="宋体" w:eastAsia="宋体" w:cs="宋体"/>
          <w:color w:val="auto"/>
          <w:spacing w:val="-1"/>
          <w:sz w:val="24"/>
          <w:szCs w:val="24"/>
        </w:rPr>
        <w:t>或补充无效，谈判时不</w:t>
      </w:r>
      <w:r>
        <w:rPr>
          <w:rFonts w:ascii="宋体" w:hAnsi="宋体" w:eastAsia="宋体" w:cs="宋体"/>
          <w:color w:val="auto"/>
          <w:spacing w:val="-9"/>
          <w:sz w:val="24"/>
          <w:szCs w:val="24"/>
        </w:rPr>
        <w:t>予认可。</w:t>
      </w:r>
    </w:p>
    <w:p w14:paraId="6D6B0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rPr>
      </w:pPr>
      <w:r>
        <w:rPr>
          <w:rFonts w:ascii="宋体" w:hAnsi="宋体" w:eastAsia="宋体" w:cs="宋体"/>
          <w:color w:val="auto"/>
          <w:spacing w:val="-1"/>
          <w:sz w:val="24"/>
          <w:szCs w:val="24"/>
        </w:rPr>
        <w:t>10.4采购代理机构可以视采购具体情况延长递交响应文件截止时间和开始谈判时</w:t>
      </w:r>
      <w:r>
        <w:rPr>
          <w:rFonts w:ascii="宋体" w:hAnsi="宋体" w:eastAsia="宋体" w:cs="宋体"/>
          <w:color w:val="auto"/>
          <w:sz w:val="24"/>
          <w:szCs w:val="24"/>
        </w:rPr>
        <w:t>间，但至少应当在竞争性谈判文件要求提交响应文件的截止时</w:t>
      </w:r>
      <w:r>
        <w:rPr>
          <w:rFonts w:ascii="宋体" w:hAnsi="宋体" w:eastAsia="宋体" w:cs="宋体"/>
          <w:color w:val="auto"/>
          <w:spacing w:val="-1"/>
          <w:sz w:val="24"/>
          <w:szCs w:val="24"/>
        </w:rPr>
        <w:t>间3个工作日前，将变更</w:t>
      </w:r>
      <w:r>
        <w:rPr>
          <w:rFonts w:ascii="宋体" w:hAnsi="宋体" w:eastAsia="宋体" w:cs="宋体"/>
          <w:color w:val="auto"/>
          <w:sz w:val="24"/>
          <w:szCs w:val="24"/>
        </w:rPr>
        <w:t>时间在河南省政府采购网、驻马店政府采购网、驻马店市公</w:t>
      </w:r>
      <w:r>
        <w:rPr>
          <w:rFonts w:ascii="宋体" w:hAnsi="宋体" w:eastAsia="宋体" w:cs="宋体"/>
          <w:color w:val="auto"/>
          <w:spacing w:val="-1"/>
          <w:sz w:val="24"/>
          <w:szCs w:val="24"/>
        </w:rPr>
        <w:t>共资源交易中心网等相关</w:t>
      </w:r>
      <w:r>
        <w:rPr>
          <w:rFonts w:ascii="宋体" w:hAnsi="宋体" w:eastAsia="宋体" w:cs="宋体"/>
          <w:color w:val="auto"/>
          <w:spacing w:val="-3"/>
          <w:sz w:val="24"/>
          <w:szCs w:val="24"/>
        </w:rPr>
        <w:t>媒体上发布更正公告或变更公告。</w:t>
      </w:r>
    </w:p>
    <w:p w14:paraId="2884A2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sectPr>
          <w:footerReference r:id="rId9" w:type="default"/>
          <w:pgSz w:w="11900" w:h="16839"/>
          <w:pgMar w:top="1440" w:right="1800" w:bottom="1440" w:left="1800" w:header="0" w:footer="219" w:gutter="0"/>
          <w:cols w:equalWidth="0" w:num="1">
            <w:col w:w="9053"/>
          </w:cols>
        </w:sectPr>
      </w:pPr>
    </w:p>
    <w:p w14:paraId="55E66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5" w:firstLineChars="200"/>
        <w:textAlignment w:val="baseline"/>
        <w:rPr>
          <w:rFonts w:ascii="宋体" w:hAnsi="宋体" w:eastAsia="宋体" w:cs="宋体"/>
          <w:b/>
          <w:bCs/>
          <w:color w:val="auto"/>
          <w:spacing w:val="-7"/>
          <w:sz w:val="32"/>
          <w:szCs w:val="32"/>
        </w:rPr>
      </w:pPr>
      <w:r>
        <w:rPr>
          <w:rFonts w:ascii="宋体" w:hAnsi="宋体" w:eastAsia="宋体" w:cs="宋体"/>
          <w:b/>
          <w:bCs/>
          <w:color w:val="auto"/>
          <w:spacing w:val="-7"/>
          <w:sz w:val="32"/>
          <w:szCs w:val="32"/>
        </w:rPr>
        <w:t>三</w:t>
      </w:r>
    </w:p>
    <w:p w14:paraId="781EB6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5" w:firstLineChars="200"/>
        <w:textAlignment w:val="baseline"/>
        <w:rPr>
          <w:rFonts w:ascii="宋体" w:hAnsi="宋体" w:eastAsia="宋体" w:cs="宋体"/>
          <w:b/>
          <w:bCs/>
          <w:color w:val="auto"/>
          <w:spacing w:val="-7"/>
          <w:sz w:val="32"/>
          <w:szCs w:val="32"/>
        </w:rPr>
      </w:pPr>
      <w:r>
        <w:rPr>
          <w:rFonts w:ascii="宋体" w:hAnsi="宋体" w:eastAsia="宋体" w:cs="宋体"/>
          <w:b/>
          <w:bCs/>
          <w:color w:val="auto"/>
          <w:spacing w:val="-7"/>
          <w:sz w:val="32"/>
          <w:szCs w:val="32"/>
        </w:rPr>
        <w:br w:type="column"/>
      </w:r>
      <w:r>
        <w:rPr>
          <w:rFonts w:ascii="宋体" w:hAnsi="宋体" w:eastAsia="宋体" w:cs="宋体"/>
          <w:b/>
          <w:bCs/>
          <w:color w:val="auto"/>
          <w:spacing w:val="-7"/>
          <w:sz w:val="32"/>
          <w:szCs w:val="32"/>
        </w:rPr>
        <w:t>响应性文件的编制</w:t>
      </w:r>
    </w:p>
    <w:p w14:paraId="457337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ascii="宋体" w:hAnsi="宋体" w:eastAsia="宋体" w:cs="宋体"/>
          <w:color w:val="auto"/>
          <w:sz w:val="32"/>
          <w:szCs w:val="32"/>
        </w:rPr>
        <w:sectPr>
          <w:type w:val="continuous"/>
          <w:pgSz w:w="11900" w:h="16839"/>
          <w:pgMar w:top="1440" w:right="1800" w:bottom="1440" w:left="1800" w:header="0" w:footer="219" w:gutter="0"/>
          <w:cols w:equalWidth="0" w:num="2">
            <w:col w:w="2786" w:space="100"/>
            <w:col w:w="5415"/>
          </w:cols>
        </w:sectPr>
      </w:pPr>
    </w:p>
    <w:p w14:paraId="49F8D4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color w:val="auto"/>
          <w:sz w:val="24"/>
          <w:szCs w:val="24"/>
        </w:rPr>
      </w:pPr>
      <w:r>
        <w:rPr>
          <w:rFonts w:ascii="宋体" w:hAnsi="宋体" w:eastAsia="宋体" w:cs="宋体"/>
          <w:b/>
          <w:bCs/>
          <w:color w:val="auto"/>
          <w:spacing w:val="-8"/>
          <w:sz w:val="24"/>
          <w:szCs w:val="24"/>
        </w:rPr>
        <w:t>11.要求</w:t>
      </w:r>
    </w:p>
    <w:p w14:paraId="28FEB2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11.1供应商应仔细阅读竞争性谈判文件的所有内容，按照竞争性谈判文件提供的格</w:t>
      </w:r>
      <w:r>
        <w:rPr>
          <w:rFonts w:ascii="宋体" w:hAnsi="宋体" w:eastAsia="宋体" w:cs="宋体"/>
          <w:color w:val="auto"/>
          <w:sz w:val="24"/>
          <w:szCs w:val="24"/>
        </w:rPr>
        <w:t>式编写响应文件，不得缺少或留空任何竞争性谈判</w:t>
      </w:r>
      <w:r>
        <w:rPr>
          <w:rFonts w:ascii="宋体" w:hAnsi="宋体" w:eastAsia="宋体" w:cs="宋体"/>
          <w:color w:val="auto"/>
          <w:spacing w:val="-1"/>
          <w:sz w:val="24"/>
          <w:szCs w:val="24"/>
        </w:rPr>
        <w:t>文件要求填写的表格或提交的资料</w:t>
      </w:r>
    </w:p>
    <w:p w14:paraId="4B06E8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。竞争性谈判文件提供格式的按格式填列，未提供格式的可自行拟</w:t>
      </w:r>
      <w:r>
        <w:rPr>
          <w:rFonts w:ascii="宋体" w:hAnsi="宋体" w:eastAsia="宋体" w:cs="宋体"/>
          <w:color w:val="auto"/>
          <w:spacing w:val="-2"/>
          <w:sz w:val="24"/>
          <w:szCs w:val="24"/>
        </w:rPr>
        <w:t>定。响应文件应对</w:t>
      </w:r>
      <w:r>
        <w:rPr>
          <w:rFonts w:ascii="宋体" w:hAnsi="宋体" w:eastAsia="宋体" w:cs="宋体"/>
          <w:color w:val="auto"/>
          <w:sz w:val="24"/>
          <w:szCs w:val="24"/>
        </w:rPr>
        <w:t>竞争性谈判文件的要求作出实质性响应（包括供应商</w:t>
      </w:r>
      <w:r>
        <w:rPr>
          <w:rFonts w:ascii="宋体" w:hAnsi="宋体" w:eastAsia="宋体" w:cs="宋体"/>
          <w:color w:val="auto"/>
          <w:spacing w:val="-1"/>
          <w:sz w:val="24"/>
          <w:szCs w:val="24"/>
        </w:rPr>
        <w:t>资格要求、技术参数和技术标准、商务要求和响应文件中对响应的要求</w:t>
      </w:r>
      <w:r>
        <w:rPr>
          <w:rFonts w:ascii="宋体" w:hAnsi="宋体" w:eastAsia="宋体" w:cs="宋体"/>
          <w:color w:val="auto"/>
          <w:spacing w:val="5"/>
          <w:sz w:val="24"/>
          <w:szCs w:val="24"/>
        </w:rPr>
        <w:t>），</w:t>
      </w:r>
      <w:r>
        <w:rPr>
          <w:rFonts w:ascii="宋体" w:hAnsi="宋体" w:eastAsia="宋体" w:cs="宋体"/>
          <w:color w:val="auto"/>
          <w:spacing w:val="-1"/>
          <w:sz w:val="24"/>
          <w:szCs w:val="24"/>
        </w:rPr>
        <w:t>供应商对所提供的全部资料的合法性、真</w:t>
      </w:r>
      <w:r>
        <w:rPr>
          <w:rFonts w:ascii="宋体" w:hAnsi="宋体" w:eastAsia="宋体" w:cs="宋体"/>
          <w:color w:val="auto"/>
          <w:spacing w:val="-8"/>
          <w:sz w:val="24"/>
          <w:szCs w:val="24"/>
        </w:rPr>
        <w:t>实性负责。</w:t>
      </w:r>
    </w:p>
    <w:p w14:paraId="4B1417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11.2供应商应完整签署响应文件格式附件中《竞争性谈判响应书》和《抵制商业</w:t>
      </w:r>
      <w:r>
        <w:rPr>
          <w:rFonts w:ascii="宋体" w:hAnsi="宋体" w:eastAsia="宋体" w:cs="宋体"/>
          <w:color w:val="auto"/>
          <w:sz w:val="24"/>
          <w:szCs w:val="24"/>
        </w:rPr>
        <w:t>贿赂承诺》，不得随意增减或修改内容。否则视为对竞争性谈</w:t>
      </w:r>
      <w:r>
        <w:rPr>
          <w:rFonts w:ascii="宋体" w:hAnsi="宋体" w:eastAsia="宋体" w:cs="宋体"/>
          <w:color w:val="auto"/>
          <w:spacing w:val="-1"/>
          <w:sz w:val="24"/>
          <w:szCs w:val="24"/>
        </w:rPr>
        <w:t>判文件未作出实质性响</w:t>
      </w:r>
      <w:r>
        <w:rPr>
          <w:rFonts w:ascii="宋体" w:hAnsi="宋体" w:eastAsia="宋体" w:cs="宋体"/>
          <w:color w:val="auto"/>
          <w:spacing w:val="-11"/>
          <w:sz w:val="24"/>
          <w:szCs w:val="24"/>
        </w:rPr>
        <w:t>应。</w:t>
      </w:r>
    </w:p>
    <w:p w14:paraId="1D703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12.响应性文件的语言和计量单位</w:t>
      </w:r>
    </w:p>
    <w:p w14:paraId="33AE55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12.1响应性文件以及供应商与采购人、采购代理机构就有关谈判事宜的所有来往函</w:t>
      </w:r>
      <w:r>
        <w:rPr>
          <w:rFonts w:ascii="宋体" w:hAnsi="宋体" w:eastAsia="宋体" w:cs="宋体"/>
          <w:color w:val="auto"/>
          <w:spacing w:val="-6"/>
          <w:sz w:val="24"/>
          <w:szCs w:val="24"/>
        </w:rPr>
        <w:t>电均应使用简体中文书写。</w:t>
      </w:r>
    </w:p>
    <w:p w14:paraId="48F9B8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12.2关于计量单位，竞争性谈判文件已有明确规定的，使用竞争性谈判文件规定的</w:t>
      </w:r>
      <w:r>
        <w:rPr>
          <w:rFonts w:ascii="宋体" w:hAnsi="宋体" w:eastAsia="宋体" w:cs="宋体"/>
          <w:color w:val="auto"/>
          <w:sz w:val="24"/>
          <w:szCs w:val="24"/>
        </w:rPr>
        <w:t>计量单位；竞争性谈判文件没有规定的，应采用中华人民共和</w:t>
      </w:r>
      <w:r>
        <w:rPr>
          <w:rFonts w:ascii="宋体" w:hAnsi="宋体" w:eastAsia="宋体" w:cs="宋体"/>
          <w:color w:val="auto"/>
          <w:spacing w:val="-1"/>
          <w:sz w:val="24"/>
          <w:szCs w:val="24"/>
        </w:rPr>
        <w:t>国法定计量单位。否则</w:t>
      </w:r>
      <w:r>
        <w:rPr>
          <w:rFonts w:ascii="宋体" w:hAnsi="宋体" w:eastAsia="宋体" w:cs="宋体"/>
          <w:color w:val="auto"/>
          <w:spacing w:val="-3"/>
          <w:sz w:val="24"/>
          <w:szCs w:val="24"/>
        </w:rPr>
        <w:t>视为对竞争性谈判文件未作出实质性响应。</w:t>
      </w:r>
    </w:p>
    <w:p w14:paraId="5BB62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12.3原版为外文的证书类文件，以及由外国人做出的本人签名、外国公司的名称或</w:t>
      </w:r>
      <w:r>
        <w:rPr>
          <w:rFonts w:ascii="宋体" w:hAnsi="宋体" w:eastAsia="宋体" w:cs="宋体"/>
          <w:color w:val="auto"/>
          <w:sz w:val="24"/>
          <w:szCs w:val="24"/>
        </w:rPr>
        <w:t>外国印章等可以是外文，但应当提供中文翻译文件并加盖供应商</w:t>
      </w:r>
      <w:r>
        <w:rPr>
          <w:rFonts w:ascii="宋体" w:hAnsi="宋体" w:eastAsia="宋体" w:cs="宋体"/>
          <w:color w:val="auto"/>
          <w:spacing w:val="-1"/>
          <w:sz w:val="24"/>
          <w:szCs w:val="24"/>
        </w:rPr>
        <w:t>公章。必要时谈判小</w:t>
      </w:r>
      <w:r>
        <w:rPr>
          <w:rFonts w:ascii="宋体" w:hAnsi="宋体" w:eastAsia="宋体" w:cs="宋体"/>
          <w:color w:val="auto"/>
          <w:sz w:val="24"/>
          <w:szCs w:val="24"/>
        </w:rPr>
        <w:t>组可以要求供应商提供附有公证书的中文翻译文件或者与原版文</w:t>
      </w:r>
      <w:r>
        <w:rPr>
          <w:rFonts w:ascii="宋体" w:hAnsi="宋体" w:eastAsia="宋体" w:cs="宋体"/>
          <w:color w:val="auto"/>
          <w:spacing w:val="-1"/>
          <w:sz w:val="24"/>
          <w:szCs w:val="24"/>
        </w:rPr>
        <w:t>件签章相一致的中文</w:t>
      </w:r>
      <w:r>
        <w:rPr>
          <w:rFonts w:ascii="宋体" w:hAnsi="宋体" w:eastAsia="宋体" w:cs="宋体"/>
          <w:color w:val="auto"/>
          <w:spacing w:val="-7"/>
          <w:sz w:val="24"/>
          <w:szCs w:val="24"/>
        </w:rPr>
        <w:t>翻译文件。</w:t>
      </w:r>
    </w:p>
    <w:p w14:paraId="67C102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color w:val="auto"/>
          <w:sz w:val="24"/>
          <w:szCs w:val="24"/>
        </w:rPr>
      </w:pPr>
      <w:r>
        <w:rPr>
          <w:rFonts w:ascii="宋体" w:hAnsi="宋体" w:eastAsia="宋体" w:cs="宋体"/>
          <w:b/>
          <w:bCs/>
          <w:color w:val="auto"/>
          <w:spacing w:val="-6"/>
          <w:sz w:val="24"/>
          <w:szCs w:val="24"/>
        </w:rPr>
        <w:t>13.响应性文件的组成</w:t>
      </w:r>
      <w:r>
        <w:rPr>
          <w:rFonts w:ascii="宋体" w:hAnsi="宋体" w:eastAsia="宋体" w:cs="宋体"/>
          <w:color w:val="auto"/>
          <w:spacing w:val="-6"/>
          <w:sz w:val="24"/>
          <w:szCs w:val="24"/>
        </w:rPr>
        <w:t>。</w:t>
      </w:r>
      <w:r>
        <w:rPr>
          <w:rFonts w:ascii="宋体" w:hAnsi="宋体" w:eastAsia="宋体" w:cs="宋体"/>
          <w:b/>
          <w:bCs/>
          <w:color w:val="auto"/>
          <w:spacing w:val="-6"/>
          <w:sz w:val="24"/>
          <w:szCs w:val="24"/>
        </w:rPr>
        <w:t>响应性文件应包括下列部分：</w:t>
      </w:r>
    </w:p>
    <w:p w14:paraId="2434D4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13.1响应性谈判文件封面</w:t>
      </w:r>
    </w:p>
    <w:p w14:paraId="205BD2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13.2竞争性谈判响应书</w:t>
      </w:r>
    </w:p>
    <w:p w14:paraId="5F9229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13.3初次报价一览表</w:t>
      </w:r>
    </w:p>
    <w:p w14:paraId="35126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13.4法定代表人身份证明</w:t>
      </w:r>
    </w:p>
    <w:p w14:paraId="570ECC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13.5法定代表人授权书</w:t>
      </w:r>
    </w:p>
    <w:p w14:paraId="26E69F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13.6</w:t>
      </w:r>
      <w:r>
        <w:rPr>
          <w:rFonts w:hint="eastAsia" w:ascii="宋体" w:hAnsi="宋体" w:eastAsia="宋体" w:cs="宋体"/>
          <w:color w:val="auto"/>
          <w:spacing w:val="-3"/>
          <w:sz w:val="24"/>
          <w:szCs w:val="24"/>
          <w:lang w:eastAsia="zh-CN"/>
        </w:rPr>
        <w:t>报价明细表</w:t>
      </w:r>
    </w:p>
    <w:p w14:paraId="3E5B04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13.7证明文件</w:t>
      </w:r>
    </w:p>
    <w:p w14:paraId="5F2D36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13.8</w:t>
      </w:r>
      <w:r>
        <w:rPr>
          <w:rFonts w:ascii="宋体" w:hAnsi="宋体" w:eastAsia="宋体" w:cs="宋体"/>
          <w:color w:val="auto"/>
          <w:spacing w:val="-2"/>
          <w:sz w:val="24"/>
          <w:szCs w:val="24"/>
        </w:rPr>
        <w:t>抵制商业贿赂承诺</w:t>
      </w:r>
    </w:p>
    <w:p w14:paraId="42902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14.响应性文件有效期</w:t>
      </w:r>
    </w:p>
    <w:p w14:paraId="4C5D0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14.1响应文件从竞争性谈判公告所规定的递交响应文件截止期之后开始生效，在</w:t>
      </w:r>
      <w:r>
        <w:rPr>
          <w:rFonts w:ascii="宋体" w:hAnsi="宋体" w:eastAsia="宋体" w:cs="宋体"/>
          <w:color w:val="auto"/>
          <w:sz w:val="24"/>
          <w:szCs w:val="24"/>
        </w:rPr>
        <w:t>供应商须知前附表所规定的期限内保持有效。有效期不足将</w:t>
      </w:r>
      <w:r>
        <w:rPr>
          <w:rFonts w:ascii="宋体" w:hAnsi="宋体" w:eastAsia="宋体" w:cs="宋体"/>
          <w:color w:val="auto"/>
          <w:spacing w:val="-1"/>
          <w:sz w:val="24"/>
          <w:szCs w:val="24"/>
        </w:rPr>
        <w:t>导致其响应文件被拒绝。</w:t>
      </w:r>
      <w:r>
        <w:rPr>
          <w:rFonts w:ascii="宋体" w:hAnsi="宋体" w:eastAsia="宋体" w:cs="宋体"/>
          <w:color w:val="auto"/>
          <w:spacing w:val="-2"/>
          <w:sz w:val="24"/>
          <w:szCs w:val="24"/>
        </w:rPr>
        <w:t>成交供应商的响应文件有效期至合同完全履行止。</w:t>
      </w:r>
    </w:p>
    <w:p w14:paraId="0351D9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14.2特殊情况下采购代理机构可于响应文件有效期满之前书面要求供应商同意延长</w:t>
      </w:r>
      <w:r>
        <w:rPr>
          <w:rFonts w:ascii="宋体" w:hAnsi="宋体" w:eastAsia="宋体" w:cs="宋体"/>
          <w:color w:val="auto"/>
          <w:sz w:val="24"/>
          <w:szCs w:val="24"/>
        </w:rPr>
        <w:t>有效期供应商应在采购代理机构规定的期限内以书面形式予</w:t>
      </w:r>
      <w:r>
        <w:rPr>
          <w:rFonts w:ascii="宋体" w:hAnsi="宋体" w:eastAsia="宋体" w:cs="宋体"/>
          <w:color w:val="auto"/>
          <w:spacing w:val="-1"/>
          <w:sz w:val="24"/>
          <w:szCs w:val="24"/>
        </w:rPr>
        <w:t>以答复。供应商可以拒</w:t>
      </w:r>
      <w:r>
        <w:rPr>
          <w:rFonts w:ascii="宋体" w:hAnsi="宋体" w:eastAsia="宋体" w:cs="宋体"/>
          <w:color w:val="auto"/>
          <w:sz w:val="24"/>
          <w:szCs w:val="24"/>
        </w:rPr>
        <w:t>绝上述要求而其谈判保证金可按规定予以退还。供应商答复不</w:t>
      </w:r>
      <w:r>
        <w:rPr>
          <w:rFonts w:ascii="宋体" w:hAnsi="宋体" w:eastAsia="宋体" w:cs="宋体"/>
          <w:color w:val="auto"/>
          <w:spacing w:val="-1"/>
          <w:sz w:val="24"/>
          <w:szCs w:val="24"/>
        </w:rPr>
        <w:t>明确或者逾期未答复的</w:t>
      </w:r>
      <w:r>
        <w:rPr>
          <w:rFonts w:ascii="宋体" w:hAnsi="宋体" w:eastAsia="宋体" w:cs="宋体"/>
          <w:color w:val="auto"/>
          <w:spacing w:val="3"/>
          <w:sz w:val="24"/>
          <w:szCs w:val="24"/>
        </w:rPr>
        <w:t>,均视为拒绝上述要求。对于接受该要求的供应商，</w:t>
      </w:r>
      <w:r>
        <w:rPr>
          <w:rFonts w:ascii="宋体" w:hAnsi="宋体" w:eastAsia="宋体" w:cs="宋体"/>
          <w:color w:val="auto"/>
          <w:spacing w:val="2"/>
          <w:sz w:val="24"/>
          <w:szCs w:val="24"/>
        </w:rPr>
        <w:t>既不要求也不允许其修改响应文</w:t>
      </w:r>
      <w:r>
        <w:rPr>
          <w:rFonts w:ascii="宋体" w:hAnsi="宋体" w:eastAsia="宋体" w:cs="宋体"/>
          <w:color w:val="auto"/>
          <w:sz w:val="24"/>
          <w:szCs w:val="24"/>
        </w:rPr>
        <w:t>件，但将要求其相应延长谈判保证金有效期，有关退还和不予</w:t>
      </w:r>
      <w:r>
        <w:rPr>
          <w:rFonts w:ascii="宋体" w:hAnsi="宋体" w:eastAsia="宋体" w:cs="宋体"/>
          <w:color w:val="auto"/>
          <w:spacing w:val="-1"/>
          <w:sz w:val="24"/>
          <w:szCs w:val="24"/>
        </w:rPr>
        <w:t>退还谈判保证金的规定</w:t>
      </w:r>
      <w:r>
        <w:rPr>
          <w:rFonts w:ascii="宋体" w:hAnsi="宋体" w:eastAsia="宋体" w:cs="宋体"/>
          <w:color w:val="auto"/>
          <w:spacing w:val="-3"/>
          <w:sz w:val="24"/>
          <w:szCs w:val="24"/>
        </w:rPr>
        <w:t>在响应文件有效期延长期内继续有效。</w:t>
      </w:r>
    </w:p>
    <w:p w14:paraId="452E6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color w:val="auto"/>
          <w:sz w:val="24"/>
          <w:szCs w:val="24"/>
        </w:rPr>
      </w:pPr>
      <w:r>
        <w:rPr>
          <w:rFonts w:ascii="宋体" w:hAnsi="宋体" w:eastAsia="宋体" w:cs="宋体"/>
          <w:b/>
          <w:bCs/>
          <w:color w:val="auto"/>
          <w:spacing w:val="-7"/>
          <w:sz w:val="24"/>
          <w:szCs w:val="24"/>
        </w:rPr>
        <w:t>15.谈判报价</w:t>
      </w:r>
    </w:p>
    <w:p w14:paraId="7F8C23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15.1所有谈判报价均以人民币元为计算单位。材料价格可以参考驻马店市最新季度</w:t>
      </w:r>
      <w:r>
        <w:rPr>
          <w:rFonts w:ascii="宋体" w:hAnsi="宋体" w:eastAsia="宋体" w:cs="宋体"/>
          <w:color w:val="auto"/>
          <w:spacing w:val="-2"/>
          <w:sz w:val="24"/>
          <w:szCs w:val="24"/>
        </w:rPr>
        <w:t>建设工程造价信息，或投标人根据建筑材料市场情况自主确定。</w:t>
      </w:r>
    </w:p>
    <w:p w14:paraId="5EBB57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15.2供应商要按初次报价一览表、初次报价明细表的内容填写。</w:t>
      </w:r>
    </w:p>
    <w:p w14:paraId="38697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color w:val="auto"/>
          <w:sz w:val="24"/>
          <w:szCs w:val="24"/>
        </w:rPr>
      </w:pPr>
      <w:r>
        <w:rPr>
          <w:rFonts w:ascii="宋体" w:hAnsi="宋体" w:eastAsia="宋体" w:cs="宋体"/>
          <w:b/>
          <w:bCs/>
          <w:color w:val="auto"/>
          <w:spacing w:val="-7"/>
          <w:sz w:val="24"/>
          <w:szCs w:val="24"/>
        </w:rPr>
        <w:t>16.谈判保证金（无）</w:t>
      </w:r>
    </w:p>
    <w:p w14:paraId="33B59B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color w:val="auto"/>
          <w:sz w:val="24"/>
          <w:szCs w:val="24"/>
        </w:rPr>
      </w:pPr>
      <w:r>
        <w:rPr>
          <w:rFonts w:ascii="宋体" w:hAnsi="宋体" w:eastAsia="宋体" w:cs="宋体"/>
          <w:b/>
          <w:bCs/>
          <w:color w:val="auto"/>
          <w:spacing w:val="-7"/>
          <w:sz w:val="24"/>
          <w:szCs w:val="24"/>
        </w:rPr>
        <w:t>17.响应性文件的签署</w:t>
      </w:r>
    </w:p>
    <w:p w14:paraId="3870AA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17.1供应商应按本竞争性谈判文件规定的格式和顺序制作响应文件。除了响应文</w:t>
      </w:r>
      <w:r>
        <w:rPr>
          <w:rFonts w:ascii="宋体" w:hAnsi="宋体" w:eastAsia="宋体" w:cs="宋体"/>
          <w:color w:val="auto"/>
          <w:sz w:val="24"/>
          <w:szCs w:val="24"/>
        </w:rPr>
        <w:t>件封面以外，每个页面应在明显位置编制页码，按流水顺序填</w:t>
      </w:r>
      <w:r>
        <w:rPr>
          <w:rFonts w:ascii="宋体" w:hAnsi="宋体" w:eastAsia="宋体" w:cs="宋体"/>
          <w:color w:val="auto"/>
          <w:spacing w:val="-1"/>
          <w:sz w:val="24"/>
          <w:szCs w:val="24"/>
        </w:rPr>
        <w:t>写，字迹必须清晰可认</w:t>
      </w:r>
      <w:r>
        <w:rPr>
          <w:rFonts w:ascii="宋体" w:hAnsi="宋体" w:eastAsia="宋体" w:cs="宋体"/>
          <w:color w:val="auto"/>
          <w:spacing w:val="3"/>
          <w:sz w:val="24"/>
          <w:szCs w:val="24"/>
        </w:rPr>
        <w:t>,响应文件的目录应编序。目录上需有委托代理人签字并逐</w:t>
      </w:r>
      <w:r>
        <w:rPr>
          <w:rFonts w:ascii="宋体" w:hAnsi="宋体" w:eastAsia="宋体" w:cs="宋体"/>
          <w:color w:val="auto"/>
          <w:spacing w:val="2"/>
          <w:sz w:val="24"/>
          <w:szCs w:val="24"/>
        </w:rPr>
        <w:t>页加盖公章，否则视为对</w:t>
      </w:r>
      <w:r>
        <w:rPr>
          <w:rFonts w:ascii="宋体" w:hAnsi="宋体" w:eastAsia="宋体" w:cs="宋体"/>
          <w:color w:val="auto"/>
          <w:sz w:val="24"/>
          <w:szCs w:val="24"/>
        </w:rPr>
        <w:t>竞争性谈判文件未作出实质性响应。响应文件内容不完整、编</w:t>
      </w:r>
      <w:r>
        <w:rPr>
          <w:rFonts w:ascii="宋体" w:hAnsi="宋体" w:eastAsia="宋体" w:cs="宋体"/>
          <w:color w:val="auto"/>
          <w:spacing w:val="-1"/>
          <w:sz w:val="24"/>
          <w:szCs w:val="24"/>
        </w:rPr>
        <w:t>排混乱导致被误读、漏</w:t>
      </w:r>
      <w:r>
        <w:rPr>
          <w:rFonts w:ascii="宋体" w:hAnsi="宋体" w:eastAsia="宋体" w:cs="宋体"/>
          <w:color w:val="auto"/>
          <w:spacing w:val="-3"/>
          <w:sz w:val="24"/>
          <w:szCs w:val="24"/>
        </w:rPr>
        <w:t>读或者查找不到相关内容的，由供应商负责。</w:t>
      </w:r>
    </w:p>
    <w:p w14:paraId="027E0B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17.2加密的电子响应文件（.zmdtf格式）是根据“驻马店市公共资源交易中心网</w:t>
      </w:r>
      <w:r>
        <w:rPr>
          <w:rFonts w:ascii="宋体" w:hAnsi="宋体" w:eastAsia="宋体" w:cs="宋体"/>
          <w:color w:val="auto"/>
          <w:spacing w:val="-3"/>
          <w:sz w:val="24"/>
          <w:szCs w:val="24"/>
        </w:rPr>
        <w:t>”下载的电子竞争性谈判文件，制作生成的加密版响应文件。</w:t>
      </w:r>
    </w:p>
    <w:p w14:paraId="03943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17.3供应商应提交证明其拟供服务货物符合竞争性谈判文件要求的技术响应文件</w:t>
      </w:r>
      <w:r>
        <w:rPr>
          <w:rFonts w:ascii="宋体" w:hAnsi="宋体" w:eastAsia="宋体" w:cs="宋体"/>
          <w:color w:val="auto"/>
          <w:spacing w:val="2"/>
          <w:sz w:val="24"/>
          <w:szCs w:val="24"/>
        </w:rPr>
        <w:t>,该文件可以是文字资料、图纸和数据，并须提供服务货物主要技术性能的详细描述</w:t>
      </w:r>
      <w:r>
        <w:rPr>
          <w:rFonts w:ascii="宋体" w:hAnsi="宋体" w:eastAsia="宋体" w:cs="宋体"/>
          <w:color w:val="auto"/>
          <w:position w:val="1"/>
          <w:sz w:val="24"/>
          <w:szCs w:val="24"/>
        </w:rPr>
        <w:t>。</w:t>
      </w:r>
    </w:p>
    <w:p w14:paraId="15C9D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17.4供应商在编制电子响应文件时，根据竞争性谈判文件的要求用法人CA密钥和</w:t>
      </w:r>
      <w:r>
        <w:rPr>
          <w:rFonts w:ascii="宋体" w:hAnsi="宋体" w:eastAsia="宋体" w:cs="宋体"/>
          <w:color w:val="auto"/>
          <w:sz w:val="24"/>
          <w:szCs w:val="24"/>
        </w:rPr>
        <w:t>企业CA密钥进行签章制作。生成电子响应文件时，只能用</w:t>
      </w:r>
      <w:r>
        <w:rPr>
          <w:rFonts w:ascii="宋体" w:hAnsi="宋体" w:eastAsia="宋体" w:cs="宋体"/>
          <w:color w:val="auto"/>
          <w:spacing w:val="-1"/>
          <w:sz w:val="24"/>
          <w:szCs w:val="24"/>
        </w:rPr>
        <w:t>本单位的企业CA密钥。生成</w:t>
      </w:r>
      <w:r>
        <w:rPr>
          <w:rFonts w:ascii="宋体" w:hAnsi="宋体" w:eastAsia="宋体" w:cs="宋体"/>
          <w:color w:val="auto"/>
          <w:spacing w:val="-2"/>
          <w:sz w:val="24"/>
          <w:szCs w:val="24"/>
        </w:rPr>
        <w:t>后的电子响应文件须按采购文件的格式要求完成逐页电子签字并盖章。</w:t>
      </w:r>
    </w:p>
    <w:p w14:paraId="74057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pacing w:val="-3"/>
          <w:sz w:val="24"/>
          <w:szCs w:val="24"/>
        </w:rPr>
      </w:pPr>
      <w:r>
        <w:rPr>
          <w:rFonts w:ascii="宋体" w:hAnsi="宋体" w:eastAsia="宋体" w:cs="宋体"/>
          <w:color w:val="auto"/>
          <w:spacing w:val="-3"/>
          <w:sz w:val="24"/>
          <w:szCs w:val="24"/>
        </w:rPr>
        <w:t>17.5不接受电报、电传和传真的响应文件。</w:t>
      </w:r>
    </w:p>
    <w:p w14:paraId="6155A1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17.6全套响应文件应无涂改和行间插字，除非这些改动是为改正供应商造成的必</w:t>
      </w:r>
      <w:r>
        <w:rPr>
          <w:rFonts w:ascii="宋体" w:hAnsi="宋体" w:eastAsia="宋体" w:cs="宋体"/>
          <w:color w:val="auto"/>
          <w:sz w:val="24"/>
          <w:szCs w:val="24"/>
        </w:rPr>
        <w:t>须修改的错误而进行的。有改动时，修改处应由供应商</w:t>
      </w:r>
      <w:r>
        <w:rPr>
          <w:rFonts w:ascii="宋体" w:hAnsi="宋体" w:eastAsia="宋体" w:cs="宋体"/>
          <w:color w:val="auto"/>
          <w:spacing w:val="-1"/>
          <w:sz w:val="24"/>
          <w:szCs w:val="24"/>
        </w:rPr>
        <w:t>代表签署证明或加盖公章，但</w:t>
      </w:r>
      <w:r>
        <w:rPr>
          <w:rFonts w:ascii="宋体" w:hAnsi="宋体" w:eastAsia="宋体" w:cs="宋体"/>
          <w:color w:val="auto"/>
          <w:sz w:val="24"/>
          <w:szCs w:val="24"/>
        </w:rPr>
        <w:t>非供应商出具的材料，供应商改动无效。未按本须知规</w:t>
      </w:r>
      <w:r>
        <w:rPr>
          <w:rFonts w:ascii="宋体" w:hAnsi="宋体" w:eastAsia="宋体" w:cs="宋体"/>
          <w:color w:val="auto"/>
          <w:spacing w:val="-1"/>
          <w:sz w:val="24"/>
          <w:szCs w:val="24"/>
        </w:rPr>
        <w:t>定的格式填写响应文件或响应</w:t>
      </w:r>
      <w:r>
        <w:rPr>
          <w:rFonts w:ascii="宋体" w:hAnsi="宋体" w:eastAsia="宋体" w:cs="宋体"/>
          <w:color w:val="auto"/>
          <w:sz w:val="24"/>
          <w:szCs w:val="24"/>
        </w:rPr>
        <w:t>文件字迹模糊不清，导致谈判小组无法认定是否实质性响</w:t>
      </w:r>
      <w:r>
        <w:rPr>
          <w:rFonts w:ascii="宋体" w:hAnsi="宋体" w:eastAsia="宋体" w:cs="宋体"/>
          <w:color w:val="auto"/>
          <w:spacing w:val="-1"/>
          <w:sz w:val="24"/>
          <w:szCs w:val="24"/>
        </w:rPr>
        <w:t>应竞争性谈判文件的,其响应</w:t>
      </w:r>
      <w:r>
        <w:rPr>
          <w:rFonts w:ascii="宋体" w:hAnsi="宋体" w:eastAsia="宋体" w:cs="宋体"/>
          <w:color w:val="auto"/>
          <w:spacing w:val="-4"/>
          <w:sz w:val="24"/>
          <w:szCs w:val="24"/>
        </w:rPr>
        <w:t>文件将被作为无效响应文件。</w:t>
      </w:r>
    </w:p>
    <w:p w14:paraId="7BDE6A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17.7电子响应文件制作流程。可参考驻马店市公共资源交易中心官方网站的下载</w:t>
      </w:r>
      <w:r>
        <w:rPr>
          <w:rFonts w:ascii="宋体" w:hAnsi="宋体" w:eastAsia="宋体" w:cs="宋体"/>
          <w:color w:val="auto"/>
          <w:sz w:val="24"/>
          <w:szCs w:val="24"/>
        </w:rPr>
        <w:t>中心板块的视频（</w:t>
      </w:r>
      <w:r>
        <w:rPr>
          <w:color w:val="auto"/>
        </w:rPr>
        <w:fldChar w:fldCharType="begin"/>
      </w:r>
      <w:r>
        <w:rPr>
          <w:color w:val="auto"/>
        </w:rPr>
        <w:instrText xml:space="preserve"> HYPERLINK "http://ggzy.zhumadian.gov.cn/TPFront/InfoDetail/?InfoID=844e0ea7-2b6c-425d-99f6-91bd5b500e5e&amp;CategoryNum=026002" </w:instrText>
      </w:r>
      <w:r>
        <w:rPr>
          <w:color w:val="auto"/>
        </w:rPr>
        <w:fldChar w:fldCharType="separate"/>
      </w:r>
      <w:r>
        <w:rPr>
          <w:rFonts w:ascii="宋体" w:hAnsi="宋体" w:eastAsia="宋体" w:cs="宋体"/>
          <w:color w:val="auto"/>
          <w:sz w:val="24"/>
          <w:szCs w:val="24"/>
        </w:rPr>
        <w:t>http://ggzy.zhumadian.gov.cn/TPFront/InfoD</w:t>
      </w:r>
      <w:r>
        <w:rPr>
          <w:rFonts w:ascii="宋体" w:hAnsi="宋体" w:eastAsia="宋体" w:cs="宋体"/>
          <w:color w:val="auto"/>
          <w:spacing w:val="-1"/>
          <w:sz w:val="24"/>
          <w:szCs w:val="24"/>
        </w:rPr>
        <w:t>etail/?InfoID=844</w:t>
      </w:r>
      <w:r>
        <w:rPr>
          <w:rFonts w:ascii="宋体" w:hAnsi="宋体" w:eastAsia="宋体" w:cs="宋体"/>
          <w:color w:val="auto"/>
          <w:spacing w:val="-1"/>
          <w:sz w:val="24"/>
          <w:szCs w:val="24"/>
        </w:rPr>
        <w:fldChar w:fldCharType="end"/>
      </w:r>
      <w:r>
        <w:rPr>
          <w:color w:val="auto"/>
        </w:rPr>
        <w:fldChar w:fldCharType="begin"/>
      </w:r>
      <w:r>
        <w:rPr>
          <w:color w:val="auto"/>
        </w:rPr>
        <w:instrText xml:space="preserve"> HYPERLINK "http://ggzy.zhumadian.gov.cn/TPFront/InfoDetail/?InfoID=844e0ea7-2b6c-425d-99f6-91bd5b500e5e&amp;CategoryNum=026002" </w:instrText>
      </w:r>
      <w:r>
        <w:rPr>
          <w:color w:val="auto"/>
        </w:rPr>
        <w:fldChar w:fldCharType="separate"/>
      </w:r>
      <w:r>
        <w:rPr>
          <w:rFonts w:ascii="宋体" w:hAnsi="宋体" w:eastAsia="宋体" w:cs="宋体"/>
          <w:color w:val="auto"/>
          <w:sz w:val="24"/>
          <w:szCs w:val="24"/>
        </w:rPr>
        <w:t>e0ea7-2b6c-425d-99f6-91bd5b500e5e&amp;Ca</w:t>
      </w:r>
      <w:r>
        <w:rPr>
          <w:rFonts w:ascii="宋体" w:hAnsi="宋体" w:eastAsia="宋体" w:cs="宋体"/>
          <w:color w:val="auto"/>
          <w:spacing w:val="-1"/>
          <w:sz w:val="24"/>
          <w:szCs w:val="24"/>
        </w:rPr>
        <w:t>tegoryNum=026002</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w:t>
      </w:r>
    </w:p>
    <w:p w14:paraId="03B20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17.8供应商须具备《中华人民共和国政府采购法》第二十二条规定，供应商须在</w:t>
      </w:r>
      <w:r>
        <w:rPr>
          <w:rFonts w:ascii="宋体" w:hAnsi="宋体" w:eastAsia="宋体" w:cs="宋体"/>
          <w:color w:val="auto"/>
          <w:spacing w:val="-5"/>
          <w:sz w:val="24"/>
          <w:szCs w:val="24"/>
        </w:rPr>
        <w:t>响应性文件中进行逐条承诺。</w:t>
      </w:r>
    </w:p>
    <w:p w14:paraId="1AD1C2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5" w:firstLineChars="200"/>
        <w:textAlignment w:val="baseline"/>
        <w:rPr>
          <w:rFonts w:ascii="宋体" w:hAnsi="宋体" w:eastAsia="宋体" w:cs="宋体"/>
          <w:color w:val="auto"/>
          <w:sz w:val="32"/>
          <w:szCs w:val="32"/>
        </w:rPr>
      </w:pPr>
      <w:r>
        <w:rPr>
          <w:rFonts w:ascii="宋体" w:hAnsi="宋体" w:eastAsia="宋体" w:cs="宋体"/>
          <w:b/>
          <w:bCs/>
          <w:color w:val="auto"/>
          <w:spacing w:val="-7"/>
          <w:sz w:val="32"/>
          <w:szCs w:val="32"/>
        </w:rPr>
        <w:t>四响应性文件的上传、递交</w:t>
      </w:r>
    </w:p>
    <w:p w14:paraId="197A1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18.响应性文件的加密、密封、标记</w:t>
      </w:r>
    </w:p>
    <w:p w14:paraId="75D826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18.1供应商应在提交响应文件截止时间前对上传的电子响应文件（.zmdtf格式）用</w:t>
      </w:r>
      <w:r>
        <w:rPr>
          <w:rFonts w:ascii="宋体" w:hAnsi="宋体" w:eastAsia="宋体" w:cs="宋体"/>
          <w:color w:val="auto"/>
          <w:spacing w:val="-3"/>
          <w:sz w:val="24"/>
          <w:szCs w:val="24"/>
        </w:rPr>
        <w:t>本单位的企业CA密钥进行加密。</w:t>
      </w:r>
    </w:p>
    <w:p w14:paraId="2A745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18.2供应商因驻马店市公共资源交易平台投标系统出现问题无法上传电子响应文件时，请与江苏国泰新点软件有限公司联系，联系电话：0396-2613088</w:t>
      </w:r>
    </w:p>
    <w:p w14:paraId="2E3A9F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19.响应文件的上传、提交</w:t>
      </w:r>
    </w:p>
    <w:p w14:paraId="05BEBD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19.1供应商应在竞争性谈判公告中规定的提交响应文件截止时间前将制作好的电子</w:t>
      </w:r>
      <w:r>
        <w:rPr>
          <w:rFonts w:ascii="宋体" w:hAnsi="宋体" w:eastAsia="宋体" w:cs="宋体"/>
          <w:color w:val="auto"/>
          <w:spacing w:val="-2"/>
          <w:sz w:val="24"/>
          <w:szCs w:val="24"/>
        </w:rPr>
        <w:t>响应文件加密上传至驻马店市公共资源交易中心电子交易平台。</w:t>
      </w:r>
    </w:p>
    <w:p w14:paraId="42530F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19.2采购代理机构应在接受响应文件时核查谈判保证金（若收取）。</w:t>
      </w:r>
    </w:p>
    <w:p w14:paraId="4FB8AB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20.响应文件的修改和撤回</w:t>
      </w:r>
    </w:p>
    <w:p w14:paraId="1DE441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20.1供应商在提交谈判响应文件截止时间前，可</w:t>
      </w:r>
      <w:r>
        <w:rPr>
          <w:rFonts w:ascii="宋体" w:hAnsi="宋体" w:eastAsia="宋体" w:cs="宋体"/>
          <w:color w:val="auto"/>
          <w:spacing w:val="-1"/>
          <w:sz w:val="24"/>
          <w:szCs w:val="24"/>
        </w:rPr>
        <w:t>以对所提交的响应文件进行补充、修改或者撤回，并书面通知采购代理机构。补充、修改的内容和撤回通知应当按本</w:t>
      </w:r>
      <w:r>
        <w:rPr>
          <w:rFonts w:ascii="宋体" w:hAnsi="宋体" w:eastAsia="宋体" w:cs="宋体"/>
          <w:color w:val="auto"/>
          <w:spacing w:val="-2"/>
          <w:sz w:val="24"/>
          <w:szCs w:val="24"/>
        </w:rPr>
        <w:t>须知要求签署、盖章、密封，并作为响应文件的组成部分。</w:t>
      </w:r>
    </w:p>
    <w:p w14:paraId="034DF1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20.2供应商在递交谈判响应文件截止期后不得修</w:t>
      </w:r>
      <w:r>
        <w:rPr>
          <w:rFonts w:ascii="宋体" w:hAnsi="宋体" w:eastAsia="宋体" w:cs="宋体"/>
          <w:color w:val="auto"/>
          <w:spacing w:val="-1"/>
          <w:sz w:val="24"/>
          <w:szCs w:val="24"/>
        </w:rPr>
        <w:t>改、撤回响应文件。供应商在递</w:t>
      </w:r>
      <w:r>
        <w:rPr>
          <w:rFonts w:ascii="宋体" w:hAnsi="宋体" w:eastAsia="宋体" w:cs="宋体"/>
          <w:color w:val="auto"/>
          <w:spacing w:val="-2"/>
          <w:sz w:val="24"/>
          <w:szCs w:val="24"/>
        </w:rPr>
        <w:t>交竞争性谈判文件截止时间后修改响应文件的，将被拒绝接受。</w:t>
      </w:r>
    </w:p>
    <w:p w14:paraId="7FF10F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9" w:firstLineChars="200"/>
        <w:textAlignment w:val="baseline"/>
        <w:rPr>
          <w:rFonts w:ascii="宋体" w:hAnsi="宋体" w:eastAsia="宋体" w:cs="宋体"/>
          <w:color w:val="auto"/>
          <w:sz w:val="32"/>
          <w:szCs w:val="32"/>
        </w:rPr>
      </w:pPr>
      <w:r>
        <w:rPr>
          <w:rFonts w:ascii="宋体" w:hAnsi="宋体" w:eastAsia="宋体" w:cs="宋体"/>
          <w:b/>
          <w:bCs/>
          <w:color w:val="auto"/>
          <w:spacing w:val="-6"/>
          <w:sz w:val="32"/>
          <w:szCs w:val="32"/>
        </w:rPr>
        <w:t>五响应文件的开启（解密）</w:t>
      </w:r>
    </w:p>
    <w:p w14:paraId="2B2AC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color w:val="auto"/>
          <w:sz w:val="24"/>
          <w:szCs w:val="24"/>
        </w:rPr>
      </w:pPr>
      <w:r>
        <w:rPr>
          <w:rFonts w:ascii="宋体" w:hAnsi="宋体" w:eastAsia="宋体" w:cs="宋体"/>
          <w:b/>
          <w:bCs/>
          <w:color w:val="auto"/>
          <w:spacing w:val="-6"/>
          <w:sz w:val="24"/>
          <w:szCs w:val="24"/>
        </w:rPr>
        <w:t>21.开启（解密）</w:t>
      </w:r>
    </w:p>
    <w:p w14:paraId="1EAF51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21.1在竞争性谈判公告中规定的时间、地点开启</w:t>
      </w:r>
      <w:r>
        <w:rPr>
          <w:rFonts w:ascii="宋体" w:hAnsi="宋体" w:eastAsia="宋体" w:cs="宋体"/>
          <w:b/>
          <w:bCs/>
          <w:color w:val="auto"/>
          <w:spacing w:val="-1"/>
          <w:sz w:val="24"/>
          <w:szCs w:val="24"/>
        </w:rPr>
        <w:t>（解密）</w:t>
      </w:r>
      <w:r>
        <w:rPr>
          <w:rFonts w:ascii="宋体" w:hAnsi="宋体" w:eastAsia="宋体" w:cs="宋体"/>
          <w:color w:val="auto"/>
          <w:spacing w:val="-1"/>
          <w:sz w:val="24"/>
          <w:szCs w:val="24"/>
        </w:rPr>
        <w:t>。</w:t>
      </w:r>
    </w:p>
    <w:p w14:paraId="789613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21.2开启</w:t>
      </w:r>
      <w:r>
        <w:rPr>
          <w:rFonts w:ascii="宋体" w:hAnsi="宋体" w:eastAsia="宋体" w:cs="宋体"/>
          <w:b/>
          <w:bCs/>
          <w:color w:val="auto"/>
          <w:spacing w:val="-1"/>
          <w:sz w:val="24"/>
          <w:szCs w:val="24"/>
        </w:rPr>
        <w:t>（解密）</w:t>
      </w:r>
      <w:r>
        <w:rPr>
          <w:rFonts w:ascii="宋体" w:hAnsi="宋体" w:eastAsia="宋体" w:cs="宋体"/>
          <w:color w:val="auto"/>
          <w:spacing w:val="-1"/>
          <w:sz w:val="24"/>
          <w:szCs w:val="24"/>
        </w:rPr>
        <w:t>由采购代理机构主持</w:t>
      </w:r>
      <w:r>
        <w:rPr>
          <w:rFonts w:ascii="宋体" w:hAnsi="宋体" w:eastAsia="宋体" w:cs="宋体"/>
          <w:color w:val="auto"/>
          <w:spacing w:val="-2"/>
          <w:sz w:val="24"/>
          <w:szCs w:val="24"/>
        </w:rPr>
        <w:t>，采购人、供应商和有关方面代表参加。</w:t>
      </w:r>
    </w:p>
    <w:p w14:paraId="0A0143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21.3开启</w:t>
      </w:r>
      <w:r>
        <w:rPr>
          <w:rFonts w:ascii="宋体" w:hAnsi="宋体" w:eastAsia="宋体" w:cs="宋体"/>
          <w:b/>
          <w:bCs/>
          <w:color w:val="auto"/>
          <w:spacing w:val="-1"/>
          <w:sz w:val="24"/>
          <w:szCs w:val="24"/>
        </w:rPr>
        <w:t>（解密）</w:t>
      </w:r>
      <w:r>
        <w:rPr>
          <w:rFonts w:ascii="宋体" w:hAnsi="宋体" w:eastAsia="宋体" w:cs="宋体"/>
          <w:color w:val="auto"/>
          <w:spacing w:val="-1"/>
          <w:sz w:val="24"/>
          <w:szCs w:val="24"/>
        </w:rPr>
        <w:t>时，首先，各供应商应在规定时间内对本单位的加密响应文件进</w:t>
      </w:r>
      <w:r>
        <w:rPr>
          <w:rFonts w:ascii="宋体" w:hAnsi="宋体" w:eastAsia="宋体" w:cs="宋体"/>
          <w:color w:val="auto"/>
          <w:sz w:val="24"/>
          <w:szCs w:val="24"/>
        </w:rPr>
        <w:t>行解密，然后代理机构工作人员对所有响应文件进行解密。</w:t>
      </w:r>
      <w:r>
        <w:rPr>
          <w:rFonts w:ascii="宋体" w:hAnsi="宋体" w:eastAsia="宋体" w:cs="宋体"/>
          <w:color w:val="auto"/>
          <w:spacing w:val="-1"/>
          <w:sz w:val="24"/>
          <w:szCs w:val="24"/>
        </w:rPr>
        <w:t>如供应商自身原因解密失</w:t>
      </w:r>
      <w:r>
        <w:rPr>
          <w:rFonts w:ascii="宋体" w:hAnsi="宋体" w:eastAsia="宋体" w:cs="宋体"/>
          <w:color w:val="auto"/>
          <w:spacing w:val="-4"/>
          <w:sz w:val="24"/>
          <w:szCs w:val="24"/>
        </w:rPr>
        <w:t>败，其谈判将被拒绝。</w:t>
      </w:r>
    </w:p>
    <w:p w14:paraId="4574E0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21.4供应商有下列情形之一的，采购代理机构将拒绝接受其响应文件：</w:t>
      </w:r>
    </w:p>
    <w:p w14:paraId="14CDB7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21.4.1在竞争性谈判文件规定的提交响应文件截止时</w:t>
      </w:r>
      <w:r>
        <w:rPr>
          <w:rFonts w:ascii="宋体" w:hAnsi="宋体" w:eastAsia="宋体" w:cs="宋体"/>
          <w:color w:val="auto"/>
          <w:spacing w:val="-1"/>
          <w:sz w:val="24"/>
          <w:szCs w:val="24"/>
        </w:rPr>
        <w:t>间之后上传、提交响应文件的</w:t>
      </w:r>
    </w:p>
    <w:p w14:paraId="140B67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position w:val="1"/>
          <w:sz w:val="24"/>
          <w:szCs w:val="24"/>
        </w:rPr>
        <w:t>。</w:t>
      </w:r>
    </w:p>
    <w:p w14:paraId="011F18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21.4.2响应文件未按竞争性谈判文件规定加密的。</w:t>
      </w:r>
    </w:p>
    <w:p w14:paraId="532982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21.4.3未进行网上下载竞争性谈判文件参加谈判的。</w:t>
      </w:r>
    </w:p>
    <w:p w14:paraId="1B2755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21.4.4未按要求提交谈判保证金的（若收取）。</w:t>
      </w:r>
    </w:p>
    <w:p w14:paraId="7C565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21.4.5一个供应商不只提交一套响应文件的。</w:t>
      </w:r>
    </w:p>
    <w:p w14:paraId="08F78D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9" w:firstLineChars="200"/>
        <w:textAlignment w:val="baseline"/>
        <w:rPr>
          <w:rFonts w:ascii="宋体" w:hAnsi="宋体" w:eastAsia="宋体" w:cs="宋体"/>
          <w:color w:val="auto"/>
          <w:sz w:val="32"/>
          <w:szCs w:val="32"/>
        </w:rPr>
      </w:pPr>
      <w:r>
        <w:rPr>
          <w:rFonts w:ascii="宋体" w:hAnsi="宋体" w:eastAsia="宋体" w:cs="宋体"/>
          <w:b/>
          <w:bCs/>
          <w:color w:val="auto"/>
          <w:spacing w:val="-11"/>
          <w:sz w:val="32"/>
          <w:szCs w:val="32"/>
        </w:rPr>
        <w:t>六谈判</w:t>
      </w:r>
    </w:p>
    <w:p w14:paraId="5EA5B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22.组建谈判小组</w:t>
      </w:r>
    </w:p>
    <w:p w14:paraId="23AC3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z w:val="24"/>
          <w:szCs w:val="24"/>
        </w:rPr>
        <w:t>采购代理机构根据采购项目的特点依法组建谈判小组。谈判</w:t>
      </w:r>
      <w:r>
        <w:rPr>
          <w:rFonts w:ascii="宋体" w:hAnsi="宋体" w:eastAsia="宋体" w:cs="宋体"/>
          <w:color w:val="auto"/>
          <w:spacing w:val="-1"/>
          <w:sz w:val="24"/>
          <w:szCs w:val="24"/>
        </w:rPr>
        <w:t>小组由采购人代表和评</w:t>
      </w:r>
      <w:r>
        <w:rPr>
          <w:rFonts w:ascii="宋体" w:hAnsi="宋体" w:eastAsia="宋体" w:cs="宋体"/>
          <w:color w:val="auto"/>
          <w:spacing w:val="-3"/>
          <w:sz w:val="24"/>
          <w:szCs w:val="24"/>
        </w:rPr>
        <w:t>审专家组成，成员为</w:t>
      </w:r>
      <w:r>
        <w:rPr>
          <w:rFonts w:ascii="宋体" w:hAnsi="宋体" w:eastAsia="宋体" w:cs="宋体"/>
          <w:color w:val="auto"/>
          <w:spacing w:val="-3"/>
          <w:sz w:val="24"/>
          <w:szCs w:val="24"/>
          <w:u w:val="single" w:color="auto"/>
        </w:rPr>
        <w:t>3</w:t>
      </w:r>
    </w:p>
    <w:p w14:paraId="54987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人(成员由3人以上单数组成。达到公开招标限额标准而</w:t>
      </w:r>
      <w:r>
        <w:rPr>
          <w:rFonts w:ascii="宋体" w:hAnsi="宋体" w:eastAsia="宋体" w:cs="宋体"/>
          <w:color w:val="auto"/>
          <w:spacing w:val="-1"/>
          <w:sz w:val="24"/>
          <w:szCs w:val="24"/>
        </w:rPr>
        <w:t>采取竞争性谈判采购方式的采购项目，成员人数应为5人以上单数。采购人代表不得担任</w:t>
      </w:r>
      <w:r>
        <w:rPr>
          <w:rFonts w:ascii="宋体" w:hAnsi="宋体" w:eastAsia="宋体" w:cs="宋体"/>
          <w:color w:val="auto"/>
          <w:spacing w:val="-2"/>
          <w:sz w:val="24"/>
          <w:szCs w:val="24"/>
        </w:rPr>
        <w:t>谈判小组组长)。</w:t>
      </w:r>
    </w:p>
    <w:p w14:paraId="49C9E9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color w:val="auto"/>
          <w:sz w:val="24"/>
          <w:szCs w:val="24"/>
        </w:rPr>
      </w:pPr>
      <w:r>
        <w:rPr>
          <w:rFonts w:ascii="宋体" w:hAnsi="宋体" w:eastAsia="宋体" w:cs="宋体"/>
          <w:b/>
          <w:bCs/>
          <w:color w:val="auto"/>
          <w:spacing w:val="-6"/>
          <w:sz w:val="24"/>
          <w:szCs w:val="24"/>
        </w:rPr>
        <w:t>23.响应性文件的初审</w:t>
      </w:r>
    </w:p>
    <w:p w14:paraId="1C77C1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23.1谈判小组会将对响应性文件进行检查，以确定</w:t>
      </w:r>
      <w:r>
        <w:rPr>
          <w:rFonts w:ascii="宋体" w:hAnsi="宋体" w:eastAsia="宋体" w:cs="宋体"/>
          <w:color w:val="auto"/>
          <w:spacing w:val="-1"/>
          <w:sz w:val="24"/>
          <w:szCs w:val="24"/>
        </w:rPr>
        <w:t>响应性文件是否完整、有无计算</w:t>
      </w:r>
      <w:r>
        <w:rPr>
          <w:rFonts w:ascii="宋体" w:hAnsi="宋体" w:eastAsia="宋体" w:cs="宋体"/>
          <w:color w:val="auto"/>
          <w:sz w:val="24"/>
          <w:szCs w:val="24"/>
        </w:rPr>
        <w:t>上的错误、是否已正确签署等。响应性文件如果出现计</w:t>
      </w:r>
      <w:r>
        <w:rPr>
          <w:rFonts w:ascii="宋体" w:hAnsi="宋体" w:eastAsia="宋体" w:cs="宋体"/>
          <w:color w:val="auto"/>
          <w:spacing w:val="-1"/>
          <w:sz w:val="24"/>
          <w:szCs w:val="24"/>
        </w:rPr>
        <w:t>算或表达上的错误，修正错误</w:t>
      </w:r>
      <w:r>
        <w:rPr>
          <w:rFonts w:ascii="宋体" w:hAnsi="宋体" w:eastAsia="宋体" w:cs="宋体"/>
          <w:color w:val="auto"/>
          <w:spacing w:val="-10"/>
          <w:sz w:val="24"/>
          <w:szCs w:val="24"/>
        </w:rPr>
        <w:t>的原则如下：</w:t>
      </w:r>
    </w:p>
    <w:p w14:paraId="722179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报价一览表的内容与报价明细表的内容不一致的，以报价一</w:t>
      </w:r>
      <w:r>
        <w:rPr>
          <w:rFonts w:ascii="宋体" w:hAnsi="宋体" w:eastAsia="宋体" w:cs="宋体"/>
          <w:color w:val="auto"/>
          <w:spacing w:val="-1"/>
          <w:sz w:val="24"/>
          <w:szCs w:val="24"/>
        </w:rPr>
        <w:t>览表为准；大写金额</w:t>
      </w:r>
      <w:r>
        <w:rPr>
          <w:rFonts w:ascii="宋体" w:hAnsi="宋体" w:eastAsia="宋体" w:cs="宋体"/>
          <w:color w:val="auto"/>
          <w:sz w:val="24"/>
          <w:szCs w:val="24"/>
        </w:rPr>
        <w:t>与小写金额不一致的，以大写金额为准；总价金额与按单价汇总</w:t>
      </w:r>
      <w:r>
        <w:rPr>
          <w:rFonts w:ascii="宋体" w:hAnsi="宋体" w:eastAsia="宋体" w:cs="宋体"/>
          <w:color w:val="auto"/>
          <w:spacing w:val="-1"/>
          <w:sz w:val="24"/>
          <w:szCs w:val="24"/>
        </w:rPr>
        <w:t>金额不一致的，以单</w:t>
      </w:r>
      <w:r>
        <w:rPr>
          <w:rFonts w:ascii="宋体" w:hAnsi="宋体" w:eastAsia="宋体" w:cs="宋体"/>
          <w:color w:val="auto"/>
          <w:sz w:val="24"/>
          <w:szCs w:val="24"/>
        </w:rPr>
        <w:t>价金额计算结果为准，除非谈判小组认为单价有明显的小数点错</w:t>
      </w:r>
      <w:r>
        <w:rPr>
          <w:rFonts w:ascii="宋体" w:hAnsi="宋体" w:eastAsia="宋体" w:cs="宋体"/>
          <w:color w:val="auto"/>
          <w:spacing w:val="-1"/>
          <w:sz w:val="24"/>
          <w:szCs w:val="24"/>
        </w:rPr>
        <w:t>误，此时应以总价为</w:t>
      </w:r>
      <w:r>
        <w:rPr>
          <w:rFonts w:ascii="宋体" w:hAnsi="宋体" w:eastAsia="宋体" w:cs="宋体"/>
          <w:color w:val="auto"/>
          <w:sz w:val="24"/>
          <w:szCs w:val="24"/>
        </w:rPr>
        <w:t>准，并修改单价；对不同文字文本响应性文件的解释发生异议的</w:t>
      </w:r>
      <w:r>
        <w:rPr>
          <w:rFonts w:ascii="宋体" w:hAnsi="宋体" w:eastAsia="宋体" w:cs="宋体"/>
          <w:color w:val="auto"/>
          <w:spacing w:val="-1"/>
          <w:sz w:val="24"/>
          <w:szCs w:val="24"/>
        </w:rPr>
        <w:t>，以中文文本为准。</w:t>
      </w:r>
      <w:r>
        <w:rPr>
          <w:rFonts w:ascii="宋体" w:hAnsi="宋体" w:eastAsia="宋体" w:cs="宋体"/>
          <w:color w:val="auto"/>
          <w:sz w:val="24"/>
          <w:szCs w:val="24"/>
        </w:rPr>
        <w:t>上述修正错误的原则及方法调整或修正响应性文件的报价，供应</w:t>
      </w:r>
      <w:r>
        <w:rPr>
          <w:rFonts w:ascii="宋体" w:hAnsi="宋体" w:eastAsia="宋体" w:cs="宋体"/>
          <w:color w:val="auto"/>
          <w:spacing w:val="-1"/>
          <w:sz w:val="24"/>
          <w:szCs w:val="24"/>
        </w:rPr>
        <w:t>商同意后，调整后的</w:t>
      </w:r>
      <w:r>
        <w:rPr>
          <w:rFonts w:ascii="宋体" w:hAnsi="宋体" w:eastAsia="宋体" w:cs="宋体"/>
          <w:color w:val="auto"/>
          <w:sz w:val="24"/>
          <w:szCs w:val="24"/>
        </w:rPr>
        <w:t>报价对供应商起约束作用。如果供应商不接受修正后的报价，则</w:t>
      </w:r>
      <w:r>
        <w:rPr>
          <w:rFonts w:ascii="宋体" w:hAnsi="宋体" w:eastAsia="宋体" w:cs="宋体"/>
          <w:color w:val="auto"/>
          <w:spacing w:val="-1"/>
          <w:sz w:val="24"/>
          <w:szCs w:val="24"/>
        </w:rPr>
        <w:t>其响应性文件将被作</w:t>
      </w:r>
      <w:r>
        <w:rPr>
          <w:rFonts w:ascii="宋体" w:hAnsi="宋体" w:eastAsia="宋体" w:cs="宋体"/>
          <w:color w:val="auto"/>
          <w:spacing w:val="-6"/>
          <w:sz w:val="24"/>
          <w:szCs w:val="24"/>
        </w:rPr>
        <w:t>为无效响应。</w:t>
      </w:r>
    </w:p>
    <w:p w14:paraId="466ED2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23.2资格性检查和符合性检查。</w:t>
      </w:r>
    </w:p>
    <w:p w14:paraId="34A497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rPr>
      </w:pPr>
      <w:r>
        <w:rPr>
          <w:rFonts w:ascii="宋体" w:hAnsi="宋体" w:eastAsia="宋体" w:cs="宋体"/>
          <w:color w:val="auto"/>
          <w:sz w:val="24"/>
          <w:szCs w:val="24"/>
        </w:rPr>
        <w:t>23.2.1资格性检查。依据响应性文件按谈判供应商须知前附表第</w:t>
      </w:r>
      <w:r>
        <w:rPr>
          <w:rFonts w:ascii="宋体" w:hAnsi="宋体" w:eastAsia="宋体" w:cs="宋体"/>
          <w:color w:val="auto"/>
          <w:spacing w:val="-1"/>
          <w:sz w:val="24"/>
          <w:szCs w:val="24"/>
        </w:rPr>
        <w:t>13项所述的资格标准对供应商进行资格审查以确定其是否具备谈判资格。如果供应商不具备资格、不满足竞争性谈判文件所规定</w:t>
      </w:r>
      <w:r>
        <w:rPr>
          <w:rFonts w:ascii="宋体" w:hAnsi="宋体" w:eastAsia="宋体" w:cs="宋体"/>
          <w:color w:val="auto"/>
          <w:spacing w:val="-2"/>
          <w:sz w:val="24"/>
          <w:szCs w:val="24"/>
        </w:rPr>
        <w:t>的资格标准或提供资格证明文件不全,</w:t>
      </w:r>
      <w:r>
        <w:rPr>
          <w:rFonts w:ascii="宋体" w:hAnsi="宋体" w:eastAsia="宋体" w:cs="宋体"/>
          <w:color w:val="auto"/>
          <w:sz w:val="24"/>
          <w:szCs w:val="24"/>
        </w:rPr>
        <w:t>将被视为未实质性响应竞争性谈判文件。在谈判过程中，采购人</w:t>
      </w:r>
      <w:r>
        <w:rPr>
          <w:rFonts w:ascii="宋体" w:hAnsi="宋体" w:eastAsia="宋体" w:cs="宋体"/>
          <w:color w:val="auto"/>
          <w:spacing w:val="-1"/>
          <w:sz w:val="24"/>
          <w:szCs w:val="24"/>
        </w:rPr>
        <w:t>或采购代理机构会有</w:t>
      </w:r>
      <w:r>
        <w:rPr>
          <w:rFonts w:ascii="宋体" w:hAnsi="宋体" w:eastAsia="宋体" w:cs="宋体"/>
          <w:color w:val="auto"/>
          <w:sz w:val="24"/>
          <w:szCs w:val="24"/>
        </w:rPr>
        <w:t>权要求供应商按竞争性谈判文件的规定提供相关资格证明材料</w:t>
      </w:r>
      <w:r>
        <w:rPr>
          <w:rFonts w:ascii="宋体" w:hAnsi="宋体" w:eastAsia="宋体" w:cs="宋体"/>
          <w:color w:val="auto"/>
          <w:spacing w:val="-1"/>
          <w:sz w:val="24"/>
          <w:szCs w:val="24"/>
        </w:rPr>
        <w:t>的原件以供审查。供应</w:t>
      </w:r>
      <w:r>
        <w:rPr>
          <w:rFonts w:ascii="宋体" w:hAnsi="宋体" w:eastAsia="宋体" w:cs="宋体"/>
          <w:color w:val="auto"/>
          <w:sz w:val="24"/>
          <w:szCs w:val="24"/>
        </w:rPr>
        <w:t>商应在谈判小组规定的时限内提供。供应商拒不提供的，或者</w:t>
      </w:r>
      <w:r>
        <w:rPr>
          <w:rFonts w:ascii="宋体" w:hAnsi="宋体" w:eastAsia="宋体" w:cs="宋体"/>
          <w:color w:val="auto"/>
          <w:spacing w:val="-1"/>
          <w:sz w:val="24"/>
          <w:szCs w:val="24"/>
        </w:rPr>
        <w:t>不能在规定时限内提供</w:t>
      </w:r>
      <w:r>
        <w:rPr>
          <w:rFonts w:ascii="宋体" w:hAnsi="宋体" w:eastAsia="宋体" w:cs="宋体"/>
          <w:color w:val="auto"/>
          <w:spacing w:val="-3"/>
          <w:sz w:val="24"/>
          <w:szCs w:val="24"/>
        </w:rPr>
        <w:t>的，视为其不具备该资格条件。</w:t>
      </w:r>
    </w:p>
    <w:p w14:paraId="757A9D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23.2.2符合性检查。谈判小组将从响应性文件的有</w:t>
      </w:r>
      <w:r>
        <w:rPr>
          <w:rFonts w:ascii="宋体" w:hAnsi="宋体" w:eastAsia="宋体" w:cs="宋体"/>
          <w:color w:val="auto"/>
          <w:spacing w:val="-1"/>
          <w:sz w:val="24"/>
          <w:szCs w:val="24"/>
        </w:rPr>
        <w:t>效性、完整性和对竞争性谈判文</w:t>
      </w:r>
      <w:r>
        <w:rPr>
          <w:rFonts w:ascii="宋体" w:hAnsi="宋体" w:eastAsia="宋体" w:cs="宋体"/>
          <w:color w:val="auto"/>
          <w:spacing w:val="2"/>
          <w:sz w:val="24"/>
          <w:szCs w:val="24"/>
        </w:rPr>
        <w:t>件的响应程度进行审查，以确定是否符合对竞争性谈判文件的实质性要求作出响应(</w:t>
      </w:r>
      <w:r>
        <w:rPr>
          <w:rFonts w:ascii="宋体" w:hAnsi="宋体" w:eastAsia="宋体" w:cs="宋体"/>
          <w:color w:val="auto"/>
          <w:spacing w:val="-2"/>
          <w:sz w:val="24"/>
          <w:szCs w:val="24"/>
        </w:rPr>
        <w:t>采购人可根据具体项目的情况对实质性要求作特别的具体规定）。实质性偏离是指：</w:t>
      </w:r>
      <w:r>
        <w:rPr>
          <w:rFonts w:ascii="宋体" w:hAnsi="宋体" w:eastAsia="宋体" w:cs="宋体"/>
          <w:color w:val="auto"/>
          <w:spacing w:val="-1"/>
          <w:sz w:val="24"/>
          <w:szCs w:val="24"/>
        </w:rPr>
        <w:t>（1）实质性影响合同的范围、质量和履行。（2）实质性违背竞争性谈判文件，限制</w:t>
      </w:r>
      <w:r>
        <w:rPr>
          <w:rFonts w:ascii="宋体" w:hAnsi="宋体" w:eastAsia="宋体" w:cs="宋体"/>
          <w:color w:val="auto"/>
          <w:sz w:val="24"/>
          <w:szCs w:val="24"/>
        </w:rPr>
        <w:t>了采购人的权利。（3）不公正地影响了其它作出实</w:t>
      </w:r>
      <w:r>
        <w:rPr>
          <w:rFonts w:ascii="宋体" w:hAnsi="宋体" w:eastAsia="宋体" w:cs="宋体"/>
          <w:color w:val="auto"/>
          <w:spacing w:val="-1"/>
          <w:sz w:val="24"/>
          <w:szCs w:val="24"/>
        </w:rPr>
        <w:t>质性响应的供应商的竞争地位。对</w:t>
      </w:r>
      <w:r>
        <w:rPr>
          <w:rFonts w:ascii="宋体" w:hAnsi="宋体" w:eastAsia="宋体" w:cs="宋体"/>
          <w:color w:val="auto"/>
          <w:sz w:val="24"/>
          <w:szCs w:val="24"/>
        </w:rPr>
        <w:t>没有实质性响应竞争性谈判文件的供应商，将不进</w:t>
      </w:r>
      <w:r>
        <w:rPr>
          <w:rFonts w:ascii="宋体" w:hAnsi="宋体" w:eastAsia="宋体" w:cs="宋体"/>
          <w:color w:val="auto"/>
          <w:spacing w:val="-1"/>
          <w:sz w:val="24"/>
          <w:szCs w:val="24"/>
        </w:rPr>
        <w:t>入下一阶段谈判。凡有下列情况之</w:t>
      </w:r>
      <w:r>
        <w:rPr>
          <w:rFonts w:ascii="宋体" w:hAnsi="宋体" w:eastAsia="宋体" w:cs="宋体"/>
          <w:color w:val="auto"/>
          <w:spacing w:val="-3"/>
          <w:sz w:val="24"/>
          <w:szCs w:val="24"/>
        </w:rPr>
        <w:t>一者，其响应性文件也将被视为未实质性响应竞争性谈判文件：</w:t>
      </w:r>
    </w:p>
    <w:p w14:paraId="037E30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（1）响应性文件未按规定签字、盖章的。</w:t>
      </w:r>
    </w:p>
    <w:p w14:paraId="6D797F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（2）供应商代表未能出具有效身份证明，或与身份不符的。</w:t>
      </w:r>
    </w:p>
    <w:p w14:paraId="63EEED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（3）资格证明文件不全的，或不符合竞争性谈判文件标明的资格要求的。</w:t>
      </w:r>
    </w:p>
    <w:p w14:paraId="2C9C94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（4）响应性文件有效期、工程质量、</w:t>
      </w:r>
      <w:r>
        <w:rPr>
          <w:rFonts w:hint="eastAsia" w:ascii="宋体" w:hAnsi="宋体" w:eastAsia="宋体" w:cs="宋体"/>
          <w:color w:val="auto"/>
          <w:spacing w:val="-1"/>
          <w:sz w:val="24"/>
          <w:szCs w:val="24"/>
          <w:lang w:eastAsia="zh-CN"/>
        </w:rPr>
        <w:t>交货及安装期</w:t>
      </w:r>
      <w:r>
        <w:rPr>
          <w:rFonts w:ascii="宋体" w:hAnsi="宋体" w:eastAsia="宋体" w:cs="宋体"/>
          <w:color w:val="auto"/>
          <w:spacing w:val="-2"/>
          <w:sz w:val="24"/>
          <w:szCs w:val="24"/>
        </w:rPr>
        <w:t>等不满足竞争性谈判文件要求的。</w:t>
      </w:r>
    </w:p>
    <w:p w14:paraId="1DD27B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（5）未按竞争性谈判文件提供的格式填列、项目不齐全或内容虚假的。</w:t>
      </w:r>
    </w:p>
    <w:p w14:paraId="01EDD3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（6）响应性文件的实质性内容未使用中文表述，或意思表述不明确，或前后矛盾</w:t>
      </w:r>
      <w:r>
        <w:rPr>
          <w:rFonts w:ascii="宋体" w:hAnsi="宋体" w:eastAsia="宋体" w:cs="宋体"/>
          <w:color w:val="auto"/>
          <w:spacing w:val="2"/>
          <w:sz w:val="24"/>
          <w:szCs w:val="24"/>
        </w:rPr>
        <w:t>,或使用计量单位不符合竞争性谈判文件要求的。</w:t>
      </w:r>
    </w:p>
    <w:p w14:paraId="0F63B9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（7）响应性文件的关键内容字迹模糊、无法辨认，或响应性文件中经修正的内容</w:t>
      </w:r>
      <w:r>
        <w:rPr>
          <w:rFonts w:ascii="宋体" w:hAnsi="宋体" w:eastAsia="宋体" w:cs="宋体"/>
          <w:color w:val="auto"/>
          <w:spacing w:val="-2"/>
          <w:sz w:val="24"/>
          <w:szCs w:val="24"/>
        </w:rPr>
        <w:t>字迹模糊无法辩认，或修改处未按规定签名盖章的。</w:t>
      </w:r>
    </w:p>
    <w:p w14:paraId="0B46B1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（8）不符合竞争性谈判文件中规定的其它实质性条款。</w:t>
      </w:r>
    </w:p>
    <w:p w14:paraId="724C1F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（9）联合体参加谈判未提供联合体协议（若有）的，未附本项目政府采购投标报</w:t>
      </w:r>
      <w:r>
        <w:rPr>
          <w:rFonts w:ascii="宋体" w:hAnsi="宋体" w:eastAsia="宋体" w:cs="宋体"/>
          <w:color w:val="auto"/>
          <w:spacing w:val="-7"/>
          <w:sz w:val="24"/>
          <w:szCs w:val="24"/>
        </w:rPr>
        <w:t>名确认单的。</w:t>
      </w:r>
    </w:p>
    <w:p w14:paraId="693D4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0</w:t>
      </w:r>
      <w:r>
        <w:rPr>
          <w:rFonts w:ascii="宋体" w:hAnsi="宋体" w:eastAsia="宋体" w:cs="宋体"/>
          <w:color w:val="auto"/>
          <w:spacing w:val="-2"/>
          <w:sz w:val="24"/>
          <w:szCs w:val="24"/>
        </w:rPr>
        <w:t>）不符合采购文件中规定的其它实质</w:t>
      </w:r>
      <w:r>
        <w:rPr>
          <w:rFonts w:ascii="宋体" w:hAnsi="宋体" w:eastAsia="宋体" w:cs="宋体"/>
          <w:color w:val="auto"/>
          <w:spacing w:val="-3"/>
          <w:sz w:val="24"/>
          <w:szCs w:val="24"/>
        </w:rPr>
        <w:t>性条款。</w:t>
      </w:r>
    </w:p>
    <w:p w14:paraId="1FB61A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pacing w:val="-5"/>
          <w:sz w:val="24"/>
          <w:szCs w:val="24"/>
        </w:rPr>
      </w:pPr>
      <w:r>
        <w:rPr>
          <w:rFonts w:ascii="宋体" w:hAnsi="宋体" w:eastAsia="宋体" w:cs="宋体"/>
          <w:color w:val="auto"/>
          <w:sz w:val="24"/>
          <w:szCs w:val="24"/>
        </w:rPr>
        <w:t>谈判小组将拒绝被确定为没有实质性响应竞争性谈判文件</w:t>
      </w:r>
      <w:r>
        <w:rPr>
          <w:rFonts w:ascii="宋体" w:hAnsi="宋体" w:eastAsia="宋体" w:cs="宋体"/>
          <w:color w:val="auto"/>
          <w:spacing w:val="-1"/>
          <w:sz w:val="24"/>
          <w:szCs w:val="24"/>
        </w:rPr>
        <w:t>的响应性文件。谈判小</w:t>
      </w:r>
      <w:r>
        <w:rPr>
          <w:rFonts w:ascii="宋体" w:hAnsi="宋体" w:eastAsia="宋体" w:cs="宋体"/>
          <w:color w:val="auto"/>
          <w:sz w:val="24"/>
          <w:szCs w:val="24"/>
        </w:rPr>
        <w:t>组决定供应商是否实质性响应竞争性谈判文件只根据响</w:t>
      </w:r>
      <w:r>
        <w:rPr>
          <w:rFonts w:ascii="宋体" w:hAnsi="宋体" w:eastAsia="宋体" w:cs="宋体"/>
          <w:color w:val="auto"/>
          <w:spacing w:val="-1"/>
          <w:sz w:val="24"/>
          <w:szCs w:val="24"/>
        </w:rPr>
        <w:t>应性文件本身的内容，而不寻</w:t>
      </w:r>
      <w:r>
        <w:rPr>
          <w:rFonts w:ascii="宋体" w:hAnsi="宋体" w:eastAsia="宋体" w:cs="宋体"/>
          <w:color w:val="auto"/>
          <w:spacing w:val="-5"/>
          <w:sz w:val="24"/>
          <w:szCs w:val="24"/>
        </w:rPr>
        <w:t>求其他的外部证据。</w:t>
      </w:r>
    </w:p>
    <w:p w14:paraId="738795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color w:val="auto"/>
          <w:sz w:val="24"/>
          <w:szCs w:val="24"/>
        </w:rPr>
      </w:pPr>
      <w:r>
        <w:rPr>
          <w:rFonts w:ascii="宋体" w:hAnsi="宋体" w:eastAsia="宋体" w:cs="宋体"/>
          <w:color w:val="auto"/>
          <w:spacing w:val="-3"/>
          <w:sz w:val="24"/>
          <w:szCs w:val="24"/>
        </w:rPr>
        <w:t>23.3</w:t>
      </w:r>
      <w:r>
        <w:rPr>
          <w:rFonts w:ascii="宋体" w:hAnsi="宋体" w:eastAsia="宋体" w:cs="宋体"/>
          <w:color w:val="auto"/>
          <w:sz w:val="24"/>
          <w:szCs w:val="24"/>
        </w:rPr>
        <w:t>在评审过程中，谈判小组发现供应商有下列情形之一的，视为</w:t>
      </w:r>
      <w:r>
        <w:rPr>
          <w:rFonts w:ascii="宋体" w:hAnsi="宋体" w:eastAsia="宋体" w:cs="宋体"/>
          <w:color w:val="auto"/>
          <w:spacing w:val="-1"/>
          <w:sz w:val="24"/>
          <w:szCs w:val="24"/>
        </w:rPr>
        <w:t>供应商相互串通。具体</w:t>
      </w:r>
      <w:r>
        <w:rPr>
          <w:rFonts w:ascii="宋体" w:hAnsi="宋体" w:eastAsia="宋体" w:cs="宋体"/>
          <w:color w:val="auto"/>
          <w:spacing w:val="-8"/>
          <w:sz w:val="24"/>
          <w:szCs w:val="24"/>
        </w:rPr>
        <w:t>表现形式如下：</w:t>
      </w:r>
    </w:p>
    <w:p w14:paraId="377EF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23.3.1不同供应商的响应性文件异常一致的。</w:t>
      </w:r>
    </w:p>
    <w:p w14:paraId="253E66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23.3.2不同供应商的响应性文件由同一单位或个人编制的。</w:t>
      </w:r>
    </w:p>
    <w:p w14:paraId="1330B3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23.3.3不同供应商的响应性文件载明的项目管理成员为</w:t>
      </w:r>
      <w:r>
        <w:rPr>
          <w:rFonts w:ascii="宋体" w:hAnsi="宋体" w:eastAsia="宋体" w:cs="宋体"/>
          <w:color w:val="auto"/>
          <w:spacing w:val="-2"/>
          <w:sz w:val="24"/>
          <w:szCs w:val="24"/>
        </w:rPr>
        <w:t>同一人的。</w:t>
      </w:r>
    </w:p>
    <w:p w14:paraId="2F72CD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23.3.4不同供应商的响应性文件相互混装的。</w:t>
      </w:r>
    </w:p>
    <w:p w14:paraId="3CF166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23.3.5不同供应商授权同一人作为供应商代表的。</w:t>
      </w:r>
    </w:p>
    <w:p w14:paraId="1024F5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23.3.6不同供应商的谈判保证金由同一单位或者个人支付的。</w:t>
      </w:r>
    </w:p>
    <w:p w14:paraId="774374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rPr>
      </w:pPr>
      <w:r>
        <w:rPr>
          <w:rFonts w:ascii="宋体" w:hAnsi="宋体" w:eastAsia="宋体" w:cs="宋体"/>
          <w:color w:val="auto"/>
          <w:sz w:val="24"/>
          <w:szCs w:val="24"/>
        </w:rPr>
        <w:t>23.3.7有证据证明供应商与采购人、采购代理机构</w:t>
      </w:r>
      <w:r>
        <w:rPr>
          <w:rFonts w:ascii="宋体" w:hAnsi="宋体" w:eastAsia="宋体" w:cs="宋体"/>
          <w:color w:val="auto"/>
          <w:spacing w:val="-1"/>
          <w:sz w:val="24"/>
          <w:szCs w:val="24"/>
        </w:rPr>
        <w:t>或其他供应商串通的其他情形的</w:t>
      </w:r>
      <w:r>
        <w:rPr>
          <w:rFonts w:ascii="宋体" w:hAnsi="宋体" w:eastAsia="宋体" w:cs="宋体"/>
          <w:color w:val="auto"/>
          <w:position w:val="1"/>
          <w:sz w:val="24"/>
          <w:szCs w:val="24"/>
        </w:rPr>
        <w:t>。</w:t>
      </w:r>
    </w:p>
    <w:p w14:paraId="18E390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23.3.8谈判小组认定的其他串通情形。</w:t>
      </w:r>
    </w:p>
    <w:p w14:paraId="764CA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24.响应性文件的澄清</w:t>
      </w:r>
    </w:p>
    <w:p w14:paraId="3A117E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对响应文件中含义不明确、同类问题表述不一致或者有明显</w:t>
      </w:r>
      <w:r>
        <w:rPr>
          <w:rFonts w:ascii="宋体" w:hAnsi="宋体" w:eastAsia="宋体" w:cs="宋体"/>
          <w:color w:val="auto"/>
          <w:spacing w:val="-1"/>
          <w:sz w:val="24"/>
          <w:szCs w:val="24"/>
        </w:rPr>
        <w:t>文字和计算错误的内容</w:t>
      </w:r>
      <w:r>
        <w:rPr>
          <w:rFonts w:ascii="宋体" w:hAnsi="宋体" w:eastAsia="宋体" w:cs="宋体"/>
          <w:color w:val="auto"/>
          <w:spacing w:val="3"/>
          <w:sz w:val="24"/>
          <w:szCs w:val="24"/>
        </w:rPr>
        <w:t>,谈判小组可以书面形式通过驻马店市公共资源交易不见面</w:t>
      </w:r>
      <w:r>
        <w:rPr>
          <w:rFonts w:ascii="宋体" w:hAnsi="宋体" w:eastAsia="宋体" w:cs="宋体"/>
          <w:color w:val="auto"/>
          <w:spacing w:val="2"/>
          <w:sz w:val="24"/>
          <w:szCs w:val="24"/>
        </w:rPr>
        <w:t>开评标系统远程要求供应</w:t>
      </w:r>
      <w:r>
        <w:rPr>
          <w:rFonts w:ascii="宋体" w:hAnsi="宋体" w:eastAsia="宋体" w:cs="宋体"/>
          <w:color w:val="auto"/>
          <w:sz w:val="24"/>
          <w:szCs w:val="24"/>
        </w:rPr>
        <w:t>商作出必要的澄清。供应商的澄清应当在谈判小组规定的时间</w:t>
      </w:r>
      <w:r>
        <w:rPr>
          <w:rFonts w:ascii="宋体" w:hAnsi="宋体" w:eastAsia="宋体" w:cs="宋体"/>
          <w:color w:val="auto"/>
          <w:spacing w:val="-1"/>
          <w:sz w:val="24"/>
          <w:szCs w:val="24"/>
        </w:rPr>
        <w:t>内通过驻马店市公共资</w:t>
      </w:r>
      <w:r>
        <w:rPr>
          <w:rFonts w:ascii="宋体" w:hAnsi="宋体" w:eastAsia="宋体" w:cs="宋体"/>
          <w:color w:val="auto"/>
          <w:sz w:val="24"/>
          <w:szCs w:val="24"/>
        </w:rPr>
        <w:t>源交易不见面开评标系统远程以书面形式作出，由其谈判代表</w:t>
      </w:r>
      <w:r>
        <w:rPr>
          <w:rFonts w:ascii="宋体" w:hAnsi="宋体" w:eastAsia="宋体" w:cs="宋体"/>
          <w:color w:val="auto"/>
          <w:spacing w:val="-1"/>
          <w:sz w:val="24"/>
          <w:szCs w:val="24"/>
        </w:rPr>
        <w:t>签字。但澄清事项不得</w:t>
      </w:r>
      <w:r>
        <w:rPr>
          <w:rFonts w:ascii="宋体" w:hAnsi="宋体" w:eastAsia="宋体" w:cs="宋体"/>
          <w:color w:val="auto"/>
          <w:sz w:val="24"/>
          <w:szCs w:val="24"/>
        </w:rPr>
        <w:t>超出响应文件的范围，不得实质性改变响应文件的内容，不得</w:t>
      </w:r>
      <w:r>
        <w:rPr>
          <w:rFonts w:ascii="宋体" w:hAnsi="宋体" w:eastAsia="宋体" w:cs="宋体"/>
          <w:color w:val="auto"/>
          <w:spacing w:val="-1"/>
          <w:sz w:val="24"/>
          <w:szCs w:val="24"/>
        </w:rPr>
        <w:t>通过澄清等方式对供应</w:t>
      </w:r>
      <w:r>
        <w:rPr>
          <w:rFonts w:ascii="宋体" w:hAnsi="宋体" w:eastAsia="宋体" w:cs="宋体"/>
          <w:color w:val="auto"/>
          <w:spacing w:val="-2"/>
          <w:sz w:val="24"/>
          <w:szCs w:val="24"/>
        </w:rPr>
        <w:t>商实行差别对待。谈判小组不得接受供应商主动提出的澄清和解释。</w:t>
      </w:r>
    </w:p>
    <w:p w14:paraId="364435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color w:val="auto"/>
          <w:sz w:val="24"/>
          <w:szCs w:val="24"/>
        </w:rPr>
      </w:pPr>
      <w:r>
        <w:rPr>
          <w:rFonts w:ascii="宋体" w:hAnsi="宋体" w:eastAsia="宋体" w:cs="宋体"/>
          <w:b/>
          <w:bCs/>
          <w:color w:val="auto"/>
          <w:spacing w:val="-6"/>
          <w:sz w:val="24"/>
          <w:szCs w:val="24"/>
        </w:rPr>
        <w:t>25.谈判</w:t>
      </w:r>
    </w:p>
    <w:p w14:paraId="25334E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25.1对资格性检查和符合性检查合格的供应商，进入本次谈判程序。</w:t>
      </w:r>
    </w:p>
    <w:p w14:paraId="591BEB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25.2谈判小组通过随机方式确定参加谈判供应商的</w:t>
      </w:r>
      <w:r>
        <w:rPr>
          <w:rFonts w:ascii="宋体" w:hAnsi="宋体" w:eastAsia="宋体" w:cs="宋体"/>
          <w:color w:val="auto"/>
          <w:spacing w:val="-1"/>
          <w:sz w:val="24"/>
          <w:szCs w:val="24"/>
        </w:rPr>
        <w:t>谈判顺序，所有成员集中与供应</w:t>
      </w:r>
      <w:r>
        <w:rPr>
          <w:rFonts w:ascii="宋体" w:hAnsi="宋体" w:eastAsia="宋体" w:cs="宋体"/>
          <w:color w:val="auto"/>
          <w:sz w:val="24"/>
          <w:szCs w:val="24"/>
        </w:rPr>
        <w:t>商按照顺序分别单独进行谈判。在谈判中，谈判的任何一方不</w:t>
      </w:r>
      <w:r>
        <w:rPr>
          <w:rFonts w:ascii="宋体" w:hAnsi="宋体" w:eastAsia="宋体" w:cs="宋体"/>
          <w:color w:val="auto"/>
          <w:spacing w:val="-1"/>
          <w:sz w:val="24"/>
          <w:szCs w:val="24"/>
        </w:rPr>
        <w:t>得透露与谈判有关的其</w:t>
      </w:r>
      <w:r>
        <w:rPr>
          <w:rFonts w:ascii="宋体" w:hAnsi="宋体" w:eastAsia="宋体" w:cs="宋体"/>
          <w:color w:val="auto"/>
          <w:sz w:val="24"/>
          <w:szCs w:val="24"/>
        </w:rPr>
        <w:t>他供应商的技术资料、价格和其他信息。在谈判过程中，谈判</w:t>
      </w:r>
      <w:r>
        <w:rPr>
          <w:rFonts w:ascii="宋体" w:hAnsi="宋体" w:eastAsia="宋体" w:cs="宋体"/>
          <w:color w:val="auto"/>
          <w:spacing w:val="-1"/>
          <w:sz w:val="24"/>
          <w:szCs w:val="24"/>
        </w:rPr>
        <w:t>小组可以根据谈判文件</w:t>
      </w:r>
      <w:r>
        <w:rPr>
          <w:rFonts w:ascii="宋体" w:hAnsi="宋体" w:eastAsia="宋体" w:cs="宋体"/>
          <w:color w:val="auto"/>
          <w:sz w:val="24"/>
          <w:szCs w:val="24"/>
        </w:rPr>
        <w:t>和谈判情况实质性变动采购需求中的技术、服务要求及合同条</w:t>
      </w:r>
      <w:r>
        <w:rPr>
          <w:rFonts w:ascii="宋体" w:hAnsi="宋体" w:eastAsia="宋体" w:cs="宋体"/>
          <w:color w:val="auto"/>
          <w:spacing w:val="-1"/>
          <w:sz w:val="24"/>
          <w:szCs w:val="24"/>
        </w:rPr>
        <w:t>款，但不得变动谈判文</w:t>
      </w:r>
      <w:r>
        <w:rPr>
          <w:rFonts w:ascii="宋体" w:hAnsi="宋体" w:eastAsia="宋体" w:cs="宋体"/>
          <w:color w:val="auto"/>
          <w:spacing w:val="-2"/>
          <w:sz w:val="24"/>
          <w:szCs w:val="24"/>
        </w:rPr>
        <w:t>件的其他内容。实质性变动的内容须经采购人代表确认。谈判文件有实质性变动的，</w:t>
      </w:r>
    </w:p>
    <w:p w14:paraId="11236F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谈判小组应当以书面形式通知所有参加谈判供应商。</w:t>
      </w:r>
    </w:p>
    <w:p w14:paraId="25F8DC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25.3本次谈判进行两轮次报价，并给予每个供应商</w:t>
      </w:r>
      <w:r>
        <w:rPr>
          <w:rFonts w:ascii="宋体" w:hAnsi="宋体" w:eastAsia="宋体" w:cs="宋体"/>
          <w:color w:val="auto"/>
          <w:spacing w:val="-1"/>
          <w:sz w:val="24"/>
          <w:szCs w:val="24"/>
        </w:rPr>
        <w:t>相同的机会。响应文件报价为第</w:t>
      </w:r>
      <w:r>
        <w:rPr>
          <w:rFonts w:ascii="宋体" w:hAnsi="宋体" w:eastAsia="宋体" w:cs="宋体"/>
          <w:color w:val="auto"/>
          <w:sz w:val="24"/>
          <w:szCs w:val="24"/>
        </w:rPr>
        <w:t>一轮报价，以后轮次报价不得高于上一轮次报</w:t>
      </w:r>
      <w:r>
        <w:rPr>
          <w:rFonts w:ascii="宋体" w:hAnsi="宋体" w:eastAsia="宋体" w:cs="宋体"/>
          <w:color w:val="auto"/>
          <w:spacing w:val="-1"/>
          <w:sz w:val="24"/>
          <w:szCs w:val="24"/>
        </w:rPr>
        <w:t>价（除谈判文件有实质性变动外</w:t>
      </w:r>
      <w:r>
        <w:rPr>
          <w:rFonts w:ascii="宋体" w:hAnsi="宋体" w:eastAsia="宋体" w:cs="宋体"/>
          <w:color w:val="auto"/>
          <w:sz w:val="24"/>
          <w:szCs w:val="24"/>
        </w:rPr>
        <w:t>），</w:t>
      </w:r>
      <w:r>
        <w:rPr>
          <w:rFonts w:ascii="宋体" w:hAnsi="宋体" w:eastAsia="宋体" w:cs="宋体"/>
          <w:color w:val="auto"/>
          <w:spacing w:val="-1"/>
          <w:sz w:val="24"/>
          <w:szCs w:val="24"/>
        </w:rPr>
        <w:t>否</w:t>
      </w:r>
      <w:r>
        <w:rPr>
          <w:rFonts w:ascii="宋体" w:hAnsi="宋体" w:eastAsia="宋体" w:cs="宋体"/>
          <w:color w:val="auto"/>
          <w:sz w:val="24"/>
          <w:szCs w:val="24"/>
        </w:rPr>
        <w:t>则将被视为未实质性响应竞争性谈判文件。本项目</w:t>
      </w:r>
      <w:r>
        <w:rPr>
          <w:rFonts w:ascii="宋体" w:hAnsi="宋体" w:eastAsia="宋体" w:cs="宋体"/>
          <w:color w:val="auto"/>
          <w:spacing w:val="-1"/>
          <w:sz w:val="24"/>
          <w:szCs w:val="24"/>
        </w:rPr>
        <w:t>使用远程不见面交易的模式，谈判</w:t>
      </w:r>
      <w:r>
        <w:rPr>
          <w:rFonts w:ascii="宋体" w:hAnsi="宋体" w:eastAsia="宋体" w:cs="宋体"/>
          <w:color w:val="auto"/>
          <w:sz w:val="24"/>
          <w:szCs w:val="24"/>
        </w:rPr>
        <w:t>二次报价为线上报价。谈判二次报价是由谈判小组在</w:t>
      </w:r>
      <w:r>
        <w:rPr>
          <w:rFonts w:ascii="宋体" w:hAnsi="宋体" w:eastAsia="宋体" w:cs="宋体"/>
          <w:color w:val="auto"/>
          <w:spacing w:val="-1"/>
          <w:sz w:val="24"/>
          <w:szCs w:val="24"/>
        </w:rPr>
        <w:t>评审过程中发起，供应商需及时</w:t>
      </w:r>
      <w:r>
        <w:rPr>
          <w:rFonts w:ascii="宋体" w:hAnsi="宋体" w:eastAsia="宋体" w:cs="宋体"/>
          <w:color w:val="auto"/>
          <w:sz w:val="24"/>
          <w:szCs w:val="24"/>
        </w:rPr>
        <w:t>关注驻马店电子招投标交易平台系统是否可以进行</w:t>
      </w:r>
      <w:r>
        <w:rPr>
          <w:rFonts w:ascii="宋体" w:hAnsi="宋体" w:eastAsia="宋体" w:cs="宋体"/>
          <w:color w:val="auto"/>
          <w:spacing w:val="-1"/>
          <w:sz w:val="24"/>
          <w:szCs w:val="24"/>
        </w:rPr>
        <w:t>二次报价。供应商确认系统可以进行二次报价后，请立即对该项目进行二次报价。（如果一包中分</w:t>
      </w:r>
      <w:r>
        <w:rPr>
          <w:rFonts w:ascii="宋体" w:hAnsi="宋体" w:eastAsia="宋体" w:cs="宋体"/>
          <w:color w:val="auto"/>
          <w:spacing w:val="-2"/>
          <w:sz w:val="24"/>
          <w:szCs w:val="24"/>
        </w:rPr>
        <w:t>项目过多，第二轮、</w:t>
      </w:r>
      <w:r>
        <w:rPr>
          <w:rFonts w:ascii="宋体" w:hAnsi="宋体" w:eastAsia="宋体" w:cs="宋体"/>
          <w:color w:val="auto"/>
          <w:sz w:val="24"/>
          <w:szCs w:val="24"/>
        </w:rPr>
        <w:t>第三轮可以只报总价，分项目价格按本轮总报价与第一轮总</w:t>
      </w:r>
      <w:r>
        <w:rPr>
          <w:rFonts w:ascii="宋体" w:hAnsi="宋体" w:eastAsia="宋体" w:cs="宋体"/>
          <w:color w:val="auto"/>
          <w:spacing w:val="-1"/>
          <w:sz w:val="24"/>
          <w:szCs w:val="24"/>
        </w:rPr>
        <w:t>报价的优惠比例相应调整</w:t>
      </w:r>
      <w:r>
        <w:rPr>
          <w:rFonts w:ascii="宋体" w:hAnsi="宋体" w:eastAsia="宋体" w:cs="宋体"/>
          <w:color w:val="auto"/>
          <w:sz w:val="24"/>
          <w:szCs w:val="24"/>
        </w:rPr>
        <w:t>)</w:t>
      </w:r>
      <w:r>
        <w:rPr>
          <w:rFonts w:ascii="宋体" w:hAnsi="宋体" w:eastAsia="宋体" w:cs="宋体"/>
          <w:color w:val="auto"/>
          <w:spacing w:val="-3"/>
          <w:sz w:val="24"/>
          <w:szCs w:val="24"/>
        </w:rPr>
        <w:t>谈判二次报价时限由谈判小组根据项目实际情况设定，供应商应在规定的时限内将二次报价提交给谈判小组，</w:t>
      </w:r>
      <w:r>
        <w:rPr>
          <w:rFonts w:ascii="宋体" w:hAnsi="宋体" w:eastAsia="宋体" w:cs="宋体"/>
          <w:color w:val="auto"/>
          <w:sz w:val="24"/>
          <w:szCs w:val="24"/>
        </w:rPr>
        <w:t>逾期系统判定供应商放弃二轮报价,视为无效响应。供应商因驻马</w:t>
      </w:r>
      <w:r>
        <w:rPr>
          <w:rFonts w:ascii="宋体" w:hAnsi="宋体" w:eastAsia="宋体" w:cs="宋体"/>
          <w:color w:val="auto"/>
          <w:spacing w:val="-1"/>
          <w:sz w:val="24"/>
          <w:szCs w:val="24"/>
        </w:rPr>
        <w:t>店电子招投标交易平</w:t>
      </w:r>
      <w:r>
        <w:rPr>
          <w:rFonts w:ascii="宋体" w:hAnsi="宋体" w:eastAsia="宋体" w:cs="宋体"/>
          <w:color w:val="auto"/>
          <w:spacing w:val="-5"/>
          <w:sz w:val="24"/>
          <w:szCs w:val="24"/>
        </w:rPr>
        <w:t>台系统出现问题无法上传二次报价时，</w:t>
      </w:r>
      <w:r>
        <w:rPr>
          <w:rFonts w:ascii="宋体" w:hAnsi="宋体" w:eastAsia="宋体" w:cs="宋体"/>
          <w:color w:val="auto"/>
          <w:spacing w:val="-1"/>
          <w:sz w:val="24"/>
          <w:szCs w:val="24"/>
        </w:rPr>
        <w:t>请及时与江苏国泰新点软件有限公司联系，联系电话：0396-2613088。</w:t>
      </w:r>
    </w:p>
    <w:p w14:paraId="3E166A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rPr>
      </w:pPr>
      <w:r>
        <w:rPr>
          <w:rFonts w:ascii="宋体" w:hAnsi="宋体" w:eastAsia="宋体" w:cs="宋体"/>
          <w:color w:val="auto"/>
          <w:sz w:val="24"/>
          <w:szCs w:val="24"/>
        </w:rPr>
        <w:t>25.4在确定成交供应商之前，谈判小组认为供应</w:t>
      </w:r>
      <w:r>
        <w:rPr>
          <w:rFonts w:ascii="宋体" w:hAnsi="宋体" w:eastAsia="宋体" w:cs="宋体"/>
          <w:color w:val="auto"/>
          <w:spacing w:val="-1"/>
          <w:sz w:val="24"/>
          <w:szCs w:val="24"/>
        </w:rPr>
        <w:t>商的报价明显低于其他通过符合</w:t>
      </w:r>
      <w:r>
        <w:rPr>
          <w:rFonts w:ascii="宋体" w:hAnsi="宋体" w:eastAsia="宋体" w:cs="宋体"/>
          <w:color w:val="auto"/>
          <w:sz w:val="24"/>
          <w:szCs w:val="24"/>
        </w:rPr>
        <w:t>性审查供应商的报价，有可能影响产品质量或者不能</w:t>
      </w:r>
      <w:r>
        <w:rPr>
          <w:rFonts w:ascii="宋体" w:hAnsi="宋体" w:eastAsia="宋体" w:cs="宋体"/>
          <w:color w:val="auto"/>
          <w:spacing w:val="-1"/>
          <w:sz w:val="24"/>
          <w:szCs w:val="24"/>
        </w:rPr>
        <w:t>诚信履约的，应当要求其通过驻</w:t>
      </w:r>
      <w:r>
        <w:rPr>
          <w:rFonts w:ascii="宋体" w:hAnsi="宋体" w:eastAsia="宋体" w:cs="宋体"/>
          <w:color w:val="auto"/>
          <w:sz w:val="24"/>
          <w:szCs w:val="24"/>
        </w:rPr>
        <w:t>马店市公共资源交易不见面开评标系统在合理的时间</w:t>
      </w:r>
      <w:r>
        <w:rPr>
          <w:rFonts w:ascii="宋体" w:hAnsi="宋体" w:eastAsia="宋体" w:cs="宋体"/>
          <w:color w:val="auto"/>
          <w:spacing w:val="-1"/>
          <w:sz w:val="24"/>
          <w:szCs w:val="24"/>
        </w:rPr>
        <w:t>内提供书面说明，必要时提交相关证明村料；不能证明其报价合理性的，谈判小组应</w:t>
      </w:r>
      <w:r>
        <w:rPr>
          <w:rFonts w:ascii="宋体" w:hAnsi="宋体" w:eastAsia="宋体" w:cs="宋体"/>
          <w:color w:val="auto"/>
          <w:spacing w:val="-2"/>
          <w:sz w:val="24"/>
          <w:szCs w:val="24"/>
        </w:rPr>
        <w:t>当将其作为无效响应处理。</w:t>
      </w:r>
    </w:p>
    <w:p w14:paraId="7E03E8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26.谈判过程及保密原则</w:t>
      </w:r>
    </w:p>
    <w:p w14:paraId="33799A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26.1凡与本次谈判有关人员对属于审查、澄清、评</w:t>
      </w:r>
      <w:r>
        <w:rPr>
          <w:rFonts w:ascii="宋体" w:hAnsi="宋体" w:eastAsia="宋体" w:cs="宋体"/>
          <w:color w:val="auto"/>
          <w:spacing w:val="-1"/>
          <w:sz w:val="24"/>
          <w:szCs w:val="24"/>
        </w:rPr>
        <w:t>价和谈判中的有关资料等，均不得向供应商或其他人员透露。否则,将按有</w:t>
      </w:r>
      <w:r>
        <w:rPr>
          <w:rFonts w:ascii="宋体" w:hAnsi="宋体" w:eastAsia="宋体" w:cs="宋体"/>
          <w:color w:val="auto"/>
          <w:spacing w:val="-2"/>
          <w:sz w:val="24"/>
          <w:szCs w:val="24"/>
        </w:rPr>
        <w:t>关规定追究相关人员的责任。</w:t>
      </w:r>
    </w:p>
    <w:p w14:paraId="30BED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26.2在谈判期间，供应商试图影响或干预评审的任</w:t>
      </w:r>
      <w:r>
        <w:rPr>
          <w:rFonts w:ascii="宋体" w:hAnsi="宋体" w:eastAsia="宋体" w:cs="宋体"/>
          <w:color w:val="auto"/>
          <w:spacing w:val="-1"/>
          <w:sz w:val="24"/>
          <w:szCs w:val="24"/>
        </w:rPr>
        <w:t>何行为，将导致其丧失参加谈判</w:t>
      </w:r>
      <w:r>
        <w:rPr>
          <w:rFonts w:ascii="宋体" w:hAnsi="宋体" w:eastAsia="宋体" w:cs="宋体"/>
          <w:color w:val="auto"/>
          <w:spacing w:val="-4"/>
          <w:sz w:val="24"/>
          <w:szCs w:val="24"/>
        </w:rPr>
        <w:t>的资格，并承担相应的法律责任。</w:t>
      </w:r>
    </w:p>
    <w:p w14:paraId="7F90A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7" w:firstLineChars="200"/>
        <w:textAlignment w:val="baseline"/>
        <w:rPr>
          <w:rFonts w:ascii="宋体" w:hAnsi="宋体" w:eastAsia="宋体" w:cs="宋体"/>
          <w:color w:val="auto"/>
          <w:sz w:val="32"/>
          <w:szCs w:val="32"/>
        </w:rPr>
      </w:pPr>
      <w:r>
        <w:rPr>
          <w:rFonts w:ascii="宋体" w:hAnsi="宋体" w:eastAsia="宋体" w:cs="宋体"/>
          <w:b/>
          <w:bCs/>
          <w:color w:val="auto"/>
          <w:spacing w:val="-4"/>
          <w:sz w:val="32"/>
          <w:szCs w:val="32"/>
        </w:rPr>
        <w:t>七</w:t>
      </w:r>
      <w:r>
        <w:rPr>
          <w:rFonts w:ascii="宋体" w:hAnsi="宋体" w:eastAsia="宋体" w:cs="宋体"/>
          <w:b/>
          <w:bCs/>
          <w:color w:val="auto"/>
          <w:spacing w:val="-5"/>
          <w:sz w:val="32"/>
          <w:szCs w:val="32"/>
        </w:rPr>
        <w:t>确定成交供应商</w:t>
      </w:r>
    </w:p>
    <w:p w14:paraId="57A4C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27.成交原则</w:t>
      </w:r>
    </w:p>
    <w:p w14:paraId="1F2FC8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本次谈判将按照最低评标价法确定成交供应商，即在符</w:t>
      </w:r>
      <w:r>
        <w:rPr>
          <w:rFonts w:ascii="宋体" w:hAnsi="宋体" w:eastAsia="宋体" w:cs="宋体"/>
          <w:color w:val="auto"/>
          <w:spacing w:val="-1"/>
          <w:sz w:val="24"/>
          <w:szCs w:val="24"/>
        </w:rPr>
        <w:t>合采购需求、质量和服务相</w:t>
      </w:r>
      <w:r>
        <w:rPr>
          <w:rFonts w:ascii="宋体" w:hAnsi="宋体" w:eastAsia="宋体" w:cs="宋体"/>
          <w:color w:val="auto"/>
          <w:sz w:val="24"/>
          <w:szCs w:val="24"/>
        </w:rPr>
        <w:t>等的前提下，以供应商最后一轮报价作为推荐成交候选供应</w:t>
      </w:r>
      <w:r>
        <w:rPr>
          <w:rFonts w:ascii="宋体" w:hAnsi="宋体" w:eastAsia="宋体" w:cs="宋体"/>
          <w:color w:val="auto"/>
          <w:spacing w:val="-1"/>
          <w:sz w:val="24"/>
          <w:szCs w:val="24"/>
        </w:rPr>
        <w:t>商的依据，由低到高作出</w:t>
      </w:r>
      <w:r>
        <w:rPr>
          <w:rFonts w:ascii="宋体" w:hAnsi="宋体" w:eastAsia="宋体" w:cs="宋体"/>
          <w:color w:val="auto"/>
          <w:spacing w:val="-2"/>
          <w:sz w:val="24"/>
          <w:szCs w:val="24"/>
        </w:rPr>
        <w:t>排序。最后一轮报价相同的，通过随机抽取产生。</w:t>
      </w:r>
    </w:p>
    <w:p w14:paraId="7F0279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28.价格调整</w:t>
      </w:r>
    </w:p>
    <w:p w14:paraId="45412E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28.1谈判小组根据政府采购相关规定，对供应商提供的货物符合价格折扣条件的，按照“价格调整要素及价格折扣幅度列表”对供应商报价进行调整。</w:t>
      </w:r>
    </w:p>
    <w:p w14:paraId="1D27A6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pacing w:val="-4"/>
          <w:sz w:val="24"/>
          <w:szCs w:val="24"/>
        </w:rPr>
      </w:pPr>
      <w:r>
        <w:rPr>
          <w:rFonts w:ascii="宋体" w:hAnsi="宋体" w:eastAsia="宋体" w:cs="宋体"/>
          <w:color w:val="auto"/>
          <w:spacing w:val="-4"/>
          <w:sz w:val="24"/>
          <w:szCs w:val="24"/>
        </w:rPr>
        <w:t>28.2价格调整要素及价格折扣幅度列表：</w:t>
      </w:r>
    </w:p>
    <w:tbl>
      <w:tblPr>
        <w:tblStyle w:val="10"/>
        <w:tblpPr w:leftFromText="180" w:rightFromText="180" w:vertAnchor="page" w:horzAnchor="page" w:tblpX="1782" w:tblpY="5993"/>
        <w:tblOverlap w:val="never"/>
        <w:tblW w:w="8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
        <w:gridCol w:w="3060"/>
        <w:gridCol w:w="1"/>
        <w:gridCol w:w="5397"/>
        <w:gridCol w:w="1"/>
      </w:tblGrid>
      <w:tr w14:paraId="17F0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621" w:hRule="atLeast"/>
        </w:trPr>
        <w:tc>
          <w:tcPr>
            <w:tcW w:w="3061" w:type="dxa"/>
            <w:gridSpan w:val="2"/>
            <w:tcBorders>
              <w:top w:val="single" w:color="000000" w:sz="2" w:space="0"/>
              <w:bottom w:val="single" w:color="000000" w:sz="2" w:space="0"/>
            </w:tcBorders>
            <w:vAlign w:val="top"/>
          </w:tcPr>
          <w:p w14:paraId="074A76F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color w:val="auto"/>
              </w:rPr>
            </w:pPr>
            <w:r>
              <w:rPr>
                <w:color w:val="auto"/>
                <w:spacing w:val="-2"/>
              </w:rPr>
              <w:t>价格要素</w:t>
            </w:r>
          </w:p>
        </w:tc>
        <w:tc>
          <w:tcPr>
            <w:tcW w:w="5398" w:type="dxa"/>
            <w:gridSpan w:val="2"/>
            <w:tcBorders>
              <w:top w:val="single" w:color="000000" w:sz="2" w:space="0"/>
              <w:bottom w:val="single" w:color="000000" w:sz="2" w:space="0"/>
            </w:tcBorders>
            <w:vAlign w:val="top"/>
          </w:tcPr>
          <w:p w14:paraId="50883B6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color w:val="auto"/>
              </w:rPr>
            </w:pPr>
            <w:r>
              <w:rPr>
                <w:color w:val="auto"/>
                <w:spacing w:val="-2"/>
              </w:rPr>
              <w:t>价格折扣幅度</w:t>
            </w:r>
          </w:p>
        </w:tc>
      </w:tr>
      <w:tr w14:paraId="21150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200" w:hRule="atLeast"/>
        </w:trPr>
        <w:tc>
          <w:tcPr>
            <w:tcW w:w="3061" w:type="dxa"/>
            <w:gridSpan w:val="2"/>
            <w:vAlign w:val="top"/>
          </w:tcPr>
          <w:p w14:paraId="1F28305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color w:val="auto"/>
              </w:rPr>
            </w:pPr>
            <w:r>
              <w:rPr>
                <w:color w:val="auto"/>
                <w:spacing w:val="-2"/>
              </w:rPr>
              <w:t>工程由中小企业（含中型、小型、</w:t>
            </w:r>
            <w:r>
              <w:rPr>
                <w:color w:val="auto"/>
              </w:rPr>
              <w:fldChar w:fldCharType="begin"/>
            </w:r>
            <w:r>
              <w:rPr>
                <w:color w:val="auto"/>
              </w:rPr>
              <w:instrText xml:space="preserve"> HYPERLINK "https://baike.so.com/doc/3107079.html" </w:instrText>
            </w:r>
            <w:r>
              <w:rPr>
                <w:color w:val="auto"/>
              </w:rPr>
              <w:fldChar w:fldCharType="separate"/>
            </w:r>
            <w:r>
              <w:rPr>
                <w:color w:val="auto"/>
                <w:spacing w:val="-2"/>
              </w:rPr>
              <w:t>微型企业</w:t>
            </w:r>
            <w:r>
              <w:rPr>
                <w:color w:val="auto"/>
                <w:spacing w:val="-2"/>
              </w:rPr>
              <w:fldChar w:fldCharType="end"/>
            </w:r>
            <w:r>
              <w:rPr>
                <w:color w:val="auto"/>
                <w:spacing w:val="-2"/>
              </w:rPr>
              <w:t>）承接</w:t>
            </w:r>
            <w:r>
              <w:rPr>
                <w:color w:val="auto"/>
                <w:spacing w:val="-1"/>
              </w:rPr>
              <w:t>的。监狱企业、残疾人福利性单位视同小型、微型</w:t>
            </w:r>
            <w:r>
              <w:rPr>
                <w:color w:val="auto"/>
                <w:spacing w:val="-11"/>
              </w:rPr>
              <w:t>企业。</w:t>
            </w:r>
          </w:p>
        </w:tc>
        <w:tc>
          <w:tcPr>
            <w:tcW w:w="5398" w:type="dxa"/>
            <w:gridSpan w:val="2"/>
            <w:vAlign w:val="top"/>
          </w:tcPr>
          <w:p w14:paraId="4254790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color w:val="auto"/>
              </w:rPr>
            </w:pPr>
            <w:r>
              <w:rPr>
                <w:rFonts w:hint="eastAsia"/>
                <w:color w:val="auto"/>
                <w:spacing w:val="-1"/>
                <w:lang w:val="en-US" w:eastAsia="zh-CN"/>
              </w:rPr>
              <w:t>20</w:t>
            </w:r>
            <w:r>
              <w:rPr>
                <w:color w:val="auto"/>
                <w:spacing w:val="-1"/>
              </w:rPr>
              <w:t>%；联合体参加谈判的，小型、微型企业的协议</w:t>
            </w:r>
            <w:r>
              <w:rPr>
                <w:color w:val="auto"/>
                <w:spacing w:val="-3"/>
              </w:rPr>
              <w:t>合同金额占到联合体协议合同总金额30%以上的，给予联合体2%-3%的价格扣除。</w:t>
            </w:r>
          </w:p>
        </w:tc>
      </w:tr>
    </w:tbl>
    <w:p w14:paraId="5E77F0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rPr>
          <w:rFonts w:ascii="Arial"/>
          <w:color w:val="auto"/>
          <w:sz w:val="2"/>
        </w:rPr>
      </w:pPr>
    </w:p>
    <w:p w14:paraId="690311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注：1.在</w:t>
      </w:r>
      <w:r>
        <w:rPr>
          <w:rFonts w:hint="eastAsia" w:ascii="宋体" w:hAnsi="宋体" w:eastAsia="宋体" w:cs="宋体"/>
          <w:color w:val="auto"/>
          <w:spacing w:val="-1"/>
          <w:sz w:val="24"/>
          <w:szCs w:val="24"/>
          <w:lang w:val="en-US" w:eastAsia="zh-CN"/>
        </w:rPr>
        <w:t>货物</w:t>
      </w:r>
      <w:r>
        <w:rPr>
          <w:rFonts w:ascii="宋体" w:hAnsi="宋体" w:eastAsia="宋体" w:cs="宋体"/>
          <w:color w:val="auto"/>
          <w:spacing w:val="-1"/>
          <w:sz w:val="24"/>
          <w:szCs w:val="24"/>
        </w:rPr>
        <w:t>采购中，</w:t>
      </w:r>
      <w:r>
        <w:rPr>
          <w:rFonts w:hint="eastAsia" w:ascii="宋体" w:hAnsi="宋体" w:eastAsia="宋体" w:cs="宋体"/>
          <w:color w:val="auto"/>
          <w:spacing w:val="-1"/>
          <w:sz w:val="24"/>
          <w:szCs w:val="24"/>
          <w:lang w:val="en-US" w:eastAsia="zh-CN"/>
        </w:rPr>
        <w:t>货物</w:t>
      </w:r>
      <w:r>
        <w:rPr>
          <w:rFonts w:ascii="宋体" w:hAnsi="宋体" w:eastAsia="宋体" w:cs="宋体"/>
          <w:color w:val="auto"/>
          <w:spacing w:val="-1"/>
          <w:sz w:val="24"/>
          <w:szCs w:val="24"/>
        </w:rPr>
        <w:t>由中小企业（含中型、小型、</w:t>
      </w:r>
      <w:r>
        <w:rPr>
          <w:color w:val="auto"/>
        </w:rPr>
        <w:fldChar w:fldCharType="begin"/>
      </w:r>
      <w:r>
        <w:rPr>
          <w:color w:val="auto"/>
        </w:rPr>
        <w:instrText xml:space="preserve"> HYPERLINK "https://baike.so.com/doc/3107079.html" </w:instrText>
      </w:r>
      <w:r>
        <w:rPr>
          <w:color w:val="auto"/>
        </w:rPr>
        <w:fldChar w:fldCharType="separate"/>
      </w:r>
      <w:r>
        <w:rPr>
          <w:rFonts w:ascii="宋体" w:hAnsi="宋体" w:eastAsia="宋体" w:cs="宋体"/>
          <w:color w:val="auto"/>
          <w:spacing w:val="-1"/>
          <w:sz w:val="24"/>
          <w:szCs w:val="24"/>
        </w:rPr>
        <w:t>微型企业</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）承接的，即</w:t>
      </w:r>
      <w:r>
        <w:rPr>
          <w:rFonts w:hint="eastAsia" w:ascii="宋体" w:hAnsi="宋体" w:eastAsia="宋体" w:cs="宋体"/>
          <w:color w:val="auto"/>
          <w:spacing w:val="-1"/>
          <w:sz w:val="24"/>
          <w:szCs w:val="24"/>
          <w:lang w:val="en-US" w:eastAsia="zh-CN"/>
        </w:rPr>
        <w:t>货物</w:t>
      </w:r>
      <w:r>
        <w:rPr>
          <w:rFonts w:ascii="宋体" w:hAnsi="宋体" w:eastAsia="宋体" w:cs="宋体"/>
          <w:color w:val="auto"/>
          <w:spacing w:val="-6"/>
          <w:sz w:val="24"/>
          <w:szCs w:val="24"/>
        </w:rPr>
        <w:t>单位为中小企业。</w:t>
      </w:r>
    </w:p>
    <w:p w14:paraId="00C04C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2.根据《政府采购促进中小企业发展管理办法》（财库[2</w:t>
      </w:r>
      <w:r>
        <w:rPr>
          <w:rFonts w:ascii="宋体" w:hAnsi="宋体" w:eastAsia="宋体" w:cs="宋体"/>
          <w:color w:val="auto"/>
          <w:spacing w:val="-1"/>
          <w:sz w:val="24"/>
          <w:szCs w:val="24"/>
        </w:rPr>
        <w:t>020]46号）的规定，参加</w:t>
      </w:r>
      <w:r>
        <w:rPr>
          <w:rFonts w:ascii="宋体" w:hAnsi="宋体" w:eastAsia="宋体" w:cs="宋体"/>
          <w:color w:val="auto"/>
          <w:sz w:val="24"/>
          <w:szCs w:val="24"/>
        </w:rPr>
        <w:t>政府采购活动的中小企业应当提供《中小企业声明函》。采购</w:t>
      </w:r>
      <w:r>
        <w:rPr>
          <w:rFonts w:ascii="宋体" w:hAnsi="宋体" w:eastAsia="宋体" w:cs="宋体"/>
          <w:color w:val="auto"/>
          <w:spacing w:val="-1"/>
          <w:sz w:val="24"/>
          <w:szCs w:val="24"/>
        </w:rPr>
        <w:t>人、采购代理机构应当</w:t>
      </w:r>
      <w:r>
        <w:rPr>
          <w:rFonts w:ascii="宋体" w:hAnsi="宋体" w:eastAsia="宋体" w:cs="宋体"/>
          <w:color w:val="auto"/>
          <w:spacing w:val="-2"/>
          <w:sz w:val="24"/>
          <w:szCs w:val="24"/>
        </w:rPr>
        <w:t>对符合规定的小微企业报价给予</w:t>
      </w:r>
      <w:r>
        <w:rPr>
          <w:rFonts w:hint="eastAsia" w:ascii="宋体" w:hAnsi="宋体" w:eastAsia="宋体" w:cs="宋体"/>
          <w:color w:val="auto"/>
          <w:spacing w:val="-2"/>
          <w:sz w:val="24"/>
          <w:szCs w:val="24"/>
          <w:lang w:val="en-US" w:eastAsia="zh-CN"/>
        </w:rPr>
        <w:t>20</w:t>
      </w:r>
      <w:r>
        <w:rPr>
          <w:rFonts w:ascii="宋体" w:hAnsi="宋体" w:eastAsia="宋体" w:cs="宋体"/>
          <w:color w:val="auto"/>
          <w:spacing w:val="-2"/>
          <w:sz w:val="24"/>
          <w:szCs w:val="24"/>
        </w:rPr>
        <w:t>%的价格扣除（专门面向中小企业采购的采购项目，</w:t>
      </w:r>
    </w:p>
    <w:p w14:paraId="32A24C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不再进行价格折扣），对最后一轮报价进行调整，调整</w:t>
      </w:r>
      <w:r>
        <w:rPr>
          <w:rFonts w:ascii="宋体" w:hAnsi="宋体" w:eastAsia="宋体" w:cs="宋体"/>
          <w:color w:val="auto"/>
          <w:spacing w:val="-2"/>
          <w:sz w:val="24"/>
          <w:szCs w:val="24"/>
        </w:rPr>
        <w:t>后的报价作为最终评定价。</w:t>
      </w:r>
    </w:p>
    <w:p w14:paraId="22D61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最终评定价=最后一轮报价×（1-∑价格折扣幅度）</w:t>
      </w:r>
    </w:p>
    <w:p w14:paraId="7CCEE0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3.根据《财政部</w:t>
      </w:r>
    </w:p>
    <w:p w14:paraId="4A7181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rPr>
      </w:pPr>
      <w:r>
        <w:rPr>
          <w:rFonts w:ascii="宋体" w:hAnsi="宋体" w:eastAsia="宋体" w:cs="宋体"/>
          <w:color w:val="auto"/>
          <w:sz w:val="24"/>
          <w:szCs w:val="24"/>
        </w:rPr>
        <w:t>司法部关于政府采购支持监狱企业发展有关问题</w:t>
      </w:r>
      <w:r>
        <w:rPr>
          <w:rFonts w:ascii="宋体" w:hAnsi="宋体" w:eastAsia="宋体" w:cs="宋体"/>
          <w:color w:val="auto"/>
          <w:spacing w:val="-1"/>
          <w:sz w:val="24"/>
          <w:szCs w:val="24"/>
        </w:rPr>
        <w:t>的通知》(财库〔2014〕68号)的规定</w:t>
      </w:r>
      <w:r>
        <w:rPr>
          <w:rFonts w:ascii="宋体" w:hAnsi="宋体" w:eastAsia="宋体" w:cs="宋体"/>
          <w:color w:val="auto"/>
          <w:spacing w:val="3"/>
          <w:sz w:val="24"/>
          <w:szCs w:val="24"/>
        </w:rPr>
        <w:t>,监狱企业参加政府采购活动时，应当提供由省级以</w:t>
      </w:r>
      <w:r>
        <w:rPr>
          <w:rFonts w:ascii="宋体" w:hAnsi="宋体" w:eastAsia="宋体" w:cs="宋体"/>
          <w:color w:val="auto"/>
          <w:spacing w:val="2"/>
          <w:sz w:val="24"/>
          <w:szCs w:val="24"/>
        </w:rPr>
        <w:t>上监狱管理局、戒毒管理局（含</w:t>
      </w:r>
      <w:r>
        <w:rPr>
          <w:rFonts w:ascii="宋体" w:hAnsi="宋体" w:eastAsia="宋体" w:cs="宋体"/>
          <w:color w:val="auto"/>
          <w:spacing w:val="-2"/>
          <w:sz w:val="24"/>
          <w:szCs w:val="24"/>
        </w:rPr>
        <w:t>新疆生产建设兵团）出具的属于监狱企业的证明文件。</w:t>
      </w:r>
    </w:p>
    <w:p w14:paraId="3FC6FD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4.根据《财政部民政部</w:t>
      </w:r>
    </w:p>
    <w:p w14:paraId="72076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rPr>
      </w:pPr>
      <w:r>
        <w:rPr>
          <w:rFonts w:ascii="宋体" w:hAnsi="宋体" w:eastAsia="宋体" w:cs="宋体"/>
          <w:color w:val="auto"/>
          <w:spacing w:val="-1"/>
          <w:sz w:val="24"/>
          <w:szCs w:val="24"/>
        </w:rPr>
        <w:t>中国残疾人联合会关于促进残疾人就业政府采购政策的通知》（财库〔20</w:t>
      </w:r>
      <w:r>
        <w:rPr>
          <w:rFonts w:ascii="宋体" w:hAnsi="宋体" w:eastAsia="宋体" w:cs="宋体"/>
          <w:color w:val="auto"/>
          <w:spacing w:val="-2"/>
          <w:sz w:val="24"/>
          <w:szCs w:val="24"/>
        </w:rPr>
        <w:t>17〕141号）</w:t>
      </w:r>
      <w:r>
        <w:rPr>
          <w:rFonts w:ascii="宋体" w:hAnsi="宋体" w:eastAsia="宋体" w:cs="宋体"/>
          <w:color w:val="auto"/>
          <w:spacing w:val="-1"/>
          <w:sz w:val="24"/>
          <w:szCs w:val="24"/>
        </w:rPr>
        <w:t>的规定，享受政府采购支持政策的残疾人福利性单位应当提供《残疾人福利性单位声</w:t>
      </w:r>
      <w:r>
        <w:rPr>
          <w:rFonts w:ascii="宋体" w:hAnsi="宋体" w:eastAsia="宋体" w:cs="宋体"/>
          <w:color w:val="auto"/>
          <w:spacing w:val="-12"/>
          <w:sz w:val="24"/>
          <w:szCs w:val="24"/>
        </w:rPr>
        <w:t>明函》。</w:t>
      </w:r>
    </w:p>
    <w:p w14:paraId="759FA9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29.确定成交供应商和成交候选人</w:t>
      </w:r>
    </w:p>
    <w:p w14:paraId="353CE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3"/>
          <w:sz w:val="24"/>
          <w:szCs w:val="24"/>
        </w:rPr>
      </w:pPr>
      <w:r>
        <w:rPr>
          <w:rFonts w:hint="eastAsia" w:ascii="宋体" w:hAnsi="宋体" w:eastAsia="宋体" w:cs="宋体"/>
          <w:color w:val="auto"/>
          <w:sz w:val="24"/>
          <w:szCs w:val="24"/>
          <w:lang w:val="en-US" w:eastAsia="zh-CN"/>
        </w:rPr>
        <w:t>谈判小组</w:t>
      </w:r>
      <w:r>
        <w:rPr>
          <w:rFonts w:ascii="宋体" w:hAnsi="宋体" w:eastAsia="宋体" w:cs="宋体"/>
          <w:color w:val="auto"/>
          <w:sz w:val="24"/>
          <w:szCs w:val="24"/>
        </w:rPr>
        <w:t>根据全体评审（标）成员签字的原始评审</w:t>
      </w:r>
      <w:r>
        <w:rPr>
          <w:rFonts w:ascii="宋体" w:hAnsi="宋体" w:eastAsia="宋体" w:cs="宋体"/>
          <w:color w:val="auto"/>
          <w:spacing w:val="-1"/>
          <w:sz w:val="24"/>
          <w:szCs w:val="24"/>
        </w:rPr>
        <w:t>（标）记录和评审（标</w:t>
      </w:r>
      <w:r>
        <w:rPr>
          <w:rFonts w:ascii="宋体" w:hAnsi="宋体" w:eastAsia="宋体" w:cs="宋体"/>
          <w:color w:val="auto"/>
          <w:spacing w:val="3"/>
          <w:sz w:val="24"/>
          <w:szCs w:val="24"/>
        </w:rPr>
        <w:t>)结果编写评审（标）报告，采购代理机构应当履行</w:t>
      </w:r>
      <w:r>
        <w:rPr>
          <w:rFonts w:ascii="宋体" w:hAnsi="宋体" w:eastAsia="宋体" w:cs="宋体"/>
          <w:color w:val="auto"/>
          <w:spacing w:val="2"/>
          <w:sz w:val="24"/>
          <w:szCs w:val="24"/>
        </w:rPr>
        <w:t>核对评审（标）结果职责，并在</w:t>
      </w:r>
      <w:r>
        <w:rPr>
          <w:rFonts w:ascii="宋体" w:hAnsi="宋体" w:eastAsia="宋体" w:cs="宋体"/>
          <w:color w:val="auto"/>
          <w:sz w:val="24"/>
          <w:szCs w:val="24"/>
        </w:rPr>
        <w:t>评审评标结束后2个工作日内将评标报告通过公共资源电子交易</w:t>
      </w:r>
      <w:r>
        <w:rPr>
          <w:rFonts w:ascii="宋体" w:hAnsi="宋体" w:eastAsia="宋体" w:cs="宋体"/>
          <w:color w:val="auto"/>
          <w:spacing w:val="-1"/>
          <w:sz w:val="24"/>
          <w:szCs w:val="24"/>
        </w:rPr>
        <w:t>系统提交采购人，采购</w:t>
      </w:r>
      <w:r>
        <w:rPr>
          <w:rFonts w:ascii="宋体" w:hAnsi="宋体" w:eastAsia="宋体" w:cs="宋体"/>
          <w:color w:val="auto"/>
          <w:sz w:val="24"/>
          <w:szCs w:val="24"/>
        </w:rPr>
        <w:t>人应当在收到评审报告1个工作日内通过公共资源电子交易系统</w:t>
      </w:r>
      <w:r>
        <w:rPr>
          <w:rFonts w:ascii="宋体" w:hAnsi="宋体" w:eastAsia="宋体" w:cs="宋体"/>
          <w:color w:val="auto"/>
          <w:spacing w:val="-1"/>
          <w:sz w:val="24"/>
          <w:szCs w:val="24"/>
        </w:rPr>
        <w:t>线上确定中标、成交供</w:t>
      </w:r>
      <w:r>
        <w:rPr>
          <w:rFonts w:ascii="宋体" w:hAnsi="宋体" w:eastAsia="宋体" w:cs="宋体"/>
          <w:color w:val="auto"/>
          <w:spacing w:val="-3"/>
          <w:sz w:val="24"/>
          <w:szCs w:val="24"/>
        </w:rPr>
        <w:t>应商。</w:t>
      </w:r>
    </w:p>
    <w:p w14:paraId="5477FD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color w:val="auto"/>
          <w:sz w:val="24"/>
          <w:szCs w:val="24"/>
        </w:rPr>
      </w:pPr>
      <w:r>
        <w:rPr>
          <w:rFonts w:ascii="宋体" w:hAnsi="宋体" w:eastAsia="宋体" w:cs="宋体"/>
          <w:b/>
          <w:bCs/>
          <w:color w:val="auto"/>
          <w:spacing w:val="-3"/>
          <w:sz w:val="24"/>
          <w:szCs w:val="24"/>
        </w:rPr>
        <w:t>30.成交通知书及成交公告</w:t>
      </w:r>
    </w:p>
    <w:p w14:paraId="7F4333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4"/>
          <w:sz w:val="24"/>
          <w:szCs w:val="24"/>
        </w:rPr>
      </w:pPr>
      <w:r>
        <w:rPr>
          <w:rFonts w:ascii="宋体" w:hAnsi="宋体" w:eastAsia="宋体" w:cs="宋体"/>
          <w:color w:val="auto"/>
          <w:sz w:val="24"/>
          <w:szCs w:val="24"/>
        </w:rPr>
        <w:t>30.1谈判结束后，采购代理机构应在收到采购</w:t>
      </w:r>
      <w:r>
        <w:rPr>
          <w:rFonts w:ascii="宋体" w:hAnsi="宋体" w:eastAsia="宋体" w:cs="宋体"/>
          <w:color w:val="auto"/>
          <w:spacing w:val="-1"/>
          <w:sz w:val="24"/>
          <w:szCs w:val="24"/>
        </w:rPr>
        <w:t>人确定的中标、成交结果确认后，第</w:t>
      </w:r>
      <w:r>
        <w:rPr>
          <w:rFonts w:ascii="宋体" w:hAnsi="宋体" w:eastAsia="宋体" w:cs="宋体"/>
          <w:color w:val="auto"/>
          <w:sz w:val="24"/>
          <w:szCs w:val="24"/>
        </w:rPr>
        <w:t>一时间在河南省政府采购网、驻马店市公共资源交易中</w:t>
      </w:r>
      <w:r>
        <w:rPr>
          <w:rFonts w:ascii="宋体" w:hAnsi="宋体" w:eastAsia="宋体" w:cs="宋体"/>
          <w:color w:val="auto"/>
          <w:spacing w:val="-1"/>
          <w:sz w:val="24"/>
          <w:szCs w:val="24"/>
        </w:rPr>
        <w:t>心网上发布成交公告，同时向</w:t>
      </w:r>
      <w:r>
        <w:rPr>
          <w:rFonts w:ascii="宋体" w:hAnsi="宋体" w:eastAsia="宋体" w:cs="宋体"/>
          <w:color w:val="auto"/>
          <w:spacing w:val="-4"/>
          <w:sz w:val="24"/>
          <w:szCs w:val="24"/>
        </w:rPr>
        <w:t>成交供应商发出成交通知书。</w:t>
      </w:r>
    </w:p>
    <w:p w14:paraId="7E28FC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30.2成交供应商在规定的时间内不领取成交通</w:t>
      </w:r>
      <w:r>
        <w:rPr>
          <w:rFonts w:ascii="宋体" w:hAnsi="宋体" w:eastAsia="宋体" w:cs="宋体"/>
          <w:color w:val="auto"/>
          <w:spacing w:val="-1"/>
          <w:sz w:val="24"/>
          <w:szCs w:val="24"/>
        </w:rPr>
        <w:t>知书的，视为成交后自动放弃成交资</w:t>
      </w:r>
      <w:r>
        <w:rPr>
          <w:rFonts w:ascii="宋体" w:hAnsi="宋体" w:eastAsia="宋体" w:cs="宋体"/>
          <w:color w:val="auto"/>
          <w:sz w:val="24"/>
          <w:szCs w:val="24"/>
        </w:rPr>
        <w:t>格，承担由此引起的一切后果。成交供应商在有效的最后一轮</w:t>
      </w:r>
      <w:r>
        <w:rPr>
          <w:rFonts w:ascii="宋体" w:hAnsi="宋体" w:eastAsia="宋体" w:cs="宋体"/>
          <w:color w:val="auto"/>
          <w:spacing w:val="-1"/>
          <w:sz w:val="24"/>
          <w:szCs w:val="24"/>
        </w:rPr>
        <w:t>报价中报价最低,非不可</w:t>
      </w:r>
      <w:r>
        <w:rPr>
          <w:rFonts w:ascii="宋体" w:hAnsi="宋体" w:eastAsia="宋体" w:cs="宋体"/>
          <w:color w:val="auto"/>
          <w:spacing w:val="-3"/>
          <w:sz w:val="24"/>
          <w:szCs w:val="24"/>
        </w:rPr>
        <w:t>抗力放弃成交资格的，视为供应商恶意串通。</w:t>
      </w:r>
    </w:p>
    <w:p w14:paraId="41B62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30.3成交通知书对采购人和成交供应商具有同</w:t>
      </w:r>
      <w:r>
        <w:rPr>
          <w:rFonts w:ascii="宋体" w:hAnsi="宋体" w:eastAsia="宋体" w:cs="宋体"/>
          <w:color w:val="auto"/>
          <w:spacing w:val="-1"/>
          <w:sz w:val="24"/>
          <w:szCs w:val="24"/>
        </w:rPr>
        <w:t>等法律效力。成交通知书发出后，采</w:t>
      </w:r>
      <w:r>
        <w:rPr>
          <w:rFonts w:ascii="宋体" w:hAnsi="宋体" w:eastAsia="宋体" w:cs="宋体"/>
          <w:color w:val="auto"/>
          <w:sz w:val="24"/>
          <w:szCs w:val="24"/>
        </w:rPr>
        <w:t>购人改变成交结果，或者成交供应商放弃成交，应按相关法律、</w:t>
      </w:r>
      <w:r>
        <w:rPr>
          <w:rFonts w:ascii="宋体" w:hAnsi="宋体" w:eastAsia="宋体" w:cs="宋体"/>
          <w:color w:val="auto"/>
          <w:spacing w:val="-1"/>
          <w:sz w:val="24"/>
          <w:szCs w:val="24"/>
        </w:rPr>
        <w:t>规章、规范性文件的</w:t>
      </w:r>
      <w:r>
        <w:rPr>
          <w:rFonts w:ascii="宋体" w:hAnsi="宋体" w:eastAsia="宋体" w:cs="宋体"/>
          <w:color w:val="auto"/>
          <w:spacing w:val="-4"/>
          <w:sz w:val="24"/>
          <w:szCs w:val="24"/>
        </w:rPr>
        <w:t>要求承担相应的法律责任。</w:t>
      </w:r>
    </w:p>
    <w:p w14:paraId="2C5AD2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30.4成交通知书将作为签订合同的依据。合同</w:t>
      </w:r>
      <w:r>
        <w:rPr>
          <w:rFonts w:ascii="宋体" w:hAnsi="宋体" w:eastAsia="宋体" w:cs="宋体"/>
          <w:color w:val="auto"/>
          <w:spacing w:val="-1"/>
          <w:sz w:val="24"/>
          <w:szCs w:val="24"/>
        </w:rPr>
        <w:t>签订后，成交通知书成为合同的一部</w:t>
      </w:r>
      <w:r>
        <w:rPr>
          <w:rFonts w:ascii="宋体" w:hAnsi="宋体" w:eastAsia="宋体" w:cs="宋体"/>
          <w:color w:val="auto"/>
          <w:spacing w:val="-6"/>
          <w:sz w:val="24"/>
          <w:szCs w:val="24"/>
        </w:rPr>
        <w:t>分，须做出响应。</w:t>
      </w:r>
    </w:p>
    <w:p w14:paraId="370B3A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rPr>
      </w:pPr>
      <w:r>
        <w:rPr>
          <w:rFonts w:ascii="宋体" w:hAnsi="宋体" w:eastAsia="宋体" w:cs="宋体"/>
          <w:b/>
          <w:bCs/>
          <w:color w:val="auto"/>
          <w:spacing w:val="-4"/>
          <w:sz w:val="24"/>
          <w:szCs w:val="24"/>
        </w:rPr>
        <w:t>31.采购代理机构宣布谈判废止的权利</w:t>
      </w:r>
    </w:p>
    <w:p w14:paraId="7719E1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31.1</w:t>
      </w:r>
      <w:r>
        <w:rPr>
          <w:rFonts w:ascii="宋体" w:hAnsi="宋体" w:eastAsia="宋体" w:cs="宋体"/>
          <w:color w:val="auto"/>
          <w:spacing w:val="-2"/>
          <w:sz w:val="24"/>
          <w:szCs w:val="24"/>
        </w:rPr>
        <w:t>出现下列情况之一时，采购代理机构有权宣布谈判废止，并</w:t>
      </w:r>
      <w:r>
        <w:rPr>
          <w:rFonts w:ascii="宋体" w:hAnsi="宋体" w:eastAsia="宋体" w:cs="宋体"/>
          <w:color w:val="auto"/>
          <w:spacing w:val="-3"/>
          <w:sz w:val="24"/>
          <w:szCs w:val="24"/>
        </w:rPr>
        <w:t>将理由通知所有供应商：</w:t>
      </w:r>
    </w:p>
    <w:p w14:paraId="5B286E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rPr>
      </w:pPr>
      <w:r>
        <w:rPr>
          <w:rFonts w:ascii="宋体" w:hAnsi="宋体" w:eastAsia="宋体" w:cs="宋体"/>
          <w:color w:val="auto"/>
          <w:spacing w:val="-2"/>
          <w:sz w:val="24"/>
          <w:szCs w:val="24"/>
        </w:rPr>
        <w:t>31.1.1出现影响采购公正的违法、违规行为的。</w:t>
      </w:r>
    </w:p>
    <w:p w14:paraId="234D08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31.1.2供应商的最后一轮报价均超过了采</w:t>
      </w:r>
      <w:r>
        <w:rPr>
          <w:rFonts w:ascii="宋体" w:hAnsi="宋体" w:eastAsia="宋体" w:cs="宋体"/>
          <w:color w:val="auto"/>
          <w:spacing w:val="-2"/>
          <w:sz w:val="24"/>
          <w:szCs w:val="24"/>
        </w:rPr>
        <w:t>购控制价，采购人不能支付的。</w:t>
      </w:r>
    </w:p>
    <w:p w14:paraId="7DF867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rPr>
      </w:pPr>
      <w:r>
        <w:rPr>
          <w:rFonts w:ascii="宋体" w:hAnsi="宋体" w:eastAsia="宋体" w:cs="宋体"/>
          <w:color w:val="auto"/>
          <w:spacing w:val="-3"/>
          <w:sz w:val="24"/>
          <w:szCs w:val="24"/>
        </w:rPr>
        <w:t>31.1.3因重大变故，采购任务取消的。</w:t>
      </w:r>
    </w:p>
    <w:p w14:paraId="709EC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31.2谈判截止时间结束后参加供应商不足3家的，评审期间符合专业条件的供应商或者对谈判文件作</w:t>
      </w:r>
      <w:r>
        <w:rPr>
          <w:rFonts w:ascii="宋体" w:hAnsi="宋体" w:eastAsia="宋体" w:cs="宋体"/>
          <w:color w:val="auto"/>
          <w:spacing w:val="-1"/>
          <w:sz w:val="24"/>
          <w:szCs w:val="24"/>
        </w:rPr>
        <w:t>出实质响应的供应商不足3</w:t>
      </w:r>
      <w:r>
        <w:rPr>
          <w:rFonts w:ascii="宋体" w:hAnsi="宋体" w:eastAsia="宋体" w:cs="宋体"/>
          <w:color w:val="auto"/>
          <w:spacing w:val="-2"/>
          <w:sz w:val="24"/>
          <w:szCs w:val="24"/>
        </w:rPr>
        <w:t>家的，采购代理机构将报请同级财政部门依法处理。</w:t>
      </w:r>
    </w:p>
    <w:p w14:paraId="46D2C4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color w:val="auto"/>
        </w:rPr>
        <w:sectPr>
          <w:footerReference r:id="rId10" w:type="default"/>
          <w:pgSz w:w="11900" w:h="16839"/>
          <w:pgMar w:top="1440" w:right="1800" w:bottom="1440" w:left="1800" w:header="0" w:footer="219" w:gutter="0"/>
          <w:cols w:equalWidth="0" w:num="1">
            <w:col w:w="9053"/>
          </w:cols>
        </w:sectPr>
      </w:pPr>
    </w:p>
    <w:p w14:paraId="2D18D01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b/>
          <w:bCs/>
          <w:color w:val="auto"/>
          <w:spacing w:val="-6"/>
          <w:sz w:val="32"/>
          <w:szCs w:val="32"/>
        </w:rPr>
      </w:pPr>
      <w:r>
        <w:rPr>
          <w:rFonts w:ascii="宋体" w:hAnsi="宋体" w:eastAsia="宋体" w:cs="宋体"/>
          <w:b/>
          <w:bCs/>
          <w:color w:val="auto"/>
          <w:spacing w:val="-4"/>
          <w:sz w:val="32"/>
          <w:szCs w:val="32"/>
        </w:rPr>
        <w:t>八</w:t>
      </w:r>
      <w:r>
        <w:rPr>
          <w:rFonts w:ascii="宋体" w:hAnsi="宋体" w:eastAsia="宋体" w:cs="宋体"/>
          <w:b/>
          <w:bCs/>
          <w:color w:val="auto"/>
          <w:spacing w:val="-6"/>
          <w:sz w:val="32"/>
          <w:szCs w:val="32"/>
        </w:rPr>
        <w:t>合同授予</w:t>
      </w:r>
    </w:p>
    <w:p w14:paraId="5548EC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32.签订合同</w:t>
      </w:r>
    </w:p>
    <w:p w14:paraId="479C9C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32.1采购人、成交供应商在成交通知书发出之日</w:t>
      </w:r>
      <w:r>
        <w:rPr>
          <w:rFonts w:ascii="宋体" w:hAnsi="宋体" w:eastAsia="宋体" w:cs="宋体"/>
          <w:color w:val="auto"/>
          <w:spacing w:val="-1"/>
          <w:sz w:val="24"/>
          <w:szCs w:val="24"/>
        </w:rPr>
        <w:t>起</w:t>
      </w:r>
      <w:r>
        <w:rPr>
          <w:rFonts w:ascii="宋体" w:hAnsi="宋体" w:eastAsia="宋体" w:cs="宋体"/>
          <w:color w:val="auto"/>
          <w:spacing w:val="-1"/>
          <w:sz w:val="21"/>
          <w:szCs w:val="21"/>
        </w:rPr>
        <w:t>15</w:t>
      </w:r>
      <w:r>
        <w:rPr>
          <w:rFonts w:ascii="宋体" w:hAnsi="宋体" w:eastAsia="宋体" w:cs="宋体"/>
          <w:color w:val="auto"/>
          <w:spacing w:val="-1"/>
          <w:sz w:val="24"/>
          <w:szCs w:val="24"/>
        </w:rPr>
        <w:t>日内，根据竞争性谈判文件确</w:t>
      </w:r>
      <w:r>
        <w:rPr>
          <w:rFonts w:ascii="宋体" w:hAnsi="宋体" w:eastAsia="宋体" w:cs="宋体"/>
          <w:color w:val="auto"/>
          <w:sz w:val="24"/>
          <w:szCs w:val="24"/>
        </w:rPr>
        <w:t>定的事项和成交供应商响应性文件签订合同。双方所签订的合</w:t>
      </w:r>
      <w:r>
        <w:rPr>
          <w:rFonts w:ascii="宋体" w:hAnsi="宋体" w:eastAsia="宋体" w:cs="宋体"/>
          <w:color w:val="auto"/>
          <w:spacing w:val="-1"/>
          <w:sz w:val="24"/>
          <w:szCs w:val="24"/>
        </w:rPr>
        <w:t>同不得对竞争性谈判文</w:t>
      </w:r>
      <w:r>
        <w:rPr>
          <w:rFonts w:ascii="宋体" w:hAnsi="宋体" w:eastAsia="宋体" w:cs="宋体"/>
          <w:color w:val="auto"/>
          <w:sz w:val="24"/>
          <w:szCs w:val="24"/>
        </w:rPr>
        <w:t>件和成交供应商响应性文件作实质性修改。成交供应商逾期未</w:t>
      </w:r>
      <w:r>
        <w:rPr>
          <w:rFonts w:ascii="宋体" w:hAnsi="宋体" w:eastAsia="宋体" w:cs="宋体"/>
          <w:color w:val="auto"/>
          <w:spacing w:val="-1"/>
          <w:sz w:val="24"/>
          <w:szCs w:val="24"/>
        </w:rPr>
        <w:t>签订合同，视为成交后</w:t>
      </w:r>
      <w:r>
        <w:rPr>
          <w:rFonts w:ascii="宋体" w:hAnsi="宋体" w:eastAsia="宋体" w:cs="宋体"/>
          <w:color w:val="auto"/>
          <w:sz w:val="24"/>
          <w:szCs w:val="24"/>
        </w:rPr>
        <w:t>无正当理由不与采购人签订合同，其谈判保证金将被没收，并</w:t>
      </w:r>
      <w:r>
        <w:rPr>
          <w:rFonts w:ascii="宋体" w:hAnsi="宋体" w:eastAsia="宋体" w:cs="宋体"/>
          <w:color w:val="auto"/>
          <w:spacing w:val="-1"/>
          <w:sz w:val="24"/>
          <w:szCs w:val="24"/>
        </w:rPr>
        <w:t>按照有关法律规定承担</w:t>
      </w:r>
      <w:r>
        <w:rPr>
          <w:rFonts w:ascii="宋体" w:hAnsi="宋体" w:eastAsia="宋体" w:cs="宋体"/>
          <w:color w:val="auto"/>
          <w:sz w:val="24"/>
          <w:szCs w:val="24"/>
        </w:rPr>
        <w:t>相应的法律责任。采购人逾期不与成交供应商签订合同的，按</w:t>
      </w:r>
      <w:r>
        <w:rPr>
          <w:rFonts w:ascii="宋体" w:hAnsi="宋体" w:eastAsia="宋体" w:cs="宋体"/>
          <w:color w:val="auto"/>
          <w:spacing w:val="-1"/>
          <w:sz w:val="24"/>
          <w:szCs w:val="24"/>
        </w:rPr>
        <w:t>政府采购的有关规定处</w:t>
      </w:r>
      <w:r>
        <w:rPr>
          <w:rFonts w:ascii="宋体" w:hAnsi="宋体" w:eastAsia="宋体" w:cs="宋体"/>
          <w:color w:val="auto"/>
          <w:spacing w:val="-11"/>
          <w:sz w:val="24"/>
          <w:szCs w:val="24"/>
        </w:rPr>
        <w:t>理。</w:t>
      </w:r>
    </w:p>
    <w:p w14:paraId="71EECE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rPr>
      </w:pPr>
      <w:r>
        <w:rPr>
          <w:rFonts w:ascii="宋体" w:hAnsi="宋体" w:eastAsia="宋体" w:cs="宋体"/>
          <w:color w:val="auto"/>
          <w:sz w:val="24"/>
          <w:szCs w:val="24"/>
        </w:rPr>
        <w:t>32.2竞争性谈判文件、竞争性谈判文件的修改</w:t>
      </w:r>
      <w:r>
        <w:rPr>
          <w:rFonts w:ascii="宋体" w:hAnsi="宋体" w:eastAsia="宋体" w:cs="宋体"/>
          <w:color w:val="auto"/>
          <w:spacing w:val="-1"/>
          <w:sz w:val="24"/>
          <w:szCs w:val="24"/>
        </w:rPr>
        <w:t>文件、成交供应商的响应性文件、补</w:t>
      </w:r>
      <w:r>
        <w:rPr>
          <w:rFonts w:ascii="宋体" w:hAnsi="宋体" w:eastAsia="宋体" w:cs="宋体"/>
          <w:color w:val="auto"/>
          <w:sz w:val="24"/>
          <w:szCs w:val="24"/>
        </w:rPr>
        <w:t>充或修改的文件及澄清或承诺文件等，均为双方签订合同</w:t>
      </w:r>
      <w:r>
        <w:rPr>
          <w:rFonts w:ascii="宋体" w:hAnsi="宋体" w:eastAsia="宋体" w:cs="宋体"/>
          <w:color w:val="auto"/>
          <w:spacing w:val="-1"/>
          <w:sz w:val="24"/>
          <w:szCs w:val="24"/>
        </w:rPr>
        <w:t>的组成部分，并与合同一并作为本竞争性谈判文件所列采购项目的互补性法律文件，与合同具</w:t>
      </w:r>
      <w:r>
        <w:rPr>
          <w:rFonts w:ascii="宋体" w:hAnsi="宋体" w:eastAsia="宋体" w:cs="宋体"/>
          <w:color w:val="auto"/>
          <w:spacing w:val="-2"/>
          <w:sz w:val="24"/>
          <w:szCs w:val="24"/>
        </w:rPr>
        <w:t>有同等法律效力。</w:t>
      </w:r>
    </w:p>
    <w:p w14:paraId="313494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3"/>
          <w:sz w:val="24"/>
          <w:szCs w:val="24"/>
        </w:rPr>
      </w:pPr>
      <w:r>
        <w:rPr>
          <w:rFonts w:ascii="宋体" w:hAnsi="宋体" w:eastAsia="宋体" w:cs="宋体"/>
          <w:color w:val="auto"/>
          <w:sz w:val="24"/>
          <w:szCs w:val="24"/>
        </w:rPr>
        <w:t>32.3成交供应商放弃成交、因不可抗力不能履</w:t>
      </w:r>
      <w:r>
        <w:rPr>
          <w:rFonts w:ascii="宋体" w:hAnsi="宋体" w:eastAsia="宋体" w:cs="宋体"/>
          <w:color w:val="auto"/>
          <w:spacing w:val="-1"/>
          <w:sz w:val="24"/>
          <w:szCs w:val="24"/>
        </w:rPr>
        <w:t>行合同、不按照竞争性谈判文件要求</w:t>
      </w:r>
      <w:r>
        <w:rPr>
          <w:rFonts w:ascii="宋体" w:hAnsi="宋体" w:eastAsia="宋体" w:cs="宋体"/>
          <w:color w:val="auto"/>
          <w:sz w:val="24"/>
          <w:szCs w:val="24"/>
        </w:rPr>
        <w:t>提交履约保证金，或者被查实存在影响成交结果的违法行</w:t>
      </w:r>
      <w:r>
        <w:rPr>
          <w:rFonts w:ascii="宋体" w:hAnsi="宋体" w:eastAsia="宋体" w:cs="宋体"/>
          <w:color w:val="auto"/>
          <w:spacing w:val="-1"/>
          <w:sz w:val="24"/>
          <w:szCs w:val="24"/>
        </w:rPr>
        <w:t>为等情形，不符合成交条件</w:t>
      </w:r>
      <w:r>
        <w:rPr>
          <w:rFonts w:ascii="宋体" w:hAnsi="宋体" w:eastAsia="宋体" w:cs="宋体"/>
          <w:color w:val="auto"/>
          <w:sz w:val="24"/>
          <w:szCs w:val="24"/>
        </w:rPr>
        <w:t>的，采购人可以按照谈判小组提出的成交候选供应商名单</w:t>
      </w:r>
      <w:r>
        <w:rPr>
          <w:rFonts w:ascii="宋体" w:hAnsi="宋体" w:eastAsia="宋体" w:cs="宋体"/>
          <w:color w:val="auto"/>
          <w:spacing w:val="-1"/>
          <w:sz w:val="24"/>
          <w:szCs w:val="24"/>
        </w:rPr>
        <w:t>排序依次确定其他成交候选</w:t>
      </w:r>
      <w:r>
        <w:rPr>
          <w:rFonts w:ascii="宋体" w:hAnsi="宋体" w:eastAsia="宋体" w:cs="宋体"/>
          <w:color w:val="auto"/>
          <w:sz w:val="24"/>
          <w:szCs w:val="24"/>
        </w:rPr>
        <w:t>供应商为成交供应商，也可以重新组织采购。拒绝签订政府</w:t>
      </w:r>
      <w:r>
        <w:rPr>
          <w:rFonts w:ascii="宋体" w:hAnsi="宋体" w:eastAsia="宋体" w:cs="宋体"/>
          <w:color w:val="auto"/>
          <w:spacing w:val="-1"/>
          <w:sz w:val="24"/>
          <w:szCs w:val="24"/>
        </w:rPr>
        <w:t>采购合同的成交供应商不</w:t>
      </w:r>
      <w:r>
        <w:rPr>
          <w:rFonts w:ascii="宋体" w:hAnsi="宋体" w:eastAsia="宋体" w:cs="宋体"/>
          <w:color w:val="auto"/>
          <w:spacing w:val="-3"/>
          <w:sz w:val="24"/>
          <w:szCs w:val="24"/>
        </w:rPr>
        <w:t>得参加对该项目重新开展的采购活动。</w:t>
      </w:r>
    </w:p>
    <w:p w14:paraId="3CB593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color w:val="auto"/>
          <w:spacing w:val="-4"/>
          <w:sz w:val="32"/>
          <w:szCs w:val="32"/>
        </w:rPr>
      </w:pPr>
      <w:r>
        <w:rPr>
          <w:rFonts w:ascii="宋体" w:hAnsi="宋体" w:eastAsia="宋体" w:cs="宋体"/>
          <w:color w:val="auto"/>
          <w:sz w:val="24"/>
          <w:szCs w:val="24"/>
        </w:rPr>
        <w:t>32.4采购人应在采购合同签订之日起7个工作日内将合同副本报同级财政部门备案。</w:t>
      </w:r>
    </w:p>
    <w:p w14:paraId="2308E236">
      <w:pPr>
        <w:rPr>
          <w:rFonts w:ascii="宋体" w:hAnsi="宋体" w:eastAsia="宋体" w:cs="宋体"/>
          <w:b/>
          <w:bCs/>
          <w:color w:val="auto"/>
          <w:spacing w:val="-4"/>
          <w:sz w:val="32"/>
          <w:szCs w:val="32"/>
        </w:rPr>
      </w:pPr>
      <w:r>
        <w:rPr>
          <w:rFonts w:ascii="宋体" w:hAnsi="宋体" w:eastAsia="宋体" w:cs="宋体"/>
          <w:b/>
          <w:bCs/>
          <w:color w:val="auto"/>
          <w:spacing w:val="-4"/>
          <w:sz w:val="32"/>
          <w:szCs w:val="32"/>
        </w:rPr>
        <w:br w:type="page"/>
      </w:r>
    </w:p>
    <w:p w14:paraId="70479640">
      <w:pPr>
        <w:spacing w:before="63" w:line="219" w:lineRule="auto"/>
        <w:ind w:left="2737"/>
        <w:rPr>
          <w:rFonts w:hint="default" w:ascii="宋体" w:hAnsi="宋体" w:eastAsia="宋体" w:cs="宋体"/>
          <w:color w:val="auto"/>
          <w:sz w:val="32"/>
          <w:szCs w:val="32"/>
          <w:lang w:val="en-US" w:eastAsia="zh-CN"/>
        </w:rPr>
      </w:pPr>
      <w:r>
        <w:rPr>
          <w:rFonts w:ascii="宋体" w:hAnsi="宋体" w:eastAsia="宋体" w:cs="宋体"/>
          <w:b/>
          <w:bCs/>
          <w:color w:val="auto"/>
          <w:spacing w:val="-4"/>
          <w:sz w:val="32"/>
          <w:szCs w:val="32"/>
        </w:rPr>
        <w:t>第三章</w:t>
      </w:r>
      <w:r>
        <w:rPr>
          <w:rFonts w:hint="eastAsia" w:ascii="宋体" w:hAnsi="宋体" w:eastAsia="宋体" w:cs="宋体"/>
          <w:b/>
          <w:bCs/>
          <w:color w:val="auto"/>
          <w:spacing w:val="-4"/>
          <w:sz w:val="32"/>
          <w:szCs w:val="32"/>
          <w:lang w:val="en-US" w:eastAsia="zh-CN"/>
        </w:rPr>
        <w:t>采购清单</w:t>
      </w:r>
    </w:p>
    <w:p w14:paraId="270801A8">
      <w:pPr>
        <w:pStyle w:val="3"/>
        <w:spacing w:line="281" w:lineRule="auto"/>
        <w:rPr>
          <w:color w:val="auto"/>
        </w:rPr>
      </w:pPr>
    </w:p>
    <w:p w14:paraId="7F3BF35C">
      <w:pPr>
        <w:pStyle w:val="3"/>
        <w:spacing w:line="281" w:lineRule="auto"/>
        <w:rPr>
          <w:color w:val="auto"/>
        </w:rPr>
      </w:pPr>
    </w:p>
    <w:p w14:paraId="7C7DD961">
      <w:pPr>
        <w:rPr>
          <w:rFonts w:hint="eastAsia" w:ascii="宋体" w:hAnsi="宋体" w:eastAsia="宋体" w:cs="宋体"/>
          <w:b/>
          <w:bCs/>
          <w:color w:val="auto"/>
          <w:spacing w:val="-5"/>
          <w:sz w:val="32"/>
          <w:szCs w:val="32"/>
          <w:lang w:eastAsia="zh-CN"/>
        </w:rPr>
      </w:pPr>
      <w:r>
        <w:rPr>
          <w:rFonts w:hint="eastAsia" w:ascii="宋体" w:hAnsi="宋体" w:eastAsia="宋体" w:cs="宋体"/>
          <w:b/>
          <w:bCs/>
          <w:color w:val="auto"/>
          <w:spacing w:val="-5"/>
          <w:sz w:val="32"/>
          <w:szCs w:val="32"/>
          <w:lang w:eastAsia="zh-CN"/>
        </w:rPr>
        <w:drawing>
          <wp:inline distT="0" distB="0" distL="114300" distR="114300">
            <wp:extent cx="5013960" cy="6494145"/>
            <wp:effectExtent l="0" t="0" r="15240" b="1905"/>
            <wp:docPr id="1" name="图片 1" descr="12823e5a35d9e55dc272304fd35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823e5a35d9e55dc272304fd354895"/>
                    <pic:cNvPicPr>
                      <a:picLocks noChangeAspect="1"/>
                    </pic:cNvPicPr>
                  </pic:nvPicPr>
                  <pic:blipFill>
                    <a:blip r:embed="rId16"/>
                    <a:stretch>
                      <a:fillRect/>
                    </a:stretch>
                  </pic:blipFill>
                  <pic:spPr>
                    <a:xfrm>
                      <a:off x="0" y="0"/>
                      <a:ext cx="5013960" cy="6494145"/>
                    </a:xfrm>
                    <a:prstGeom prst="rect">
                      <a:avLst/>
                    </a:prstGeom>
                  </pic:spPr>
                </pic:pic>
              </a:graphicData>
            </a:graphic>
          </wp:inline>
        </w:drawing>
      </w:r>
      <w:r>
        <w:rPr>
          <w:rFonts w:ascii="宋体" w:hAnsi="宋体" w:eastAsia="宋体" w:cs="宋体"/>
          <w:b/>
          <w:bCs/>
          <w:color w:val="auto"/>
          <w:spacing w:val="-5"/>
          <w:sz w:val="32"/>
          <w:szCs w:val="32"/>
        </w:rPr>
        <w:br w:type="page"/>
      </w:r>
    </w:p>
    <w:p w14:paraId="57C7A005">
      <w:pPr>
        <w:spacing w:before="80" w:line="219" w:lineRule="auto"/>
        <w:ind w:left="2937"/>
        <w:rPr>
          <w:rFonts w:ascii="宋体" w:hAnsi="宋体" w:eastAsia="宋体" w:cs="宋体"/>
          <w:color w:val="auto"/>
          <w:sz w:val="32"/>
          <w:szCs w:val="32"/>
        </w:rPr>
      </w:pPr>
      <w:r>
        <w:rPr>
          <w:rFonts w:ascii="宋体" w:hAnsi="宋体" w:eastAsia="宋体" w:cs="宋体"/>
          <w:b/>
          <w:bCs/>
          <w:color w:val="auto"/>
          <w:spacing w:val="-5"/>
          <w:sz w:val="32"/>
          <w:szCs w:val="32"/>
        </w:rPr>
        <w:t>第4章合同条款及格式</w:t>
      </w:r>
    </w:p>
    <w:p w14:paraId="0AEEF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w:t>
      </w:r>
      <w:r>
        <w:rPr>
          <w:rFonts w:hint="eastAsia" w:ascii="仿宋" w:hAnsi="仿宋" w:eastAsia="仿宋" w:cs="仿宋"/>
          <w:color w:val="auto"/>
          <w:spacing w:val="-1"/>
          <w:sz w:val="24"/>
          <w:szCs w:val="24"/>
        </w:rPr>
        <w:t>采购人可根据采购项目的实际情况增减条款和内</w:t>
      </w:r>
      <w:r>
        <w:rPr>
          <w:rFonts w:hint="eastAsia" w:ascii="仿宋" w:hAnsi="仿宋" w:eastAsia="仿宋" w:cs="仿宋"/>
          <w:color w:val="auto"/>
          <w:spacing w:val="-2"/>
          <w:sz w:val="24"/>
          <w:szCs w:val="24"/>
        </w:rPr>
        <w:t>容</w:t>
      </w:r>
      <w:r>
        <w:rPr>
          <w:rFonts w:hint="eastAsia" w:ascii="仿宋" w:hAnsi="仿宋" w:eastAsia="仿宋" w:cs="仿宋"/>
          <w:b/>
          <w:bCs/>
          <w:color w:val="auto"/>
          <w:spacing w:val="-2"/>
          <w:sz w:val="24"/>
          <w:szCs w:val="24"/>
        </w:rPr>
        <w:t>）</w:t>
      </w:r>
    </w:p>
    <w:p w14:paraId="21CF7F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项目名称：项目编号：</w:t>
      </w:r>
    </w:p>
    <w:p w14:paraId="5DC39F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甲方</w:t>
      </w:r>
      <w:r>
        <w:rPr>
          <w:rFonts w:hint="eastAsia" w:ascii="仿宋" w:hAnsi="仿宋" w:eastAsia="仿宋" w:cs="仿宋"/>
          <w:color w:val="auto"/>
          <w:spacing w:val="-4"/>
          <w:sz w:val="24"/>
          <w:szCs w:val="24"/>
        </w:rPr>
        <w:t>：（</w:t>
      </w:r>
      <w:r>
        <w:rPr>
          <w:rFonts w:hint="eastAsia" w:ascii="仿宋" w:hAnsi="仿宋" w:eastAsia="仿宋" w:cs="仿宋"/>
          <w:color w:val="auto"/>
          <w:spacing w:val="-6"/>
          <w:sz w:val="24"/>
          <w:szCs w:val="24"/>
        </w:rPr>
        <w:t>采购人）乙方</w:t>
      </w:r>
      <w:r>
        <w:rPr>
          <w:rFonts w:hint="eastAsia" w:ascii="仿宋" w:hAnsi="仿宋" w:eastAsia="仿宋" w:cs="仿宋"/>
          <w:color w:val="auto"/>
          <w:spacing w:val="-4"/>
          <w:sz w:val="24"/>
          <w:szCs w:val="24"/>
        </w:rPr>
        <w:t>：（</w:t>
      </w:r>
      <w:r>
        <w:rPr>
          <w:rFonts w:hint="eastAsia" w:ascii="仿宋" w:hAnsi="仿宋" w:eastAsia="仿宋" w:cs="仿宋"/>
          <w:color w:val="auto"/>
          <w:spacing w:val="-6"/>
          <w:sz w:val="24"/>
          <w:szCs w:val="24"/>
        </w:rPr>
        <w:t>成交供应商）</w:t>
      </w:r>
    </w:p>
    <w:p w14:paraId="622BA0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甲、乙双方根据《中华人民共和国政府采购法》、《中华人民</w:t>
      </w:r>
      <w:r>
        <w:rPr>
          <w:rFonts w:hint="eastAsia" w:ascii="仿宋" w:hAnsi="仿宋" w:eastAsia="仿宋" w:cs="仿宋"/>
          <w:color w:val="auto"/>
          <w:spacing w:val="-1"/>
          <w:sz w:val="24"/>
          <w:szCs w:val="24"/>
        </w:rPr>
        <w:t>共和国民法典》等法律法规的规定，按照（项目编号）的竞争性</w:t>
      </w:r>
      <w:r>
        <w:rPr>
          <w:rFonts w:hint="eastAsia" w:ascii="仿宋" w:hAnsi="仿宋" w:eastAsia="仿宋" w:cs="仿宋"/>
          <w:color w:val="auto"/>
          <w:spacing w:val="-5"/>
          <w:sz w:val="24"/>
          <w:szCs w:val="24"/>
        </w:rPr>
        <w:t>谈判结果签订本合同。</w:t>
      </w:r>
    </w:p>
    <w:p w14:paraId="0BAB7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1.货物内容</w:t>
      </w:r>
    </w:p>
    <w:p w14:paraId="25C1E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3"/>
          <w:sz w:val="24"/>
          <w:szCs w:val="24"/>
        </w:rPr>
        <w:t>1.1货物名称：</w:t>
      </w:r>
    </w:p>
    <w:p w14:paraId="6CB1E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3"/>
          <w:sz w:val="24"/>
          <w:szCs w:val="24"/>
        </w:rPr>
        <w:t>1.2型号规格：</w:t>
      </w:r>
    </w:p>
    <w:p w14:paraId="374E2E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2"/>
          <w:sz w:val="24"/>
          <w:szCs w:val="24"/>
        </w:rPr>
        <w:t>1.3技术参数：</w:t>
      </w:r>
    </w:p>
    <w:p w14:paraId="1868B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1.4数量（单位</w:t>
      </w:r>
      <w:r>
        <w:rPr>
          <w:rFonts w:hint="eastAsia" w:ascii="仿宋" w:hAnsi="仿宋" w:eastAsia="仿宋" w:cs="仿宋"/>
          <w:color w:val="auto"/>
          <w:spacing w:val="-6"/>
          <w:sz w:val="24"/>
          <w:szCs w:val="24"/>
        </w:rPr>
        <w:t>）：</w:t>
      </w:r>
    </w:p>
    <w:p w14:paraId="5C35F1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2.合同金额</w:t>
      </w:r>
    </w:p>
    <w:p w14:paraId="25AFF1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本合同金额为人民币（大写</w:t>
      </w:r>
      <w:r>
        <w:rPr>
          <w:rFonts w:hint="eastAsia" w:ascii="仿宋" w:hAnsi="仿宋" w:eastAsia="仿宋" w:cs="仿宋"/>
          <w:color w:val="auto"/>
          <w:spacing w:val="4"/>
          <w:sz w:val="24"/>
          <w:szCs w:val="24"/>
        </w:rPr>
        <w:t>）：</w:t>
      </w:r>
      <w:r>
        <w:rPr>
          <w:rFonts w:hint="eastAsia" w:ascii="仿宋" w:hAnsi="仿宋" w:eastAsia="仿宋" w:cs="仿宋"/>
          <w:color w:val="auto"/>
          <w:spacing w:val="3"/>
          <w:sz w:val="24"/>
          <w:szCs w:val="24"/>
        </w:rPr>
        <w:t>_____</w:t>
      </w:r>
      <w:r>
        <w:rPr>
          <w:rFonts w:hint="eastAsia" w:ascii="仿宋" w:hAnsi="仿宋" w:eastAsia="仿宋" w:cs="仿宋"/>
          <w:color w:val="auto"/>
          <w:spacing w:val="3"/>
          <w:sz w:val="24"/>
          <w:szCs w:val="24"/>
          <w:u w:val="single" w:color="auto"/>
        </w:rPr>
        <w:t>_</w:t>
      </w:r>
      <w:r>
        <w:rPr>
          <w:rFonts w:hint="eastAsia" w:ascii="仿宋" w:hAnsi="仿宋" w:eastAsia="仿宋" w:cs="仿宋"/>
          <w:color w:val="auto"/>
          <w:spacing w:val="3"/>
          <w:sz w:val="24"/>
          <w:szCs w:val="24"/>
        </w:rPr>
        <w:t>元(￥________元）。</w:t>
      </w:r>
    </w:p>
    <w:p w14:paraId="6BA8D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3.技术资料</w:t>
      </w:r>
    </w:p>
    <w:p w14:paraId="795FCC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pacing w:val="-15"/>
          <w:sz w:val="24"/>
          <w:szCs w:val="24"/>
        </w:rPr>
      </w:pPr>
      <w:r>
        <w:rPr>
          <w:rFonts w:hint="eastAsia" w:ascii="仿宋" w:hAnsi="仿宋" w:eastAsia="仿宋" w:cs="仿宋"/>
          <w:color w:val="auto"/>
          <w:spacing w:val="-1"/>
          <w:sz w:val="24"/>
          <w:szCs w:val="24"/>
        </w:rPr>
        <w:t>3.1乙方按采购文件规定的时间向甲方提供使用货物的有关技术</w:t>
      </w:r>
      <w:r>
        <w:rPr>
          <w:rFonts w:hint="eastAsia" w:ascii="仿宋" w:hAnsi="仿宋" w:eastAsia="仿宋" w:cs="仿宋"/>
          <w:color w:val="auto"/>
          <w:spacing w:val="-15"/>
          <w:sz w:val="24"/>
          <w:szCs w:val="24"/>
        </w:rPr>
        <w:t>资料。</w:t>
      </w:r>
    </w:p>
    <w:p w14:paraId="2348C6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3.2没有甲方事先书面同意，乙方不得将由甲方提供的有关合同或任何合同条文、规格、计划、图纸、样品或资料提供给与履行本</w:t>
      </w:r>
      <w:r>
        <w:rPr>
          <w:rFonts w:hint="eastAsia" w:ascii="仿宋" w:hAnsi="仿宋" w:eastAsia="仿宋" w:cs="仿宋"/>
          <w:color w:val="auto"/>
          <w:spacing w:val="-5"/>
          <w:sz w:val="24"/>
          <w:szCs w:val="24"/>
        </w:rPr>
        <w:t>合同无关的任何其他人。</w:t>
      </w:r>
    </w:p>
    <w:p w14:paraId="42CEC9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4.知识产权</w:t>
      </w:r>
    </w:p>
    <w:p w14:paraId="14A873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乙方保证所提供的货物或其任何一部分均不会侵犯任何第三方</w:t>
      </w:r>
      <w:r>
        <w:rPr>
          <w:rFonts w:hint="eastAsia" w:ascii="仿宋" w:hAnsi="仿宋" w:eastAsia="仿宋" w:cs="仿宋"/>
          <w:color w:val="auto"/>
          <w:spacing w:val="-11"/>
          <w:sz w:val="24"/>
          <w:szCs w:val="24"/>
        </w:rPr>
        <w:t>的知识产权。</w:t>
      </w:r>
    </w:p>
    <w:p w14:paraId="3AA5E3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5.产权担保</w:t>
      </w:r>
    </w:p>
    <w:p w14:paraId="112F83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乙方保证所交付的货物的所有权完全属于乙方且无任何抵押、</w:t>
      </w:r>
      <w:r>
        <w:rPr>
          <w:rFonts w:hint="eastAsia" w:ascii="仿宋" w:hAnsi="仿宋" w:eastAsia="仿宋" w:cs="仿宋"/>
          <w:color w:val="auto"/>
          <w:spacing w:val="-7"/>
          <w:sz w:val="24"/>
          <w:szCs w:val="24"/>
        </w:rPr>
        <w:t>查封等产权瑕疵。</w:t>
      </w:r>
    </w:p>
    <w:p w14:paraId="1C4FB8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6.质量保证金（本项目不收取）</w:t>
      </w:r>
    </w:p>
    <w:p w14:paraId="34691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rPr>
        <w:t>6.1扣除合同总价的</w:t>
      </w:r>
    </w:p>
    <w:p w14:paraId="7B0F7B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%作为质量保证金（质保金一般为成交合同总价的5%左右</w:t>
      </w:r>
      <w:r>
        <w:rPr>
          <w:rFonts w:hint="eastAsia" w:ascii="仿宋" w:hAnsi="仿宋" w:eastAsia="仿宋" w:cs="仿宋"/>
          <w:color w:val="auto"/>
          <w:spacing w:val="-1"/>
          <w:sz w:val="24"/>
          <w:szCs w:val="24"/>
        </w:rPr>
        <w:t>；报价明显</w:t>
      </w:r>
      <w:r>
        <w:rPr>
          <w:rFonts w:hint="eastAsia" w:ascii="仿宋" w:hAnsi="仿宋" w:eastAsia="仿宋" w:cs="仿宋"/>
          <w:color w:val="auto"/>
          <w:sz w:val="24"/>
          <w:szCs w:val="24"/>
        </w:rPr>
        <w:t>低于有效报价平均价[一般为85%以下]的，</w:t>
      </w:r>
      <w:r>
        <w:rPr>
          <w:rFonts w:hint="eastAsia" w:ascii="仿宋" w:hAnsi="仿宋" w:eastAsia="仿宋" w:cs="仿宋"/>
          <w:color w:val="auto"/>
          <w:spacing w:val="-1"/>
          <w:sz w:val="24"/>
          <w:szCs w:val="24"/>
        </w:rPr>
        <w:t>可以适当提高质保金，但</w:t>
      </w:r>
      <w:r>
        <w:rPr>
          <w:rFonts w:hint="eastAsia" w:ascii="仿宋" w:hAnsi="仿宋" w:eastAsia="仿宋" w:cs="仿宋"/>
          <w:color w:val="auto"/>
          <w:spacing w:val="-3"/>
          <w:sz w:val="24"/>
          <w:szCs w:val="24"/>
        </w:rPr>
        <w:t>最高不得超过合同总价的15%）。</w:t>
      </w:r>
    </w:p>
    <w:p w14:paraId="07B65F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6.2在质保期内成交供应商提供的货物质量和服务符合合同约定</w:t>
      </w:r>
      <w:r>
        <w:rPr>
          <w:rFonts w:hint="eastAsia" w:ascii="仿宋" w:hAnsi="仿宋" w:eastAsia="仿宋" w:cs="仿宋"/>
          <w:color w:val="auto"/>
          <w:spacing w:val="2"/>
          <w:sz w:val="24"/>
          <w:szCs w:val="24"/>
        </w:rPr>
        <w:t>,经验收合格，质保期满后10个工作日内该款无息退还。</w:t>
      </w:r>
    </w:p>
    <w:p w14:paraId="0A0A11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7.转包或分包</w:t>
      </w:r>
    </w:p>
    <w:p w14:paraId="4E05C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7.1本合同范围的货物，由乙方直接供应，不得转让他人供应。</w:t>
      </w:r>
    </w:p>
    <w:p w14:paraId="363A7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7.2除非得到甲方的书面同意，乙方不得部分分包给他人供应。</w:t>
      </w:r>
    </w:p>
    <w:p w14:paraId="594C60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7.3如有转让和未经甲方同意的分包行为，甲方有权给予终止合</w:t>
      </w:r>
      <w:r>
        <w:rPr>
          <w:rFonts w:hint="eastAsia" w:ascii="仿宋" w:hAnsi="仿宋" w:eastAsia="仿宋" w:cs="仿宋"/>
          <w:color w:val="auto"/>
          <w:spacing w:val="-20"/>
          <w:sz w:val="24"/>
          <w:szCs w:val="24"/>
        </w:rPr>
        <w:t>同。</w:t>
      </w:r>
    </w:p>
    <w:p w14:paraId="2B2896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8.交货期、交货方式及交货地点</w:t>
      </w:r>
    </w:p>
    <w:p w14:paraId="12020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8.1交货期：</w:t>
      </w:r>
    </w:p>
    <w:p w14:paraId="37E038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8.2交货方式：</w:t>
      </w:r>
    </w:p>
    <w:p w14:paraId="122DE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8.3交货地点：</w:t>
      </w:r>
    </w:p>
    <w:p w14:paraId="2A7F2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9.货款支付</w:t>
      </w:r>
    </w:p>
    <w:p w14:paraId="05D7F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3"/>
          <w:sz w:val="24"/>
          <w:szCs w:val="24"/>
        </w:rPr>
        <w:t>付款方式：</w:t>
      </w:r>
    </w:p>
    <w:p w14:paraId="3C4C82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10.税费</w:t>
      </w:r>
    </w:p>
    <w:p w14:paraId="33073A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本合同执行中相关的一切税费均由乙方负担。</w:t>
      </w:r>
    </w:p>
    <w:p w14:paraId="1478B9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11.货物包装、发运及运输</w:t>
      </w:r>
    </w:p>
    <w:p w14:paraId="6F9E5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11.1乙方在货物发运前对其进行满足运输距离、防潮、防震、</w:t>
      </w:r>
      <w:r>
        <w:rPr>
          <w:rFonts w:hint="eastAsia" w:ascii="仿宋" w:hAnsi="仿宋" w:eastAsia="仿宋" w:cs="仿宋"/>
          <w:color w:val="auto"/>
          <w:spacing w:val="-1"/>
          <w:sz w:val="24"/>
          <w:szCs w:val="24"/>
        </w:rPr>
        <w:t>防锈和防破损装卸等要求包装，以保证货物安全运达甲方指定地点</w:t>
      </w:r>
    </w:p>
    <w:p w14:paraId="5E2B9B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11.2使用说明书、质量检验证明书、随配附件和工具</w:t>
      </w:r>
      <w:r>
        <w:rPr>
          <w:rFonts w:hint="eastAsia" w:ascii="仿宋" w:hAnsi="仿宋" w:eastAsia="仿宋" w:cs="仿宋"/>
          <w:color w:val="auto"/>
          <w:spacing w:val="-2"/>
          <w:sz w:val="24"/>
          <w:szCs w:val="24"/>
        </w:rPr>
        <w:t>以及清单</w:t>
      </w:r>
      <w:r>
        <w:rPr>
          <w:rFonts w:hint="eastAsia" w:ascii="仿宋" w:hAnsi="仿宋" w:eastAsia="仿宋" w:cs="仿宋"/>
          <w:color w:val="auto"/>
          <w:spacing w:val="-7"/>
          <w:sz w:val="24"/>
          <w:szCs w:val="24"/>
        </w:rPr>
        <w:t>一并附于货物内。</w:t>
      </w:r>
    </w:p>
    <w:p w14:paraId="08E4D8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11.3乙方在货物发运手续办理完毕后24小时内或货到甲方4</w:t>
      </w:r>
      <w:r>
        <w:rPr>
          <w:rFonts w:hint="eastAsia" w:ascii="仿宋" w:hAnsi="仿宋" w:eastAsia="仿宋" w:cs="仿宋"/>
          <w:color w:val="auto"/>
          <w:spacing w:val="-2"/>
          <w:sz w:val="24"/>
          <w:szCs w:val="24"/>
        </w:rPr>
        <w:t>8小</w:t>
      </w:r>
      <w:r>
        <w:rPr>
          <w:rFonts w:hint="eastAsia" w:ascii="仿宋" w:hAnsi="仿宋" w:eastAsia="仿宋" w:cs="仿宋"/>
          <w:color w:val="auto"/>
          <w:spacing w:val="-5"/>
          <w:sz w:val="24"/>
          <w:szCs w:val="24"/>
        </w:rPr>
        <w:t>时前通知甲方，以准备接货。</w:t>
      </w:r>
    </w:p>
    <w:p w14:paraId="5BF8DE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11.4货物在交付甲方前发生的风险均由乙方负责。</w:t>
      </w:r>
    </w:p>
    <w:p w14:paraId="3ADE76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11.5货物在规定的交付期限内由乙方送达甲方指定的</w:t>
      </w:r>
      <w:r>
        <w:rPr>
          <w:rFonts w:hint="eastAsia" w:ascii="仿宋" w:hAnsi="仿宋" w:eastAsia="仿宋" w:cs="仿宋"/>
          <w:color w:val="auto"/>
          <w:spacing w:val="-2"/>
          <w:sz w:val="24"/>
          <w:szCs w:val="24"/>
        </w:rPr>
        <w:t>地点视为</w:t>
      </w:r>
      <w:r>
        <w:rPr>
          <w:rFonts w:hint="eastAsia" w:ascii="仿宋" w:hAnsi="仿宋" w:eastAsia="仿宋" w:cs="仿宋"/>
          <w:color w:val="auto"/>
          <w:spacing w:val="-3"/>
          <w:sz w:val="24"/>
          <w:szCs w:val="24"/>
        </w:rPr>
        <w:t>交付，乙方同时需通知甲方货物已送达。</w:t>
      </w:r>
    </w:p>
    <w:p w14:paraId="1A3B03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12.质量保证及售后服务</w:t>
      </w:r>
    </w:p>
    <w:p w14:paraId="043E0C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12.1乙方提供的货物是全新、未使用过的，并完全符</w:t>
      </w:r>
      <w:r>
        <w:rPr>
          <w:rFonts w:hint="eastAsia" w:ascii="仿宋" w:hAnsi="仿宋" w:eastAsia="仿宋" w:cs="仿宋"/>
          <w:color w:val="auto"/>
          <w:spacing w:val="-2"/>
          <w:sz w:val="24"/>
          <w:szCs w:val="24"/>
        </w:rPr>
        <w:t>合强制性</w:t>
      </w:r>
      <w:r>
        <w:rPr>
          <w:rFonts w:hint="eastAsia" w:ascii="仿宋" w:hAnsi="仿宋" w:eastAsia="仿宋" w:cs="仿宋"/>
          <w:color w:val="auto"/>
          <w:spacing w:val="-1"/>
          <w:sz w:val="24"/>
          <w:szCs w:val="24"/>
        </w:rPr>
        <w:t>的国家技术质量规范和采购文件规定的质量、规格、性能和技术规</w:t>
      </w:r>
      <w:r>
        <w:rPr>
          <w:rFonts w:hint="eastAsia" w:ascii="仿宋" w:hAnsi="仿宋" w:eastAsia="仿宋" w:cs="仿宋"/>
          <w:color w:val="auto"/>
          <w:spacing w:val="-9"/>
          <w:sz w:val="24"/>
          <w:szCs w:val="24"/>
        </w:rPr>
        <w:t>范等的要求。</w:t>
      </w:r>
    </w:p>
    <w:p w14:paraId="23037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12.2乙方提供的货物经正确安装、正常运转和保养，</w:t>
      </w:r>
      <w:r>
        <w:rPr>
          <w:rFonts w:hint="eastAsia" w:ascii="仿宋" w:hAnsi="仿宋" w:eastAsia="仿宋" w:cs="仿宋"/>
          <w:color w:val="auto"/>
          <w:spacing w:val="-2"/>
          <w:sz w:val="24"/>
          <w:szCs w:val="24"/>
        </w:rPr>
        <w:t>在其使用</w:t>
      </w:r>
      <w:r>
        <w:rPr>
          <w:rFonts w:hint="eastAsia" w:ascii="仿宋" w:hAnsi="仿宋" w:eastAsia="仿宋" w:cs="仿宋"/>
          <w:color w:val="auto"/>
          <w:spacing w:val="-1"/>
          <w:sz w:val="24"/>
          <w:szCs w:val="24"/>
        </w:rPr>
        <w:t>寿命期内须具有符合质量要求和产品说明书的性能。在货物质量保证期之内，乙方须对由于设计、工艺或材料的缺陷而发生的任何不</w:t>
      </w:r>
      <w:r>
        <w:rPr>
          <w:rFonts w:hint="eastAsia" w:ascii="仿宋" w:hAnsi="仿宋" w:eastAsia="仿宋" w:cs="仿宋"/>
          <w:color w:val="auto"/>
          <w:spacing w:val="-7"/>
          <w:sz w:val="24"/>
          <w:szCs w:val="24"/>
        </w:rPr>
        <w:t>足或故障负责。</w:t>
      </w:r>
    </w:p>
    <w:p w14:paraId="415C33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12.3根据甲方按检验标准自己检验结果或委托有资质</w:t>
      </w:r>
      <w:r>
        <w:rPr>
          <w:rFonts w:hint="eastAsia" w:ascii="仿宋" w:hAnsi="仿宋" w:eastAsia="仿宋" w:cs="仿宋"/>
          <w:color w:val="auto"/>
          <w:spacing w:val="-2"/>
          <w:sz w:val="24"/>
          <w:szCs w:val="24"/>
        </w:rPr>
        <w:t>的相关质</w:t>
      </w:r>
      <w:r>
        <w:rPr>
          <w:rFonts w:hint="eastAsia" w:ascii="仿宋" w:hAnsi="仿宋" w:eastAsia="仿宋" w:cs="仿宋"/>
          <w:color w:val="auto"/>
          <w:spacing w:val="-1"/>
          <w:sz w:val="24"/>
          <w:szCs w:val="24"/>
        </w:rPr>
        <w:t>检机构的检验结果，发现货物的数量、质量、规格与合同或样品及样品小样不符；或者在质量保证期内，证实货物存在缺陷，包括潜在的缺陷或使用不符合要求的材料等，甲方应尽快以书面形式通知</w:t>
      </w:r>
      <w:r>
        <w:rPr>
          <w:rFonts w:hint="eastAsia" w:ascii="仿宋" w:hAnsi="仿宋" w:eastAsia="仿宋" w:cs="仿宋"/>
          <w:color w:val="auto"/>
          <w:spacing w:val="-2"/>
          <w:sz w:val="24"/>
          <w:szCs w:val="24"/>
        </w:rPr>
        <w:t>乙方。乙方在收到通知后日内应免费维修</w:t>
      </w:r>
      <w:r>
        <w:rPr>
          <w:rFonts w:hint="eastAsia" w:ascii="仿宋" w:hAnsi="仿宋" w:eastAsia="仿宋" w:cs="仿宋"/>
          <w:color w:val="auto"/>
          <w:spacing w:val="-3"/>
          <w:sz w:val="24"/>
          <w:szCs w:val="24"/>
        </w:rPr>
        <w:t>或更换有缺陷的货物或</w:t>
      </w:r>
      <w:r>
        <w:rPr>
          <w:rFonts w:hint="eastAsia" w:ascii="仿宋" w:hAnsi="仿宋" w:eastAsia="仿宋" w:cs="仿宋"/>
          <w:color w:val="auto"/>
          <w:spacing w:val="-2"/>
          <w:sz w:val="24"/>
          <w:szCs w:val="24"/>
        </w:rPr>
        <w:t>部件。如果乙方在收到通知后日内没有弥</w:t>
      </w:r>
      <w:r>
        <w:rPr>
          <w:rFonts w:hint="eastAsia" w:ascii="仿宋" w:hAnsi="仿宋" w:eastAsia="仿宋" w:cs="仿宋"/>
          <w:color w:val="auto"/>
          <w:spacing w:val="-3"/>
          <w:sz w:val="24"/>
          <w:szCs w:val="24"/>
        </w:rPr>
        <w:t>补缺陷，甲方可采取必</w:t>
      </w:r>
      <w:r>
        <w:rPr>
          <w:rFonts w:hint="eastAsia" w:ascii="仿宋" w:hAnsi="仿宋" w:eastAsia="仿宋" w:cs="仿宋"/>
          <w:color w:val="auto"/>
          <w:spacing w:val="-2"/>
          <w:sz w:val="24"/>
          <w:szCs w:val="24"/>
        </w:rPr>
        <w:t>要的补救措施，但由此引发的风险和费用将由乙方承担。</w:t>
      </w:r>
    </w:p>
    <w:p w14:paraId="55DB25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12.4合同项下货物的质量保证期为自货物通过最终验收起个月</w:t>
      </w:r>
      <w:r>
        <w:rPr>
          <w:rFonts w:hint="eastAsia" w:ascii="仿宋" w:hAnsi="仿宋" w:eastAsia="仿宋" w:cs="仿宋"/>
          <w:color w:val="auto"/>
          <w:spacing w:val="4"/>
          <w:sz w:val="24"/>
          <w:szCs w:val="24"/>
        </w:rPr>
        <w:t>,在质保期内，因人为因素出现故障外，乙方</w:t>
      </w:r>
      <w:r>
        <w:rPr>
          <w:rFonts w:hint="eastAsia" w:ascii="仿宋" w:hAnsi="仿宋" w:eastAsia="仿宋" w:cs="仿宋"/>
          <w:color w:val="auto"/>
          <w:spacing w:val="3"/>
          <w:sz w:val="24"/>
          <w:szCs w:val="24"/>
        </w:rPr>
        <w:t>对货物出现的质量及</w:t>
      </w:r>
      <w:r>
        <w:rPr>
          <w:rFonts w:hint="eastAsia" w:ascii="仿宋" w:hAnsi="仿宋" w:eastAsia="仿宋" w:cs="仿宋"/>
          <w:color w:val="auto"/>
          <w:spacing w:val="-3"/>
          <w:sz w:val="24"/>
          <w:szCs w:val="24"/>
        </w:rPr>
        <w:t>安全问题负责处理解决并承担一切费用。</w:t>
      </w:r>
    </w:p>
    <w:p w14:paraId="77C1F5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12.5合同项下货物免费保修期为质量保证期满后个月，因人为</w:t>
      </w:r>
      <w:r>
        <w:rPr>
          <w:rFonts w:hint="eastAsia" w:ascii="仿宋" w:hAnsi="仿宋" w:eastAsia="仿宋" w:cs="仿宋"/>
          <w:color w:val="auto"/>
          <w:spacing w:val="-1"/>
          <w:sz w:val="24"/>
          <w:szCs w:val="24"/>
        </w:rPr>
        <w:t>因素出现的故障不在免费保修范围内。对超过保修期的货物终生维</w:t>
      </w:r>
      <w:r>
        <w:rPr>
          <w:rFonts w:hint="eastAsia" w:ascii="仿宋" w:hAnsi="仿宋" w:eastAsia="仿宋" w:cs="仿宋"/>
          <w:color w:val="auto"/>
          <w:spacing w:val="-4"/>
          <w:sz w:val="24"/>
          <w:szCs w:val="24"/>
        </w:rPr>
        <w:t>修，维修时只收部件成本费。</w:t>
      </w:r>
    </w:p>
    <w:p w14:paraId="461414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12.6在使用过程中发生故障，乙方在接到甲方通知后在小时内</w:t>
      </w:r>
      <w:r>
        <w:rPr>
          <w:rFonts w:hint="eastAsia" w:ascii="仿宋" w:hAnsi="仿宋" w:eastAsia="仿宋" w:cs="仿宋"/>
          <w:color w:val="auto"/>
          <w:spacing w:val="-5"/>
          <w:sz w:val="24"/>
          <w:szCs w:val="24"/>
        </w:rPr>
        <w:t>到达甲方现场，小时内解除故障。</w:t>
      </w:r>
    </w:p>
    <w:p w14:paraId="661DD4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13.调试和验收</w:t>
      </w:r>
    </w:p>
    <w:p w14:paraId="52A3B7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13.1乙方交货前对产品作出全面检查和对验收文件进行整</w:t>
      </w:r>
      <w:r>
        <w:rPr>
          <w:rFonts w:hint="eastAsia" w:ascii="仿宋" w:hAnsi="仿宋" w:eastAsia="仿宋" w:cs="仿宋"/>
          <w:color w:val="auto"/>
          <w:spacing w:val="-2"/>
          <w:sz w:val="24"/>
          <w:szCs w:val="24"/>
        </w:rPr>
        <w:t>理，并</w:t>
      </w:r>
      <w:r>
        <w:rPr>
          <w:rFonts w:hint="eastAsia" w:ascii="仿宋" w:hAnsi="仿宋" w:eastAsia="仿宋" w:cs="仿宋"/>
          <w:color w:val="auto"/>
          <w:spacing w:val="-1"/>
          <w:sz w:val="24"/>
          <w:szCs w:val="24"/>
        </w:rPr>
        <w:t>列出清单，作为甲方收货验收和使用的技术条件依据，检验的结果</w:t>
      </w:r>
      <w:r>
        <w:rPr>
          <w:rFonts w:hint="eastAsia" w:ascii="仿宋" w:hAnsi="仿宋" w:eastAsia="仿宋" w:cs="仿宋"/>
          <w:color w:val="auto"/>
          <w:spacing w:val="-6"/>
          <w:sz w:val="24"/>
          <w:szCs w:val="24"/>
        </w:rPr>
        <w:t>应随货物交甲方。</w:t>
      </w:r>
    </w:p>
    <w:p w14:paraId="4FFF10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13.2货物运抵现场后，甲方依据采购文件上的技术规</w:t>
      </w:r>
      <w:r>
        <w:rPr>
          <w:rFonts w:hint="eastAsia" w:ascii="仿宋" w:hAnsi="仿宋" w:eastAsia="仿宋" w:cs="仿宋"/>
          <w:color w:val="auto"/>
          <w:spacing w:val="-2"/>
          <w:sz w:val="24"/>
          <w:szCs w:val="24"/>
        </w:rPr>
        <w:t>格要求和</w:t>
      </w:r>
      <w:r>
        <w:rPr>
          <w:rFonts w:hint="eastAsia" w:ascii="仿宋" w:hAnsi="仿宋" w:eastAsia="仿宋" w:cs="仿宋"/>
          <w:color w:val="auto"/>
          <w:spacing w:val="-1"/>
          <w:sz w:val="24"/>
          <w:szCs w:val="24"/>
        </w:rPr>
        <w:t>国家有关质量标准在3个工作日内组织初步验收，并制作</w:t>
      </w:r>
      <w:r>
        <w:rPr>
          <w:rFonts w:hint="eastAsia" w:ascii="仿宋" w:hAnsi="仿宋" w:eastAsia="仿宋" w:cs="仿宋"/>
          <w:color w:val="auto"/>
          <w:spacing w:val="-2"/>
          <w:sz w:val="24"/>
          <w:szCs w:val="24"/>
        </w:rPr>
        <w:t>验收备忘录</w:t>
      </w:r>
      <w:r>
        <w:rPr>
          <w:rFonts w:hint="eastAsia" w:ascii="仿宋" w:hAnsi="仿宋" w:eastAsia="仿宋" w:cs="仿宋"/>
          <w:color w:val="auto"/>
          <w:spacing w:val="3"/>
          <w:sz w:val="24"/>
          <w:szCs w:val="24"/>
        </w:rPr>
        <w:t>,签署验收意见。初步验收不合格的不予签收。</w:t>
      </w:r>
    </w:p>
    <w:p w14:paraId="2C3190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13.3甲方对乙方提供的货物在使用前进行调试时，乙</w:t>
      </w:r>
      <w:r>
        <w:rPr>
          <w:rFonts w:hint="eastAsia" w:ascii="仿宋" w:hAnsi="仿宋" w:eastAsia="仿宋" w:cs="仿宋"/>
          <w:color w:val="auto"/>
          <w:spacing w:val="-2"/>
          <w:sz w:val="24"/>
          <w:szCs w:val="24"/>
        </w:rPr>
        <w:t>方负责安</w:t>
      </w:r>
      <w:r>
        <w:rPr>
          <w:rFonts w:hint="eastAsia" w:ascii="仿宋" w:hAnsi="仿宋" w:eastAsia="仿宋" w:cs="仿宋"/>
          <w:color w:val="auto"/>
          <w:spacing w:val="-1"/>
          <w:sz w:val="24"/>
          <w:szCs w:val="24"/>
        </w:rPr>
        <w:t>装并培训甲方的使用操作人员，并协助甲方一起调试，直到符合技</w:t>
      </w:r>
      <w:r>
        <w:rPr>
          <w:rFonts w:hint="eastAsia" w:ascii="仿宋" w:hAnsi="仿宋" w:eastAsia="仿宋" w:cs="仿宋"/>
          <w:color w:val="auto"/>
          <w:spacing w:val="-3"/>
          <w:sz w:val="24"/>
          <w:szCs w:val="24"/>
        </w:rPr>
        <w:t>术要求，甲方才做最终验收并签署验收意见。</w:t>
      </w:r>
    </w:p>
    <w:p w14:paraId="119BA2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13.4对大型或技术复杂的货物，甲方应邀请国家认可</w:t>
      </w:r>
      <w:r>
        <w:rPr>
          <w:rFonts w:hint="eastAsia" w:ascii="仿宋" w:hAnsi="仿宋" w:eastAsia="仿宋" w:cs="仿宋"/>
          <w:color w:val="auto"/>
          <w:spacing w:val="-2"/>
          <w:sz w:val="24"/>
          <w:szCs w:val="24"/>
        </w:rPr>
        <w:t>的专业检测机构参与初步验收及最终验收，并由其出具质量检测报告。</w:t>
      </w:r>
    </w:p>
    <w:p w14:paraId="433047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13.5验收时乙方必须在现场，验收完毕后作出验收结果报告。</w:t>
      </w:r>
      <w:r>
        <w:rPr>
          <w:rFonts w:hint="eastAsia" w:ascii="仿宋" w:hAnsi="仿宋" w:eastAsia="仿宋" w:cs="仿宋"/>
          <w:color w:val="auto"/>
          <w:spacing w:val="-5"/>
          <w:sz w:val="24"/>
          <w:szCs w:val="24"/>
        </w:rPr>
        <w:t>验收费用由乙方负责。</w:t>
      </w:r>
    </w:p>
    <w:p w14:paraId="11FCD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14.索赔</w:t>
      </w:r>
    </w:p>
    <w:p w14:paraId="219BE8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14.1如果货物的质量、规格、数量、重量等与合同或样品</w:t>
      </w:r>
      <w:r>
        <w:rPr>
          <w:rFonts w:hint="eastAsia" w:ascii="仿宋" w:hAnsi="仿宋" w:eastAsia="仿宋" w:cs="仿宋"/>
          <w:color w:val="auto"/>
          <w:spacing w:val="-2"/>
          <w:sz w:val="24"/>
          <w:szCs w:val="24"/>
        </w:rPr>
        <w:t>及样品</w:t>
      </w:r>
      <w:r>
        <w:rPr>
          <w:rFonts w:hint="eastAsia" w:ascii="仿宋" w:hAnsi="仿宋" w:eastAsia="仿宋" w:cs="仿宋"/>
          <w:color w:val="auto"/>
          <w:spacing w:val="-1"/>
          <w:sz w:val="24"/>
          <w:szCs w:val="24"/>
        </w:rPr>
        <w:t>小样不符，或在质量保证期内证实货物存有缺陷，包括潜在的缺陷或使用不符合要求的材料等，甲方有权根据有资质的权威质检机构的检验结果向乙方提出索赔(但责任应由保险公司或运输部门承担的</w:t>
      </w:r>
      <w:r>
        <w:rPr>
          <w:rFonts w:hint="eastAsia" w:ascii="仿宋" w:hAnsi="仿宋" w:eastAsia="仿宋" w:cs="仿宋"/>
          <w:color w:val="auto"/>
          <w:spacing w:val="-10"/>
          <w:sz w:val="24"/>
          <w:szCs w:val="24"/>
        </w:rPr>
        <w:t>除外)。</w:t>
      </w:r>
    </w:p>
    <w:p w14:paraId="21776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14.2在根据合同第12条和第13条规定的检验期和质量保证期内，</w:t>
      </w:r>
      <w:r>
        <w:rPr>
          <w:rFonts w:hint="eastAsia" w:ascii="仿宋" w:hAnsi="仿宋" w:eastAsia="仿宋" w:cs="仿宋"/>
          <w:color w:val="auto"/>
          <w:spacing w:val="-1"/>
          <w:sz w:val="24"/>
          <w:szCs w:val="24"/>
        </w:rPr>
        <w:t>如果乙方对甲方提出的索赔负有责任，乙方应按照甲方同意的下列</w:t>
      </w:r>
      <w:r>
        <w:rPr>
          <w:rFonts w:hint="eastAsia" w:ascii="仿宋" w:hAnsi="仿宋" w:eastAsia="仿宋" w:cs="仿宋"/>
          <w:color w:val="auto"/>
          <w:spacing w:val="-6"/>
          <w:sz w:val="24"/>
          <w:szCs w:val="24"/>
        </w:rPr>
        <w:t>一种或多种方式解决索赔事宜：</w:t>
      </w:r>
    </w:p>
    <w:p w14:paraId="0D7229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14.2.1在法定的退货期内，甲方将货物款退还给乙方，乙方</w:t>
      </w:r>
      <w:r>
        <w:rPr>
          <w:rFonts w:hint="eastAsia" w:ascii="仿宋" w:hAnsi="仿宋" w:eastAsia="仿宋" w:cs="仿宋"/>
          <w:color w:val="auto"/>
          <w:spacing w:val="-2"/>
          <w:sz w:val="24"/>
          <w:szCs w:val="24"/>
        </w:rPr>
        <w:t>按合</w:t>
      </w:r>
      <w:r>
        <w:rPr>
          <w:rFonts w:hint="eastAsia" w:ascii="仿宋" w:hAnsi="仿宋" w:eastAsia="仿宋" w:cs="仿宋"/>
          <w:color w:val="auto"/>
          <w:spacing w:val="-1"/>
          <w:sz w:val="24"/>
          <w:szCs w:val="24"/>
        </w:rPr>
        <w:t>同规定将货款退还给甲方，并承担由此发生的一切损失和费用，包括利息、银行手续费、运费、保险费、检验费、仓储费、装卸费以及为保护退回货物所需的其它必要费用。如已超过退货期，但乙方</w:t>
      </w:r>
      <w:r>
        <w:rPr>
          <w:rFonts w:hint="eastAsia" w:ascii="仿宋" w:hAnsi="仿宋" w:eastAsia="仿宋" w:cs="仿宋"/>
          <w:color w:val="auto"/>
          <w:spacing w:val="-2"/>
          <w:sz w:val="24"/>
          <w:szCs w:val="24"/>
        </w:rPr>
        <w:t>同意退货，可比照上述办法办理，或由双方协商处</w:t>
      </w:r>
      <w:r>
        <w:rPr>
          <w:rFonts w:hint="eastAsia" w:ascii="仿宋" w:hAnsi="仿宋" w:eastAsia="仿宋" w:cs="仿宋"/>
          <w:color w:val="auto"/>
          <w:spacing w:val="-3"/>
          <w:sz w:val="24"/>
          <w:szCs w:val="24"/>
        </w:rPr>
        <w:t>理。</w:t>
      </w:r>
    </w:p>
    <w:p w14:paraId="57E77E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14.2.2根据货物低劣程度、损坏程度以及甲方所遭受损失的</w:t>
      </w:r>
      <w:r>
        <w:rPr>
          <w:rFonts w:hint="eastAsia" w:ascii="仿宋" w:hAnsi="仿宋" w:eastAsia="仿宋" w:cs="仿宋"/>
          <w:color w:val="auto"/>
          <w:spacing w:val="-2"/>
          <w:sz w:val="24"/>
          <w:szCs w:val="24"/>
        </w:rPr>
        <w:t>数额</w:t>
      </w:r>
      <w:r>
        <w:rPr>
          <w:rFonts w:hint="eastAsia" w:ascii="仿宋" w:hAnsi="仿宋" w:eastAsia="仿宋" w:cs="仿宋"/>
          <w:color w:val="auto"/>
          <w:spacing w:val="3"/>
          <w:sz w:val="24"/>
          <w:szCs w:val="24"/>
        </w:rPr>
        <w:t>,经双方商定降低货物的价格，或由有权的部门评估，以降低后的</w:t>
      </w:r>
      <w:r>
        <w:rPr>
          <w:rFonts w:hint="eastAsia" w:ascii="仿宋" w:hAnsi="仿宋" w:eastAsia="仿宋" w:cs="仿宋"/>
          <w:color w:val="auto"/>
          <w:spacing w:val="-5"/>
          <w:sz w:val="24"/>
          <w:szCs w:val="24"/>
        </w:rPr>
        <w:t>价格或评估价格为准。</w:t>
      </w:r>
    </w:p>
    <w:p w14:paraId="1FD13A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14.2.3用符合规格、质量和性能要求的新零件、部件或货物</w:t>
      </w:r>
      <w:r>
        <w:rPr>
          <w:rFonts w:hint="eastAsia" w:ascii="仿宋" w:hAnsi="仿宋" w:eastAsia="仿宋" w:cs="仿宋"/>
          <w:color w:val="auto"/>
          <w:spacing w:val="-2"/>
          <w:sz w:val="24"/>
          <w:szCs w:val="24"/>
        </w:rPr>
        <w:t>来更</w:t>
      </w:r>
      <w:r>
        <w:rPr>
          <w:rFonts w:hint="eastAsia" w:ascii="仿宋" w:hAnsi="仿宋" w:eastAsia="仿宋" w:cs="仿宋"/>
          <w:color w:val="auto"/>
          <w:spacing w:val="-1"/>
          <w:sz w:val="24"/>
          <w:szCs w:val="24"/>
        </w:rPr>
        <w:t>换有缺陷的部分或/和修补缺陷部分，乙方承担一切费用和风险并负</w:t>
      </w:r>
      <w:r>
        <w:rPr>
          <w:rFonts w:hint="eastAsia" w:ascii="仿宋" w:hAnsi="仿宋" w:eastAsia="仿宋" w:cs="仿宋"/>
          <w:color w:val="auto"/>
          <w:spacing w:val="-3"/>
          <w:sz w:val="24"/>
          <w:szCs w:val="24"/>
        </w:rPr>
        <w:t>担甲方所发生的一切直接费用。同时，乙方应按合同第12条规定，相应延长修补或更换件的质量保证期。</w:t>
      </w:r>
    </w:p>
    <w:p w14:paraId="69A79C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14.2.4如果在甲方发出索赔通知后日内，乙方未作答复，</w:t>
      </w:r>
      <w:r>
        <w:rPr>
          <w:rFonts w:hint="eastAsia" w:ascii="仿宋" w:hAnsi="仿宋" w:eastAsia="仿宋" w:cs="仿宋"/>
          <w:color w:val="auto"/>
          <w:spacing w:val="-4"/>
          <w:sz w:val="24"/>
          <w:szCs w:val="24"/>
        </w:rPr>
        <w:t>上述</w:t>
      </w:r>
      <w:r>
        <w:rPr>
          <w:rFonts w:hint="eastAsia" w:ascii="仿宋" w:hAnsi="仿宋" w:eastAsia="仿宋" w:cs="仿宋"/>
          <w:color w:val="auto"/>
          <w:spacing w:val="-3"/>
          <w:sz w:val="24"/>
          <w:szCs w:val="24"/>
        </w:rPr>
        <w:t>索赔应视为已被乙方接受。如乙方未能在甲方提出索赔通知后日内</w:t>
      </w:r>
      <w:r>
        <w:rPr>
          <w:rFonts w:hint="eastAsia" w:ascii="仿宋" w:hAnsi="仿宋" w:eastAsia="仿宋" w:cs="仿宋"/>
          <w:color w:val="auto"/>
          <w:spacing w:val="-1"/>
          <w:sz w:val="24"/>
          <w:szCs w:val="24"/>
        </w:rPr>
        <w:t>或买方同意的更长时间内，按照本合同第14.2条规定的任何一种方法解决索赔事宜，甲方将从合同款中扣回索赔金额。如果这些金额</w:t>
      </w:r>
      <w:r>
        <w:rPr>
          <w:rFonts w:hint="eastAsia" w:ascii="仿宋" w:hAnsi="仿宋" w:eastAsia="仿宋" w:cs="仿宋"/>
          <w:color w:val="auto"/>
          <w:spacing w:val="-2"/>
          <w:sz w:val="24"/>
          <w:szCs w:val="24"/>
        </w:rPr>
        <w:t>不足以补偿索赔金额，甲方有权向乙方提出不足部分的补偿。</w:t>
      </w:r>
    </w:p>
    <w:p w14:paraId="4B6877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15.违约责任</w:t>
      </w:r>
    </w:p>
    <w:p w14:paraId="4AFCED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15.1甲方无正当理由拒收货物的，甲方向乙方偿付拒</w:t>
      </w:r>
      <w:r>
        <w:rPr>
          <w:rFonts w:hint="eastAsia" w:ascii="仿宋" w:hAnsi="仿宋" w:eastAsia="仿宋" w:cs="仿宋"/>
          <w:color w:val="auto"/>
          <w:spacing w:val="-2"/>
          <w:sz w:val="24"/>
          <w:szCs w:val="24"/>
        </w:rPr>
        <w:t>收货款总</w:t>
      </w:r>
      <w:r>
        <w:rPr>
          <w:rFonts w:hint="eastAsia" w:ascii="仿宋" w:hAnsi="仿宋" w:eastAsia="仿宋" w:cs="仿宋"/>
          <w:color w:val="auto"/>
          <w:spacing w:val="-5"/>
          <w:sz w:val="24"/>
          <w:szCs w:val="24"/>
        </w:rPr>
        <w:t>值的百分之五违约金。</w:t>
      </w:r>
    </w:p>
    <w:p w14:paraId="42EEE9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15.2甲方无故逾期验收和办理货款支付手续的,甲方按逾</w:t>
      </w:r>
      <w:r>
        <w:rPr>
          <w:rFonts w:hint="eastAsia" w:ascii="仿宋" w:hAnsi="仿宋" w:eastAsia="仿宋" w:cs="仿宋"/>
          <w:color w:val="auto"/>
          <w:spacing w:val="-2"/>
          <w:sz w:val="24"/>
          <w:szCs w:val="24"/>
        </w:rPr>
        <w:t>期付款</w:t>
      </w:r>
      <w:r>
        <w:rPr>
          <w:rFonts w:hint="eastAsia" w:ascii="仿宋" w:hAnsi="仿宋" w:eastAsia="仿宋" w:cs="仿宋"/>
          <w:color w:val="auto"/>
          <w:spacing w:val="-4"/>
          <w:sz w:val="24"/>
          <w:szCs w:val="24"/>
        </w:rPr>
        <w:t>总额每日万分之五向乙方支付违约金。</w:t>
      </w:r>
    </w:p>
    <w:p w14:paraId="1E7348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15.3乙方逾期交付货物的，乙方按逾期交货总额每日</w:t>
      </w:r>
      <w:r>
        <w:rPr>
          <w:rFonts w:hint="eastAsia" w:ascii="仿宋" w:hAnsi="仿宋" w:eastAsia="仿宋" w:cs="仿宋"/>
          <w:color w:val="auto"/>
          <w:spacing w:val="-2"/>
          <w:sz w:val="24"/>
          <w:szCs w:val="24"/>
        </w:rPr>
        <w:t>万分之五</w:t>
      </w:r>
      <w:r>
        <w:rPr>
          <w:rFonts w:hint="eastAsia" w:ascii="仿宋" w:hAnsi="仿宋" w:eastAsia="仿宋" w:cs="仿宋"/>
          <w:color w:val="auto"/>
          <w:spacing w:val="-1"/>
          <w:sz w:val="24"/>
          <w:szCs w:val="24"/>
        </w:rPr>
        <w:t>向甲方支付违约金。逾期超过约定日期10个工作日不能交货的，甲方有权选择同意延长交货期或解除本合同。甲方同意延长交货期的</w:t>
      </w:r>
      <w:r>
        <w:rPr>
          <w:rFonts w:hint="eastAsia" w:ascii="仿宋" w:hAnsi="仿宋" w:eastAsia="仿宋" w:cs="仿宋"/>
          <w:color w:val="auto"/>
          <w:spacing w:val="4"/>
          <w:sz w:val="24"/>
          <w:szCs w:val="24"/>
        </w:rPr>
        <w:t>,延期交货的时间由双方另行确定。乙方仍按上述规定向甲方支付</w:t>
      </w:r>
      <w:r>
        <w:rPr>
          <w:rFonts w:hint="eastAsia" w:ascii="仿宋" w:hAnsi="仿宋" w:eastAsia="仿宋" w:cs="仿宋"/>
          <w:color w:val="auto"/>
          <w:spacing w:val="-1"/>
          <w:sz w:val="24"/>
          <w:szCs w:val="24"/>
        </w:rPr>
        <w:t>延期交货违约金。违约金由甲方从待付货款中扣除。乙方因逾期交货或因其他违约行为导致甲方解除合同的，乙方向甲方支付合同总值5%的违约金，如造成甲方损失超过违约金的，超出部分由乙方继</w:t>
      </w:r>
      <w:r>
        <w:rPr>
          <w:rFonts w:hint="eastAsia" w:ascii="仿宋" w:hAnsi="仿宋" w:eastAsia="仿宋" w:cs="仿宋"/>
          <w:color w:val="auto"/>
          <w:spacing w:val="-6"/>
          <w:sz w:val="24"/>
          <w:szCs w:val="24"/>
        </w:rPr>
        <w:t>续承担赔偿责任。</w:t>
      </w:r>
    </w:p>
    <w:p w14:paraId="0428F1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16.不可抗力事件处理</w:t>
      </w:r>
    </w:p>
    <w:p w14:paraId="38A255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16.1因不可抗力造成违约的，遭受不可抗力一方应及</w:t>
      </w:r>
      <w:r>
        <w:rPr>
          <w:rFonts w:hint="eastAsia" w:ascii="仿宋" w:hAnsi="仿宋" w:eastAsia="仿宋" w:cs="仿宋"/>
          <w:color w:val="auto"/>
          <w:spacing w:val="-2"/>
          <w:sz w:val="24"/>
          <w:szCs w:val="24"/>
        </w:rPr>
        <w:t>时向对方</w:t>
      </w:r>
      <w:r>
        <w:rPr>
          <w:rFonts w:hint="eastAsia" w:ascii="仿宋" w:hAnsi="仿宋" w:eastAsia="仿宋" w:cs="仿宋"/>
          <w:color w:val="auto"/>
          <w:spacing w:val="-1"/>
          <w:sz w:val="24"/>
          <w:szCs w:val="24"/>
        </w:rPr>
        <w:t>通报不能履行或不能完全履行的理由，并在随后取得有关权威机构</w:t>
      </w:r>
      <w:r>
        <w:rPr>
          <w:rFonts w:hint="eastAsia" w:ascii="仿宋" w:hAnsi="仿宋" w:eastAsia="仿宋" w:cs="仿宋"/>
          <w:color w:val="auto"/>
          <w:sz w:val="24"/>
          <w:szCs w:val="24"/>
        </w:rPr>
        <w:t>出具的证明后的15日内向另一方提供不可</w:t>
      </w:r>
      <w:r>
        <w:rPr>
          <w:rFonts w:hint="eastAsia" w:ascii="仿宋" w:hAnsi="仿宋" w:eastAsia="仿宋" w:cs="仿宋"/>
          <w:color w:val="auto"/>
          <w:spacing w:val="-1"/>
          <w:sz w:val="24"/>
          <w:szCs w:val="24"/>
        </w:rPr>
        <w:t>抗力发生以及持续期间的充分证据。基本于以上行为，允许遭受不可抗力一方延期履行、部分履行或者不履行合同，并根据情况可部分或全部免于承担违约责</w:t>
      </w:r>
      <w:r>
        <w:rPr>
          <w:rFonts w:hint="eastAsia" w:ascii="仿宋" w:hAnsi="仿宋" w:eastAsia="仿宋" w:cs="仿宋"/>
          <w:color w:val="auto"/>
          <w:spacing w:val="-13"/>
          <w:sz w:val="24"/>
          <w:szCs w:val="24"/>
        </w:rPr>
        <w:t>任。</w:t>
      </w:r>
    </w:p>
    <w:p w14:paraId="5EA201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16.2本合同中的不可抗力指不能预见、不能避免并不</w:t>
      </w:r>
      <w:r>
        <w:rPr>
          <w:rFonts w:hint="eastAsia" w:ascii="仿宋" w:hAnsi="仿宋" w:eastAsia="仿宋" w:cs="仿宋"/>
          <w:color w:val="auto"/>
          <w:spacing w:val="-2"/>
          <w:sz w:val="24"/>
          <w:szCs w:val="24"/>
        </w:rPr>
        <w:t>能克服的</w:t>
      </w:r>
      <w:r>
        <w:rPr>
          <w:rFonts w:hint="eastAsia" w:ascii="仿宋" w:hAnsi="仿宋" w:eastAsia="仿宋" w:cs="仿宋"/>
          <w:color w:val="auto"/>
          <w:spacing w:val="-1"/>
          <w:sz w:val="24"/>
          <w:szCs w:val="24"/>
        </w:rPr>
        <w:t>客观情况。包括但不限于：自然灾害如地震、台风、洪水、火灾；政府行为、法律规定或其适用的变化或者其他任何无法预见、避免</w:t>
      </w:r>
      <w:r>
        <w:rPr>
          <w:rFonts w:hint="eastAsia" w:ascii="仿宋" w:hAnsi="仿宋" w:eastAsia="仿宋" w:cs="仿宋"/>
          <w:color w:val="auto"/>
          <w:spacing w:val="-6"/>
          <w:sz w:val="24"/>
          <w:szCs w:val="24"/>
        </w:rPr>
        <w:t>或者控制的事件。</w:t>
      </w:r>
    </w:p>
    <w:p w14:paraId="2B03B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17.合同纠纷处理</w:t>
      </w:r>
    </w:p>
    <w:p w14:paraId="271F88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因本合同或与本合同有关的一切事项发生争议</w:t>
      </w:r>
      <w:r>
        <w:rPr>
          <w:rFonts w:hint="eastAsia" w:ascii="仿宋" w:hAnsi="仿宋" w:eastAsia="仿宋" w:cs="仿宋"/>
          <w:color w:val="auto"/>
          <w:spacing w:val="-2"/>
          <w:sz w:val="24"/>
          <w:szCs w:val="24"/>
        </w:rPr>
        <w:t>，由双方友好协</w:t>
      </w:r>
      <w:r>
        <w:rPr>
          <w:rFonts w:hint="eastAsia" w:ascii="仿宋" w:hAnsi="仿宋" w:eastAsia="仿宋" w:cs="仿宋"/>
          <w:color w:val="auto"/>
          <w:spacing w:val="-3"/>
          <w:sz w:val="24"/>
          <w:szCs w:val="24"/>
        </w:rPr>
        <w:t>商解决。协商不成的，任何一方均可选择以下方式解</w:t>
      </w:r>
      <w:r>
        <w:rPr>
          <w:rFonts w:hint="eastAsia" w:ascii="仿宋" w:hAnsi="仿宋" w:eastAsia="仿宋" w:cs="仿宋"/>
          <w:color w:val="auto"/>
          <w:spacing w:val="-4"/>
          <w:sz w:val="24"/>
          <w:szCs w:val="24"/>
        </w:rPr>
        <w:t>决：</w:t>
      </w:r>
    </w:p>
    <w:p w14:paraId="29BD6C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17.1向甲方所在地仲裁委员会申请仲裁。</w:t>
      </w:r>
    </w:p>
    <w:p w14:paraId="40EA2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17.2向合同签订地人民法院提起诉讼。</w:t>
      </w:r>
    </w:p>
    <w:p w14:paraId="168BC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18.违约解除合同</w:t>
      </w:r>
    </w:p>
    <w:p w14:paraId="0183B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18.1在乙方违约的情况下，甲方可向乙方发出书面通</w:t>
      </w:r>
      <w:r>
        <w:rPr>
          <w:rFonts w:hint="eastAsia" w:ascii="仿宋" w:hAnsi="仿宋" w:eastAsia="仿宋" w:cs="仿宋"/>
          <w:color w:val="auto"/>
          <w:spacing w:val="-2"/>
          <w:sz w:val="24"/>
          <w:szCs w:val="24"/>
        </w:rPr>
        <w:t>知，部分</w:t>
      </w:r>
      <w:r>
        <w:rPr>
          <w:rFonts w:hint="eastAsia" w:ascii="仿宋" w:hAnsi="仿宋" w:eastAsia="仿宋" w:cs="仿宋"/>
          <w:color w:val="auto"/>
          <w:spacing w:val="-3"/>
          <w:sz w:val="24"/>
          <w:szCs w:val="24"/>
        </w:rPr>
        <w:t>或全部终止合同，同时保留向对方追诉的权利。</w:t>
      </w:r>
    </w:p>
    <w:p w14:paraId="5E4FC6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18.1.1乙方未能在合同规定的限期或甲方同意延长的限</w:t>
      </w:r>
      <w:r>
        <w:rPr>
          <w:rFonts w:hint="eastAsia" w:ascii="仿宋" w:hAnsi="仿宋" w:eastAsia="仿宋" w:cs="仿宋"/>
          <w:color w:val="auto"/>
          <w:spacing w:val="-2"/>
          <w:sz w:val="24"/>
          <w:szCs w:val="24"/>
        </w:rPr>
        <w:t>期内提供全部或部分货物，按合同第15.3的规定可以解除合同的。</w:t>
      </w:r>
    </w:p>
    <w:p w14:paraId="1F57C3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18.1.2乙方有转让和未经甲方同意的分包行为，按合同第7.3的</w:t>
      </w:r>
      <w:r>
        <w:rPr>
          <w:rFonts w:hint="eastAsia" w:ascii="仿宋" w:hAnsi="仿宋" w:eastAsia="仿宋" w:cs="仿宋"/>
          <w:color w:val="auto"/>
          <w:spacing w:val="-5"/>
          <w:sz w:val="24"/>
          <w:szCs w:val="24"/>
        </w:rPr>
        <w:t>规定可以解除合同的。</w:t>
      </w:r>
    </w:p>
    <w:p w14:paraId="2AA85E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18.1.3乙方未能履行合同规定的其它主要义务的。</w:t>
      </w:r>
    </w:p>
    <w:p w14:paraId="3C56C6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18.1.4在本合同履行过程中有腐败和欺诈行为的。</w:t>
      </w:r>
    </w:p>
    <w:p w14:paraId="71670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18.2在甲方根据上述笫18.1条规定，全部或部分解除合同</w:t>
      </w:r>
      <w:r>
        <w:rPr>
          <w:rFonts w:hint="eastAsia" w:ascii="仿宋" w:hAnsi="仿宋" w:eastAsia="仿宋" w:cs="仿宋"/>
          <w:color w:val="auto"/>
          <w:spacing w:val="-2"/>
          <w:sz w:val="24"/>
          <w:szCs w:val="24"/>
        </w:rPr>
        <w:t>之后</w:t>
      </w:r>
      <w:r>
        <w:rPr>
          <w:rFonts w:hint="eastAsia" w:ascii="仿宋" w:hAnsi="仿宋" w:eastAsia="仿宋" w:cs="仿宋"/>
          <w:color w:val="auto"/>
          <w:spacing w:val="3"/>
          <w:sz w:val="24"/>
          <w:szCs w:val="24"/>
        </w:rPr>
        <w:t>,应当遵循诚实信用原则，全部或部分购买与未交付的货物类似的</w:t>
      </w:r>
      <w:r>
        <w:rPr>
          <w:rFonts w:hint="eastAsia" w:ascii="仿宋" w:hAnsi="仿宋" w:eastAsia="仿宋" w:cs="仿宋"/>
          <w:color w:val="auto"/>
          <w:spacing w:val="-1"/>
          <w:sz w:val="24"/>
          <w:szCs w:val="24"/>
        </w:rPr>
        <w:t>货物或服务，乙方应承担甲方购买类似货物或服务而产生的额外支</w:t>
      </w:r>
      <w:r>
        <w:rPr>
          <w:rFonts w:hint="eastAsia" w:ascii="仿宋" w:hAnsi="仿宋" w:eastAsia="仿宋" w:cs="仿宋"/>
          <w:color w:val="auto"/>
          <w:spacing w:val="-2"/>
          <w:sz w:val="24"/>
          <w:szCs w:val="24"/>
        </w:rPr>
        <w:t>出。部分解除合同的，乙方应继续履行合同中未解除</w:t>
      </w:r>
      <w:r>
        <w:rPr>
          <w:rFonts w:hint="eastAsia" w:ascii="仿宋" w:hAnsi="仿宋" w:eastAsia="仿宋" w:cs="仿宋"/>
          <w:color w:val="auto"/>
          <w:spacing w:val="-3"/>
          <w:sz w:val="24"/>
          <w:szCs w:val="24"/>
        </w:rPr>
        <w:t>的部分。</w:t>
      </w:r>
    </w:p>
    <w:p w14:paraId="0DA07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19.其他约定</w:t>
      </w:r>
    </w:p>
    <w:p w14:paraId="6B56D9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19.1本采购项目的采购文件、成交供应商的响应文件</w:t>
      </w:r>
      <w:r>
        <w:rPr>
          <w:rFonts w:hint="eastAsia" w:ascii="仿宋" w:hAnsi="仿宋" w:eastAsia="仿宋" w:cs="仿宋"/>
          <w:color w:val="auto"/>
          <w:spacing w:val="-2"/>
          <w:sz w:val="24"/>
          <w:szCs w:val="24"/>
        </w:rPr>
        <w:t>以及相关</w:t>
      </w:r>
      <w:r>
        <w:rPr>
          <w:rFonts w:hint="eastAsia" w:ascii="仿宋" w:hAnsi="仿宋" w:eastAsia="仿宋" w:cs="仿宋"/>
          <w:color w:val="auto"/>
          <w:spacing w:val="-1"/>
          <w:sz w:val="24"/>
          <w:szCs w:val="24"/>
        </w:rPr>
        <w:t>的澄清确认函（如果有的话）均为本合同不可分割的一部分，与本</w:t>
      </w:r>
      <w:r>
        <w:rPr>
          <w:rFonts w:hint="eastAsia" w:ascii="仿宋" w:hAnsi="仿宋" w:eastAsia="仿宋" w:cs="仿宋"/>
          <w:color w:val="auto"/>
          <w:spacing w:val="-5"/>
          <w:sz w:val="24"/>
          <w:szCs w:val="24"/>
        </w:rPr>
        <w:t>合同具有同等法律效力。</w:t>
      </w:r>
    </w:p>
    <w:p w14:paraId="5BACB3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19.2本合同未尽事宜，双方另行补充。</w:t>
      </w:r>
    </w:p>
    <w:p w14:paraId="24D81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19.3本合同正本一式份，具有同等法律效力，甲、乙双方各</w:t>
      </w:r>
      <w:r>
        <w:rPr>
          <w:rFonts w:hint="eastAsia" w:ascii="仿宋" w:hAnsi="仿宋" w:eastAsia="仿宋" w:cs="仿宋"/>
          <w:color w:val="auto"/>
          <w:spacing w:val="-1"/>
          <w:sz w:val="24"/>
          <w:szCs w:val="24"/>
        </w:rPr>
        <w:t>执一份。自采购合同签订之日起7个工作日内，甲方按照有关规定将</w:t>
      </w:r>
      <w:r>
        <w:rPr>
          <w:rFonts w:hint="eastAsia" w:ascii="仿宋" w:hAnsi="仿宋" w:eastAsia="仿宋" w:cs="仿宋"/>
          <w:color w:val="auto"/>
          <w:spacing w:val="-4"/>
          <w:sz w:val="24"/>
          <w:szCs w:val="24"/>
        </w:rPr>
        <w:t>合同副本报同级财政部门备案。</w:t>
      </w:r>
    </w:p>
    <w:p w14:paraId="6D3753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19.4签定地点：</w:t>
      </w:r>
    </w:p>
    <w:p w14:paraId="1FDA2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3"/>
          <w:sz w:val="24"/>
          <w:szCs w:val="24"/>
        </w:rPr>
        <w:t>甲方：乙方：</w:t>
      </w:r>
    </w:p>
    <w:p w14:paraId="05614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单位地址：单位地址：</w:t>
      </w:r>
    </w:p>
    <w:p w14:paraId="2C163E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法定代表人：法定代表人：</w:t>
      </w:r>
    </w:p>
    <w:p w14:paraId="3CF6A4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委托代理人：委托代理人：</w:t>
      </w:r>
    </w:p>
    <w:p w14:paraId="758EF6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23"/>
          <w:sz w:val="24"/>
          <w:szCs w:val="24"/>
        </w:rPr>
        <w:t>电话：电话：</w:t>
      </w:r>
    </w:p>
    <w:p w14:paraId="3692DC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z w:val="24"/>
          <w:szCs w:val="24"/>
        </w:rPr>
      </w:pPr>
    </w:p>
    <w:p w14:paraId="789368C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z w:val="24"/>
          <w:szCs w:val="24"/>
        </w:rPr>
      </w:pPr>
    </w:p>
    <w:p w14:paraId="47C9F3D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z w:val="24"/>
          <w:szCs w:val="24"/>
        </w:rPr>
      </w:pPr>
    </w:p>
    <w:p w14:paraId="0D939F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签订日期：年月日</w:t>
      </w:r>
    </w:p>
    <w:p w14:paraId="4B038547">
      <w:pPr>
        <w:pStyle w:val="3"/>
        <w:spacing w:line="260" w:lineRule="auto"/>
        <w:rPr>
          <w:color w:val="auto"/>
        </w:rPr>
      </w:pPr>
    </w:p>
    <w:p w14:paraId="79C32581">
      <w:pPr>
        <w:rPr>
          <w:rFonts w:ascii="宋体" w:hAnsi="宋体" w:eastAsia="宋体" w:cs="宋体"/>
          <w:b/>
          <w:bCs/>
          <w:color w:val="auto"/>
          <w:spacing w:val="-7"/>
          <w:sz w:val="32"/>
          <w:szCs w:val="32"/>
        </w:rPr>
      </w:pPr>
      <w:r>
        <w:rPr>
          <w:rFonts w:ascii="宋体" w:hAnsi="宋体" w:eastAsia="宋体" w:cs="宋体"/>
          <w:b/>
          <w:bCs/>
          <w:color w:val="auto"/>
          <w:spacing w:val="-7"/>
          <w:sz w:val="32"/>
          <w:szCs w:val="32"/>
        </w:rPr>
        <w:br w:type="page"/>
      </w:r>
    </w:p>
    <w:p w14:paraId="0BD3F120">
      <w:pPr>
        <w:spacing w:before="104" w:line="219" w:lineRule="auto"/>
        <w:ind w:left="2296"/>
        <w:rPr>
          <w:rFonts w:ascii="宋体" w:hAnsi="宋体" w:eastAsia="宋体" w:cs="宋体"/>
          <w:color w:val="auto"/>
          <w:sz w:val="32"/>
          <w:szCs w:val="32"/>
        </w:rPr>
      </w:pPr>
      <w:r>
        <w:rPr>
          <w:rFonts w:ascii="宋体" w:hAnsi="宋体" w:eastAsia="宋体" w:cs="宋体"/>
          <w:b/>
          <w:bCs/>
          <w:color w:val="auto"/>
          <w:spacing w:val="-7"/>
          <w:sz w:val="32"/>
          <w:szCs w:val="32"/>
        </w:rPr>
        <w:t>第五章附件--响应性文件格式</w:t>
      </w:r>
    </w:p>
    <w:p w14:paraId="3099B4DB">
      <w:pPr>
        <w:pStyle w:val="3"/>
        <w:spacing w:line="276" w:lineRule="auto"/>
        <w:rPr>
          <w:color w:val="auto"/>
        </w:rPr>
      </w:pPr>
    </w:p>
    <w:p w14:paraId="1A801772">
      <w:pPr>
        <w:pStyle w:val="3"/>
        <w:spacing w:line="276" w:lineRule="auto"/>
        <w:rPr>
          <w:color w:val="auto"/>
        </w:rPr>
      </w:pPr>
    </w:p>
    <w:p w14:paraId="500DD76D">
      <w:pPr>
        <w:spacing w:before="78" w:line="220" w:lineRule="auto"/>
        <w:rPr>
          <w:rFonts w:ascii="宋体" w:hAnsi="宋体" w:eastAsia="宋体" w:cs="宋体"/>
          <w:color w:val="auto"/>
          <w:sz w:val="24"/>
          <w:szCs w:val="24"/>
        </w:rPr>
      </w:pPr>
      <w:r>
        <w:rPr>
          <w:rFonts w:ascii="宋体" w:hAnsi="宋体" w:eastAsia="宋体" w:cs="宋体"/>
          <w:color w:val="auto"/>
          <w:spacing w:val="-15"/>
          <w:sz w:val="24"/>
          <w:szCs w:val="24"/>
        </w:rPr>
        <w:t>注释：</w:t>
      </w:r>
    </w:p>
    <w:p w14:paraId="5B943933">
      <w:pPr>
        <w:spacing w:before="215" w:line="386" w:lineRule="auto"/>
        <w:ind w:left="4" w:firstLine="478"/>
        <w:rPr>
          <w:rFonts w:ascii="宋体" w:hAnsi="宋体" w:eastAsia="宋体" w:cs="宋体"/>
          <w:color w:val="auto"/>
          <w:sz w:val="24"/>
          <w:szCs w:val="24"/>
        </w:rPr>
      </w:pPr>
      <w:r>
        <w:rPr>
          <w:rFonts w:ascii="宋体" w:hAnsi="宋体" w:eastAsia="宋体" w:cs="宋体"/>
          <w:color w:val="auto"/>
          <w:spacing w:val="-1"/>
          <w:sz w:val="24"/>
          <w:szCs w:val="24"/>
        </w:rPr>
        <w:t>《响应性文件格式》是供应商的部分响应性文件格式和签订合同时所需文件的格</w:t>
      </w:r>
      <w:r>
        <w:rPr>
          <w:rFonts w:ascii="宋体" w:hAnsi="宋体" w:eastAsia="宋体" w:cs="宋体"/>
          <w:color w:val="auto"/>
          <w:spacing w:val="-3"/>
          <w:sz w:val="24"/>
          <w:szCs w:val="24"/>
        </w:rPr>
        <w:t>式。供应商应按照这些格式文件制作响应性文件。</w:t>
      </w:r>
    </w:p>
    <w:p w14:paraId="7332C997">
      <w:pPr>
        <w:pStyle w:val="3"/>
        <w:spacing w:line="291" w:lineRule="auto"/>
        <w:rPr>
          <w:color w:val="auto"/>
        </w:rPr>
      </w:pPr>
    </w:p>
    <w:p w14:paraId="21195833">
      <w:pPr>
        <w:spacing w:before="97" w:line="222" w:lineRule="auto"/>
        <w:ind w:left="4142"/>
        <w:rPr>
          <w:rFonts w:ascii="宋体" w:hAnsi="宋体" w:eastAsia="宋体" w:cs="宋体"/>
          <w:color w:val="auto"/>
          <w:sz w:val="30"/>
          <w:szCs w:val="30"/>
        </w:rPr>
      </w:pPr>
      <w:r>
        <w:rPr>
          <w:rFonts w:ascii="宋体" w:hAnsi="宋体" w:eastAsia="宋体" w:cs="宋体"/>
          <w:b/>
          <w:bCs/>
          <w:color w:val="auto"/>
          <w:spacing w:val="-38"/>
          <w:sz w:val="30"/>
          <w:szCs w:val="30"/>
        </w:rPr>
        <w:t>目录</w:t>
      </w:r>
    </w:p>
    <w:p w14:paraId="1CBCFFB5">
      <w:pPr>
        <w:pStyle w:val="3"/>
        <w:spacing w:line="248" w:lineRule="auto"/>
        <w:rPr>
          <w:color w:val="auto"/>
        </w:rPr>
      </w:pPr>
    </w:p>
    <w:p w14:paraId="75F81966">
      <w:pPr>
        <w:spacing w:before="78" w:line="219" w:lineRule="auto"/>
        <w:ind w:left="1908"/>
        <w:rPr>
          <w:rFonts w:ascii="宋体" w:hAnsi="宋体" w:eastAsia="宋体" w:cs="宋体"/>
          <w:color w:val="auto"/>
          <w:sz w:val="24"/>
          <w:szCs w:val="24"/>
        </w:rPr>
      </w:pPr>
      <w:r>
        <w:rPr>
          <w:rFonts w:ascii="宋体" w:hAnsi="宋体" w:eastAsia="宋体" w:cs="宋体"/>
          <w:color w:val="auto"/>
          <w:spacing w:val="-3"/>
          <w:sz w:val="24"/>
          <w:szCs w:val="24"/>
        </w:rPr>
        <w:t>附件1响应性谈判文件封面（格式）</w:t>
      </w:r>
    </w:p>
    <w:p w14:paraId="4EFB1A49">
      <w:pPr>
        <w:spacing w:before="215" w:line="219" w:lineRule="auto"/>
        <w:ind w:left="1908"/>
        <w:rPr>
          <w:rFonts w:ascii="宋体" w:hAnsi="宋体" w:eastAsia="宋体" w:cs="宋体"/>
          <w:color w:val="auto"/>
          <w:sz w:val="24"/>
          <w:szCs w:val="24"/>
        </w:rPr>
      </w:pPr>
      <w:r>
        <w:rPr>
          <w:rFonts w:ascii="宋体" w:hAnsi="宋体" w:eastAsia="宋体" w:cs="宋体"/>
          <w:color w:val="auto"/>
          <w:spacing w:val="-3"/>
          <w:sz w:val="24"/>
          <w:szCs w:val="24"/>
        </w:rPr>
        <w:t>附件2竞争性谈判响应书（格式）</w:t>
      </w:r>
    </w:p>
    <w:p w14:paraId="003C1BCD">
      <w:pPr>
        <w:spacing w:before="215" w:line="218" w:lineRule="auto"/>
        <w:ind w:left="1908"/>
        <w:rPr>
          <w:rFonts w:ascii="宋体" w:hAnsi="宋体" w:eastAsia="宋体" w:cs="宋体"/>
          <w:color w:val="auto"/>
          <w:sz w:val="24"/>
          <w:szCs w:val="24"/>
        </w:rPr>
      </w:pPr>
      <w:r>
        <w:rPr>
          <w:rFonts w:ascii="宋体" w:hAnsi="宋体" w:eastAsia="宋体" w:cs="宋体"/>
          <w:color w:val="auto"/>
          <w:spacing w:val="-1"/>
          <w:sz w:val="24"/>
          <w:szCs w:val="24"/>
        </w:rPr>
        <w:t>附件3初次报价一览表（格式）</w:t>
      </w:r>
    </w:p>
    <w:p w14:paraId="3AF7907F">
      <w:pPr>
        <w:spacing w:before="217" w:line="219" w:lineRule="auto"/>
        <w:ind w:left="1908"/>
        <w:rPr>
          <w:rFonts w:ascii="宋体" w:hAnsi="宋体" w:eastAsia="宋体" w:cs="宋体"/>
          <w:color w:val="auto"/>
          <w:sz w:val="24"/>
          <w:szCs w:val="24"/>
        </w:rPr>
      </w:pPr>
      <w:r>
        <w:rPr>
          <w:rFonts w:ascii="宋体" w:hAnsi="宋体" w:eastAsia="宋体" w:cs="宋体"/>
          <w:color w:val="auto"/>
          <w:spacing w:val="-3"/>
          <w:sz w:val="24"/>
          <w:szCs w:val="24"/>
        </w:rPr>
        <w:t>附件4法定代表人身份证明（格式）</w:t>
      </w:r>
    </w:p>
    <w:p w14:paraId="448F7571">
      <w:pPr>
        <w:spacing w:before="215" w:line="219" w:lineRule="auto"/>
        <w:ind w:left="1908"/>
        <w:rPr>
          <w:rFonts w:ascii="宋体" w:hAnsi="宋体" w:eastAsia="宋体" w:cs="宋体"/>
          <w:color w:val="auto"/>
          <w:sz w:val="24"/>
          <w:szCs w:val="24"/>
        </w:rPr>
      </w:pPr>
      <w:r>
        <w:rPr>
          <w:rFonts w:ascii="宋体" w:hAnsi="宋体" w:eastAsia="宋体" w:cs="宋体"/>
          <w:color w:val="auto"/>
          <w:spacing w:val="-1"/>
          <w:sz w:val="24"/>
          <w:szCs w:val="24"/>
        </w:rPr>
        <w:t>附件5法定代表人授权书（格式）</w:t>
      </w:r>
    </w:p>
    <w:p w14:paraId="44397C7C">
      <w:pPr>
        <w:spacing w:before="216" w:line="218" w:lineRule="auto"/>
        <w:ind w:left="1908"/>
        <w:rPr>
          <w:rFonts w:hint="eastAsia" w:ascii="宋体" w:hAnsi="宋体" w:eastAsia="宋体" w:cs="宋体"/>
          <w:color w:val="auto"/>
          <w:sz w:val="24"/>
          <w:szCs w:val="24"/>
          <w:lang w:eastAsia="zh-CN"/>
        </w:rPr>
      </w:pPr>
      <w:r>
        <w:rPr>
          <w:rFonts w:ascii="宋体" w:hAnsi="宋体" w:eastAsia="宋体" w:cs="宋体"/>
          <w:color w:val="auto"/>
          <w:spacing w:val="-6"/>
          <w:sz w:val="24"/>
          <w:szCs w:val="24"/>
        </w:rPr>
        <w:t>附件6</w:t>
      </w:r>
      <w:r>
        <w:rPr>
          <w:rFonts w:hint="eastAsia" w:ascii="宋体" w:hAnsi="宋体" w:eastAsia="宋体" w:cs="宋体"/>
          <w:color w:val="auto"/>
          <w:spacing w:val="-6"/>
          <w:sz w:val="24"/>
          <w:szCs w:val="24"/>
          <w:lang w:eastAsia="zh-CN"/>
        </w:rPr>
        <w:t>报价明细表</w:t>
      </w:r>
    </w:p>
    <w:p w14:paraId="61D32C7A">
      <w:pPr>
        <w:spacing w:before="216" w:line="219" w:lineRule="auto"/>
        <w:ind w:left="1908"/>
        <w:rPr>
          <w:rFonts w:ascii="宋体" w:hAnsi="宋体" w:eastAsia="宋体" w:cs="宋体"/>
          <w:color w:val="auto"/>
          <w:sz w:val="24"/>
          <w:szCs w:val="24"/>
        </w:rPr>
      </w:pPr>
      <w:r>
        <w:rPr>
          <w:rFonts w:ascii="宋体" w:hAnsi="宋体" w:eastAsia="宋体" w:cs="宋体"/>
          <w:color w:val="auto"/>
          <w:spacing w:val="-4"/>
          <w:sz w:val="24"/>
          <w:szCs w:val="24"/>
        </w:rPr>
        <w:t>附件7证明文件</w:t>
      </w:r>
    </w:p>
    <w:p w14:paraId="79B5C65E">
      <w:pPr>
        <w:spacing w:before="215" w:line="219" w:lineRule="auto"/>
        <w:ind w:left="1908"/>
        <w:rPr>
          <w:rFonts w:ascii="宋体" w:hAnsi="宋体" w:eastAsia="宋体" w:cs="宋体"/>
          <w:color w:val="auto"/>
          <w:sz w:val="24"/>
          <w:szCs w:val="24"/>
        </w:rPr>
      </w:pPr>
      <w:r>
        <w:rPr>
          <w:rFonts w:ascii="宋体" w:hAnsi="宋体" w:eastAsia="宋体" w:cs="宋体"/>
          <w:color w:val="auto"/>
          <w:spacing w:val="-3"/>
          <w:sz w:val="24"/>
          <w:szCs w:val="24"/>
        </w:rPr>
        <w:t>附件8抵制商业贿赂承诺（格式）</w:t>
      </w:r>
    </w:p>
    <w:p w14:paraId="224832C9">
      <w:pPr>
        <w:spacing w:before="215" w:line="219" w:lineRule="auto"/>
        <w:ind w:left="1908"/>
        <w:rPr>
          <w:rFonts w:ascii="宋体" w:hAnsi="宋体" w:eastAsia="宋体" w:cs="宋体"/>
          <w:color w:val="auto"/>
          <w:sz w:val="24"/>
          <w:szCs w:val="24"/>
        </w:rPr>
      </w:pPr>
      <w:r>
        <w:rPr>
          <w:rFonts w:ascii="宋体" w:hAnsi="宋体" w:eastAsia="宋体" w:cs="宋体"/>
          <w:color w:val="auto"/>
          <w:spacing w:val="-1"/>
          <w:sz w:val="24"/>
          <w:szCs w:val="24"/>
        </w:rPr>
        <w:t>附件</w:t>
      </w:r>
      <w:r>
        <w:rPr>
          <w:rFonts w:hint="eastAsia" w:ascii="宋体" w:hAnsi="宋体" w:eastAsia="宋体" w:cs="宋体"/>
          <w:color w:val="auto"/>
          <w:spacing w:val="-1"/>
          <w:sz w:val="24"/>
          <w:szCs w:val="24"/>
          <w:lang w:val="en-US" w:eastAsia="zh-CN"/>
        </w:rPr>
        <w:t>9</w:t>
      </w:r>
      <w:r>
        <w:rPr>
          <w:rFonts w:ascii="宋体" w:hAnsi="宋体" w:eastAsia="宋体" w:cs="宋体"/>
          <w:color w:val="auto"/>
          <w:spacing w:val="-1"/>
          <w:sz w:val="24"/>
          <w:szCs w:val="24"/>
        </w:rPr>
        <w:t>驻马店市政府采购合同融资金融机构</w:t>
      </w:r>
      <w:r>
        <w:rPr>
          <w:rFonts w:ascii="宋体" w:hAnsi="宋体" w:eastAsia="宋体" w:cs="宋体"/>
          <w:color w:val="auto"/>
          <w:spacing w:val="-2"/>
          <w:sz w:val="24"/>
          <w:szCs w:val="24"/>
        </w:rPr>
        <w:t>联系方式</w:t>
      </w:r>
    </w:p>
    <w:p w14:paraId="7E51C0FB">
      <w:pPr>
        <w:spacing w:line="219" w:lineRule="auto"/>
        <w:rPr>
          <w:rFonts w:ascii="宋体" w:hAnsi="宋体" w:eastAsia="宋体" w:cs="宋体"/>
          <w:color w:val="auto"/>
          <w:sz w:val="24"/>
          <w:szCs w:val="24"/>
        </w:rPr>
        <w:sectPr>
          <w:headerReference r:id="rId11" w:type="default"/>
          <w:footerReference r:id="rId12" w:type="default"/>
          <w:pgSz w:w="11900" w:h="16839"/>
          <w:pgMar w:top="1440" w:right="1800" w:bottom="1440" w:left="1800" w:header="0" w:footer="219" w:gutter="0"/>
          <w:cols w:space="720" w:num="1"/>
        </w:sectPr>
      </w:pPr>
    </w:p>
    <w:p w14:paraId="62CA1091">
      <w:pPr>
        <w:pStyle w:val="3"/>
        <w:spacing w:line="250" w:lineRule="auto"/>
        <w:rPr>
          <w:color w:val="auto"/>
        </w:rPr>
      </w:pPr>
    </w:p>
    <w:p w14:paraId="5CAC49E8">
      <w:pPr>
        <w:spacing w:before="91" w:line="219" w:lineRule="auto"/>
        <w:ind w:left="1464"/>
        <w:rPr>
          <w:rFonts w:ascii="宋体" w:hAnsi="宋体" w:eastAsia="宋体" w:cs="宋体"/>
          <w:color w:val="auto"/>
          <w:sz w:val="28"/>
          <w:szCs w:val="28"/>
        </w:rPr>
      </w:pPr>
      <w:r>
        <w:rPr>
          <w:rFonts w:ascii="宋体" w:hAnsi="宋体" w:eastAsia="宋体" w:cs="宋体"/>
          <w:b/>
          <w:bCs/>
          <w:color w:val="auto"/>
          <w:spacing w:val="-7"/>
          <w:sz w:val="28"/>
          <w:szCs w:val="28"/>
        </w:rPr>
        <w:t>附件1响应性谈判文件封面</w:t>
      </w:r>
      <w:r>
        <w:rPr>
          <w:rFonts w:ascii="宋体" w:hAnsi="宋体" w:eastAsia="宋体" w:cs="宋体"/>
          <w:color w:val="auto"/>
          <w:spacing w:val="-7"/>
          <w:sz w:val="28"/>
          <w:szCs w:val="28"/>
        </w:rPr>
        <w:t>（格式）</w:t>
      </w:r>
    </w:p>
    <w:p w14:paraId="77F2DBF1">
      <w:pPr>
        <w:pStyle w:val="3"/>
        <w:spacing w:line="316" w:lineRule="auto"/>
        <w:rPr>
          <w:color w:val="auto"/>
        </w:rPr>
      </w:pPr>
    </w:p>
    <w:p w14:paraId="34897197">
      <w:pPr>
        <w:pStyle w:val="3"/>
        <w:spacing w:line="316" w:lineRule="auto"/>
        <w:rPr>
          <w:color w:val="auto"/>
        </w:rPr>
      </w:pPr>
    </w:p>
    <w:p w14:paraId="1EB56653">
      <w:pPr>
        <w:pStyle w:val="3"/>
        <w:spacing w:line="317" w:lineRule="auto"/>
        <w:rPr>
          <w:color w:val="auto"/>
        </w:rPr>
      </w:pPr>
    </w:p>
    <w:p w14:paraId="23C9CA7D">
      <w:pPr>
        <w:tabs>
          <w:tab w:val="left" w:pos="4527"/>
        </w:tabs>
        <w:spacing w:before="91" w:line="220" w:lineRule="auto"/>
        <w:ind w:left="2142"/>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3"/>
          <w:sz w:val="28"/>
          <w:szCs w:val="28"/>
        </w:rPr>
        <w:t>（项目名称）</w:t>
      </w:r>
    </w:p>
    <w:p w14:paraId="55AD3633">
      <w:pPr>
        <w:pStyle w:val="3"/>
        <w:spacing w:line="254" w:lineRule="auto"/>
        <w:rPr>
          <w:color w:val="auto"/>
        </w:rPr>
      </w:pPr>
    </w:p>
    <w:p w14:paraId="182C841C">
      <w:pPr>
        <w:pStyle w:val="3"/>
        <w:spacing w:line="254" w:lineRule="auto"/>
        <w:rPr>
          <w:color w:val="auto"/>
        </w:rPr>
      </w:pPr>
    </w:p>
    <w:p w14:paraId="260911C5">
      <w:pPr>
        <w:pStyle w:val="3"/>
        <w:spacing w:line="254" w:lineRule="auto"/>
        <w:rPr>
          <w:color w:val="auto"/>
        </w:rPr>
      </w:pPr>
    </w:p>
    <w:p w14:paraId="748561FB">
      <w:pPr>
        <w:pStyle w:val="3"/>
        <w:spacing w:line="254" w:lineRule="auto"/>
        <w:rPr>
          <w:color w:val="auto"/>
        </w:rPr>
      </w:pPr>
    </w:p>
    <w:p w14:paraId="266CC04A">
      <w:pPr>
        <w:pStyle w:val="3"/>
        <w:spacing w:line="254" w:lineRule="auto"/>
        <w:rPr>
          <w:color w:val="auto"/>
        </w:rPr>
      </w:pPr>
    </w:p>
    <w:p w14:paraId="172FACDA">
      <w:pPr>
        <w:pStyle w:val="3"/>
        <w:spacing w:line="255" w:lineRule="auto"/>
        <w:rPr>
          <w:color w:val="auto"/>
        </w:rPr>
      </w:pPr>
    </w:p>
    <w:p w14:paraId="1813EA9C">
      <w:pPr>
        <w:pStyle w:val="3"/>
        <w:spacing w:line="255" w:lineRule="auto"/>
        <w:rPr>
          <w:color w:val="auto"/>
        </w:rPr>
      </w:pPr>
    </w:p>
    <w:p w14:paraId="046DEAB2">
      <w:pPr>
        <w:pStyle w:val="3"/>
        <w:spacing w:line="255" w:lineRule="auto"/>
        <w:rPr>
          <w:color w:val="auto"/>
        </w:rPr>
      </w:pPr>
    </w:p>
    <w:p w14:paraId="2259F65C">
      <w:pPr>
        <w:pStyle w:val="3"/>
        <w:spacing w:line="255" w:lineRule="auto"/>
        <w:rPr>
          <w:color w:val="auto"/>
        </w:rPr>
      </w:pPr>
    </w:p>
    <w:p w14:paraId="4D6DAA97">
      <w:pPr>
        <w:pStyle w:val="3"/>
        <w:spacing w:line="255" w:lineRule="auto"/>
        <w:rPr>
          <w:color w:val="auto"/>
        </w:rPr>
      </w:pPr>
    </w:p>
    <w:p w14:paraId="14926265">
      <w:pPr>
        <w:pStyle w:val="3"/>
        <w:spacing w:line="255" w:lineRule="auto"/>
        <w:rPr>
          <w:color w:val="auto"/>
        </w:rPr>
      </w:pPr>
    </w:p>
    <w:p w14:paraId="6C930B8E">
      <w:pPr>
        <w:spacing w:before="169" w:line="220" w:lineRule="auto"/>
        <w:ind w:left="2372"/>
        <w:rPr>
          <w:rFonts w:ascii="宋体" w:hAnsi="宋体" w:eastAsia="宋体" w:cs="宋体"/>
          <w:color w:val="auto"/>
          <w:sz w:val="52"/>
          <w:szCs w:val="52"/>
        </w:rPr>
      </w:pPr>
      <w:r>
        <w:rPr>
          <w:rFonts w:ascii="宋体" w:hAnsi="宋体" w:eastAsia="宋体" w:cs="宋体"/>
          <w:b/>
          <w:bCs/>
          <w:color w:val="auto"/>
          <w:spacing w:val="-9"/>
          <w:sz w:val="52"/>
          <w:szCs w:val="52"/>
        </w:rPr>
        <w:t>竞争性谈判文件</w:t>
      </w:r>
    </w:p>
    <w:p w14:paraId="68E4DA9A">
      <w:pPr>
        <w:pStyle w:val="3"/>
        <w:spacing w:line="285" w:lineRule="auto"/>
        <w:rPr>
          <w:color w:val="auto"/>
        </w:rPr>
      </w:pPr>
    </w:p>
    <w:p w14:paraId="310A66D3">
      <w:pPr>
        <w:pStyle w:val="3"/>
        <w:spacing w:line="285" w:lineRule="auto"/>
        <w:rPr>
          <w:color w:val="auto"/>
        </w:rPr>
      </w:pPr>
    </w:p>
    <w:p w14:paraId="132B4324">
      <w:pPr>
        <w:spacing w:before="91" w:line="220" w:lineRule="auto"/>
        <w:ind w:left="1728"/>
        <w:rPr>
          <w:rFonts w:ascii="宋体" w:hAnsi="宋体" w:eastAsia="宋体" w:cs="宋体"/>
          <w:color w:val="auto"/>
          <w:sz w:val="28"/>
          <w:szCs w:val="28"/>
        </w:rPr>
      </w:pPr>
      <w:r>
        <w:rPr>
          <w:rFonts w:ascii="宋体" w:hAnsi="宋体" w:eastAsia="宋体" w:cs="宋体"/>
          <w:b/>
          <w:bCs/>
          <w:color w:val="auto"/>
          <w:spacing w:val="-16"/>
          <w:sz w:val="28"/>
          <w:szCs w:val="28"/>
        </w:rPr>
        <w:t>项目编号：</w:t>
      </w:r>
    </w:p>
    <w:p w14:paraId="3E6468AD">
      <w:pPr>
        <w:pStyle w:val="3"/>
        <w:spacing w:line="253" w:lineRule="auto"/>
        <w:rPr>
          <w:color w:val="auto"/>
        </w:rPr>
      </w:pPr>
    </w:p>
    <w:p w14:paraId="442DBF7E">
      <w:pPr>
        <w:pStyle w:val="3"/>
        <w:spacing w:line="253" w:lineRule="auto"/>
        <w:rPr>
          <w:color w:val="auto"/>
        </w:rPr>
      </w:pPr>
    </w:p>
    <w:p w14:paraId="1E6ED4A8">
      <w:pPr>
        <w:pStyle w:val="3"/>
        <w:spacing w:line="253" w:lineRule="auto"/>
        <w:rPr>
          <w:color w:val="auto"/>
        </w:rPr>
      </w:pPr>
    </w:p>
    <w:p w14:paraId="34147DDF">
      <w:pPr>
        <w:pStyle w:val="3"/>
        <w:spacing w:line="253" w:lineRule="auto"/>
        <w:rPr>
          <w:color w:val="auto"/>
        </w:rPr>
      </w:pPr>
    </w:p>
    <w:p w14:paraId="700419C7">
      <w:pPr>
        <w:pStyle w:val="3"/>
        <w:spacing w:line="253" w:lineRule="auto"/>
        <w:rPr>
          <w:color w:val="auto"/>
        </w:rPr>
      </w:pPr>
    </w:p>
    <w:p w14:paraId="7525A5DC">
      <w:pPr>
        <w:pStyle w:val="3"/>
        <w:spacing w:line="253" w:lineRule="auto"/>
        <w:rPr>
          <w:color w:val="auto"/>
        </w:rPr>
      </w:pPr>
    </w:p>
    <w:p w14:paraId="109DB8CF">
      <w:pPr>
        <w:pStyle w:val="3"/>
        <w:spacing w:line="253" w:lineRule="auto"/>
        <w:rPr>
          <w:color w:val="auto"/>
        </w:rPr>
      </w:pPr>
    </w:p>
    <w:p w14:paraId="2137B215">
      <w:pPr>
        <w:pStyle w:val="3"/>
        <w:spacing w:line="253" w:lineRule="auto"/>
        <w:rPr>
          <w:color w:val="auto"/>
        </w:rPr>
      </w:pPr>
    </w:p>
    <w:p w14:paraId="104E241B">
      <w:pPr>
        <w:pStyle w:val="3"/>
        <w:spacing w:line="253" w:lineRule="auto"/>
        <w:rPr>
          <w:color w:val="auto"/>
        </w:rPr>
      </w:pPr>
    </w:p>
    <w:p w14:paraId="4362781A">
      <w:pPr>
        <w:pStyle w:val="3"/>
        <w:spacing w:line="253" w:lineRule="auto"/>
        <w:rPr>
          <w:color w:val="auto"/>
        </w:rPr>
      </w:pPr>
    </w:p>
    <w:p w14:paraId="63A6FDB6">
      <w:pPr>
        <w:pStyle w:val="3"/>
        <w:spacing w:line="253" w:lineRule="auto"/>
        <w:rPr>
          <w:color w:val="auto"/>
        </w:rPr>
      </w:pPr>
    </w:p>
    <w:p w14:paraId="611070BE">
      <w:pPr>
        <w:pStyle w:val="3"/>
        <w:spacing w:line="253" w:lineRule="auto"/>
        <w:rPr>
          <w:color w:val="auto"/>
        </w:rPr>
      </w:pPr>
    </w:p>
    <w:p w14:paraId="42E5F93C">
      <w:pPr>
        <w:pStyle w:val="3"/>
        <w:spacing w:line="253" w:lineRule="auto"/>
        <w:rPr>
          <w:color w:val="auto"/>
        </w:rPr>
      </w:pPr>
    </w:p>
    <w:p w14:paraId="46880DE0">
      <w:pPr>
        <w:pStyle w:val="3"/>
        <w:spacing w:line="254" w:lineRule="auto"/>
        <w:rPr>
          <w:color w:val="auto"/>
        </w:rPr>
      </w:pPr>
    </w:p>
    <w:p w14:paraId="45C0A2BF">
      <w:pPr>
        <w:spacing w:before="79" w:line="464" w:lineRule="auto"/>
        <w:ind w:left="167" w:right="771" w:firstLine="1"/>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投标人：（盖单位章）</w:t>
      </w:r>
    </w:p>
    <w:p w14:paraId="3B537AD5">
      <w:pPr>
        <w:spacing w:before="79" w:line="464" w:lineRule="auto"/>
        <w:ind w:left="167" w:right="771" w:firstLine="1"/>
        <w:rPr>
          <w:rFonts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pacing w:val="-16"/>
          <w:sz w:val="24"/>
          <w:szCs w:val="24"/>
        </w:rPr>
        <w:t>：（</w:t>
      </w:r>
      <w:r>
        <w:rPr>
          <w:rFonts w:ascii="宋体" w:hAnsi="宋体" w:eastAsia="宋体" w:cs="宋体"/>
          <w:color w:val="auto"/>
          <w:sz w:val="24"/>
          <w:szCs w:val="24"/>
        </w:rPr>
        <w:t>签字）</w:t>
      </w:r>
    </w:p>
    <w:p w14:paraId="205848F9">
      <w:pPr>
        <w:pStyle w:val="3"/>
        <w:spacing w:line="256" w:lineRule="auto"/>
        <w:rPr>
          <w:color w:val="auto"/>
        </w:rPr>
      </w:pPr>
    </w:p>
    <w:p w14:paraId="16476281">
      <w:pPr>
        <w:pStyle w:val="3"/>
        <w:spacing w:line="256" w:lineRule="auto"/>
        <w:rPr>
          <w:color w:val="auto"/>
        </w:rPr>
      </w:pPr>
    </w:p>
    <w:p w14:paraId="78436720">
      <w:pPr>
        <w:tabs>
          <w:tab w:val="left" w:pos="2296"/>
        </w:tabs>
        <w:spacing w:before="79" w:line="220" w:lineRule="auto"/>
        <w:ind w:left="892"/>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9"/>
          <w:sz w:val="24"/>
          <w:szCs w:val="24"/>
        </w:rPr>
        <w:t>年月日</w:t>
      </w:r>
    </w:p>
    <w:p w14:paraId="5D679093">
      <w:pPr>
        <w:spacing w:line="220" w:lineRule="auto"/>
        <w:rPr>
          <w:rFonts w:ascii="宋体" w:hAnsi="宋体" w:eastAsia="宋体" w:cs="宋体"/>
          <w:color w:val="auto"/>
          <w:sz w:val="24"/>
          <w:szCs w:val="24"/>
        </w:rPr>
        <w:sectPr>
          <w:footerReference r:id="rId13" w:type="default"/>
          <w:pgSz w:w="11900" w:h="16839"/>
          <w:pgMar w:top="1440" w:right="1800" w:bottom="1440" w:left="1800" w:header="0" w:footer="0" w:gutter="0"/>
          <w:cols w:space="720" w:num="1"/>
        </w:sectPr>
      </w:pPr>
    </w:p>
    <w:p w14:paraId="1096C2E5">
      <w:pPr>
        <w:pStyle w:val="3"/>
        <w:spacing w:line="251" w:lineRule="auto"/>
        <w:rPr>
          <w:color w:val="auto"/>
        </w:rPr>
      </w:pPr>
    </w:p>
    <w:p w14:paraId="2D507C5E">
      <w:pPr>
        <w:spacing w:before="91" w:line="219" w:lineRule="auto"/>
        <w:ind w:left="1972"/>
        <w:rPr>
          <w:rFonts w:ascii="宋体" w:hAnsi="宋体" w:eastAsia="宋体" w:cs="宋体"/>
          <w:color w:val="auto"/>
          <w:sz w:val="28"/>
          <w:szCs w:val="28"/>
        </w:rPr>
      </w:pPr>
      <w:r>
        <w:rPr>
          <w:rFonts w:ascii="宋体" w:hAnsi="宋体" w:eastAsia="宋体" w:cs="宋体"/>
          <w:b/>
          <w:bCs/>
          <w:color w:val="auto"/>
          <w:spacing w:val="-7"/>
          <w:sz w:val="28"/>
          <w:szCs w:val="28"/>
        </w:rPr>
        <w:t>附件2竞争性谈判响应书</w:t>
      </w:r>
      <w:r>
        <w:rPr>
          <w:rFonts w:ascii="宋体" w:hAnsi="宋体" w:eastAsia="宋体" w:cs="宋体"/>
          <w:color w:val="auto"/>
          <w:spacing w:val="-7"/>
          <w:sz w:val="28"/>
          <w:szCs w:val="28"/>
        </w:rPr>
        <w:t>（格式）</w:t>
      </w:r>
    </w:p>
    <w:p w14:paraId="322AE3AD">
      <w:pPr>
        <w:pStyle w:val="3"/>
        <w:spacing w:line="256" w:lineRule="auto"/>
        <w:rPr>
          <w:color w:val="auto"/>
        </w:rPr>
      </w:pPr>
    </w:p>
    <w:p w14:paraId="5801B7D5">
      <w:pPr>
        <w:pStyle w:val="3"/>
        <w:spacing w:line="256" w:lineRule="auto"/>
        <w:rPr>
          <w:color w:val="auto"/>
        </w:rPr>
      </w:pPr>
    </w:p>
    <w:p w14:paraId="279436FE">
      <w:pPr>
        <w:spacing w:before="78" w:line="213" w:lineRule="auto"/>
        <w:ind w:left="9"/>
        <w:rPr>
          <w:rFonts w:ascii="宋体" w:hAnsi="宋体" w:eastAsia="宋体" w:cs="宋体"/>
          <w:color w:val="auto"/>
          <w:sz w:val="24"/>
          <w:szCs w:val="24"/>
        </w:rPr>
      </w:pPr>
      <w:r>
        <w:rPr>
          <w:rFonts w:ascii="宋体" w:hAnsi="宋体" w:eastAsia="宋体" w:cs="宋体"/>
          <w:color w:val="auto"/>
          <w:spacing w:val="-4"/>
          <w:sz w:val="24"/>
          <w:szCs w:val="24"/>
        </w:rPr>
        <w:t>致：_______（采购代理机构名称</w:t>
      </w:r>
      <w:r>
        <w:rPr>
          <w:rFonts w:ascii="宋体" w:hAnsi="宋体" w:eastAsia="宋体" w:cs="宋体"/>
          <w:color w:val="auto"/>
          <w:spacing w:val="5"/>
          <w:sz w:val="24"/>
          <w:szCs w:val="24"/>
        </w:rPr>
        <w:t>）：</w:t>
      </w:r>
    </w:p>
    <w:p w14:paraId="38F6EECE">
      <w:pPr>
        <w:tabs>
          <w:tab w:val="left" w:pos="420"/>
          <w:tab w:val="left" w:pos="975"/>
        </w:tabs>
        <w:spacing w:before="164" w:line="338" w:lineRule="auto"/>
        <w:ind w:right="899" w:firstLine="48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5"/>
          <w:sz w:val="24"/>
          <w:szCs w:val="24"/>
          <w:u w:val="single" w:color="auto"/>
        </w:rPr>
        <w:t>（供应商名称）</w:t>
      </w:r>
      <w:r>
        <w:rPr>
          <w:rFonts w:ascii="宋体" w:hAnsi="宋体" w:eastAsia="宋体" w:cs="宋体"/>
          <w:color w:val="auto"/>
          <w:spacing w:val="-5"/>
          <w:sz w:val="24"/>
          <w:szCs w:val="24"/>
        </w:rPr>
        <w:t>现委托（签名）为我方代理人，参加贵</w:t>
      </w:r>
      <w:r>
        <w:rPr>
          <w:rFonts w:ascii="宋体" w:hAnsi="宋体" w:eastAsia="宋体" w:cs="宋体"/>
          <w:color w:val="auto"/>
          <w:spacing w:val="-6"/>
          <w:sz w:val="24"/>
          <w:szCs w:val="24"/>
        </w:rPr>
        <w:t>方组织的</w:t>
      </w:r>
      <w:r>
        <w:rPr>
          <w:rFonts w:ascii="宋体" w:hAnsi="宋体" w:eastAsia="宋体" w:cs="宋体"/>
          <w:color w:val="auto"/>
          <w:spacing w:val="-6"/>
          <w:sz w:val="24"/>
          <w:szCs w:val="24"/>
          <w:u w:val="single" w:color="auto"/>
        </w:rPr>
        <w:t>_</w:t>
      </w:r>
      <w:r>
        <w:rPr>
          <w:rFonts w:ascii="宋体" w:hAnsi="宋体" w:eastAsia="宋体" w:cs="宋体"/>
          <w:color w:val="auto"/>
          <w:sz w:val="24"/>
          <w:szCs w:val="24"/>
          <w:u w:val="single" w:color="auto"/>
        </w:rPr>
        <w:tab/>
      </w:r>
      <w:r>
        <w:rPr>
          <w:rFonts w:ascii="宋体" w:hAnsi="宋体" w:eastAsia="宋体" w:cs="宋体"/>
          <w:color w:val="auto"/>
          <w:spacing w:val="-3"/>
          <w:sz w:val="24"/>
          <w:szCs w:val="24"/>
        </w:rPr>
        <w:t>项目（项目编号</w:t>
      </w:r>
      <w:r>
        <w:rPr>
          <w:rFonts w:ascii="宋体" w:hAnsi="宋体" w:eastAsia="宋体" w:cs="宋体"/>
          <w:color w:val="auto"/>
          <w:spacing w:val="-2"/>
          <w:sz w:val="24"/>
          <w:szCs w:val="24"/>
        </w:rPr>
        <w:t>：）</w:t>
      </w:r>
      <w:r>
        <w:rPr>
          <w:rFonts w:ascii="宋体" w:hAnsi="宋体" w:eastAsia="宋体" w:cs="宋体"/>
          <w:color w:val="auto"/>
          <w:spacing w:val="-3"/>
          <w:sz w:val="24"/>
          <w:szCs w:val="24"/>
        </w:rPr>
        <w:t>的竞争性谈判。</w:t>
      </w:r>
    </w:p>
    <w:p w14:paraId="2B520908">
      <w:pPr>
        <w:spacing w:before="1" w:line="338" w:lineRule="auto"/>
        <w:ind w:left="12" w:right="120" w:firstLine="480"/>
        <w:rPr>
          <w:rFonts w:ascii="宋体" w:hAnsi="宋体" w:eastAsia="宋体" w:cs="宋体"/>
          <w:color w:val="auto"/>
          <w:sz w:val="24"/>
          <w:szCs w:val="24"/>
        </w:rPr>
      </w:pPr>
      <w:r>
        <w:rPr>
          <w:rFonts w:ascii="宋体" w:hAnsi="宋体" w:eastAsia="宋体" w:cs="宋体"/>
          <w:color w:val="auto"/>
          <w:sz w:val="24"/>
          <w:szCs w:val="24"/>
        </w:rPr>
        <w:t>为便于贵方公正、择优地确定成交供应商及其提</w:t>
      </w:r>
      <w:r>
        <w:rPr>
          <w:rFonts w:ascii="宋体" w:hAnsi="宋体" w:eastAsia="宋体" w:cs="宋体"/>
          <w:color w:val="auto"/>
          <w:spacing w:val="-1"/>
          <w:sz w:val="24"/>
          <w:szCs w:val="24"/>
        </w:rPr>
        <w:t>供产品和服务，我方就本次竞争</w:t>
      </w:r>
      <w:r>
        <w:rPr>
          <w:rFonts w:ascii="宋体" w:hAnsi="宋体" w:eastAsia="宋体" w:cs="宋体"/>
          <w:color w:val="auto"/>
          <w:spacing w:val="-4"/>
          <w:sz w:val="24"/>
          <w:szCs w:val="24"/>
        </w:rPr>
        <w:t>性谈判有关事项郑重声明并宣布同意如下：</w:t>
      </w:r>
    </w:p>
    <w:p w14:paraId="32D1F4C7">
      <w:pPr>
        <w:spacing w:before="2" w:line="298" w:lineRule="auto"/>
        <w:ind w:left="9" w:firstLine="497"/>
        <w:rPr>
          <w:rFonts w:ascii="宋体" w:hAnsi="宋体" w:eastAsia="宋体" w:cs="宋体"/>
          <w:color w:val="auto"/>
          <w:sz w:val="24"/>
          <w:szCs w:val="24"/>
        </w:rPr>
      </w:pPr>
      <w:r>
        <w:rPr>
          <w:rFonts w:ascii="宋体" w:hAnsi="宋体" w:eastAsia="宋体" w:cs="宋体"/>
          <w:color w:val="auto"/>
          <w:spacing w:val="-1"/>
          <w:sz w:val="24"/>
          <w:szCs w:val="24"/>
        </w:rPr>
        <w:t>1、我方承诺已经具备竞争性谈判文件中规定的参加政府采购活动的供应商应当具</w:t>
      </w:r>
      <w:r>
        <w:rPr>
          <w:rFonts w:ascii="宋体" w:hAnsi="宋体" w:eastAsia="宋体" w:cs="宋体"/>
          <w:color w:val="auto"/>
          <w:sz w:val="24"/>
          <w:szCs w:val="24"/>
        </w:rPr>
        <w:t>备的条件。我方愿意向贵方提供任何与本竞争性谈判项目有</w:t>
      </w:r>
      <w:r>
        <w:rPr>
          <w:rFonts w:ascii="宋体" w:hAnsi="宋体" w:eastAsia="宋体" w:cs="宋体"/>
          <w:color w:val="auto"/>
          <w:spacing w:val="-1"/>
          <w:sz w:val="24"/>
          <w:szCs w:val="24"/>
        </w:rPr>
        <w:t>关的数据、情况和技术资料，并根据需要提供一切承诺的证明材料，并</w:t>
      </w:r>
      <w:r>
        <w:rPr>
          <w:rFonts w:ascii="宋体" w:hAnsi="宋体" w:eastAsia="宋体" w:cs="宋体"/>
          <w:color w:val="auto"/>
          <w:spacing w:val="-2"/>
          <w:sz w:val="24"/>
          <w:szCs w:val="24"/>
        </w:rPr>
        <w:t>保证其真实、合法、有效。</w:t>
      </w:r>
    </w:p>
    <w:p w14:paraId="45164E13">
      <w:pPr>
        <w:spacing w:before="155" w:line="219" w:lineRule="auto"/>
        <w:ind w:left="432"/>
        <w:rPr>
          <w:rFonts w:ascii="宋体" w:hAnsi="宋体" w:eastAsia="宋体" w:cs="宋体"/>
          <w:color w:val="auto"/>
          <w:sz w:val="24"/>
          <w:szCs w:val="24"/>
        </w:rPr>
      </w:pPr>
      <w:r>
        <w:rPr>
          <w:rFonts w:ascii="宋体" w:hAnsi="宋体" w:eastAsia="宋体" w:cs="宋体"/>
          <w:color w:val="auto"/>
          <w:spacing w:val="-2"/>
          <w:sz w:val="24"/>
          <w:szCs w:val="24"/>
        </w:rPr>
        <w:t>2、我方承诺在竞争性谈判活动中提供的各种材料真实有效。</w:t>
      </w:r>
    </w:p>
    <w:p w14:paraId="03C529D8">
      <w:pPr>
        <w:spacing w:before="155" w:line="279" w:lineRule="auto"/>
        <w:ind w:left="12" w:right="634" w:firstLine="421"/>
        <w:rPr>
          <w:rFonts w:ascii="宋体" w:hAnsi="宋体" w:eastAsia="宋体" w:cs="宋体"/>
          <w:color w:val="auto"/>
          <w:sz w:val="24"/>
          <w:szCs w:val="24"/>
        </w:rPr>
      </w:pPr>
      <w:r>
        <w:rPr>
          <w:rFonts w:ascii="宋体" w:hAnsi="宋体" w:eastAsia="宋体" w:cs="宋体"/>
          <w:color w:val="auto"/>
          <w:spacing w:val="-1"/>
          <w:sz w:val="24"/>
          <w:szCs w:val="24"/>
        </w:rPr>
        <w:t>3、我方同意在响应性文件有效期内遵守本响应性文件中的承诺且在此期限期满之前均具有约束力。如果我方成交，响应性</w:t>
      </w:r>
      <w:r>
        <w:rPr>
          <w:rFonts w:ascii="宋体" w:hAnsi="宋体" w:eastAsia="宋体" w:cs="宋体"/>
          <w:color w:val="auto"/>
          <w:spacing w:val="-2"/>
          <w:sz w:val="24"/>
          <w:szCs w:val="24"/>
        </w:rPr>
        <w:t>文件有效期与合同履行期相同。</w:t>
      </w:r>
    </w:p>
    <w:p w14:paraId="685A6500">
      <w:pPr>
        <w:spacing w:before="154" w:line="278" w:lineRule="auto"/>
        <w:ind w:left="29" w:right="60" w:firstLine="399"/>
        <w:rPr>
          <w:rFonts w:ascii="宋体" w:hAnsi="宋体" w:eastAsia="宋体" w:cs="宋体"/>
          <w:color w:val="auto"/>
          <w:sz w:val="24"/>
          <w:szCs w:val="24"/>
        </w:rPr>
      </w:pPr>
      <w:r>
        <w:rPr>
          <w:rFonts w:ascii="宋体" w:hAnsi="宋体" w:eastAsia="宋体" w:cs="宋体"/>
          <w:color w:val="auto"/>
          <w:sz w:val="24"/>
          <w:szCs w:val="24"/>
        </w:rPr>
        <w:t>4、我方已详细审查全部竞争性谈判文件，包括修改文件（</w:t>
      </w:r>
      <w:r>
        <w:rPr>
          <w:rFonts w:ascii="宋体" w:hAnsi="宋体" w:eastAsia="宋体" w:cs="宋体"/>
          <w:color w:val="auto"/>
          <w:spacing w:val="-1"/>
          <w:sz w:val="24"/>
          <w:szCs w:val="24"/>
        </w:rPr>
        <w:t>如有的话）和有关附件</w:t>
      </w:r>
      <w:r>
        <w:rPr>
          <w:rFonts w:ascii="宋体" w:hAnsi="宋体" w:eastAsia="宋体" w:cs="宋体"/>
          <w:color w:val="auto"/>
          <w:spacing w:val="2"/>
          <w:sz w:val="24"/>
          <w:szCs w:val="24"/>
        </w:rPr>
        <w:t>,将自行承担因对全部竞争性谈判文件理解不正</w:t>
      </w:r>
      <w:r>
        <w:rPr>
          <w:rFonts w:ascii="宋体" w:hAnsi="宋体" w:eastAsia="宋体" w:cs="宋体"/>
          <w:color w:val="auto"/>
          <w:spacing w:val="1"/>
          <w:sz w:val="24"/>
          <w:szCs w:val="24"/>
        </w:rPr>
        <w:t>确或误解而产生的相应后果。</w:t>
      </w:r>
    </w:p>
    <w:p w14:paraId="5CE09FD5">
      <w:pPr>
        <w:spacing w:before="159" w:line="279" w:lineRule="auto"/>
        <w:ind w:left="29" w:right="60" w:firstLine="405"/>
        <w:rPr>
          <w:rFonts w:ascii="宋体" w:hAnsi="宋体" w:eastAsia="宋体" w:cs="宋体"/>
          <w:color w:val="auto"/>
          <w:sz w:val="24"/>
          <w:szCs w:val="24"/>
        </w:rPr>
      </w:pPr>
      <w:r>
        <w:rPr>
          <w:rFonts w:ascii="宋体" w:hAnsi="宋体" w:eastAsia="宋体" w:cs="宋体"/>
          <w:color w:val="auto"/>
          <w:sz w:val="24"/>
          <w:szCs w:val="24"/>
        </w:rPr>
        <w:t>5、我方保证尊重谈判小组的评审结果，完全</w:t>
      </w:r>
      <w:r>
        <w:rPr>
          <w:rFonts w:ascii="宋体" w:hAnsi="宋体" w:eastAsia="宋体" w:cs="宋体"/>
          <w:color w:val="auto"/>
          <w:spacing w:val="-1"/>
          <w:sz w:val="24"/>
          <w:szCs w:val="24"/>
        </w:rPr>
        <w:t>理解本采购项目最低报价不作为成交</w:t>
      </w:r>
      <w:r>
        <w:rPr>
          <w:rFonts w:ascii="宋体" w:hAnsi="宋体" w:eastAsia="宋体" w:cs="宋体"/>
          <w:color w:val="auto"/>
          <w:spacing w:val="-12"/>
          <w:sz w:val="24"/>
          <w:szCs w:val="24"/>
        </w:rPr>
        <w:t>的保证。</w:t>
      </w:r>
    </w:p>
    <w:p w14:paraId="287F7768">
      <w:pPr>
        <w:spacing w:before="154" w:line="279" w:lineRule="auto"/>
        <w:ind w:left="10" w:right="60" w:firstLine="420"/>
        <w:rPr>
          <w:rFonts w:ascii="宋体" w:hAnsi="宋体" w:eastAsia="宋体" w:cs="宋体"/>
          <w:color w:val="auto"/>
          <w:sz w:val="24"/>
          <w:szCs w:val="24"/>
        </w:rPr>
      </w:pPr>
      <w:r>
        <w:rPr>
          <w:rFonts w:ascii="宋体" w:hAnsi="宋体" w:eastAsia="宋体" w:cs="宋体"/>
          <w:color w:val="auto"/>
          <w:sz w:val="24"/>
          <w:szCs w:val="24"/>
        </w:rPr>
        <w:t>6、我方理解并遵守竞争性谈判文件的全部规定，接</w:t>
      </w:r>
      <w:r>
        <w:rPr>
          <w:rFonts w:ascii="宋体" w:hAnsi="宋体" w:eastAsia="宋体" w:cs="宋体"/>
          <w:color w:val="auto"/>
          <w:spacing w:val="-1"/>
          <w:sz w:val="24"/>
          <w:szCs w:val="24"/>
        </w:rPr>
        <w:t>受竞争性谈判文件中政府采购</w:t>
      </w:r>
      <w:r>
        <w:rPr>
          <w:rFonts w:ascii="宋体" w:hAnsi="宋体" w:eastAsia="宋体" w:cs="宋体"/>
          <w:color w:val="auto"/>
          <w:spacing w:val="-3"/>
          <w:sz w:val="24"/>
          <w:szCs w:val="24"/>
        </w:rPr>
        <w:t>合同的全部条款且无任何异议。</w:t>
      </w:r>
    </w:p>
    <w:p w14:paraId="0F016F83">
      <w:pPr>
        <w:spacing w:before="155" w:line="299" w:lineRule="auto"/>
        <w:ind w:left="9" w:right="599" w:firstLine="425"/>
        <w:rPr>
          <w:rFonts w:ascii="宋体" w:hAnsi="宋体" w:eastAsia="宋体" w:cs="宋体"/>
          <w:color w:val="auto"/>
          <w:sz w:val="24"/>
          <w:szCs w:val="24"/>
        </w:rPr>
      </w:pPr>
      <w:r>
        <w:rPr>
          <w:rFonts w:ascii="宋体" w:hAnsi="宋体" w:eastAsia="宋体" w:cs="宋体"/>
          <w:color w:val="auto"/>
          <w:spacing w:val="-1"/>
          <w:sz w:val="24"/>
          <w:szCs w:val="24"/>
        </w:rPr>
        <w:t>7、如果被确定为成交供应商，我方同意按竞争性谈判文件的规定领取成交</w:t>
      </w:r>
      <w:r>
        <w:rPr>
          <w:rFonts w:ascii="宋体" w:hAnsi="宋体" w:eastAsia="宋体" w:cs="宋体"/>
          <w:color w:val="auto"/>
          <w:sz w:val="24"/>
          <w:szCs w:val="24"/>
        </w:rPr>
        <w:t>通知书并缴纳服务费。否则，视为我方成交后自动放弃</w:t>
      </w:r>
      <w:r>
        <w:rPr>
          <w:rFonts w:ascii="宋体" w:hAnsi="宋体" w:eastAsia="宋体" w:cs="宋体"/>
          <w:color w:val="auto"/>
          <w:spacing w:val="-1"/>
          <w:sz w:val="24"/>
          <w:szCs w:val="24"/>
        </w:rPr>
        <w:t>成交资格，承担由此引起</w:t>
      </w:r>
      <w:r>
        <w:rPr>
          <w:rFonts w:ascii="宋体" w:hAnsi="宋体" w:eastAsia="宋体" w:cs="宋体"/>
          <w:color w:val="auto"/>
          <w:spacing w:val="-6"/>
          <w:sz w:val="24"/>
          <w:szCs w:val="24"/>
        </w:rPr>
        <w:t>的一切后果。</w:t>
      </w:r>
    </w:p>
    <w:p w14:paraId="265680FC">
      <w:pPr>
        <w:spacing w:before="153" w:line="219" w:lineRule="auto"/>
        <w:ind w:left="430"/>
        <w:rPr>
          <w:rFonts w:ascii="宋体" w:hAnsi="宋体" w:eastAsia="宋体" w:cs="宋体"/>
          <w:color w:val="auto"/>
          <w:sz w:val="24"/>
          <w:szCs w:val="24"/>
        </w:rPr>
      </w:pPr>
      <w:r>
        <w:rPr>
          <w:rFonts w:ascii="宋体" w:hAnsi="宋体" w:eastAsia="宋体" w:cs="宋体"/>
          <w:color w:val="auto"/>
          <w:spacing w:val="-1"/>
          <w:sz w:val="24"/>
          <w:szCs w:val="24"/>
        </w:rPr>
        <w:t>8、如果被确定为成交供应商，我方同意在领取成交通知书之日起</w:t>
      </w:r>
    </w:p>
    <w:p w14:paraId="2F4168DD">
      <w:pPr>
        <w:tabs>
          <w:tab w:val="left" w:pos="7920"/>
        </w:tabs>
        <w:spacing w:before="157" w:line="338" w:lineRule="auto"/>
        <w:ind w:left="12" w:right="120" w:hanging="13"/>
        <w:jc w:val="both"/>
        <w:rPr>
          <w:rFonts w:ascii="宋体" w:hAnsi="宋体" w:eastAsia="宋体" w:cs="宋体"/>
          <w:color w:val="auto"/>
          <w:sz w:val="24"/>
          <w:szCs w:val="24"/>
        </w:rPr>
      </w:pPr>
      <w:r>
        <w:rPr>
          <w:rFonts w:ascii="宋体" w:hAnsi="宋体" w:eastAsia="宋体" w:cs="宋体"/>
          <w:color w:val="auto"/>
          <w:sz w:val="23"/>
          <w:szCs w:val="23"/>
          <w:u w:val="single" w:color="auto"/>
        </w:rPr>
        <w:tab/>
      </w:r>
      <w:r>
        <w:rPr>
          <w:rFonts w:ascii="宋体" w:hAnsi="宋体" w:eastAsia="宋体" w:cs="宋体"/>
          <w:color w:val="auto"/>
          <w:sz w:val="23"/>
          <w:szCs w:val="23"/>
          <w:u w:val="single" w:color="auto"/>
        </w:rPr>
        <w:tab/>
      </w:r>
      <w:r>
        <w:rPr>
          <w:rFonts w:ascii="宋体" w:hAnsi="宋体" w:eastAsia="宋体" w:cs="宋体"/>
          <w:color w:val="auto"/>
          <w:spacing w:val="-13"/>
          <w:sz w:val="23"/>
          <w:szCs w:val="23"/>
        </w:rPr>
        <w:t>日内，</w:t>
      </w:r>
      <w:r>
        <w:rPr>
          <w:rFonts w:ascii="宋体" w:hAnsi="宋体" w:eastAsia="宋体" w:cs="宋体"/>
          <w:color w:val="auto"/>
          <w:spacing w:val="-13"/>
          <w:sz w:val="24"/>
          <w:szCs w:val="24"/>
        </w:rPr>
        <w:t>按</w:t>
      </w:r>
      <w:r>
        <w:rPr>
          <w:rFonts w:ascii="宋体" w:hAnsi="宋体" w:eastAsia="宋体" w:cs="宋体"/>
          <w:color w:val="auto"/>
          <w:sz w:val="24"/>
          <w:szCs w:val="24"/>
        </w:rPr>
        <w:t>照竞争性谈判文件的规定与采购人签订采购合同。</w:t>
      </w:r>
      <w:r>
        <w:rPr>
          <w:rFonts w:ascii="宋体" w:hAnsi="宋体" w:eastAsia="宋体" w:cs="宋体"/>
          <w:color w:val="auto"/>
          <w:spacing w:val="-1"/>
          <w:sz w:val="24"/>
          <w:szCs w:val="24"/>
        </w:rPr>
        <w:t>否则，视为我方成交后无正当理由</w:t>
      </w:r>
      <w:r>
        <w:rPr>
          <w:rFonts w:ascii="宋体" w:hAnsi="宋体" w:eastAsia="宋体" w:cs="宋体"/>
          <w:color w:val="auto"/>
          <w:spacing w:val="-3"/>
          <w:sz w:val="24"/>
          <w:szCs w:val="24"/>
        </w:rPr>
        <w:t>不与采购人签订合同并承担相应法律责任。</w:t>
      </w:r>
    </w:p>
    <w:p w14:paraId="03F9F353">
      <w:pPr>
        <w:spacing w:before="1" w:line="218" w:lineRule="auto"/>
        <w:ind w:left="430"/>
        <w:rPr>
          <w:rFonts w:ascii="宋体" w:hAnsi="宋体" w:eastAsia="宋体" w:cs="宋体"/>
          <w:color w:val="auto"/>
          <w:sz w:val="24"/>
          <w:szCs w:val="24"/>
        </w:rPr>
      </w:pPr>
      <w:r>
        <w:rPr>
          <w:rFonts w:ascii="宋体" w:hAnsi="宋体" w:eastAsia="宋体" w:cs="宋体"/>
          <w:color w:val="auto"/>
          <w:spacing w:val="-2"/>
          <w:sz w:val="24"/>
          <w:szCs w:val="24"/>
        </w:rPr>
        <w:t>9、以上事项如有虚假或隐瞒，我方愿意承担一切后果和责任。</w:t>
      </w:r>
    </w:p>
    <w:p w14:paraId="26A5F00C">
      <w:pPr>
        <w:pStyle w:val="3"/>
        <w:spacing w:line="257" w:lineRule="auto"/>
        <w:rPr>
          <w:color w:val="auto"/>
        </w:rPr>
      </w:pPr>
    </w:p>
    <w:p w14:paraId="331F62B1">
      <w:pPr>
        <w:pStyle w:val="3"/>
        <w:spacing w:line="257" w:lineRule="auto"/>
        <w:rPr>
          <w:color w:val="auto"/>
        </w:rPr>
      </w:pPr>
    </w:p>
    <w:p w14:paraId="0F33B91D">
      <w:pPr>
        <w:spacing w:before="79" w:line="219" w:lineRule="auto"/>
        <w:ind w:left="2109"/>
        <w:rPr>
          <w:rFonts w:ascii="宋体" w:hAnsi="宋体" w:eastAsia="宋体" w:cs="宋体"/>
          <w:color w:val="auto"/>
          <w:sz w:val="24"/>
          <w:szCs w:val="24"/>
        </w:rPr>
      </w:pPr>
      <w:r>
        <w:rPr>
          <w:rFonts w:ascii="宋体" w:hAnsi="宋体" w:eastAsia="宋体" w:cs="宋体"/>
          <w:color w:val="auto"/>
          <w:spacing w:val="-8"/>
          <w:sz w:val="24"/>
          <w:szCs w:val="24"/>
        </w:rPr>
        <w:t>供应商代表签字：</w:t>
      </w:r>
    </w:p>
    <w:p w14:paraId="3AE07B52">
      <w:pPr>
        <w:spacing w:before="155" w:line="219" w:lineRule="auto"/>
        <w:ind w:left="2109"/>
        <w:rPr>
          <w:rFonts w:ascii="宋体" w:hAnsi="宋体" w:eastAsia="宋体" w:cs="宋体"/>
          <w:color w:val="auto"/>
          <w:sz w:val="24"/>
          <w:szCs w:val="24"/>
        </w:rPr>
      </w:pPr>
      <w:r>
        <w:rPr>
          <w:rFonts w:ascii="宋体" w:hAnsi="宋体" w:eastAsia="宋体" w:cs="宋体"/>
          <w:color w:val="auto"/>
          <w:spacing w:val="-2"/>
          <w:sz w:val="24"/>
          <w:szCs w:val="24"/>
        </w:rPr>
        <w:t>供应商：（全称并加盖公章）</w:t>
      </w:r>
    </w:p>
    <w:p w14:paraId="5F48B8E5">
      <w:pPr>
        <w:spacing w:before="203" w:line="220" w:lineRule="auto"/>
        <w:ind w:left="5365"/>
        <w:rPr>
          <w:rFonts w:ascii="宋体" w:hAnsi="宋体" w:eastAsia="宋体" w:cs="宋体"/>
          <w:color w:val="auto"/>
          <w:sz w:val="24"/>
          <w:szCs w:val="24"/>
        </w:rPr>
      </w:pPr>
      <w:r>
        <w:rPr>
          <w:rFonts w:ascii="宋体" w:hAnsi="宋体" w:eastAsia="宋体" w:cs="宋体"/>
          <w:color w:val="auto"/>
          <w:spacing w:val="-9"/>
          <w:sz w:val="24"/>
          <w:szCs w:val="24"/>
        </w:rPr>
        <w:t>年月日</w:t>
      </w:r>
    </w:p>
    <w:p w14:paraId="0C05008B">
      <w:pPr>
        <w:spacing w:line="220" w:lineRule="auto"/>
        <w:rPr>
          <w:rFonts w:ascii="宋体" w:hAnsi="宋体" w:eastAsia="宋体" w:cs="宋体"/>
          <w:color w:val="auto"/>
          <w:sz w:val="24"/>
          <w:szCs w:val="24"/>
        </w:rPr>
        <w:sectPr>
          <w:pgSz w:w="11900" w:h="16839"/>
          <w:pgMar w:top="1440" w:right="1800" w:bottom="1440" w:left="1800" w:header="0" w:footer="0" w:gutter="0"/>
          <w:cols w:space="720" w:num="1"/>
        </w:sectPr>
      </w:pPr>
    </w:p>
    <w:p w14:paraId="609D9230">
      <w:pPr>
        <w:spacing w:before="91" w:line="218" w:lineRule="auto"/>
        <w:ind w:left="2650"/>
        <w:rPr>
          <w:rFonts w:ascii="宋体" w:hAnsi="宋体" w:eastAsia="宋体" w:cs="宋体"/>
          <w:color w:val="auto"/>
          <w:sz w:val="28"/>
          <w:szCs w:val="28"/>
        </w:rPr>
      </w:pPr>
      <w:r>
        <w:rPr>
          <w:rFonts w:ascii="宋体" w:hAnsi="宋体" w:eastAsia="宋体" w:cs="宋体"/>
          <w:b/>
          <w:bCs/>
          <w:color w:val="auto"/>
          <w:spacing w:val="-6"/>
          <w:sz w:val="28"/>
          <w:szCs w:val="28"/>
        </w:rPr>
        <w:t>附件3初次报价一览表（格式）</w:t>
      </w:r>
    </w:p>
    <w:p w14:paraId="64EF1959">
      <w:pPr>
        <w:spacing w:before="19"/>
        <w:rPr>
          <w:color w:val="auto"/>
        </w:rPr>
      </w:pPr>
    </w:p>
    <w:tbl>
      <w:tblPr>
        <w:tblStyle w:val="10"/>
        <w:tblW w:w="92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0"/>
        <w:gridCol w:w="6726"/>
      </w:tblGrid>
      <w:tr w14:paraId="59BF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560" w:type="dxa"/>
            <w:vAlign w:val="top"/>
          </w:tcPr>
          <w:p w14:paraId="5B78CFE9">
            <w:pPr>
              <w:pStyle w:val="11"/>
              <w:spacing w:before="255" w:line="220" w:lineRule="auto"/>
              <w:ind w:left="807"/>
              <w:rPr>
                <w:color w:val="auto"/>
              </w:rPr>
            </w:pPr>
            <w:r>
              <w:rPr>
                <w:color w:val="auto"/>
                <w:spacing w:val="-3"/>
              </w:rPr>
              <w:t>项目名称</w:t>
            </w:r>
          </w:p>
        </w:tc>
        <w:tc>
          <w:tcPr>
            <w:tcW w:w="6726" w:type="dxa"/>
            <w:vAlign w:val="top"/>
          </w:tcPr>
          <w:p w14:paraId="5732D645">
            <w:pPr>
              <w:rPr>
                <w:rFonts w:ascii="Arial"/>
                <w:color w:val="auto"/>
                <w:sz w:val="21"/>
              </w:rPr>
            </w:pPr>
          </w:p>
        </w:tc>
      </w:tr>
      <w:tr w14:paraId="4B88E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60" w:type="dxa"/>
            <w:vAlign w:val="top"/>
          </w:tcPr>
          <w:p w14:paraId="133FFA28">
            <w:pPr>
              <w:pStyle w:val="11"/>
              <w:spacing w:before="252" w:line="220" w:lineRule="auto"/>
              <w:ind w:left="926"/>
              <w:rPr>
                <w:color w:val="auto"/>
              </w:rPr>
            </w:pPr>
            <w:r>
              <w:rPr>
                <w:color w:val="auto"/>
                <w:spacing w:val="-3"/>
              </w:rPr>
              <w:t>投标人</w:t>
            </w:r>
          </w:p>
        </w:tc>
        <w:tc>
          <w:tcPr>
            <w:tcW w:w="6726" w:type="dxa"/>
            <w:vAlign w:val="top"/>
          </w:tcPr>
          <w:p w14:paraId="69FB4FF1">
            <w:pPr>
              <w:rPr>
                <w:rFonts w:ascii="Arial"/>
                <w:color w:val="auto"/>
                <w:sz w:val="21"/>
              </w:rPr>
            </w:pPr>
          </w:p>
        </w:tc>
      </w:tr>
      <w:tr w14:paraId="560CA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60" w:type="dxa"/>
            <w:vAlign w:val="top"/>
          </w:tcPr>
          <w:p w14:paraId="29751EE9">
            <w:pPr>
              <w:pStyle w:val="11"/>
              <w:spacing w:before="253" w:line="218" w:lineRule="auto"/>
              <w:ind w:left="446"/>
              <w:rPr>
                <w:color w:val="auto"/>
              </w:rPr>
            </w:pPr>
            <w:r>
              <w:rPr>
                <w:color w:val="auto"/>
                <w:spacing w:val="-4"/>
              </w:rPr>
              <w:t>投标报价（元）</w:t>
            </w:r>
          </w:p>
        </w:tc>
        <w:tc>
          <w:tcPr>
            <w:tcW w:w="6726" w:type="dxa"/>
            <w:vAlign w:val="top"/>
          </w:tcPr>
          <w:p w14:paraId="2F995B18">
            <w:pPr>
              <w:pStyle w:val="11"/>
              <w:spacing w:before="98" w:line="220" w:lineRule="auto"/>
              <w:ind w:left="113"/>
              <w:rPr>
                <w:color w:val="auto"/>
              </w:rPr>
            </w:pPr>
            <w:r>
              <w:rPr>
                <w:color w:val="auto"/>
                <w:spacing w:val="-15"/>
              </w:rPr>
              <w:t>大写：</w:t>
            </w:r>
          </w:p>
          <w:p w14:paraId="5642EB20">
            <w:pPr>
              <w:pStyle w:val="11"/>
              <w:spacing w:before="24" w:line="200" w:lineRule="auto"/>
              <w:ind w:left="116"/>
              <w:rPr>
                <w:color w:val="auto"/>
              </w:rPr>
            </w:pPr>
            <w:r>
              <w:rPr>
                <w:color w:val="auto"/>
                <w:spacing w:val="-2"/>
              </w:rPr>
              <w:t>小写：元</w:t>
            </w:r>
          </w:p>
        </w:tc>
      </w:tr>
      <w:tr w14:paraId="053B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60" w:type="dxa"/>
            <w:vAlign w:val="top"/>
          </w:tcPr>
          <w:p w14:paraId="24EAAAA3">
            <w:pPr>
              <w:pStyle w:val="11"/>
              <w:spacing w:before="254" w:line="220" w:lineRule="auto"/>
              <w:ind w:firstLine="464" w:firstLineChars="200"/>
              <w:rPr>
                <w:rFonts w:hint="eastAsia" w:eastAsia="宋体"/>
                <w:color w:val="auto"/>
                <w:lang w:eastAsia="zh-CN"/>
              </w:rPr>
            </w:pPr>
            <w:r>
              <w:rPr>
                <w:rFonts w:hint="eastAsia"/>
                <w:color w:val="auto"/>
                <w:spacing w:val="-4"/>
                <w:lang w:eastAsia="zh-CN"/>
              </w:rPr>
              <w:t>交货及安装期</w:t>
            </w:r>
          </w:p>
        </w:tc>
        <w:tc>
          <w:tcPr>
            <w:tcW w:w="6726" w:type="dxa"/>
            <w:vAlign w:val="top"/>
          </w:tcPr>
          <w:p w14:paraId="7CE5D50E">
            <w:pPr>
              <w:rPr>
                <w:rFonts w:ascii="Arial"/>
                <w:color w:val="auto"/>
                <w:sz w:val="21"/>
              </w:rPr>
            </w:pPr>
          </w:p>
        </w:tc>
      </w:tr>
      <w:tr w14:paraId="33375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60" w:type="dxa"/>
            <w:vAlign w:val="top"/>
          </w:tcPr>
          <w:p w14:paraId="713CA366">
            <w:pPr>
              <w:pStyle w:val="11"/>
              <w:spacing w:before="255" w:line="220" w:lineRule="auto"/>
              <w:ind w:left="686"/>
              <w:rPr>
                <w:color w:val="auto"/>
              </w:rPr>
            </w:pPr>
            <w:r>
              <w:rPr>
                <w:color w:val="auto"/>
                <w:spacing w:val="-2"/>
              </w:rPr>
              <w:t>投标有效期</w:t>
            </w:r>
          </w:p>
        </w:tc>
        <w:tc>
          <w:tcPr>
            <w:tcW w:w="6726" w:type="dxa"/>
            <w:vAlign w:val="top"/>
          </w:tcPr>
          <w:p w14:paraId="5A4F95B7">
            <w:pPr>
              <w:rPr>
                <w:rFonts w:ascii="Arial"/>
                <w:color w:val="auto"/>
                <w:sz w:val="21"/>
              </w:rPr>
            </w:pPr>
          </w:p>
        </w:tc>
      </w:tr>
      <w:tr w14:paraId="56B8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60" w:type="dxa"/>
            <w:vAlign w:val="top"/>
          </w:tcPr>
          <w:p w14:paraId="43578A82">
            <w:pPr>
              <w:pStyle w:val="11"/>
              <w:spacing w:before="256" w:line="220" w:lineRule="auto"/>
              <w:ind w:left="804"/>
              <w:rPr>
                <w:color w:val="auto"/>
              </w:rPr>
            </w:pPr>
            <w:r>
              <w:rPr>
                <w:color w:val="auto"/>
                <w:spacing w:val="-2"/>
              </w:rPr>
              <w:t>质量要求</w:t>
            </w:r>
          </w:p>
        </w:tc>
        <w:tc>
          <w:tcPr>
            <w:tcW w:w="6726" w:type="dxa"/>
            <w:vAlign w:val="top"/>
          </w:tcPr>
          <w:p w14:paraId="0F143B58">
            <w:pPr>
              <w:rPr>
                <w:rFonts w:ascii="Arial"/>
                <w:color w:val="auto"/>
                <w:sz w:val="21"/>
              </w:rPr>
            </w:pPr>
          </w:p>
        </w:tc>
      </w:tr>
      <w:tr w14:paraId="2CFF8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560" w:type="dxa"/>
            <w:vAlign w:val="top"/>
          </w:tcPr>
          <w:p w14:paraId="0FAD2C18">
            <w:pPr>
              <w:spacing w:line="325" w:lineRule="auto"/>
              <w:rPr>
                <w:rFonts w:ascii="Arial"/>
                <w:color w:val="auto"/>
                <w:sz w:val="21"/>
              </w:rPr>
            </w:pPr>
          </w:p>
          <w:p w14:paraId="1844A020">
            <w:pPr>
              <w:pStyle w:val="11"/>
              <w:spacing w:before="78" w:line="221" w:lineRule="auto"/>
              <w:ind w:left="1046"/>
              <w:rPr>
                <w:color w:val="auto"/>
              </w:rPr>
            </w:pPr>
            <w:r>
              <w:rPr>
                <w:color w:val="auto"/>
                <w:spacing w:val="-4"/>
              </w:rPr>
              <w:t>备注</w:t>
            </w:r>
          </w:p>
        </w:tc>
        <w:tc>
          <w:tcPr>
            <w:tcW w:w="6726" w:type="dxa"/>
            <w:vAlign w:val="top"/>
          </w:tcPr>
          <w:p w14:paraId="5B018AE3">
            <w:pPr>
              <w:rPr>
                <w:rFonts w:ascii="Arial"/>
                <w:color w:val="auto"/>
                <w:sz w:val="21"/>
              </w:rPr>
            </w:pPr>
          </w:p>
        </w:tc>
      </w:tr>
    </w:tbl>
    <w:p w14:paraId="37B72B50">
      <w:pPr>
        <w:pStyle w:val="3"/>
        <w:spacing w:line="247" w:lineRule="auto"/>
        <w:rPr>
          <w:color w:val="auto"/>
        </w:rPr>
      </w:pPr>
    </w:p>
    <w:p w14:paraId="1BAA74B9">
      <w:pPr>
        <w:pStyle w:val="3"/>
        <w:spacing w:line="247" w:lineRule="auto"/>
        <w:rPr>
          <w:color w:val="auto"/>
        </w:rPr>
      </w:pPr>
    </w:p>
    <w:p w14:paraId="02F45384">
      <w:pPr>
        <w:pStyle w:val="3"/>
        <w:spacing w:line="248" w:lineRule="auto"/>
        <w:rPr>
          <w:color w:val="auto"/>
        </w:rPr>
      </w:pPr>
    </w:p>
    <w:p w14:paraId="683A0C99">
      <w:pPr>
        <w:pStyle w:val="3"/>
        <w:spacing w:line="248" w:lineRule="auto"/>
        <w:rPr>
          <w:color w:val="auto"/>
        </w:rPr>
      </w:pPr>
    </w:p>
    <w:p w14:paraId="572BAB2A">
      <w:pPr>
        <w:spacing w:before="78" w:line="220" w:lineRule="auto"/>
        <w:ind w:left="3065"/>
        <w:rPr>
          <w:rFonts w:ascii="宋体" w:hAnsi="宋体" w:eastAsia="宋体" w:cs="宋体"/>
          <w:color w:val="auto"/>
          <w:sz w:val="24"/>
          <w:szCs w:val="24"/>
        </w:rPr>
      </w:pPr>
      <w:r>
        <w:rPr>
          <w:rFonts w:ascii="宋体" w:hAnsi="宋体" w:eastAsia="宋体" w:cs="宋体"/>
          <w:color w:val="auto"/>
          <w:spacing w:val="-8"/>
          <w:sz w:val="24"/>
          <w:szCs w:val="24"/>
        </w:rPr>
        <w:t>法定代表人签字：</w:t>
      </w:r>
    </w:p>
    <w:p w14:paraId="040E3E05">
      <w:pPr>
        <w:spacing w:before="314"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供应商：（全称并加盖公章）</w:t>
      </w:r>
    </w:p>
    <w:p w14:paraId="6BFC5A3E">
      <w:pPr>
        <w:pStyle w:val="3"/>
        <w:spacing w:line="250" w:lineRule="auto"/>
        <w:jc w:val="right"/>
        <w:rPr>
          <w:color w:val="auto"/>
        </w:rPr>
      </w:pPr>
      <w:r>
        <w:rPr>
          <w:rFonts w:ascii="宋体" w:hAnsi="宋体" w:eastAsia="宋体" w:cs="宋体"/>
          <w:color w:val="auto"/>
          <w:spacing w:val="-9"/>
          <w:sz w:val="24"/>
          <w:szCs w:val="24"/>
        </w:rPr>
        <w:t>年月日</w:t>
      </w:r>
    </w:p>
    <w:p w14:paraId="55BC68CD">
      <w:pPr>
        <w:pStyle w:val="3"/>
        <w:spacing w:line="250" w:lineRule="auto"/>
        <w:rPr>
          <w:color w:val="auto"/>
        </w:rPr>
      </w:pPr>
    </w:p>
    <w:p w14:paraId="6855A429">
      <w:pPr>
        <w:pStyle w:val="3"/>
        <w:spacing w:line="251" w:lineRule="auto"/>
        <w:rPr>
          <w:color w:val="auto"/>
        </w:rPr>
      </w:pPr>
    </w:p>
    <w:p w14:paraId="79614304">
      <w:pPr>
        <w:pStyle w:val="3"/>
        <w:spacing w:line="251" w:lineRule="auto"/>
        <w:rPr>
          <w:color w:val="auto"/>
        </w:rPr>
      </w:pPr>
    </w:p>
    <w:p w14:paraId="171B0B8A">
      <w:pPr>
        <w:rPr>
          <w:rFonts w:ascii="宋体" w:hAnsi="宋体" w:eastAsia="宋体" w:cs="宋体"/>
          <w:b/>
          <w:bCs/>
          <w:color w:val="auto"/>
          <w:spacing w:val="-6"/>
          <w:sz w:val="28"/>
          <w:szCs w:val="28"/>
        </w:rPr>
      </w:pPr>
      <w:r>
        <w:rPr>
          <w:rFonts w:ascii="宋体" w:hAnsi="宋体" w:eastAsia="宋体" w:cs="宋体"/>
          <w:b/>
          <w:bCs/>
          <w:color w:val="auto"/>
          <w:spacing w:val="-6"/>
          <w:sz w:val="28"/>
          <w:szCs w:val="28"/>
        </w:rPr>
        <w:br w:type="page"/>
      </w:r>
    </w:p>
    <w:p w14:paraId="5488D381">
      <w:pPr>
        <w:spacing w:before="91" w:line="219" w:lineRule="auto"/>
        <w:ind w:left="1823"/>
        <w:rPr>
          <w:rFonts w:ascii="宋体" w:hAnsi="宋体" w:eastAsia="宋体" w:cs="宋体"/>
          <w:color w:val="auto"/>
          <w:sz w:val="28"/>
          <w:szCs w:val="28"/>
        </w:rPr>
      </w:pPr>
      <w:r>
        <w:rPr>
          <w:rFonts w:ascii="宋体" w:hAnsi="宋体" w:eastAsia="宋体" w:cs="宋体"/>
          <w:b/>
          <w:bCs/>
          <w:color w:val="auto"/>
          <w:spacing w:val="-6"/>
          <w:sz w:val="28"/>
          <w:szCs w:val="28"/>
        </w:rPr>
        <w:t>附件4法定代表人身份证明</w:t>
      </w:r>
      <w:r>
        <w:rPr>
          <w:rFonts w:ascii="宋体" w:hAnsi="宋体" w:eastAsia="宋体" w:cs="宋体"/>
          <w:color w:val="auto"/>
          <w:spacing w:val="-6"/>
          <w:sz w:val="28"/>
          <w:szCs w:val="28"/>
        </w:rPr>
        <w:t>（格式）</w:t>
      </w:r>
    </w:p>
    <w:p w14:paraId="4873C940">
      <w:pPr>
        <w:pStyle w:val="3"/>
        <w:spacing w:line="246" w:lineRule="auto"/>
        <w:rPr>
          <w:color w:val="auto"/>
        </w:rPr>
      </w:pPr>
    </w:p>
    <w:p w14:paraId="2CACA199">
      <w:pPr>
        <w:pStyle w:val="3"/>
        <w:spacing w:line="246" w:lineRule="auto"/>
        <w:rPr>
          <w:color w:val="auto"/>
        </w:rPr>
      </w:pPr>
    </w:p>
    <w:p w14:paraId="0B45871D">
      <w:pPr>
        <w:pStyle w:val="3"/>
        <w:spacing w:line="247" w:lineRule="auto"/>
        <w:rPr>
          <w:color w:val="auto"/>
        </w:rPr>
      </w:pPr>
    </w:p>
    <w:p w14:paraId="772D4659">
      <w:pPr>
        <w:spacing w:before="78" w:line="219" w:lineRule="auto"/>
        <w:ind w:left="419"/>
        <w:rPr>
          <w:rFonts w:ascii="宋体" w:hAnsi="宋体" w:eastAsia="宋体" w:cs="宋体"/>
          <w:color w:val="auto"/>
          <w:sz w:val="24"/>
          <w:szCs w:val="24"/>
        </w:rPr>
      </w:pPr>
      <w:r>
        <w:rPr>
          <w:rFonts w:ascii="宋体" w:hAnsi="宋体" w:eastAsia="宋体" w:cs="宋体"/>
          <w:color w:val="auto"/>
          <w:spacing w:val="-9"/>
          <w:sz w:val="24"/>
          <w:szCs w:val="24"/>
        </w:rPr>
        <w:t>谈判供应商：</w:t>
      </w:r>
    </w:p>
    <w:p w14:paraId="33CB15B2">
      <w:pPr>
        <w:spacing w:before="315" w:line="220" w:lineRule="auto"/>
        <w:ind w:left="421"/>
        <w:rPr>
          <w:rFonts w:ascii="宋体" w:hAnsi="宋体" w:eastAsia="宋体" w:cs="宋体"/>
          <w:color w:val="auto"/>
          <w:sz w:val="24"/>
          <w:szCs w:val="24"/>
        </w:rPr>
      </w:pPr>
      <w:r>
        <w:rPr>
          <w:rFonts w:ascii="宋体" w:hAnsi="宋体" w:eastAsia="宋体" w:cs="宋体"/>
          <w:color w:val="auto"/>
          <w:spacing w:val="-11"/>
          <w:sz w:val="24"/>
          <w:szCs w:val="24"/>
        </w:rPr>
        <w:t>单位性质：</w:t>
      </w:r>
    </w:p>
    <w:p w14:paraId="12654CFF">
      <w:pPr>
        <w:spacing w:before="313" w:line="229" w:lineRule="auto"/>
        <w:ind w:left="420"/>
        <w:rPr>
          <w:rFonts w:ascii="宋体" w:hAnsi="宋体" w:eastAsia="宋体" w:cs="宋体"/>
          <w:color w:val="auto"/>
          <w:sz w:val="24"/>
          <w:szCs w:val="24"/>
        </w:rPr>
      </w:pPr>
      <w:r>
        <w:rPr>
          <w:rFonts w:ascii="宋体" w:hAnsi="宋体" w:eastAsia="宋体" w:cs="宋体"/>
          <w:color w:val="auto"/>
          <w:spacing w:val="-15"/>
          <w:sz w:val="24"/>
          <w:szCs w:val="24"/>
        </w:rPr>
        <w:t>地址：</w:t>
      </w:r>
    </w:p>
    <w:p w14:paraId="10D4531C">
      <w:pPr>
        <w:spacing w:before="301" w:line="220" w:lineRule="auto"/>
        <w:ind w:left="421"/>
        <w:rPr>
          <w:rFonts w:ascii="宋体" w:hAnsi="宋体" w:eastAsia="宋体" w:cs="宋体"/>
          <w:color w:val="auto"/>
          <w:sz w:val="24"/>
          <w:szCs w:val="24"/>
        </w:rPr>
      </w:pPr>
      <w:r>
        <w:rPr>
          <w:rFonts w:ascii="宋体" w:hAnsi="宋体" w:eastAsia="宋体" w:cs="宋体"/>
          <w:color w:val="auto"/>
          <w:spacing w:val="-2"/>
          <w:sz w:val="24"/>
          <w:szCs w:val="24"/>
        </w:rPr>
        <w:t>成立时间：年月日</w:t>
      </w:r>
    </w:p>
    <w:p w14:paraId="23C9E492">
      <w:pPr>
        <w:spacing w:before="315" w:line="220" w:lineRule="auto"/>
        <w:ind w:left="421"/>
        <w:rPr>
          <w:rFonts w:ascii="宋体" w:hAnsi="宋体" w:eastAsia="宋体" w:cs="宋体"/>
          <w:color w:val="auto"/>
          <w:sz w:val="24"/>
          <w:szCs w:val="24"/>
        </w:rPr>
      </w:pPr>
      <w:r>
        <w:rPr>
          <w:rFonts w:ascii="宋体" w:hAnsi="宋体" w:eastAsia="宋体" w:cs="宋体"/>
          <w:color w:val="auto"/>
          <w:spacing w:val="-11"/>
          <w:sz w:val="24"/>
          <w:szCs w:val="24"/>
        </w:rPr>
        <w:t>经营期限：</w:t>
      </w:r>
    </w:p>
    <w:p w14:paraId="49D5F2F3">
      <w:pPr>
        <w:spacing w:before="313" w:line="220" w:lineRule="auto"/>
        <w:ind w:left="420"/>
        <w:rPr>
          <w:rFonts w:ascii="宋体" w:hAnsi="宋体" w:eastAsia="宋体" w:cs="宋体"/>
          <w:color w:val="auto"/>
          <w:sz w:val="24"/>
          <w:szCs w:val="24"/>
        </w:rPr>
      </w:pPr>
      <w:r>
        <w:rPr>
          <w:rFonts w:ascii="宋体" w:hAnsi="宋体" w:eastAsia="宋体" w:cs="宋体"/>
          <w:color w:val="auto"/>
          <w:spacing w:val="-10"/>
          <w:sz w:val="24"/>
          <w:szCs w:val="24"/>
        </w:rPr>
        <w:t>姓名：性别：</w:t>
      </w:r>
    </w:p>
    <w:p w14:paraId="77644A28">
      <w:pPr>
        <w:spacing w:before="315" w:line="219" w:lineRule="auto"/>
        <w:ind w:left="420"/>
        <w:rPr>
          <w:rFonts w:ascii="宋体" w:hAnsi="宋体" w:eastAsia="宋体" w:cs="宋体"/>
          <w:color w:val="auto"/>
          <w:sz w:val="24"/>
          <w:szCs w:val="24"/>
        </w:rPr>
      </w:pPr>
      <w:r>
        <w:rPr>
          <w:rFonts w:ascii="宋体" w:hAnsi="宋体" w:eastAsia="宋体" w:cs="宋体"/>
          <w:color w:val="auto"/>
          <w:spacing w:val="-1"/>
          <w:sz w:val="24"/>
          <w:szCs w:val="24"/>
        </w:rPr>
        <w:t>年龄：职务：系（谈判供应商</w:t>
      </w:r>
      <w:r>
        <w:rPr>
          <w:rFonts w:ascii="宋体" w:hAnsi="宋体" w:eastAsia="宋体" w:cs="宋体"/>
          <w:color w:val="auto"/>
          <w:spacing w:val="-2"/>
          <w:sz w:val="24"/>
          <w:szCs w:val="24"/>
        </w:rPr>
        <w:t>）的法定代表人。</w:t>
      </w:r>
    </w:p>
    <w:p w14:paraId="54C07B21">
      <w:pPr>
        <w:pStyle w:val="3"/>
        <w:spacing w:line="277" w:lineRule="auto"/>
        <w:rPr>
          <w:color w:val="auto"/>
        </w:rPr>
      </w:pPr>
    </w:p>
    <w:p w14:paraId="1CF3AE8A">
      <w:pPr>
        <w:pStyle w:val="3"/>
        <w:spacing w:line="277" w:lineRule="auto"/>
        <w:rPr>
          <w:color w:val="auto"/>
        </w:rPr>
      </w:pPr>
    </w:p>
    <w:p w14:paraId="09AAD273">
      <w:pPr>
        <w:pStyle w:val="3"/>
        <w:spacing w:line="277" w:lineRule="auto"/>
        <w:rPr>
          <w:color w:val="auto"/>
        </w:rPr>
      </w:pPr>
    </w:p>
    <w:p w14:paraId="5B10ACFA">
      <w:pPr>
        <w:spacing w:before="78" w:line="220" w:lineRule="auto"/>
        <w:rPr>
          <w:rFonts w:ascii="宋体" w:hAnsi="宋体" w:eastAsia="宋体" w:cs="宋体"/>
          <w:color w:val="auto"/>
          <w:sz w:val="24"/>
          <w:szCs w:val="24"/>
        </w:rPr>
      </w:pPr>
      <w:r>
        <w:rPr>
          <w:rFonts w:ascii="宋体" w:hAnsi="宋体" w:eastAsia="宋体" w:cs="宋体"/>
          <w:color w:val="auto"/>
          <w:spacing w:val="-8"/>
          <w:sz w:val="24"/>
          <w:szCs w:val="24"/>
        </w:rPr>
        <w:t>特此证明。</w:t>
      </w:r>
    </w:p>
    <w:p w14:paraId="1BE0AB90">
      <w:pPr>
        <w:pStyle w:val="3"/>
        <w:spacing w:line="381" w:lineRule="auto"/>
        <w:rPr>
          <w:color w:val="auto"/>
        </w:rPr>
      </w:pPr>
    </w:p>
    <w:p w14:paraId="2780FD98">
      <w:pPr>
        <w:spacing w:before="79" w:line="219" w:lineRule="auto"/>
        <w:ind w:left="633"/>
        <w:rPr>
          <w:rFonts w:ascii="宋体" w:hAnsi="宋体" w:eastAsia="宋体" w:cs="宋体"/>
          <w:color w:val="auto"/>
          <w:sz w:val="24"/>
          <w:szCs w:val="24"/>
        </w:rPr>
      </w:pPr>
      <w:r>
        <w:rPr>
          <w:rFonts w:ascii="宋体" w:hAnsi="宋体" w:eastAsia="宋体" w:cs="宋体"/>
          <w:color w:val="auto"/>
          <w:spacing w:val="-3"/>
          <w:sz w:val="24"/>
          <w:szCs w:val="24"/>
        </w:rPr>
        <w:t>附法定代表人身份证复印件</w:t>
      </w:r>
    </w:p>
    <w:p w14:paraId="170CAF28">
      <w:pPr>
        <w:pStyle w:val="3"/>
        <w:spacing w:line="252" w:lineRule="auto"/>
        <w:rPr>
          <w:color w:val="auto"/>
        </w:rPr>
      </w:pPr>
    </w:p>
    <w:p w14:paraId="4F406721">
      <w:pPr>
        <w:pStyle w:val="3"/>
        <w:spacing w:line="252" w:lineRule="auto"/>
        <w:rPr>
          <w:color w:val="auto"/>
        </w:rPr>
      </w:pPr>
    </w:p>
    <w:p w14:paraId="4943D64E">
      <w:pPr>
        <w:pStyle w:val="3"/>
        <w:spacing w:line="252" w:lineRule="auto"/>
        <w:rPr>
          <w:color w:val="auto"/>
        </w:rPr>
      </w:pPr>
    </w:p>
    <w:p w14:paraId="4FE67F7E">
      <w:pPr>
        <w:pStyle w:val="3"/>
        <w:spacing w:line="252" w:lineRule="auto"/>
        <w:rPr>
          <w:color w:val="auto"/>
        </w:rPr>
      </w:pPr>
    </w:p>
    <w:p w14:paraId="2CF4784B">
      <w:pPr>
        <w:pStyle w:val="3"/>
        <w:spacing w:line="252" w:lineRule="auto"/>
        <w:rPr>
          <w:color w:val="auto"/>
        </w:rPr>
      </w:pPr>
    </w:p>
    <w:p w14:paraId="42E06CC4">
      <w:pPr>
        <w:pStyle w:val="3"/>
        <w:spacing w:line="252" w:lineRule="auto"/>
        <w:rPr>
          <w:color w:val="auto"/>
        </w:rPr>
      </w:pPr>
    </w:p>
    <w:p w14:paraId="3DB72CDB">
      <w:pPr>
        <w:pStyle w:val="3"/>
        <w:spacing w:line="252" w:lineRule="auto"/>
        <w:rPr>
          <w:color w:val="auto"/>
        </w:rPr>
      </w:pPr>
    </w:p>
    <w:p w14:paraId="7C593604">
      <w:pPr>
        <w:pStyle w:val="3"/>
        <w:spacing w:line="252" w:lineRule="auto"/>
        <w:rPr>
          <w:color w:val="auto"/>
        </w:rPr>
      </w:pPr>
    </w:p>
    <w:p w14:paraId="1C2A2241">
      <w:pPr>
        <w:pStyle w:val="3"/>
        <w:spacing w:line="252" w:lineRule="auto"/>
        <w:rPr>
          <w:color w:val="auto"/>
        </w:rPr>
      </w:pPr>
    </w:p>
    <w:p w14:paraId="4409AE82">
      <w:pPr>
        <w:pStyle w:val="3"/>
        <w:spacing w:line="253" w:lineRule="auto"/>
        <w:rPr>
          <w:color w:val="auto"/>
        </w:rPr>
      </w:pPr>
    </w:p>
    <w:p w14:paraId="312EA897">
      <w:pPr>
        <w:spacing w:before="78" w:line="219" w:lineRule="auto"/>
        <w:ind w:left="4199"/>
        <w:rPr>
          <w:rFonts w:ascii="宋体" w:hAnsi="宋体" w:eastAsia="宋体" w:cs="宋体"/>
          <w:color w:val="auto"/>
          <w:sz w:val="24"/>
          <w:szCs w:val="24"/>
        </w:rPr>
      </w:pPr>
      <w:r>
        <w:rPr>
          <w:rFonts w:ascii="宋体" w:hAnsi="宋体" w:eastAsia="宋体" w:cs="宋体"/>
          <w:color w:val="auto"/>
          <w:spacing w:val="-1"/>
          <w:sz w:val="24"/>
          <w:szCs w:val="24"/>
        </w:rPr>
        <w:t>供应商</w:t>
      </w:r>
      <w:r>
        <w:rPr>
          <w:rFonts w:ascii="宋体" w:hAnsi="宋体" w:eastAsia="宋体" w:cs="宋体"/>
          <w:color w:val="auto"/>
          <w:spacing w:val="-2"/>
          <w:sz w:val="24"/>
          <w:szCs w:val="24"/>
        </w:rPr>
        <w:t>：</w:t>
      </w:r>
      <w:r>
        <w:rPr>
          <w:rFonts w:ascii="宋体" w:hAnsi="宋体" w:eastAsia="宋体" w:cs="宋体"/>
          <w:color w:val="auto"/>
          <w:spacing w:val="-2"/>
          <w:sz w:val="24"/>
          <w:szCs w:val="24"/>
          <w:u w:val="single" w:color="auto"/>
        </w:rPr>
        <w:t>（</w:t>
      </w:r>
      <w:r>
        <w:rPr>
          <w:rFonts w:ascii="宋体" w:hAnsi="宋体" w:eastAsia="宋体" w:cs="宋体"/>
          <w:color w:val="auto"/>
          <w:spacing w:val="-1"/>
          <w:sz w:val="24"/>
          <w:szCs w:val="24"/>
          <w:u w:val="single" w:color="auto"/>
        </w:rPr>
        <w:t>盖单位章）</w:t>
      </w:r>
    </w:p>
    <w:p w14:paraId="3EB035F6">
      <w:pPr>
        <w:spacing w:before="315" w:line="220" w:lineRule="auto"/>
        <w:ind w:left="5250"/>
        <w:rPr>
          <w:rFonts w:ascii="宋体" w:hAnsi="宋体" w:eastAsia="宋体" w:cs="宋体"/>
          <w:color w:val="auto"/>
          <w:sz w:val="24"/>
          <w:szCs w:val="24"/>
        </w:rPr>
      </w:pPr>
      <w:r>
        <w:rPr>
          <w:rFonts w:ascii="宋体" w:hAnsi="宋体" w:eastAsia="宋体" w:cs="宋体"/>
          <w:color w:val="auto"/>
          <w:spacing w:val="-9"/>
          <w:sz w:val="24"/>
          <w:szCs w:val="24"/>
        </w:rPr>
        <w:t>年月日</w:t>
      </w:r>
    </w:p>
    <w:p w14:paraId="398541F1">
      <w:pPr>
        <w:spacing w:line="220" w:lineRule="auto"/>
        <w:rPr>
          <w:rFonts w:ascii="宋体" w:hAnsi="宋体" w:eastAsia="宋体" w:cs="宋体"/>
          <w:color w:val="auto"/>
          <w:sz w:val="24"/>
          <w:szCs w:val="24"/>
        </w:rPr>
        <w:sectPr>
          <w:pgSz w:w="11900" w:h="16839"/>
          <w:pgMar w:top="1440" w:right="1800" w:bottom="1440" w:left="1800" w:header="0" w:footer="0" w:gutter="0"/>
          <w:cols w:space="720" w:num="1"/>
        </w:sectPr>
      </w:pPr>
    </w:p>
    <w:p w14:paraId="6D64099C">
      <w:pPr>
        <w:spacing w:before="91" w:line="219" w:lineRule="auto"/>
        <w:ind w:left="1960"/>
        <w:rPr>
          <w:rFonts w:ascii="宋体" w:hAnsi="宋体" w:eastAsia="宋体" w:cs="宋体"/>
          <w:color w:val="auto"/>
          <w:sz w:val="28"/>
          <w:szCs w:val="28"/>
        </w:rPr>
      </w:pPr>
      <w:r>
        <w:rPr>
          <w:rFonts w:ascii="宋体" w:hAnsi="宋体" w:eastAsia="宋体" w:cs="宋体"/>
          <w:b/>
          <w:bCs/>
          <w:color w:val="auto"/>
          <w:spacing w:val="-7"/>
          <w:sz w:val="28"/>
          <w:szCs w:val="28"/>
        </w:rPr>
        <w:t>附件5法定代表人授权书</w:t>
      </w:r>
      <w:r>
        <w:rPr>
          <w:rFonts w:ascii="宋体" w:hAnsi="宋体" w:eastAsia="宋体" w:cs="宋体"/>
          <w:color w:val="auto"/>
          <w:spacing w:val="-7"/>
          <w:sz w:val="28"/>
          <w:szCs w:val="28"/>
        </w:rPr>
        <w:t>（格式）</w:t>
      </w:r>
    </w:p>
    <w:p w14:paraId="26B67692">
      <w:pPr>
        <w:pStyle w:val="3"/>
        <w:spacing w:line="280" w:lineRule="auto"/>
        <w:rPr>
          <w:color w:val="auto"/>
        </w:rPr>
      </w:pPr>
    </w:p>
    <w:p w14:paraId="10B5F31E">
      <w:pPr>
        <w:pStyle w:val="3"/>
        <w:spacing w:line="280" w:lineRule="auto"/>
        <w:rPr>
          <w:color w:val="auto"/>
        </w:rPr>
      </w:pPr>
    </w:p>
    <w:p w14:paraId="5A520896">
      <w:pPr>
        <w:tabs>
          <w:tab w:val="left" w:pos="2867"/>
        </w:tabs>
        <w:spacing w:before="78" w:line="239" w:lineRule="auto"/>
        <w:ind w:left="108"/>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w:t>
      </w:r>
    </w:p>
    <w:p w14:paraId="70CD09F6">
      <w:pPr>
        <w:spacing w:before="188" w:line="385" w:lineRule="auto"/>
        <w:ind w:firstLine="421"/>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兹委托</w:t>
      </w:r>
      <w:r>
        <w:rPr>
          <w:rFonts w:ascii="宋体" w:hAnsi="宋体" w:eastAsia="宋体" w:cs="宋体"/>
          <w:color w:val="auto"/>
          <w:spacing w:val="-1"/>
          <w:sz w:val="24"/>
          <w:szCs w:val="24"/>
          <w:u w:val="single" w:color="auto"/>
        </w:rPr>
        <w:t>（被委托人姓名、职务</w:t>
      </w:r>
      <w:r>
        <w:rPr>
          <w:rFonts w:ascii="宋体" w:hAnsi="宋体" w:eastAsia="宋体" w:cs="宋体"/>
          <w:color w:val="auto"/>
          <w:spacing w:val="2"/>
          <w:sz w:val="24"/>
          <w:szCs w:val="24"/>
          <w:u w:val="single" w:color="auto"/>
        </w:rPr>
        <w:t>）（</w:t>
      </w:r>
      <w:r>
        <w:rPr>
          <w:rFonts w:ascii="宋体" w:hAnsi="宋体" w:eastAsia="宋体" w:cs="宋体"/>
          <w:color w:val="auto"/>
          <w:spacing w:val="-1"/>
          <w:sz w:val="24"/>
          <w:szCs w:val="24"/>
          <w:u w:val="single" w:color="auto"/>
        </w:rPr>
        <w:t>身份证编号</w:t>
      </w:r>
      <w:r>
        <w:rPr>
          <w:rFonts w:ascii="宋体" w:hAnsi="宋体" w:eastAsia="宋体" w:cs="宋体"/>
          <w:color w:val="auto"/>
          <w:spacing w:val="2"/>
          <w:sz w:val="24"/>
          <w:szCs w:val="24"/>
          <w:u w:val="single" w:color="auto"/>
        </w:rPr>
        <w:t>）</w:t>
      </w:r>
      <w:r>
        <w:rPr>
          <w:rFonts w:ascii="宋体" w:hAnsi="宋体" w:eastAsia="宋体" w:cs="宋体"/>
          <w:color w:val="auto"/>
          <w:spacing w:val="2"/>
          <w:sz w:val="24"/>
          <w:szCs w:val="24"/>
        </w:rPr>
        <w:t>，</w:t>
      </w:r>
      <w:r>
        <w:rPr>
          <w:rFonts w:ascii="宋体" w:hAnsi="宋体" w:eastAsia="宋体" w:cs="宋体"/>
          <w:color w:val="auto"/>
          <w:spacing w:val="-1"/>
          <w:sz w:val="24"/>
          <w:szCs w:val="24"/>
        </w:rPr>
        <w:t>为我单位的委托代理人，代表我单位就</w:t>
      </w:r>
      <w:r>
        <w:rPr>
          <w:rFonts w:ascii="宋体" w:hAnsi="宋体" w:eastAsia="宋体" w:cs="宋体"/>
          <w:color w:val="auto"/>
          <w:spacing w:val="-1"/>
          <w:sz w:val="24"/>
          <w:szCs w:val="24"/>
          <w:u w:val="single" w:color="auto"/>
        </w:rPr>
        <w:t>（项目名称）</w:t>
      </w:r>
    </w:p>
    <w:p w14:paraId="04BEDEBC">
      <w:pPr>
        <w:spacing w:line="219" w:lineRule="auto"/>
        <w:ind w:left="17"/>
        <w:rPr>
          <w:rFonts w:ascii="宋体" w:hAnsi="宋体" w:eastAsia="宋体" w:cs="宋体"/>
          <w:color w:val="auto"/>
          <w:sz w:val="24"/>
          <w:szCs w:val="24"/>
        </w:rPr>
      </w:pPr>
      <w:r>
        <w:rPr>
          <w:rFonts w:ascii="宋体" w:hAnsi="宋体" w:eastAsia="宋体" w:cs="宋体"/>
          <w:color w:val="auto"/>
          <w:spacing w:val="-1"/>
          <w:sz w:val="24"/>
          <w:szCs w:val="24"/>
        </w:rPr>
        <w:t>的谈判活动签署响应性文件、接受质疑和询问、签订合同和处理与之有关的一切事务</w:t>
      </w:r>
    </w:p>
    <w:p w14:paraId="0AD3591F">
      <w:pPr>
        <w:pStyle w:val="3"/>
        <w:spacing w:line="289" w:lineRule="auto"/>
        <w:rPr>
          <w:color w:val="auto"/>
        </w:rPr>
      </w:pPr>
    </w:p>
    <w:p w14:paraId="4A43975E">
      <w:pPr>
        <w:spacing w:before="78" w:line="121" w:lineRule="exact"/>
        <w:ind w:left="21"/>
        <w:rPr>
          <w:rFonts w:ascii="宋体" w:hAnsi="宋体" w:eastAsia="宋体" w:cs="宋体"/>
          <w:color w:val="auto"/>
          <w:sz w:val="24"/>
          <w:szCs w:val="24"/>
        </w:rPr>
      </w:pPr>
      <w:r>
        <w:rPr>
          <w:rFonts w:ascii="宋体" w:hAnsi="宋体" w:eastAsia="宋体" w:cs="宋体"/>
          <w:color w:val="auto"/>
          <w:position w:val="1"/>
          <w:sz w:val="24"/>
          <w:szCs w:val="24"/>
        </w:rPr>
        <w:t>。</w:t>
      </w:r>
    </w:p>
    <w:p w14:paraId="295FFD36">
      <w:pPr>
        <w:spacing w:before="224" w:line="220" w:lineRule="auto"/>
        <w:ind w:left="417"/>
        <w:rPr>
          <w:rFonts w:ascii="宋体" w:hAnsi="宋体" w:eastAsia="宋体" w:cs="宋体"/>
          <w:color w:val="auto"/>
          <w:sz w:val="24"/>
          <w:szCs w:val="24"/>
        </w:rPr>
      </w:pPr>
      <w:r>
        <w:rPr>
          <w:rFonts w:ascii="宋体" w:hAnsi="宋体" w:eastAsia="宋体" w:cs="宋体"/>
          <w:color w:val="auto"/>
          <w:spacing w:val="-3"/>
          <w:sz w:val="24"/>
          <w:szCs w:val="24"/>
        </w:rPr>
        <w:t>代理人无转委托权，特此证明。</w:t>
      </w:r>
    </w:p>
    <w:p w14:paraId="737B8324">
      <w:pPr>
        <w:pStyle w:val="3"/>
        <w:spacing w:line="282" w:lineRule="auto"/>
        <w:rPr>
          <w:color w:val="auto"/>
        </w:rPr>
      </w:pPr>
    </w:p>
    <w:p w14:paraId="3F279544">
      <w:pPr>
        <w:pStyle w:val="3"/>
        <w:spacing w:line="282" w:lineRule="auto"/>
        <w:rPr>
          <w:color w:val="auto"/>
        </w:rPr>
      </w:pPr>
    </w:p>
    <w:p w14:paraId="3BD2E619">
      <w:pPr>
        <w:pStyle w:val="3"/>
        <w:spacing w:line="282" w:lineRule="auto"/>
        <w:rPr>
          <w:color w:val="auto"/>
        </w:rPr>
      </w:pPr>
    </w:p>
    <w:p w14:paraId="71A70B12">
      <w:pPr>
        <w:pStyle w:val="3"/>
        <w:spacing w:line="283" w:lineRule="auto"/>
        <w:rPr>
          <w:color w:val="auto"/>
        </w:rPr>
      </w:pPr>
    </w:p>
    <w:p w14:paraId="1C00BBA7">
      <w:pPr>
        <w:spacing w:before="78" w:line="219" w:lineRule="auto"/>
        <w:ind w:left="417"/>
        <w:rPr>
          <w:rFonts w:ascii="宋体" w:hAnsi="宋体" w:eastAsia="宋体" w:cs="宋体"/>
          <w:color w:val="auto"/>
          <w:sz w:val="24"/>
          <w:szCs w:val="24"/>
        </w:rPr>
      </w:pPr>
      <w:r>
        <w:rPr>
          <w:rFonts w:ascii="宋体" w:hAnsi="宋体" w:eastAsia="宋体" w:cs="宋体"/>
          <w:color w:val="auto"/>
          <w:spacing w:val="-1"/>
          <w:sz w:val="24"/>
          <w:szCs w:val="24"/>
        </w:rPr>
        <w:t>授权委托单位</w:t>
      </w:r>
      <w:r>
        <w:rPr>
          <w:rFonts w:ascii="宋体" w:hAnsi="宋体" w:eastAsia="宋体" w:cs="宋体"/>
          <w:color w:val="auto"/>
          <w:sz w:val="24"/>
          <w:szCs w:val="24"/>
        </w:rPr>
        <w:t>：</w:t>
      </w:r>
      <w:r>
        <w:rPr>
          <w:rFonts w:ascii="宋体" w:hAnsi="宋体" w:eastAsia="宋体" w:cs="宋体"/>
          <w:color w:val="auto"/>
          <w:sz w:val="24"/>
          <w:szCs w:val="24"/>
          <w:u w:val="single" w:color="auto"/>
        </w:rPr>
        <w:t>（</w:t>
      </w:r>
      <w:r>
        <w:rPr>
          <w:rFonts w:ascii="宋体" w:hAnsi="宋体" w:eastAsia="宋体" w:cs="宋体"/>
          <w:color w:val="auto"/>
          <w:spacing w:val="-1"/>
          <w:sz w:val="24"/>
          <w:szCs w:val="24"/>
          <w:u w:val="single" w:color="auto"/>
        </w:rPr>
        <w:t>单位盖章）</w:t>
      </w:r>
    </w:p>
    <w:p w14:paraId="01EBA38B">
      <w:pPr>
        <w:pStyle w:val="3"/>
        <w:spacing w:line="316" w:lineRule="auto"/>
        <w:rPr>
          <w:color w:val="auto"/>
        </w:rPr>
      </w:pPr>
    </w:p>
    <w:p w14:paraId="6F90875F">
      <w:pPr>
        <w:pStyle w:val="3"/>
        <w:spacing w:line="317" w:lineRule="auto"/>
        <w:rPr>
          <w:color w:val="auto"/>
        </w:rPr>
      </w:pPr>
    </w:p>
    <w:p w14:paraId="19857C57">
      <w:pPr>
        <w:spacing w:before="78" w:line="220" w:lineRule="auto"/>
        <w:ind w:left="419"/>
        <w:rPr>
          <w:rFonts w:ascii="宋体" w:hAnsi="宋体" w:eastAsia="宋体" w:cs="宋体"/>
          <w:color w:val="auto"/>
          <w:sz w:val="24"/>
          <w:szCs w:val="24"/>
        </w:rPr>
      </w:pPr>
      <w:r>
        <w:rPr>
          <w:rFonts w:ascii="宋体" w:hAnsi="宋体" w:eastAsia="宋体" w:cs="宋体"/>
          <w:color w:val="auto"/>
          <w:spacing w:val="-2"/>
          <w:sz w:val="24"/>
          <w:szCs w:val="24"/>
        </w:rPr>
        <w:t>法定代表人</w:t>
      </w:r>
      <w:r>
        <w:rPr>
          <w:rFonts w:ascii="宋体" w:hAnsi="宋体" w:eastAsia="宋体" w:cs="宋体"/>
          <w:color w:val="auto"/>
          <w:spacing w:val="2"/>
          <w:sz w:val="24"/>
          <w:szCs w:val="24"/>
        </w:rPr>
        <w:t>：</w:t>
      </w:r>
      <w:r>
        <w:rPr>
          <w:rFonts w:ascii="宋体" w:hAnsi="宋体" w:eastAsia="宋体" w:cs="宋体"/>
          <w:color w:val="auto"/>
          <w:spacing w:val="2"/>
          <w:sz w:val="24"/>
          <w:szCs w:val="24"/>
          <w:u w:val="single" w:color="auto"/>
        </w:rPr>
        <w:t>（</w:t>
      </w:r>
      <w:r>
        <w:rPr>
          <w:rFonts w:ascii="宋体" w:hAnsi="宋体" w:eastAsia="宋体" w:cs="宋体"/>
          <w:color w:val="auto"/>
          <w:spacing w:val="-2"/>
          <w:sz w:val="24"/>
          <w:szCs w:val="24"/>
          <w:u w:val="single" w:color="auto"/>
        </w:rPr>
        <w:t>签名）</w:t>
      </w:r>
    </w:p>
    <w:p w14:paraId="2D4B6F85">
      <w:pPr>
        <w:pStyle w:val="3"/>
        <w:spacing w:line="316" w:lineRule="auto"/>
        <w:rPr>
          <w:color w:val="auto"/>
        </w:rPr>
      </w:pPr>
    </w:p>
    <w:p w14:paraId="400289E3">
      <w:pPr>
        <w:pStyle w:val="3"/>
        <w:spacing w:line="316" w:lineRule="auto"/>
        <w:rPr>
          <w:color w:val="auto"/>
        </w:rPr>
      </w:pPr>
    </w:p>
    <w:p w14:paraId="47FE0E19">
      <w:pPr>
        <w:spacing w:before="78" w:line="220" w:lineRule="auto"/>
        <w:ind w:left="417"/>
        <w:rPr>
          <w:rFonts w:ascii="宋体" w:hAnsi="宋体" w:eastAsia="宋体" w:cs="宋体"/>
          <w:color w:val="auto"/>
          <w:sz w:val="24"/>
          <w:szCs w:val="24"/>
        </w:rPr>
      </w:pPr>
      <w:r>
        <w:rPr>
          <w:rFonts w:ascii="宋体" w:hAnsi="宋体" w:eastAsia="宋体" w:cs="宋体"/>
          <w:color w:val="auto"/>
          <w:spacing w:val="-1"/>
          <w:sz w:val="24"/>
          <w:szCs w:val="24"/>
        </w:rPr>
        <w:t>委托代理人：</w:t>
      </w:r>
      <w:r>
        <w:rPr>
          <w:rFonts w:ascii="宋体" w:hAnsi="宋体" w:eastAsia="宋体" w:cs="宋体"/>
          <w:color w:val="auto"/>
          <w:spacing w:val="-1"/>
          <w:sz w:val="24"/>
          <w:szCs w:val="24"/>
          <w:u w:val="single" w:color="auto"/>
        </w:rPr>
        <w:t>（签名）</w:t>
      </w:r>
    </w:p>
    <w:p w14:paraId="09C05D84">
      <w:pPr>
        <w:spacing w:before="12"/>
        <w:rPr>
          <w:color w:val="auto"/>
        </w:rPr>
      </w:pPr>
    </w:p>
    <w:p w14:paraId="61B6370A">
      <w:pPr>
        <w:spacing w:before="11"/>
        <w:rPr>
          <w:color w:val="auto"/>
        </w:rPr>
      </w:pPr>
    </w:p>
    <w:p w14:paraId="359320A1">
      <w:pPr>
        <w:spacing w:before="11"/>
        <w:rPr>
          <w:color w:val="auto"/>
        </w:rPr>
      </w:pPr>
    </w:p>
    <w:p w14:paraId="0234CD98">
      <w:pPr>
        <w:spacing w:before="11"/>
        <w:rPr>
          <w:color w:val="auto"/>
        </w:rPr>
      </w:pPr>
    </w:p>
    <w:p w14:paraId="48537413">
      <w:pPr>
        <w:spacing w:before="11"/>
        <w:rPr>
          <w:color w:val="auto"/>
        </w:rPr>
      </w:pPr>
    </w:p>
    <w:p w14:paraId="509E1901">
      <w:pPr>
        <w:rPr>
          <w:color w:val="auto"/>
        </w:rPr>
        <w:sectPr>
          <w:pgSz w:w="11900" w:h="16839"/>
          <w:pgMar w:top="1440" w:right="1800" w:bottom="1440" w:left="1800" w:header="0" w:footer="0" w:gutter="0"/>
          <w:cols w:equalWidth="0" w:num="1">
            <w:col w:w="9040"/>
          </w:cols>
        </w:sectPr>
      </w:pPr>
    </w:p>
    <w:p w14:paraId="504E1057">
      <w:pPr>
        <w:spacing w:before="47" w:line="385" w:lineRule="auto"/>
        <w:ind w:left="923" w:right="768"/>
        <w:rPr>
          <w:rFonts w:ascii="宋体" w:hAnsi="宋体" w:eastAsia="宋体" w:cs="宋体"/>
          <w:color w:val="auto"/>
          <w:sz w:val="24"/>
          <w:szCs w:val="24"/>
        </w:rPr>
      </w:pPr>
      <w:r>
        <w:rPr>
          <w:rFonts w:ascii="宋体" w:hAnsi="宋体" w:eastAsia="宋体" w:cs="宋体"/>
          <w:color w:val="auto"/>
          <w:spacing w:val="-3"/>
          <w:sz w:val="24"/>
          <w:szCs w:val="24"/>
        </w:rPr>
        <w:t>附法定代表人身份证复</w:t>
      </w:r>
      <w:r>
        <w:rPr>
          <w:rFonts w:ascii="宋体" w:hAnsi="宋体" w:eastAsia="宋体" w:cs="宋体"/>
          <w:color w:val="auto"/>
          <w:spacing w:val="-8"/>
          <w:sz w:val="24"/>
          <w:szCs w:val="24"/>
        </w:rPr>
        <w:t>印件</w:t>
      </w:r>
    </w:p>
    <w:p w14:paraId="2D9331F3">
      <w:pPr>
        <w:pStyle w:val="3"/>
        <w:spacing w:line="14" w:lineRule="auto"/>
        <w:rPr>
          <w:color w:val="auto"/>
          <w:sz w:val="2"/>
        </w:rPr>
      </w:pPr>
      <w:r>
        <w:rPr>
          <w:color w:val="auto"/>
          <w:sz w:val="2"/>
          <w:szCs w:val="2"/>
        </w:rPr>
        <w:br w:type="column"/>
      </w:r>
    </w:p>
    <w:p w14:paraId="0806DA1A">
      <w:pPr>
        <w:spacing w:before="46" w:line="385" w:lineRule="auto"/>
        <w:ind w:right="2503"/>
        <w:rPr>
          <w:rFonts w:ascii="宋体" w:hAnsi="宋体" w:eastAsia="宋体" w:cs="宋体"/>
          <w:color w:val="auto"/>
          <w:sz w:val="24"/>
          <w:szCs w:val="24"/>
        </w:rPr>
      </w:pPr>
      <w:r>
        <w:rPr>
          <w:rFonts w:ascii="宋体" w:hAnsi="宋体" w:eastAsia="宋体" w:cs="宋体"/>
          <w:color w:val="auto"/>
          <w:spacing w:val="-3"/>
          <w:sz w:val="24"/>
          <w:szCs w:val="24"/>
        </w:rPr>
        <w:t>附委托代理人身份证复</w:t>
      </w:r>
      <w:r>
        <w:rPr>
          <w:rFonts w:ascii="宋体" w:hAnsi="宋体" w:eastAsia="宋体" w:cs="宋体"/>
          <w:color w:val="auto"/>
          <w:spacing w:val="-8"/>
          <w:sz w:val="24"/>
          <w:szCs w:val="24"/>
        </w:rPr>
        <w:t>印件</w:t>
      </w:r>
    </w:p>
    <w:p w14:paraId="1BD7ED84">
      <w:pPr>
        <w:spacing w:line="385" w:lineRule="auto"/>
        <w:rPr>
          <w:rFonts w:ascii="宋体" w:hAnsi="宋体" w:eastAsia="宋体" w:cs="宋体"/>
          <w:color w:val="auto"/>
          <w:sz w:val="24"/>
          <w:szCs w:val="24"/>
        </w:rPr>
        <w:sectPr>
          <w:type w:val="continuous"/>
          <w:pgSz w:w="11900" w:h="16839"/>
          <w:pgMar w:top="1440" w:right="1800" w:bottom="1440" w:left="1800" w:header="0" w:footer="0" w:gutter="0"/>
          <w:cols w:equalWidth="0" w:num="2">
            <w:col w:w="3692" w:space="100"/>
            <w:col w:w="4508"/>
          </w:cols>
        </w:sectPr>
      </w:pPr>
    </w:p>
    <w:p w14:paraId="2E573078">
      <w:pPr>
        <w:pStyle w:val="3"/>
        <w:spacing w:line="245" w:lineRule="auto"/>
        <w:rPr>
          <w:color w:val="auto"/>
        </w:rPr>
      </w:pPr>
    </w:p>
    <w:p w14:paraId="76447A0A">
      <w:pPr>
        <w:pStyle w:val="3"/>
        <w:spacing w:line="245" w:lineRule="auto"/>
        <w:rPr>
          <w:color w:val="auto"/>
        </w:rPr>
      </w:pPr>
    </w:p>
    <w:p w14:paraId="5E43E7CC">
      <w:pPr>
        <w:pStyle w:val="3"/>
        <w:spacing w:line="245" w:lineRule="auto"/>
        <w:rPr>
          <w:color w:val="auto"/>
        </w:rPr>
      </w:pPr>
    </w:p>
    <w:p w14:paraId="1860807D">
      <w:pPr>
        <w:pStyle w:val="3"/>
        <w:spacing w:line="246" w:lineRule="auto"/>
        <w:rPr>
          <w:color w:val="auto"/>
        </w:rPr>
      </w:pPr>
    </w:p>
    <w:p w14:paraId="4FB32EB4">
      <w:pPr>
        <w:pStyle w:val="3"/>
        <w:spacing w:line="246" w:lineRule="auto"/>
        <w:rPr>
          <w:color w:val="auto"/>
        </w:rPr>
      </w:pPr>
    </w:p>
    <w:p w14:paraId="737EAFCF">
      <w:pPr>
        <w:pStyle w:val="3"/>
        <w:spacing w:line="246" w:lineRule="auto"/>
        <w:rPr>
          <w:color w:val="auto"/>
        </w:rPr>
      </w:pPr>
    </w:p>
    <w:p w14:paraId="28C2F61A">
      <w:pPr>
        <w:pStyle w:val="3"/>
        <w:spacing w:line="246" w:lineRule="auto"/>
        <w:rPr>
          <w:color w:val="auto"/>
        </w:rPr>
      </w:pPr>
    </w:p>
    <w:p w14:paraId="6EDAE636">
      <w:pPr>
        <w:pStyle w:val="3"/>
        <w:spacing w:line="246" w:lineRule="auto"/>
        <w:rPr>
          <w:color w:val="auto"/>
        </w:rPr>
      </w:pPr>
    </w:p>
    <w:p w14:paraId="7CD997DC">
      <w:pPr>
        <w:spacing w:before="79" w:line="219" w:lineRule="auto"/>
        <w:ind w:left="3883"/>
        <w:rPr>
          <w:rFonts w:ascii="宋体" w:hAnsi="宋体" w:eastAsia="宋体" w:cs="宋体"/>
          <w:color w:val="auto"/>
          <w:sz w:val="24"/>
          <w:szCs w:val="24"/>
        </w:rPr>
      </w:pPr>
      <w:r>
        <w:rPr>
          <w:rFonts w:ascii="宋体" w:hAnsi="宋体" w:eastAsia="宋体" w:cs="宋体"/>
          <w:color w:val="auto"/>
          <w:spacing w:val="-1"/>
          <w:sz w:val="24"/>
          <w:szCs w:val="24"/>
        </w:rPr>
        <w:t>供应商</w:t>
      </w:r>
      <w:r>
        <w:rPr>
          <w:rFonts w:ascii="宋体" w:hAnsi="宋体" w:eastAsia="宋体" w:cs="宋体"/>
          <w:color w:val="auto"/>
          <w:spacing w:val="-2"/>
          <w:sz w:val="24"/>
          <w:szCs w:val="24"/>
        </w:rPr>
        <w:t>：</w:t>
      </w:r>
      <w:r>
        <w:rPr>
          <w:rFonts w:ascii="宋体" w:hAnsi="宋体" w:eastAsia="宋体" w:cs="宋体"/>
          <w:color w:val="auto"/>
          <w:spacing w:val="-2"/>
          <w:sz w:val="24"/>
          <w:szCs w:val="24"/>
          <w:u w:val="single" w:color="auto"/>
        </w:rPr>
        <w:t>（</w:t>
      </w:r>
      <w:r>
        <w:rPr>
          <w:rFonts w:ascii="宋体" w:hAnsi="宋体" w:eastAsia="宋体" w:cs="宋体"/>
          <w:color w:val="auto"/>
          <w:spacing w:val="-1"/>
          <w:sz w:val="24"/>
          <w:szCs w:val="24"/>
          <w:u w:val="single" w:color="auto"/>
        </w:rPr>
        <w:t>盖单位章）</w:t>
      </w:r>
    </w:p>
    <w:p w14:paraId="639CFA17">
      <w:pPr>
        <w:spacing w:before="215" w:line="185" w:lineRule="auto"/>
        <w:ind w:left="5039"/>
        <w:rPr>
          <w:rFonts w:ascii="宋体" w:hAnsi="宋体" w:eastAsia="宋体" w:cs="宋体"/>
          <w:color w:val="auto"/>
          <w:sz w:val="24"/>
          <w:szCs w:val="24"/>
        </w:rPr>
      </w:pPr>
      <w:r>
        <w:rPr>
          <w:rFonts w:ascii="宋体" w:hAnsi="宋体" w:eastAsia="宋体" w:cs="宋体"/>
          <w:color w:val="auto"/>
          <w:spacing w:val="-9"/>
          <w:sz w:val="24"/>
          <w:szCs w:val="24"/>
        </w:rPr>
        <w:t>年月日</w:t>
      </w:r>
    </w:p>
    <w:p w14:paraId="43339323">
      <w:pPr>
        <w:spacing w:line="185" w:lineRule="auto"/>
        <w:rPr>
          <w:rFonts w:ascii="宋体" w:hAnsi="宋体" w:eastAsia="宋体" w:cs="宋体"/>
          <w:color w:val="auto"/>
          <w:sz w:val="24"/>
          <w:szCs w:val="24"/>
        </w:rPr>
        <w:sectPr>
          <w:type w:val="continuous"/>
          <w:pgSz w:w="11900" w:h="16839"/>
          <w:pgMar w:top="1440" w:right="1800" w:bottom="1440" w:left="1800" w:header="0" w:footer="0" w:gutter="0"/>
          <w:cols w:equalWidth="0" w:num="1">
            <w:col w:w="9040"/>
          </w:cols>
        </w:sectPr>
      </w:pPr>
    </w:p>
    <w:p w14:paraId="4AA3AA93">
      <w:pPr>
        <w:spacing w:before="74" w:line="218" w:lineRule="auto"/>
        <w:ind w:left="2317"/>
        <w:rPr>
          <w:rFonts w:ascii="宋体" w:hAnsi="宋体" w:eastAsia="宋体" w:cs="宋体"/>
          <w:color w:val="auto"/>
          <w:sz w:val="36"/>
          <w:szCs w:val="36"/>
        </w:rPr>
      </w:pPr>
      <w:r>
        <w:rPr>
          <w:rFonts w:ascii="宋体" w:hAnsi="宋体" w:eastAsia="宋体" w:cs="宋体"/>
          <w:b/>
          <w:bCs/>
          <w:color w:val="auto"/>
          <w:spacing w:val="-10"/>
          <w:sz w:val="28"/>
          <w:szCs w:val="28"/>
        </w:rPr>
        <w:t>附件6</w:t>
      </w:r>
      <w:r>
        <w:rPr>
          <w:rFonts w:ascii="宋体" w:hAnsi="宋体" w:eastAsia="宋体" w:cs="宋体"/>
          <w:b/>
          <w:bCs/>
          <w:color w:val="auto"/>
          <w:spacing w:val="-7"/>
          <w:sz w:val="36"/>
          <w:szCs w:val="36"/>
        </w:rPr>
        <w:t>报价明细表（格式）</w:t>
      </w:r>
    </w:p>
    <w:p w14:paraId="54EE21EA">
      <w:pPr>
        <w:pStyle w:val="3"/>
        <w:spacing w:line="286" w:lineRule="auto"/>
        <w:rPr>
          <w:color w:val="auto"/>
        </w:rPr>
      </w:pPr>
    </w:p>
    <w:p w14:paraId="74E0232B">
      <w:pPr>
        <w:pStyle w:val="3"/>
        <w:spacing w:line="286" w:lineRule="auto"/>
        <w:rPr>
          <w:color w:val="auto"/>
        </w:rPr>
      </w:pPr>
    </w:p>
    <w:p w14:paraId="3AB8251C">
      <w:pPr>
        <w:spacing w:before="78" w:line="219" w:lineRule="auto"/>
        <w:ind w:left="219"/>
        <w:rPr>
          <w:rFonts w:ascii="宋体" w:hAnsi="宋体" w:eastAsia="宋体" w:cs="宋体"/>
          <w:color w:val="auto"/>
          <w:sz w:val="24"/>
          <w:szCs w:val="24"/>
        </w:rPr>
      </w:pPr>
      <w:r>
        <w:rPr>
          <w:rFonts w:ascii="宋体" w:hAnsi="宋体" w:eastAsia="宋体" w:cs="宋体"/>
          <w:color w:val="auto"/>
          <w:spacing w:val="-3"/>
          <w:sz w:val="24"/>
          <w:szCs w:val="24"/>
        </w:rPr>
        <w:t>项目编号</w:t>
      </w:r>
      <w:r>
        <w:rPr>
          <w:rFonts w:ascii="宋体" w:hAnsi="宋体" w:eastAsia="宋体" w:cs="宋体"/>
          <w:color w:val="auto"/>
          <w:spacing w:val="1"/>
          <w:sz w:val="24"/>
          <w:szCs w:val="24"/>
        </w:rPr>
        <w:t>：：</w:t>
      </w:r>
      <w:r>
        <w:rPr>
          <w:rFonts w:ascii="宋体" w:hAnsi="宋体" w:eastAsia="宋体" w:cs="宋体"/>
          <w:color w:val="auto"/>
          <w:spacing w:val="-3"/>
          <w:sz w:val="24"/>
          <w:szCs w:val="24"/>
        </w:rPr>
        <w:t>货币单位：元</w:t>
      </w:r>
    </w:p>
    <w:p w14:paraId="38C6DF64">
      <w:pPr>
        <w:spacing w:line="59" w:lineRule="auto"/>
        <w:rPr>
          <w:rFonts w:ascii="Arial"/>
          <w:color w:val="auto"/>
          <w:sz w:val="2"/>
        </w:rPr>
      </w:pPr>
    </w:p>
    <w:tbl>
      <w:tblPr>
        <w:tblStyle w:val="10"/>
        <w:tblW w:w="869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1160"/>
        <w:gridCol w:w="801"/>
        <w:gridCol w:w="1096"/>
        <w:gridCol w:w="967"/>
        <w:gridCol w:w="1376"/>
        <w:gridCol w:w="809"/>
        <w:gridCol w:w="1782"/>
      </w:tblGrid>
      <w:tr w14:paraId="13981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707" w:type="dxa"/>
            <w:tcBorders>
              <w:bottom w:val="single" w:color="000000" w:sz="4" w:space="0"/>
            </w:tcBorders>
            <w:vAlign w:val="top"/>
          </w:tcPr>
          <w:p w14:paraId="67E0724A">
            <w:pPr>
              <w:pStyle w:val="11"/>
              <w:spacing w:before="193" w:line="221" w:lineRule="auto"/>
              <w:ind w:left="136"/>
              <w:rPr>
                <w:color w:val="auto"/>
                <w:sz w:val="21"/>
                <w:szCs w:val="21"/>
              </w:rPr>
            </w:pPr>
            <w:r>
              <w:rPr>
                <w:b/>
                <w:bCs/>
                <w:color w:val="auto"/>
                <w:spacing w:val="-5"/>
                <w:sz w:val="21"/>
                <w:szCs w:val="21"/>
              </w:rPr>
              <w:t>序号</w:t>
            </w:r>
          </w:p>
        </w:tc>
        <w:tc>
          <w:tcPr>
            <w:tcW w:w="1160" w:type="dxa"/>
            <w:tcBorders>
              <w:bottom w:val="single" w:color="000000" w:sz="4" w:space="0"/>
            </w:tcBorders>
            <w:vAlign w:val="top"/>
          </w:tcPr>
          <w:p w14:paraId="6533D538">
            <w:pPr>
              <w:pStyle w:val="11"/>
              <w:spacing w:before="193" w:line="219" w:lineRule="auto"/>
              <w:ind w:left="156"/>
              <w:rPr>
                <w:color w:val="auto"/>
                <w:sz w:val="21"/>
                <w:szCs w:val="21"/>
              </w:rPr>
            </w:pPr>
            <w:r>
              <w:rPr>
                <w:b/>
                <w:bCs/>
                <w:color w:val="auto"/>
                <w:spacing w:val="-5"/>
                <w:sz w:val="21"/>
                <w:szCs w:val="21"/>
              </w:rPr>
              <w:t>货物名称</w:t>
            </w:r>
          </w:p>
        </w:tc>
        <w:tc>
          <w:tcPr>
            <w:tcW w:w="801" w:type="dxa"/>
            <w:tcBorders>
              <w:bottom w:val="single" w:color="000000" w:sz="4" w:space="0"/>
            </w:tcBorders>
            <w:vAlign w:val="top"/>
          </w:tcPr>
          <w:p w14:paraId="1EA9B1E7">
            <w:pPr>
              <w:pStyle w:val="11"/>
              <w:spacing w:before="192" w:line="220" w:lineRule="auto"/>
              <w:ind w:left="201"/>
              <w:rPr>
                <w:color w:val="auto"/>
                <w:sz w:val="21"/>
                <w:szCs w:val="21"/>
              </w:rPr>
            </w:pPr>
            <w:r>
              <w:rPr>
                <w:b/>
                <w:bCs/>
                <w:color w:val="auto"/>
                <w:spacing w:val="-9"/>
                <w:sz w:val="21"/>
                <w:szCs w:val="21"/>
              </w:rPr>
              <w:t>品牌</w:t>
            </w:r>
          </w:p>
        </w:tc>
        <w:tc>
          <w:tcPr>
            <w:tcW w:w="1096" w:type="dxa"/>
            <w:tcBorders>
              <w:bottom w:val="single" w:color="000000" w:sz="4" w:space="0"/>
            </w:tcBorders>
            <w:vAlign w:val="top"/>
          </w:tcPr>
          <w:p w14:paraId="65347B55">
            <w:pPr>
              <w:pStyle w:val="11"/>
              <w:spacing w:before="192" w:line="220" w:lineRule="auto"/>
              <w:ind w:left="125"/>
              <w:rPr>
                <w:color w:val="auto"/>
                <w:sz w:val="21"/>
                <w:szCs w:val="21"/>
              </w:rPr>
            </w:pPr>
            <w:r>
              <w:rPr>
                <w:b/>
                <w:bCs/>
                <w:color w:val="auto"/>
                <w:spacing w:val="-4"/>
                <w:sz w:val="21"/>
                <w:szCs w:val="21"/>
              </w:rPr>
              <w:t>规格型号</w:t>
            </w:r>
          </w:p>
        </w:tc>
        <w:tc>
          <w:tcPr>
            <w:tcW w:w="967" w:type="dxa"/>
            <w:tcBorders>
              <w:bottom w:val="single" w:color="000000" w:sz="4" w:space="0"/>
            </w:tcBorders>
            <w:vAlign w:val="top"/>
          </w:tcPr>
          <w:p w14:paraId="7C18817D">
            <w:pPr>
              <w:pStyle w:val="11"/>
              <w:spacing w:before="192" w:line="220" w:lineRule="auto"/>
              <w:ind w:left="171"/>
              <w:rPr>
                <w:color w:val="auto"/>
                <w:sz w:val="21"/>
                <w:szCs w:val="21"/>
              </w:rPr>
            </w:pPr>
            <w:r>
              <w:rPr>
                <w:b/>
                <w:bCs/>
                <w:color w:val="auto"/>
                <w:spacing w:val="-6"/>
                <w:sz w:val="21"/>
                <w:szCs w:val="21"/>
              </w:rPr>
              <w:t>原产地</w:t>
            </w:r>
          </w:p>
        </w:tc>
        <w:tc>
          <w:tcPr>
            <w:tcW w:w="1376" w:type="dxa"/>
            <w:tcBorders>
              <w:bottom w:val="single" w:color="000000" w:sz="4" w:space="0"/>
            </w:tcBorders>
            <w:vAlign w:val="top"/>
          </w:tcPr>
          <w:p w14:paraId="2824C6C0">
            <w:pPr>
              <w:pStyle w:val="11"/>
              <w:spacing w:before="192" w:line="220" w:lineRule="auto"/>
              <w:ind w:left="165"/>
              <w:rPr>
                <w:color w:val="auto"/>
                <w:sz w:val="21"/>
                <w:szCs w:val="21"/>
              </w:rPr>
            </w:pPr>
            <w:r>
              <w:rPr>
                <w:b/>
                <w:bCs/>
                <w:color w:val="auto"/>
                <w:spacing w:val="-4"/>
                <w:sz w:val="21"/>
                <w:szCs w:val="21"/>
              </w:rPr>
              <w:t>单位及数量</w:t>
            </w:r>
          </w:p>
        </w:tc>
        <w:tc>
          <w:tcPr>
            <w:tcW w:w="809" w:type="dxa"/>
            <w:tcBorders>
              <w:bottom w:val="single" w:color="000000" w:sz="4" w:space="0"/>
            </w:tcBorders>
            <w:vAlign w:val="top"/>
          </w:tcPr>
          <w:p w14:paraId="45779804">
            <w:pPr>
              <w:pStyle w:val="11"/>
              <w:spacing w:before="193" w:line="218" w:lineRule="auto"/>
              <w:ind w:left="199"/>
              <w:rPr>
                <w:color w:val="auto"/>
                <w:sz w:val="21"/>
                <w:szCs w:val="21"/>
              </w:rPr>
            </w:pPr>
            <w:r>
              <w:rPr>
                <w:b/>
                <w:bCs/>
                <w:color w:val="auto"/>
                <w:spacing w:val="-5"/>
                <w:sz w:val="21"/>
                <w:szCs w:val="21"/>
              </w:rPr>
              <w:t>单价</w:t>
            </w:r>
          </w:p>
        </w:tc>
        <w:tc>
          <w:tcPr>
            <w:tcW w:w="1782" w:type="dxa"/>
            <w:tcBorders>
              <w:bottom w:val="single" w:color="000000" w:sz="4" w:space="0"/>
            </w:tcBorders>
            <w:vAlign w:val="top"/>
          </w:tcPr>
          <w:p w14:paraId="3FDEA737">
            <w:pPr>
              <w:pStyle w:val="11"/>
              <w:spacing w:before="192" w:line="220" w:lineRule="auto"/>
              <w:ind w:left="683"/>
              <w:rPr>
                <w:color w:val="auto"/>
                <w:sz w:val="21"/>
                <w:szCs w:val="21"/>
              </w:rPr>
            </w:pPr>
            <w:r>
              <w:rPr>
                <w:b/>
                <w:bCs/>
                <w:color w:val="auto"/>
                <w:spacing w:val="-5"/>
                <w:sz w:val="21"/>
                <w:szCs w:val="21"/>
              </w:rPr>
              <w:t>金额</w:t>
            </w:r>
          </w:p>
        </w:tc>
      </w:tr>
      <w:tr w14:paraId="4EA90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trPr>
        <w:tc>
          <w:tcPr>
            <w:tcW w:w="707" w:type="dxa"/>
            <w:tcBorders>
              <w:top w:val="single" w:color="000000" w:sz="4" w:space="0"/>
              <w:bottom w:val="single" w:color="000000" w:sz="4" w:space="0"/>
            </w:tcBorders>
            <w:vAlign w:val="top"/>
          </w:tcPr>
          <w:p w14:paraId="5E584481">
            <w:pPr>
              <w:rPr>
                <w:rFonts w:ascii="Arial"/>
                <w:color w:val="auto"/>
                <w:sz w:val="21"/>
              </w:rPr>
            </w:pPr>
          </w:p>
        </w:tc>
        <w:tc>
          <w:tcPr>
            <w:tcW w:w="1160" w:type="dxa"/>
            <w:tcBorders>
              <w:top w:val="single" w:color="000000" w:sz="4" w:space="0"/>
              <w:bottom w:val="single" w:color="000000" w:sz="4" w:space="0"/>
            </w:tcBorders>
            <w:vAlign w:val="top"/>
          </w:tcPr>
          <w:p w14:paraId="7236C93E">
            <w:pPr>
              <w:rPr>
                <w:rFonts w:ascii="Arial"/>
                <w:color w:val="auto"/>
                <w:sz w:val="21"/>
              </w:rPr>
            </w:pPr>
          </w:p>
        </w:tc>
        <w:tc>
          <w:tcPr>
            <w:tcW w:w="801" w:type="dxa"/>
            <w:tcBorders>
              <w:top w:val="single" w:color="000000" w:sz="4" w:space="0"/>
              <w:bottom w:val="single" w:color="000000" w:sz="4" w:space="0"/>
            </w:tcBorders>
            <w:vAlign w:val="top"/>
          </w:tcPr>
          <w:p w14:paraId="2E15C8CD">
            <w:pPr>
              <w:rPr>
                <w:rFonts w:ascii="Arial"/>
                <w:color w:val="auto"/>
                <w:sz w:val="21"/>
              </w:rPr>
            </w:pPr>
          </w:p>
        </w:tc>
        <w:tc>
          <w:tcPr>
            <w:tcW w:w="1096" w:type="dxa"/>
            <w:tcBorders>
              <w:top w:val="single" w:color="000000" w:sz="4" w:space="0"/>
              <w:bottom w:val="single" w:color="000000" w:sz="4" w:space="0"/>
            </w:tcBorders>
            <w:vAlign w:val="top"/>
          </w:tcPr>
          <w:p w14:paraId="58E70DBE">
            <w:pPr>
              <w:rPr>
                <w:rFonts w:ascii="Arial"/>
                <w:color w:val="auto"/>
                <w:sz w:val="21"/>
              </w:rPr>
            </w:pPr>
          </w:p>
        </w:tc>
        <w:tc>
          <w:tcPr>
            <w:tcW w:w="967" w:type="dxa"/>
            <w:tcBorders>
              <w:top w:val="single" w:color="000000" w:sz="4" w:space="0"/>
              <w:bottom w:val="single" w:color="000000" w:sz="4" w:space="0"/>
            </w:tcBorders>
            <w:vAlign w:val="top"/>
          </w:tcPr>
          <w:p w14:paraId="2516A628">
            <w:pPr>
              <w:rPr>
                <w:rFonts w:ascii="Arial"/>
                <w:color w:val="auto"/>
                <w:sz w:val="21"/>
              </w:rPr>
            </w:pPr>
          </w:p>
        </w:tc>
        <w:tc>
          <w:tcPr>
            <w:tcW w:w="1376" w:type="dxa"/>
            <w:tcBorders>
              <w:top w:val="single" w:color="000000" w:sz="4" w:space="0"/>
              <w:bottom w:val="single" w:color="000000" w:sz="4" w:space="0"/>
            </w:tcBorders>
            <w:vAlign w:val="top"/>
          </w:tcPr>
          <w:p w14:paraId="4AA26C1C">
            <w:pPr>
              <w:rPr>
                <w:rFonts w:ascii="Arial"/>
                <w:color w:val="auto"/>
                <w:sz w:val="21"/>
              </w:rPr>
            </w:pPr>
          </w:p>
        </w:tc>
        <w:tc>
          <w:tcPr>
            <w:tcW w:w="809" w:type="dxa"/>
            <w:tcBorders>
              <w:top w:val="single" w:color="000000" w:sz="4" w:space="0"/>
              <w:bottom w:val="single" w:color="000000" w:sz="4" w:space="0"/>
            </w:tcBorders>
            <w:vAlign w:val="top"/>
          </w:tcPr>
          <w:p w14:paraId="13141C92">
            <w:pPr>
              <w:rPr>
                <w:rFonts w:ascii="Arial"/>
                <w:color w:val="auto"/>
                <w:sz w:val="21"/>
              </w:rPr>
            </w:pPr>
          </w:p>
        </w:tc>
        <w:tc>
          <w:tcPr>
            <w:tcW w:w="1782" w:type="dxa"/>
            <w:tcBorders>
              <w:top w:val="single" w:color="000000" w:sz="4" w:space="0"/>
              <w:bottom w:val="single" w:color="000000" w:sz="4" w:space="0"/>
            </w:tcBorders>
            <w:vAlign w:val="top"/>
          </w:tcPr>
          <w:p w14:paraId="5D7B96EC">
            <w:pPr>
              <w:rPr>
                <w:rFonts w:ascii="Arial"/>
                <w:color w:val="auto"/>
                <w:sz w:val="21"/>
              </w:rPr>
            </w:pPr>
          </w:p>
        </w:tc>
      </w:tr>
      <w:tr w14:paraId="0D4BA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trPr>
        <w:tc>
          <w:tcPr>
            <w:tcW w:w="707" w:type="dxa"/>
            <w:tcBorders>
              <w:top w:val="single" w:color="000000" w:sz="4" w:space="0"/>
              <w:bottom w:val="single" w:color="000000" w:sz="4" w:space="0"/>
            </w:tcBorders>
            <w:vAlign w:val="top"/>
          </w:tcPr>
          <w:p w14:paraId="5C0317C3">
            <w:pPr>
              <w:rPr>
                <w:rFonts w:ascii="Arial"/>
                <w:color w:val="auto"/>
                <w:sz w:val="21"/>
              </w:rPr>
            </w:pPr>
          </w:p>
        </w:tc>
        <w:tc>
          <w:tcPr>
            <w:tcW w:w="1160" w:type="dxa"/>
            <w:tcBorders>
              <w:top w:val="single" w:color="000000" w:sz="4" w:space="0"/>
              <w:bottom w:val="single" w:color="000000" w:sz="4" w:space="0"/>
            </w:tcBorders>
            <w:vAlign w:val="top"/>
          </w:tcPr>
          <w:p w14:paraId="23133A7F">
            <w:pPr>
              <w:rPr>
                <w:rFonts w:ascii="Arial"/>
                <w:color w:val="auto"/>
                <w:sz w:val="21"/>
              </w:rPr>
            </w:pPr>
          </w:p>
        </w:tc>
        <w:tc>
          <w:tcPr>
            <w:tcW w:w="801" w:type="dxa"/>
            <w:tcBorders>
              <w:top w:val="single" w:color="000000" w:sz="4" w:space="0"/>
              <w:bottom w:val="single" w:color="000000" w:sz="4" w:space="0"/>
            </w:tcBorders>
            <w:vAlign w:val="top"/>
          </w:tcPr>
          <w:p w14:paraId="330BBA40">
            <w:pPr>
              <w:rPr>
                <w:rFonts w:ascii="Arial"/>
                <w:color w:val="auto"/>
                <w:sz w:val="21"/>
              </w:rPr>
            </w:pPr>
          </w:p>
        </w:tc>
        <w:tc>
          <w:tcPr>
            <w:tcW w:w="1096" w:type="dxa"/>
            <w:tcBorders>
              <w:top w:val="single" w:color="000000" w:sz="4" w:space="0"/>
              <w:bottom w:val="single" w:color="000000" w:sz="4" w:space="0"/>
            </w:tcBorders>
            <w:vAlign w:val="top"/>
          </w:tcPr>
          <w:p w14:paraId="143B9931">
            <w:pPr>
              <w:rPr>
                <w:rFonts w:ascii="Arial"/>
                <w:color w:val="auto"/>
                <w:sz w:val="21"/>
              </w:rPr>
            </w:pPr>
          </w:p>
        </w:tc>
        <w:tc>
          <w:tcPr>
            <w:tcW w:w="967" w:type="dxa"/>
            <w:tcBorders>
              <w:top w:val="single" w:color="000000" w:sz="4" w:space="0"/>
              <w:bottom w:val="single" w:color="000000" w:sz="4" w:space="0"/>
            </w:tcBorders>
            <w:vAlign w:val="top"/>
          </w:tcPr>
          <w:p w14:paraId="5851D7E8">
            <w:pPr>
              <w:rPr>
                <w:rFonts w:ascii="Arial"/>
                <w:color w:val="auto"/>
                <w:sz w:val="21"/>
              </w:rPr>
            </w:pPr>
          </w:p>
        </w:tc>
        <w:tc>
          <w:tcPr>
            <w:tcW w:w="1376" w:type="dxa"/>
            <w:tcBorders>
              <w:top w:val="single" w:color="000000" w:sz="4" w:space="0"/>
              <w:bottom w:val="single" w:color="000000" w:sz="4" w:space="0"/>
            </w:tcBorders>
            <w:vAlign w:val="top"/>
          </w:tcPr>
          <w:p w14:paraId="54A3A628">
            <w:pPr>
              <w:rPr>
                <w:rFonts w:ascii="Arial"/>
                <w:color w:val="auto"/>
                <w:sz w:val="21"/>
              </w:rPr>
            </w:pPr>
          </w:p>
        </w:tc>
        <w:tc>
          <w:tcPr>
            <w:tcW w:w="809" w:type="dxa"/>
            <w:tcBorders>
              <w:top w:val="single" w:color="000000" w:sz="4" w:space="0"/>
              <w:bottom w:val="single" w:color="000000" w:sz="4" w:space="0"/>
            </w:tcBorders>
            <w:vAlign w:val="top"/>
          </w:tcPr>
          <w:p w14:paraId="0BA6208A">
            <w:pPr>
              <w:rPr>
                <w:rFonts w:ascii="Arial"/>
                <w:color w:val="auto"/>
                <w:sz w:val="21"/>
              </w:rPr>
            </w:pPr>
          </w:p>
        </w:tc>
        <w:tc>
          <w:tcPr>
            <w:tcW w:w="1782" w:type="dxa"/>
            <w:tcBorders>
              <w:top w:val="single" w:color="000000" w:sz="4" w:space="0"/>
              <w:bottom w:val="single" w:color="000000" w:sz="4" w:space="0"/>
            </w:tcBorders>
            <w:vAlign w:val="top"/>
          </w:tcPr>
          <w:p w14:paraId="794C5789">
            <w:pPr>
              <w:rPr>
                <w:rFonts w:ascii="Arial"/>
                <w:color w:val="auto"/>
                <w:sz w:val="21"/>
              </w:rPr>
            </w:pPr>
          </w:p>
        </w:tc>
      </w:tr>
      <w:tr w14:paraId="496C5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707" w:type="dxa"/>
            <w:tcBorders>
              <w:top w:val="single" w:color="000000" w:sz="4" w:space="0"/>
              <w:bottom w:val="single" w:color="000000" w:sz="4" w:space="0"/>
            </w:tcBorders>
            <w:vAlign w:val="top"/>
          </w:tcPr>
          <w:p w14:paraId="4D0BB12A">
            <w:pPr>
              <w:rPr>
                <w:rFonts w:ascii="Arial"/>
                <w:color w:val="auto"/>
                <w:sz w:val="21"/>
              </w:rPr>
            </w:pPr>
          </w:p>
        </w:tc>
        <w:tc>
          <w:tcPr>
            <w:tcW w:w="1160" w:type="dxa"/>
            <w:tcBorders>
              <w:top w:val="single" w:color="000000" w:sz="4" w:space="0"/>
              <w:bottom w:val="single" w:color="000000" w:sz="4" w:space="0"/>
            </w:tcBorders>
            <w:vAlign w:val="top"/>
          </w:tcPr>
          <w:p w14:paraId="757920CA">
            <w:pPr>
              <w:rPr>
                <w:rFonts w:ascii="Arial"/>
                <w:color w:val="auto"/>
                <w:sz w:val="21"/>
              </w:rPr>
            </w:pPr>
          </w:p>
        </w:tc>
        <w:tc>
          <w:tcPr>
            <w:tcW w:w="801" w:type="dxa"/>
            <w:tcBorders>
              <w:top w:val="single" w:color="000000" w:sz="4" w:space="0"/>
              <w:bottom w:val="single" w:color="000000" w:sz="4" w:space="0"/>
            </w:tcBorders>
            <w:vAlign w:val="top"/>
          </w:tcPr>
          <w:p w14:paraId="0D4C2982">
            <w:pPr>
              <w:rPr>
                <w:rFonts w:ascii="Arial"/>
                <w:color w:val="auto"/>
                <w:sz w:val="21"/>
              </w:rPr>
            </w:pPr>
          </w:p>
        </w:tc>
        <w:tc>
          <w:tcPr>
            <w:tcW w:w="1096" w:type="dxa"/>
            <w:tcBorders>
              <w:top w:val="single" w:color="000000" w:sz="4" w:space="0"/>
              <w:bottom w:val="single" w:color="000000" w:sz="4" w:space="0"/>
            </w:tcBorders>
            <w:vAlign w:val="top"/>
          </w:tcPr>
          <w:p w14:paraId="01E43A44">
            <w:pPr>
              <w:rPr>
                <w:rFonts w:ascii="Arial"/>
                <w:color w:val="auto"/>
                <w:sz w:val="21"/>
              </w:rPr>
            </w:pPr>
          </w:p>
        </w:tc>
        <w:tc>
          <w:tcPr>
            <w:tcW w:w="967" w:type="dxa"/>
            <w:tcBorders>
              <w:top w:val="single" w:color="000000" w:sz="4" w:space="0"/>
              <w:bottom w:val="single" w:color="000000" w:sz="4" w:space="0"/>
            </w:tcBorders>
            <w:vAlign w:val="top"/>
          </w:tcPr>
          <w:p w14:paraId="30C27AC4">
            <w:pPr>
              <w:rPr>
                <w:rFonts w:ascii="Arial"/>
                <w:color w:val="auto"/>
                <w:sz w:val="21"/>
              </w:rPr>
            </w:pPr>
          </w:p>
        </w:tc>
        <w:tc>
          <w:tcPr>
            <w:tcW w:w="1376" w:type="dxa"/>
            <w:tcBorders>
              <w:top w:val="single" w:color="000000" w:sz="4" w:space="0"/>
              <w:bottom w:val="single" w:color="000000" w:sz="4" w:space="0"/>
            </w:tcBorders>
            <w:vAlign w:val="top"/>
          </w:tcPr>
          <w:p w14:paraId="23C77AB4">
            <w:pPr>
              <w:rPr>
                <w:rFonts w:ascii="Arial"/>
                <w:color w:val="auto"/>
                <w:sz w:val="21"/>
              </w:rPr>
            </w:pPr>
          </w:p>
        </w:tc>
        <w:tc>
          <w:tcPr>
            <w:tcW w:w="809" w:type="dxa"/>
            <w:tcBorders>
              <w:top w:val="single" w:color="000000" w:sz="4" w:space="0"/>
              <w:bottom w:val="single" w:color="000000" w:sz="4" w:space="0"/>
            </w:tcBorders>
            <w:vAlign w:val="top"/>
          </w:tcPr>
          <w:p w14:paraId="70398405">
            <w:pPr>
              <w:rPr>
                <w:rFonts w:ascii="Arial"/>
                <w:color w:val="auto"/>
                <w:sz w:val="21"/>
              </w:rPr>
            </w:pPr>
          </w:p>
        </w:tc>
        <w:tc>
          <w:tcPr>
            <w:tcW w:w="1782" w:type="dxa"/>
            <w:tcBorders>
              <w:top w:val="single" w:color="000000" w:sz="4" w:space="0"/>
              <w:bottom w:val="single" w:color="000000" w:sz="4" w:space="0"/>
            </w:tcBorders>
            <w:vAlign w:val="top"/>
          </w:tcPr>
          <w:p w14:paraId="49B93169">
            <w:pPr>
              <w:rPr>
                <w:rFonts w:ascii="Arial"/>
                <w:color w:val="auto"/>
                <w:sz w:val="21"/>
              </w:rPr>
            </w:pPr>
          </w:p>
        </w:tc>
      </w:tr>
      <w:tr w14:paraId="01FFA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707" w:type="dxa"/>
            <w:tcBorders>
              <w:top w:val="single" w:color="000000" w:sz="4" w:space="0"/>
              <w:bottom w:val="single" w:color="000000" w:sz="4" w:space="0"/>
            </w:tcBorders>
            <w:vAlign w:val="top"/>
          </w:tcPr>
          <w:p w14:paraId="568EA03A">
            <w:pPr>
              <w:rPr>
                <w:rFonts w:ascii="Arial"/>
                <w:color w:val="auto"/>
                <w:sz w:val="21"/>
              </w:rPr>
            </w:pPr>
          </w:p>
        </w:tc>
        <w:tc>
          <w:tcPr>
            <w:tcW w:w="1160" w:type="dxa"/>
            <w:tcBorders>
              <w:top w:val="single" w:color="000000" w:sz="4" w:space="0"/>
              <w:bottom w:val="single" w:color="000000" w:sz="4" w:space="0"/>
            </w:tcBorders>
            <w:vAlign w:val="top"/>
          </w:tcPr>
          <w:p w14:paraId="6F349B9B">
            <w:pPr>
              <w:rPr>
                <w:rFonts w:ascii="Arial"/>
                <w:color w:val="auto"/>
                <w:sz w:val="21"/>
              </w:rPr>
            </w:pPr>
          </w:p>
        </w:tc>
        <w:tc>
          <w:tcPr>
            <w:tcW w:w="801" w:type="dxa"/>
            <w:tcBorders>
              <w:top w:val="single" w:color="000000" w:sz="4" w:space="0"/>
              <w:bottom w:val="single" w:color="000000" w:sz="4" w:space="0"/>
            </w:tcBorders>
            <w:vAlign w:val="top"/>
          </w:tcPr>
          <w:p w14:paraId="50021D41">
            <w:pPr>
              <w:rPr>
                <w:rFonts w:ascii="Arial"/>
                <w:color w:val="auto"/>
                <w:sz w:val="21"/>
              </w:rPr>
            </w:pPr>
          </w:p>
        </w:tc>
        <w:tc>
          <w:tcPr>
            <w:tcW w:w="1096" w:type="dxa"/>
            <w:tcBorders>
              <w:top w:val="single" w:color="000000" w:sz="4" w:space="0"/>
              <w:bottom w:val="single" w:color="000000" w:sz="4" w:space="0"/>
            </w:tcBorders>
            <w:vAlign w:val="top"/>
          </w:tcPr>
          <w:p w14:paraId="18125446">
            <w:pPr>
              <w:rPr>
                <w:rFonts w:ascii="Arial"/>
                <w:color w:val="auto"/>
                <w:sz w:val="21"/>
              </w:rPr>
            </w:pPr>
          </w:p>
        </w:tc>
        <w:tc>
          <w:tcPr>
            <w:tcW w:w="967" w:type="dxa"/>
            <w:tcBorders>
              <w:top w:val="single" w:color="000000" w:sz="4" w:space="0"/>
              <w:bottom w:val="single" w:color="000000" w:sz="4" w:space="0"/>
            </w:tcBorders>
            <w:vAlign w:val="top"/>
          </w:tcPr>
          <w:p w14:paraId="100539DC">
            <w:pPr>
              <w:rPr>
                <w:rFonts w:ascii="Arial"/>
                <w:color w:val="auto"/>
                <w:sz w:val="21"/>
              </w:rPr>
            </w:pPr>
          </w:p>
        </w:tc>
        <w:tc>
          <w:tcPr>
            <w:tcW w:w="1376" w:type="dxa"/>
            <w:tcBorders>
              <w:top w:val="single" w:color="000000" w:sz="4" w:space="0"/>
              <w:bottom w:val="single" w:color="000000" w:sz="4" w:space="0"/>
            </w:tcBorders>
            <w:vAlign w:val="top"/>
          </w:tcPr>
          <w:p w14:paraId="2A466637">
            <w:pPr>
              <w:rPr>
                <w:rFonts w:ascii="Arial"/>
                <w:color w:val="auto"/>
                <w:sz w:val="21"/>
              </w:rPr>
            </w:pPr>
          </w:p>
        </w:tc>
        <w:tc>
          <w:tcPr>
            <w:tcW w:w="809" w:type="dxa"/>
            <w:tcBorders>
              <w:top w:val="single" w:color="000000" w:sz="4" w:space="0"/>
              <w:bottom w:val="single" w:color="000000" w:sz="4" w:space="0"/>
            </w:tcBorders>
            <w:vAlign w:val="top"/>
          </w:tcPr>
          <w:p w14:paraId="3AE780FB">
            <w:pPr>
              <w:rPr>
                <w:rFonts w:ascii="Arial"/>
                <w:color w:val="auto"/>
                <w:sz w:val="21"/>
              </w:rPr>
            </w:pPr>
          </w:p>
        </w:tc>
        <w:tc>
          <w:tcPr>
            <w:tcW w:w="1782" w:type="dxa"/>
            <w:tcBorders>
              <w:top w:val="single" w:color="000000" w:sz="4" w:space="0"/>
              <w:bottom w:val="single" w:color="000000" w:sz="4" w:space="0"/>
            </w:tcBorders>
            <w:vAlign w:val="top"/>
          </w:tcPr>
          <w:p w14:paraId="0247E321">
            <w:pPr>
              <w:rPr>
                <w:rFonts w:ascii="Arial"/>
                <w:color w:val="auto"/>
                <w:sz w:val="21"/>
              </w:rPr>
            </w:pPr>
          </w:p>
        </w:tc>
      </w:tr>
      <w:tr w14:paraId="3A36E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707" w:type="dxa"/>
            <w:tcBorders>
              <w:top w:val="single" w:color="000000" w:sz="4" w:space="0"/>
              <w:bottom w:val="single" w:color="000000" w:sz="4" w:space="0"/>
            </w:tcBorders>
            <w:vAlign w:val="top"/>
          </w:tcPr>
          <w:p w14:paraId="5BA8AB3B">
            <w:pPr>
              <w:rPr>
                <w:rFonts w:ascii="Arial"/>
                <w:color w:val="auto"/>
                <w:sz w:val="21"/>
              </w:rPr>
            </w:pPr>
          </w:p>
        </w:tc>
        <w:tc>
          <w:tcPr>
            <w:tcW w:w="1160" w:type="dxa"/>
            <w:tcBorders>
              <w:top w:val="single" w:color="000000" w:sz="4" w:space="0"/>
              <w:bottom w:val="single" w:color="000000" w:sz="4" w:space="0"/>
            </w:tcBorders>
            <w:vAlign w:val="top"/>
          </w:tcPr>
          <w:p w14:paraId="4F3720A3">
            <w:pPr>
              <w:rPr>
                <w:rFonts w:ascii="Arial"/>
                <w:color w:val="auto"/>
                <w:sz w:val="21"/>
              </w:rPr>
            </w:pPr>
          </w:p>
        </w:tc>
        <w:tc>
          <w:tcPr>
            <w:tcW w:w="801" w:type="dxa"/>
            <w:tcBorders>
              <w:top w:val="single" w:color="000000" w:sz="4" w:space="0"/>
              <w:bottom w:val="single" w:color="000000" w:sz="4" w:space="0"/>
            </w:tcBorders>
            <w:vAlign w:val="top"/>
          </w:tcPr>
          <w:p w14:paraId="0E4473C9">
            <w:pPr>
              <w:rPr>
                <w:rFonts w:ascii="Arial"/>
                <w:color w:val="auto"/>
                <w:sz w:val="21"/>
              </w:rPr>
            </w:pPr>
          </w:p>
        </w:tc>
        <w:tc>
          <w:tcPr>
            <w:tcW w:w="1096" w:type="dxa"/>
            <w:tcBorders>
              <w:top w:val="single" w:color="000000" w:sz="4" w:space="0"/>
              <w:bottom w:val="single" w:color="000000" w:sz="4" w:space="0"/>
            </w:tcBorders>
            <w:vAlign w:val="top"/>
          </w:tcPr>
          <w:p w14:paraId="774D756F">
            <w:pPr>
              <w:rPr>
                <w:rFonts w:ascii="Arial"/>
                <w:color w:val="auto"/>
                <w:sz w:val="21"/>
              </w:rPr>
            </w:pPr>
          </w:p>
        </w:tc>
        <w:tc>
          <w:tcPr>
            <w:tcW w:w="967" w:type="dxa"/>
            <w:tcBorders>
              <w:top w:val="single" w:color="000000" w:sz="4" w:space="0"/>
              <w:bottom w:val="single" w:color="000000" w:sz="4" w:space="0"/>
            </w:tcBorders>
            <w:vAlign w:val="top"/>
          </w:tcPr>
          <w:p w14:paraId="67DAD38B">
            <w:pPr>
              <w:rPr>
                <w:rFonts w:ascii="Arial"/>
                <w:color w:val="auto"/>
                <w:sz w:val="21"/>
              </w:rPr>
            </w:pPr>
          </w:p>
        </w:tc>
        <w:tc>
          <w:tcPr>
            <w:tcW w:w="1376" w:type="dxa"/>
            <w:tcBorders>
              <w:top w:val="single" w:color="000000" w:sz="4" w:space="0"/>
              <w:bottom w:val="single" w:color="000000" w:sz="4" w:space="0"/>
            </w:tcBorders>
            <w:vAlign w:val="top"/>
          </w:tcPr>
          <w:p w14:paraId="30F4B732">
            <w:pPr>
              <w:rPr>
                <w:rFonts w:ascii="Arial"/>
                <w:color w:val="auto"/>
                <w:sz w:val="21"/>
              </w:rPr>
            </w:pPr>
          </w:p>
        </w:tc>
        <w:tc>
          <w:tcPr>
            <w:tcW w:w="809" w:type="dxa"/>
            <w:tcBorders>
              <w:top w:val="single" w:color="000000" w:sz="4" w:space="0"/>
              <w:bottom w:val="single" w:color="000000" w:sz="4" w:space="0"/>
            </w:tcBorders>
            <w:vAlign w:val="top"/>
          </w:tcPr>
          <w:p w14:paraId="6B5A94EC">
            <w:pPr>
              <w:rPr>
                <w:rFonts w:ascii="Arial"/>
                <w:color w:val="auto"/>
                <w:sz w:val="21"/>
              </w:rPr>
            </w:pPr>
          </w:p>
        </w:tc>
        <w:tc>
          <w:tcPr>
            <w:tcW w:w="1782" w:type="dxa"/>
            <w:tcBorders>
              <w:top w:val="single" w:color="000000" w:sz="4" w:space="0"/>
              <w:bottom w:val="single" w:color="000000" w:sz="4" w:space="0"/>
            </w:tcBorders>
            <w:vAlign w:val="top"/>
          </w:tcPr>
          <w:p w14:paraId="3E60B0A0">
            <w:pPr>
              <w:rPr>
                <w:rFonts w:ascii="Arial"/>
                <w:color w:val="auto"/>
                <w:sz w:val="21"/>
              </w:rPr>
            </w:pPr>
          </w:p>
        </w:tc>
      </w:tr>
      <w:tr w14:paraId="2B46D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707" w:type="dxa"/>
            <w:tcBorders>
              <w:top w:val="single" w:color="000000" w:sz="4" w:space="0"/>
              <w:bottom w:val="single" w:color="000000" w:sz="4" w:space="0"/>
            </w:tcBorders>
            <w:vAlign w:val="top"/>
          </w:tcPr>
          <w:p w14:paraId="79DB6E37">
            <w:pPr>
              <w:rPr>
                <w:rFonts w:ascii="Arial"/>
                <w:color w:val="auto"/>
                <w:sz w:val="21"/>
              </w:rPr>
            </w:pPr>
          </w:p>
        </w:tc>
        <w:tc>
          <w:tcPr>
            <w:tcW w:w="1160" w:type="dxa"/>
            <w:tcBorders>
              <w:top w:val="single" w:color="000000" w:sz="4" w:space="0"/>
              <w:bottom w:val="single" w:color="000000" w:sz="4" w:space="0"/>
            </w:tcBorders>
            <w:vAlign w:val="top"/>
          </w:tcPr>
          <w:p w14:paraId="1B521C33">
            <w:pPr>
              <w:rPr>
                <w:rFonts w:ascii="Arial"/>
                <w:color w:val="auto"/>
                <w:sz w:val="21"/>
              </w:rPr>
            </w:pPr>
          </w:p>
        </w:tc>
        <w:tc>
          <w:tcPr>
            <w:tcW w:w="801" w:type="dxa"/>
            <w:tcBorders>
              <w:top w:val="single" w:color="000000" w:sz="4" w:space="0"/>
              <w:bottom w:val="single" w:color="000000" w:sz="4" w:space="0"/>
            </w:tcBorders>
            <w:vAlign w:val="top"/>
          </w:tcPr>
          <w:p w14:paraId="58AEF126">
            <w:pPr>
              <w:rPr>
                <w:rFonts w:ascii="Arial"/>
                <w:color w:val="auto"/>
                <w:sz w:val="21"/>
              </w:rPr>
            </w:pPr>
          </w:p>
        </w:tc>
        <w:tc>
          <w:tcPr>
            <w:tcW w:w="1096" w:type="dxa"/>
            <w:tcBorders>
              <w:top w:val="single" w:color="000000" w:sz="4" w:space="0"/>
              <w:bottom w:val="single" w:color="000000" w:sz="4" w:space="0"/>
            </w:tcBorders>
            <w:vAlign w:val="top"/>
          </w:tcPr>
          <w:p w14:paraId="21A9808E">
            <w:pPr>
              <w:rPr>
                <w:rFonts w:ascii="Arial"/>
                <w:color w:val="auto"/>
                <w:sz w:val="21"/>
              </w:rPr>
            </w:pPr>
          </w:p>
        </w:tc>
        <w:tc>
          <w:tcPr>
            <w:tcW w:w="967" w:type="dxa"/>
            <w:tcBorders>
              <w:top w:val="single" w:color="000000" w:sz="4" w:space="0"/>
              <w:bottom w:val="single" w:color="000000" w:sz="4" w:space="0"/>
            </w:tcBorders>
            <w:vAlign w:val="top"/>
          </w:tcPr>
          <w:p w14:paraId="2F6AE9F6">
            <w:pPr>
              <w:rPr>
                <w:rFonts w:ascii="Arial"/>
                <w:color w:val="auto"/>
                <w:sz w:val="21"/>
              </w:rPr>
            </w:pPr>
          </w:p>
        </w:tc>
        <w:tc>
          <w:tcPr>
            <w:tcW w:w="1376" w:type="dxa"/>
            <w:tcBorders>
              <w:top w:val="single" w:color="000000" w:sz="4" w:space="0"/>
              <w:bottom w:val="single" w:color="000000" w:sz="4" w:space="0"/>
            </w:tcBorders>
            <w:vAlign w:val="top"/>
          </w:tcPr>
          <w:p w14:paraId="5818021E">
            <w:pPr>
              <w:rPr>
                <w:rFonts w:ascii="Arial"/>
                <w:color w:val="auto"/>
                <w:sz w:val="21"/>
              </w:rPr>
            </w:pPr>
          </w:p>
        </w:tc>
        <w:tc>
          <w:tcPr>
            <w:tcW w:w="809" w:type="dxa"/>
            <w:tcBorders>
              <w:top w:val="single" w:color="000000" w:sz="4" w:space="0"/>
              <w:bottom w:val="single" w:color="000000" w:sz="4" w:space="0"/>
            </w:tcBorders>
            <w:vAlign w:val="top"/>
          </w:tcPr>
          <w:p w14:paraId="6AF6D788">
            <w:pPr>
              <w:rPr>
                <w:rFonts w:ascii="Arial"/>
                <w:color w:val="auto"/>
                <w:sz w:val="21"/>
              </w:rPr>
            </w:pPr>
          </w:p>
        </w:tc>
        <w:tc>
          <w:tcPr>
            <w:tcW w:w="1782" w:type="dxa"/>
            <w:tcBorders>
              <w:top w:val="single" w:color="000000" w:sz="4" w:space="0"/>
              <w:bottom w:val="single" w:color="000000" w:sz="4" w:space="0"/>
            </w:tcBorders>
            <w:vAlign w:val="top"/>
          </w:tcPr>
          <w:p w14:paraId="304DC649">
            <w:pPr>
              <w:rPr>
                <w:rFonts w:ascii="Arial"/>
                <w:color w:val="auto"/>
                <w:sz w:val="21"/>
              </w:rPr>
            </w:pPr>
          </w:p>
        </w:tc>
      </w:tr>
      <w:tr w14:paraId="4DA08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707" w:type="dxa"/>
            <w:tcBorders>
              <w:top w:val="single" w:color="000000" w:sz="4" w:space="0"/>
              <w:bottom w:val="single" w:color="000000" w:sz="4" w:space="0"/>
            </w:tcBorders>
            <w:vAlign w:val="top"/>
          </w:tcPr>
          <w:p w14:paraId="676DAB60">
            <w:pPr>
              <w:rPr>
                <w:rFonts w:ascii="Arial"/>
                <w:color w:val="auto"/>
                <w:sz w:val="21"/>
              </w:rPr>
            </w:pPr>
          </w:p>
        </w:tc>
        <w:tc>
          <w:tcPr>
            <w:tcW w:w="1160" w:type="dxa"/>
            <w:tcBorders>
              <w:top w:val="single" w:color="000000" w:sz="4" w:space="0"/>
              <w:bottom w:val="single" w:color="000000" w:sz="4" w:space="0"/>
            </w:tcBorders>
            <w:vAlign w:val="top"/>
          </w:tcPr>
          <w:p w14:paraId="4904B773">
            <w:pPr>
              <w:rPr>
                <w:rFonts w:ascii="Arial"/>
                <w:color w:val="auto"/>
                <w:sz w:val="21"/>
              </w:rPr>
            </w:pPr>
          </w:p>
        </w:tc>
        <w:tc>
          <w:tcPr>
            <w:tcW w:w="801" w:type="dxa"/>
            <w:tcBorders>
              <w:top w:val="single" w:color="000000" w:sz="4" w:space="0"/>
              <w:bottom w:val="single" w:color="000000" w:sz="4" w:space="0"/>
            </w:tcBorders>
            <w:vAlign w:val="top"/>
          </w:tcPr>
          <w:p w14:paraId="1226C4CC">
            <w:pPr>
              <w:rPr>
                <w:rFonts w:ascii="Arial"/>
                <w:color w:val="auto"/>
                <w:sz w:val="21"/>
              </w:rPr>
            </w:pPr>
          </w:p>
        </w:tc>
        <w:tc>
          <w:tcPr>
            <w:tcW w:w="1096" w:type="dxa"/>
            <w:tcBorders>
              <w:top w:val="single" w:color="000000" w:sz="4" w:space="0"/>
              <w:bottom w:val="single" w:color="000000" w:sz="4" w:space="0"/>
            </w:tcBorders>
            <w:vAlign w:val="top"/>
          </w:tcPr>
          <w:p w14:paraId="54B01258">
            <w:pPr>
              <w:rPr>
                <w:rFonts w:ascii="Arial"/>
                <w:color w:val="auto"/>
                <w:sz w:val="21"/>
              </w:rPr>
            </w:pPr>
          </w:p>
        </w:tc>
        <w:tc>
          <w:tcPr>
            <w:tcW w:w="967" w:type="dxa"/>
            <w:tcBorders>
              <w:top w:val="single" w:color="000000" w:sz="4" w:space="0"/>
              <w:bottom w:val="single" w:color="000000" w:sz="4" w:space="0"/>
            </w:tcBorders>
            <w:vAlign w:val="top"/>
          </w:tcPr>
          <w:p w14:paraId="153E17B9">
            <w:pPr>
              <w:rPr>
                <w:rFonts w:ascii="Arial"/>
                <w:color w:val="auto"/>
                <w:sz w:val="21"/>
              </w:rPr>
            </w:pPr>
          </w:p>
        </w:tc>
        <w:tc>
          <w:tcPr>
            <w:tcW w:w="1376" w:type="dxa"/>
            <w:tcBorders>
              <w:top w:val="single" w:color="000000" w:sz="4" w:space="0"/>
              <w:bottom w:val="single" w:color="000000" w:sz="4" w:space="0"/>
            </w:tcBorders>
            <w:vAlign w:val="top"/>
          </w:tcPr>
          <w:p w14:paraId="58711762">
            <w:pPr>
              <w:rPr>
                <w:rFonts w:ascii="Arial"/>
                <w:color w:val="auto"/>
                <w:sz w:val="21"/>
              </w:rPr>
            </w:pPr>
          </w:p>
        </w:tc>
        <w:tc>
          <w:tcPr>
            <w:tcW w:w="809" w:type="dxa"/>
            <w:tcBorders>
              <w:top w:val="single" w:color="000000" w:sz="4" w:space="0"/>
              <w:bottom w:val="single" w:color="000000" w:sz="4" w:space="0"/>
            </w:tcBorders>
            <w:vAlign w:val="top"/>
          </w:tcPr>
          <w:p w14:paraId="034770AE">
            <w:pPr>
              <w:rPr>
                <w:rFonts w:ascii="Arial"/>
                <w:color w:val="auto"/>
                <w:sz w:val="21"/>
              </w:rPr>
            </w:pPr>
          </w:p>
        </w:tc>
        <w:tc>
          <w:tcPr>
            <w:tcW w:w="1782" w:type="dxa"/>
            <w:tcBorders>
              <w:top w:val="single" w:color="000000" w:sz="4" w:space="0"/>
              <w:bottom w:val="single" w:color="000000" w:sz="4" w:space="0"/>
            </w:tcBorders>
            <w:vAlign w:val="top"/>
          </w:tcPr>
          <w:p w14:paraId="7D393634">
            <w:pPr>
              <w:rPr>
                <w:rFonts w:ascii="Arial"/>
                <w:color w:val="auto"/>
                <w:sz w:val="21"/>
              </w:rPr>
            </w:pPr>
          </w:p>
        </w:tc>
      </w:tr>
      <w:tr w14:paraId="255F6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707" w:type="dxa"/>
            <w:tcBorders>
              <w:top w:val="single" w:color="000000" w:sz="4" w:space="0"/>
              <w:bottom w:val="single" w:color="000000" w:sz="4" w:space="0"/>
            </w:tcBorders>
            <w:vAlign w:val="top"/>
          </w:tcPr>
          <w:p w14:paraId="0CA1A664">
            <w:pPr>
              <w:rPr>
                <w:rFonts w:ascii="Arial"/>
                <w:color w:val="auto"/>
                <w:sz w:val="21"/>
              </w:rPr>
            </w:pPr>
          </w:p>
        </w:tc>
        <w:tc>
          <w:tcPr>
            <w:tcW w:w="1160" w:type="dxa"/>
            <w:tcBorders>
              <w:top w:val="single" w:color="000000" w:sz="4" w:space="0"/>
              <w:bottom w:val="single" w:color="000000" w:sz="4" w:space="0"/>
            </w:tcBorders>
            <w:vAlign w:val="top"/>
          </w:tcPr>
          <w:p w14:paraId="615B9DD7">
            <w:pPr>
              <w:rPr>
                <w:rFonts w:ascii="Arial"/>
                <w:color w:val="auto"/>
                <w:sz w:val="21"/>
              </w:rPr>
            </w:pPr>
          </w:p>
        </w:tc>
        <w:tc>
          <w:tcPr>
            <w:tcW w:w="801" w:type="dxa"/>
            <w:tcBorders>
              <w:top w:val="single" w:color="000000" w:sz="4" w:space="0"/>
              <w:bottom w:val="single" w:color="000000" w:sz="4" w:space="0"/>
            </w:tcBorders>
            <w:vAlign w:val="top"/>
          </w:tcPr>
          <w:p w14:paraId="1A1535BB">
            <w:pPr>
              <w:rPr>
                <w:rFonts w:ascii="Arial"/>
                <w:color w:val="auto"/>
                <w:sz w:val="21"/>
              </w:rPr>
            </w:pPr>
          </w:p>
        </w:tc>
        <w:tc>
          <w:tcPr>
            <w:tcW w:w="1096" w:type="dxa"/>
            <w:tcBorders>
              <w:top w:val="single" w:color="000000" w:sz="4" w:space="0"/>
              <w:bottom w:val="single" w:color="000000" w:sz="4" w:space="0"/>
            </w:tcBorders>
            <w:vAlign w:val="top"/>
          </w:tcPr>
          <w:p w14:paraId="60A50268">
            <w:pPr>
              <w:rPr>
                <w:rFonts w:ascii="Arial"/>
                <w:color w:val="auto"/>
                <w:sz w:val="21"/>
              </w:rPr>
            </w:pPr>
          </w:p>
        </w:tc>
        <w:tc>
          <w:tcPr>
            <w:tcW w:w="967" w:type="dxa"/>
            <w:tcBorders>
              <w:top w:val="single" w:color="000000" w:sz="4" w:space="0"/>
              <w:bottom w:val="single" w:color="000000" w:sz="4" w:space="0"/>
            </w:tcBorders>
            <w:vAlign w:val="top"/>
          </w:tcPr>
          <w:p w14:paraId="7D6D617A">
            <w:pPr>
              <w:rPr>
                <w:rFonts w:ascii="Arial"/>
                <w:color w:val="auto"/>
                <w:sz w:val="21"/>
              </w:rPr>
            </w:pPr>
          </w:p>
        </w:tc>
        <w:tc>
          <w:tcPr>
            <w:tcW w:w="1376" w:type="dxa"/>
            <w:tcBorders>
              <w:top w:val="single" w:color="000000" w:sz="4" w:space="0"/>
              <w:bottom w:val="single" w:color="000000" w:sz="4" w:space="0"/>
            </w:tcBorders>
            <w:vAlign w:val="top"/>
          </w:tcPr>
          <w:p w14:paraId="38261EC8">
            <w:pPr>
              <w:rPr>
                <w:rFonts w:ascii="Arial"/>
                <w:color w:val="auto"/>
                <w:sz w:val="21"/>
              </w:rPr>
            </w:pPr>
          </w:p>
        </w:tc>
        <w:tc>
          <w:tcPr>
            <w:tcW w:w="809" w:type="dxa"/>
            <w:tcBorders>
              <w:top w:val="single" w:color="000000" w:sz="4" w:space="0"/>
              <w:bottom w:val="single" w:color="000000" w:sz="4" w:space="0"/>
            </w:tcBorders>
            <w:vAlign w:val="top"/>
          </w:tcPr>
          <w:p w14:paraId="3E899CFC">
            <w:pPr>
              <w:rPr>
                <w:rFonts w:ascii="Arial"/>
                <w:color w:val="auto"/>
                <w:sz w:val="21"/>
              </w:rPr>
            </w:pPr>
          </w:p>
        </w:tc>
        <w:tc>
          <w:tcPr>
            <w:tcW w:w="1782" w:type="dxa"/>
            <w:tcBorders>
              <w:top w:val="single" w:color="000000" w:sz="4" w:space="0"/>
              <w:bottom w:val="single" w:color="000000" w:sz="4" w:space="0"/>
            </w:tcBorders>
            <w:vAlign w:val="top"/>
          </w:tcPr>
          <w:p w14:paraId="2831D91C">
            <w:pPr>
              <w:rPr>
                <w:rFonts w:ascii="Arial"/>
                <w:color w:val="auto"/>
                <w:sz w:val="21"/>
              </w:rPr>
            </w:pPr>
          </w:p>
        </w:tc>
      </w:tr>
      <w:tr w14:paraId="07B0D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707" w:type="dxa"/>
            <w:tcBorders>
              <w:top w:val="single" w:color="000000" w:sz="4" w:space="0"/>
            </w:tcBorders>
            <w:vAlign w:val="top"/>
          </w:tcPr>
          <w:p w14:paraId="4E36EE37">
            <w:pPr>
              <w:rPr>
                <w:rFonts w:ascii="Arial"/>
                <w:color w:val="auto"/>
                <w:sz w:val="21"/>
              </w:rPr>
            </w:pPr>
          </w:p>
        </w:tc>
        <w:tc>
          <w:tcPr>
            <w:tcW w:w="1160" w:type="dxa"/>
            <w:tcBorders>
              <w:top w:val="single" w:color="000000" w:sz="4" w:space="0"/>
            </w:tcBorders>
            <w:vAlign w:val="top"/>
          </w:tcPr>
          <w:p w14:paraId="6A70DC9C">
            <w:pPr>
              <w:pStyle w:val="11"/>
              <w:spacing w:before="289" w:line="153" w:lineRule="exact"/>
              <w:ind w:left="111"/>
              <w:rPr>
                <w:color w:val="auto"/>
                <w:sz w:val="21"/>
                <w:szCs w:val="21"/>
              </w:rPr>
            </w:pPr>
            <w:r>
              <w:rPr>
                <w:color w:val="auto"/>
                <w:spacing w:val="9"/>
                <w:position w:val="-3"/>
                <w:sz w:val="21"/>
                <w:szCs w:val="21"/>
              </w:rPr>
              <w:t>……</w:t>
            </w:r>
          </w:p>
        </w:tc>
        <w:tc>
          <w:tcPr>
            <w:tcW w:w="801" w:type="dxa"/>
            <w:tcBorders>
              <w:top w:val="single" w:color="000000" w:sz="4" w:space="0"/>
            </w:tcBorders>
            <w:vAlign w:val="top"/>
          </w:tcPr>
          <w:p w14:paraId="22C8F832">
            <w:pPr>
              <w:rPr>
                <w:rFonts w:ascii="Arial"/>
                <w:color w:val="auto"/>
                <w:sz w:val="21"/>
              </w:rPr>
            </w:pPr>
          </w:p>
        </w:tc>
        <w:tc>
          <w:tcPr>
            <w:tcW w:w="1096" w:type="dxa"/>
            <w:tcBorders>
              <w:top w:val="single" w:color="000000" w:sz="4" w:space="0"/>
            </w:tcBorders>
            <w:vAlign w:val="top"/>
          </w:tcPr>
          <w:p w14:paraId="5C07B4C6">
            <w:pPr>
              <w:rPr>
                <w:rFonts w:ascii="Arial"/>
                <w:color w:val="auto"/>
                <w:sz w:val="21"/>
              </w:rPr>
            </w:pPr>
          </w:p>
        </w:tc>
        <w:tc>
          <w:tcPr>
            <w:tcW w:w="967" w:type="dxa"/>
            <w:tcBorders>
              <w:top w:val="single" w:color="000000" w:sz="4" w:space="0"/>
            </w:tcBorders>
            <w:vAlign w:val="top"/>
          </w:tcPr>
          <w:p w14:paraId="659A79CE">
            <w:pPr>
              <w:rPr>
                <w:rFonts w:ascii="Arial"/>
                <w:color w:val="auto"/>
                <w:sz w:val="21"/>
              </w:rPr>
            </w:pPr>
          </w:p>
        </w:tc>
        <w:tc>
          <w:tcPr>
            <w:tcW w:w="1376" w:type="dxa"/>
            <w:tcBorders>
              <w:top w:val="single" w:color="000000" w:sz="4" w:space="0"/>
            </w:tcBorders>
            <w:vAlign w:val="top"/>
          </w:tcPr>
          <w:p w14:paraId="36845408">
            <w:pPr>
              <w:rPr>
                <w:rFonts w:ascii="Arial"/>
                <w:color w:val="auto"/>
                <w:sz w:val="21"/>
              </w:rPr>
            </w:pPr>
          </w:p>
        </w:tc>
        <w:tc>
          <w:tcPr>
            <w:tcW w:w="809" w:type="dxa"/>
            <w:tcBorders>
              <w:top w:val="single" w:color="000000" w:sz="4" w:space="0"/>
            </w:tcBorders>
            <w:vAlign w:val="top"/>
          </w:tcPr>
          <w:p w14:paraId="7ECF2E89">
            <w:pPr>
              <w:rPr>
                <w:rFonts w:ascii="Arial"/>
                <w:color w:val="auto"/>
                <w:sz w:val="21"/>
              </w:rPr>
            </w:pPr>
          </w:p>
        </w:tc>
        <w:tc>
          <w:tcPr>
            <w:tcW w:w="1782" w:type="dxa"/>
            <w:tcBorders>
              <w:top w:val="single" w:color="000000" w:sz="4" w:space="0"/>
            </w:tcBorders>
            <w:vAlign w:val="top"/>
          </w:tcPr>
          <w:p w14:paraId="7BA043D4">
            <w:pPr>
              <w:rPr>
                <w:rFonts w:ascii="Arial"/>
                <w:color w:val="auto"/>
                <w:sz w:val="21"/>
              </w:rPr>
            </w:pPr>
          </w:p>
        </w:tc>
      </w:tr>
      <w:tr w14:paraId="6C078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707" w:type="dxa"/>
            <w:tcBorders>
              <w:bottom w:val="single" w:color="000000" w:sz="4" w:space="0"/>
            </w:tcBorders>
            <w:vAlign w:val="top"/>
          </w:tcPr>
          <w:p w14:paraId="5210CE08">
            <w:pPr>
              <w:rPr>
                <w:rFonts w:ascii="Arial"/>
                <w:color w:val="auto"/>
                <w:sz w:val="21"/>
              </w:rPr>
            </w:pPr>
          </w:p>
        </w:tc>
        <w:tc>
          <w:tcPr>
            <w:tcW w:w="4024" w:type="dxa"/>
            <w:gridSpan w:val="4"/>
            <w:tcBorders>
              <w:bottom w:val="single" w:color="000000" w:sz="4" w:space="0"/>
            </w:tcBorders>
            <w:vAlign w:val="top"/>
          </w:tcPr>
          <w:p w14:paraId="55B7D6D3">
            <w:pPr>
              <w:pStyle w:val="11"/>
              <w:spacing w:before="196" w:line="220" w:lineRule="auto"/>
              <w:rPr>
                <w:color w:val="auto"/>
                <w:sz w:val="21"/>
                <w:szCs w:val="21"/>
              </w:rPr>
            </w:pPr>
            <w:r>
              <w:rPr>
                <w:color w:val="auto"/>
                <w:spacing w:val="-2"/>
                <w:sz w:val="21"/>
                <w:szCs w:val="21"/>
              </w:rPr>
              <w:t>运输费、安装调试费</w:t>
            </w:r>
          </w:p>
        </w:tc>
        <w:tc>
          <w:tcPr>
            <w:tcW w:w="1376" w:type="dxa"/>
            <w:tcBorders>
              <w:bottom w:val="single" w:color="000000" w:sz="4" w:space="0"/>
            </w:tcBorders>
            <w:vAlign w:val="top"/>
          </w:tcPr>
          <w:p w14:paraId="6AF25236">
            <w:pPr>
              <w:rPr>
                <w:rFonts w:ascii="Arial"/>
                <w:color w:val="auto"/>
                <w:sz w:val="21"/>
              </w:rPr>
            </w:pPr>
          </w:p>
        </w:tc>
        <w:tc>
          <w:tcPr>
            <w:tcW w:w="809" w:type="dxa"/>
            <w:tcBorders>
              <w:bottom w:val="single" w:color="000000" w:sz="4" w:space="0"/>
            </w:tcBorders>
            <w:vAlign w:val="top"/>
          </w:tcPr>
          <w:p w14:paraId="1E7CD517">
            <w:pPr>
              <w:rPr>
                <w:rFonts w:ascii="Arial"/>
                <w:color w:val="auto"/>
                <w:sz w:val="21"/>
              </w:rPr>
            </w:pPr>
          </w:p>
        </w:tc>
        <w:tc>
          <w:tcPr>
            <w:tcW w:w="1782" w:type="dxa"/>
            <w:tcBorders>
              <w:bottom w:val="single" w:color="000000" w:sz="4" w:space="0"/>
            </w:tcBorders>
            <w:vAlign w:val="top"/>
          </w:tcPr>
          <w:p w14:paraId="2E2CF5D1">
            <w:pPr>
              <w:rPr>
                <w:rFonts w:ascii="Arial"/>
                <w:color w:val="auto"/>
                <w:sz w:val="21"/>
              </w:rPr>
            </w:pPr>
          </w:p>
        </w:tc>
      </w:tr>
      <w:tr w14:paraId="78F4A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707" w:type="dxa"/>
            <w:tcBorders>
              <w:top w:val="single" w:color="000000" w:sz="4" w:space="0"/>
            </w:tcBorders>
            <w:vAlign w:val="top"/>
          </w:tcPr>
          <w:p w14:paraId="78399079">
            <w:pPr>
              <w:rPr>
                <w:rFonts w:ascii="Arial"/>
                <w:color w:val="auto"/>
                <w:sz w:val="21"/>
              </w:rPr>
            </w:pPr>
          </w:p>
        </w:tc>
        <w:tc>
          <w:tcPr>
            <w:tcW w:w="4024" w:type="dxa"/>
            <w:gridSpan w:val="4"/>
            <w:tcBorders>
              <w:top w:val="single" w:color="000000" w:sz="4" w:space="0"/>
            </w:tcBorders>
            <w:vAlign w:val="top"/>
          </w:tcPr>
          <w:p w14:paraId="4ACC7C1D">
            <w:pPr>
              <w:pStyle w:val="11"/>
              <w:spacing w:before="204" w:line="220" w:lineRule="auto"/>
              <w:rPr>
                <w:color w:val="auto"/>
                <w:sz w:val="21"/>
                <w:szCs w:val="21"/>
              </w:rPr>
            </w:pPr>
            <w:r>
              <w:rPr>
                <w:color w:val="auto"/>
                <w:spacing w:val="-15"/>
                <w:sz w:val="21"/>
                <w:szCs w:val="21"/>
              </w:rPr>
              <w:t>其他：</w:t>
            </w:r>
          </w:p>
        </w:tc>
        <w:tc>
          <w:tcPr>
            <w:tcW w:w="1376" w:type="dxa"/>
            <w:tcBorders>
              <w:top w:val="single" w:color="000000" w:sz="4" w:space="0"/>
            </w:tcBorders>
            <w:vAlign w:val="top"/>
          </w:tcPr>
          <w:p w14:paraId="1007416D">
            <w:pPr>
              <w:rPr>
                <w:rFonts w:ascii="Arial"/>
                <w:color w:val="auto"/>
                <w:sz w:val="21"/>
              </w:rPr>
            </w:pPr>
          </w:p>
        </w:tc>
        <w:tc>
          <w:tcPr>
            <w:tcW w:w="809" w:type="dxa"/>
            <w:tcBorders>
              <w:top w:val="single" w:color="000000" w:sz="4" w:space="0"/>
            </w:tcBorders>
            <w:vAlign w:val="top"/>
          </w:tcPr>
          <w:p w14:paraId="38592ADF">
            <w:pPr>
              <w:rPr>
                <w:rFonts w:ascii="Arial"/>
                <w:color w:val="auto"/>
                <w:sz w:val="21"/>
              </w:rPr>
            </w:pPr>
          </w:p>
        </w:tc>
        <w:tc>
          <w:tcPr>
            <w:tcW w:w="1782" w:type="dxa"/>
            <w:tcBorders>
              <w:top w:val="single" w:color="000000" w:sz="4" w:space="0"/>
            </w:tcBorders>
            <w:vAlign w:val="top"/>
          </w:tcPr>
          <w:p w14:paraId="627F5040">
            <w:pPr>
              <w:rPr>
                <w:rFonts w:ascii="Arial"/>
                <w:color w:val="auto"/>
                <w:sz w:val="21"/>
              </w:rPr>
            </w:pPr>
          </w:p>
        </w:tc>
      </w:tr>
      <w:tr w14:paraId="3BBEA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6916" w:type="dxa"/>
            <w:gridSpan w:val="7"/>
            <w:vAlign w:val="top"/>
          </w:tcPr>
          <w:p w14:paraId="677B2A9D">
            <w:pPr>
              <w:pStyle w:val="11"/>
              <w:spacing w:before="201" w:line="218" w:lineRule="auto"/>
              <w:ind w:left="104"/>
              <w:rPr>
                <w:color w:val="auto"/>
                <w:sz w:val="21"/>
                <w:szCs w:val="21"/>
              </w:rPr>
            </w:pPr>
            <w:r>
              <w:rPr>
                <w:color w:val="auto"/>
                <w:spacing w:val="-2"/>
                <w:sz w:val="21"/>
                <w:szCs w:val="21"/>
              </w:rPr>
              <w:t>报价总计(大写)：</w:t>
            </w:r>
          </w:p>
        </w:tc>
        <w:tc>
          <w:tcPr>
            <w:tcW w:w="1782" w:type="dxa"/>
            <w:vAlign w:val="top"/>
          </w:tcPr>
          <w:p w14:paraId="0948BD44">
            <w:pPr>
              <w:pStyle w:val="11"/>
              <w:spacing w:before="201" w:line="239" w:lineRule="auto"/>
              <w:ind w:left="124"/>
              <w:rPr>
                <w:rFonts w:hint="eastAsia" w:eastAsia="宋体"/>
                <w:color w:val="auto"/>
                <w:sz w:val="21"/>
                <w:szCs w:val="21"/>
                <w:lang w:eastAsia="zh-CN"/>
              </w:rPr>
            </w:pPr>
            <w:r>
              <w:rPr>
                <w:color w:val="auto"/>
                <w:spacing w:val="-40"/>
                <w:w w:val="99"/>
                <w:sz w:val="21"/>
                <w:szCs w:val="21"/>
              </w:rPr>
              <w:t>￥</w:t>
            </w:r>
          </w:p>
        </w:tc>
      </w:tr>
    </w:tbl>
    <w:p w14:paraId="39AEF579">
      <w:pPr>
        <w:pStyle w:val="3"/>
        <w:spacing w:line="321" w:lineRule="auto"/>
        <w:rPr>
          <w:color w:val="auto"/>
        </w:rPr>
      </w:pPr>
    </w:p>
    <w:p w14:paraId="781833C1">
      <w:pPr>
        <w:pStyle w:val="3"/>
        <w:spacing w:line="321" w:lineRule="auto"/>
        <w:rPr>
          <w:color w:val="auto"/>
        </w:rPr>
      </w:pPr>
    </w:p>
    <w:p w14:paraId="41F6C1E0">
      <w:pPr>
        <w:spacing w:before="78" w:line="219" w:lineRule="auto"/>
        <w:ind w:left="309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供应商代表签字：</w:t>
      </w:r>
    </w:p>
    <w:p w14:paraId="0355345C">
      <w:pPr>
        <w:spacing w:before="175" w:line="219" w:lineRule="auto"/>
        <w:ind w:left="2735"/>
        <w:rPr>
          <w:rFonts w:ascii="宋体" w:hAnsi="宋体" w:eastAsia="宋体" w:cs="宋体"/>
          <w:color w:val="auto"/>
          <w:sz w:val="24"/>
          <w:szCs w:val="24"/>
        </w:rPr>
      </w:pPr>
      <w:r>
        <w:rPr>
          <w:rFonts w:ascii="宋体" w:hAnsi="宋体" w:eastAsia="宋体" w:cs="宋体"/>
          <w:color w:val="auto"/>
          <w:spacing w:val="-2"/>
          <w:sz w:val="24"/>
          <w:szCs w:val="24"/>
        </w:rPr>
        <w:t>供应商：（全称并加盖公章）</w:t>
      </w:r>
    </w:p>
    <w:p w14:paraId="2FCFCA51">
      <w:pPr>
        <w:spacing w:before="174" w:line="220" w:lineRule="auto"/>
        <w:ind w:left="5991"/>
        <w:rPr>
          <w:rFonts w:ascii="宋体" w:hAnsi="宋体" w:eastAsia="宋体" w:cs="宋体"/>
          <w:color w:val="auto"/>
          <w:sz w:val="24"/>
          <w:szCs w:val="24"/>
        </w:rPr>
      </w:pPr>
      <w:r>
        <w:rPr>
          <w:rFonts w:ascii="宋体" w:hAnsi="宋体" w:eastAsia="宋体" w:cs="宋体"/>
          <w:color w:val="auto"/>
          <w:spacing w:val="-9"/>
          <w:sz w:val="24"/>
          <w:szCs w:val="24"/>
        </w:rPr>
        <w:t>年月日</w:t>
      </w:r>
    </w:p>
    <w:p w14:paraId="2D9F83EE">
      <w:pPr>
        <w:spacing w:line="220" w:lineRule="auto"/>
        <w:rPr>
          <w:rFonts w:ascii="宋体" w:hAnsi="宋体" w:eastAsia="宋体" w:cs="宋体"/>
          <w:color w:val="auto"/>
          <w:sz w:val="24"/>
          <w:szCs w:val="24"/>
        </w:rPr>
        <w:sectPr>
          <w:footerReference r:id="rId14" w:type="default"/>
          <w:pgSz w:w="11906" w:h="16839"/>
          <w:pgMar w:top="1440" w:right="1800" w:bottom="1440" w:left="1800" w:header="0" w:footer="991" w:gutter="0"/>
          <w:cols w:space="720" w:num="1"/>
        </w:sectPr>
      </w:pPr>
    </w:p>
    <w:p w14:paraId="13D4D400">
      <w:pPr>
        <w:pStyle w:val="3"/>
        <w:spacing w:line="251" w:lineRule="auto"/>
        <w:rPr>
          <w:color w:val="auto"/>
        </w:rPr>
      </w:pPr>
    </w:p>
    <w:p w14:paraId="07A252C4">
      <w:pPr>
        <w:spacing w:before="91" w:line="219" w:lineRule="auto"/>
        <w:ind w:left="3506"/>
        <w:rPr>
          <w:rFonts w:ascii="宋体" w:hAnsi="宋体" w:eastAsia="宋体" w:cs="宋体"/>
          <w:color w:val="auto"/>
          <w:sz w:val="28"/>
          <w:szCs w:val="28"/>
        </w:rPr>
      </w:pPr>
      <w:r>
        <w:rPr>
          <w:rFonts w:ascii="宋体" w:hAnsi="宋体" w:eastAsia="宋体" w:cs="宋体"/>
          <w:b/>
          <w:bCs/>
          <w:color w:val="auto"/>
          <w:spacing w:val="-6"/>
          <w:sz w:val="28"/>
          <w:szCs w:val="28"/>
        </w:rPr>
        <w:t>附件7证明文件</w:t>
      </w:r>
    </w:p>
    <w:p w14:paraId="0A945C6E">
      <w:pPr>
        <w:pStyle w:val="3"/>
        <w:spacing w:line="342" w:lineRule="auto"/>
        <w:rPr>
          <w:color w:val="auto"/>
        </w:rPr>
      </w:pPr>
    </w:p>
    <w:p w14:paraId="22E22343">
      <w:pPr>
        <w:spacing w:before="91" w:line="385" w:lineRule="exact"/>
        <w:ind w:left="2286"/>
        <w:rPr>
          <w:rFonts w:ascii="宋体" w:hAnsi="宋体" w:eastAsia="宋体" w:cs="宋体"/>
          <w:color w:val="auto"/>
          <w:sz w:val="28"/>
          <w:szCs w:val="28"/>
        </w:rPr>
      </w:pPr>
      <w:r>
        <w:rPr>
          <w:rFonts w:ascii="宋体" w:hAnsi="宋体" w:eastAsia="宋体" w:cs="宋体"/>
          <w:b/>
          <w:bCs/>
          <w:color w:val="auto"/>
          <w:spacing w:val="-4"/>
          <w:position w:val="1"/>
          <w:sz w:val="28"/>
          <w:szCs w:val="28"/>
        </w:rPr>
        <w:t>驻马店市政府采购供应商信用承诺函</w:t>
      </w:r>
    </w:p>
    <w:p w14:paraId="4BD35DD5">
      <w:pPr>
        <w:spacing w:before="46" w:line="219" w:lineRule="auto"/>
        <w:rPr>
          <w:rFonts w:ascii="宋体" w:hAnsi="宋体" w:eastAsia="宋体" w:cs="宋体"/>
          <w:color w:val="auto"/>
          <w:sz w:val="24"/>
          <w:szCs w:val="24"/>
        </w:rPr>
      </w:pPr>
      <w:r>
        <w:rPr>
          <w:rFonts w:ascii="宋体" w:hAnsi="宋体" w:eastAsia="宋体" w:cs="宋体"/>
          <w:color w:val="auto"/>
          <w:spacing w:val="-1"/>
          <w:sz w:val="24"/>
          <w:szCs w:val="24"/>
        </w:rPr>
        <w:t>致（采购人或政府采购代理机构</w:t>
      </w:r>
      <w:r>
        <w:rPr>
          <w:rFonts w:ascii="宋体" w:hAnsi="宋体" w:eastAsia="宋体" w:cs="宋体"/>
          <w:color w:val="auto"/>
          <w:spacing w:val="1"/>
          <w:sz w:val="24"/>
          <w:szCs w:val="24"/>
        </w:rPr>
        <w:t>）：</w:t>
      </w:r>
    </w:p>
    <w:p w14:paraId="3947A128">
      <w:pPr>
        <w:spacing w:before="181" w:line="220" w:lineRule="auto"/>
        <w:ind w:left="421"/>
        <w:rPr>
          <w:rFonts w:ascii="宋体" w:hAnsi="宋体" w:eastAsia="宋体" w:cs="宋体"/>
          <w:color w:val="auto"/>
          <w:sz w:val="24"/>
          <w:szCs w:val="24"/>
        </w:rPr>
      </w:pPr>
      <w:r>
        <w:rPr>
          <w:rFonts w:ascii="宋体" w:hAnsi="宋体" w:eastAsia="宋体" w:cs="宋体"/>
          <w:color w:val="auto"/>
          <w:spacing w:val="-6"/>
          <w:sz w:val="24"/>
          <w:szCs w:val="24"/>
        </w:rPr>
        <w:t>单位名称（自然人姓名</w:t>
      </w:r>
      <w:r>
        <w:rPr>
          <w:rFonts w:ascii="宋体" w:hAnsi="宋体" w:eastAsia="宋体" w:cs="宋体"/>
          <w:color w:val="auto"/>
          <w:spacing w:val="-1"/>
          <w:sz w:val="24"/>
          <w:szCs w:val="24"/>
        </w:rPr>
        <w:t>）：</w:t>
      </w:r>
    </w:p>
    <w:p w14:paraId="20F4414F">
      <w:pPr>
        <w:spacing w:before="181" w:line="219" w:lineRule="auto"/>
        <w:ind w:left="425"/>
        <w:rPr>
          <w:rFonts w:ascii="宋体" w:hAnsi="宋体" w:eastAsia="宋体" w:cs="宋体"/>
          <w:color w:val="auto"/>
          <w:sz w:val="24"/>
          <w:szCs w:val="24"/>
        </w:rPr>
      </w:pPr>
      <w:r>
        <w:rPr>
          <w:rFonts w:ascii="宋体" w:hAnsi="宋体" w:eastAsia="宋体" w:cs="宋体"/>
          <w:color w:val="auto"/>
          <w:spacing w:val="-5"/>
          <w:sz w:val="24"/>
          <w:szCs w:val="24"/>
        </w:rPr>
        <w:t>统一社会信用代码（身份证号码</w:t>
      </w:r>
      <w:r>
        <w:rPr>
          <w:rFonts w:ascii="宋体" w:hAnsi="宋体" w:eastAsia="宋体" w:cs="宋体"/>
          <w:color w:val="auto"/>
          <w:spacing w:val="1"/>
          <w:sz w:val="24"/>
          <w:szCs w:val="24"/>
        </w:rPr>
        <w:t>）：</w:t>
      </w:r>
    </w:p>
    <w:p w14:paraId="36EA87A8">
      <w:pPr>
        <w:spacing w:before="182" w:line="220" w:lineRule="auto"/>
        <w:ind w:left="420"/>
        <w:rPr>
          <w:rFonts w:ascii="宋体" w:hAnsi="宋体" w:eastAsia="宋体" w:cs="宋体"/>
          <w:color w:val="auto"/>
          <w:sz w:val="24"/>
          <w:szCs w:val="24"/>
        </w:rPr>
      </w:pPr>
      <w:r>
        <w:rPr>
          <w:rFonts w:ascii="宋体" w:hAnsi="宋体" w:eastAsia="宋体" w:cs="宋体"/>
          <w:color w:val="auto"/>
          <w:spacing w:val="-6"/>
          <w:sz w:val="24"/>
          <w:szCs w:val="24"/>
        </w:rPr>
        <w:t>法定代表人（负责人</w:t>
      </w:r>
      <w:r>
        <w:rPr>
          <w:rFonts w:ascii="宋体" w:hAnsi="宋体" w:eastAsia="宋体" w:cs="宋体"/>
          <w:color w:val="auto"/>
          <w:spacing w:val="-3"/>
          <w:sz w:val="24"/>
          <w:szCs w:val="24"/>
        </w:rPr>
        <w:t>）：</w:t>
      </w:r>
    </w:p>
    <w:p w14:paraId="0A9CC9BC">
      <w:pPr>
        <w:spacing w:before="181" w:line="222" w:lineRule="auto"/>
        <w:ind w:left="420"/>
        <w:rPr>
          <w:rFonts w:ascii="宋体" w:hAnsi="宋体" w:eastAsia="宋体" w:cs="宋体"/>
          <w:color w:val="auto"/>
          <w:sz w:val="24"/>
          <w:szCs w:val="24"/>
        </w:rPr>
      </w:pPr>
      <w:r>
        <w:rPr>
          <w:rFonts w:ascii="宋体" w:hAnsi="宋体" w:eastAsia="宋体" w:cs="宋体"/>
          <w:color w:val="auto"/>
          <w:spacing w:val="-8"/>
          <w:sz w:val="24"/>
          <w:szCs w:val="24"/>
        </w:rPr>
        <w:t>联系地址和电话：</w:t>
      </w:r>
    </w:p>
    <w:p w14:paraId="3893CC09">
      <w:pPr>
        <w:spacing w:before="179" w:line="359" w:lineRule="auto"/>
        <w:ind w:firstLine="420"/>
        <w:rPr>
          <w:rFonts w:ascii="宋体" w:hAnsi="宋体" w:eastAsia="宋体" w:cs="宋体"/>
          <w:color w:val="auto"/>
          <w:sz w:val="24"/>
          <w:szCs w:val="24"/>
        </w:rPr>
      </w:pPr>
      <w:r>
        <w:rPr>
          <w:rFonts w:ascii="宋体" w:hAnsi="宋体" w:eastAsia="宋体" w:cs="宋体"/>
          <w:color w:val="auto"/>
          <w:sz w:val="24"/>
          <w:szCs w:val="24"/>
        </w:rPr>
        <w:t>我单位（本人）自愿参加本次政府采购活动，严格遵</w:t>
      </w:r>
      <w:r>
        <w:rPr>
          <w:rFonts w:ascii="宋体" w:hAnsi="宋体" w:eastAsia="宋体" w:cs="宋体"/>
          <w:color w:val="auto"/>
          <w:spacing w:val="-1"/>
          <w:sz w:val="24"/>
          <w:szCs w:val="24"/>
        </w:rPr>
        <w:t>守《中华人民共和国政府采购</w:t>
      </w:r>
      <w:r>
        <w:rPr>
          <w:rFonts w:ascii="宋体" w:hAnsi="宋体" w:eastAsia="宋体" w:cs="宋体"/>
          <w:color w:val="auto"/>
          <w:sz w:val="24"/>
          <w:szCs w:val="24"/>
        </w:rPr>
        <w:t>法》及相关法律法规，坚守公开、公平、公正和诚实信用</w:t>
      </w:r>
      <w:r>
        <w:rPr>
          <w:rFonts w:ascii="宋体" w:hAnsi="宋体" w:eastAsia="宋体" w:cs="宋体"/>
          <w:color w:val="auto"/>
          <w:spacing w:val="-1"/>
          <w:sz w:val="24"/>
          <w:szCs w:val="24"/>
        </w:rPr>
        <w:t>的原则，依法诚信经营，无条件遵守本次政府采购活动的各项规定。我单位（本人）郑重承诺，我单位（本人）</w:t>
      </w:r>
    </w:p>
    <w:p w14:paraId="194B6415">
      <w:pPr>
        <w:spacing w:before="1" w:line="218" w:lineRule="auto"/>
        <w:ind w:left="1"/>
        <w:rPr>
          <w:rFonts w:ascii="宋体" w:hAnsi="宋体" w:eastAsia="宋体" w:cs="宋体"/>
          <w:color w:val="auto"/>
          <w:sz w:val="24"/>
          <w:szCs w:val="24"/>
        </w:rPr>
      </w:pPr>
      <w:r>
        <w:rPr>
          <w:rFonts w:ascii="宋体" w:hAnsi="宋体" w:eastAsia="宋体" w:cs="宋体"/>
          <w:color w:val="auto"/>
          <w:spacing w:val="-3"/>
          <w:sz w:val="24"/>
          <w:szCs w:val="24"/>
        </w:rPr>
        <w:t>符合《中华人民共和国政府采购法》第二十二条规定的条件：</w:t>
      </w:r>
    </w:p>
    <w:p w14:paraId="0F327405">
      <w:pPr>
        <w:spacing w:before="182" w:line="220" w:lineRule="auto"/>
        <w:ind w:left="426"/>
        <w:rPr>
          <w:rFonts w:ascii="宋体" w:hAnsi="宋体" w:eastAsia="宋体" w:cs="宋体"/>
          <w:color w:val="auto"/>
          <w:sz w:val="24"/>
          <w:szCs w:val="24"/>
        </w:rPr>
      </w:pPr>
      <w:r>
        <w:rPr>
          <w:rFonts w:ascii="宋体" w:hAnsi="宋体" w:eastAsia="宋体" w:cs="宋体"/>
          <w:color w:val="auto"/>
          <w:spacing w:val="-5"/>
          <w:sz w:val="24"/>
          <w:szCs w:val="24"/>
        </w:rPr>
        <w:t>（一）具有独立承担民事责任的能力；</w:t>
      </w:r>
    </w:p>
    <w:p w14:paraId="2D5ADB37">
      <w:pPr>
        <w:spacing w:before="181" w:line="219" w:lineRule="auto"/>
        <w:ind w:left="426"/>
        <w:rPr>
          <w:rFonts w:ascii="宋体" w:hAnsi="宋体" w:eastAsia="宋体" w:cs="宋体"/>
          <w:color w:val="auto"/>
          <w:sz w:val="24"/>
          <w:szCs w:val="24"/>
        </w:rPr>
      </w:pPr>
      <w:r>
        <w:rPr>
          <w:rFonts w:ascii="宋体" w:hAnsi="宋体" w:eastAsia="宋体" w:cs="宋体"/>
          <w:color w:val="auto"/>
          <w:spacing w:val="-3"/>
          <w:sz w:val="24"/>
          <w:szCs w:val="24"/>
        </w:rPr>
        <w:t>（二）具有良好的商业信誉和健全的财务会计制度；</w:t>
      </w:r>
    </w:p>
    <w:p w14:paraId="6F8BE574">
      <w:pPr>
        <w:spacing w:before="182" w:line="220" w:lineRule="auto"/>
        <w:ind w:left="426"/>
        <w:rPr>
          <w:rFonts w:ascii="宋体" w:hAnsi="宋体" w:eastAsia="宋体" w:cs="宋体"/>
          <w:color w:val="auto"/>
          <w:sz w:val="24"/>
          <w:szCs w:val="24"/>
        </w:rPr>
      </w:pPr>
      <w:r>
        <w:rPr>
          <w:rFonts w:ascii="宋体" w:hAnsi="宋体" w:eastAsia="宋体" w:cs="宋体"/>
          <w:color w:val="auto"/>
          <w:spacing w:val="-3"/>
          <w:sz w:val="24"/>
          <w:szCs w:val="24"/>
        </w:rPr>
        <w:t>（三）具有履行合同所必需的设备和专业技术能力；</w:t>
      </w:r>
    </w:p>
    <w:p w14:paraId="3D3ED166">
      <w:pPr>
        <w:spacing w:before="181" w:line="219" w:lineRule="auto"/>
        <w:ind w:left="426"/>
        <w:rPr>
          <w:rFonts w:ascii="宋体" w:hAnsi="宋体" w:eastAsia="宋体" w:cs="宋体"/>
          <w:color w:val="auto"/>
          <w:sz w:val="24"/>
          <w:szCs w:val="24"/>
        </w:rPr>
      </w:pPr>
      <w:r>
        <w:rPr>
          <w:rFonts w:ascii="宋体" w:hAnsi="宋体" w:eastAsia="宋体" w:cs="宋体"/>
          <w:color w:val="auto"/>
          <w:spacing w:val="-3"/>
          <w:sz w:val="24"/>
          <w:szCs w:val="24"/>
        </w:rPr>
        <w:t>（四）有依法缴纳税收和社会保障资金的良好记录；</w:t>
      </w:r>
    </w:p>
    <w:p w14:paraId="18898313">
      <w:pPr>
        <w:spacing w:before="182" w:line="219" w:lineRule="auto"/>
        <w:ind w:left="426"/>
        <w:rPr>
          <w:rFonts w:ascii="宋体" w:hAnsi="宋体" w:eastAsia="宋体" w:cs="宋体"/>
          <w:color w:val="auto"/>
          <w:sz w:val="24"/>
          <w:szCs w:val="24"/>
        </w:rPr>
      </w:pPr>
      <w:r>
        <w:rPr>
          <w:rFonts w:ascii="宋体" w:hAnsi="宋体" w:eastAsia="宋体" w:cs="宋体"/>
          <w:color w:val="auto"/>
          <w:spacing w:val="-2"/>
          <w:sz w:val="24"/>
          <w:szCs w:val="24"/>
        </w:rPr>
        <w:t>（五）参加政府采购活动前三年内，在经营活动中</w:t>
      </w:r>
      <w:r>
        <w:rPr>
          <w:rFonts w:ascii="宋体" w:hAnsi="宋体" w:eastAsia="宋体" w:cs="宋体"/>
          <w:color w:val="auto"/>
          <w:spacing w:val="-3"/>
          <w:sz w:val="24"/>
          <w:szCs w:val="24"/>
        </w:rPr>
        <w:t>没有重大违法记录；</w:t>
      </w:r>
    </w:p>
    <w:p w14:paraId="175779CA">
      <w:pPr>
        <w:spacing w:before="183" w:line="289" w:lineRule="auto"/>
        <w:ind w:right="10" w:firstLine="425"/>
        <w:rPr>
          <w:rFonts w:ascii="宋体" w:hAnsi="宋体" w:eastAsia="宋体" w:cs="宋体"/>
          <w:color w:val="auto"/>
          <w:sz w:val="24"/>
          <w:szCs w:val="24"/>
        </w:rPr>
      </w:pPr>
      <w:r>
        <w:rPr>
          <w:rFonts w:ascii="宋体" w:hAnsi="宋体" w:eastAsia="宋体" w:cs="宋体"/>
          <w:color w:val="auto"/>
          <w:spacing w:val="-1"/>
          <w:sz w:val="24"/>
          <w:szCs w:val="24"/>
        </w:rPr>
        <w:t>（六）未被列入严重失信主体名单、失信被执行人、税收违法黑名单、政府采购严</w:t>
      </w:r>
      <w:r>
        <w:rPr>
          <w:rFonts w:ascii="宋体" w:hAnsi="宋体" w:eastAsia="宋体" w:cs="宋体"/>
          <w:color w:val="auto"/>
          <w:spacing w:val="-3"/>
          <w:sz w:val="24"/>
          <w:szCs w:val="24"/>
        </w:rPr>
        <w:t>重违法失信行为记录名单，未曾作出虚假承</w:t>
      </w:r>
      <w:r>
        <w:rPr>
          <w:rFonts w:ascii="宋体" w:hAnsi="宋体" w:eastAsia="宋体" w:cs="宋体"/>
          <w:color w:val="auto"/>
          <w:spacing w:val="-4"/>
          <w:sz w:val="24"/>
          <w:szCs w:val="24"/>
        </w:rPr>
        <w:t>诺；</w:t>
      </w:r>
    </w:p>
    <w:p w14:paraId="43F63546">
      <w:pPr>
        <w:spacing w:before="182" w:line="220" w:lineRule="auto"/>
        <w:ind w:left="426"/>
        <w:rPr>
          <w:rFonts w:ascii="宋体" w:hAnsi="宋体" w:eastAsia="宋体" w:cs="宋体"/>
          <w:color w:val="auto"/>
          <w:sz w:val="24"/>
          <w:szCs w:val="24"/>
        </w:rPr>
      </w:pPr>
      <w:r>
        <w:rPr>
          <w:rFonts w:ascii="宋体" w:hAnsi="宋体" w:eastAsia="宋体" w:cs="宋体"/>
          <w:color w:val="auto"/>
          <w:spacing w:val="-3"/>
          <w:sz w:val="24"/>
          <w:szCs w:val="24"/>
        </w:rPr>
        <w:t>（七）符合法律、行政法规规定的其他条件。</w:t>
      </w:r>
    </w:p>
    <w:p w14:paraId="0FF1B355">
      <w:pPr>
        <w:spacing w:before="182" w:line="361" w:lineRule="auto"/>
        <w:ind w:left="1" w:right="53" w:firstLine="420"/>
        <w:rPr>
          <w:rFonts w:ascii="宋体" w:hAnsi="宋体" w:eastAsia="宋体" w:cs="宋体"/>
          <w:color w:val="auto"/>
          <w:sz w:val="24"/>
          <w:szCs w:val="24"/>
        </w:rPr>
      </w:pPr>
      <w:r>
        <w:rPr>
          <w:rFonts w:ascii="宋体" w:hAnsi="宋体" w:eastAsia="宋体" w:cs="宋体"/>
          <w:color w:val="auto"/>
          <w:spacing w:val="-2"/>
          <w:sz w:val="24"/>
          <w:szCs w:val="24"/>
        </w:rPr>
        <w:t>我单位（本人）保证上述承诺事项的真实性，如有弄虚作假或其他违法违规行为，愿意承担一切法律责任，并承担因此所造成的一切损失。</w:t>
      </w:r>
    </w:p>
    <w:p w14:paraId="76F4B2D1">
      <w:pPr>
        <w:spacing w:before="78" w:line="219" w:lineRule="auto"/>
        <w:ind w:left="2940"/>
        <w:rPr>
          <w:rFonts w:ascii="宋体" w:hAnsi="宋体" w:eastAsia="宋体" w:cs="宋体"/>
          <w:color w:val="auto"/>
          <w:sz w:val="24"/>
          <w:szCs w:val="24"/>
        </w:rPr>
      </w:pPr>
      <w:r>
        <w:rPr>
          <w:rFonts w:ascii="宋体" w:hAnsi="宋体" w:eastAsia="宋体" w:cs="宋体"/>
          <w:color w:val="auto"/>
          <w:spacing w:val="-7"/>
          <w:sz w:val="24"/>
          <w:szCs w:val="24"/>
        </w:rPr>
        <w:t>供应商名称（盖章</w:t>
      </w:r>
      <w:r>
        <w:rPr>
          <w:rFonts w:ascii="宋体" w:hAnsi="宋体" w:eastAsia="宋体" w:cs="宋体"/>
          <w:color w:val="auto"/>
          <w:spacing w:val="-2"/>
          <w:sz w:val="24"/>
          <w:szCs w:val="24"/>
        </w:rPr>
        <w:t>）：</w:t>
      </w:r>
    </w:p>
    <w:p w14:paraId="497F21A5">
      <w:pPr>
        <w:spacing w:before="182" w:line="220" w:lineRule="auto"/>
        <w:ind w:left="1260"/>
        <w:rPr>
          <w:rFonts w:ascii="宋体" w:hAnsi="宋体" w:eastAsia="宋体" w:cs="宋体"/>
          <w:color w:val="auto"/>
          <w:sz w:val="24"/>
          <w:szCs w:val="24"/>
        </w:rPr>
      </w:pPr>
      <w:r>
        <w:rPr>
          <w:rFonts w:ascii="宋体" w:hAnsi="宋体" w:eastAsia="宋体" w:cs="宋体"/>
          <w:color w:val="auto"/>
          <w:spacing w:val="-3"/>
          <w:sz w:val="24"/>
          <w:szCs w:val="24"/>
        </w:rPr>
        <w:t>法定代表人、负责人、自然人或授权代表(签字)：</w:t>
      </w:r>
    </w:p>
    <w:p w14:paraId="462AC5A2">
      <w:pPr>
        <w:spacing w:before="181" w:line="220" w:lineRule="auto"/>
        <w:ind w:left="2141"/>
        <w:rPr>
          <w:rFonts w:ascii="宋体" w:hAnsi="宋体" w:eastAsia="宋体" w:cs="宋体"/>
          <w:color w:val="auto"/>
          <w:sz w:val="24"/>
          <w:szCs w:val="24"/>
        </w:rPr>
      </w:pPr>
      <w:r>
        <w:rPr>
          <w:rFonts w:ascii="宋体" w:hAnsi="宋体" w:eastAsia="宋体" w:cs="宋体"/>
          <w:color w:val="auto"/>
          <w:spacing w:val="-15"/>
          <w:sz w:val="24"/>
          <w:szCs w:val="24"/>
        </w:rPr>
        <w:t>日期：年月日</w:t>
      </w:r>
    </w:p>
    <w:p w14:paraId="19D8F58C">
      <w:pPr>
        <w:spacing w:before="182" w:line="359" w:lineRule="auto"/>
        <w:ind w:left="2" w:firstLine="417"/>
        <w:rPr>
          <w:rFonts w:ascii="宋体" w:hAnsi="宋体" w:eastAsia="宋体" w:cs="宋体"/>
          <w:color w:val="auto"/>
          <w:sz w:val="24"/>
          <w:szCs w:val="24"/>
        </w:rPr>
      </w:pPr>
      <w:r>
        <w:rPr>
          <w:rFonts w:ascii="宋体" w:hAnsi="宋体" w:eastAsia="宋体" w:cs="宋体"/>
          <w:color w:val="auto"/>
          <w:sz w:val="24"/>
          <w:szCs w:val="24"/>
        </w:rPr>
        <w:t>注：1.供应商须在投标（响应性）文件中按此模板提供承</w:t>
      </w:r>
      <w:r>
        <w:rPr>
          <w:rFonts w:ascii="宋体" w:hAnsi="宋体" w:eastAsia="宋体" w:cs="宋体"/>
          <w:color w:val="auto"/>
          <w:spacing w:val="-1"/>
          <w:sz w:val="24"/>
          <w:szCs w:val="24"/>
        </w:rPr>
        <w:t>诺函，未提供视为未实质</w:t>
      </w:r>
      <w:r>
        <w:rPr>
          <w:rFonts w:ascii="宋体" w:hAnsi="宋体" w:eastAsia="宋体" w:cs="宋体"/>
          <w:color w:val="auto"/>
          <w:spacing w:val="-2"/>
          <w:sz w:val="24"/>
          <w:szCs w:val="24"/>
        </w:rPr>
        <w:t>性响应招标文件要求，按无效投标（响应）处</w:t>
      </w:r>
      <w:r>
        <w:rPr>
          <w:rFonts w:ascii="宋体" w:hAnsi="宋体" w:eastAsia="宋体" w:cs="宋体"/>
          <w:color w:val="auto"/>
          <w:spacing w:val="-3"/>
          <w:sz w:val="24"/>
          <w:szCs w:val="24"/>
        </w:rPr>
        <w:t>理。</w:t>
      </w:r>
    </w:p>
    <w:p w14:paraId="5AE46BCC">
      <w:pPr>
        <w:spacing w:before="2" w:line="360" w:lineRule="auto"/>
        <w:ind w:firstLine="421"/>
        <w:rPr>
          <w:rFonts w:ascii="宋体" w:hAnsi="宋体" w:eastAsia="宋体" w:cs="宋体"/>
          <w:color w:val="auto"/>
          <w:sz w:val="24"/>
          <w:szCs w:val="24"/>
        </w:rPr>
      </w:pPr>
      <w:r>
        <w:rPr>
          <w:rFonts w:ascii="宋体" w:hAnsi="宋体" w:eastAsia="宋体" w:cs="宋体"/>
          <w:color w:val="auto"/>
          <w:sz w:val="24"/>
          <w:szCs w:val="24"/>
        </w:rPr>
        <w:t>2.供应商的法定代表人或者授权代表的签字或盖章</w:t>
      </w:r>
      <w:r>
        <w:rPr>
          <w:rFonts w:ascii="宋体" w:hAnsi="宋体" w:eastAsia="宋体" w:cs="宋体"/>
          <w:color w:val="auto"/>
          <w:spacing w:val="-1"/>
          <w:sz w:val="24"/>
          <w:szCs w:val="24"/>
        </w:rPr>
        <w:t>应真实、有效，如由授权代表签</w:t>
      </w:r>
      <w:r>
        <w:rPr>
          <w:rFonts w:ascii="宋体" w:hAnsi="宋体" w:eastAsia="宋体" w:cs="宋体"/>
          <w:color w:val="auto"/>
          <w:spacing w:val="-3"/>
          <w:sz w:val="24"/>
          <w:szCs w:val="24"/>
        </w:rPr>
        <w:t>字或盖章的，应提供“法定代表人授权书”。</w:t>
      </w:r>
    </w:p>
    <w:p w14:paraId="6946D840">
      <w:pPr>
        <w:spacing w:line="360" w:lineRule="auto"/>
        <w:rPr>
          <w:rFonts w:ascii="宋体" w:hAnsi="宋体" w:eastAsia="宋体" w:cs="宋体"/>
          <w:color w:val="auto"/>
          <w:sz w:val="24"/>
          <w:szCs w:val="24"/>
        </w:rPr>
      </w:pPr>
    </w:p>
    <w:p w14:paraId="2A0CE713">
      <w:pPr>
        <w:spacing w:line="360" w:lineRule="auto"/>
        <w:ind w:firstLine="480" w:firstLineChars="200"/>
        <w:rPr>
          <w:rFonts w:ascii="宋体" w:hAnsi="宋体" w:eastAsia="宋体" w:cs="宋体"/>
          <w:color w:val="auto"/>
          <w:sz w:val="24"/>
          <w:szCs w:val="24"/>
        </w:rPr>
        <w:sectPr>
          <w:pgSz w:w="11900" w:h="16839"/>
          <w:pgMar w:top="1440" w:right="1800" w:bottom="1440" w:left="1800" w:header="0" w:footer="0" w:gutter="0"/>
          <w:cols w:space="720" w:num="1"/>
        </w:sectPr>
      </w:pPr>
      <w:r>
        <w:rPr>
          <w:rFonts w:hint="eastAsia" w:ascii="宋体" w:hAnsi="宋体" w:eastAsia="宋体" w:cs="宋体"/>
          <w:color w:val="auto"/>
          <w:sz w:val="24"/>
          <w:szCs w:val="24"/>
          <w:lang w:val="en-US" w:eastAsia="zh-CN"/>
        </w:rPr>
        <w:t>注：根据《关于推行政府采购资格审查环节信用承诺制的通知》（驻财购[2022]15号）的规定，供应商在投标时，按照规定提供信用承诺函(格式见第五章附件)，无需提交上述证明材料</w:t>
      </w:r>
    </w:p>
    <w:p w14:paraId="45EF5FAD">
      <w:pPr>
        <w:spacing w:before="91" w:line="220" w:lineRule="auto"/>
        <w:ind w:left="2564"/>
        <w:rPr>
          <w:rFonts w:ascii="宋体" w:hAnsi="宋体" w:eastAsia="宋体" w:cs="宋体"/>
          <w:color w:val="auto"/>
          <w:sz w:val="28"/>
          <w:szCs w:val="28"/>
        </w:rPr>
      </w:pPr>
      <w:r>
        <w:rPr>
          <w:rFonts w:ascii="宋体" w:hAnsi="宋体" w:eastAsia="宋体" w:cs="宋体"/>
          <w:b/>
          <w:bCs/>
          <w:color w:val="auto"/>
          <w:spacing w:val="-8"/>
          <w:sz w:val="28"/>
          <w:szCs w:val="28"/>
        </w:rPr>
        <w:t>中小企业声明函（工程）</w:t>
      </w:r>
    </w:p>
    <w:p w14:paraId="79A260A8">
      <w:pPr>
        <w:pStyle w:val="3"/>
        <w:spacing w:line="262" w:lineRule="auto"/>
        <w:rPr>
          <w:color w:val="auto"/>
        </w:rPr>
      </w:pPr>
    </w:p>
    <w:p w14:paraId="337A2915">
      <w:pPr>
        <w:pStyle w:val="3"/>
        <w:spacing w:line="262" w:lineRule="auto"/>
        <w:rPr>
          <w:color w:val="auto"/>
        </w:rPr>
      </w:pPr>
    </w:p>
    <w:p w14:paraId="271925D1">
      <w:pPr>
        <w:spacing w:before="78" w:line="219" w:lineRule="auto"/>
        <w:ind w:left="2879"/>
        <w:rPr>
          <w:rFonts w:ascii="宋体" w:hAnsi="宋体" w:eastAsia="宋体" w:cs="宋体"/>
          <w:color w:val="auto"/>
          <w:sz w:val="24"/>
          <w:szCs w:val="24"/>
        </w:rPr>
      </w:pPr>
      <w:r>
        <w:rPr>
          <w:rFonts w:ascii="宋体" w:hAnsi="宋体" w:eastAsia="宋体" w:cs="宋体"/>
          <w:color w:val="auto"/>
          <w:spacing w:val="-4"/>
          <w:sz w:val="24"/>
          <w:szCs w:val="24"/>
        </w:rPr>
        <w:t>中小企业声明函（货物）</w:t>
      </w:r>
    </w:p>
    <w:p w14:paraId="58B08EE6">
      <w:pPr>
        <w:spacing w:before="105" w:line="219" w:lineRule="auto"/>
        <w:ind w:left="444"/>
        <w:rPr>
          <w:rFonts w:ascii="宋体" w:hAnsi="宋体" w:eastAsia="宋体" w:cs="宋体"/>
          <w:color w:val="auto"/>
          <w:sz w:val="24"/>
          <w:szCs w:val="24"/>
        </w:rPr>
      </w:pPr>
      <w:r>
        <w:rPr>
          <w:rFonts w:ascii="宋体" w:hAnsi="宋体" w:eastAsia="宋体" w:cs="宋体"/>
          <w:color w:val="auto"/>
          <w:sz w:val="24"/>
          <w:szCs w:val="24"/>
        </w:rPr>
        <w:t>本公司（联合体）郑重声明，根据《政府采购促</w:t>
      </w:r>
      <w:r>
        <w:rPr>
          <w:rFonts w:ascii="宋体" w:hAnsi="宋体" w:eastAsia="宋体" w:cs="宋体"/>
          <w:color w:val="auto"/>
          <w:spacing w:val="-1"/>
          <w:sz w:val="24"/>
          <w:szCs w:val="24"/>
        </w:rPr>
        <w:t>进中小企业发展管理办法</w:t>
      </w:r>
    </w:p>
    <w:p w14:paraId="13DBE52E">
      <w:pPr>
        <w:spacing w:before="105" w:line="219" w:lineRule="auto"/>
        <w:ind w:left="36"/>
        <w:rPr>
          <w:rFonts w:ascii="宋体" w:hAnsi="宋体" w:eastAsia="宋体" w:cs="宋体"/>
          <w:color w:val="auto"/>
          <w:sz w:val="24"/>
          <w:szCs w:val="24"/>
        </w:rPr>
      </w:pPr>
      <w:r>
        <w:rPr>
          <w:rFonts w:ascii="宋体" w:hAnsi="宋体" w:eastAsia="宋体" w:cs="宋体"/>
          <w:color w:val="auto"/>
          <w:spacing w:val="-3"/>
          <w:sz w:val="24"/>
          <w:szCs w:val="24"/>
        </w:rPr>
        <w:t>》（财库﹝2020﹞46号）的规定，本公司</w:t>
      </w:r>
      <w:r>
        <w:rPr>
          <w:rFonts w:ascii="宋体" w:hAnsi="宋体" w:eastAsia="宋体" w:cs="宋体"/>
          <w:color w:val="auto"/>
          <w:sz w:val="24"/>
          <w:szCs w:val="24"/>
          <w:u w:val="single" w:color="auto"/>
        </w:rPr>
        <w:tab/>
      </w:r>
      <w:r>
        <w:rPr>
          <w:rFonts w:ascii="宋体" w:hAnsi="宋体" w:eastAsia="宋体" w:cs="宋体"/>
          <w:color w:val="auto"/>
          <w:spacing w:val="-4"/>
          <w:sz w:val="24"/>
          <w:szCs w:val="24"/>
          <w:u w:val="single" w:color="auto"/>
        </w:rPr>
        <w:t>（联合体）</w:t>
      </w:r>
      <w:r>
        <w:rPr>
          <w:rFonts w:ascii="宋体" w:hAnsi="宋体" w:eastAsia="宋体" w:cs="宋体"/>
          <w:color w:val="auto"/>
          <w:spacing w:val="-4"/>
          <w:sz w:val="24"/>
          <w:szCs w:val="24"/>
        </w:rPr>
        <w:t>参加</w:t>
      </w:r>
      <w:r>
        <w:rPr>
          <w:rFonts w:ascii="宋体" w:hAnsi="宋体" w:eastAsia="宋体" w:cs="宋体"/>
          <w:color w:val="auto"/>
          <w:spacing w:val="-4"/>
          <w:sz w:val="24"/>
          <w:szCs w:val="24"/>
          <w:u w:val="single" w:color="auto"/>
        </w:rPr>
        <w:t>（单位名称）</w:t>
      </w:r>
      <w:r>
        <w:rPr>
          <w:rFonts w:ascii="宋体" w:hAnsi="宋体" w:eastAsia="宋体" w:cs="宋体"/>
          <w:color w:val="auto"/>
          <w:spacing w:val="-4"/>
          <w:sz w:val="24"/>
          <w:szCs w:val="24"/>
        </w:rPr>
        <w:t>的</w:t>
      </w:r>
      <w:r>
        <w:rPr>
          <w:rFonts w:ascii="宋体" w:hAnsi="宋体" w:eastAsia="宋体" w:cs="宋体"/>
          <w:color w:val="auto"/>
          <w:spacing w:val="-4"/>
          <w:sz w:val="24"/>
          <w:szCs w:val="24"/>
          <w:u w:val="single" w:color="auto"/>
        </w:rPr>
        <w:t>（项目名称）</w:t>
      </w:r>
      <w:r>
        <w:rPr>
          <w:rFonts w:ascii="宋体" w:hAnsi="宋体" w:eastAsia="宋体" w:cs="宋体"/>
          <w:color w:val="auto"/>
          <w:spacing w:val="-4"/>
          <w:sz w:val="24"/>
          <w:szCs w:val="24"/>
        </w:rPr>
        <w:t>采购活动，提供的货物全部由符</w:t>
      </w:r>
      <w:r>
        <w:rPr>
          <w:rFonts w:ascii="宋体" w:hAnsi="宋体" w:eastAsia="宋体" w:cs="宋体"/>
          <w:color w:val="auto"/>
          <w:spacing w:val="-1"/>
          <w:sz w:val="24"/>
          <w:szCs w:val="24"/>
        </w:rPr>
        <w:t>合政策要求的中小企业制造。相关企业</w:t>
      </w:r>
      <w:r>
        <w:rPr>
          <w:rFonts w:ascii="宋体" w:hAnsi="宋体" w:eastAsia="宋体" w:cs="宋体"/>
          <w:color w:val="auto"/>
          <w:spacing w:val="-2"/>
          <w:sz w:val="24"/>
          <w:szCs w:val="24"/>
        </w:rPr>
        <w:t>（含联合体中的中小企业、签订分包意向协议的中小企业）的具体情况如</w:t>
      </w:r>
      <w:r>
        <w:rPr>
          <w:rFonts w:ascii="宋体" w:hAnsi="宋体" w:eastAsia="宋体" w:cs="宋体"/>
          <w:color w:val="auto"/>
          <w:spacing w:val="-3"/>
          <w:sz w:val="24"/>
          <w:szCs w:val="24"/>
        </w:rPr>
        <w:t>下：</w:t>
      </w:r>
    </w:p>
    <w:p w14:paraId="674E43CF">
      <w:pPr>
        <w:spacing w:before="105"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w:t>
      </w:r>
      <w:r>
        <w:rPr>
          <w:rFonts w:ascii="宋体" w:hAnsi="宋体" w:eastAsia="宋体" w:cs="宋体"/>
          <w:color w:val="auto"/>
          <w:spacing w:val="-2"/>
          <w:sz w:val="24"/>
          <w:szCs w:val="24"/>
          <w:u w:val="single" w:color="auto"/>
        </w:rPr>
        <w:t>（标的名称</w:t>
      </w:r>
      <w:r>
        <w:rPr>
          <w:rFonts w:ascii="宋体" w:hAnsi="宋体" w:eastAsia="宋体" w:cs="宋体"/>
          <w:color w:val="auto"/>
          <w:sz w:val="24"/>
          <w:szCs w:val="24"/>
          <w:u w:val="single" w:color="auto"/>
        </w:rPr>
        <w:t>）</w:t>
      </w:r>
      <w:r>
        <w:rPr>
          <w:rFonts w:ascii="宋体" w:hAnsi="宋体" w:eastAsia="宋体" w:cs="宋体"/>
          <w:color w:val="auto"/>
          <w:sz w:val="24"/>
          <w:szCs w:val="24"/>
        </w:rPr>
        <w:t>，</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（采购文件中明确的所属行业</w:t>
      </w:r>
      <w:r>
        <w:rPr>
          <w:rFonts w:ascii="宋体" w:hAnsi="宋体" w:eastAsia="宋体" w:cs="宋体"/>
          <w:color w:val="auto"/>
          <w:sz w:val="24"/>
          <w:szCs w:val="24"/>
          <w:u w:val="single" w:color="auto"/>
        </w:rPr>
        <w:t>）</w:t>
      </w:r>
      <w:r>
        <w:rPr>
          <w:rFonts w:ascii="宋体" w:hAnsi="宋体" w:eastAsia="宋体" w:cs="宋体"/>
          <w:color w:val="auto"/>
          <w:sz w:val="24"/>
          <w:szCs w:val="24"/>
        </w:rPr>
        <w:t>；</w:t>
      </w:r>
    </w:p>
    <w:p w14:paraId="1EB009BD">
      <w:pPr>
        <w:spacing w:before="105" w:line="300" w:lineRule="auto"/>
        <w:ind w:left="28" w:hanging="4"/>
        <w:rPr>
          <w:rFonts w:ascii="宋体" w:hAnsi="宋体" w:eastAsia="宋体" w:cs="宋体"/>
          <w:color w:val="auto"/>
          <w:sz w:val="24"/>
          <w:szCs w:val="24"/>
        </w:rPr>
      </w:pPr>
      <w:r>
        <w:rPr>
          <w:rFonts w:ascii="宋体" w:hAnsi="宋体" w:eastAsia="宋体" w:cs="宋体"/>
          <w:color w:val="auto"/>
          <w:sz w:val="24"/>
          <w:szCs w:val="24"/>
        </w:rPr>
        <w:t>制造商为（企业名称</w:t>
      </w:r>
      <w:r>
        <w:rPr>
          <w:rFonts w:ascii="宋体" w:hAnsi="宋体" w:eastAsia="宋体" w:cs="宋体"/>
          <w:color w:val="auto"/>
          <w:spacing w:val="1"/>
          <w:sz w:val="24"/>
          <w:szCs w:val="24"/>
        </w:rPr>
        <w:t>），</w:t>
      </w:r>
      <w:r>
        <w:rPr>
          <w:rFonts w:ascii="宋体" w:hAnsi="宋体" w:eastAsia="宋体" w:cs="宋体"/>
          <w:color w:val="auto"/>
          <w:sz w:val="24"/>
          <w:szCs w:val="24"/>
        </w:rPr>
        <w:t>从业人员</w:t>
      </w:r>
      <w:r>
        <w:rPr>
          <w:rFonts w:ascii="宋体" w:hAnsi="宋体" w:eastAsia="宋体" w:cs="宋体"/>
          <w:color w:val="auto"/>
          <w:sz w:val="24"/>
          <w:szCs w:val="24"/>
          <w:u w:val="single" w:color="auto"/>
        </w:rPr>
        <w:t>人</w:t>
      </w:r>
      <w:r>
        <w:rPr>
          <w:rFonts w:ascii="宋体" w:hAnsi="宋体" w:eastAsia="宋体" w:cs="宋体"/>
          <w:color w:val="auto"/>
          <w:sz w:val="24"/>
          <w:szCs w:val="24"/>
        </w:rPr>
        <w:t>，营业收入为</w:t>
      </w:r>
      <w:r>
        <w:rPr>
          <w:rFonts w:ascii="宋体" w:hAnsi="宋体" w:eastAsia="宋体" w:cs="宋体"/>
          <w:color w:val="auto"/>
          <w:spacing w:val="-2"/>
          <w:sz w:val="24"/>
          <w:szCs w:val="24"/>
          <w:u w:val="single" w:color="auto"/>
        </w:rPr>
        <w:t>万元</w:t>
      </w:r>
      <w:r>
        <w:rPr>
          <w:rFonts w:ascii="宋体" w:hAnsi="宋体" w:eastAsia="宋体" w:cs="宋体"/>
          <w:color w:val="auto"/>
          <w:spacing w:val="-2"/>
          <w:sz w:val="24"/>
          <w:szCs w:val="24"/>
        </w:rPr>
        <w:t>，资产总额为</w:t>
      </w:r>
      <w:r>
        <w:rPr>
          <w:rFonts w:ascii="宋体" w:hAnsi="宋体" w:eastAsia="宋体" w:cs="宋体"/>
          <w:color w:val="auto"/>
          <w:spacing w:val="-2"/>
          <w:sz w:val="24"/>
          <w:szCs w:val="24"/>
          <w:u w:val="single" w:color="auto"/>
        </w:rPr>
        <w:t>万元</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（中型企业、小型企业、微型企业</w:t>
      </w:r>
      <w:r>
        <w:rPr>
          <w:rFonts w:ascii="宋体" w:hAnsi="宋体" w:eastAsia="宋体" w:cs="宋体"/>
          <w:color w:val="auto"/>
          <w:spacing w:val="5"/>
          <w:sz w:val="24"/>
          <w:szCs w:val="24"/>
          <w:u w:val="single" w:color="auto"/>
        </w:rPr>
        <w:t>）</w:t>
      </w:r>
      <w:r>
        <w:rPr>
          <w:rFonts w:ascii="宋体" w:hAnsi="宋体" w:eastAsia="宋体" w:cs="宋体"/>
          <w:color w:val="auto"/>
          <w:spacing w:val="5"/>
          <w:sz w:val="24"/>
          <w:szCs w:val="24"/>
        </w:rPr>
        <w:t>；</w:t>
      </w:r>
    </w:p>
    <w:p w14:paraId="2286673C">
      <w:pPr>
        <w:spacing w:before="1" w:line="218" w:lineRule="auto"/>
        <w:ind w:left="26"/>
        <w:rPr>
          <w:rFonts w:ascii="宋体" w:hAnsi="宋体" w:eastAsia="宋体" w:cs="宋体"/>
          <w:color w:val="auto"/>
          <w:sz w:val="24"/>
          <w:szCs w:val="24"/>
        </w:rPr>
      </w:pPr>
      <w:r>
        <w:rPr>
          <w:rFonts w:ascii="宋体" w:hAnsi="宋体" w:eastAsia="宋体" w:cs="宋体"/>
          <w:color w:val="auto"/>
          <w:spacing w:val="-1"/>
          <w:sz w:val="24"/>
          <w:szCs w:val="24"/>
        </w:rPr>
        <w:t>2.</w:t>
      </w:r>
      <w:r>
        <w:rPr>
          <w:rFonts w:ascii="宋体" w:hAnsi="宋体" w:eastAsia="宋体" w:cs="宋体"/>
          <w:color w:val="auto"/>
          <w:spacing w:val="-1"/>
          <w:sz w:val="24"/>
          <w:szCs w:val="24"/>
          <w:u w:val="single" w:color="auto"/>
        </w:rPr>
        <w:t>（标的名称</w:t>
      </w:r>
      <w:r>
        <w:rPr>
          <w:rFonts w:ascii="宋体" w:hAnsi="宋体" w:eastAsia="宋体" w:cs="宋体"/>
          <w:color w:val="auto"/>
          <w:spacing w:val="-2"/>
          <w:sz w:val="24"/>
          <w:szCs w:val="24"/>
          <w:u w:val="single" w:color="auto"/>
        </w:rPr>
        <w:t>）</w:t>
      </w:r>
      <w:r>
        <w:rPr>
          <w:rFonts w:ascii="宋体" w:hAnsi="宋体" w:eastAsia="宋体" w:cs="宋体"/>
          <w:color w:val="auto"/>
          <w:spacing w:val="-2"/>
          <w:sz w:val="24"/>
          <w:szCs w:val="24"/>
        </w:rPr>
        <w:t>，</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2"/>
          <w:sz w:val="24"/>
          <w:szCs w:val="24"/>
          <w:u w:val="single" w:color="auto"/>
        </w:rPr>
        <w:t>）</w:t>
      </w:r>
      <w:r>
        <w:rPr>
          <w:rFonts w:ascii="宋体" w:hAnsi="宋体" w:eastAsia="宋体" w:cs="宋体"/>
          <w:color w:val="auto"/>
          <w:spacing w:val="-2"/>
          <w:sz w:val="24"/>
          <w:szCs w:val="24"/>
        </w:rPr>
        <w:t>；</w:t>
      </w:r>
    </w:p>
    <w:p w14:paraId="46BA8559">
      <w:pPr>
        <w:spacing w:before="106" w:line="302" w:lineRule="auto"/>
        <w:ind w:left="28" w:hanging="4"/>
        <w:rPr>
          <w:rFonts w:ascii="宋体" w:hAnsi="宋体" w:eastAsia="宋体" w:cs="宋体"/>
          <w:color w:val="auto"/>
          <w:sz w:val="24"/>
          <w:szCs w:val="24"/>
        </w:rPr>
      </w:pPr>
      <w:r>
        <w:rPr>
          <w:rFonts w:ascii="宋体" w:hAnsi="宋体" w:eastAsia="宋体" w:cs="宋体"/>
          <w:color w:val="auto"/>
          <w:sz w:val="24"/>
          <w:szCs w:val="24"/>
        </w:rPr>
        <w:t>制造商为（企业名称</w:t>
      </w:r>
      <w:r>
        <w:rPr>
          <w:rFonts w:ascii="宋体" w:hAnsi="宋体" w:eastAsia="宋体" w:cs="宋体"/>
          <w:color w:val="auto"/>
          <w:spacing w:val="1"/>
          <w:sz w:val="24"/>
          <w:szCs w:val="24"/>
        </w:rPr>
        <w:t>），</w:t>
      </w:r>
      <w:r>
        <w:rPr>
          <w:rFonts w:ascii="宋体" w:hAnsi="宋体" w:eastAsia="宋体" w:cs="宋体"/>
          <w:color w:val="auto"/>
          <w:sz w:val="24"/>
          <w:szCs w:val="24"/>
        </w:rPr>
        <w:t>从业人员</w:t>
      </w:r>
      <w:r>
        <w:rPr>
          <w:rFonts w:ascii="宋体" w:hAnsi="宋体" w:eastAsia="宋体" w:cs="宋体"/>
          <w:color w:val="auto"/>
          <w:sz w:val="24"/>
          <w:szCs w:val="24"/>
          <w:u w:val="single" w:color="auto"/>
        </w:rPr>
        <w:t>人</w:t>
      </w:r>
      <w:r>
        <w:rPr>
          <w:rFonts w:ascii="宋体" w:hAnsi="宋体" w:eastAsia="宋体" w:cs="宋体"/>
          <w:color w:val="auto"/>
          <w:sz w:val="24"/>
          <w:szCs w:val="24"/>
        </w:rPr>
        <w:t>，营业收入为</w:t>
      </w:r>
      <w:r>
        <w:rPr>
          <w:rFonts w:ascii="宋体" w:hAnsi="宋体" w:eastAsia="宋体" w:cs="宋体"/>
          <w:color w:val="auto"/>
          <w:spacing w:val="-2"/>
          <w:sz w:val="24"/>
          <w:szCs w:val="24"/>
          <w:u w:val="single" w:color="auto"/>
        </w:rPr>
        <w:t>万元</w:t>
      </w:r>
      <w:r>
        <w:rPr>
          <w:rFonts w:ascii="宋体" w:hAnsi="宋体" w:eastAsia="宋体" w:cs="宋体"/>
          <w:color w:val="auto"/>
          <w:spacing w:val="-2"/>
          <w:sz w:val="24"/>
          <w:szCs w:val="24"/>
        </w:rPr>
        <w:t>，资产总额为</w:t>
      </w:r>
      <w:r>
        <w:rPr>
          <w:rFonts w:ascii="宋体" w:hAnsi="宋体" w:eastAsia="宋体" w:cs="宋体"/>
          <w:color w:val="auto"/>
          <w:spacing w:val="-2"/>
          <w:sz w:val="24"/>
          <w:szCs w:val="24"/>
          <w:u w:val="single" w:color="auto"/>
        </w:rPr>
        <w:t>万元</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（中型企业、小型企业、微型企业</w:t>
      </w:r>
      <w:r>
        <w:rPr>
          <w:rFonts w:ascii="宋体" w:hAnsi="宋体" w:eastAsia="宋体" w:cs="宋体"/>
          <w:color w:val="auto"/>
          <w:spacing w:val="5"/>
          <w:sz w:val="24"/>
          <w:szCs w:val="24"/>
          <w:u w:val="single" w:color="auto"/>
        </w:rPr>
        <w:t>）</w:t>
      </w:r>
      <w:r>
        <w:rPr>
          <w:rFonts w:ascii="宋体" w:hAnsi="宋体" w:eastAsia="宋体" w:cs="宋体"/>
          <w:color w:val="auto"/>
          <w:spacing w:val="5"/>
          <w:sz w:val="24"/>
          <w:szCs w:val="24"/>
        </w:rPr>
        <w:t>；</w:t>
      </w:r>
    </w:p>
    <w:p w14:paraId="24874DE2">
      <w:pPr>
        <w:spacing w:before="96" w:line="175" w:lineRule="exact"/>
        <w:ind w:left="38"/>
        <w:rPr>
          <w:rFonts w:ascii="宋体" w:hAnsi="宋体" w:eastAsia="宋体" w:cs="宋体"/>
          <w:color w:val="auto"/>
          <w:sz w:val="24"/>
          <w:szCs w:val="24"/>
        </w:rPr>
      </w:pPr>
      <w:r>
        <w:rPr>
          <w:rFonts w:ascii="宋体" w:hAnsi="宋体" w:eastAsia="宋体" w:cs="宋体"/>
          <w:color w:val="auto"/>
          <w:spacing w:val="-7"/>
          <w:position w:val="-3"/>
          <w:sz w:val="24"/>
          <w:szCs w:val="24"/>
        </w:rPr>
        <w:t>……</w:t>
      </w:r>
    </w:p>
    <w:p w14:paraId="673C9FFF">
      <w:pPr>
        <w:spacing w:before="114" w:line="300" w:lineRule="auto"/>
        <w:ind w:left="22" w:right="985" w:firstLine="28"/>
        <w:rPr>
          <w:rFonts w:ascii="宋体" w:hAnsi="宋体" w:eastAsia="宋体" w:cs="宋体"/>
          <w:color w:val="auto"/>
          <w:sz w:val="24"/>
          <w:szCs w:val="24"/>
        </w:rPr>
      </w:pPr>
      <w:r>
        <w:rPr>
          <w:rFonts w:ascii="宋体" w:hAnsi="宋体" w:eastAsia="宋体" w:cs="宋体"/>
          <w:color w:val="auto"/>
          <w:spacing w:val="-1"/>
          <w:sz w:val="24"/>
          <w:szCs w:val="24"/>
        </w:rPr>
        <w:t>以上企业，不属于大企业的分支机构，不存在控股股东为大企业的情</w:t>
      </w:r>
      <w:r>
        <w:rPr>
          <w:rFonts w:ascii="宋体" w:hAnsi="宋体" w:eastAsia="宋体" w:cs="宋体"/>
          <w:color w:val="auto"/>
          <w:spacing w:val="-2"/>
          <w:sz w:val="24"/>
          <w:szCs w:val="24"/>
        </w:rPr>
        <w:t>形，也不</w:t>
      </w:r>
      <w:r>
        <w:rPr>
          <w:rFonts w:ascii="宋体" w:hAnsi="宋体" w:eastAsia="宋体" w:cs="宋体"/>
          <w:color w:val="auto"/>
          <w:spacing w:val="-3"/>
          <w:sz w:val="24"/>
          <w:szCs w:val="24"/>
        </w:rPr>
        <w:t>存在与大企业的负责人为同一人的情形。</w:t>
      </w:r>
    </w:p>
    <w:p w14:paraId="364A3DE9">
      <w:pPr>
        <w:spacing w:before="1" w:line="218" w:lineRule="auto"/>
        <w:ind w:left="24"/>
        <w:rPr>
          <w:rFonts w:ascii="宋体" w:hAnsi="宋体" w:eastAsia="宋体" w:cs="宋体"/>
          <w:color w:val="auto"/>
          <w:sz w:val="24"/>
          <w:szCs w:val="24"/>
        </w:rPr>
      </w:pPr>
      <w:r>
        <w:rPr>
          <w:rFonts w:ascii="宋体" w:hAnsi="宋体" w:eastAsia="宋体" w:cs="宋体"/>
          <w:color w:val="auto"/>
          <w:spacing w:val="-1"/>
          <w:sz w:val="24"/>
          <w:szCs w:val="24"/>
        </w:rPr>
        <w:t>本企业对上述声明内容的真实性负责。如有</w:t>
      </w:r>
      <w:r>
        <w:rPr>
          <w:rFonts w:ascii="宋体" w:hAnsi="宋体" w:eastAsia="宋体" w:cs="宋体"/>
          <w:color w:val="auto"/>
          <w:spacing w:val="-2"/>
          <w:sz w:val="24"/>
          <w:szCs w:val="24"/>
        </w:rPr>
        <w:t>虚假，将依法承担相应责任。</w:t>
      </w:r>
    </w:p>
    <w:p w14:paraId="4C0DAE35">
      <w:pPr>
        <w:pStyle w:val="3"/>
        <w:spacing w:line="414" w:lineRule="auto"/>
        <w:rPr>
          <w:color w:val="auto"/>
        </w:rPr>
      </w:pPr>
    </w:p>
    <w:p w14:paraId="5BC89C37">
      <w:pPr>
        <w:spacing w:before="78" w:line="219" w:lineRule="auto"/>
        <w:ind w:left="6173"/>
        <w:rPr>
          <w:rFonts w:ascii="宋体" w:hAnsi="宋体" w:eastAsia="宋体" w:cs="宋体"/>
          <w:color w:val="auto"/>
          <w:sz w:val="24"/>
          <w:szCs w:val="24"/>
        </w:rPr>
      </w:pPr>
      <w:r>
        <w:rPr>
          <w:rFonts w:ascii="宋体" w:hAnsi="宋体" w:eastAsia="宋体" w:cs="宋体"/>
          <w:color w:val="auto"/>
          <w:spacing w:val="-8"/>
          <w:sz w:val="24"/>
          <w:szCs w:val="24"/>
        </w:rPr>
        <w:t>企业名称（盖章</w:t>
      </w:r>
      <w:r>
        <w:rPr>
          <w:rFonts w:ascii="宋体" w:hAnsi="宋体" w:eastAsia="宋体" w:cs="宋体"/>
          <w:color w:val="auto"/>
          <w:spacing w:val="-3"/>
          <w:sz w:val="24"/>
          <w:szCs w:val="24"/>
        </w:rPr>
        <w:t>）：</w:t>
      </w:r>
    </w:p>
    <w:p w14:paraId="7FB1E019">
      <w:pPr>
        <w:spacing w:before="106" w:line="220" w:lineRule="auto"/>
        <w:ind w:left="6197"/>
        <w:rPr>
          <w:rFonts w:ascii="宋体" w:hAnsi="宋体" w:eastAsia="宋体" w:cs="宋体"/>
          <w:color w:val="auto"/>
          <w:sz w:val="24"/>
          <w:szCs w:val="24"/>
        </w:rPr>
      </w:pPr>
      <w:r>
        <w:rPr>
          <w:rFonts w:ascii="宋体" w:hAnsi="宋体" w:eastAsia="宋体" w:cs="宋体"/>
          <w:color w:val="auto"/>
          <w:spacing w:val="-29"/>
          <w:sz w:val="24"/>
          <w:szCs w:val="24"/>
        </w:rPr>
        <w:t>日期：</w:t>
      </w:r>
    </w:p>
    <w:p w14:paraId="26DF4864">
      <w:pPr>
        <w:pStyle w:val="3"/>
        <w:spacing w:line="413" w:lineRule="auto"/>
        <w:rPr>
          <w:color w:val="auto"/>
        </w:rPr>
      </w:pPr>
    </w:p>
    <w:p w14:paraId="33181C54">
      <w:pPr>
        <w:spacing w:before="79" w:line="302" w:lineRule="auto"/>
        <w:ind w:left="26" w:right="985"/>
        <w:rPr>
          <w:rFonts w:ascii="宋体" w:hAnsi="宋体" w:eastAsia="宋体" w:cs="宋体"/>
          <w:color w:val="auto"/>
          <w:sz w:val="24"/>
          <w:szCs w:val="24"/>
        </w:rPr>
      </w:pPr>
      <w:r>
        <w:rPr>
          <w:rFonts w:ascii="宋体" w:hAnsi="宋体" w:eastAsia="宋体" w:cs="宋体"/>
          <w:color w:val="auto"/>
          <w:sz w:val="24"/>
          <w:szCs w:val="24"/>
        </w:rPr>
        <w:t>从业人员、营业收入、资产总额填报上一年度</w:t>
      </w:r>
      <w:r>
        <w:rPr>
          <w:rFonts w:ascii="宋体" w:hAnsi="宋体" w:eastAsia="宋体" w:cs="宋体"/>
          <w:color w:val="auto"/>
          <w:spacing w:val="-1"/>
          <w:sz w:val="24"/>
          <w:szCs w:val="24"/>
        </w:rPr>
        <w:t>数据，无上一年度数据的新成立</w:t>
      </w:r>
      <w:r>
        <w:rPr>
          <w:rFonts w:ascii="宋体" w:hAnsi="宋体" w:eastAsia="宋体" w:cs="宋体"/>
          <w:color w:val="auto"/>
          <w:spacing w:val="-6"/>
          <w:sz w:val="24"/>
          <w:szCs w:val="24"/>
        </w:rPr>
        <w:t>企业可不填报。</w:t>
      </w:r>
    </w:p>
    <w:p w14:paraId="5E605047">
      <w:pPr>
        <w:spacing w:before="79" w:line="219" w:lineRule="auto"/>
        <w:rPr>
          <w:rFonts w:ascii="宋体" w:hAnsi="宋体" w:eastAsia="宋体" w:cs="宋体"/>
          <w:color w:val="auto"/>
          <w:sz w:val="24"/>
          <w:szCs w:val="24"/>
        </w:rPr>
      </w:pPr>
      <w:r>
        <w:rPr>
          <w:rFonts w:ascii="宋体" w:hAnsi="宋体" w:eastAsia="宋体" w:cs="宋体"/>
          <w:color w:val="auto"/>
          <w:spacing w:val="-1"/>
          <w:sz w:val="24"/>
          <w:szCs w:val="24"/>
        </w:rPr>
        <w:t>本企业对上述声明内容的真实性负责。如有</w:t>
      </w:r>
      <w:r>
        <w:rPr>
          <w:rFonts w:ascii="宋体" w:hAnsi="宋体" w:eastAsia="宋体" w:cs="宋体"/>
          <w:color w:val="auto"/>
          <w:spacing w:val="-2"/>
          <w:sz w:val="24"/>
          <w:szCs w:val="24"/>
        </w:rPr>
        <w:t>虚假，将依法承担相应责任。</w:t>
      </w:r>
    </w:p>
    <w:p w14:paraId="50631C96">
      <w:pPr>
        <w:pStyle w:val="3"/>
        <w:spacing w:line="268" w:lineRule="auto"/>
        <w:rPr>
          <w:color w:val="auto"/>
        </w:rPr>
      </w:pPr>
    </w:p>
    <w:p w14:paraId="44DDC193">
      <w:pPr>
        <w:pStyle w:val="3"/>
        <w:spacing w:line="269" w:lineRule="auto"/>
        <w:rPr>
          <w:color w:val="auto"/>
        </w:rPr>
      </w:pPr>
    </w:p>
    <w:p w14:paraId="367E799A">
      <w:pPr>
        <w:spacing w:before="78" w:line="219" w:lineRule="auto"/>
        <w:ind w:left="3425"/>
        <w:rPr>
          <w:rFonts w:ascii="宋体" w:hAnsi="宋体" w:eastAsia="宋体" w:cs="宋体"/>
          <w:color w:val="auto"/>
          <w:sz w:val="24"/>
          <w:szCs w:val="24"/>
        </w:rPr>
      </w:pPr>
      <w:r>
        <w:rPr>
          <w:rFonts w:ascii="宋体" w:hAnsi="宋体" w:eastAsia="宋体" w:cs="宋体"/>
          <w:color w:val="auto"/>
          <w:spacing w:val="-8"/>
          <w:sz w:val="24"/>
          <w:szCs w:val="24"/>
        </w:rPr>
        <w:t>企业名称（盖章</w:t>
      </w:r>
      <w:r>
        <w:rPr>
          <w:rFonts w:ascii="宋体" w:hAnsi="宋体" w:eastAsia="宋体" w:cs="宋体"/>
          <w:color w:val="auto"/>
          <w:spacing w:val="-3"/>
          <w:sz w:val="24"/>
          <w:szCs w:val="24"/>
        </w:rPr>
        <w:t>）：</w:t>
      </w:r>
    </w:p>
    <w:p w14:paraId="2244E0CD">
      <w:pPr>
        <w:spacing w:before="303" w:line="220" w:lineRule="auto"/>
        <w:ind w:left="5382"/>
        <w:rPr>
          <w:rFonts w:ascii="宋体" w:hAnsi="宋体" w:eastAsia="宋体" w:cs="宋体"/>
          <w:color w:val="auto"/>
          <w:sz w:val="24"/>
          <w:szCs w:val="24"/>
        </w:rPr>
      </w:pPr>
      <w:r>
        <w:rPr>
          <w:rFonts w:ascii="宋体" w:hAnsi="宋体" w:eastAsia="宋体" w:cs="宋体"/>
          <w:color w:val="auto"/>
          <w:spacing w:val="-24"/>
          <w:sz w:val="24"/>
          <w:szCs w:val="24"/>
        </w:rPr>
        <w:t>日期：</w:t>
      </w:r>
    </w:p>
    <w:p w14:paraId="2852FC98">
      <w:pPr>
        <w:spacing w:before="72" w:line="481" w:lineRule="auto"/>
        <w:ind w:left="58" w:right="60" w:firstLine="4"/>
        <w:rPr>
          <w:rFonts w:ascii="宋体" w:hAnsi="宋体" w:eastAsia="宋体" w:cs="宋体"/>
          <w:color w:val="auto"/>
          <w:sz w:val="22"/>
          <w:szCs w:val="22"/>
        </w:rPr>
      </w:pPr>
      <w:r>
        <w:rPr>
          <w:rFonts w:ascii="宋体" w:hAnsi="宋体" w:eastAsia="宋体" w:cs="宋体"/>
          <w:color w:val="auto"/>
          <w:sz w:val="22"/>
          <w:szCs w:val="22"/>
        </w:rPr>
        <w:t>从业人员、营业收入、资产总额填报上一年度数据，无上一</w:t>
      </w:r>
      <w:r>
        <w:rPr>
          <w:rFonts w:ascii="宋体" w:hAnsi="宋体" w:eastAsia="宋体" w:cs="宋体"/>
          <w:color w:val="auto"/>
          <w:spacing w:val="-1"/>
          <w:sz w:val="22"/>
          <w:szCs w:val="22"/>
        </w:rPr>
        <w:t>年度数据的新成立企业可不填</w:t>
      </w:r>
      <w:r>
        <w:rPr>
          <w:rFonts w:ascii="宋体" w:hAnsi="宋体" w:eastAsia="宋体" w:cs="宋体"/>
          <w:color w:val="auto"/>
          <w:spacing w:val="-10"/>
          <w:sz w:val="22"/>
          <w:szCs w:val="22"/>
        </w:rPr>
        <w:t>报。</w:t>
      </w:r>
    </w:p>
    <w:p w14:paraId="065646A4">
      <w:pPr>
        <w:spacing w:before="71" w:line="219" w:lineRule="auto"/>
        <w:ind w:left="60"/>
        <w:rPr>
          <w:rFonts w:hint="eastAsia" w:ascii="宋体" w:hAnsi="宋体" w:eastAsia="宋体" w:cs="宋体"/>
          <w:color w:val="auto"/>
          <w:sz w:val="22"/>
          <w:szCs w:val="22"/>
          <w:lang w:eastAsia="zh-CN"/>
        </w:rPr>
      </w:pPr>
      <w:r>
        <w:rPr>
          <w:color w:val="auto"/>
        </w:rPr>
        <w:pict>
          <v:shape id="_x0000_s1027" o:spid="_x0000_s1027" style="position:absolute;left:0pt;margin-left:112.6pt;margin-top:14.25pt;height:0.55pt;width:60.5pt;z-index:251659264;mso-width-relative:page;mso-height-relative:page;" filled="f" stroked="t" coordsize="1210,11" path="m0,5l1210,5e">
            <v:fill on="f" focussize="0,0"/>
            <v:stroke weight="0.55pt" color="#000000" miterlimit="10" joinstyle="miter"/>
            <v:imagedata o:title=""/>
            <o:lock v:ext="edit"/>
          </v:shape>
        </w:pict>
      </w:r>
      <w:r>
        <w:rPr>
          <w:rFonts w:ascii="宋体" w:hAnsi="宋体" w:eastAsia="宋体" w:cs="宋体"/>
          <w:color w:val="auto"/>
          <w:spacing w:val="-2"/>
          <w:sz w:val="22"/>
          <w:szCs w:val="22"/>
        </w:rPr>
        <w:t>注：本项目所属行业为：</w:t>
      </w:r>
      <w:r>
        <w:rPr>
          <w:rFonts w:hint="eastAsia" w:ascii="宋体" w:hAnsi="宋体" w:eastAsia="宋体" w:cs="宋体"/>
          <w:color w:val="auto"/>
          <w:spacing w:val="-2"/>
          <w:sz w:val="22"/>
          <w:szCs w:val="22"/>
          <w:lang w:eastAsia="zh-CN"/>
        </w:rPr>
        <w:t>制造业</w:t>
      </w:r>
    </w:p>
    <w:p w14:paraId="2121FCF4">
      <w:pPr>
        <w:spacing w:line="219" w:lineRule="auto"/>
        <w:rPr>
          <w:rFonts w:ascii="宋体" w:hAnsi="宋体" w:eastAsia="宋体" w:cs="宋体"/>
          <w:color w:val="auto"/>
          <w:sz w:val="22"/>
          <w:szCs w:val="22"/>
        </w:rPr>
        <w:sectPr>
          <w:pgSz w:w="11900" w:h="16839"/>
          <w:pgMar w:top="1440" w:right="1800" w:bottom="1440" w:left="1800" w:header="0" w:footer="0" w:gutter="0"/>
          <w:cols w:space="720" w:num="1"/>
        </w:sectPr>
      </w:pPr>
    </w:p>
    <w:p w14:paraId="64B30A65">
      <w:pPr>
        <w:spacing w:before="91" w:line="219" w:lineRule="auto"/>
        <w:ind w:left="1244"/>
        <w:rPr>
          <w:rFonts w:ascii="宋体" w:hAnsi="宋体" w:eastAsia="宋体" w:cs="宋体"/>
          <w:color w:val="auto"/>
          <w:sz w:val="28"/>
          <w:szCs w:val="28"/>
        </w:rPr>
      </w:pPr>
      <w:r>
        <w:rPr>
          <w:rFonts w:ascii="宋体" w:hAnsi="宋体" w:eastAsia="宋体" w:cs="宋体"/>
          <w:b/>
          <w:bCs/>
          <w:color w:val="auto"/>
          <w:spacing w:val="-6"/>
          <w:sz w:val="28"/>
          <w:szCs w:val="28"/>
        </w:rPr>
        <w:t>附件8</w:t>
      </w:r>
      <w:r>
        <w:rPr>
          <w:rFonts w:ascii="宋体" w:hAnsi="宋体" w:eastAsia="宋体" w:cs="宋体"/>
          <w:b/>
          <w:bCs/>
          <w:color w:val="auto"/>
          <w:spacing w:val="-5"/>
          <w:sz w:val="28"/>
          <w:szCs w:val="28"/>
        </w:rPr>
        <w:t>供应商自觉抵制政府采购领域（</w:t>
      </w:r>
      <w:r>
        <w:rPr>
          <w:rFonts w:ascii="宋体" w:hAnsi="宋体" w:eastAsia="宋体" w:cs="宋体"/>
          <w:b/>
          <w:bCs/>
          <w:color w:val="auto"/>
          <w:spacing w:val="-6"/>
          <w:sz w:val="28"/>
          <w:szCs w:val="28"/>
        </w:rPr>
        <w:t>格式）</w:t>
      </w:r>
    </w:p>
    <w:p w14:paraId="33CDED70">
      <w:pPr>
        <w:spacing w:before="107" w:line="219" w:lineRule="auto"/>
        <w:ind w:left="3281"/>
        <w:rPr>
          <w:rFonts w:ascii="宋体" w:hAnsi="宋体" w:eastAsia="宋体" w:cs="宋体"/>
          <w:color w:val="auto"/>
          <w:sz w:val="28"/>
          <w:szCs w:val="28"/>
        </w:rPr>
      </w:pPr>
      <w:r>
        <w:rPr>
          <w:rFonts w:ascii="宋体" w:hAnsi="宋体" w:eastAsia="宋体" w:cs="宋体"/>
          <w:b/>
          <w:bCs/>
          <w:color w:val="auto"/>
          <w:spacing w:val="-5"/>
          <w:sz w:val="28"/>
          <w:szCs w:val="28"/>
        </w:rPr>
        <w:t>商业贿赂行为承诺书</w:t>
      </w:r>
    </w:p>
    <w:p w14:paraId="6A35FBC5">
      <w:pPr>
        <w:spacing w:before="202" w:line="213" w:lineRule="auto"/>
        <w:rPr>
          <w:rFonts w:ascii="宋体" w:hAnsi="宋体" w:eastAsia="宋体" w:cs="宋体"/>
          <w:color w:val="auto"/>
          <w:sz w:val="24"/>
          <w:szCs w:val="24"/>
        </w:rPr>
      </w:pPr>
      <w:r>
        <w:rPr>
          <w:rFonts w:ascii="宋体" w:hAnsi="宋体" w:eastAsia="宋体" w:cs="宋体"/>
          <w:color w:val="auto"/>
          <w:spacing w:val="-4"/>
          <w:sz w:val="24"/>
          <w:szCs w:val="24"/>
        </w:rPr>
        <w:t>致：_______（采购代理机构名称</w:t>
      </w:r>
      <w:r>
        <w:rPr>
          <w:rFonts w:ascii="宋体" w:hAnsi="宋体" w:eastAsia="宋体" w:cs="宋体"/>
          <w:color w:val="auto"/>
          <w:spacing w:val="5"/>
          <w:sz w:val="24"/>
          <w:szCs w:val="24"/>
        </w:rPr>
        <w:t>）：</w:t>
      </w:r>
    </w:p>
    <w:p w14:paraId="094800CC">
      <w:pPr>
        <w:spacing w:before="222" w:line="385" w:lineRule="auto"/>
        <w:ind w:right="16" w:firstLine="423"/>
        <w:rPr>
          <w:rFonts w:ascii="宋体" w:hAnsi="宋体" w:eastAsia="宋体" w:cs="宋体"/>
          <w:color w:val="auto"/>
          <w:sz w:val="24"/>
          <w:szCs w:val="24"/>
        </w:rPr>
      </w:pPr>
      <w:r>
        <w:rPr>
          <w:rFonts w:ascii="宋体" w:hAnsi="宋体" w:eastAsia="宋体" w:cs="宋体"/>
          <w:color w:val="auto"/>
          <w:sz w:val="23"/>
          <w:szCs w:val="23"/>
        </w:rPr>
        <w:t>为</w:t>
      </w:r>
      <w:r>
        <w:rPr>
          <w:rFonts w:ascii="宋体" w:hAnsi="宋体" w:eastAsia="宋体" w:cs="宋体"/>
          <w:color w:val="auto"/>
          <w:sz w:val="24"/>
          <w:szCs w:val="24"/>
        </w:rPr>
        <w:t>进一步规范政府采购行为，营造公平竞争的政府采</w:t>
      </w:r>
      <w:r>
        <w:rPr>
          <w:rFonts w:ascii="宋体" w:hAnsi="宋体" w:eastAsia="宋体" w:cs="宋体"/>
          <w:color w:val="auto"/>
          <w:spacing w:val="-1"/>
          <w:sz w:val="24"/>
          <w:szCs w:val="24"/>
        </w:rPr>
        <w:t>购市场环境，维护政府采购制</w:t>
      </w:r>
      <w:r>
        <w:rPr>
          <w:rFonts w:ascii="宋体" w:hAnsi="宋体" w:eastAsia="宋体" w:cs="宋体"/>
          <w:color w:val="auto"/>
          <w:spacing w:val="-2"/>
          <w:sz w:val="24"/>
          <w:szCs w:val="24"/>
        </w:rPr>
        <w:t>度良好声誉，在参与贵单位组织的竞争性谈判活动中，我方庄重承诺：</w:t>
      </w:r>
    </w:p>
    <w:p w14:paraId="03A33D17">
      <w:pPr>
        <w:spacing w:before="1" w:line="218" w:lineRule="auto"/>
        <w:ind w:left="424"/>
        <w:rPr>
          <w:rFonts w:ascii="宋体" w:hAnsi="宋体" w:eastAsia="宋体" w:cs="宋体"/>
          <w:color w:val="auto"/>
          <w:sz w:val="24"/>
          <w:szCs w:val="24"/>
        </w:rPr>
      </w:pPr>
      <w:r>
        <w:rPr>
          <w:rFonts w:ascii="宋体" w:hAnsi="宋体" w:eastAsia="宋体" w:cs="宋体"/>
          <w:color w:val="auto"/>
          <w:spacing w:val="-2"/>
          <w:sz w:val="24"/>
          <w:szCs w:val="24"/>
        </w:rPr>
        <w:t>一、依法参与竞争性谈判活动，遵纪守法，诚信经营，公平竞争。</w:t>
      </w:r>
    </w:p>
    <w:p w14:paraId="73D8379D">
      <w:pPr>
        <w:spacing w:before="214" w:line="302" w:lineRule="auto"/>
        <w:ind w:left="3" w:right="6" w:firstLine="420"/>
        <w:rPr>
          <w:rFonts w:ascii="宋体" w:hAnsi="宋体" w:eastAsia="宋体" w:cs="宋体"/>
          <w:color w:val="auto"/>
          <w:sz w:val="24"/>
          <w:szCs w:val="24"/>
        </w:rPr>
      </w:pPr>
      <w:r>
        <w:rPr>
          <w:rFonts w:ascii="宋体" w:hAnsi="宋体" w:eastAsia="宋体" w:cs="宋体"/>
          <w:color w:val="auto"/>
          <w:sz w:val="24"/>
          <w:szCs w:val="24"/>
        </w:rPr>
        <w:t>二、不向采购人、采购代理机构和谈判小组成员</w:t>
      </w:r>
      <w:r>
        <w:rPr>
          <w:rFonts w:ascii="宋体" w:hAnsi="宋体" w:eastAsia="宋体" w:cs="宋体"/>
          <w:color w:val="auto"/>
          <w:spacing w:val="-1"/>
          <w:sz w:val="24"/>
          <w:szCs w:val="24"/>
        </w:rPr>
        <w:t>提供任何形式的商业贿赂，对索取</w:t>
      </w:r>
      <w:r>
        <w:rPr>
          <w:rFonts w:ascii="宋体" w:hAnsi="宋体" w:eastAsia="宋体" w:cs="宋体"/>
          <w:color w:val="auto"/>
          <w:spacing w:val="-2"/>
          <w:sz w:val="24"/>
          <w:szCs w:val="24"/>
        </w:rPr>
        <w:t>或接受商业贿赂的单位和个人，及时向财政部门和纪检监察机关举报。</w:t>
      </w:r>
    </w:p>
    <w:p w14:paraId="4035A7EF">
      <w:pPr>
        <w:spacing w:before="215" w:line="303" w:lineRule="auto"/>
        <w:ind w:left="2" w:right="726" w:firstLine="418"/>
        <w:rPr>
          <w:rFonts w:ascii="宋体" w:hAnsi="宋体" w:eastAsia="宋体" w:cs="宋体"/>
          <w:color w:val="auto"/>
          <w:sz w:val="24"/>
          <w:szCs w:val="24"/>
        </w:rPr>
      </w:pPr>
      <w:r>
        <w:rPr>
          <w:rFonts w:ascii="宋体" w:hAnsi="宋体" w:eastAsia="宋体" w:cs="宋体"/>
          <w:color w:val="auto"/>
          <w:sz w:val="24"/>
          <w:szCs w:val="24"/>
        </w:rPr>
        <w:t>三、不以提供虚假资质文件等形式参与竞争性谈判</w:t>
      </w:r>
      <w:r>
        <w:rPr>
          <w:rFonts w:ascii="宋体" w:hAnsi="宋体" w:eastAsia="宋体" w:cs="宋体"/>
          <w:color w:val="auto"/>
          <w:spacing w:val="-1"/>
          <w:sz w:val="24"/>
          <w:szCs w:val="24"/>
        </w:rPr>
        <w:t>活动，不以虚假材料谋取</w:t>
      </w:r>
      <w:r>
        <w:rPr>
          <w:rFonts w:ascii="宋体" w:hAnsi="宋体" w:eastAsia="宋体" w:cs="宋体"/>
          <w:color w:val="auto"/>
          <w:spacing w:val="-11"/>
          <w:sz w:val="24"/>
          <w:szCs w:val="24"/>
        </w:rPr>
        <w:t>成交。</w:t>
      </w:r>
    </w:p>
    <w:p w14:paraId="7B318FC6">
      <w:pPr>
        <w:spacing w:before="213" w:line="302" w:lineRule="auto"/>
        <w:ind w:left="5" w:right="6" w:firstLine="437"/>
        <w:rPr>
          <w:rFonts w:ascii="宋体" w:hAnsi="宋体" w:eastAsia="宋体" w:cs="宋体"/>
          <w:color w:val="auto"/>
          <w:sz w:val="24"/>
          <w:szCs w:val="24"/>
        </w:rPr>
      </w:pPr>
      <w:r>
        <w:rPr>
          <w:rFonts w:ascii="宋体" w:hAnsi="宋体" w:eastAsia="宋体" w:cs="宋体"/>
          <w:color w:val="auto"/>
          <w:spacing w:val="-1"/>
          <w:sz w:val="24"/>
          <w:szCs w:val="24"/>
        </w:rPr>
        <w:t>四、不采取不正当手段诋毁、排挤其它供应商，与其它参与竞争性谈判活动的供应</w:t>
      </w:r>
      <w:r>
        <w:rPr>
          <w:rFonts w:ascii="宋体" w:hAnsi="宋体" w:eastAsia="宋体" w:cs="宋体"/>
          <w:color w:val="auto"/>
          <w:spacing w:val="-5"/>
          <w:sz w:val="24"/>
          <w:szCs w:val="24"/>
        </w:rPr>
        <w:t>商保持良性的竞争关系。</w:t>
      </w:r>
    </w:p>
    <w:p w14:paraId="2F59020B">
      <w:pPr>
        <w:spacing w:before="213" w:line="302" w:lineRule="auto"/>
        <w:ind w:right="6" w:firstLine="424"/>
        <w:rPr>
          <w:rFonts w:ascii="宋体" w:hAnsi="宋体" w:eastAsia="宋体" w:cs="宋体"/>
          <w:color w:val="auto"/>
          <w:sz w:val="24"/>
          <w:szCs w:val="24"/>
        </w:rPr>
      </w:pPr>
      <w:r>
        <w:rPr>
          <w:rFonts w:ascii="宋体" w:hAnsi="宋体" w:eastAsia="宋体" w:cs="宋体"/>
          <w:color w:val="auto"/>
          <w:sz w:val="24"/>
          <w:szCs w:val="24"/>
        </w:rPr>
        <w:t>五、不与采购人、采购代理机构和谈判小组成员</w:t>
      </w:r>
      <w:r>
        <w:rPr>
          <w:rFonts w:ascii="宋体" w:hAnsi="宋体" w:eastAsia="宋体" w:cs="宋体"/>
          <w:color w:val="auto"/>
          <w:spacing w:val="-1"/>
          <w:sz w:val="24"/>
          <w:szCs w:val="24"/>
        </w:rPr>
        <w:t>恶意串通，积极维护国家利益、社</w:t>
      </w:r>
      <w:r>
        <w:rPr>
          <w:rFonts w:ascii="宋体" w:hAnsi="宋体" w:eastAsia="宋体" w:cs="宋体"/>
          <w:color w:val="auto"/>
          <w:spacing w:val="-3"/>
          <w:sz w:val="24"/>
          <w:szCs w:val="24"/>
        </w:rPr>
        <w:t>会公共利益和采购人的合法权益。</w:t>
      </w:r>
    </w:p>
    <w:p w14:paraId="662AEFD7">
      <w:pPr>
        <w:spacing w:before="215" w:line="302" w:lineRule="auto"/>
        <w:ind w:right="186" w:firstLine="481"/>
        <w:rPr>
          <w:rFonts w:ascii="宋体" w:hAnsi="宋体" w:eastAsia="宋体" w:cs="宋体"/>
          <w:color w:val="auto"/>
          <w:sz w:val="24"/>
          <w:szCs w:val="24"/>
        </w:rPr>
      </w:pPr>
      <w:r>
        <w:rPr>
          <w:rFonts w:ascii="宋体" w:hAnsi="宋体" w:eastAsia="宋体" w:cs="宋体"/>
          <w:color w:val="auto"/>
          <w:sz w:val="24"/>
          <w:szCs w:val="24"/>
        </w:rPr>
        <w:t>六、严格履行政府采购合同约定义务，不在政府采</w:t>
      </w:r>
      <w:r>
        <w:rPr>
          <w:rFonts w:ascii="宋体" w:hAnsi="宋体" w:eastAsia="宋体" w:cs="宋体"/>
          <w:color w:val="auto"/>
          <w:spacing w:val="-1"/>
          <w:sz w:val="24"/>
          <w:szCs w:val="24"/>
        </w:rPr>
        <w:t>购合同执行过程中采取降低质</w:t>
      </w:r>
      <w:r>
        <w:rPr>
          <w:rFonts w:ascii="宋体" w:hAnsi="宋体" w:eastAsia="宋体" w:cs="宋体"/>
          <w:color w:val="auto"/>
          <w:sz w:val="24"/>
          <w:szCs w:val="24"/>
        </w:rPr>
        <w:t>量或标准、减少数量、拖延交付时间等方式损害采购人的利</w:t>
      </w:r>
      <w:r>
        <w:rPr>
          <w:rFonts w:ascii="宋体" w:hAnsi="宋体" w:eastAsia="宋体" w:cs="宋体"/>
          <w:color w:val="auto"/>
          <w:spacing w:val="-1"/>
          <w:sz w:val="24"/>
          <w:szCs w:val="24"/>
        </w:rPr>
        <w:t>益，并自觉承担违约责任</w:t>
      </w:r>
    </w:p>
    <w:p w14:paraId="724692A2">
      <w:pPr>
        <w:pStyle w:val="3"/>
        <w:spacing w:line="290" w:lineRule="auto"/>
        <w:rPr>
          <w:color w:val="auto"/>
        </w:rPr>
      </w:pPr>
    </w:p>
    <w:p w14:paraId="0E5140BC">
      <w:pPr>
        <w:spacing w:before="79" w:line="121" w:lineRule="exact"/>
        <w:ind w:left="24"/>
        <w:rPr>
          <w:rFonts w:ascii="宋体" w:hAnsi="宋体" w:eastAsia="宋体" w:cs="宋体"/>
          <w:color w:val="auto"/>
          <w:sz w:val="24"/>
          <w:szCs w:val="24"/>
        </w:rPr>
      </w:pPr>
      <w:r>
        <w:rPr>
          <w:rFonts w:ascii="宋体" w:hAnsi="宋体" w:eastAsia="宋体" w:cs="宋体"/>
          <w:color w:val="auto"/>
          <w:position w:val="1"/>
          <w:sz w:val="24"/>
          <w:szCs w:val="24"/>
        </w:rPr>
        <w:t>。</w:t>
      </w:r>
    </w:p>
    <w:p w14:paraId="0F6C12E2">
      <w:pPr>
        <w:spacing w:before="225" w:line="386" w:lineRule="auto"/>
        <w:ind w:left="1" w:right="6" w:firstLine="418"/>
        <w:rPr>
          <w:rFonts w:ascii="宋体" w:hAnsi="宋体" w:eastAsia="宋体" w:cs="宋体"/>
          <w:color w:val="auto"/>
          <w:sz w:val="24"/>
          <w:szCs w:val="24"/>
        </w:rPr>
      </w:pPr>
      <w:r>
        <w:rPr>
          <w:rFonts w:ascii="宋体" w:hAnsi="宋体" w:eastAsia="宋体" w:cs="宋体"/>
          <w:color w:val="auto"/>
          <w:sz w:val="24"/>
          <w:szCs w:val="24"/>
        </w:rPr>
        <w:t>七、自觉接受并积极配合相关监督部门实施的监督检查，如</w:t>
      </w:r>
      <w:r>
        <w:rPr>
          <w:rFonts w:ascii="宋体" w:hAnsi="宋体" w:eastAsia="宋体" w:cs="宋体"/>
          <w:color w:val="auto"/>
          <w:spacing w:val="-1"/>
          <w:sz w:val="24"/>
          <w:szCs w:val="24"/>
        </w:rPr>
        <w:t>实反映情况，及时提供</w:t>
      </w:r>
      <w:r>
        <w:rPr>
          <w:rFonts w:ascii="宋体" w:hAnsi="宋体" w:eastAsia="宋体" w:cs="宋体"/>
          <w:color w:val="auto"/>
          <w:spacing w:val="-6"/>
          <w:sz w:val="24"/>
          <w:szCs w:val="24"/>
        </w:rPr>
        <w:t>有关证明材料。</w:t>
      </w:r>
    </w:p>
    <w:p w14:paraId="199F88BF">
      <w:pPr>
        <w:pStyle w:val="3"/>
        <w:spacing w:line="414" w:lineRule="auto"/>
        <w:rPr>
          <w:color w:val="auto"/>
        </w:rPr>
      </w:pPr>
    </w:p>
    <w:p w14:paraId="15E27F93">
      <w:pPr>
        <w:spacing w:before="79" w:line="219" w:lineRule="auto"/>
        <w:ind w:left="1575"/>
        <w:rPr>
          <w:rFonts w:ascii="宋体" w:hAnsi="宋体" w:eastAsia="宋体" w:cs="宋体"/>
          <w:color w:val="auto"/>
          <w:sz w:val="24"/>
          <w:szCs w:val="24"/>
        </w:rPr>
      </w:pPr>
      <w:r>
        <w:rPr>
          <w:rFonts w:ascii="宋体" w:hAnsi="宋体" w:eastAsia="宋体" w:cs="宋体"/>
          <w:color w:val="auto"/>
          <w:spacing w:val="-8"/>
          <w:sz w:val="24"/>
          <w:szCs w:val="24"/>
        </w:rPr>
        <w:t>供应商代表签字：</w:t>
      </w:r>
    </w:p>
    <w:p w14:paraId="587F1123">
      <w:pPr>
        <w:spacing w:before="215" w:line="219" w:lineRule="auto"/>
        <w:ind w:left="1575"/>
        <w:rPr>
          <w:rFonts w:ascii="宋体" w:hAnsi="宋体" w:eastAsia="宋体" w:cs="宋体"/>
          <w:color w:val="auto"/>
          <w:sz w:val="24"/>
          <w:szCs w:val="24"/>
        </w:rPr>
      </w:pPr>
      <w:r>
        <w:rPr>
          <w:rFonts w:ascii="宋体" w:hAnsi="宋体" w:eastAsia="宋体" w:cs="宋体"/>
          <w:color w:val="auto"/>
          <w:spacing w:val="-2"/>
          <w:sz w:val="24"/>
          <w:szCs w:val="24"/>
        </w:rPr>
        <w:t>供应商：（全称并加盖公章）</w:t>
      </w:r>
    </w:p>
    <w:p w14:paraId="65F0B51A">
      <w:pPr>
        <w:spacing w:before="215" w:line="220" w:lineRule="auto"/>
        <w:jc w:val="right"/>
        <w:rPr>
          <w:rFonts w:ascii="宋体" w:hAnsi="宋体" w:eastAsia="宋体" w:cs="宋体"/>
          <w:color w:val="auto"/>
          <w:sz w:val="24"/>
          <w:szCs w:val="24"/>
        </w:rPr>
      </w:pPr>
      <w:r>
        <w:rPr>
          <w:rFonts w:ascii="宋体" w:hAnsi="宋体" w:eastAsia="宋体" w:cs="宋体"/>
          <w:color w:val="auto"/>
          <w:spacing w:val="-26"/>
          <w:sz w:val="24"/>
          <w:szCs w:val="24"/>
        </w:rPr>
        <w:t>年月日</w:t>
      </w:r>
    </w:p>
    <w:p w14:paraId="1C0C0077">
      <w:pPr>
        <w:spacing w:line="220" w:lineRule="auto"/>
        <w:rPr>
          <w:rFonts w:ascii="宋体" w:hAnsi="宋体" w:eastAsia="宋体" w:cs="宋体"/>
          <w:color w:val="auto"/>
          <w:sz w:val="24"/>
          <w:szCs w:val="24"/>
        </w:rPr>
        <w:sectPr>
          <w:pgSz w:w="11900" w:h="16839"/>
          <w:pgMar w:top="1440" w:right="1800" w:bottom="1440" w:left="1800" w:header="0" w:footer="0" w:gutter="0"/>
          <w:cols w:space="720" w:num="1"/>
        </w:sectPr>
      </w:pPr>
    </w:p>
    <w:p w14:paraId="5F0173CF">
      <w:pPr>
        <w:spacing w:before="91" w:line="219" w:lineRule="auto"/>
        <w:ind w:left="1244"/>
        <w:rPr>
          <w:rFonts w:ascii="宋体" w:hAnsi="宋体" w:eastAsia="宋体" w:cs="宋体"/>
          <w:color w:val="auto"/>
          <w:sz w:val="28"/>
          <w:szCs w:val="28"/>
        </w:rPr>
      </w:pPr>
      <w:r>
        <w:rPr>
          <w:rFonts w:ascii="宋体" w:hAnsi="宋体" w:eastAsia="宋体" w:cs="宋体"/>
          <w:b/>
          <w:bCs/>
          <w:color w:val="auto"/>
          <w:spacing w:val="-4"/>
          <w:sz w:val="28"/>
          <w:szCs w:val="28"/>
        </w:rPr>
        <w:t>附件</w:t>
      </w:r>
      <w:r>
        <w:rPr>
          <w:rFonts w:hint="eastAsia" w:ascii="宋体" w:hAnsi="宋体" w:eastAsia="宋体" w:cs="宋体"/>
          <w:b/>
          <w:bCs/>
          <w:color w:val="auto"/>
          <w:spacing w:val="-4"/>
          <w:sz w:val="28"/>
          <w:szCs w:val="28"/>
          <w:lang w:val="en-US" w:eastAsia="zh-CN"/>
        </w:rPr>
        <w:t>9</w:t>
      </w:r>
      <w:r>
        <w:rPr>
          <w:rFonts w:ascii="宋体" w:hAnsi="宋体" w:eastAsia="宋体" w:cs="宋体"/>
          <w:b/>
          <w:bCs/>
          <w:color w:val="auto"/>
          <w:spacing w:val="-4"/>
          <w:sz w:val="28"/>
          <w:szCs w:val="28"/>
        </w:rPr>
        <w:t>驻马店市政府采购合同融资金融机构</w:t>
      </w:r>
      <w:r>
        <w:rPr>
          <w:rFonts w:ascii="宋体" w:hAnsi="宋体" w:eastAsia="宋体" w:cs="宋体"/>
          <w:b/>
          <w:bCs/>
          <w:color w:val="auto"/>
          <w:spacing w:val="-5"/>
          <w:sz w:val="28"/>
          <w:szCs w:val="28"/>
        </w:rPr>
        <w:t>联系方式</w:t>
      </w:r>
    </w:p>
    <w:p w14:paraId="57DC0119">
      <w:pPr>
        <w:pStyle w:val="3"/>
        <w:spacing w:line="333" w:lineRule="auto"/>
        <w:rPr>
          <w:color w:val="auto"/>
        </w:rPr>
      </w:pPr>
    </w:p>
    <w:p w14:paraId="7215DE85">
      <w:pPr>
        <w:spacing w:before="78" w:line="385" w:lineRule="auto"/>
        <w:ind w:left="1" w:firstLine="420"/>
        <w:rPr>
          <w:rFonts w:ascii="宋体" w:hAnsi="宋体" w:eastAsia="宋体" w:cs="宋体"/>
          <w:color w:val="auto"/>
          <w:sz w:val="24"/>
          <w:szCs w:val="24"/>
        </w:rPr>
      </w:pPr>
      <w:r>
        <w:rPr>
          <w:rFonts w:ascii="宋体" w:hAnsi="宋体" w:eastAsia="宋体" w:cs="宋体"/>
          <w:color w:val="auto"/>
          <w:spacing w:val="-2"/>
          <w:sz w:val="24"/>
          <w:szCs w:val="24"/>
        </w:rPr>
        <w:t>参与本次采购活动的供应商，在中标后可以持政府采购合同向融资机构申请贷款，</w:t>
      </w:r>
      <w:r>
        <w:rPr>
          <w:rFonts w:ascii="宋体" w:hAnsi="宋体" w:eastAsia="宋体" w:cs="宋体"/>
          <w:color w:val="auto"/>
          <w:spacing w:val="-9"/>
          <w:sz w:val="24"/>
          <w:szCs w:val="24"/>
        </w:rPr>
        <w:t>联系方式如下：</w:t>
      </w:r>
    </w:p>
    <w:p w14:paraId="40F4FDF8">
      <w:pPr>
        <w:spacing w:before="1" w:line="384" w:lineRule="auto"/>
        <w:ind w:left="1" w:right="5766" w:firstLine="16"/>
        <w:rPr>
          <w:rFonts w:ascii="宋体" w:hAnsi="宋体" w:eastAsia="宋体" w:cs="宋体"/>
          <w:color w:val="auto"/>
          <w:sz w:val="24"/>
          <w:szCs w:val="24"/>
        </w:rPr>
      </w:pPr>
      <w:r>
        <w:rPr>
          <w:rFonts w:ascii="宋体" w:hAnsi="宋体" w:eastAsia="宋体" w:cs="宋体"/>
          <w:color w:val="auto"/>
          <w:spacing w:val="-2"/>
          <w:sz w:val="24"/>
          <w:szCs w:val="24"/>
        </w:rPr>
        <w:t>1、上海浦东发展银行信阳分行</w:t>
      </w:r>
      <w:r>
        <w:rPr>
          <w:rFonts w:ascii="宋体" w:hAnsi="宋体" w:eastAsia="宋体" w:cs="宋体"/>
          <w:color w:val="auto"/>
          <w:spacing w:val="-1"/>
          <w:sz w:val="24"/>
          <w:szCs w:val="24"/>
        </w:rPr>
        <w:t>联系人：陈安达18538266767</w:t>
      </w:r>
    </w:p>
    <w:p w14:paraId="3CE56B20">
      <w:pPr>
        <w:spacing w:line="219" w:lineRule="auto"/>
        <w:ind w:left="2"/>
        <w:rPr>
          <w:rFonts w:ascii="宋体" w:hAnsi="宋体" w:eastAsia="宋体" w:cs="宋体"/>
          <w:color w:val="auto"/>
          <w:sz w:val="24"/>
          <w:szCs w:val="24"/>
        </w:rPr>
      </w:pPr>
      <w:r>
        <w:rPr>
          <w:rFonts w:ascii="宋体" w:hAnsi="宋体" w:eastAsia="宋体" w:cs="宋体"/>
          <w:color w:val="auto"/>
          <w:spacing w:val="-1"/>
          <w:sz w:val="24"/>
          <w:szCs w:val="24"/>
        </w:rPr>
        <w:t>李鹤松18638169788</w:t>
      </w:r>
    </w:p>
    <w:p w14:paraId="7E9B05EC">
      <w:pPr>
        <w:spacing w:before="214" w:line="220" w:lineRule="auto"/>
        <w:rPr>
          <w:rFonts w:ascii="宋体" w:hAnsi="宋体" w:eastAsia="宋体" w:cs="宋体"/>
          <w:color w:val="auto"/>
          <w:sz w:val="24"/>
          <w:szCs w:val="24"/>
        </w:rPr>
      </w:pPr>
      <w:r>
        <w:rPr>
          <w:rFonts w:ascii="宋体" w:hAnsi="宋体" w:eastAsia="宋体" w:cs="宋体"/>
          <w:color w:val="auto"/>
          <w:spacing w:val="-1"/>
          <w:sz w:val="24"/>
          <w:szCs w:val="24"/>
        </w:rPr>
        <w:t>地址：信阳市羊山新区新六大街北段九阳大厦一号楼</w:t>
      </w:r>
    </w:p>
    <w:p w14:paraId="66B523B1">
      <w:pPr>
        <w:spacing w:before="213" w:line="385" w:lineRule="auto"/>
        <w:ind w:left="1" w:right="5046" w:firstLine="1"/>
        <w:rPr>
          <w:rFonts w:ascii="宋体" w:hAnsi="宋体" w:eastAsia="宋体" w:cs="宋体"/>
          <w:color w:val="auto"/>
          <w:sz w:val="24"/>
          <w:szCs w:val="24"/>
        </w:rPr>
      </w:pPr>
      <w:r>
        <w:rPr>
          <w:rFonts w:ascii="宋体" w:hAnsi="宋体" w:eastAsia="宋体" w:cs="宋体"/>
          <w:color w:val="auto"/>
          <w:spacing w:val="-1"/>
          <w:sz w:val="24"/>
          <w:szCs w:val="24"/>
        </w:rPr>
        <w:t>2、中原银行驻马店分行公司业务七部</w:t>
      </w:r>
      <w:r>
        <w:rPr>
          <w:rFonts w:ascii="宋体" w:hAnsi="宋体" w:eastAsia="宋体" w:cs="宋体"/>
          <w:color w:val="auto"/>
          <w:spacing w:val="-2"/>
          <w:sz w:val="24"/>
          <w:szCs w:val="24"/>
        </w:rPr>
        <w:t>联系人：王磊</w:t>
      </w:r>
    </w:p>
    <w:p w14:paraId="48E6AD48">
      <w:pPr>
        <w:spacing w:before="1" w:line="221" w:lineRule="auto"/>
        <w:ind w:left="1"/>
        <w:rPr>
          <w:rFonts w:ascii="宋体" w:hAnsi="宋体" w:eastAsia="宋体" w:cs="宋体"/>
          <w:color w:val="auto"/>
          <w:sz w:val="24"/>
          <w:szCs w:val="24"/>
        </w:rPr>
      </w:pPr>
      <w:r>
        <w:rPr>
          <w:rFonts w:ascii="宋体" w:hAnsi="宋体" w:eastAsia="宋体" w:cs="宋体"/>
          <w:color w:val="auto"/>
          <w:spacing w:val="-1"/>
          <w:sz w:val="24"/>
          <w:szCs w:val="24"/>
        </w:rPr>
        <w:t>联系电话：13783327708</w:t>
      </w:r>
    </w:p>
    <w:p w14:paraId="4711F50A">
      <w:pPr>
        <w:spacing w:before="211" w:line="220" w:lineRule="auto"/>
        <w:rPr>
          <w:rFonts w:ascii="宋体" w:hAnsi="宋体" w:eastAsia="宋体" w:cs="宋体"/>
          <w:color w:val="auto"/>
          <w:sz w:val="24"/>
          <w:szCs w:val="24"/>
        </w:rPr>
      </w:pPr>
      <w:r>
        <w:rPr>
          <w:rFonts w:ascii="宋体" w:hAnsi="宋体" w:eastAsia="宋体" w:cs="宋体"/>
          <w:color w:val="auto"/>
          <w:spacing w:val="-1"/>
          <w:sz w:val="24"/>
          <w:szCs w:val="24"/>
        </w:rPr>
        <w:t>地址：驻马店市驿城区文明路168号（天龙大酒店对面）</w:t>
      </w:r>
    </w:p>
    <w:p w14:paraId="541353C3">
      <w:pPr>
        <w:spacing w:before="214" w:line="385" w:lineRule="auto"/>
        <w:ind w:left="1" w:right="6486" w:firstLine="3"/>
        <w:rPr>
          <w:rFonts w:ascii="宋体" w:hAnsi="宋体" w:eastAsia="宋体" w:cs="宋体"/>
          <w:color w:val="auto"/>
          <w:sz w:val="24"/>
          <w:szCs w:val="24"/>
        </w:rPr>
      </w:pPr>
      <w:r>
        <w:rPr>
          <w:rFonts w:ascii="宋体" w:hAnsi="宋体" w:eastAsia="宋体" w:cs="宋体"/>
          <w:color w:val="auto"/>
          <w:spacing w:val="-2"/>
          <w:sz w:val="24"/>
          <w:szCs w:val="24"/>
        </w:rPr>
        <w:t>3、郑州银行驻马店分行联系人：禹阳</w:t>
      </w:r>
    </w:p>
    <w:p w14:paraId="420E04A3">
      <w:pPr>
        <w:spacing w:before="1" w:line="221" w:lineRule="auto"/>
        <w:ind w:left="1"/>
        <w:rPr>
          <w:rFonts w:ascii="宋体" w:hAnsi="宋体" w:eastAsia="宋体" w:cs="宋体"/>
          <w:color w:val="auto"/>
          <w:sz w:val="24"/>
          <w:szCs w:val="24"/>
        </w:rPr>
      </w:pPr>
      <w:r>
        <w:rPr>
          <w:rFonts w:ascii="宋体" w:hAnsi="宋体" w:eastAsia="宋体" w:cs="宋体"/>
          <w:color w:val="auto"/>
          <w:spacing w:val="-1"/>
          <w:sz w:val="24"/>
          <w:szCs w:val="24"/>
        </w:rPr>
        <w:t>联系电话：15103825000</w:t>
      </w:r>
    </w:p>
    <w:p w14:paraId="4F7CC8BC">
      <w:pPr>
        <w:spacing w:before="211" w:line="219" w:lineRule="auto"/>
        <w:rPr>
          <w:rFonts w:ascii="宋体" w:hAnsi="宋体" w:eastAsia="宋体" w:cs="宋体"/>
          <w:color w:val="auto"/>
          <w:sz w:val="24"/>
          <w:szCs w:val="24"/>
        </w:rPr>
      </w:pPr>
      <w:r>
        <w:rPr>
          <w:rFonts w:ascii="宋体" w:hAnsi="宋体" w:eastAsia="宋体" w:cs="宋体"/>
          <w:color w:val="auto"/>
          <w:spacing w:val="-1"/>
          <w:sz w:val="24"/>
          <w:szCs w:val="24"/>
        </w:rPr>
        <w:t>地址：河南省驻马店市置地大道与天中山大道交叉口西南角</w:t>
      </w:r>
    </w:p>
    <w:p w14:paraId="6A4ABC30">
      <w:pPr>
        <w:spacing w:before="215" w:line="219" w:lineRule="auto"/>
        <w:rPr>
          <w:rFonts w:ascii="宋体" w:hAnsi="宋体" w:eastAsia="宋体" w:cs="宋体"/>
          <w:color w:val="auto"/>
          <w:sz w:val="24"/>
          <w:szCs w:val="24"/>
        </w:rPr>
      </w:pPr>
      <w:r>
        <w:rPr>
          <w:rFonts w:ascii="宋体" w:hAnsi="宋体" w:eastAsia="宋体" w:cs="宋体"/>
          <w:color w:val="auto"/>
          <w:spacing w:val="-1"/>
          <w:sz w:val="24"/>
          <w:szCs w:val="24"/>
        </w:rPr>
        <w:t>4、驻马店农村商业银行股份有限公司</w:t>
      </w:r>
    </w:p>
    <w:p w14:paraId="361D329E">
      <w:pPr>
        <w:spacing w:before="215" w:line="220" w:lineRule="auto"/>
        <w:ind w:left="1"/>
        <w:rPr>
          <w:rFonts w:ascii="宋体" w:hAnsi="宋体" w:eastAsia="宋体" w:cs="宋体"/>
          <w:color w:val="auto"/>
          <w:sz w:val="24"/>
          <w:szCs w:val="24"/>
        </w:rPr>
      </w:pPr>
      <w:r>
        <w:rPr>
          <w:rFonts w:ascii="宋体" w:hAnsi="宋体" w:eastAsia="宋体" w:cs="宋体"/>
          <w:color w:val="auto"/>
          <w:spacing w:val="-1"/>
          <w:sz w:val="24"/>
          <w:szCs w:val="24"/>
        </w:rPr>
        <w:t>联系人：鄢川源151365902883699502</w:t>
      </w:r>
    </w:p>
    <w:p w14:paraId="09455FFC">
      <w:pPr>
        <w:spacing w:before="214" w:line="220" w:lineRule="auto"/>
        <w:ind w:left="1"/>
        <w:rPr>
          <w:rFonts w:ascii="宋体" w:hAnsi="宋体" w:eastAsia="宋体" w:cs="宋体"/>
          <w:color w:val="auto"/>
          <w:sz w:val="24"/>
          <w:szCs w:val="24"/>
        </w:rPr>
      </w:pPr>
      <w:r>
        <w:rPr>
          <w:rFonts w:ascii="宋体" w:hAnsi="宋体" w:eastAsia="宋体" w:cs="宋体"/>
          <w:color w:val="auto"/>
          <w:spacing w:val="-2"/>
          <w:sz w:val="24"/>
          <w:szCs w:val="24"/>
        </w:rPr>
        <w:t>周莉娟152901728783618869</w:t>
      </w:r>
    </w:p>
    <w:p w14:paraId="49058DC5">
      <w:pPr>
        <w:spacing w:before="214" w:line="220" w:lineRule="auto"/>
        <w:rPr>
          <w:rFonts w:ascii="宋体" w:hAnsi="宋体" w:eastAsia="宋体" w:cs="宋体"/>
          <w:color w:val="auto"/>
          <w:sz w:val="24"/>
          <w:szCs w:val="24"/>
        </w:rPr>
      </w:pPr>
      <w:r>
        <w:rPr>
          <w:rFonts w:ascii="宋体" w:hAnsi="宋体" w:eastAsia="宋体" w:cs="宋体"/>
          <w:color w:val="auto"/>
          <w:spacing w:val="-1"/>
          <w:sz w:val="24"/>
          <w:szCs w:val="24"/>
        </w:rPr>
        <w:t>地址：驻马店市驿城区文化路360号</w:t>
      </w:r>
    </w:p>
    <w:p w14:paraId="721C7618">
      <w:pPr>
        <w:spacing w:before="214" w:line="385" w:lineRule="auto"/>
        <w:ind w:left="1" w:right="4326" w:firstLine="3"/>
        <w:rPr>
          <w:rFonts w:ascii="宋体" w:hAnsi="宋体" w:eastAsia="宋体" w:cs="宋体"/>
          <w:color w:val="auto"/>
          <w:sz w:val="24"/>
          <w:szCs w:val="24"/>
        </w:rPr>
      </w:pPr>
      <w:r>
        <w:rPr>
          <w:rFonts w:ascii="宋体" w:hAnsi="宋体" w:eastAsia="宋体" w:cs="宋体"/>
          <w:color w:val="auto"/>
          <w:spacing w:val="-1"/>
          <w:sz w:val="24"/>
          <w:szCs w:val="24"/>
        </w:rPr>
        <w:t>5、中国银行股份有限公司驻马店分行营业部联系人：罗浩手机号15239620736</w:t>
      </w:r>
    </w:p>
    <w:p w14:paraId="6C8D268A">
      <w:pPr>
        <w:spacing w:before="1" w:line="218" w:lineRule="auto"/>
        <w:rPr>
          <w:rFonts w:ascii="宋体" w:hAnsi="宋体" w:eastAsia="宋体" w:cs="宋体"/>
          <w:color w:val="auto"/>
          <w:sz w:val="24"/>
          <w:szCs w:val="24"/>
        </w:rPr>
      </w:pPr>
      <w:r>
        <w:rPr>
          <w:rFonts w:ascii="宋体" w:hAnsi="宋体" w:eastAsia="宋体" w:cs="宋体"/>
          <w:color w:val="auto"/>
          <w:spacing w:val="-1"/>
          <w:sz w:val="24"/>
          <w:szCs w:val="24"/>
        </w:rPr>
        <w:t>刘杰手机号16639631991</w:t>
      </w:r>
    </w:p>
    <w:p w14:paraId="24E2AD2E">
      <w:pPr>
        <w:spacing w:before="215" w:line="220" w:lineRule="auto"/>
        <w:rPr>
          <w:rFonts w:ascii="宋体" w:hAnsi="宋体" w:eastAsia="宋体" w:cs="宋体"/>
          <w:color w:val="auto"/>
          <w:sz w:val="24"/>
          <w:szCs w:val="24"/>
        </w:rPr>
      </w:pPr>
      <w:r>
        <w:rPr>
          <w:rFonts w:ascii="宋体" w:hAnsi="宋体" w:eastAsia="宋体" w:cs="宋体"/>
          <w:color w:val="auto"/>
          <w:spacing w:val="-1"/>
          <w:sz w:val="24"/>
          <w:szCs w:val="24"/>
        </w:rPr>
        <w:t>地址：驻马店市文明路188号</w:t>
      </w:r>
    </w:p>
    <w:p w14:paraId="7606C804">
      <w:pPr>
        <w:spacing w:before="214" w:line="385" w:lineRule="auto"/>
        <w:ind w:left="1" w:right="4566"/>
        <w:rPr>
          <w:rFonts w:ascii="宋体" w:hAnsi="宋体" w:eastAsia="宋体" w:cs="宋体"/>
          <w:color w:val="auto"/>
          <w:sz w:val="24"/>
          <w:szCs w:val="24"/>
        </w:rPr>
      </w:pPr>
      <w:r>
        <w:rPr>
          <w:rFonts w:ascii="宋体" w:hAnsi="宋体" w:eastAsia="宋体" w:cs="宋体"/>
          <w:color w:val="auto"/>
          <w:spacing w:val="-1"/>
          <w:sz w:val="24"/>
          <w:szCs w:val="24"/>
        </w:rPr>
        <w:t>6、中信银行股份有限公司郑州东明路支行</w:t>
      </w:r>
      <w:r>
        <w:rPr>
          <w:rFonts w:ascii="宋体" w:hAnsi="宋体" w:eastAsia="宋体" w:cs="宋体"/>
          <w:color w:val="auto"/>
          <w:spacing w:val="-2"/>
          <w:sz w:val="24"/>
          <w:szCs w:val="24"/>
        </w:rPr>
        <w:t>联系人：李阿萃18638139933</w:t>
      </w:r>
    </w:p>
    <w:p w14:paraId="4D244AB2">
      <w:pPr>
        <w:spacing w:before="1" w:line="218" w:lineRule="auto"/>
        <w:rPr>
          <w:rFonts w:ascii="宋体" w:hAnsi="宋体" w:eastAsia="宋体" w:cs="宋体"/>
          <w:color w:val="auto"/>
          <w:sz w:val="24"/>
          <w:szCs w:val="24"/>
        </w:rPr>
      </w:pPr>
      <w:r>
        <w:rPr>
          <w:rFonts w:ascii="宋体" w:hAnsi="宋体" w:eastAsia="宋体" w:cs="宋体"/>
          <w:color w:val="auto"/>
          <w:spacing w:val="-1"/>
          <w:sz w:val="24"/>
          <w:szCs w:val="24"/>
        </w:rPr>
        <w:t>地址：郑州市东明路与东风路交叉口</w:t>
      </w:r>
    </w:p>
    <w:sectPr>
      <w:pgSz w:w="11900"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980F">
    <w:pPr>
      <w:spacing w:line="166" w:lineRule="auto"/>
      <w:ind w:left="2740"/>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6FF0">
    <w:pPr>
      <w:spacing w:line="165" w:lineRule="auto"/>
      <w:ind w:left="3094"/>
      <w:rPr>
        <w:rFonts w:ascii="Calibri" w:hAnsi="Calibri" w:eastAsia="Calibri" w:cs="Calibri"/>
        <w:sz w:val="18"/>
        <w:szCs w:val="18"/>
      </w:rPr>
    </w:pPr>
    <w:r>
      <w:rPr>
        <w:rFonts w:ascii="Calibri" w:hAnsi="Calibri" w:eastAsia="Calibri" w:cs="Calibri"/>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1A466">
    <w:pPr>
      <w:spacing w:line="167" w:lineRule="auto"/>
      <w:ind w:left="3221"/>
      <w:rPr>
        <w:rFonts w:ascii="Calibri" w:hAnsi="Calibri" w:eastAsia="Calibri" w:cs="Calibri"/>
        <w:sz w:val="18"/>
        <w:szCs w:val="18"/>
      </w:rPr>
    </w:pPr>
    <w:r>
      <w:rPr>
        <w:rFonts w:ascii="Calibri" w:hAnsi="Calibri" w:eastAsia="Calibri" w:cs="Calibri"/>
        <w:spacing w:val="-4"/>
        <w:sz w:val="18"/>
        <w:szCs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15B5">
    <w:pPr>
      <w:spacing w:line="167" w:lineRule="auto"/>
      <w:ind w:left="3099"/>
      <w:rPr>
        <w:rFonts w:ascii="Calibri" w:hAnsi="Calibri" w:eastAsia="Calibri" w:cs="Calibri"/>
        <w:sz w:val="18"/>
        <w:szCs w:val="18"/>
      </w:rPr>
    </w:pPr>
    <w:r>
      <w:rPr>
        <w:rFonts w:ascii="Calibri" w:hAnsi="Calibri" w:eastAsia="Calibri" w:cs="Calibri"/>
        <w:spacing w:val="-4"/>
        <w:sz w:val="18"/>
        <w:szCs w:val="18"/>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41C5">
    <w:pPr>
      <w:spacing w:line="167" w:lineRule="auto"/>
      <w:ind w:left="3100"/>
      <w:rPr>
        <w:rFonts w:ascii="Calibri" w:hAnsi="Calibri" w:eastAsia="Calibri" w:cs="Calibri"/>
        <w:sz w:val="18"/>
        <w:szCs w:val="18"/>
      </w:rPr>
    </w:pPr>
    <w:r>
      <w:rPr>
        <w:rFonts w:ascii="Calibri" w:hAnsi="Calibri" w:eastAsia="Calibri" w:cs="Calibri"/>
        <w:spacing w:val="-4"/>
        <w:sz w:val="18"/>
        <w:szCs w:val="18"/>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865A">
    <w:pPr>
      <w:spacing w:line="167" w:lineRule="auto"/>
      <w:ind w:left="3095"/>
      <w:rPr>
        <w:rFonts w:ascii="Calibri" w:hAnsi="Calibri" w:eastAsia="Calibri" w:cs="Calibri"/>
        <w:sz w:val="18"/>
        <w:szCs w:val="18"/>
      </w:rPr>
    </w:pPr>
    <w:r>
      <w:rPr>
        <w:rFonts w:ascii="Calibri" w:hAnsi="Calibri" w:eastAsia="Calibri" w:cs="Calibri"/>
        <w:spacing w:val="-3"/>
        <w:sz w:val="18"/>
        <w:szCs w:val="18"/>
      </w:rPr>
      <w:t>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1807">
    <w:pPr>
      <w:spacing w:line="166" w:lineRule="auto"/>
      <w:ind w:left="3087"/>
      <w:rPr>
        <w:rFonts w:ascii="Calibri" w:hAnsi="Calibri" w:eastAsia="Calibri" w:cs="Calibri"/>
        <w:sz w:val="18"/>
        <w:szCs w:val="18"/>
      </w:rPr>
    </w:pPr>
    <w:r>
      <w:rPr>
        <w:rFonts w:ascii="Calibri" w:hAnsi="Calibri" w:eastAsia="Calibri" w:cs="Calibri"/>
        <w:spacing w:val="-2"/>
        <w:sz w:val="18"/>
        <w:szCs w:val="18"/>
      </w:rPr>
      <w:t>47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A5DB">
    <w:pPr>
      <w:pStyle w:val="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ED6D">
    <w:pPr>
      <w:spacing w:line="171" w:lineRule="auto"/>
      <w:ind w:left="843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31A6">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5F730"/>
    <w:multiLevelType w:val="singleLevel"/>
    <w:tmpl w:val="0B75F73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AB7379F"/>
    <w:rsid w:val="0B6E2F5C"/>
    <w:rsid w:val="0C8C4E6A"/>
    <w:rsid w:val="1B2A6784"/>
    <w:rsid w:val="1C535301"/>
    <w:rsid w:val="276655D1"/>
    <w:rsid w:val="33332311"/>
    <w:rsid w:val="50213A39"/>
    <w:rsid w:val="59202301"/>
    <w:rsid w:val="6B5A24A7"/>
    <w:rsid w:val="753F1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19162</Words>
  <Characters>21174</Characters>
  <TotalTime>21</TotalTime>
  <ScaleCrop>false</ScaleCrop>
  <LinksUpToDate>false</LinksUpToDate>
  <CharactersWithSpaces>21181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2025-04-23T09:01:00Z</dcterms:created>
  <dc:creator>NTKO</dc:creator>
  <cp:lastModifiedBy>沐明</cp:lastModifiedBy>
  <dcterms:modified xsi:type="dcterms:W3CDTF">2025-08-25T06:13:37Z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2025-07-08T12:31:52Z</vt:filetime>
  </property>
  <property fmtid="{D5CDD505-2E9C-101B-9397-08002B2CF9AE}" pid="4" name="KSOTemplateDocerSaveRecord">
    <vt:lpwstr>eyJoZGlkIjoiMWZlZjJmZDdkNjNlZjAxYTcwNGUxMzE1ZTljYzlmYmIiLCJ1c2VySWQiOiI1Nzg1MTQ3MzYifQ==</vt:lpwstr>
  </property>
  <property fmtid="{D5CDD505-2E9C-101B-9397-08002B2CF9AE}" pid="5" name="KSOProductBuildVer">
    <vt:lpwstr>2052-12.1.0.21915</vt:lpwstr>
  </property>
  <property fmtid="{D5CDD505-2E9C-101B-9397-08002B2CF9AE}" pid="6" name="ICV">
    <vt:lpwstr>29C75F89D2DF4E9982115BC5336D4A14_13</vt:lpwstr>
  </property>
</Properties>
</file>