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cs="宋体"/>
          <w:b/>
          <w:color w:val="auto"/>
          <w:sz w:val="52"/>
          <w:szCs w:val="52"/>
          <w:highlight w:val="none"/>
        </w:rPr>
      </w:pPr>
      <w:bookmarkStart w:id="0" w:name="_Toc22804073"/>
      <w:bookmarkEnd w:id="0"/>
    </w:p>
    <w:p>
      <w:pPr>
        <w:spacing w:line="360" w:lineRule="auto"/>
        <w:jc w:val="center"/>
        <w:rPr>
          <w:rFonts w:hint="eastAsia" w:ascii="宋体" w:hAnsi="宋体" w:eastAsia="宋体" w:cs="宋体"/>
          <w:b/>
          <w:color w:val="auto"/>
          <w:sz w:val="30"/>
          <w:szCs w:val="30"/>
          <w:highlight w:val="none"/>
        </w:rPr>
      </w:pPr>
      <w:r>
        <w:rPr>
          <w:rFonts w:hint="eastAsia" w:ascii="宋体" w:cs="宋体"/>
          <w:b/>
          <w:color w:val="auto"/>
          <w:sz w:val="44"/>
          <w:szCs w:val="44"/>
          <w:highlight w:val="none"/>
          <w:lang w:eastAsia="zh-CN"/>
        </w:rPr>
        <w:t>平顶山市消防救援支队河南省消防救援总队“自然灾害应急能力提升工程”平顶山支队装备建设项目</w:t>
      </w:r>
    </w:p>
    <w:p>
      <w:pPr>
        <w:spacing w:line="360" w:lineRule="auto"/>
        <w:jc w:val="center"/>
        <w:rPr>
          <w:rFonts w:hint="eastAsia" w:ascii="宋体" w:hAnsi="宋体" w:eastAsia="宋体" w:cs="宋体"/>
          <w:b/>
          <w:color w:val="auto"/>
          <w:sz w:val="30"/>
          <w:szCs w:val="30"/>
          <w:highlight w:val="none"/>
        </w:rPr>
      </w:pPr>
    </w:p>
    <w:p>
      <w:pPr>
        <w:spacing w:line="360" w:lineRule="auto"/>
        <w:jc w:val="center"/>
        <w:rPr>
          <w:rFonts w:hint="eastAsia" w:ascii="宋体" w:hAnsi="宋体" w:eastAsia="宋体" w:cs="宋体"/>
          <w:b/>
          <w:color w:val="auto"/>
          <w:sz w:val="30"/>
          <w:szCs w:val="30"/>
          <w:highlight w:val="none"/>
        </w:rPr>
      </w:pPr>
    </w:p>
    <w:p>
      <w:pPr>
        <w:spacing w:line="360" w:lineRule="auto"/>
        <w:jc w:val="center"/>
        <w:rPr>
          <w:rFonts w:hint="eastAsia" w:ascii="宋体" w:hAnsi="宋体" w:eastAsia="宋体" w:cs="宋体"/>
          <w:b/>
          <w:color w:val="auto"/>
          <w:sz w:val="30"/>
          <w:szCs w:val="30"/>
          <w:highlight w:val="none"/>
        </w:rPr>
      </w:pPr>
    </w:p>
    <w:p>
      <w:pPr>
        <w:spacing w:line="360" w:lineRule="auto"/>
        <w:jc w:val="center"/>
        <w:rPr>
          <w:rFonts w:hint="eastAsia" w:ascii="宋体" w:hAnsi="宋体" w:eastAsia="宋体" w:cs="宋体"/>
          <w:b/>
          <w:color w:val="auto"/>
          <w:sz w:val="44"/>
          <w:szCs w:val="44"/>
          <w:highlight w:val="none"/>
        </w:rPr>
      </w:pPr>
      <w:r>
        <w:rPr>
          <w:rFonts w:hint="eastAsia" w:ascii="宋体" w:hAnsi="宋体" w:cs="宋体"/>
          <w:b/>
          <w:color w:val="auto"/>
          <w:sz w:val="44"/>
          <w:szCs w:val="44"/>
          <w:highlight w:val="none"/>
          <w:lang w:eastAsia="zh-CN"/>
        </w:rPr>
        <w:t>（包</w:t>
      </w:r>
      <w:r>
        <w:rPr>
          <w:rFonts w:hint="eastAsia" w:ascii="宋体" w:hAnsi="宋体" w:cs="宋体"/>
          <w:b/>
          <w:color w:val="auto"/>
          <w:sz w:val="44"/>
          <w:szCs w:val="44"/>
          <w:highlight w:val="none"/>
          <w:lang w:val="en-US" w:eastAsia="zh-CN"/>
        </w:rPr>
        <w:t>1-包4</w:t>
      </w:r>
      <w:r>
        <w:rPr>
          <w:rFonts w:hint="eastAsia" w:ascii="宋体" w:hAnsi="宋体" w:cs="宋体"/>
          <w:b/>
          <w:color w:val="auto"/>
          <w:sz w:val="44"/>
          <w:szCs w:val="44"/>
          <w:highlight w:val="none"/>
          <w:lang w:eastAsia="zh-CN"/>
        </w:rPr>
        <w:t>）</w:t>
      </w:r>
    </w:p>
    <w:p>
      <w:pPr>
        <w:jc w:val="center"/>
        <w:rPr>
          <w:rFonts w:hint="eastAsia" w:ascii="宋体" w:hAnsi="宋体" w:eastAsia="宋体" w:cs="宋体"/>
          <w:b/>
          <w:color w:val="auto"/>
          <w:sz w:val="130"/>
          <w:szCs w:val="130"/>
          <w:highlight w:val="none"/>
        </w:rPr>
      </w:pPr>
      <w:r>
        <w:rPr>
          <w:rFonts w:hint="eastAsia" w:ascii="宋体" w:hAnsi="宋体" w:eastAsia="宋体" w:cs="宋体"/>
          <w:b/>
          <w:color w:val="auto"/>
          <w:sz w:val="130"/>
          <w:szCs w:val="130"/>
          <w:highlight w:val="none"/>
        </w:rPr>
        <w:t>招标文件</w:t>
      </w:r>
    </w:p>
    <w:p>
      <w:pPr>
        <w:spacing w:line="360" w:lineRule="auto"/>
        <w:jc w:val="center"/>
        <w:rPr>
          <w:rFonts w:hint="default" w:ascii="宋体" w:eastAsia="宋体" w:cs="宋体"/>
          <w:b/>
          <w:color w:val="auto"/>
          <w:sz w:val="30"/>
          <w:szCs w:val="30"/>
          <w:highlight w:val="none"/>
          <w:lang w:val="en-US" w:eastAsia="zh-CN"/>
        </w:rPr>
      </w:pPr>
      <w:r>
        <w:rPr>
          <w:rFonts w:hint="eastAsia" w:ascii="宋体" w:hAnsi="宋体" w:cs="宋体"/>
          <w:b/>
          <w:color w:val="auto"/>
          <w:sz w:val="30"/>
          <w:szCs w:val="30"/>
          <w:highlight w:val="none"/>
        </w:rPr>
        <w:t>项目编号：平采招标-2024-35</w:t>
      </w:r>
      <w:r>
        <w:rPr>
          <w:rFonts w:hint="eastAsia" w:ascii="宋体" w:hAnsi="宋体" w:cs="宋体"/>
          <w:b/>
          <w:color w:val="auto"/>
          <w:sz w:val="30"/>
          <w:szCs w:val="30"/>
          <w:highlight w:val="none"/>
          <w:lang w:val="en-US" w:eastAsia="zh-CN"/>
        </w:rPr>
        <w:t xml:space="preserve"> </w:t>
      </w:r>
    </w:p>
    <w:p>
      <w:pPr>
        <w:pStyle w:val="12"/>
        <w:spacing w:line="360" w:lineRule="auto"/>
        <w:ind w:left="0" w:leftChars="0" w:right="31680"/>
        <w:rPr>
          <w:rFonts w:ascii="宋体" w:cs="宋体"/>
          <w:b/>
          <w:color w:val="auto"/>
          <w:sz w:val="30"/>
          <w:szCs w:val="30"/>
          <w:highlight w:val="none"/>
        </w:rPr>
      </w:pPr>
    </w:p>
    <w:p>
      <w:pPr>
        <w:pStyle w:val="12"/>
        <w:spacing w:line="360" w:lineRule="auto"/>
        <w:ind w:left="0" w:leftChars="0" w:right="31680"/>
        <w:rPr>
          <w:rFonts w:ascii="宋体" w:cs="宋体"/>
          <w:b/>
          <w:color w:val="auto"/>
          <w:sz w:val="30"/>
          <w:szCs w:val="30"/>
          <w:highlight w:val="none"/>
        </w:rPr>
      </w:pPr>
    </w:p>
    <w:p>
      <w:pPr>
        <w:spacing w:line="360" w:lineRule="auto"/>
        <w:rPr>
          <w:rFonts w:ascii="宋体" w:cs="宋体"/>
          <w:b/>
          <w:color w:val="auto"/>
          <w:sz w:val="30"/>
          <w:szCs w:val="30"/>
          <w:highlight w:val="none"/>
        </w:rPr>
      </w:pPr>
    </w:p>
    <w:p>
      <w:pPr>
        <w:spacing w:line="360" w:lineRule="auto"/>
        <w:rPr>
          <w:rFonts w:ascii="宋体" w:cs="宋体"/>
          <w:b/>
          <w:color w:val="auto"/>
          <w:sz w:val="30"/>
          <w:szCs w:val="30"/>
          <w:highlight w:val="none"/>
        </w:rPr>
      </w:pPr>
    </w:p>
    <w:p>
      <w:pPr>
        <w:spacing w:line="360" w:lineRule="auto"/>
        <w:ind w:firstLine="904" w:firstLineChars="300"/>
        <w:jc w:val="left"/>
        <w:rPr>
          <w:rFonts w:hint="eastAsia" w:ascii="宋体" w:eastAsia="宋体" w:cs="宋体"/>
          <w:b/>
          <w:bCs/>
          <w:color w:val="auto"/>
          <w:sz w:val="30"/>
          <w:szCs w:val="30"/>
          <w:highlight w:val="none"/>
          <w:lang w:eastAsia="zh-CN"/>
        </w:rPr>
      </w:pPr>
      <w:r>
        <w:rPr>
          <w:rFonts w:hint="eastAsia" w:ascii="宋体" w:hAnsi="宋体" w:cs="宋体"/>
          <w:b/>
          <w:bCs/>
          <w:color w:val="auto"/>
          <w:sz w:val="30"/>
          <w:szCs w:val="30"/>
          <w:highlight w:val="none"/>
        </w:rPr>
        <w:t>采</w:t>
      </w:r>
      <w:r>
        <w:rPr>
          <w:rFonts w:ascii="宋体" w:hAnsi="宋体" w:cs="宋体"/>
          <w:b/>
          <w:bCs/>
          <w:color w:val="auto"/>
          <w:sz w:val="30"/>
          <w:szCs w:val="30"/>
          <w:highlight w:val="none"/>
        </w:rPr>
        <w:t xml:space="preserve">   </w:t>
      </w:r>
      <w:r>
        <w:rPr>
          <w:rFonts w:hint="eastAsia" w:ascii="宋体" w:hAnsi="宋体" w:cs="宋体"/>
          <w:b/>
          <w:bCs/>
          <w:color w:val="auto"/>
          <w:sz w:val="30"/>
          <w:szCs w:val="30"/>
          <w:highlight w:val="none"/>
        </w:rPr>
        <w:t>购</w:t>
      </w:r>
      <w:r>
        <w:rPr>
          <w:rFonts w:ascii="宋体" w:hAnsi="宋体" w:cs="宋体"/>
          <w:b/>
          <w:bCs/>
          <w:color w:val="auto"/>
          <w:sz w:val="30"/>
          <w:szCs w:val="30"/>
          <w:highlight w:val="none"/>
        </w:rPr>
        <w:t xml:space="preserve">   </w:t>
      </w:r>
      <w:r>
        <w:rPr>
          <w:rFonts w:hint="eastAsia" w:ascii="宋体" w:hAnsi="宋体" w:cs="宋体"/>
          <w:b/>
          <w:bCs/>
          <w:color w:val="auto"/>
          <w:sz w:val="30"/>
          <w:szCs w:val="30"/>
          <w:highlight w:val="none"/>
        </w:rPr>
        <w:t>人：</w:t>
      </w:r>
      <w:r>
        <w:rPr>
          <w:rFonts w:hint="eastAsia" w:ascii="宋体" w:hAnsi="宋体" w:cs="宋体"/>
          <w:b/>
          <w:bCs/>
          <w:color w:val="auto"/>
          <w:sz w:val="30"/>
          <w:szCs w:val="30"/>
          <w:highlight w:val="none"/>
          <w:lang w:eastAsia="zh-CN"/>
        </w:rPr>
        <w:t>平顶山市消防救援支队</w:t>
      </w:r>
    </w:p>
    <w:p>
      <w:pPr>
        <w:spacing w:line="360" w:lineRule="auto"/>
        <w:ind w:firstLine="904" w:firstLineChars="300"/>
        <w:jc w:val="left"/>
        <w:rPr>
          <w:rFonts w:ascii="宋体" w:cs="宋体"/>
          <w:b/>
          <w:color w:val="auto"/>
          <w:highlight w:val="none"/>
        </w:rPr>
      </w:pPr>
      <w:r>
        <w:rPr>
          <w:rFonts w:hint="eastAsia" w:ascii="宋体" w:hAnsi="宋体" w:cs="宋体"/>
          <w:b/>
          <w:bCs/>
          <w:color w:val="auto"/>
          <w:sz w:val="30"/>
          <w:szCs w:val="30"/>
          <w:highlight w:val="none"/>
        </w:rPr>
        <w:t>采购代理机构：</w:t>
      </w:r>
      <w:r>
        <w:rPr>
          <w:rFonts w:hint="eastAsia" w:ascii="宋体" w:hAnsi="宋体" w:cs="宋体"/>
          <w:b/>
          <w:bCs/>
          <w:iCs/>
          <w:color w:val="auto"/>
          <w:sz w:val="30"/>
          <w:szCs w:val="30"/>
          <w:highlight w:val="none"/>
          <w:lang w:val="en-US" w:eastAsia="zh-CN"/>
        </w:rPr>
        <w:t>中发祥和工程管理有限公司</w:t>
      </w:r>
    </w:p>
    <w:p>
      <w:pPr>
        <w:spacing w:line="360" w:lineRule="auto"/>
        <w:jc w:val="center"/>
        <w:rPr>
          <w:rFonts w:ascii="宋体" w:cs="宋体"/>
          <w:b/>
          <w:bCs/>
          <w:color w:val="auto"/>
          <w:sz w:val="30"/>
          <w:szCs w:val="30"/>
          <w:highlight w:val="none"/>
        </w:rPr>
      </w:pPr>
      <w:r>
        <w:rPr>
          <w:rFonts w:hint="eastAsia" w:ascii="宋体" w:hAnsi="宋体" w:cs="宋体"/>
          <w:b/>
          <w:bCs/>
          <w:color w:val="auto"/>
          <w:sz w:val="30"/>
          <w:szCs w:val="30"/>
          <w:highlight w:val="none"/>
        </w:rPr>
        <w:t>二〇二</w:t>
      </w:r>
      <w:r>
        <w:rPr>
          <w:rFonts w:hint="eastAsia" w:ascii="宋体" w:hAnsi="宋体" w:cs="宋体"/>
          <w:b/>
          <w:bCs/>
          <w:color w:val="auto"/>
          <w:sz w:val="30"/>
          <w:szCs w:val="30"/>
          <w:highlight w:val="none"/>
          <w:lang w:val="en-US" w:eastAsia="zh-CN"/>
        </w:rPr>
        <w:t>四</w:t>
      </w:r>
      <w:r>
        <w:rPr>
          <w:rFonts w:hint="eastAsia" w:ascii="宋体" w:hAnsi="宋体" w:cs="宋体"/>
          <w:b/>
          <w:bCs/>
          <w:color w:val="auto"/>
          <w:sz w:val="30"/>
          <w:szCs w:val="30"/>
          <w:highlight w:val="none"/>
        </w:rPr>
        <w:t>年</w:t>
      </w:r>
      <w:r>
        <w:rPr>
          <w:rFonts w:hint="eastAsia" w:ascii="宋体" w:hAnsi="宋体" w:cs="宋体"/>
          <w:b/>
          <w:bCs/>
          <w:color w:val="auto"/>
          <w:sz w:val="30"/>
          <w:szCs w:val="30"/>
          <w:highlight w:val="none"/>
          <w:lang w:val="en-US" w:eastAsia="zh-CN"/>
        </w:rPr>
        <w:t>五</w:t>
      </w:r>
      <w:r>
        <w:rPr>
          <w:rFonts w:hint="eastAsia" w:ascii="宋体" w:hAnsi="宋体" w:cs="宋体"/>
          <w:b/>
          <w:bCs/>
          <w:color w:val="auto"/>
          <w:sz w:val="30"/>
          <w:szCs w:val="30"/>
          <w:highlight w:val="none"/>
        </w:rPr>
        <w:t>月</w:t>
      </w:r>
    </w:p>
    <w:p>
      <w:pPr>
        <w:tabs>
          <w:tab w:val="left" w:pos="602"/>
          <w:tab w:val="left" w:pos="1204"/>
          <w:tab w:val="left" w:pos="1807"/>
        </w:tabs>
        <w:spacing w:before="43" w:line="360" w:lineRule="auto"/>
        <w:ind w:right="295"/>
        <w:jc w:val="center"/>
        <w:rPr>
          <w:rFonts w:ascii="宋体" w:cs="宋体"/>
          <w:b/>
          <w:color w:val="auto"/>
          <w:sz w:val="36"/>
          <w:szCs w:val="36"/>
          <w:highlight w:val="none"/>
        </w:rPr>
        <w:sectPr>
          <w:headerReference r:id="rId4" w:type="first"/>
          <w:headerReference r:id="rId3" w:type="default"/>
          <w:pgSz w:w="11911" w:h="16838"/>
          <w:pgMar w:top="1440" w:right="1803" w:bottom="1440" w:left="1803" w:header="884" w:footer="340" w:gutter="0"/>
          <w:pgBorders>
            <w:top w:val="none" w:sz="0" w:space="0"/>
            <w:left w:val="none" w:sz="0" w:space="0"/>
            <w:bottom w:val="none" w:sz="0" w:space="0"/>
            <w:right w:val="none" w:sz="0" w:space="0"/>
          </w:pgBorders>
          <w:pgNumType w:fmt="decimal"/>
          <w:cols w:space="0" w:num="1"/>
          <w:rtlGutter w:val="0"/>
          <w:docGrid w:linePitch="312" w:charSpace="0"/>
        </w:sectPr>
      </w:pPr>
    </w:p>
    <w:p>
      <w:pPr>
        <w:pStyle w:val="18"/>
        <w:tabs>
          <w:tab w:val="right" w:leader="dot" w:pos="8305"/>
        </w:tabs>
        <w:jc w:val="center"/>
        <w:rPr>
          <w:rFonts w:hint="eastAsia" w:ascii="宋体" w:hAnsi="宋体" w:eastAsia="宋体" w:cs="宋体"/>
          <w:b w:val="0"/>
          <w:color w:val="auto"/>
          <w:sz w:val="24"/>
          <w:highlight w:val="none"/>
          <w:lang w:eastAsia="zh-CN"/>
        </w:rPr>
      </w:pPr>
      <w:r>
        <w:rPr>
          <w:rFonts w:hint="eastAsia" w:ascii="宋体" w:hAnsi="宋体" w:cs="宋体"/>
          <w:b w:val="0"/>
          <w:color w:val="auto"/>
          <w:sz w:val="24"/>
          <w:highlight w:val="none"/>
          <w:lang w:eastAsia="zh-CN"/>
        </w:rPr>
        <w:t>目</w:t>
      </w:r>
      <w:r>
        <w:rPr>
          <w:rFonts w:hint="eastAsia" w:ascii="宋体" w:hAnsi="宋体" w:cs="宋体"/>
          <w:b w:val="0"/>
          <w:color w:val="auto"/>
          <w:sz w:val="24"/>
          <w:highlight w:val="none"/>
          <w:lang w:val="en-US" w:eastAsia="zh-CN"/>
        </w:rPr>
        <w:t xml:space="preserve">  </w:t>
      </w:r>
      <w:r>
        <w:rPr>
          <w:rFonts w:hint="eastAsia" w:ascii="宋体" w:hAnsi="宋体" w:cs="宋体"/>
          <w:b w:val="0"/>
          <w:color w:val="auto"/>
          <w:sz w:val="24"/>
          <w:highlight w:val="none"/>
          <w:lang w:eastAsia="zh-CN"/>
        </w:rPr>
        <w:t>录</w:t>
      </w:r>
    </w:p>
    <w:p>
      <w:pPr>
        <w:pStyle w:val="18"/>
        <w:tabs>
          <w:tab w:val="right" w:leader="dot" w:pos="8305"/>
        </w:tabs>
        <w:rPr>
          <w:highlight w:val="none"/>
        </w:rPr>
      </w:pPr>
      <w:r>
        <w:rPr>
          <w:rFonts w:ascii="宋体" w:hAnsi="宋体" w:cs="宋体"/>
          <w:b w:val="0"/>
          <w:color w:val="auto"/>
          <w:sz w:val="24"/>
          <w:highlight w:val="none"/>
        </w:rPr>
        <w:fldChar w:fldCharType="begin"/>
      </w:r>
      <w:r>
        <w:rPr>
          <w:rFonts w:ascii="宋体" w:hAnsi="宋体" w:cs="宋体"/>
          <w:b w:val="0"/>
          <w:color w:val="auto"/>
          <w:sz w:val="24"/>
          <w:highlight w:val="none"/>
        </w:rPr>
        <w:instrText xml:space="preserve"> TOC \o "1-2" \h \z \u </w:instrText>
      </w:r>
      <w:r>
        <w:rPr>
          <w:rFonts w:ascii="宋体" w:hAnsi="宋体" w:cs="宋体"/>
          <w:b w:val="0"/>
          <w:color w:val="auto"/>
          <w:sz w:val="24"/>
          <w:highlight w:val="none"/>
        </w:rPr>
        <w:fldChar w:fldCharType="separate"/>
      </w:r>
      <w:r>
        <w:rPr>
          <w:rFonts w:ascii="宋体" w:hAnsi="宋体" w:cs="宋体"/>
          <w:color w:val="auto"/>
          <w:highlight w:val="none"/>
        </w:rPr>
        <w:fldChar w:fldCharType="begin"/>
      </w:r>
      <w:r>
        <w:rPr>
          <w:rFonts w:ascii="宋体" w:hAnsi="宋体" w:cs="宋体"/>
          <w:highlight w:val="none"/>
        </w:rPr>
        <w:instrText xml:space="preserve"> HYPERLINK \l _Toc2020 </w:instrText>
      </w:r>
      <w:r>
        <w:rPr>
          <w:rFonts w:ascii="宋体" w:hAnsi="宋体" w:cs="宋体"/>
          <w:highlight w:val="none"/>
        </w:rPr>
        <w:fldChar w:fldCharType="separate"/>
      </w:r>
      <w:r>
        <w:rPr>
          <w:rFonts w:hint="eastAsia" w:ascii="宋体" w:hAnsi="宋体" w:cs="宋体"/>
          <w:highlight w:val="none"/>
        </w:rPr>
        <w:t>第一章</w:t>
      </w:r>
      <w:r>
        <w:rPr>
          <w:rFonts w:ascii="宋体" w:hAnsi="宋体" w:cs="宋体"/>
          <w:highlight w:val="none"/>
        </w:rPr>
        <w:t xml:space="preserve"> </w:t>
      </w:r>
      <w:r>
        <w:rPr>
          <w:rFonts w:hint="eastAsia" w:ascii="宋体" w:hAnsi="宋体" w:cs="宋体"/>
          <w:highlight w:val="none"/>
        </w:rPr>
        <w:t>招标公告</w:t>
      </w:r>
      <w:r>
        <w:rPr>
          <w:highlight w:val="none"/>
        </w:rPr>
        <w:tab/>
      </w:r>
      <w:r>
        <w:rPr>
          <w:highlight w:val="none"/>
        </w:rPr>
        <w:fldChar w:fldCharType="begin"/>
      </w:r>
      <w:r>
        <w:rPr>
          <w:highlight w:val="none"/>
        </w:rPr>
        <w:instrText xml:space="preserve"> PAGEREF _Toc2020 \h </w:instrText>
      </w:r>
      <w:r>
        <w:rPr>
          <w:highlight w:val="none"/>
        </w:rPr>
        <w:fldChar w:fldCharType="separate"/>
      </w:r>
      <w:r>
        <w:rPr>
          <w:highlight w:val="none"/>
        </w:rPr>
        <w:t>3</w:t>
      </w:r>
      <w:r>
        <w:rPr>
          <w:highlight w:val="none"/>
        </w:rPr>
        <w:fldChar w:fldCharType="end"/>
      </w:r>
      <w:r>
        <w:rPr>
          <w:rFonts w:ascii="宋体" w:hAnsi="宋体" w:cs="宋体"/>
          <w:color w:val="auto"/>
          <w:highlight w:val="none"/>
        </w:rPr>
        <w:fldChar w:fldCharType="end"/>
      </w:r>
    </w:p>
    <w:p>
      <w:pPr>
        <w:pStyle w:val="18"/>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_Toc25564 </w:instrText>
      </w:r>
      <w:r>
        <w:rPr>
          <w:rFonts w:ascii="宋体" w:hAnsi="宋体" w:cs="宋体"/>
          <w:highlight w:val="none"/>
        </w:rPr>
        <w:fldChar w:fldCharType="separate"/>
      </w:r>
      <w:r>
        <w:rPr>
          <w:rFonts w:hint="eastAsia" w:ascii="宋体" w:cs="Times New Roman"/>
          <w:highlight w:val="none"/>
        </w:rPr>
        <w:t xml:space="preserve">第二章 </w:t>
      </w:r>
      <w:r>
        <w:rPr>
          <w:rFonts w:hint="eastAsia" w:ascii="宋体" w:hAnsi="宋体" w:cs="宋体"/>
          <w:highlight w:val="none"/>
          <w:lang w:eastAsia="zh-CN"/>
        </w:rPr>
        <w:t>投标人</w:t>
      </w:r>
      <w:r>
        <w:rPr>
          <w:rFonts w:hint="eastAsia" w:ascii="宋体" w:hAnsi="宋体" w:cs="宋体"/>
          <w:highlight w:val="none"/>
        </w:rPr>
        <w:t>须知</w:t>
      </w:r>
      <w:r>
        <w:rPr>
          <w:highlight w:val="none"/>
        </w:rPr>
        <w:tab/>
      </w:r>
      <w:r>
        <w:rPr>
          <w:highlight w:val="none"/>
        </w:rPr>
        <w:fldChar w:fldCharType="begin"/>
      </w:r>
      <w:r>
        <w:rPr>
          <w:highlight w:val="none"/>
        </w:rPr>
        <w:instrText xml:space="preserve"> PAGEREF _Toc25564 \h </w:instrText>
      </w:r>
      <w:r>
        <w:rPr>
          <w:highlight w:val="none"/>
        </w:rPr>
        <w:fldChar w:fldCharType="separate"/>
      </w:r>
      <w:r>
        <w:rPr>
          <w:highlight w:val="none"/>
        </w:rPr>
        <w:t>10</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_Toc8960 </w:instrText>
      </w:r>
      <w:r>
        <w:rPr>
          <w:rFonts w:ascii="宋体" w:hAnsi="宋体" w:cs="宋体"/>
          <w:highlight w:val="none"/>
        </w:rPr>
        <w:fldChar w:fldCharType="separate"/>
      </w:r>
      <w:r>
        <w:rPr>
          <w:rFonts w:hint="eastAsia" w:ascii="宋体" w:hAnsi="宋体" w:cs="宋体"/>
          <w:bCs/>
          <w:szCs w:val="32"/>
          <w:highlight w:val="none"/>
          <w:lang w:eastAsia="zh-CN"/>
        </w:rPr>
        <w:t>投标人</w:t>
      </w:r>
      <w:r>
        <w:rPr>
          <w:rFonts w:hint="eastAsia" w:ascii="宋体" w:hAnsi="宋体" w:cs="宋体"/>
          <w:bCs/>
          <w:szCs w:val="32"/>
          <w:highlight w:val="none"/>
        </w:rPr>
        <w:t>须知前附表</w:t>
      </w:r>
      <w:r>
        <w:rPr>
          <w:highlight w:val="none"/>
        </w:rPr>
        <w:tab/>
      </w:r>
      <w:r>
        <w:rPr>
          <w:highlight w:val="none"/>
        </w:rPr>
        <w:fldChar w:fldCharType="begin"/>
      </w:r>
      <w:r>
        <w:rPr>
          <w:highlight w:val="none"/>
        </w:rPr>
        <w:instrText xml:space="preserve"> PAGEREF _Toc8960 \h </w:instrText>
      </w:r>
      <w:r>
        <w:rPr>
          <w:highlight w:val="none"/>
        </w:rPr>
        <w:fldChar w:fldCharType="separate"/>
      </w:r>
      <w:r>
        <w:rPr>
          <w:highlight w:val="none"/>
        </w:rPr>
        <w:t>10</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_Toc19997 </w:instrText>
      </w:r>
      <w:r>
        <w:rPr>
          <w:rFonts w:ascii="宋体" w:hAnsi="宋体" w:cs="宋体"/>
          <w:highlight w:val="none"/>
        </w:rPr>
        <w:fldChar w:fldCharType="separate"/>
      </w:r>
      <w:r>
        <w:rPr>
          <w:rFonts w:ascii="宋体" w:cs="Times New Roman"/>
          <w:highlight w:val="none"/>
        </w:rPr>
        <w:t xml:space="preserve">1. </w:t>
      </w:r>
      <w:r>
        <w:rPr>
          <w:rFonts w:hint="eastAsia"/>
          <w:szCs w:val="21"/>
          <w:highlight w:val="none"/>
        </w:rPr>
        <w:t>总则</w:t>
      </w:r>
      <w:r>
        <w:rPr>
          <w:highlight w:val="none"/>
        </w:rPr>
        <w:tab/>
      </w:r>
      <w:r>
        <w:rPr>
          <w:highlight w:val="none"/>
        </w:rPr>
        <w:fldChar w:fldCharType="begin"/>
      </w:r>
      <w:r>
        <w:rPr>
          <w:highlight w:val="none"/>
        </w:rPr>
        <w:instrText xml:space="preserve"> PAGEREF _Toc19997 \h </w:instrText>
      </w:r>
      <w:r>
        <w:rPr>
          <w:highlight w:val="none"/>
        </w:rPr>
        <w:fldChar w:fldCharType="separate"/>
      </w:r>
      <w:r>
        <w:rPr>
          <w:highlight w:val="none"/>
        </w:rPr>
        <w:t>21</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_Toc11800 </w:instrText>
      </w:r>
      <w:r>
        <w:rPr>
          <w:rFonts w:ascii="宋体" w:hAnsi="宋体" w:cs="宋体"/>
          <w:highlight w:val="none"/>
        </w:rPr>
        <w:fldChar w:fldCharType="separate"/>
      </w:r>
      <w:r>
        <w:rPr>
          <w:rFonts w:cs="Times New Roman"/>
          <w:szCs w:val="21"/>
          <w:highlight w:val="none"/>
        </w:rPr>
        <w:t xml:space="preserve">2. </w:t>
      </w:r>
      <w:r>
        <w:rPr>
          <w:rFonts w:hint="eastAsia"/>
          <w:szCs w:val="21"/>
          <w:highlight w:val="none"/>
        </w:rPr>
        <w:t>招标文件</w:t>
      </w:r>
      <w:r>
        <w:rPr>
          <w:highlight w:val="none"/>
        </w:rPr>
        <w:tab/>
      </w:r>
      <w:r>
        <w:rPr>
          <w:highlight w:val="none"/>
        </w:rPr>
        <w:fldChar w:fldCharType="begin"/>
      </w:r>
      <w:r>
        <w:rPr>
          <w:highlight w:val="none"/>
        </w:rPr>
        <w:instrText xml:space="preserve"> PAGEREF _Toc11800 \h </w:instrText>
      </w:r>
      <w:r>
        <w:rPr>
          <w:highlight w:val="none"/>
        </w:rPr>
        <w:fldChar w:fldCharType="separate"/>
      </w:r>
      <w:r>
        <w:rPr>
          <w:highlight w:val="none"/>
        </w:rPr>
        <w:t>22</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_Toc22882 </w:instrText>
      </w:r>
      <w:r>
        <w:rPr>
          <w:rFonts w:ascii="宋体" w:hAnsi="宋体" w:cs="宋体"/>
          <w:highlight w:val="none"/>
        </w:rPr>
        <w:fldChar w:fldCharType="separate"/>
      </w:r>
      <w:r>
        <w:rPr>
          <w:rFonts w:cs="Times New Roman"/>
          <w:szCs w:val="21"/>
          <w:highlight w:val="none"/>
        </w:rPr>
        <w:t xml:space="preserve">3. </w:t>
      </w:r>
      <w:r>
        <w:rPr>
          <w:rFonts w:hint="eastAsia"/>
          <w:szCs w:val="21"/>
          <w:highlight w:val="none"/>
        </w:rPr>
        <w:t>投标文件的编写</w:t>
      </w:r>
      <w:r>
        <w:rPr>
          <w:highlight w:val="none"/>
        </w:rPr>
        <w:tab/>
      </w:r>
      <w:r>
        <w:rPr>
          <w:highlight w:val="none"/>
        </w:rPr>
        <w:fldChar w:fldCharType="begin"/>
      </w:r>
      <w:r>
        <w:rPr>
          <w:highlight w:val="none"/>
        </w:rPr>
        <w:instrText xml:space="preserve"> PAGEREF _Toc22882 \h </w:instrText>
      </w:r>
      <w:r>
        <w:rPr>
          <w:highlight w:val="none"/>
        </w:rPr>
        <w:fldChar w:fldCharType="separate"/>
      </w:r>
      <w:r>
        <w:rPr>
          <w:highlight w:val="none"/>
        </w:rPr>
        <w:t>24</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_Toc26693 </w:instrText>
      </w:r>
      <w:r>
        <w:rPr>
          <w:rFonts w:ascii="宋体" w:hAnsi="宋体" w:cs="宋体"/>
          <w:highlight w:val="none"/>
        </w:rPr>
        <w:fldChar w:fldCharType="separate"/>
      </w:r>
      <w:r>
        <w:rPr>
          <w:rFonts w:cs="Times New Roman"/>
          <w:szCs w:val="21"/>
          <w:highlight w:val="none"/>
        </w:rPr>
        <w:t xml:space="preserve">4. </w:t>
      </w:r>
      <w:r>
        <w:rPr>
          <w:rFonts w:hint="eastAsia"/>
          <w:szCs w:val="21"/>
          <w:highlight w:val="none"/>
        </w:rPr>
        <w:t>投标</w:t>
      </w:r>
      <w:r>
        <w:rPr>
          <w:highlight w:val="none"/>
        </w:rPr>
        <w:tab/>
      </w:r>
      <w:r>
        <w:rPr>
          <w:highlight w:val="none"/>
        </w:rPr>
        <w:fldChar w:fldCharType="begin"/>
      </w:r>
      <w:r>
        <w:rPr>
          <w:highlight w:val="none"/>
        </w:rPr>
        <w:instrText xml:space="preserve"> PAGEREF _Toc26693 \h </w:instrText>
      </w:r>
      <w:r>
        <w:rPr>
          <w:highlight w:val="none"/>
        </w:rPr>
        <w:fldChar w:fldCharType="separate"/>
      </w:r>
      <w:r>
        <w:rPr>
          <w:highlight w:val="none"/>
        </w:rPr>
        <w:t>25</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_Toc29190 </w:instrText>
      </w:r>
      <w:r>
        <w:rPr>
          <w:rFonts w:ascii="宋体" w:hAnsi="宋体" w:cs="宋体"/>
          <w:highlight w:val="none"/>
        </w:rPr>
        <w:fldChar w:fldCharType="separate"/>
      </w:r>
      <w:r>
        <w:rPr>
          <w:rFonts w:cs="Times New Roman"/>
          <w:szCs w:val="21"/>
          <w:highlight w:val="none"/>
        </w:rPr>
        <w:t xml:space="preserve">5. </w:t>
      </w:r>
      <w:r>
        <w:rPr>
          <w:rFonts w:hint="eastAsia"/>
          <w:szCs w:val="21"/>
          <w:highlight w:val="none"/>
        </w:rPr>
        <w:t>开标、资格审查与评标</w:t>
      </w:r>
      <w:r>
        <w:rPr>
          <w:highlight w:val="none"/>
        </w:rPr>
        <w:tab/>
      </w:r>
      <w:r>
        <w:rPr>
          <w:highlight w:val="none"/>
        </w:rPr>
        <w:fldChar w:fldCharType="begin"/>
      </w:r>
      <w:r>
        <w:rPr>
          <w:highlight w:val="none"/>
        </w:rPr>
        <w:instrText xml:space="preserve"> PAGEREF _Toc29190 \h </w:instrText>
      </w:r>
      <w:r>
        <w:rPr>
          <w:highlight w:val="none"/>
        </w:rPr>
        <w:fldChar w:fldCharType="separate"/>
      </w:r>
      <w:r>
        <w:rPr>
          <w:highlight w:val="none"/>
        </w:rPr>
        <w:t>26</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_Toc14201 </w:instrText>
      </w:r>
      <w:r>
        <w:rPr>
          <w:rFonts w:ascii="宋体" w:hAnsi="宋体" w:cs="宋体"/>
          <w:highlight w:val="none"/>
        </w:rPr>
        <w:fldChar w:fldCharType="separate"/>
      </w:r>
      <w:r>
        <w:rPr>
          <w:rFonts w:cs="Times New Roman"/>
          <w:szCs w:val="21"/>
          <w:highlight w:val="none"/>
        </w:rPr>
        <w:t xml:space="preserve">6. </w:t>
      </w:r>
      <w:r>
        <w:rPr>
          <w:rFonts w:hint="eastAsia"/>
          <w:szCs w:val="21"/>
          <w:highlight w:val="none"/>
        </w:rPr>
        <w:t>授予合同</w:t>
      </w:r>
      <w:r>
        <w:rPr>
          <w:highlight w:val="none"/>
        </w:rPr>
        <w:tab/>
      </w:r>
      <w:r>
        <w:rPr>
          <w:highlight w:val="none"/>
        </w:rPr>
        <w:fldChar w:fldCharType="begin"/>
      </w:r>
      <w:r>
        <w:rPr>
          <w:highlight w:val="none"/>
        </w:rPr>
        <w:instrText xml:space="preserve"> PAGEREF _Toc14201 \h </w:instrText>
      </w:r>
      <w:r>
        <w:rPr>
          <w:highlight w:val="none"/>
        </w:rPr>
        <w:fldChar w:fldCharType="separate"/>
      </w:r>
      <w:r>
        <w:rPr>
          <w:highlight w:val="none"/>
        </w:rPr>
        <w:t>28</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_Toc27949 </w:instrText>
      </w:r>
      <w:r>
        <w:rPr>
          <w:rFonts w:ascii="宋体" w:hAnsi="宋体" w:cs="宋体"/>
          <w:highlight w:val="none"/>
        </w:rPr>
        <w:fldChar w:fldCharType="separate"/>
      </w:r>
      <w:r>
        <w:rPr>
          <w:rFonts w:cs="Times New Roman"/>
          <w:szCs w:val="21"/>
          <w:highlight w:val="none"/>
        </w:rPr>
        <w:t xml:space="preserve">7. </w:t>
      </w:r>
      <w:r>
        <w:rPr>
          <w:rFonts w:hint="eastAsia"/>
          <w:szCs w:val="21"/>
          <w:highlight w:val="none"/>
        </w:rPr>
        <w:t>信用记录</w:t>
      </w:r>
      <w:r>
        <w:rPr>
          <w:highlight w:val="none"/>
        </w:rPr>
        <w:tab/>
      </w:r>
      <w:r>
        <w:rPr>
          <w:highlight w:val="none"/>
        </w:rPr>
        <w:fldChar w:fldCharType="begin"/>
      </w:r>
      <w:r>
        <w:rPr>
          <w:highlight w:val="none"/>
        </w:rPr>
        <w:instrText xml:space="preserve"> PAGEREF _Toc27949 \h </w:instrText>
      </w:r>
      <w:r>
        <w:rPr>
          <w:highlight w:val="none"/>
        </w:rPr>
        <w:fldChar w:fldCharType="separate"/>
      </w:r>
      <w:r>
        <w:rPr>
          <w:highlight w:val="none"/>
        </w:rPr>
        <w:t>29</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_Toc28502 </w:instrText>
      </w:r>
      <w:r>
        <w:rPr>
          <w:rFonts w:ascii="宋体" w:hAnsi="宋体" w:cs="宋体"/>
          <w:highlight w:val="none"/>
        </w:rPr>
        <w:fldChar w:fldCharType="separate"/>
      </w:r>
      <w:r>
        <w:rPr>
          <w:rFonts w:cs="Times New Roman"/>
          <w:szCs w:val="21"/>
          <w:highlight w:val="none"/>
        </w:rPr>
        <w:t xml:space="preserve">8. </w:t>
      </w:r>
      <w:r>
        <w:rPr>
          <w:rFonts w:hint="eastAsia"/>
          <w:szCs w:val="21"/>
          <w:highlight w:val="none"/>
        </w:rPr>
        <w:t>需要补充的其他内容</w:t>
      </w:r>
      <w:r>
        <w:rPr>
          <w:highlight w:val="none"/>
        </w:rPr>
        <w:tab/>
      </w:r>
      <w:r>
        <w:rPr>
          <w:highlight w:val="none"/>
        </w:rPr>
        <w:fldChar w:fldCharType="begin"/>
      </w:r>
      <w:r>
        <w:rPr>
          <w:highlight w:val="none"/>
        </w:rPr>
        <w:instrText xml:space="preserve"> PAGEREF _Toc28502 \h </w:instrText>
      </w:r>
      <w:r>
        <w:rPr>
          <w:highlight w:val="none"/>
        </w:rPr>
        <w:fldChar w:fldCharType="separate"/>
      </w:r>
      <w:r>
        <w:rPr>
          <w:highlight w:val="none"/>
        </w:rPr>
        <w:t>29</w:t>
      </w:r>
      <w:r>
        <w:rPr>
          <w:highlight w:val="none"/>
        </w:rPr>
        <w:fldChar w:fldCharType="end"/>
      </w:r>
      <w:r>
        <w:rPr>
          <w:rFonts w:ascii="宋体" w:hAnsi="宋体" w:cs="宋体"/>
          <w:color w:val="auto"/>
          <w:highlight w:val="none"/>
        </w:rPr>
        <w:fldChar w:fldCharType="end"/>
      </w:r>
    </w:p>
    <w:p>
      <w:pPr>
        <w:pStyle w:val="18"/>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_Toc7871 </w:instrText>
      </w:r>
      <w:r>
        <w:rPr>
          <w:rFonts w:ascii="宋体" w:hAnsi="宋体" w:cs="宋体"/>
          <w:highlight w:val="none"/>
        </w:rPr>
        <w:fldChar w:fldCharType="separate"/>
      </w:r>
      <w:r>
        <w:rPr>
          <w:rFonts w:hint="eastAsia" w:ascii="宋体" w:hAnsi="宋体" w:cs="宋体"/>
          <w:szCs w:val="32"/>
          <w:highlight w:val="none"/>
        </w:rPr>
        <w:t>第三章</w:t>
      </w:r>
      <w:r>
        <w:rPr>
          <w:rFonts w:ascii="宋体" w:hAnsi="宋体" w:cs="宋体"/>
          <w:szCs w:val="32"/>
          <w:highlight w:val="none"/>
        </w:rPr>
        <w:t xml:space="preserve">  </w:t>
      </w:r>
      <w:r>
        <w:rPr>
          <w:rFonts w:hint="eastAsia" w:ascii="宋体" w:hAnsi="宋体" w:cs="宋体"/>
          <w:szCs w:val="32"/>
          <w:highlight w:val="none"/>
        </w:rPr>
        <w:t>资格审查</w:t>
      </w:r>
      <w:r>
        <w:rPr>
          <w:highlight w:val="none"/>
        </w:rPr>
        <w:tab/>
      </w:r>
      <w:r>
        <w:rPr>
          <w:highlight w:val="none"/>
        </w:rPr>
        <w:fldChar w:fldCharType="begin"/>
      </w:r>
      <w:r>
        <w:rPr>
          <w:highlight w:val="none"/>
        </w:rPr>
        <w:instrText xml:space="preserve"> PAGEREF _Toc7871 \h </w:instrText>
      </w:r>
      <w:r>
        <w:rPr>
          <w:highlight w:val="none"/>
        </w:rPr>
        <w:fldChar w:fldCharType="separate"/>
      </w:r>
      <w:r>
        <w:rPr>
          <w:highlight w:val="none"/>
        </w:rPr>
        <w:t>30</w:t>
      </w:r>
      <w:r>
        <w:rPr>
          <w:highlight w:val="none"/>
        </w:rPr>
        <w:fldChar w:fldCharType="end"/>
      </w:r>
      <w:r>
        <w:rPr>
          <w:rFonts w:ascii="宋体" w:hAnsi="宋体" w:cs="宋体"/>
          <w:color w:val="auto"/>
          <w:highlight w:val="none"/>
        </w:rPr>
        <w:fldChar w:fldCharType="end"/>
      </w:r>
    </w:p>
    <w:p>
      <w:pPr>
        <w:pStyle w:val="18"/>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_Toc20425 </w:instrText>
      </w:r>
      <w:r>
        <w:rPr>
          <w:rFonts w:ascii="宋体" w:hAnsi="宋体" w:cs="宋体"/>
          <w:highlight w:val="none"/>
        </w:rPr>
        <w:fldChar w:fldCharType="separate"/>
      </w:r>
      <w:r>
        <w:rPr>
          <w:rFonts w:hint="eastAsia" w:ascii="宋体" w:hAnsi="宋体" w:cs="宋体"/>
          <w:szCs w:val="32"/>
          <w:highlight w:val="none"/>
        </w:rPr>
        <w:t>第四章</w:t>
      </w:r>
      <w:r>
        <w:rPr>
          <w:rFonts w:ascii="宋体" w:hAnsi="宋体" w:cs="宋体"/>
          <w:szCs w:val="32"/>
          <w:highlight w:val="none"/>
        </w:rPr>
        <w:t xml:space="preserve">  </w:t>
      </w:r>
      <w:r>
        <w:rPr>
          <w:rFonts w:hint="eastAsia" w:ascii="宋体" w:hAnsi="宋体" w:cs="宋体"/>
          <w:szCs w:val="32"/>
          <w:highlight w:val="none"/>
        </w:rPr>
        <w:t>评标办法（综合评分法）</w:t>
      </w:r>
      <w:r>
        <w:rPr>
          <w:highlight w:val="none"/>
        </w:rPr>
        <w:tab/>
      </w:r>
      <w:r>
        <w:rPr>
          <w:highlight w:val="none"/>
        </w:rPr>
        <w:fldChar w:fldCharType="begin"/>
      </w:r>
      <w:r>
        <w:rPr>
          <w:highlight w:val="none"/>
        </w:rPr>
        <w:instrText xml:space="preserve"> PAGEREF _Toc20425 \h </w:instrText>
      </w:r>
      <w:r>
        <w:rPr>
          <w:highlight w:val="none"/>
        </w:rPr>
        <w:fldChar w:fldCharType="separate"/>
      </w:r>
      <w:r>
        <w:rPr>
          <w:highlight w:val="none"/>
        </w:rPr>
        <w:t>32</w:t>
      </w:r>
      <w:r>
        <w:rPr>
          <w:highlight w:val="none"/>
        </w:rPr>
        <w:fldChar w:fldCharType="end"/>
      </w:r>
      <w:r>
        <w:rPr>
          <w:rFonts w:ascii="宋体" w:hAnsi="宋体" w:cs="宋体"/>
          <w:color w:val="auto"/>
          <w:highlight w:val="none"/>
        </w:rPr>
        <w:fldChar w:fldCharType="end"/>
      </w:r>
    </w:p>
    <w:p>
      <w:pPr>
        <w:pStyle w:val="18"/>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_Toc7178 </w:instrText>
      </w:r>
      <w:r>
        <w:rPr>
          <w:rFonts w:ascii="宋体" w:hAnsi="宋体" w:cs="宋体"/>
          <w:highlight w:val="none"/>
        </w:rPr>
        <w:fldChar w:fldCharType="separate"/>
      </w:r>
      <w:r>
        <w:rPr>
          <w:rFonts w:hint="eastAsia" w:ascii="宋体" w:hAnsi="宋体" w:cs="宋体"/>
          <w:szCs w:val="32"/>
          <w:highlight w:val="none"/>
        </w:rPr>
        <w:t>第五章</w:t>
      </w:r>
      <w:r>
        <w:rPr>
          <w:rFonts w:ascii="宋体" w:hAnsi="宋体" w:cs="宋体"/>
          <w:szCs w:val="32"/>
          <w:highlight w:val="none"/>
        </w:rPr>
        <w:t xml:space="preserve">  </w:t>
      </w:r>
      <w:r>
        <w:rPr>
          <w:rFonts w:hint="eastAsia" w:ascii="宋体" w:hAnsi="宋体" w:cs="宋体"/>
          <w:szCs w:val="32"/>
          <w:highlight w:val="none"/>
        </w:rPr>
        <w:t>合同</w:t>
      </w:r>
      <w:r>
        <w:rPr>
          <w:highlight w:val="none"/>
        </w:rPr>
        <w:tab/>
      </w:r>
      <w:r>
        <w:rPr>
          <w:highlight w:val="none"/>
        </w:rPr>
        <w:fldChar w:fldCharType="begin"/>
      </w:r>
      <w:r>
        <w:rPr>
          <w:highlight w:val="none"/>
        </w:rPr>
        <w:instrText xml:space="preserve"> PAGEREF _Toc7178 \h </w:instrText>
      </w:r>
      <w:r>
        <w:rPr>
          <w:highlight w:val="none"/>
        </w:rPr>
        <w:fldChar w:fldCharType="separate"/>
      </w:r>
      <w:r>
        <w:rPr>
          <w:highlight w:val="none"/>
        </w:rPr>
        <w:t>41</w:t>
      </w:r>
      <w:r>
        <w:rPr>
          <w:highlight w:val="none"/>
        </w:rPr>
        <w:fldChar w:fldCharType="end"/>
      </w:r>
      <w:r>
        <w:rPr>
          <w:rFonts w:ascii="宋体" w:hAnsi="宋体" w:cs="宋体"/>
          <w:color w:val="auto"/>
          <w:highlight w:val="none"/>
        </w:rPr>
        <w:fldChar w:fldCharType="end"/>
      </w:r>
    </w:p>
    <w:p>
      <w:pPr>
        <w:pStyle w:val="18"/>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_Toc410 </w:instrText>
      </w:r>
      <w:r>
        <w:rPr>
          <w:rFonts w:ascii="宋体" w:hAnsi="宋体" w:cs="宋体"/>
          <w:highlight w:val="none"/>
        </w:rPr>
        <w:fldChar w:fldCharType="separate"/>
      </w:r>
      <w:r>
        <w:rPr>
          <w:rFonts w:hint="eastAsia" w:ascii="宋体" w:hAnsi="宋体" w:cs="宋体"/>
          <w:szCs w:val="32"/>
          <w:highlight w:val="none"/>
        </w:rPr>
        <w:t>第六章</w:t>
      </w:r>
      <w:r>
        <w:rPr>
          <w:rFonts w:ascii="宋体" w:hAnsi="宋体" w:cs="宋体"/>
          <w:szCs w:val="32"/>
          <w:highlight w:val="none"/>
        </w:rPr>
        <w:t xml:space="preserve">  </w:t>
      </w:r>
      <w:r>
        <w:rPr>
          <w:rFonts w:hint="eastAsia" w:ascii="宋体" w:hAnsi="宋体" w:cs="宋体"/>
          <w:szCs w:val="32"/>
          <w:highlight w:val="none"/>
        </w:rPr>
        <w:t>招标项目需求及技术要求</w:t>
      </w:r>
      <w:r>
        <w:rPr>
          <w:highlight w:val="none"/>
        </w:rPr>
        <w:tab/>
      </w:r>
      <w:r>
        <w:rPr>
          <w:highlight w:val="none"/>
        </w:rPr>
        <w:fldChar w:fldCharType="begin"/>
      </w:r>
      <w:r>
        <w:rPr>
          <w:highlight w:val="none"/>
        </w:rPr>
        <w:instrText xml:space="preserve"> PAGEREF _Toc410 \h </w:instrText>
      </w:r>
      <w:r>
        <w:rPr>
          <w:highlight w:val="none"/>
        </w:rPr>
        <w:fldChar w:fldCharType="separate"/>
      </w:r>
      <w:r>
        <w:rPr>
          <w:highlight w:val="none"/>
        </w:rPr>
        <w:t>59</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_Toc30884 </w:instrText>
      </w:r>
      <w:r>
        <w:rPr>
          <w:rFonts w:ascii="宋体" w:hAnsi="宋体" w:cs="宋体"/>
          <w:highlight w:val="none"/>
        </w:rPr>
        <w:fldChar w:fldCharType="separate"/>
      </w:r>
      <w:r>
        <w:rPr>
          <w:rFonts w:hint="eastAsia" w:ascii="宋体" w:hAnsi="宋体" w:cs="宋体"/>
          <w:szCs w:val="32"/>
          <w:highlight w:val="none"/>
        </w:rPr>
        <w:t>一、项目需求</w:t>
      </w:r>
      <w:r>
        <w:rPr>
          <w:highlight w:val="none"/>
        </w:rPr>
        <w:tab/>
      </w:r>
      <w:r>
        <w:rPr>
          <w:highlight w:val="none"/>
        </w:rPr>
        <w:fldChar w:fldCharType="begin"/>
      </w:r>
      <w:r>
        <w:rPr>
          <w:highlight w:val="none"/>
        </w:rPr>
        <w:instrText xml:space="preserve"> PAGEREF _Toc30884 \h </w:instrText>
      </w:r>
      <w:r>
        <w:rPr>
          <w:highlight w:val="none"/>
        </w:rPr>
        <w:fldChar w:fldCharType="separate"/>
      </w:r>
      <w:r>
        <w:rPr>
          <w:highlight w:val="none"/>
        </w:rPr>
        <w:t>59</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_Toc18501 </w:instrText>
      </w:r>
      <w:r>
        <w:rPr>
          <w:rFonts w:ascii="宋体" w:hAnsi="宋体" w:cs="宋体"/>
          <w:highlight w:val="none"/>
        </w:rPr>
        <w:fldChar w:fldCharType="separate"/>
      </w:r>
      <w:r>
        <w:rPr>
          <w:rFonts w:hint="eastAsia" w:ascii="宋体" w:hAnsi="宋体" w:cs="宋体"/>
          <w:szCs w:val="32"/>
          <w:highlight w:val="none"/>
          <w:lang w:eastAsia="zh-CN"/>
        </w:rPr>
        <w:t xml:space="preserve">二、 </w:t>
      </w:r>
      <w:r>
        <w:rPr>
          <w:rFonts w:hint="eastAsia" w:ascii="宋体" w:hAnsi="宋体" w:cs="宋体"/>
          <w:szCs w:val="32"/>
          <w:highlight w:val="none"/>
        </w:rPr>
        <w:t>技术</w:t>
      </w:r>
      <w:r>
        <w:rPr>
          <w:rFonts w:hint="eastAsia" w:ascii="宋体" w:hAnsi="宋体" w:cs="宋体"/>
          <w:szCs w:val="32"/>
          <w:highlight w:val="none"/>
          <w:lang w:eastAsia="zh-CN"/>
        </w:rPr>
        <w:t>要求</w:t>
      </w:r>
      <w:r>
        <w:rPr>
          <w:highlight w:val="none"/>
        </w:rPr>
        <w:tab/>
      </w:r>
      <w:r>
        <w:rPr>
          <w:highlight w:val="none"/>
        </w:rPr>
        <w:fldChar w:fldCharType="begin"/>
      </w:r>
      <w:r>
        <w:rPr>
          <w:highlight w:val="none"/>
        </w:rPr>
        <w:instrText xml:space="preserve"> PAGEREF _Toc18501 \h </w:instrText>
      </w:r>
      <w:r>
        <w:rPr>
          <w:highlight w:val="none"/>
        </w:rPr>
        <w:fldChar w:fldCharType="separate"/>
      </w:r>
      <w:r>
        <w:rPr>
          <w:highlight w:val="none"/>
        </w:rPr>
        <w:t>61</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_Toc30543 </w:instrText>
      </w:r>
      <w:r>
        <w:rPr>
          <w:rFonts w:ascii="宋体" w:hAnsi="宋体" w:cs="宋体"/>
          <w:highlight w:val="none"/>
        </w:rPr>
        <w:fldChar w:fldCharType="separate"/>
      </w:r>
      <w:r>
        <w:rPr>
          <w:rFonts w:hint="eastAsia" w:ascii="宋体" w:hAnsi="宋体" w:eastAsia="宋体" w:cs="宋体"/>
          <w:szCs w:val="24"/>
          <w:highlight w:val="none"/>
          <w:lang w:eastAsia="zh-CN"/>
        </w:rPr>
        <w:t>（一）</w:t>
      </w:r>
      <w:r>
        <w:rPr>
          <w:rFonts w:hint="eastAsia" w:ascii="宋体" w:hAnsi="宋体" w:eastAsia="宋体" w:cs="宋体"/>
          <w:szCs w:val="24"/>
          <w:highlight w:val="none"/>
        </w:rPr>
        <w:t>通用要求</w:t>
      </w:r>
      <w:r>
        <w:rPr>
          <w:highlight w:val="none"/>
        </w:rPr>
        <w:tab/>
      </w:r>
      <w:r>
        <w:rPr>
          <w:highlight w:val="none"/>
        </w:rPr>
        <w:fldChar w:fldCharType="begin"/>
      </w:r>
      <w:r>
        <w:rPr>
          <w:highlight w:val="none"/>
        </w:rPr>
        <w:instrText xml:space="preserve"> PAGEREF _Toc30543 \h </w:instrText>
      </w:r>
      <w:r>
        <w:rPr>
          <w:highlight w:val="none"/>
        </w:rPr>
        <w:fldChar w:fldCharType="separate"/>
      </w:r>
      <w:r>
        <w:rPr>
          <w:highlight w:val="none"/>
        </w:rPr>
        <w:t>61</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_Toc7135 </w:instrText>
      </w:r>
      <w:r>
        <w:rPr>
          <w:rFonts w:ascii="宋体" w:hAnsi="宋体" w:cs="宋体"/>
          <w:highlight w:val="none"/>
        </w:rPr>
        <w:fldChar w:fldCharType="separate"/>
      </w:r>
      <w:r>
        <w:rPr>
          <w:rFonts w:hint="eastAsia" w:ascii="宋体" w:hAnsi="宋体" w:eastAsia="宋体" w:cs="宋体"/>
          <w:szCs w:val="24"/>
          <w:highlight w:val="none"/>
          <w:lang w:eastAsia="zh-CN"/>
        </w:rPr>
        <w:t>（二）技术需求专用要求</w:t>
      </w:r>
      <w:r>
        <w:rPr>
          <w:highlight w:val="none"/>
        </w:rPr>
        <w:tab/>
      </w:r>
      <w:r>
        <w:rPr>
          <w:highlight w:val="none"/>
        </w:rPr>
        <w:fldChar w:fldCharType="begin"/>
      </w:r>
      <w:r>
        <w:rPr>
          <w:highlight w:val="none"/>
        </w:rPr>
        <w:instrText xml:space="preserve"> PAGEREF _Toc7135 \h </w:instrText>
      </w:r>
      <w:r>
        <w:rPr>
          <w:highlight w:val="none"/>
        </w:rPr>
        <w:fldChar w:fldCharType="separate"/>
      </w:r>
      <w:r>
        <w:rPr>
          <w:highlight w:val="none"/>
        </w:rPr>
        <w:t>63</w:t>
      </w:r>
      <w:r>
        <w:rPr>
          <w:highlight w:val="none"/>
        </w:rPr>
        <w:fldChar w:fldCharType="end"/>
      </w:r>
      <w:r>
        <w:rPr>
          <w:rFonts w:ascii="宋体" w:hAnsi="宋体" w:cs="宋体"/>
          <w:color w:val="auto"/>
          <w:highlight w:val="none"/>
        </w:rPr>
        <w:fldChar w:fldCharType="end"/>
      </w:r>
    </w:p>
    <w:p>
      <w:pPr>
        <w:pStyle w:val="18"/>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_Toc14044 </w:instrText>
      </w:r>
      <w:r>
        <w:rPr>
          <w:rFonts w:ascii="宋体" w:hAnsi="宋体" w:cs="宋体"/>
          <w:highlight w:val="none"/>
        </w:rPr>
        <w:fldChar w:fldCharType="separate"/>
      </w:r>
      <w:r>
        <w:rPr>
          <w:rFonts w:hint="eastAsia" w:ascii="宋体" w:hAnsi="宋体" w:cs="宋体"/>
          <w:szCs w:val="32"/>
          <w:highlight w:val="none"/>
        </w:rPr>
        <w:t>第七章</w:t>
      </w:r>
      <w:r>
        <w:rPr>
          <w:rFonts w:ascii="宋体" w:hAnsi="宋体" w:cs="宋体"/>
          <w:szCs w:val="32"/>
          <w:highlight w:val="none"/>
        </w:rPr>
        <w:t xml:space="preserve">  </w:t>
      </w:r>
      <w:r>
        <w:rPr>
          <w:rFonts w:hint="eastAsia" w:ascii="宋体" w:hAnsi="宋体" w:cs="宋体"/>
          <w:szCs w:val="32"/>
          <w:highlight w:val="none"/>
        </w:rPr>
        <w:t>投标文件格式</w:t>
      </w:r>
      <w:r>
        <w:rPr>
          <w:highlight w:val="none"/>
        </w:rPr>
        <w:tab/>
      </w:r>
      <w:r>
        <w:rPr>
          <w:highlight w:val="none"/>
        </w:rPr>
        <w:fldChar w:fldCharType="begin"/>
      </w:r>
      <w:r>
        <w:rPr>
          <w:highlight w:val="none"/>
        </w:rPr>
        <w:instrText xml:space="preserve"> PAGEREF _Toc14044 \h </w:instrText>
      </w:r>
      <w:r>
        <w:rPr>
          <w:highlight w:val="none"/>
        </w:rPr>
        <w:fldChar w:fldCharType="separate"/>
      </w:r>
      <w:r>
        <w:rPr>
          <w:highlight w:val="none"/>
        </w:rPr>
        <w:t>71</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_Toc13005 </w:instrText>
      </w:r>
      <w:r>
        <w:rPr>
          <w:rFonts w:ascii="宋体" w:hAnsi="宋体" w:cs="宋体"/>
          <w:highlight w:val="none"/>
        </w:rPr>
        <w:fldChar w:fldCharType="separate"/>
      </w:r>
      <w:r>
        <w:rPr>
          <w:rFonts w:hint="eastAsia" w:ascii="宋体" w:hAnsi="宋体" w:cs="宋体"/>
          <w:highlight w:val="none"/>
        </w:rPr>
        <w:t>一、投标函及投标函附录</w:t>
      </w:r>
      <w:r>
        <w:rPr>
          <w:highlight w:val="none"/>
        </w:rPr>
        <w:tab/>
      </w:r>
      <w:r>
        <w:rPr>
          <w:highlight w:val="none"/>
        </w:rPr>
        <w:fldChar w:fldCharType="begin"/>
      </w:r>
      <w:r>
        <w:rPr>
          <w:highlight w:val="none"/>
        </w:rPr>
        <w:instrText xml:space="preserve"> PAGEREF _Toc13005 \h </w:instrText>
      </w:r>
      <w:r>
        <w:rPr>
          <w:highlight w:val="none"/>
        </w:rPr>
        <w:fldChar w:fldCharType="separate"/>
      </w:r>
      <w:r>
        <w:rPr>
          <w:highlight w:val="none"/>
        </w:rPr>
        <w:t>73</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_Toc25454 </w:instrText>
      </w:r>
      <w:r>
        <w:rPr>
          <w:rFonts w:ascii="宋体" w:hAnsi="宋体" w:cs="宋体"/>
          <w:highlight w:val="none"/>
        </w:rPr>
        <w:fldChar w:fldCharType="separate"/>
      </w:r>
      <w:r>
        <w:rPr>
          <w:rFonts w:hint="eastAsia"/>
          <w:w w:val="95"/>
          <w:highlight w:val="none"/>
        </w:rPr>
        <w:t>二、法定代表人身份证明</w:t>
      </w:r>
      <w:r>
        <w:rPr>
          <w:highlight w:val="none"/>
        </w:rPr>
        <w:tab/>
      </w:r>
      <w:r>
        <w:rPr>
          <w:highlight w:val="none"/>
        </w:rPr>
        <w:fldChar w:fldCharType="begin"/>
      </w:r>
      <w:r>
        <w:rPr>
          <w:highlight w:val="none"/>
        </w:rPr>
        <w:instrText xml:space="preserve"> PAGEREF _Toc25454 \h </w:instrText>
      </w:r>
      <w:r>
        <w:rPr>
          <w:highlight w:val="none"/>
        </w:rPr>
        <w:fldChar w:fldCharType="separate"/>
      </w:r>
      <w:r>
        <w:rPr>
          <w:highlight w:val="none"/>
        </w:rPr>
        <w:t>77</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_Toc670 </w:instrText>
      </w:r>
      <w:r>
        <w:rPr>
          <w:rFonts w:ascii="宋体" w:hAnsi="宋体" w:cs="宋体"/>
          <w:highlight w:val="none"/>
        </w:rPr>
        <w:fldChar w:fldCharType="separate"/>
      </w:r>
      <w:r>
        <w:rPr>
          <w:rFonts w:hint="eastAsia"/>
          <w:w w:val="95"/>
          <w:highlight w:val="none"/>
        </w:rPr>
        <w:t>三、授权委托书</w:t>
      </w:r>
      <w:r>
        <w:rPr>
          <w:highlight w:val="none"/>
        </w:rPr>
        <w:tab/>
      </w:r>
      <w:r>
        <w:rPr>
          <w:highlight w:val="none"/>
        </w:rPr>
        <w:fldChar w:fldCharType="begin"/>
      </w:r>
      <w:r>
        <w:rPr>
          <w:highlight w:val="none"/>
        </w:rPr>
        <w:instrText xml:space="preserve"> PAGEREF _Toc670 \h </w:instrText>
      </w:r>
      <w:r>
        <w:rPr>
          <w:highlight w:val="none"/>
        </w:rPr>
        <w:fldChar w:fldCharType="separate"/>
      </w:r>
      <w:r>
        <w:rPr>
          <w:highlight w:val="none"/>
        </w:rPr>
        <w:t>78</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_Toc30345 </w:instrText>
      </w:r>
      <w:r>
        <w:rPr>
          <w:rFonts w:ascii="宋体" w:hAnsi="宋体" w:cs="宋体"/>
          <w:highlight w:val="none"/>
        </w:rPr>
        <w:fldChar w:fldCharType="separate"/>
      </w:r>
      <w:r>
        <w:rPr>
          <w:rFonts w:hint="eastAsia"/>
          <w:w w:val="95"/>
          <w:highlight w:val="none"/>
        </w:rPr>
        <w:t>四、投标承诺书</w:t>
      </w:r>
      <w:r>
        <w:rPr>
          <w:highlight w:val="none"/>
        </w:rPr>
        <w:tab/>
      </w:r>
      <w:r>
        <w:rPr>
          <w:highlight w:val="none"/>
        </w:rPr>
        <w:fldChar w:fldCharType="begin"/>
      </w:r>
      <w:r>
        <w:rPr>
          <w:highlight w:val="none"/>
        </w:rPr>
        <w:instrText xml:space="preserve"> PAGEREF _Toc30345 \h </w:instrText>
      </w:r>
      <w:r>
        <w:rPr>
          <w:highlight w:val="none"/>
        </w:rPr>
        <w:fldChar w:fldCharType="separate"/>
      </w:r>
      <w:r>
        <w:rPr>
          <w:highlight w:val="none"/>
        </w:rPr>
        <w:t>79</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_Toc14405 </w:instrText>
      </w:r>
      <w:r>
        <w:rPr>
          <w:rFonts w:ascii="宋体" w:hAnsi="宋体" w:cs="宋体"/>
          <w:highlight w:val="none"/>
        </w:rPr>
        <w:fldChar w:fldCharType="separate"/>
      </w:r>
      <w:r>
        <w:rPr>
          <w:rFonts w:hint="eastAsia"/>
          <w:w w:val="95"/>
          <w:highlight w:val="none"/>
        </w:rPr>
        <w:t>五、技术部分</w:t>
      </w:r>
      <w:r>
        <w:rPr>
          <w:highlight w:val="none"/>
        </w:rPr>
        <w:tab/>
      </w:r>
      <w:r>
        <w:rPr>
          <w:highlight w:val="none"/>
        </w:rPr>
        <w:fldChar w:fldCharType="begin"/>
      </w:r>
      <w:r>
        <w:rPr>
          <w:highlight w:val="none"/>
        </w:rPr>
        <w:instrText xml:space="preserve"> PAGEREF _Toc14405 \h </w:instrText>
      </w:r>
      <w:r>
        <w:rPr>
          <w:highlight w:val="none"/>
        </w:rPr>
        <w:fldChar w:fldCharType="separate"/>
      </w:r>
      <w:r>
        <w:rPr>
          <w:highlight w:val="none"/>
        </w:rPr>
        <w:t>81</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_Toc9417 </w:instrText>
      </w:r>
      <w:r>
        <w:rPr>
          <w:rFonts w:ascii="宋体" w:hAnsi="宋体" w:cs="宋体"/>
          <w:highlight w:val="none"/>
        </w:rPr>
        <w:fldChar w:fldCharType="separate"/>
      </w:r>
      <w:r>
        <w:rPr>
          <w:rFonts w:hint="eastAsia"/>
          <w:w w:val="95"/>
          <w:highlight w:val="none"/>
        </w:rPr>
        <w:t>六、</w:t>
      </w:r>
      <w:r>
        <w:rPr>
          <w:rFonts w:hint="eastAsia"/>
          <w:w w:val="95"/>
          <w:highlight w:val="none"/>
          <w:lang w:eastAsia="zh-CN"/>
        </w:rPr>
        <w:t>类似</w:t>
      </w:r>
      <w:r>
        <w:rPr>
          <w:rFonts w:hint="eastAsia"/>
          <w:highlight w:val="none"/>
        </w:rPr>
        <w:t>业绩</w:t>
      </w:r>
      <w:r>
        <w:rPr>
          <w:highlight w:val="none"/>
        </w:rPr>
        <w:tab/>
      </w:r>
      <w:r>
        <w:rPr>
          <w:highlight w:val="none"/>
        </w:rPr>
        <w:fldChar w:fldCharType="begin"/>
      </w:r>
      <w:r>
        <w:rPr>
          <w:highlight w:val="none"/>
        </w:rPr>
        <w:instrText xml:space="preserve"> PAGEREF _Toc9417 \h </w:instrText>
      </w:r>
      <w:r>
        <w:rPr>
          <w:highlight w:val="none"/>
        </w:rPr>
        <w:fldChar w:fldCharType="separate"/>
      </w:r>
      <w:r>
        <w:rPr>
          <w:highlight w:val="none"/>
        </w:rPr>
        <w:t>86</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_Toc27520 </w:instrText>
      </w:r>
      <w:r>
        <w:rPr>
          <w:rFonts w:ascii="宋体" w:hAnsi="宋体" w:cs="宋体"/>
          <w:highlight w:val="none"/>
        </w:rPr>
        <w:fldChar w:fldCharType="separate"/>
      </w:r>
      <w:r>
        <w:rPr>
          <w:rFonts w:hint="eastAsia"/>
          <w:highlight w:val="none"/>
        </w:rPr>
        <w:t>七、实施方案</w:t>
      </w:r>
      <w:r>
        <w:rPr>
          <w:highlight w:val="none"/>
        </w:rPr>
        <w:tab/>
      </w:r>
      <w:r>
        <w:rPr>
          <w:highlight w:val="none"/>
        </w:rPr>
        <w:fldChar w:fldCharType="begin"/>
      </w:r>
      <w:r>
        <w:rPr>
          <w:highlight w:val="none"/>
        </w:rPr>
        <w:instrText xml:space="preserve"> PAGEREF _Toc27520 \h </w:instrText>
      </w:r>
      <w:r>
        <w:rPr>
          <w:highlight w:val="none"/>
        </w:rPr>
        <w:fldChar w:fldCharType="separate"/>
      </w:r>
      <w:r>
        <w:rPr>
          <w:highlight w:val="none"/>
        </w:rPr>
        <w:t>87</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_Toc20033 </w:instrText>
      </w:r>
      <w:r>
        <w:rPr>
          <w:rFonts w:ascii="宋体" w:hAnsi="宋体" w:cs="宋体"/>
          <w:highlight w:val="none"/>
        </w:rPr>
        <w:fldChar w:fldCharType="separate"/>
      </w:r>
      <w:r>
        <w:rPr>
          <w:rFonts w:hint="eastAsia"/>
          <w:highlight w:val="none"/>
        </w:rPr>
        <w:t>八、履约能力</w:t>
      </w:r>
      <w:r>
        <w:rPr>
          <w:highlight w:val="none"/>
        </w:rPr>
        <w:tab/>
      </w:r>
      <w:r>
        <w:rPr>
          <w:highlight w:val="none"/>
        </w:rPr>
        <w:fldChar w:fldCharType="begin"/>
      </w:r>
      <w:r>
        <w:rPr>
          <w:highlight w:val="none"/>
        </w:rPr>
        <w:instrText xml:space="preserve"> PAGEREF _Toc20033 \h </w:instrText>
      </w:r>
      <w:r>
        <w:rPr>
          <w:highlight w:val="none"/>
        </w:rPr>
        <w:fldChar w:fldCharType="separate"/>
      </w:r>
      <w:r>
        <w:rPr>
          <w:highlight w:val="none"/>
        </w:rPr>
        <w:t>88</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_Toc11835 </w:instrText>
      </w:r>
      <w:r>
        <w:rPr>
          <w:rFonts w:ascii="宋体" w:hAnsi="宋体" w:cs="宋体"/>
          <w:highlight w:val="none"/>
        </w:rPr>
        <w:fldChar w:fldCharType="separate"/>
      </w:r>
      <w:r>
        <w:rPr>
          <w:rFonts w:hint="eastAsia"/>
          <w:highlight w:val="none"/>
        </w:rPr>
        <w:t>九、售后服务及培训方案</w:t>
      </w:r>
      <w:r>
        <w:rPr>
          <w:highlight w:val="none"/>
        </w:rPr>
        <w:tab/>
      </w:r>
      <w:r>
        <w:rPr>
          <w:highlight w:val="none"/>
        </w:rPr>
        <w:fldChar w:fldCharType="begin"/>
      </w:r>
      <w:r>
        <w:rPr>
          <w:highlight w:val="none"/>
        </w:rPr>
        <w:instrText xml:space="preserve"> PAGEREF _Toc11835 \h </w:instrText>
      </w:r>
      <w:r>
        <w:rPr>
          <w:highlight w:val="none"/>
        </w:rPr>
        <w:fldChar w:fldCharType="separate"/>
      </w:r>
      <w:r>
        <w:rPr>
          <w:highlight w:val="none"/>
        </w:rPr>
        <w:t>89</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_Toc11976 </w:instrText>
      </w:r>
      <w:r>
        <w:rPr>
          <w:rFonts w:ascii="宋体" w:hAnsi="宋体" w:cs="宋体"/>
          <w:highlight w:val="none"/>
        </w:rPr>
        <w:fldChar w:fldCharType="separate"/>
      </w:r>
      <w:r>
        <w:rPr>
          <w:rFonts w:hint="eastAsia"/>
          <w:highlight w:val="none"/>
        </w:rPr>
        <w:t>十、资格证明文件</w:t>
      </w:r>
      <w:r>
        <w:rPr>
          <w:highlight w:val="none"/>
        </w:rPr>
        <w:tab/>
      </w:r>
      <w:r>
        <w:rPr>
          <w:highlight w:val="none"/>
        </w:rPr>
        <w:fldChar w:fldCharType="begin"/>
      </w:r>
      <w:r>
        <w:rPr>
          <w:highlight w:val="none"/>
        </w:rPr>
        <w:instrText xml:space="preserve"> PAGEREF _Toc11976 \h </w:instrText>
      </w:r>
      <w:r>
        <w:rPr>
          <w:highlight w:val="none"/>
        </w:rPr>
        <w:fldChar w:fldCharType="separate"/>
      </w:r>
      <w:r>
        <w:rPr>
          <w:highlight w:val="none"/>
        </w:rPr>
        <w:t>90</w:t>
      </w:r>
      <w:r>
        <w:rPr>
          <w:highlight w:val="none"/>
        </w:rPr>
        <w:fldChar w:fldCharType="end"/>
      </w:r>
      <w:r>
        <w:rPr>
          <w:rFonts w:ascii="宋体" w:hAnsi="宋体" w:cs="宋体"/>
          <w:color w:val="auto"/>
          <w:highlight w:val="none"/>
        </w:rPr>
        <w:fldChar w:fldCharType="end"/>
      </w:r>
    </w:p>
    <w:p>
      <w:pPr>
        <w:pStyle w:val="20"/>
        <w:tabs>
          <w:tab w:val="right" w:leader="dot" w:pos="8305"/>
        </w:tabs>
        <w:rPr>
          <w:highlight w:val="none"/>
        </w:rPr>
      </w:pPr>
      <w:r>
        <w:rPr>
          <w:rFonts w:ascii="宋体" w:hAnsi="宋体" w:cs="宋体"/>
          <w:color w:val="auto"/>
          <w:highlight w:val="none"/>
        </w:rPr>
        <w:fldChar w:fldCharType="begin"/>
      </w:r>
      <w:r>
        <w:rPr>
          <w:rFonts w:ascii="宋体" w:hAnsi="宋体" w:cs="宋体"/>
          <w:highlight w:val="none"/>
        </w:rPr>
        <w:instrText xml:space="preserve"> HYPERLINK \l _Toc24610 </w:instrText>
      </w:r>
      <w:r>
        <w:rPr>
          <w:rFonts w:ascii="宋体" w:hAnsi="宋体" w:cs="宋体"/>
          <w:highlight w:val="none"/>
        </w:rPr>
        <w:fldChar w:fldCharType="separate"/>
      </w:r>
      <w:r>
        <w:rPr>
          <w:rFonts w:hint="eastAsia"/>
          <w:highlight w:val="none"/>
        </w:rPr>
        <w:t>十一、其他资料</w:t>
      </w:r>
      <w:r>
        <w:rPr>
          <w:highlight w:val="none"/>
        </w:rPr>
        <w:tab/>
      </w:r>
      <w:r>
        <w:rPr>
          <w:highlight w:val="none"/>
        </w:rPr>
        <w:fldChar w:fldCharType="begin"/>
      </w:r>
      <w:r>
        <w:rPr>
          <w:highlight w:val="none"/>
        </w:rPr>
        <w:instrText xml:space="preserve"> PAGEREF _Toc24610 \h </w:instrText>
      </w:r>
      <w:r>
        <w:rPr>
          <w:highlight w:val="none"/>
        </w:rPr>
        <w:fldChar w:fldCharType="separate"/>
      </w:r>
      <w:r>
        <w:rPr>
          <w:highlight w:val="none"/>
        </w:rPr>
        <w:t>93</w:t>
      </w:r>
      <w:r>
        <w:rPr>
          <w:highlight w:val="none"/>
        </w:rPr>
        <w:fldChar w:fldCharType="end"/>
      </w:r>
      <w:r>
        <w:rPr>
          <w:rFonts w:ascii="宋体" w:hAnsi="宋体" w:cs="宋体"/>
          <w:color w:val="auto"/>
          <w:highlight w:val="none"/>
        </w:rPr>
        <w:fldChar w:fldCharType="end"/>
      </w:r>
    </w:p>
    <w:p>
      <w:pPr>
        <w:pStyle w:val="2"/>
        <w:rPr>
          <w:rFonts w:ascii="宋体" w:cs="宋体"/>
          <w:color w:val="auto"/>
          <w:szCs w:val="32"/>
          <w:highlight w:val="none"/>
        </w:rPr>
        <w:sectPr>
          <w:headerReference r:id="rId5" w:type="default"/>
          <w:footerReference r:id="rId6" w:type="default"/>
          <w:pgSz w:w="11911" w:h="16838"/>
          <w:pgMar w:top="1440" w:right="1803" w:bottom="1440" w:left="1803" w:header="884" w:footer="737" w:gutter="0"/>
          <w:pgBorders>
            <w:top w:val="none" w:sz="0" w:space="0"/>
            <w:left w:val="none" w:sz="0" w:space="0"/>
            <w:bottom w:val="none" w:sz="0" w:space="0"/>
            <w:right w:val="none" w:sz="0" w:space="0"/>
          </w:pgBorders>
          <w:pgNumType w:fmt="decimal" w:start="1"/>
          <w:cols w:space="0" w:num="1"/>
          <w:rtlGutter w:val="0"/>
          <w:docGrid w:linePitch="315" w:charSpace="0"/>
        </w:sectPr>
      </w:pPr>
      <w:r>
        <w:rPr>
          <w:rFonts w:ascii="宋体" w:hAnsi="宋体" w:cs="宋体"/>
          <w:color w:val="auto"/>
          <w:highlight w:val="none"/>
        </w:rPr>
        <w:fldChar w:fldCharType="end"/>
      </w:r>
      <w:bookmarkStart w:id="1" w:name="_Toc40112127"/>
    </w:p>
    <w:p>
      <w:pPr>
        <w:pStyle w:val="2"/>
        <w:rPr>
          <w:rStyle w:val="26"/>
          <w:rFonts w:ascii="宋体" w:cs="宋体"/>
          <w:b/>
          <w:color w:val="auto"/>
          <w:highlight w:val="none"/>
        </w:rPr>
      </w:pPr>
      <w:bookmarkStart w:id="2" w:name="_Toc2020"/>
      <w:r>
        <w:rPr>
          <w:rStyle w:val="26"/>
          <w:rFonts w:hint="eastAsia" w:ascii="宋体" w:hAnsi="宋体" w:cs="宋体"/>
          <w:b/>
          <w:color w:val="auto"/>
          <w:highlight w:val="none"/>
        </w:rPr>
        <w:t>第一章</w:t>
      </w:r>
      <w:r>
        <w:rPr>
          <w:rStyle w:val="26"/>
          <w:rFonts w:ascii="宋体" w:hAnsi="宋体" w:cs="宋体"/>
          <w:b/>
          <w:color w:val="auto"/>
          <w:highlight w:val="none"/>
        </w:rPr>
        <w:t xml:space="preserve"> </w:t>
      </w:r>
      <w:r>
        <w:rPr>
          <w:rStyle w:val="26"/>
          <w:rFonts w:hint="eastAsia" w:ascii="宋体" w:hAnsi="宋体" w:cs="宋体"/>
          <w:b/>
          <w:color w:val="auto"/>
          <w:highlight w:val="none"/>
        </w:rPr>
        <w:t>招标公告</w:t>
      </w:r>
      <w:bookmarkEnd w:id="1"/>
      <w:bookmarkEnd w:id="2"/>
    </w:p>
    <w:p>
      <w:pPr>
        <w:spacing w:line="360" w:lineRule="auto"/>
        <w:jc w:val="center"/>
        <w:rPr>
          <w:rFonts w:ascii="Calibri" w:hAnsi="Calibri"/>
          <w:b/>
          <w:bCs/>
          <w:color w:val="auto"/>
          <w:sz w:val="28"/>
          <w:szCs w:val="36"/>
          <w:highlight w:val="none"/>
        </w:rPr>
      </w:pPr>
      <w:r>
        <w:rPr>
          <w:rFonts w:hint="eastAsia" w:ascii="Calibri" w:hAnsi="Calibri"/>
          <w:b/>
          <w:bCs/>
          <w:color w:val="auto"/>
          <w:sz w:val="28"/>
          <w:szCs w:val="36"/>
          <w:highlight w:val="none"/>
          <w:lang w:val="en-US" w:eastAsia="zh-CN"/>
        </w:rPr>
        <w:t>平顶山市消防救援支队河南省消防救援总队“自然灾害应急能力提升工程”平顶山支队装备建设项目-</w:t>
      </w:r>
      <w:r>
        <w:rPr>
          <w:rFonts w:hint="eastAsia" w:ascii="Calibri" w:hAnsi="Calibri"/>
          <w:b/>
          <w:bCs/>
          <w:color w:val="auto"/>
          <w:sz w:val="28"/>
          <w:szCs w:val="36"/>
          <w:highlight w:val="none"/>
        </w:rPr>
        <w:t>公开招标公告</w:t>
      </w:r>
    </w:p>
    <w:p>
      <w:pPr>
        <w:widowControl/>
        <w:adjustRightInd w:val="0"/>
        <w:snapToGrid w:val="0"/>
        <w:spacing w:line="360" w:lineRule="auto"/>
        <w:jc w:val="left"/>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项目概况</w:t>
      </w:r>
    </w:p>
    <w:p>
      <w:pPr>
        <w:widowControl/>
        <w:adjustRightInd w:val="0"/>
        <w:snapToGrid w:val="0"/>
        <w:spacing w:line="360" w:lineRule="auto"/>
        <w:ind w:firstLine="480" w:firstLineChars="200"/>
        <w:jc w:val="left"/>
        <w:rPr>
          <w:rFonts w:hint="eastAsia" w:ascii="宋体" w:hAnsi="宋体" w:cs="宋体"/>
          <w:b w:val="0"/>
          <w:bCs w:val="0"/>
          <w:color w:val="auto"/>
          <w:sz w:val="24"/>
          <w:highlight w:val="none"/>
        </w:rPr>
      </w:pPr>
      <w:r>
        <w:rPr>
          <w:rFonts w:hint="eastAsia" w:ascii="宋体" w:hAnsi="宋体" w:cs="宋体"/>
          <w:b w:val="0"/>
          <w:bCs w:val="0"/>
          <w:color w:val="auto"/>
          <w:sz w:val="24"/>
          <w:highlight w:val="none"/>
          <w:lang w:eastAsia="zh-CN"/>
        </w:rPr>
        <w:t>平顶山市消防救援支队河南省消防救援总队“自然灾害应急能力提升工程”平顶山支队装备建设项目</w:t>
      </w:r>
      <w:r>
        <w:rPr>
          <w:rFonts w:hint="eastAsia" w:ascii="宋体" w:hAnsi="宋体" w:cs="宋体"/>
          <w:b w:val="0"/>
          <w:bCs w:val="0"/>
          <w:color w:val="auto"/>
          <w:sz w:val="24"/>
          <w:highlight w:val="none"/>
        </w:rPr>
        <w:t>招标项目的潜在投标人应在</w:t>
      </w:r>
      <w:r>
        <w:rPr>
          <w:rFonts w:hint="eastAsia" w:ascii="宋体" w:hAnsi="宋体" w:eastAsia="宋体" w:cs="宋体"/>
          <w:b w:val="0"/>
          <w:bCs w:val="0"/>
          <w:color w:val="auto"/>
          <w:sz w:val="24"/>
          <w:szCs w:val="24"/>
          <w:highlight w:val="none"/>
        </w:rPr>
        <w:t>《全国公共资源交易平台（河南省·平顶山市）》（网址：http://ggzy.pds.gov.cn/)</w:t>
      </w:r>
      <w:r>
        <w:rPr>
          <w:rFonts w:hint="eastAsia" w:ascii="宋体" w:hAnsi="宋体" w:cs="宋体"/>
          <w:b w:val="0"/>
          <w:bCs w:val="0"/>
          <w:color w:val="auto"/>
          <w:sz w:val="24"/>
          <w:highlight w:val="none"/>
        </w:rPr>
        <w:t>获取招标文件，并于202</w:t>
      </w:r>
      <w:r>
        <w:rPr>
          <w:rFonts w:hint="eastAsia" w:ascii="宋体" w:hAnsi="宋体" w:cs="宋体"/>
          <w:b w:val="0"/>
          <w:bCs w:val="0"/>
          <w:color w:val="auto"/>
          <w:sz w:val="24"/>
          <w:highlight w:val="none"/>
          <w:lang w:val="en-US" w:eastAsia="zh-CN"/>
        </w:rPr>
        <w:t>4</w:t>
      </w:r>
      <w:r>
        <w:rPr>
          <w:rFonts w:hint="eastAsia" w:ascii="宋体" w:hAnsi="宋体" w:cs="宋体"/>
          <w:b w:val="0"/>
          <w:bCs w:val="0"/>
          <w:color w:val="auto"/>
          <w:sz w:val="24"/>
          <w:highlight w:val="none"/>
        </w:rPr>
        <w:t>年</w:t>
      </w:r>
      <w:r>
        <w:rPr>
          <w:rFonts w:hint="eastAsia" w:ascii="宋体" w:hAnsi="宋体" w:cs="宋体"/>
          <w:b w:val="0"/>
          <w:bCs w:val="0"/>
          <w:color w:val="auto"/>
          <w:sz w:val="24"/>
          <w:highlight w:val="none"/>
          <w:lang w:val="en-US" w:eastAsia="zh-CN"/>
        </w:rPr>
        <w:t>6</w:t>
      </w:r>
      <w:r>
        <w:rPr>
          <w:rFonts w:hint="eastAsia" w:ascii="宋体" w:hAnsi="宋体" w:cs="宋体"/>
          <w:b w:val="0"/>
          <w:bCs w:val="0"/>
          <w:color w:val="auto"/>
          <w:sz w:val="24"/>
          <w:highlight w:val="none"/>
        </w:rPr>
        <w:t>月</w:t>
      </w:r>
      <w:r>
        <w:rPr>
          <w:rFonts w:hint="eastAsia" w:ascii="宋体" w:hAnsi="宋体" w:cs="宋体"/>
          <w:b w:val="0"/>
          <w:bCs w:val="0"/>
          <w:color w:val="auto"/>
          <w:sz w:val="24"/>
          <w:highlight w:val="none"/>
          <w:lang w:val="en-US" w:eastAsia="zh-CN"/>
        </w:rPr>
        <w:t>21</w:t>
      </w:r>
      <w:r>
        <w:rPr>
          <w:rFonts w:hint="eastAsia" w:ascii="宋体" w:hAnsi="宋体" w:cs="宋体"/>
          <w:b w:val="0"/>
          <w:bCs w:val="0"/>
          <w:color w:val="auto"/>
          <w:sz w:val="24"/>
          <w:highlight w:val="none"/>
        </w:rPr>
        <w:t>日09时00分（北京时间）前递交投标文件。</w:t>
      </w:r>
    </w:p>
    <w:p>
      <w:pPr>
        <w:widowControl/>
        <w:adjustRightInd w:val="0"/>
        <w:snapToGrid w:val="0"/>
        <w:spacing w:line="360" w:lineRule="auto"/>
        <w:jc w:val="left"/>
        <w:rPr>
          <w:rFonts w:ascii="宋体" w:cs="宋体"/>
          <w:b w:val="0"/>
          <w:bCs w:val="0"/>
          <w:color w:val="auto"/>
          <w:sz w:val="24"/>
          <w:highlight w:val="none"/>
        </w:rPr>
      </w:pPr>
      <w:r>
        <w:rPr>
          <w:rFonts w:hint="eastAsia" w:ascii="宋体" w:hAnsi="宋体" w:cs="宋体"/>
          <w:b w:val="0"/>
          <w:bCs w:val="0"/>
          <w:color w:val="auto"/>
          <w:sz w:val="24"/>
          <w:highlight w:val="none"/>
        </w:rPr>
        <w:t>一、项目基本情况</w:t>
      </w:r>
    </w:p>
    <w:p>
      <w:pPr>
        <w:widowControl/>
        <w:adjustRightInd w:val="0"/>
        <w:snapToGrid w:val="0"/>
        <w:spacing w:line="360" w:lineRule="auto"/>
        <w:ind w:firstLine="480" w:firstLineChars="200"/>
        <w:jc w:val="left"/>
        <w:rPr>
          <w:rFonts w:hint="eastAsia" w:ascii="宋体" w:cs="宋体"/>
          <w:b w:val="0"/>
          <w:bCs w:val="0"/>
          <w:color w:val="auto"/>
          <w:sz w:val="24"/>
          <w:highlight w:val="none"/>
          <w:lang w:val="en-US" w:eastAsia="zh-CN"/>
        </w:rPr>
      </w:pPr>
      <w:r>
        <w:rPr>
          <w:rFonts w:ascii="宋体" w:hAnsi="宋体" w:cs="宋体"/>
          <w:b w:val="0"/>
          <w:bCs w:val="0"/>
          <w:color w:val="auto"/>
          <w:sz w:val="24"/>
          <w:highlight w:val="none"/>
        </w:rPr>
        <w:t>1</w:t>
      </w:r>
      <w:r>
        <w:rPr>
          <w:rFonts w:hint="eastAsia" w:ascii="宋体" w:hAnsi="宋体" w:cs="宋体"/>
          <w:b w:val="0"/>
          <w:bCs w:val="0"/>
          <w:color w:val="auto"/>
          <w:sz w:val="24"/>
          <w:highlight w:val="none"/>
        </w:rPr>
        <w:t>、项目编号：平采招标-2024-35</w:t>
      </w:r>
    </w:p>
    <w:p>
      <w:pPr>
        <w:adjustRightInd w:val="0"/>
        <w:snapToGrid w:val="0"/>
        <w:spacing w:line="360" w:lineRule="auto"/>
        <w:ind w:firstLine="480" w:firstLineChars="200"/>
        <w:jc w:val="left"/>
        <w:rPr>
          <w:rFonts w:hint="eastAsia" w:ascii="宋体" w:hAnsi="宋体" w:cs="宋体"/>
          <w:b w:val="0"/>
          <w:bCs w:val="0"/>
          <w:color w:val="auto"/>
          <w:sz w:val="24"/>
          <w:highlight w:val="none"/>
          <w:lang w:eastAsia="zh-CN"/>
        </w:rPr>
      </w:pPr>
      <w:r>
        <w:rPr>
          <w:rFonts w:ascii="宋体" w:hAnsi="宋体" w:cs="宋体"/>
          <w:b w:val="0"/>
          <w:bCs w:val="0"/>
          <w:color w:val="auto"/>
          <w:sz w:val="24"/>
          <w:highlight w:val="none"/>
        </w:rPr>
        <w:t>2</w:t>
      </w:r>
      <w:r>
        <w:rPr>
          <w:rFonts w:hint="eastAsia" w:ascii="宋体" w:hAnsi="宋体" w:cs="宋体"/>
          <w:b w:val="0"/>
          <w:bCs w:val="0"/>
          <w:color w:val="auto"/>
          <w:sz w:val="24"/>
          <w:highlight w:val="none"/>
        </w:rPr>
        <w:t>、项目名称：</w:t>
      </w:r>
      <w:r>
        <w:rPr>
          <w:rFonts w:hint="eastAsia" w:ascii="宋体" w:hAnsi="宋体" w:cs="宋体"/>
          <w:b w:val="0"/>
          <w:bCs w:val="0"/>
          <w:color w:val="auto"/>
          <w:sz w:val="24"/>
          <w:highlight w:val="none"/>
          <w:lang w:eastAsia="zh-CN"/>
        </w:rPr>
        <w:t>平顶山市消防救援支队河南省消防救援总队“自然灾害应急能力提升工程”平顶山支队装备建设项目</w:t>
      </w:r>
    </w:p>
    <w:p>
      <w:pPr>
        <w:adjustRightInd w:val="0"/>
        <w:snapToGrid w:val="0"/>
        <w:spacing w:line="360" w:lineRule="auto"/>
        <w:ind w:firstLine="480" w:firstLineChars="200"/>
        <w:jc w:val="left"/>
        <w:rPr>
          <w:rFonts w:ascii="宋体" w:cs="宋体"/>
          <w:b w:val="0"/>
          <w:bCs w:val="0"/>
          <w:color w:val="auto"/>
          <w:sz w:val="24"/>
          <w:highlight w:val="none"/>
        </w:rPr>
      </w:pPr>
      <w:r>
        <w:rPr>
          <w:rFonts w:ascii="宋体" w:hAnsi="宋体" w:cs="宋体"/>
          <w:b w:val="0"/>
          <w:bCs w:val="0"/>
          <w:color w:val="auto"/>
          <w:sz w:val="24"/>
          <w:highlight w:val="none"/>
        </w:rPr>
        <w:t>3</w:t>
      </w:r>
      <w:r>
        <w:rPr>
          <w:rFonts w:hint="eastAsia" w:ascii="宋体" w:hAnsi="宋体" w:cs="宋体"/>
          <w:b w:val="0"/>
          <w:bCs w:val="0"/>
          <w:color w:val="auto"/>
          <w:sz w:val="24"/>
          <w:highlight w:val="none"/>
        </w:rPr>
        <w:t>、采购方式：公开招标</w:t>
      </w:r>
    </w:p>
    <w:p>
      <w:pPr>
        <w:adjustRightInd w:val="0"/>
        <w:snapToGrid w:val="0"/>
        <w:spacing w:line="360" w:lineRule="auto"/>
        <w:ind w:firstLine="480" w:firstLineChars="200"/>
        <w:jc w:val="left"/>
        <w:rPr>
          <w:rFonts w:hint="eastAsia" w:ascii="宋体" w:hAnsi="宋体" w:cs="宋体"/>
          <w:b w:val="0"/>
          <w:bCs w:val="0"/>
          <w:color w:val="auto"/>
          <w:sz w:val="24"/>
          <w:highlight w:val="none"/>
        </w:rPr>
      </w:pPr>
      <w:r>
        <w:rPr>
          <w:rFonts w:ascii="宋体" w:hAnsi="宋体" w:cs="宋体"/>
          <w:b w:val="0"/>
          <w:bCs w:val="0"/>
          <w:color w:val="auto"/>
          <w:sz w:val="24"/>
          <w:highlight w:val="none"/>
        </w:rPr>
        <w:t>4</w:t>
      </w:r>
      <w:r>
        <w:rPr>
          <w:rFonts w:hint="eastAsia" w:ascii="宋体" w:hAnsi="宋体" w:cs="宋体"/>
          <w:b w:val="0"/>
          <w:bCs w:val="0"/>
          <w:color w:val="auto"/>
          <w:sz w:val="24"/>
          <w:highlight w:val="none"/>
        </w:rPr>
        <w:t>、预算金额：</w:t>
      </w:r>
      <w:r>
        <w:rPr>
          <w:rFonts w:hint="eastAsia" w:ascii="宋体" w:hAnsi="宋体" w:cs="宋体"/>
          <w:b w:val="0"/>
          <w:bCs w:val="0"/>
          <w:color w:val="auto"/>
          <w:sz w:val="24"/>
          <w:highlight w:val="none"/>
          <w:lang w:val="en-US" w:eastAsia="zh-CN"/>
        </w:rPr>
        <w:t>11782830.00</w:t>
      </w:r>
      <w:r>
        <w:rPr>
          <w:rFonts w:hint="eastAsia" w:ascii="宋体" w:hAnsi="宋体" w:cs="宋体"/>
          <w:b w:val="0"/>
          <w:bCs w:val="0"/>
          <w:color w:val="auto"/>
          <w:sz w:val="24"/>
          <w:highlight w:val="none"/>
        </w:rPr>
        <w:t>元</w:t>
      </w:r>
    </w:p>
    <w:p>
      <w:pPr>
        <w:adjustRightInd w:val="0"/>
        <w:snapToGrid w:val="0"/>
        <w:spacing w:line="360" w:lineRule="auto"/>
        <w:ind w:left="0" w:leftChars="0" w:firstLine="840" w:firstLineChars="350"/>
        <w:jc w:val="left"/>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最高限价：</w:t>
      </w:r>
      <w:r>
        <w:rPr>
          <w:rFonts w:hint="eastAsia" w:ascii="宋体" w:hAnsi="宋体" w:cs="宋体"/>
          <w:b w:val="0"/>
          <w:bCs w:val="0"/>
          <w:color w:val="auto"/>
          <w:sz w:val="24"/>
          <w:highlight w:val="none"/>
          <w:lang w:val="en-US" w:eastAsia="zh-CN"/>
        </w:rPr>
        <w:t>11782830.00</w:t>
      </w:r>
      <w:r>
        <w:rPr>
          <w:rFonts w:hint="eastAsia" w:ascii="宋体" w:hAnsi="宋体" w:cs="宋体"/>
          <w:b w:val="0"/>
          <w:bCs w:val="0"/>
          <w:color w:val="auto"/>
          <w:sz w:val="24"/>
          <w:highlight w:val="none"/>
        </w:rPr>
        <w:t>元</w:t>
      </w:r>
    </w:p>
    <w:tbl>
      <w:tblPr>
        <w:tblStyle w:val="24"/>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892"/>
        <w:gridCol w:w="1119"/>
        <w:gridCol w:w="1128"/>
        <w:gridCol w:w="1216"/>
        <w:gridCol w:w="1019"/>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701"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eastAsia="宋体" w:cs="宋体"/>
                <w:i w:val="0"/>
                <w:iCs w:val="0"/>
                <w:color w:val="auto"/>
                <w:kern w:val="0"/>
                <w:sz w:val="24"/>
                <w:szCs w:val="24"/>
                <w:highlight w:val="none"/>
                <w:u w:val="none"/>
                <w:lang w:val="en-US" w:eastAsia="zh-CN" w:bidi="ar"/>
              </w:rPr>
              <w:t>序号</w:t>
            </w:r>
          </w:p>
        </w:tc>
        <w:tc>
          <w:tcPr>
            <w:tcW w:w="1892"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eastAsia="宋体" w:cs="宋体"/>
                <w:i w:val="0"/>
                <w:iCs w:val="0"/>
                <w:color w:val="auto"/>
                <w:kern w:val="0"/>
                <w:sz w:val="24"/>
                <w:szCs w:val="24"/>
                <w:highlight w:val="none"/>
                <w:u w:val="none"/>
                <w:lang w:val="en-US" w:eastAsia="zh-CN" w:bidi="ar"/>
              </w:rPr>
              <w:t>包号</w:t>
            </w:r>
          </w:p>
        </w:tc>
        <w:tc>
          <w:tcPr>
            <w:tcW w:w="1119"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eastAsia="宋体" w:cs="宋体"/>
                <w:i w:val="0"/>
                <w:iCs w:val="0"/>
                <w:color w:val="auto"/>
                <w:kern w:val="0"/>
                <w:sz w:val="24"/>
                <w:szCs w:val="24"/>
                <w:highlight w:val="none"/>
                <w:u w:val="none"/>
                <w:lang w:val="en-US" w:eastAsia="zh-CN" w:bidi="ar"/>
              </w:rPr>
              <w:t>包名称</w:t>
            </w:r>
          </w:p>
        </w:tc>
        <w:tc>
          <w:tcPr>
            <w:tcW w:w="1128"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eastAsia="宋体" w:cs="宋体"/>
                <w:i w:val="0"/>
                <w:iCs w:val="0"/>
                <w:color w:val="auto"/>
                <w:kern w:val="0"/>
                <w:sz w:val="24"/>
                <w:szCs w:val="24"/>
                <w:highlight w:val="none"/>
                <w:u w:val="none"/>
                <w:lang w:val="en-US" w:eastAsia="zh-CN" w:bidi="ar"/>
              </w:rPr>
              <w:t>包预算（元）</w:t>
            </w:r>
          </w:p>
        </w:tc>
        <w:tc>
          <w:tcPr>
            <w:tcW w:w="1216"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eastAsia="宋体" w:cs="宋体"/>
                <w:i w:val="0"/>
                <w:iCs w:val="0"/>
                <w:color w:val="auto"/>
                <w:kern w:val="0"/>
                <w:sz w:val="24"/>
                <w:szCs w:val="24"/>
                <w:highlight w:val="none"/>
                <w:u w:val="none"/>
                <w:lang w:val="en-US" w:eastAsia="zh-CN" w:bidi="ar"/>
              </w:rPr>
              <w:t>包最高限价（元）</w:t>
            </w:r>
          </w:p>
        </w:tc>
        <w:tc>
          <w:tcPr>
            <w:tcW w:w="1019"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eastAsia="宋体" w:cs="宋体"/>
                <w:i w:val="0"/>
                <w:iCs w:val="0"/>
                <w:color w:val="auto"/>
                <w:kern w:val="0"/>
                <w:sz w:val="24"/>
                <w:szCs w:val="24"/>
                <w:highlight w:val="none"/>
                <w:u w:val="none"/>
                <w:lang w:val="en-US" w:eastAsia="zh-CN" w:bidi="ar"/>
              </w:rPr>
              <w:t>是否专门面向中小企业</w:t>
            </w:r>
          </w:p>
        </w:tc>
        <w:tc>
          <w:tcPr>
            <w:tcW w:w="1683"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eastAsia="宋体" w:cs="宋体"/>
                <w:i w:val="0"/>
                <w:iCs w:val="0"/>
                <w:color w:val="auto"/>
                <w:kern w:val="0"/>
                <w:sz w:val="24"/>
                <w:szCs w:val="24"/>
                <w:highlight w:val="none"/>
                <w:u w:val="none"/>
                <w:lang w:val="en-US" w:eastAsia="zh-CN" w:bidi="ar"/>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vAlign w:val="center"/>
          </w:tcPr>
          <w:p>
            <w:pPr>
              <w:adjustRightInd w:val="0"/>
              <w:snapToGrid w:val="0"/>
              <w:spacing w:line="240" w:lineRule="auto"/>
              <w:jc w:val="center"/>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w:t>
            </w:r>
          </w:p>
        </w:tc>
        <w:tc>
          <w:tcPr>
            <w:tcW w:w="1892"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eastAsia="宋体" w:cs="宋体"/>
                <w:i w:val="0"/>
                <w:iCs w:val="0"/>
                <w:color w:val="auto"/>
                <w:kern w:val="0"/>
                <w:sz w:val="24"/>
                <w:szCs w:val="24"/>
                <w:highlight w:val="none"/>
                <w:u w:val="none"/>
                <w:lang w:val="en-US" w:eastAsia="zh-CN" w:bidi="ar"/>
              </w:rPr>
              <w:t>平公资采2024409号-1</w:t>
            </w:r>
          </w:p>
        </w:tc>
        <w:tc>
          <w:tcPr>
            <w:tcW w:w="1119"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rPr>
            </w:pPr>
            <w:r>
              <w:rPr>
                <w:rFonts w:hint="eastAsia" w:ascii="宋体" w:hAnsi="宋体" w:cs="宋体"/>
                <w:i w:val="0"/>
                <w:iCs w:val="0"/>
                <w:color w:val="auto"/>
                <w:kern w:val="0"/>
                <w:sz w:val="24"/>
                <w:szCs w:val="24"/>
                <w:highlight w:val="none"/>
                <w:u w:val="none"/>
                <w:lang w:val="en-US" w:eastAsia="zh-CN" w:bidi="ar"/>
              </w:rPr>
              <w:t>包1</w:t>
            </w:r>
          </w:p>
        </w:tc>
        <w:tc>
          <w:tcPr>
            <w:tcW w:w="1128" w:type="dxa"/>
            <w:vAlign w:val="center"/>
          </w:tcPr>
          <w:p>
            <w:pPr>
              <w:adjustRightInd w:val="0"/>
              <w:snapToGrid w:val="0"/>
              <w:spacing w:line="240" w:lineRule="auto"/>
              <w:jc w:val="center"/>
              <w:rPr>
                <w:rFonts w:hint="default"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1395000</w:t>
            </w:r>
          </w:p>
        </w:tc>
        <w:tc>
          <w:tcPr>
            <w:tcW w:w="1216" w:type="dxa"/>
            <w:vAlign w:val="center"/>
          </w:tcPr>
          <w:p>
            <w:pPr>
              <w:adjustRightInd w:val="0"/>
              <w:snapToGrid w:val="0"/>
              <w:spacing w:line="240" w:lineRule="auto"/>
              <w:jc w:val="center"/>
              <w:rPr>
                <w:rFonts w:hint="default"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1395000</w:t>
            </w:r>
          </w:p>
        </w:tc>
        <w:tc>
          <w:tcPr>
            <w:tcW w:w="1019"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cs="宋体"/>
                <w:i w:val="0"/>
                <w:iCs w:val="0"/>
                <w:color w:val="auto"/>
                <w:kern w:val="0"/>
                <w:sz w:val="24"/>
                <w:szCs w:val="24"/>
                <w:highlight w:val="none"/>
                <w:u w:val="none"/>
                <w:lang w:val="en-US" w:eastAsia="zh-CN" w:bidi="ar"/>
              </w:rPr>
              <w:t>否</w:t>
            </w:r>
          </w:p>
        </w:tc>
        <w:tc>
          <w:tcPr>
            <w:tcW w:w="1683"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cs="宋体"/>
                <w:i w:val="0"/>
                <w:iCs w:val="0"/>
                <w:color w:val="auto"/>
                <w:kern w:val="0"/>
                <w:sz w:val="24"/>
                <w:szCs w:val="24"/>
                <w:highlight w:val="none"/>
                <w:u w:val="none"/>
                <w:lang w:val="en-US" w:eastAsia="zh-CN" w:bidi="ar"/>
              </w:rPr>
              <w:t>0</w:t>
            </w:r>
            <w:r>
              <w:rPr>
                <w:rFonts w:hint="eastAsia" w:ascii="宋体" w:hAnsi="宋体" w:eastAsia="宋体" w:cs="宋体"/>
                <w:i w:val="0"/>
                <w:iCs w:val="0"/>
                <w:color w:val="auto"/>
                <w:kern w:val="0"/>
                <w:sz w:val="24"/>
                <w:szCs w:val="24"/>
                <w:highlight w:val="none"/>
                <w:u w:val="none"/>
                <w:lang w:val="en-US" w:eastAsia="zh-CN" w:bidi="ar"/>
              </w:rPr>
              <w:t>，其中小微企业采购金额：</w:t>
            </w:r>
            <w:r>
              <w:rPr>
                <w:rFonts w:hint="eastAsia" w:ascii="宋体" w:hAnsi="宋体" w:cs="宋体"/>
                <w:i w:val="0"/>
                <w:iCs w:val="0"/>
                <w:color w:val="auto"/>
                <w:kern w:val="0"/>
                <w:sz w:val="24"/>
                <w:szCs w:val="24"/>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vAlign w:val="center"/>
          </w:tcPr>
          <w:p>
            <w:pPr>
              <w:adjustRightInd w:val="0"/>
              <w:snapToGrid w:val="0"/>
              <w:spacing w:line="240" w:lineRule="auto"/>
              <w:jc w:val="center"/>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2</w:t>
            </w:r>
          </w:p>
        </w:tc>
        <w:tc>
          <w:tcPr>
            <w:tcW w:w="1892"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2</w:t>
            </w:r>
          </w:p>
        </w:tc>
        <w:tc>
          <w:tcPr>
            <w:tcW w:w="1119"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rPr>
            </w:pPr>
            <w:r>
              <w:rPr>
                <w:rFonts w:hint="eastAsia" w:ascii="宋体" w:hAnsi="宋体" w:cs="宋体"/>
                <w:i w:val="0"/>
                <w:iCs w:val="0"/>
                <w:color w:val="auto"/>
                <w:kern w:val="0"/>
                <w:sz w:val="24"/>
                <w:szCs w:val="24"/>
                <w:highlight w:val="none"/>
                <w:u w:val="none"/>
                <w:lang w:val="en-US" w:eastAsia="zh-CN" w:bidi="ar"/>
              </w:rPr>
              <w:t>包2</w:t>
            </w:r>
          </w:p>
        </w:tc>
        <w:tc>
          <w:tcPr>
            <w:tcW w:w="1128" w:type="dxa"/>
            <w:vAlign w:val="center"/>
          </w:tcPr>
          <w:p>
            <w:pPr>
              <w:adjustRightInd w:val="0"/>
              <w:snapToGrid w:val="0"/>
              <w:spacing w:line="240" w:lineRule="auto"/>
              <w:jc w:val="center"/>
              <w:rPr>
                <w:rFonts w:hint="default"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1345000</w:t>
            </w:r>
          </w:p>
        </w:tc>
        <w:tc>
          <w:tcPr>
            <w:tcW w:w="1216"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cs="宋体"/>
                <w:b w:val="0"/>
                <w:bCs w:val="0"/>
                <w:color w:val="auto"/>
                <w:sz w:val="24"/>
                <w:szCs w:val="24"/>
                <w:highlight w:val="none"/>
                <w:vertAlign w:val="baseline"/>
                <w:lang w:val="en-US" w:eastAsia="zh-CN"/>
              </w:rPr>
              <w:t>1345000</w:t>
            </w:r>
          </w:p>
        </w:tc>
        <w:tc>
          <w:tcPr>
            <w:tcW w:w="1019"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cs="宋体"/>
                <w:i w:val="0"/>
                <w:iCs w:val="0"/>
                <w:color w:val="auto"/>
                <w:kern w:val="0"/>
                <w:sz w:val="24"/>
                <w:szCs w:val="24"/>
                <w:highlight w:val="none"/>
                <w:u w:val="none"/>
                <w:lang w:val="en-US" w:eastAsia="zh-CN" w:bidi="ar"/>
              </w:rPr>
              <w:t>否</w:t>
            </w:r>
          </w:p>
        </w:tc>
        <w:tc>
          <w:tcPr>
            <w:tcW w:w="1683"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cs="宋体"/>
                <w:i w:val="0"/>
                <w:iCs w:val="0"/>
                <w:color w:val="auto"/>
                <w:kern w:val="0"/>
                <w:sz w:val="24"/>
                <w:szCs w:val="24"/>
                <w:highlight w:val="none"/>
                <w:u w:val="none"/>
                <w:lang w:val="en-US" w:eastAsia="zh-CN" w:bidi="ar"/>
              </w:rPr>
              <w:t>0</w:t>
            </w:r>
            <w:r>
              <w:rPr>
                <w:rFonts w:hint="eastAsia" w:ascii="宋体" w:hAnsi="宋体" w:eastAsia="宋体" w:cs="宋体"/>
                <w:i w:val="0"/>
                <w:iCs w:val="0"/>
                <w:color w:val="auto"/>
                <w:kern w:val="0"/>
                <w:sz w:val="24"/>
                <w:szCs w:val="24"/>
                <w:highlight w:val="none"/>
                <w:u w:val="none"/>
                <w:lang w:val="en-US" w:eastAsia="zh-CN" w:bidi="ar"/>
              </w:rPr>
              <w:t>，其中小微企业采购金额：</w:t>
            </w:r>
            <w:r>
              <w:rPr>
                <w:rFonts w:hint="eastAsia" w:ascii="宋体" w:hAnsi="宋体" w:cs="宋体"/>
                <w:i w:val="0"/>
                <w:iCs w:val="0"/>
                <w:color w:val="auto"/>
                <w:kern w:val="0"/>
                <w:sz w:val="24"/>
                <w:szCs w:val="24"/>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vAlign w:val="center"/>
          </w:tcPr>
          <w:p>
            <w:pPr>
              <w:adjustRightInd w:val="0"/>
              <w:snapToGrid w:val="0"/>
              <w:spacing w:line="240" w:lineRule="auto"/>
              <w:jc w:val="center"/>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3</w:t>
            </w:r>
          </w:p>
        </w:tc>
        <w:tc>
          <w:tcPr>
            <w:tcW w:w="1892"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3</w:t>
            </w:r>
          </w:p>
        </w:tc>
        <w:tc>
          <w:tcPr>
            <w:tcW w:w="1119"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rPr>
            </w:pPr>
            <w:r>
              <w:rPr>
                <w:rFonts w:hint="eastAsia" w:ascii="宋体" w:hAnsi="宋体" w:cs="宋体"/>
                <w:i w:val="0"/>
                <w:iCs w:val="0"/>
                <w:color w:val="auto"/>
                <w:kern w:val="0"/>
                <w:sz w:val="24"/>
                <w:szCs w:val="24"/>
                <w:highlight w:val="none"/>
                <w:u w:val="none"/>
                <w:lang w:val="en-US" w:eastAsia="zh-CN" w:bidi="ar"/>
              </w:rPr>
              <w:t>包3</w:t>
            </w:r>
          </w:p>
        </w:tc>
        <w:tc>
          <w:tcPr>
            <w:tcW w:w="1128" w:type="dxa"/>
            <w:vAlign w:val="center"/>
          </w:tcPr>
          <w:p>
            <w:pPr>
              <w:adjustRightInd w:val="0"/>
              <w:snapToGrid w:val="0"/>
              <w:spacing w:line="240" w:lineRule="auto"/>
              <w:jc w:val="center"/>
              <w:rPr>
                <w:rFonts w:hint="default"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1000000</w:t>
            </w:r>
          </w:p>
        </w:tc>
        <w:tc>
          <w:tcPr>
            <w:tcW w:w="1216"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cs="宋体"/>
                <w:b w:val="0"/>
                <w:bCs w:val="0"/>
                <w:color w:val="auto"/>
                <w:sz w:val="24"/>
                <w:szCs w:val="24"/>
                <w:highlight w:val="none"/>
                <w:vertAlign w:val="baseline"/>
                <w:lang w:val="en-US" w:eastAsia="zh-CN"/>
              </w:rPr>
              <w:t>1000000</w:t>
            </w:r>
          </w:p>
        </w:tc>
        <w:tc>
          <w:tcPr>
            <w:tcW w:w="1019"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cs="宋体"/>
                <w:i w:val="0"/>
                <w:iCs w:val="0"/>
                <w:color w:val="auto"/>
                <w:kern w:val="0"/>
                <w:sz w:val="24"/>
                <w:szCs w:val="24"/>
                <w:highlight w:val="none"/>
                <w:u w:val="none"/>
                <w:lang w:val="en-US" w:eastAsia="zh-CN" w:bidi="ar"/>
              </w:rPr>
              <w:t>否</w:t>
            </w:r>
          </w:p>
        </w:tc>
        <w:tc>
          <w:tcPr>
            <w:tcW w:w="1683"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rPr>
            </w:pPr>
            <w:r>
              <w:rPr>
                <w:rFonts w:hint="eastAsia" w:ascii="宋体" w:hAnsi="宋体" w:cs="宋体"/>
                <w:i w:val="0"/>
                <w:iCs w:val="0"/>
                <w:color w:val="auto"/>
                <w:kern w:val="0"/>
                <w:sz w:val="24"/>
                <w:szCs w:val="24"/>
                <w:highlight w:val="none"/>
                <w:u w:val="none"/>
                <w:lang w:val="en-US" w:eastAsia="zh-CN" w:bidi="ar"/>
              </w:rPr>
              <w:t>0</w:t>
            </w:r>
            <w:r>
              <w:rPr>
                <w:rFonts w:hint="eastAsia" w:ascii="宋体" w:hAnsi="宋体" w:eastAsia="宋体" w:cs="宋体"/>
                <w:i w:val="0"/>
                <w:iCs w:val="0"/>
                <w:color w:val="auto"/>
                <w:kern w:val="0"/>
                <w:sz w:val="24"/>
                <w:szCs w:val="24"/>
                <w:highlight w:val="none"/>
                <w:u w:val="none"/>
                <w:lang w:val="en-US" w:eastAsia="zh-CN" w:bidi="ar"/>
              </w:rPr>
              <w:t>，其中小微企业采购金额：</w:t>
            </w:r>
            <w:r>
              <w:rPr>
                <w:rFonts w:hint="eastAsia" w:ascii="宋体" w:hAnsi="宋体" w:cs="宋体"/>
                <w:b w:val="0"/>
                <w:bCs w:val="0"/>
                <w:color w:val="auto"/>
                <w:sz w:val="24"/>
                <w:szCs w:val="24"/>
                <w:highlight w:val="none"/>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4</w:t>
            </w:r>
          </w:p>
        </w:tc>
        <w:tc>
          <w:tcPr>
            <w:tcW w:w="1892" w:type="dxa"/>
            <w:vAlign w:val="center"/>
          </w:tcPr>
          <w:p>
            <w:pPr>
              <w:adjustRightInd w:val="0"/>
              <w:snapToGrid w:val="0"/>
              <w:spacing w:line="240" w:lineRule="auto"/>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4</w:t>
            </w:r>
          </w:p>
        </w:tc>
        <w:tc>
          <w:tcPr>
            <w:tcW w:w="1119" w:type="dxa"/>
            <w:vAlign w:val="center"/>
          </w:tcPr>
          <w:p>
            <w:pPr>
              <w:adjustRightInd w:val="0"/>
              <w:snapToGrid w:val="0"/>
              <w:spacing w:line="240" w:lineRule="auto"/>
              <w:jc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包4</w:t>
            </w:r>
          </w:p>
        </w:tc>
        <w:tc>
          <w:tcPr>
            <w:tcW w:w="1128"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1359000</w:t>
            </w:r>
          </w:p>
        </w:tc>
        <w:tc>
          <w:tcPr>
            <w:tcW w:w="1216"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1359000</w:t>
            </w:r>
          </w:p>
        </w:tc>
        <w:tc>
          <w:tcPr>
            <w:tcW w:w="1019" w:type="dxa"/>
            <w:vAlign w:val="center"/>
          </w:tcPr>
          <w:p>
            <w:pPr>
              <w:adjustRightInd w:val="0"/>
              <w:snapToGrid w:val="0"/>
              <w:spacing w:line="240" w:lineRule="auto"/>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否</w:t>
            </w:r>
          </w:p>
        </w:tc>
        <w:tc>
          <w:tcPr>
            <w:tcW w:w="1683"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0</w:t>
            </w:r>
            <w:r>
              <w:rPr>
                <w:rFonts w:hint="eastAsia" w:ascii="宋体" w:hAnsi="宋体" w:eastAsia="宋体" w:cs="宋体"/>
                <w:i w:val="0"/>
                <w:iCs w:val="0"/>
                <w:color w:val="auto"/>
                <w:kern w:val="0"/>
                <w:sz w:val="24"/>
                <w:szCs w:val="24"/>
                <w:highlight w:val="none"/>
                <w:u w:val="none"/>
                <w:lang w:val="en-US" w:eastAsia="zh-CN" w:bidi="ar"/>
              </w:rPr>
              <w:t>，其中小微企业采购金额：</w:t>
            </w:r>
            <w:r>
              <w:rPr>
                <w:rFonts w:hint="eastAsia" w:ascii="宋体" w:hAnsi="宋体" w:cs="宋体"/>
                <w:i w:val="0"/>
                <w:iCs w:val="0"/>
                <w:color w:val="auto"/>
                <w:kern w:val="0"/>
                <w:sz w:val="24"/>
                <w:szCs w:val="24"/>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5</w:t>
            </w:r>
          </w:p>
        </w:tc>
        <w:tc>
          <w:tcPr>
            <w:tcW w:w="1892" w:type="dxa"/>
            <w:vAlign w:val="center"/>
          </w:tcPr>
          <w:p>
            <w:pPr>
              <w:adjustRightInd w:val="0"/>
              <w:snapToGrid w:val="0"/>
              <w:spacing w:line="240" w:lineRule="auto"/>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5</w:t>
            </w:r>
          </w:p>
        </w:tc>
        <w:tc>
          <w:tcPr>
            <w:tcW w:w="1119" w:type="dxa"/>
            <w:vAlign w:val="center"/>
          </w:tcPr>
          <w:p>
            <w:pPr>
              <w:adjustRightInd w:val="0"/>
              <w:snapToGrid w:val="0"/>
              <w:spacing w:line="240" w:lineRule="auto"/>
              <w:jc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包5</w:t>
            </w:r>
          </w:p>
        </w:tc>
        <w:tc>
          <w:tcPr>
            <w:tcW w:w="1128"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1622340</w:t>
            </w:r>
          </w:p>
        </w:tc>
        <w:tc>
          <w:tcPr>
            <w:tcW w:w="1216"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1622340</w:t>
            </w:r>
          </w:p>
        </w:tc>
        <w:tc>
          <w:tcPr>
            <w:tcW w:w="1019" w:type="dxa"/>
            <w:vAlign w:val="center"/>
          </w:tcPr>
          <w:p>
            <w:pPr>
              <w:adjustRightInd w:val="0"/>
              <w:snapToGrid w:val="0"/>
              <w:spacing w:line="240" w:lineRule="auto"/>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是</w:t>
            </w:r>
          </w:p>
        </w:tc>
        <w:tc>
          <w:tcPr>
            <w:tcW w:w="1683"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1622340</w:t>
            </w:r>
            <w:r>
              <w:rPr>
                <w:rFonts w:hint="eastAsia" w:ascii="宋体" w:hAnsi="宋体" w:eastAsia="宋体" w:cs="宋体"/>
                <w:i w:val="0"/>
                <w:iCs w:val="0"/>
                <w:color w:val="auto"/>
                <w:kern w:val="0"/>
                <w:sz w:val="24"/>
                <w:szCs w:val="24"/>
                <w:highlight w:val="none"/>
                <w:u w:val="none"/>
                <w:lang w:val="en-US" w:eastAsia="zh-CN" w:bidi="ar"/>
              </w:rPr>
              <w:t>，其中小微企业采购金额：</w:t>
            </w:r>
            <w:r>
              <w:rPr>
                <w:rFonts w:hint="eastAsia" w:ascii="宋体" w:hAnsi="宋体" w:cs="宋体"/>
                <w:b w:val="0"/>
                <w:bCs w:val="0"/>
                <w:color w:val="auto"/>
                <w:sz w:val="24"/>
                <w:szCs w:val="24"/>
                <w:highlight w:val="none"/>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6</w:t>
            </w:r>
          </w:p>
        </w:tc>
        <w:tc>
          <w:tcPr>
            <w:tcW w:w="1892" w:type="dxa"/>
            <w:vAlign w:val="center"/>
          </w:tcPr>
          <w:p>
            <w:pPr>
              <w:adjustRightInd w:val="0"/>
              <w:snapToGrid w:val="0"/>
              <w:spacing w:line="240" w:lineRule="auto"/>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6</w:t>
            </w:r>
          </w:p>
        </w:tc>
        <w:tc>
          <w:tcPr>
            <w:tcW w:w="1119" w:type="dxa"/>
            <w:vAlign w:val="center"/>
          </w:tcPr>
          <w:p>
            <w:pPr>
              <w:adjustRightInd w:val="0"/>
              <w:snapToGrid w:val="0"/>
              <w:spacing w:line="240" w:lineRule="auto"/>
              <w:jc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包6</w:t>
            </w:r>
          </w:p>
        </w:tc>
        <w:tc>
          <w:tcPr>
            <w:tcW w:w="1128"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1084160</w:t>
            </w:r>
          </w:p>
        </w:tc>
        <w:tc>
          <w:tcPr>
            <w:tcW w:w="1216"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1084160</w:t>
            </w:r>
          </w:p>
        </w:tc>
        <w:tc>
          <w:tcPr>
            <w:tcW w:w="1019" w:type="dxa"/>
            <w:vAlign w:val="center"/>
          </w:tcPr>
          <w:p>
            <w:pPr>
              <w:adjustRightInd w:val="0"/>
              <w:snapToGrid w:val="0"/>
              <w:spacing w:line="240" w:lineRule="auto"/>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是</w:t>
            </w:r>
          </w:p>
        </w:tc>
        <w:tc>
          <w:tcPr>
            <w:tcW w:w="1683"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1084160</w:t>
            </w:r>
            <w:r>
              <w:rPr>
                <w:rFonts w:hint="eastAsia" w:ascii="宋体" w:hAnsi="宋体" w:eastAsia="宋体" w:cs="宋体"/>
                <w:i w:val="0"/>
                <w:iCs w:val="0"/>
                <w:color w:val="auto"/>
                <w:kern w:val="0"/>
                <w:sz w:val="24"/>
                <w:szCs w:val="24"/>
                <w:highlight w:val="none"/>
                <w:u w:val="none"/>
                <w:lang w:val="en-US" w:eastAsia="zh-CN" w:bidi="ar"/>
              </w:rPr>
              <w:t>，其中小微企业采购金额：</w:t>
            </w:r>
            <w:r>
              <w:rPr>
                <w:rFonts w:hint="eastAsia" w:ascii="宋体" w:hAnsi="宋体" w:cs="宋体"/>
                <w:b w:val="0"/>
                <w:bCs w:val="0"/>
                <w:color w:val="auto"/>
                <w:sz w:val="24"/>
                <w:szCs w:val="24"/>
                <w:highlight w:val="none"/>
                <w:vertAlign w:val="baseline"/>
                <w:lang w:val="en-US" w:eastAsia="zh-CN"/>
              </w:rPr>
              <w:t>1084160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7</w:t>
            </w:r>
          </w:p>
        </w:tc>
        <w:tc>
          <w:tcPr>
            <w:tcW w:w="1892" w:type="dxa"/>
            <w:vAlign w:val="center"/>
          </w:tcPr>
          <w:p>
            <w:pPr>
              <w:adjustRightInd w:val="0"/>
              <w:snapToGrid w:val="0"/>
              <w:spacing w:line="240" w:lineRule="auto"/>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7</w:t>
            </w:r>
          </w:p>
        </w:tc>
        <w:tc>
          <w:tcPr>
            <w:tcW w:w="1119" w:type="dxa"/>
            <w:vAlign w:val="center"/>
          </w:tcPr>
          <w:p>
            <w:pPr>
              <w:adjustRightInd w:val="0"/>
              <w:snapToGrid w:val="0"/>
              <w:spacing w:line="240" w:lineRule="auto"/>
              <w:jc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包7</w:t>
            </w:r>
          </w:p>
        </w:tc>
        <w:tc>
          <w:tcPr>
            <w:tcW w:w="1128"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1031910</w:t>
            </w:r>
          </w:p>
        </w:tc>
        <w:tc>
          <w:tcPr>
            <w:tcW w:w="1216"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1031910</w:t>
            </w:r>
          </w:p>
        </w:tc>
        <w:tc>
          <w:tcPr>
            <w:tcW w:w="1019" w:type="dxa"/>
            <w:vAlign w:val="center"/>
          </w:tcPr>
          <w:p>
            <w:pPr>
              <w:adjustRightInd w:val="0"/>
              <w:snapToGrid w:val="0"/>
              <w:spacing w:line="240" w:lineRule="auto"/>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是</w:t>
            </w:r>
          </w:p>
        </w:tc>
        <w:tc>
          <w:tcPr>
            <w:tcW w:w="1683"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1031910</w:t>
            </w:r>
            <w:r>
              <w:rPr>
                <w:rFonts w:hint="eastAsia" w:ascii="宋体" w:hAnsi="宋体" w:eastAsia="宋体" w:cs="宋体"/>
                <w:i w:val="0"/>
                <w:iCs w:val="0"/>
                <w:color w:val="auto"/>
                <w:kern w:val="0"/>
                <w:sz w:val="24"/>
                <w:szCs w:val="24"/>
                <w:highlight w:val="none"/>
                <w:u w:val="none"/>
                <w:lang w:val="en-US" w:eastAsia="zh-CN" w:bidi="ar"/>
              </w:rPr>
              <w:t>，其中小微企业采购金额：</w:t>
            </w:r>
            <w:r>
              <w:rPr>
                <w:rFonts w:hint="eastAsia" w:ascii="宋体" w:hAnsi="宋体" w:cs="宋体"/>
                <w:b w:val="0"/>
                <w:bCs w:val="0"/>
                <w:color w:val="auto"/>
                <w:sz w:val="24"/>
                <w:szCs w:val="24"/>
                <w:highlight w:val="none"/>
                <w:vertAlign w:val="baseline"/>
                <w:lang w:val="en-US" w:eastAsia="zh-CN"/>
              </w:rPr>
              <w:t>1031910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8</w:t>
            </w:r>
          </w:p>
        </w:tc>
        <w:tc>
          <w:tcPr>
            <w:tcW w:w="1892" w:type="dxa"/>
            <w:vAlign w:val="center"/>
          </w:tcPr>
          <w:p>
            <w:pPr>
              <w:adjustRightInd w:val="0"/>
              <w:snapToGrid w:val="0"/>
              <w:spacing w:line="240" w:lineRule="auto"/>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8</w:t>
            </w:r>
          </w:p>
        </w:tc>
        <w:tc>
          <w:tcPr>
            <w:tcW w:w="1119" w:type="dxa"/>
            <w:vAlign w:val="center"/>
          </w:tcPr>
          <w:p>
            <w:pPr>
              <w:adjustRightInd w:val="0"/>
              <w:snapToGrid w:val="0"/>
              <w:spacing w:line="240" w:lineRule="auto"/>
              <w:jc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包8</w:t>
            </w:r>
          </w:p>
        </w:tc>
        <w:tc>
          <w:tcPr>
            <w:tcW w:w="1128"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1389100</w:t>
            </w:r>
          </w:p>
        </w:tc>
        <w:tc>
          <w:tcPr>
            <w:tcW w:w="1216"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1389100</w:t>
            </w:r>
          </w:p>
        </w:tc>
        <w:tc>
          <w:tcPr>
            <w:tcW w:w="1019" w:type="dxa"/>
            <w:vAlign w:val="center"/>
          </w:tcPr>
          <w:p>
            <w:pPr>
              <w:adjustRightInd w:val="0"/>
              <w:snapToGrid w:val="0"/>
              <w:spacing w:line="240" w:lineRule="auto"/>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是</w:t>
            </w:r>
          </w:p>
        </w:tc>
        <w:tc>
          <w:tcPr>
            <w:tcW w:w="1683"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1389100</w:t>
            </w:r>
            <w:r>
              <w:rPr>
                <w:rFonts w:hint="eastAsia" w:ascii="宋体" w:hAnsi="宋体" w:eastAsia="宋体" w:cs="宋体"/>
                <w:i w:val="0"/>
                <w:iCs w:val="0"/>
                <w:color w:val="auto"/>
                <w:kern w:val="0"/>
                <w:sz w:val="24"/>
                <w:szCs w:val="24"/>
                <w:highlight w:val="none"/>
                <w:u w:val="none"/>
                <w:lang w:val="en-US" w:eastAsia="zh-CN" w:bidi="ar"/>
              </w:rPr>
              <w:t>，其中小微企业采购金额：</w:t>
            </w:r>
            <w:r>
              <w:rPr>
                <w:rFonts w:hint="eastAsia" w:ascii="宋体" w:hAnsi="宋体" w:cs="宋体"/>
                <w:b w:val="0"/>
                <w:bCs w:val="0"/>
                <w:color w:val="auto"/>
                <w:sz w:val="24"/>
                <w:szCs w:val="24"/>
                <w:highlight w:val="none"/>
                <w:vertAlign w:val="baseline"/>
                <w:lang w:val="en-US" w:eastAsia="zh-CN"/>
              </w:rPr>
              <w:t>1389100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9</w:t>
            </w:r>
          </w:p>
        </w:tc>
        <w:tc>
          <w:tcPr>
            <w:tcW w:w="1892" w:type="dxa"/>
            <w:vAlign w:val="center"/>
          </w:tcPr>
          <w:p>
            <w:pPr>
              <w:adjustRightInd w:val="0"/>
              <w:snapToGrid w:val="0"/>
              <w:spacing w:line="240" w:lineRule="auto"/>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9</w:t>
            </w:r>
          </w:p>
        </w:tc>
        <w:tc>
          <w:tcPr>
            <w:tcW w:w="1119" w:type="dxa"/>
            <w:vAlign w:val="center"/>
          </w:tcPr>
          <w:p>
            <w:pPr>
              <w:adjustRightInd w:val="0"/>
              <w:snapToGrid w:val="0"/>
              <w:spacing w:line="240" w:lineRule="auto"/>
              <w:jc w:val="center"/>
              <w:rPr>
                <w:rFonts w:hint="default"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包9</w:t>
            </w:r>
          </w:p>
        </w:tc>
        <w:tc>
          <w:tcPr>
            <w:tcW w:w="1128" w:type="dxa"/>
            <w:vAlign w:val="center"/>
          </w:tcPr>
          <w:p>
            <w:pPr>
              <w:adjustRightInd w:val="0"/>
              <w:snapToGrid w:val="0"/>
              <w:spacing w:line="240" w:lineRule="auto"/>
              <w:jc w:val="center"/>
              <w:rPr>
                <w:rFonts w:hint="default"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1556320</w:t>
            </w:r>
          </w:p>
        </w:tc>
        <w:tc>
          <w:tcPr>
            <w:tcW w:w="1216"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1556320</w:t>
            </w:r>
          </w:p>
        </w:tc>
        <w:tc>
          <w:tcPr>
            <w:tcW w:w="1019" w:type="dxa"/>
            <w:vAlign w:val="center"/>
          </w:tcPr>
          <w:p>
            <w:pPr>
              <w:adjustRightInd w:val="0"/>
              <w:snapToGrid w:val="0"/>
              <w:spacing w:line="240" w:lineRule="auto"/>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是</w:t>
            </w:r>
          </w:p>
        </w:tc>
        <w:tc>
          <w:tcPr>
            <w:tcW w:w="1683" w:type="dxa"/>
            <w:vAlign w:val="center"/>
          </w:tcPr>
          <w:p>
            <w:pPr>
              <w:adjustRightInd w:val="0"/>
              <w:snapToGrid w:val="0"/>
              <w:spacing w:line="240" w:lineRule="auto"/>
              <w:jc w:val="center"/>
              <w:rPr>
                <w:rFonts w:hint="eastAsia" w:ascii="宋体" w:hAnsi="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1556320</w:t>
            </w:r>
            <w:r>
              <w:rPr>
                <w:rFonts w:hint="eastAsia" w:ascii="宋体" w:hAnsi="宋体" w:eastAsia="宋体" w:cs="宋体"/>
                <w:i w:val="0"/>
                <w:iCs w:val="0"/>
                <w:color w:val="auto"/>
                <w:kern w:val="0"/>
                <w:sz w:val="24"/>
                <w:szCs w:val="24"/>
                <w:highlight w:val="none"/>
                <w:u w:val="none"/>
                <w:lang w:val="en-US" w:eastAsia="zh-CN" w:bidi="ar"/>
              </w:rPr>
              <w:t>，其中小微企业采购金额：</w:t>
            </w:r>
            <w:r>
              <w:rPr>
                <w:rFonts w:hint="eastAsia" w:ascii="宋体" w:hAnsi="宋体" w:cs="宋体"/>
                <w:b w:val="0"/>
                <w:bCs w:val="0"/>
                <w:color w:val="auto"/>
                <w:sz w:val="24"/>
                <w:szCs w:val="24"/>
                <w:highlight w:val="none"/>
                <w:vertAlign w:val="baseline"/>
                <w:lang w:val="en-US" w:eastAsia="zh-CN"/>
              </w:rPr>
              <w:t>1556320</w:t>
            </w:r>
          </w:p>
        </w:tc>
      </w:tr>
    </w:tbl>
    <w:p>
      <w:pPr>
        <w:adjustRightInd w:val="0"/>
        <w:snapToGrid w:val="0"/>
        <w:spacing w:line="360" w:lineRule="auto"/>
        <w:ind w:firstLine="480" w:firstLineChars="200"/>
        <w:jc w:val="left"/>
        <w:rPr>
          <w:rFonts w:ascii="宋体" w:cs="宋体"/>
          <w:b w:val="0"/>
          <w:bCs w:val="0"/>
          <w:color w:val="auto"/>
          <w:sz w:val="24"/>
          <w:highlight w:val="none"/>
        </w:rPr>
      </w:pPr>
      <w:r>
        <w:rPr>
          <w:rFonts w:ascii="宋体" w:hAnsi="宋体" w:cs="宋体"/>
          <w:b w:val="0"/>
          <w:bCs w:val="0"/>
          <w:color w:val="auto"/>
          <w:sz w:val="24"/>
          <w:highlight w:val="none"/>
        </w:rPr>
        <w:t>5</w:t>
      </w:r>
      <w:r>
        <w:rPr>
          <w:rFonts w:hint="eastAsia" w:ascii="宋体" w:hAnsi="宋体" w:cs="宋体"/>
          <w:b w:val="0"/>
          <w:bCs w:val="0"/>
          <w:color w:val="auto"/>
          <w:sz w:val="24"/>
          <w:highlight w:val="none"/>
        </w:rPr>
        <w:t>、采购需求：（包括但不限于标的的名称、数量、简要技术需求或服务要求等）</w:t>
      </w:r>
    </w:p>
    <w:p>
      <w:pPr>
        <w:adjustRightInd w:val="0"/>
        <w:snapToGrid w:val="0"/>
        <w:spacing w:line="360" w:lineRule="auto"/>
        <w:ind w:firstLine="480" w:firstLineChars="200"/>
        <w:jc w:val="left"/>
        <w:rPr>
          <w:rFonts w:hint="eastAsia" w:ascii="宋体" w:hAnsi="宋体" w:cs="宋体"/>
          <w:b w:val="0"/>
          <w:bCs w:val="0"/>
          <w:color w:val="auto"/>
          <w:sz w:val="24"/>
          <w:szCs w:val="24"/>
          <w:highlight w:val="none"/>
        </w:rPr>
      </w:pPr>
      <w:r>
        <w:rPr>
          <w:rFonts w:ascii="宋体" w:hAnsi="宋体" w:cs="宋体"/>
          <w:b w:val="0"/>
          <w:bCs w:val="0"/>
          <w:color w:val="auto"/>
          <w:sz w:val="24"/>
          <w:szCs w:val="24"/>
          <w:highlight w:val="none"/>
        </w:rPr>
        <w:t>5.1</w:t>
      </w:r>
      <w:r>
        <w:rPr>
          <w:rFonts w:hint="eastAsia" w:ascii="宋体" w:hAnsi="宋体" w:cs="宋体"/>
          <w:b w:val="0"/>
          <w:bCs w:val="0"/>
          <w:color w:val="auto"/>
          <w:sz w:val="24"/>
          <w:szCs w:val="24"/>
          <w:highlight w:val="none"/>
        </w:rPr>
        <w:t>采购内容：</w:t>
      </w:r>
    </w:p>
    <w:p>
      <w:pPr>
        <w:adjustRightInd w:val="0"/>
        <w:snapToGrid w:val="0"/>
        <w:spacing w:line="360" w:lineRule="auto"/>
        <w:ind w:firstLine="480" w:firstLineChars="200"/>
        <w:jc w:val="left"/>
        <w:rPr>
          <w:rFonts w:hint="default"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包</w:t>
      </w:r>
      <w:r>
        <w:rPr>
          <w:rFonts w:hint="eastAsia" w:ascii="宋体" w:hAnsi="宋体" w:cs="宋体"/>
          <w:bCs/>
          <w:color w:val="auto"/>
          <w:kern w:val="0"/>
          <w:sz w:val="24"/>
          <w:szCs w:val="24"/>
          <w:highlight w:val="none"/>
          <w:lang w:val="en-US" w:eastAsia="zh-CN"/>
        </w:rPr>
        <w:t>号：</w:t>
      </w:r>
      <w:r>
        <w:rPr>
          <w:rFonts w:hint="eastAsia" w:ascii="宋体" w:hAnsi="宋体" w:eastAsia="宋体" w:cs="宋体"/>
          <w:i w:val="0"/>
          <w:iCs w:val="0"/>
          <w:color w:val="auto"/>
          <w:kern w:val="0"/>
          <w:sz w:val="24"/>
          <w:szCs w:val="24"/>
          <w:highlight w:val="none"/>
          <w:u w:val="none"/>
          <w:lang w:val="en-US" w:eastAsia="zh-CN" w:bidi="ar"/>
        </w:rPr>
        <w:t>平公资采2024409号-1</w:t>
      </w:r>
      <w:r>
        <w:rPr>
          <w:rFonts w:hint="eastAsia" w:ascii="宋体" w:hAnsi="宋体" w:cs="宋体"/>
          <w:b w:val="0"/>
          <w:bCs w:val="0"/>
          <w:color w:val="auto"/>
          <w:sz w:val="24"/>
          <w:szCs w:val="24"/>
          <w:highlight w:val="none"/>
          <w:lang w:eastAsia="zh-CN"/>
        </w:rPr>
        <w:t>，包内容及数量（辆/件/套/台）：</w:t>
      </w:r>
      <w:r>
        <w:rPr>
          <w:rFonts w:hint="eastAsia" w:ascii="宋体" w:hAnsi="宋体" w:cs="宋体"/>
          <w:bCs/>
          <w:color w:val="auto"/>
          <w:kern w:val="0"/>
          <w:sz w:val="24"/>
          <w:szCs w:val="24"/>
          <w:highlight w:val="none"/>
          <w:lang w:val="en-US" w:eastAsia="zh-CN"/>
        </w:rPr>
        <w:t xml:space="preserve">被服洗涤车1；   </w:t>
      </w:r>
    </w:p>
    <w:p>
      <w:pPr>
        <w:adjustRightInd w:val="0"/>
        <w:snapToGrid w:val="0"/>
        <w:spacing w:line="360" w:lineRule="auto"/>
        <w:ind w:firstLine="480" w:firstLineChars="200"/>
        <w:jc w:val="left"/>
        <w:rPr>
          <w:rFonts w:hint="eastAsia"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包</w:t>
      </w:r>
      <w:r>
        <w:rPr>
          <w:rFonts w:hint="eastAsia" w:ascii="宋体" w:hAnsi="宋体" w:cs="宋体"/>
          <w:bCs/>
          <w:color w:val="auto"/>
          <w:kern w:val="0"/>
          <w:sz w:val="24"/>
          <w:szCs w:val="24"/>
          <w:highlight w:val="none"/>
          <w:lang w:val="en-US" w:eastAsia="zh-CN"/>
        </w:rPr>
        <w:t>号：</w:t>
      </w: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2</w:t>
      </w:r>
      <w:r>
        <w:rPr>
          <w:rFonts w:hint="eastAsia" w:ascii="宋体" w:hAnsi="宋体" w:cs="宋体"/>
          <w:b w:val="0"/>
          <w:bCs w:val="0"/>
          <w:color w:val="auto"/>
          <w:sz w:val="24"/>
          <w:szCs w:val="24"/>
          <w:highlight w:val="none"/>
          <w:lang w:eastAsia="zh-CN"/>
        </w:rPr>
        <w:t>，包内容及数量（辆/件/套/台）：</w:t>
      </w:r>
      <w:r>
        <w:rPr>
          <w:rFonts w:hint="eastAsia" w:ascii="宋体" w:hAnsi="宋体" w:cs="宋体"/>
          <w:bCs/>
          <w:color w:val="auto"/>
          <w:kern w:val="0"/>
          <w:sz w:val="24"/>
          <w:szCs w:val="24"/>
          <w:highlight w:val="none"/>
          <w:lang w:val="en-US" w:eastAsia="zh-CN"/>
        </w:rPr>
        <w:t>盥洗车1；</w:t>
      </w:r>
    </w:p>
    <w:p>
      <w:pPr>
        <w:adjustRightInd w:val="0"/>
        <w:snapToGrid w:val="0"/>
        <w:spacing w:line="360" w:lineRule="auto"/>
        <w:ind w:firstLine="480" w:firstLineChars="200"/>
        <w:jc w:val="left"/>
        <w:rPr>
          <w:rFonts w:hint="eastAsia"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包</w:t>
      </w:r>
      <w:r>
        <w:rPr>
          <w:rFonts w:hint="eastAsia" w:ascii="宋体" w:hAnsi="宋体" w:cs="宋体"/>
          <w:bCs/>
          <w:color w:val="auto"/>
          <w:kern w:val="0"/>
          <w:sz w:val="24"/>
          <w:szCs w:val="24"/>
          <w:highlight w:val="none"/>
          <w:lang w:val="en-US" w:eastAsia="zh-CN"/>
        </w:rPr>
        <w:t>号：</w:t>
      </w: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3</w:t>
      </w:r>
      <w:r>
        <w:rPr>
          <w:rFonts w:hint="eastAsia" w:ascii="宋体" w:hAnsi="宋体" w:cs="宋体"/>
          <w:b w:val="0"/>
          <w:bCs w:val="0"/>
          <w:color w:val="auto"/>
          <w:sz w:val="24"/>
          <w:szCs w:val="24"/>
          <w:highlight w:val="none"/>
          <w:lang w:eastAsia="zh-CN"/>
        </w:rPr>
        <w:t>，包内容及数量（辆/件/套/台）：</w:t>
      </w:r>
      <w:r>
        <w:rPr>
          <w:rFonts w:hint="eastAsia" w:ascii="宋体" w:hAnsi="宋体" w:cs="宋体"/>
          <w:bCs/>
          <w:color w:val="auto"/>
          <w:kern w:val="0"/>
          <w:sz w:val="24"/>
          <w:szCs w:val="24"/>
          <w:highlight w:val="none"/>
          <w:lang w:val="en-US" w:eastAsia="zh-CN"/>
        </w:rPr>
        <w:t>冷藏车1；</w:t>
      </w:r>
    </w:p>
    <w:p>
      <w:pPr>
        <w:adjustRightInd w:val="0"/>
        <w:snapToGrid w:val="0"/>
        <w:spacing w:line="360" w:lineRule="auto"/>
        <w:ind w:firstLine="480" w:firstLineChars="200"/>
        <w:jc w:val="left"/>
        <w:rPr>
          <w:rFonts w:hint="eastAsia"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包</w:t>
      </w:r>
      <w:r>
        <w:rPr>
          <w:rFonts w:hint="eastAsia" w:ascii="宋体" w:hAnsi="宋体" w:cs="宋体"/>
          <w:bCs/>
          <w:color w:val="auto"/>
          <w:kern w:val="0"/>
          <w:sz w:val="24"/>
          <w:szCs w:val="24"/>
          <w:highlight w:val="none"/>
          <w:lang w:val="en-US" w:eastAsia="zh-CN"/>
        </w:rPr>
        <w:t>号：</w:t>
      </w: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4</w:t>
      </w:r>
      <w:r>
        <w:rPr>
          <w:rFonts w:hint="eastAsia" w:ascii="宋体" w:hAnsi="宋体" w:cs="宋体"/>
          <w:b w:val="0"/>
          <w:bCs w:val="0"/>
          <w:color w:val="auto"/>
          <w:sz w:val="24"/>
          <w:szCs w:val="24"/>
          <w:highlight w:val="none"/>
          <w:lang w:eastAsia="zh-CN"/>
        </w:rPr>
        <w:t>，包内容及数量（辆/件/套/台）：</w:t>
      </w:r>
      <w:r>
        <w:rPr>
          <w:rFonts w:hint="eastAsia" w:ascii="宋体" w:hAnsi="宋体" w:cs="宋体"/>
          <w:bCs/>
          <w:color w:val="auto"/>
          <w:kern w:val="0"/>
          <w:sz w:val="24"/>
          <w:szCs w:val="24"/>
          <w:highlight w:val="none"/>
          <w:lang w:val="en-US" w:eastAsia="zh-CN"/>
        </w:rPr>
        <w:t>淋浴车1；</w:t>
      </w:r>
    </w:p>
    <w:p>
      <w:pPr>
        <w:adjustRightInd w:val="0"/>
        <w:snapToGrid w:val="0"/>
        <w:spacing w:line="360" w:lineRule="auto"/>
        <w:ind w:firstLine="480" w:firstLineChars="200"/>
        <w:jc w:val="left"/>
        <w:rPr>
          <w:rFonts w:hint="eastAsia"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包</w:t>
      </w:r>
      <w:r>
        <w:rPr>
          <w:rFonts w:hint="eastAsia" w:ascii="宋体" w:hAnsi="宋体" w:cs="宋体"/>
          <w:bCs/>
          <w:color w:val="auto"/>
          <w:kern w:val="0"/>
          <w:sz w:val="24"/>
          <w:szCs w:val="24"/>
          <w:highlight w:val="none"/>
          <w:lang w:val="en-US" w:eastAsia="zh-CN"/>
        </w:rPr>
        <w:t>号：</w:t>
      </w: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cs="宋体"/>
          <w:b w:val="0"/>
          <w:bCs w:val="0"/>
          <w:color w:val="auto"/>
          <w:sz w:val="24"/>
          <w:szCs w:val="24"/>
          <w:highlight w:val="none"/>
          <w:lang w:eastAsia="zh-CN"/>
        </w:rPr>
        <w:t>，包内容及数量（辆/件/套/台）：</w:t>
      </w:r>
      <w:r>
        <w:rPr>
          <w:rFonts w:hint="eastAsia" w:ascii="宋体" w:hAnsi="宋体" w:cs="宋体"/>
          <w:bCs/>
          <w:color w:val="auto"/>
          <w:kern w:val="0"/>
          <w:sz w:val="24"/>
          <w:szCs w:val="24"/>
          <w:highlight w:val="none"/>
          <w:lang w:val="en-US" w:eastAsia="zh-CN"/>
        </w:rPr>
        <w:t>5G单兵图传5、北斗有源终端2、单人洗消帐篷1、堵漏工具组11、防水定位对讲机30、红外生命探测仪2、激光测距仪1、简易洗消喷淋器1、救生照明线10、可燃气体探测仪2、气柱灯2、水深探测仪1、卫星电话5、狭小空间排烟机5、小型移动照明灯组10、移动照明灯10、移动照明灯组2、音视频布控球5、有毒气体探测仪2；</w:t>
      </w:r>
    </w:p>
    <w:p>
      <w:pPr>
        <w:adjustRightInd w:val="0"/>
        <w:snapToGrid w:val="0"/>
        <w:spacing w:line="360" w:lineRule="auto"/>
        <w:ind w:firstLine="480" w:firstLineChars="200"/>
        <w:jc w:val="left"/>
        <w:rPr>
          <w:rFonts w:hint="eastAsia"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包</w:t>
      </w:r>
      <w:r>
        <w:rPr>
          <w:rFonts w:hint="eastAsia" w:ascii="宋体" w:hAnsi="宋体" w:cs="宋体"/>
          <w:bCs/>
          <w:color w:val="auto"/>
          <w:kern w:val="0"/>
          <w:sz w:val="24"/>
          <w:szCs w:val="24"/>
          <w:highlight w:val="none"/>
          <w:lang w:val="en-US" w:eastAsia="zh-CN"/>
        </w:rPr>
        <w:t>号：</w:t>
      </w: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6</w:t>
      </w:r>
      <w:r>
        <w:rPr>
          <w:rFonts w:hint="eastAsia" w:ascii="宋体" w:hAnsi="宋体" w:cs="宋体"/>
          <w:b w:val="0"/>
          <w:bCs w:val="0"/>
          <w:color w:val="auto"/>
          <w:sz w:val="24"/>
          <w:szCs w:val="24"/>
          <w:highlight w:val="none"/>
          <w:lang w:eastAsia="zh-CN"/>
        </w:rPr>
        <w:t>，包内容及数量（辆/件/套/台）：</w:t>
      </w:r>
      <w:r>
        <w:rPr>
          <w:rFonts w:hint="eastAsia" w:ascii="宋体" w:hAnsi="宋体" w:cs="宋体"/>
          <w:bCs/>
          <w:color w:val="auto"/>
          <w:kern w:val="0"/>
          <w:sz w:val="24"/>
          <w:szCs w:val="24"/>
          <w:highlight w:val="none"/>
          <w:lang w:val="en-US" w:eastAsia="zh-CN"/>
        </w:rPr>
        <w:t>AED除颤仪5、便携式推车10、充气帐篷（40m2）5、充气帐篷（60m2）5、大功率发电机1、单兵携行包（箱）30、浮艇泵3、航空运输箱30、静音发电机5、空气呼吸器瓶30、千斤顶5、手抬机动泵3、婴儿呼吸袋5；</w:t>
      </w:r>
    </w:p>
    <w:p>
      <w:pPr>
        <w:adjustRightInd w:val="0"/>
        <w:snapToGrid w:val="0"/>
        <w:spacing w:line="360" w:lineRule="auto"/>
        <w:ind w:firstLine="480" w:firstLineChars="200"/>
        <w:jc w:val="left"/>
        <w:rPr>
          <w:rFonts w:hint="eastAsia"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包</w:t>
      </w:r>
      <w:r>
        <w:rPr>
          <w:rFonts w:hint="eastAsia" w:ascii="宋体" w:hAnsi="宋体" w:cs="宋体"/>
          <w:bCs/>
          <w:color w:val="auto"/>
          <w:kern w:val="0"/>
          <w:sz w:val="24"/>
          <w:szCs w:val="24"/>
          <w:highlight w:val="none"/>
          <w:lang w:val="en-US" w:eastAsia="zh-CN"/>
        </w:rPr>
        <w:t>号：</w:t>
      </w: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7</w:t>
      </w:r>
      <w:r>
        <w:rPr>
          <w:rFonts w:hint="eastAsia" w:ascii="宋体" w:hAnsi="宋体" w:cs="宋体"/>
          <w:b w:val="0"/>
          <w:bCs w:val="0"/>
          <w:color w:val="auto"/>
          <w:sz w:val="24"/>
          <w:szCs w:val="24"/>
          <w:highlight w:val="none"/>
          <w:lang w:eastAsia="zh-CN"/>
        </w:rPr>
        <w:t>，包内容及数量（辆/件/套/台）：</w:t>
      </w:r>
      <w:r>
        <w:rPr>
          <w:rFonts w:hint="eastAsia" w:ascii="宋体" w:hAnsi="宋体" w:cs="宋体"/>
          <w:bCs/>
          <w:color w:val="auto"/>
          <w:kern w:val="0"/>
          <w:sz w:val="24"/>
          <w:szCs w:val="24"/>
          <w:highlight w:val="none"/>
          <w:lang w:val="en-US" w:eastAsia="zh-CN"/>
        </w:rPr>
        <w:t>电绝缘装具5、防静电服7、挂钩套装50、滑轮套装60、轻型防化服7、全身吊带30、下降器50、消防用防坠落装备20、消防员避火防护服10、消防员防蜂服16、重型防化服7、自动锁定下降器50、自动止坠器50；</w:t>
      </w:r>
    </w:p>
    <w:p>
      <w:pPr>
        <w:adjustRightInd w:val="0"/>
        <w:snapToGrid w:val="0"/>
        <w:spacing w:line="360" w:lineRule="auto"/>
        <w:ind w:firstLine="480" w:firstLineChars="200"/>
        <w:jc w:val="left"/>
        <w:rPr>
          <w:rFonts w:hint="eastAsia"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包</w:t>
      </w:r>
      <w:r>
        <w:rPr>
          <w:rFonts w:hint="eastAsia" w:ascii="宋体" w:hAnsi="宋体" w:cs="宋体"/>
          <w:bCs/>
          <w:color w:val="auto"/>
          <w:kern w:val="0"/>
          <w:sz w:val="24"/>
          <w:szCs w:val="24"/>
          <w:highlight w:val="none"/>
          <w:lang w:val="en-US" w:eastAsia="zh-CN"/>
        </w:rPr>
        <w:t>号：</w:t>
      </w: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-8</w:t>
      </w:r>
      <w:r>
        <w:rPr>
          <w:rFonts w:hint="eastAsia" w:ascii="宋体" w:hAnsi="宋体" w:cs="宋体"/>
          <w:b w:val="0"/>
          <w:bCs w:val="0"/>
          <w:color w:val="auto"/>
          <w:sz w:val="24"/>
          <w:szCs w:val="24"/>
          <w:highlight w:val="none"/>
          <w:lang w:eastAsia="zh-CN"/>
        </w:rPr>
        <w:t>，包内容及数量（辆/件/套/台）：</w:t>
      </w:r>
      <w:r>
        <w:rPr>
          <w:rFonts w:hint="eastAsia" w:ascii="宋体" w:hAnsi="宋体" w:cs="宋体"/>
          <w:bCs/>
          <w:color w:val="auto"/>
          <w:kern w:val="0"/>
          <w:sz w:val="24"/>
          <w:szCs w:val="24"/>
          <w:highlight w:val="none"/>
          <w:lang w:val="en-US" w:eastAsia="zh-CN"/>
        </w:rPr>
        <w:t>玻璃破碎器5、等离子切割机2、电动钢筋速断器7、电动链锯10、哈里根铁铤5、机动链锯11、开缝器5、绳锯3、手动破拆工具组14、双轮异向切割锯12、水泥切割机4、无齿锯14、氧炔气焊切割设备2、液压钻孔机2；</w:t>
      </w:r>
    </w:p>
    <w:p>
      <w:pPr>
        <w:adjustRightInd w:val="0"/>
        <w:snapToGrid w:val="0"/>
        <w:spacing w:line="360" w:lineRule="auto"/>
        <w:ind w:firstLine="480" w:firstLineChars="200"/>
        <w:jc w:val="left"/>
        <w:rPr>
          <w:rFonts w:hint="default" w:ascii="宋体" w:hAnsi="宋体" w:cs="宋体"/>
          <w:b w:val="0"/>
          <w:bCs w:val="0"/>
          <w:color w:val="auto"/>
          <w:sz w:val="24"/>
          <w:szCs w:val="24"/>
          <w:highlight w:val="none"/>
          <w:lang w:val="en-US" w:eastAsia="zh-CN"/>
        </w:rPr>
      </w:pPr>
      <w:r>
        <w:rPr>
          <w:rFonts w:hint="eastAsia" w:ascii="宋体" w:hAnsi="宋体" w:cs="宋体"/>
          <w:bCs/>
          <w:color w:val="auto"/>
          <w:kern w:val="0"/>
          <w:sz w:val="24"/>
          <w:szCs w:val="24"/>
          <w:highlight w:val="none"/>
          <w:lang w:eastAsia="zh-CN"/>
        </w:rPr>
        <w:t>包</w:t>
      </w:r>
      <w:r>
        <w:rPr>
          <w:rFonts w:hint="eastAsia" w:ascii="宋体" w:hAnsi="宋体" w:cs="宋体"/>
          <w:bCs/>
          <w:color w:val="auto"/>
          <w:kern w:val="0"/>
          <w:sz w:val="24"/>
          <w:szCs w:val="24"/>
          <w:highlight w:val="none"/>
          <w:lang w:val="en-US" w:eastAsia="zh-CN"/>
        </w:rPr>
        <w:t>号：</w:t>
      </w: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9</w:t>
      </w:r>
      <w:r>
        <w:rPr>
          <w:rFonts w:hint="eastAsia" w:ascii="宋体" w:hAnsi="宋体" w:cs="宋体"/>
          <w:b w:val="0"/>
          <w:bCs w:val="0"/>
          <w:color w:val="auto"/>
          <w:sz w:val="24"/>
          <w:szCs w:val="24"/>
          <w:highlight w:val="none"/>
          <w:lang w:eastAsia="zh-CN"/>
        </w:rPr>
        <w:t>，包内容及数量（辆/件/套/台）：</w:t>
      </w:r>
      <w:r>
        <w:rPr>
          <w:rFonts w:hint="eastAsia" w:ascii="宋体" w:hAnsi="宋体" w:cs="宋体"/>
          <w:bCs/>
          <w:color w:val="auto"/>
          <w:kern w:val="0"/>
          <w:sz w:val="24"/>
          <w:szCs w:val="24"/>
          <w:highlight w:val="none"/>
          <w:lang w:val="en-US" w:eastAsia="zh-CN"/>
        </w:rPr>
        <w:t>冰面救援滑板4、充气救援艇（橡皮艇）1、船型担架5、多功能担架15、多功能省力系统50、多功能水枪44、救生抛投器5、救援三角架6、卷扬机5、可漂浮救生担架5、气动起重气垫2、躯体固定气囊5、水面漂浮救生绳（200米）1、通用安全绳（200米）30、舷外机（含油箱防护罩）2、橡皮艇1、移动供气源6、移动式消防炮5、肢体固定气囊5、重型支撑套具2。</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cs="宋体"/>
          <w:b w:val="0"/>
          <w:bCs w:val="0"/>
          <w:color w:val="auto"/>
          <w:sz w:val="24"/>
          <w:highlight w:val="none"/>
        </w:rPr>
      </w:pPr>
      <w:r>
        <w:rPr>
          <w:rFonts w:ascii="宋体" w:hAnsi="宋体" w:cs="宋体"/>
          <w:b w:val="0"/>
          <w:bCs w:val="0"/>
          <w:color w:val="auto"/>
          <w:sz w:val="24"/>
          <w:highlight w:val="none"/>
        </w:rPr>
        <w:t>5.2</w:t>
      </w:r>
      <w:r>
        <w:rPr>
          <w:rFonts w:hint="eastAsia" w:ascii="宋体" w:hAnsi="宋体" w:cs="宋体"/>
          <w:b w:val="0"/>
          <w:bCs w:val="0"/>
          <w:color w:val="auto"/>
          <w:sz w:val="24"/>
          <w:highlight w:val="none"/>
        </w:rPr>
        <w:t>资金来源：财政资金；</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cs="宋体"/>
          <w:b w:val="0"/>
          <w:bCs w:val="0"/>
          <w:color w:val="auto"/>
          <w:sz w:val="24"/>
          <w:highlight w:val="none"/>
        </w:rPr>
      </w:pPr>
      <w:r>
        <w:rPr>
          <w:rFonts w:ascii="宋体" w:hAnsi="宋体" w:cs="宋体"/>
          <w:b w:val="0"/>
          <w:bCs w:val="0"/>
          <w:color w:val="auto"/>
          <w:sz w:val="24"/>
          <w:highlight w:val="none"/>
        </w:rPr>
        <w:t>5.3</w:t>
      </w:r>
      <w:r>
        <w:rPr>
          <w:rFonts w:hint="eastAsia" w:ascii="宋体" w:hAnsi="宋体" w:cs="宋体"/>
          <w:b w:val="0"/>
          <w:bCs w:val="0"/>
          <w:color w:val="auto"/>
          <w:sz w:val="24"/>
          <w:highlight w:val="none"/>
        </w:rPr>
        <w:t>质量要求：合格（符合现行国家、行业、地方相关规范要求）；</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cs="宋体"/>
          <w:b w:val="0"/>
          <w:bCs w:val="0"/>
          <w:color w:val="auto"/>
          <w:sz w:val="24"/>
          <w:highlight w:val="none"/>
          <w:lang w:eastAsia="zh-CN"/>
        </w:rPr>
      </w:pPr>
      <w:r>
        <w:rPr>
          <w:rFonts w:ascii="宋体" w:hAnsi="宋体" w:cs="宋体"/>
          <w:b w:val="0"/>
          <w:bCs w:val="0"/>
          <w:color w:val="auto"/>
          <w:sz w:val="24"/>
          <w:highlight w:val="none"/>
        </w:rPr>
        <w:t>5.4</w:t>
      </w:r>
      <w:r>
        <w:rPr>
          <w:rFonts w:hint="eastAsia" w:ascii="宋体" w:hAnsi="宋体" w:cs="宋体"/>
          <w:b w:val="0"/>
          <w:bCs w:val="0"/>
          <w:color w:val="auto"/>
          <w:sz w:val="24"/>
          <w:highlight w:val="none"/>
          <w:lang w:eastAsia="zh-CN"/>
        </w:rPr>
        <w:t>交货期（</w:t>
      </w:r>
      <w:r>
        <w:rPr>
          <w:rFonts w:hint="eastAsia" w:ascii="宋体" w:hAnsi="宋体" w:cs="宋体"/>
          <w:b w:val="0"/>
          <w:bCs w:val="0"/>
          <w:color w:val="auto"/>
          <w:sz w:val="24"/>
          <w:highlight w:val="none"/>
          <w:lang w:val="en-US" w:eastAsia="zh-CN"/>
        </w:rPr>
        <w:t>包1-包4</w:t>
      </w:r>
      <w:r>
        <w:rPr>
          <w:rFonts w:hint="eastAsia" w:ascii="宋体" w:hAnsi="宋体" w:cs="宋体"/>
          <w:b w:val="0"/>
          <w:bCs w:val="0"/>
          <w:color w:val="auto"/>
          <w:sz w:val="24"/>
          <w:highlight w:val="none"/>
          <w:lang w:eastAsia="zh-CN"/>
        </w:rPr>
        <w:t>）：采用进口底盘投标的，自合同签订之日起120日历天，采用国产底盘投标的，自合同签订之日起90日历天；</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400"/>
        <w:jc w:val="left"/>
        <w:textAlignment w:val="auto"/>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交货期</w:t>
      </w: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lang w:val="en-US" w:eastAsia="zh-CN"/>
        </w:rPr>
        <w:t>包5-包9</w:t>
      </w: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rPr>
        <w:t>：</w:t>
      </w:r>
      <w:r>
        <w:rPr>
          <w:rFonts w:hint="eastAsia" w:ascii="宋体" w:hAnsi="宋体" w:cs="宋体"/>
          <w:b w:val="0"/>
          <w:bCs w:val="0"/>
          <w:color w:val="auto"/>
          <w:sz w:val="24"/>
          <w:highlight w:val="none"/>
          <w:lang w:val="en-US" w:eastAsia="zh-CN"/>
        </w:rPr>
        <w:t>自样品验收合格之日起30日历天，合格样品须于合同签订之日起10日内提供，交货的货物必须是发布中标公告后生产日期（验收时，提供证明或原材料进货证明）</w:t>
      </w:r>
      <w:r>
        <w:rPr>
          <w:rFonts w:hint="eastAsia" w:ascii="宋体" w:hAnsi="宋体" w:cs="宋体"/>
          <w:b w:val="0"/>
          <w:bCs w:val="0"/>
          <w:color w:val="auto"/>
          <w:sz w:val="24"/>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cs="宋体"/>
          <w:b w:val="0"/>
          <w:bCs w:val="0"/>
          <w:color w:val="auto"/>
          <w:sz w:val="24"/>
          <w:highlight w:val="none"/>
        </w:rPr>
      </w:pPr>
      <w:r>
        <w:rPr>
          <w:rFonts w:ascii="宋体" w:hAnsi="宋体" w:cs="宋体"/>
          <w:b w:val="0"/>
          <w:bCs w:val="0"/>
          <w:color w:val="auto"/>
          <w:sz w:val="24"/>
          <w:highlight w:val="none"/>
        </w:rPr>
        <w:t>5.5</w:t>
      </w:r>
      <w:r>
        <w:rPr>
          <w:rFonts w:hint="eastAsia" w:ascii="宋体" w:hAnsi="宋体" w:cs="宋体"/>
          <w:b w:val="0"/>
          <w:bCs w:val="0"/>
          <w:color w:val="auto"/>
          <w:sz w:val="24"/>
          <w:highlight w:val="none"/>
        </w:rPr>
        <w:t>交货地点：采购人指定地点；</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宋体" w:eastAsia="宋体" w:cs="宋体"/>
          <w:b w:val="0"/>
          <w:bCs w:val="0"/>
          <w:color w:val="auto"/>
          <w:sz w:val="24"/>
          <w:highlight w:val="none"/>
          <w:lang w:val="en-US" w:eastAsia="zh-CN"/>
        </w:rPr>
      </w:pPr>
      <w:r>
        <w:rPr>
          <w:rFonts w:ascii="宋体" w:hAnsi="宋体" w:cs="宋体"/>
          <w:b w:val="0"/>
          <w:bCs w:val="0"/>
          <w:color w:val="auto"/>
          <w:sz w:val="24"/>
          <w:highlight w:val="none"/>
        </w:rPr>
        <w:t>5.6</w:t>
      </w:r>
      <w:r>
        <w:rPr>
          <w:rFonts w:hint="eastAsia" w:ascii="宋体" w:hAnsi="宋体" w:cs="宋体"/>
          <w:b w:val="0"/>
          <w:bCs w:val="0"/>
          <w:color w:val="auto"/>
          <w:sz w:val="24"/>
          <w:highlight w:val="none"/>
        </w:rPr>
        <w:t>质保期：</w:t>
      </w:r>
      <w:r>
        <w:rPr>
          <w:rFonts w:hint="eastAsia" w:ascii="宋体" w:hAnsi="宋体" w:cs="宋体"/>
          <w:sz w:val="24"/>
          <w:highlight w:val="none"/>
        </w:rPr>
        <w:t>详见招标文件</w:t>
      </w:r>
      <w:r>
        <w:rPr>
          <w:rFonts w:hint="eastAsia" w:ascii="宋体" w:hAnsi="宋体" w:cs="宋体"/>
          <w:b w:val="0"/>
          <w:bCs w:val="0"/>
          <w:color w:val="auto"/>
          <w:sz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cs="宋体"/>
          <w:b w:val="0"/>
          <w:bCs w:val="0"/>
          <w:color w:val="auto"/>
          <w:sz w:val="24"/>
          <w:highlight w:val="none"/>
        </w:rPr>
      </w:pPr>
      <w:r>
        <w:rPr>
          <w:rFonts w:ascii="宋体" w:hAnsi="宋体" w:cs="宋体"/>
          <w:b w:val="0"/>
          <w:bCs w:val="0"/>
          <w:color w:val="auto"/>
          <w:sz w:val="24"/>
          <w:highlight w:val="none"/>
        </w:rPr>
        <w:t>6</w:t>
      </w:r>
      <w:r>
        <w:rPr>
          <w:rFonts w:hint="eastAsia" w:ascii="宋体" w:hAnsi="宋体" w:cs="宋体"/>
          <w:b w:val="0"/>
          <w:bCs w:val="0"/>
          <w:color w:val="auto"/>
          <w:sz w:val="24"/>
          <w:highlight w:val="none"/>
        </w:rPr>
        <w:t>、合同履行期限：合同签订之日至质保期结束；</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cs="宋体"/>
          <w:b w:val="0"/>
          <w:bCs w:val="0"/>
          <w:color w:val="auto"/>
          <w:sz w:val="24"/>
          <w:highlight w:val="none"/>
        </w:rPr>
      </w:pPr>
      <w:r>
        <w:rPr>
          <w:rFonts w:ascii="宋体" w:hAnsi="宋体" w:cs="宋体"/>
          <w:b w:val="0"/>
          <w:bCs w:val="0"/>
          <w:color w:val="auto"/>
          <w:sz w:val="24"/>
          <w:highlight w:val="none"/>
        </w:rPr>
        <w:t>7</w:t>
      </w:r>
      <w:r>
        <w:rPr>
          <w:rFonts w:hint="eastAsia" w:ascii="宋体" w:hAnsi="宋体" w:cs="宋体"/>
          <w:b w:val="0"/>
          <w:bCs w:val="0"/>
          <w:color w:val="auto"/>
          <w:sz w:val="24"/>
          <w:highlight w:val="none"/>
        </w:rPr>
        <w:t>、本项目是否接受联合体投标：否；</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cs="宋体"/>
          <w:b w:val="0"/>
          <w:bCs w:val="0"/>
          <w:color w:val="auto"/>
          <w:sz w:val="24"/>
          <w:highlight w:val="none"/>
        </w:rPr>
      </w:pPr>
      <w:r>
        <w:rPr>
          <w:rFonts w:ascii="宋体" w:hAnsi="宋体" w:cs="宋体"/>
          <w:b w:val="0"/>
          <w:bCs w:val="0"/>
          <w:color w:val="auto"/>
          <w:sz w:val="24"/>
          <w:highlight w:val="none"/>
        </w:rPr>
        <w:t>8</w:t>
      </w:r>
      <w:r>
        <w:rPr>
          <w:rFonts w:hint="eastAsia" w:ascii="宋体" w:hAnsi="宋体" w:cs="宋体"/>
          <w:b w:val="0"/>
          <w:bCs w:val="0"/>
          <w:color w:val="auto"/>
          <w:sz w:val="24"/>
          <w:highlight w:val="none"/>
        </w:rPr>
        <w:t>、是否接受进口产品：否。</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ascii="宋体" w:cs="宋体"/>
          <w:b w:val="0"/>
          <w:bCs w:val="0"/>
          <w:color w:val="auto"/>
          <w:sz w:val="24"/>
          <w:highlight w:val="none"/>
        </w:rPr>
      </w:pPr>
      <w:r>
        <w:rPr>
          <w:rFonts w:ascii="宋体" w:hAnsi="宋体" w:cs="宋体"/>
          <w:b w:val="0"/>
          <w:bCs w:val="0"/>
          <w:color w:val="auto"/>
          <w:sz w:val="24"/>
          <w:highlight w:val="none"/>
        </w:rPr>
        <w:t>9</w:t>
      </w:r>
      <w:r>
        <w:rPr>
          <w:rFonts w:hint="eastAsia" w:ascii="宋体" w:hAnsi="宋体" w:cs="宋体"/>
          <w:b w:val="0"/>
          <w:bCs w:val="0"/>
          <w:color w:val="auto"/>
          <w:sz w:val="24"/>
          <w:highlight w:val="none"/>
        </w:rPr>
        <w:t>、是否专门面向中小企业：是。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二、申请人资格要求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1、满足《中华人民共和国政府采购法》第二十二条规定；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2、落实政府采购政策满足的资格要求：本项目</w:t>
      </w:r>
      <w:r>
        <w:rPr>
          <w:rFonts w:hint="eastAsia" w:ascii="宋体" w:hAnsi="宋体" w:cs="宋体"/>
          <w:b w:val="0"/>
          <w:bCs w:val="0"/>
          <w:color w:val="auto"/>
          <w:sz w:val="24"/>
          <w:szCs w:val="24"/>
          <w:highlight w:val="none"/>
          <w:lang w:val="en-US" w:eastAsia="zh-CN"/>
        </w:rPr>
        <w:t>包5</w:t>
      </w:r>
      <w:r>
        <w:rPr>
          <w:rFonts w:hint="eastAsia" w:ascii="宋体" w:hAnsi="宋体" w:eastAsia="宋体" w:cs="宋体"/>
          <w:b w:val="0"/>
          <w:bCs w:val="0"/>
          <w:color w:val="auto"/>
          <w:sz w:val="24"/>
          <w:szCs w:val="24"/>
          <w:highlight w:val="none"/>
        </w:rPr>
        <w:t>专门面向中小企业采购</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包6、包7、包8、包9</w:t>
      </w:r>
      <w:r>
        <w:rPr>
          <w:rFonts w:hint="eastAsia" w:ascii="宋体" w:hAnsi="宋体" w:eastAsia="宋体" w:cs="宋体"/>
          <w:b w:val="0"/>
          <w:bCs w:val="0"/>
          <w:color w:val="auto"/>
          <w:sz w:val="24"/>
          <w:szCs w:val="24"/>
          <w:highlight w:val="none"/>
        </w:rPr>
        <w:t>专门面向</w:t>
      </w:r>
      <w:r>
        <w:rPr>
          <w:rFonts w:hint="eastAsia" w:ascii="宋体" w:hAnsi="宋体" w:cs="宋体"/>
          <w:b w:val="0"/>
          <w:bCs w:val="0"/>
          <w:color w:val="auto"/>
          <w:sz w:val="24"/>
          <w:szCs w:val="24"/>
          <w:highlight w:val="none"/>
          <w:lang w:val="en-US" w:eastAsia="zh-CN"/>
        </w:rPr>
        <w:t>小微</w:t>
      </w:r>
      <w:r>
        <w:rPr>
          <w:rFonts w:hint="eastAsia" w:ascii="宋体" w:hAnsi="宋体" w:eastAsia="宋体" w:cs="宋体"/>
          <w:b w:val="0"/>
          <w:bCs w:val="0"/>
          <w:color w:val="auto"/>
          <w:sz w:val="24"/>
          <w:szCs w:val="24"/>
          <w:highlight w:val="none"/>
        </w:rPr>
        <w:t>企业采购</w:t>
      </w:r>
      <w:r>
        <w:rPr>
          <w:rFonts w:hint="eastAsia" w:ascii="宋体" w:hAnsi="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需提供《中小企业声明函》或《残疾人福利性单位声明函》或《监狱企业的证明文件》。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3、本项目的特定资格要求：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3.1</w:t>
      </w:r>
      <w:r>
        <w:rPr>
          <w:rFonts w:hint="eastAsia" w:ascii="宋体" w:hAnsi="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应在中华人民共和国境内注册，具有独立承担民事责任的能力。（须提供营业执照或自然人的身份证明等）</w:t>
      </w:r>
      <w:r>
        <w:rPr>
          <w:rFonts w:hint="eastAsia" w:ascii="宋体" w:hAnsi="宋体" w:cs="宋体"/>
          <w:b w:val="0"/>
          <w:bCs w:val="0"/>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3.2</w:t>
      </w:r>
      <w:r>
        <w:rPr>
          <w:rFonts w:hint="eastAsia" w:ascii="宋体" w:hAnsi="宋体" w:eastAsia="宋体" w:cs="宋体"/>
          <w:b w:val="0"/>
          <w:bCs w:val="0"/>
          <w:color w:val="auto"/>
          <w:sz w:val="24"/>
          <w:szCs w:val="24"/>
          <w:highlight w:val="none"/>
          <w:lang w:val="en-US" w:eastAsia="zh-CN"/>
        </w:rPr>
        <w:t>投标人资格要求</w:t>
      </w: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lang w:val="en-US" w:eastAsia="zh-CN"/>
        </w:rPr>
        <w:t>包1-包4</w:t>
      </w:r>
      <w:r>
        <w:rPr>
          <w:rFonts w:hint="eastAsia" w:ascii="宋体" w:hAnsi="宋体" w:cs="宋体"/>
          <w:b w:val="0"/>
          <w:bCs w:val="0"/>
          <w:color w:val="auto"/>
          <w:sz w:val="24"/>
          <w:highlight w:val="none"/>
          <w:lang w:eastAsia="zh-CN"/>
        </w:rPr>
        <w:t>）</w:t>
      </w:r>
      <w:r>
        <w:rPr>
          <w:rFonts w:hint="eastAsia" w:ascii="宋体" w:hAnsi="宋体" w:eastAsia="宋体" w:cs="宋体"/>
          <w:b w:val="0"/>
          <w:bCs w:val="0"/>
          <w:color w:val="auto"/>
          <w:sz w:val="24"/>
          <w:szCs w:val="24"/>
          <w:highlight w:val="none"/>
          <w:lang w:val="en-US" w:eastAsia="zh-CN"/>
        </w:rPr>
        <w:t>：投标人必须为所投车辆的生产企业（须提供承诺函），</w:t>
      </w:r>
      <w:r>
        <w:rPr>
          <w:rFonts w:hint="eastAsia" w:ascii="宋体" w:hAnsi="宋体" w:eastAsia="宋体" w:cs="宋体"/>
          <w:color w:val="auto"/>
          <w:sz w:val="24"/>
          <w:szCs w:val="24"/>
          <w:highlight w:val="none"/>
        </w:rPr>
        <w:t>交车时（整车）必须是已取得中华人民共和国工业和信息化部发布的对应车型《道路机动车辆生产企业及产品公告》的合格产品（须提供工信部官方查询平台查询截图和网址链接），并在投标文件中进行承诺</w:t>
      </w:r>
      <w:r>
        <w:rPr>
          <w:rFonts w:hint="eastAsia" w:ascii="宋体" w:hAnsi="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3.</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具有良好的商业信誉和健全的财务会计制度（须提供2022年度</w:t>
      </w:r>
      <w:r>
        <w:rPr>
          <w:rFonts w:hint="eastAsia" w:ascii="宋体" w:hAnsi="宋体" w:cs="宋体"/>
          <w:b w:val="0"/>
          <w:bCs w:val="0"/>
          <w:color w:val="auto"/>
          <w:sz w:val="24"/>
          <w:szCs w:val="24"/>
          <w:highlight w:val="none"/>
          <w:lang w:val="en-US" w:eastAsia="zh-CN"/>
        </w:rPr>
        <w:t>或2023年度</w:t>
      </w:r>
      <w:r>
        <w:rPr>
          <w:rFonts w:hint="eastAsia" w:ascii="宋体" w:hAnsi="宋体" w:eastAsia="宋体" w:cs="宋体"/>
          <w:b w:val="0"/>
          <w:bCs w:val="0"/>
          <w:color w:val="auto"/>
          <w:sz w:val="24"/>
          <w:szCs w:val="24"/>
          <w:highlight w:val="none"/>
        </w:rPr>
        <w:t>经会计师事务所或第三方审计机构审计后的财务报告（须包括资产负债表、现金流量表、利润表和附注)，新成立企业自成立之日起不足一年的须提供基本开户行出具的银行资信证明）</w:t>
      </w:r>
      <w:r>
        <w:rPr>
          <w:rFonts w:hint="eastAsia" w:ascii="宋体" w:hAnsi="宋体" w:cs="宋体"/>
          <w:b w:val="0"/>
          <w:bCs w:val="0"/>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3.</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具有履行合同所必需的设备和专业技术能力(须提供承诺函，承诺函格式</w:t>
      </w:r>
      <w:r>
        <w:rPr>
          <w:rFonts w:hint="eastAsia" w:ascii="宋体" w:hAnsi="宋体" w:cs="宋体"/>
          <w:b w:val="0"/>
          <w:bCs w:val="0"/>
          <w:color w:val="auto"/>
          <w:sz w:val="24"/>
          <w:szCs w:val="24"/>
          <w:highlight w:val="none"/>
          <w:lang w:eastAsia="zh-CN"/>
        </w:rPr>
        <w:t>自拟</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3.</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有依法缴纳税收和社会保障资金的良好记录(提供2024年1月1日以来任意1个月依法缴纳税收和社会保障金的相关证明,依法免税或不需要缴纳社会保障资金的，应提供相应证明文件)</w:t>
      </w:r>
      <w:r>
        <w:rPr>
          <w:rFonts w:hint="eastAsia" w:ascii="宋体" w:hAnsi="宋体" w:cs="宋体"/>
          <w:b w:val="0"/>
          <w:bCs w:val="0"/>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3.</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 xml:space="preserve"> 参加政府采购活动前三年内，在经营活动中没有重大违法记录(须提供承诺函，承诺函格式</w:t>
      </w:r>
      <w:r>
        <w:rPr>
          <w:rFonts w:hint="eastAsia" w:ascii="宋体" w:hAnsi="宋体" w:cs="宋体"/>
          <w:b w:val="0"/>
          <w:bCs w:val="0"/>
          <w:color w:val="auto"/>
          <w:sz w:val="24"/>
          <w:szCs w:val="24"/>
          <w:highlight w:val="none"/>
          <w:lang w:eastAsia="zh-CN"/>
        </w:rPr>
        <w:t>自拟</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3.</w:t>
      </w: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rPr>
        <w:t>单位负责人为同一人或者存在直接控股、管理关系的不同供应商，不得参加同一合同项下的政府采购活动(须提供承诺函，承诺函格式</w:t>
      </w:r>
      <w:r>
        <w:rPr>
          <w:rFonts w:hint="eastAsia" w:ascii="宋体" w:hAnsi="宋体" w:cs="宋体"/>
          <w:b w:val="0"/>
          <w:bCs w:val="0"/>
          <w:color w:val="auto"/>
          <w:sz w:val="24"/>
          <w:szCs w:val="24"/>
          <w:highlight w:val="none"/>
          <w:lang w:eastAsia="zh-CN"/>
        </w:rPr>
        <w:t>自拟</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highlight w:val="none"/>
          <w:lang w:val="en-US" w:eastAsia="zh-CN"/>
        </w:rPr>
      </w:pPr>
      <w:r>
        <w:rPr>
          <w:rFonts w:hint="eastAsia" w:ascii="宋体" w:hAnsi="宋体" w:cs="宋体"/>
          <w:b w:val="0"/>
          <w:bCs w:val="0"/>
          <w:color w:val="auto"/>
          <w:kern w:val="0"/>
          <w:sz w:val="24"/>
          <w:szCs w:val="21"/>
          <w:highlight w:val="none"/>
        </w:rPr>
        <w:t>3.</w:t>
      </w:r>
      <w:r>
        <w:rPr>
          <w:rFonts w:hint="eastAsia" w:ascii="宋体" w:hAnsi="宋体" w:cs="宋体"/>
          <w:b w:val="0"/>
          <w:bCs w:val="0"/>
          <w:color w:val="auto"/>
          <w:kern w:val="0"/>
          <w:sz w:val="24"/>
          <w:szCs w:val="21"/>
          <w:highlight w:val="none"/>
          <w:lang w:val="en-US" w:eastAsia="zh-CN"/>
        </w:rPr>
        <w:t>8</w:t>
      </w:r>
      <w:r>
        <w:rPr>
          <w:rFonts w:hint="eastAsia" w:ascii="宋体" w:hAnsi="宋体" w:cs="宋体"/>
          <w:b w:val="0"/>
          <w:bCs w:val="0"/>
          <w:color w:val="auto"/>
          <w:kern w:val="0"/>
          <w:sz w:val="24"/>
          <w:szCs w:val="21"/>
          <w:highlight w:val="none"/>
        </w:rPr>
        <w:t xml:space="preserve"> 根据《关于在政府采购活动中查询及使用信用记录有关问题的通知》(财库[2016]125号)的规定，</w:t>
      </w:r>
      <w:r>
        <w:rPr>
          <w:rFonts w:hint="eastAsia" w:ascii="宋体" w:hAnsi="宋体" w:cs="宋体"/>
          <w:b w:val="0"/>
          <w:bCs w:val="0"/>
          <w:color w:val="auto"/>
          <w:kern w:val="0"/>
          <w:sz w:val="24"/>
          <w:szCs w:val="21"/>
          <w:highlight w:val="none"/>
          <w:lang w:eastAsia="zh-CN"/>
        </w:rPr>
        <w:t>开标结束后至符合性审查前</w:t>
      </w:r>
      <w:r>
        <w:rPr>
          <w:rFonts w:hint="eastAsia" w:ascii="宋体" w:hAnsi="宋体" w:cs="宋体"/>
          <w:b w:val="0"/>
          <w:bCs w:val="0"/>
          <w:color w:val="auto"/>
          <w:kern w:val="0"/>
          <w:sz w:val="24"/>
          <w:szCs w:val="21"/>
          <w:highlight w:val="none"/>
        </w:rPr>
        <w:t>采购代理机构通过“信用中国”网站（www.creditchina.gov.cn）、“中国执行信息公开网”网站（zxgk.court.gov.cn）和中国政府采购网（www.ccgp.gov.cn）查询企业的信用记录，列入“中国执行信息公开网”网站的“失信被执行人”、“信用中国”网站的“重大税收违法失信主体”和“中国政府采购网”网站的“政府采购严重违法失信行为记录名单”及其他不符合《中华人民共和国政府采购法》第二十二条规定条件的</w:t>
      </w:r>
      <w:r>
        <w:rPr>
          <w:rFonts w:hint="eastAsia" w:ascii="宋体" w:hAnsi="宋体" w:cs="宋体"/>
          <w:b w:val="0"/>
          <w:bCs w:val="0"/>
          <w:color w:val="auto"/>
          <w:kern w:val="0"/>
          <w:sz w:val="24"/>
          <w:szCs w:val="21"/>
          <w:highlight w:val="none"/>
          <w:lang w:eastAsia="zh-CN"/>
        </w:rPr>
        <w:t>投标人</w:t>
      </w:r>
      <w:r>
        <w:rPr>
          <w:rFonts w:hint="eastAsia" w:ascii="宋体" w:hAnsi="宋体" w:cs="宋体"/>
          <w:b w:val="0"/>
          <w:bCs w:val="0"/>
          <w:color w:val="auto"/>
          <w:kern w:val="0"/>
          <w:sz w:val="24"/>
          <w:szCs w:val="21"/>
          <w:highlight w:val="none"/>
        </w:rPr>
        <w:t>，将拒绝参与本次政府采购活动</w:t>
      </w:r>
      <w:r>
        <w:rPr>
          <w:rFonts w:hint="eastAsia" w:ascii="宋体" w:hAnsi="宋体" w:cs="宋体"/>
          <w:b w:val="0"/>
          <w:bCs w:val="0"/>
          <w:color w:val="auto"/>
          <w:kern w:val="0"/>
          <w:sz w:val="24"/>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三、获取招标文件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1、时间：</w:t>
      </w:r>
      <w:r>
        <w:rPr>
          <w:rFonts w:hint="eastAsia" w:ascii="宋体" w:hAnsi="宋体" w:eastAsia="宋体" w:cs="宋体"/>
          <w:b w:val="0"/>
          <w:bCs w:val="0"/>
          <w:color w:val="auto"/>
          <w:sz w:val="24"/>
          <w:szCs w:val="24"/>
          <w:highlight w:val="none"/>
          <w:lang w:val="en-US" w:eastAsia="zh-CN"/>
        </w:rPr>
        <w:t>202</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年</w:t>
      </w:r>
      <w:r>
        <w:rPr>
          <w:rFonts w:hint="eastAsia" w:ascii="宋体"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月</w:t>
      </w:r>
      <w:r>
        <w:rPr>
          <w:rFonts w:hint="eastAsia" w:ascii="宋体" w:hAnsi="宋体" w:cs="宋体"/>
          <w:b w:val="0"/>
          <w:bCs w:val="0"/>
          <w:color w:val="auto"/>
          <w:sz w:val="24"/>
          <w:szCs w:val="24"/>
          <w:highlight w:val="none"/>
          <w:lang w:val="en-US" w:eastAsia="zh-CN"/>
        </w:rPr>
        <w:t>31</w:t>
      </w:r>
      <w:r>
        <w:rPr>
          <w:rFonts w:hint="eastAsia" w:ascii="宋体" w:hAnsi="宋体" w:eastAsia="宋体" w:cs="宋体"/>
          <w:b w:val="0"/>
          <w:bCs w:val="0"/>
          <w:color w:val="auto"/>
          <w:sz w:val="24"/>
          <w:szCs w:val="24"/>
          <w:highlight w:val="none"/>
        </w:rPr>
        <w:t>日至202</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年</w:t>
      </w:r>
      <w:r>
        <w:rPr>
          <w:rFonts w:hint="eastAsia" w:ascii="宋体" w:hAnsi="宋体" w:cs="宋体"/>
          <w:b w:val="0"/>
          <w:bCs w:val="0"/>
          <w:color w:val="auto"/>
          <w:sz w:val="24"/>
          <w:szCs w:val="24"/>
          <w:highlight w:val="none"/>
          <w:lang w:val="en-US" w:eastAsia="zh-CN"/>
        </w:rPr>
        <w:t>06</w:t>
      </w:r>
      <w:r>
        <w:rPr>
          <w:rFonts w:hint="eastAsia" w:ascii="宋体" w:hAnsi="宋体" w:eastAsia="宋体" w:cs="宋体"/>
          <w:b w:val="0"/>
          <w:bCs w:val="0"/>
          <w:color w:val="auto"/>
          <w:sz w:val="24"/>
          <w:szCs w:val="24"/>
          <w:highlight w:val="none"/>
        </w:rPr>
        <w:t>月</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日。每天上午00时00分至12时00分，下午12时00分至23时59分（北京时间，法定节假日除外。）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2、地点：《全国公共资源交易平台（河南省·平顶山市）》（网址：http://ggzy.pds.gov.cn/)。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3、方式：潜在供应商需凭CA数字证书通过《全国公共资源交易平台（河南省·平顶山市）》（网址：http://ggzy.pds.gov.cn/“供应商登录”入口进入交易系统进行下载文件。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4、售价：0元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四、投标截止时间及地点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1、时间：2024年0</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月</w:t>
      </w:r>
      <w:r>
        <w:rPr>
          <w:rFonts w:hint="eastAsia" w:ascii="宋体" w:hAnsi="宋体" w:cs="宋体"/>
          <w:b w:val="0"/>
          <w:bCs w:val="0"/>
          <w:color w:val="auto"/>
          <w:sz w:val="24"/>
          <w:szCs w:val="24"/>
          <w:highlight w:val="none"/>
          <w:lang w:val="en-US" w:eastAsia="zh-CN"/>
        </w:rPr>
        <w:t>21</w:t>
      </w:r>
      <w:r>
        <w:rPr>
          <w:rFonts w:hint="eastAsia" w:ascii="宋体" w:hAnsi="宋体" w:eastAsia="宋体" w:cs="宋体"/>
          <w:b w:val="0"/>
          <w:bCs w:val="0"/>
          <w:color w:val="auto"/>
          <w:sz w:val="24"/>
          <w:szCs w:val="24"/>
          <w:highlight w:val="none"/>
        </w:rPr>
        <w:t>日09时00分（北京时间）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2、地点：《全国公共资源交易平台（河南省·平顶山市）》（网址：http://ggzy.pds.gov.cn/)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需要在投标截止时间前在</w:t>
      </w:r>
      <w:r>
        <w:rPr>
          <w:rFonts w:hint="eastAsia" w:ascii="宋体" w:hAnsi="宋体" w:cs="宋体"/>
          <w:b w:val="0"/>
          <w:bCs w:val="0"/>
          <w:color w:val="auto"/>
          <w:sz w:val="24"/>
          <w:szCs w:val="24"/>
          <w:highlight w:val="none"/>
          <w:lang w:eastAsia="zh-CN"/>
        </w:rPr>
        <w:t>《全国公共资源交易平台（河南省·平顶山市）》</w:t>
      </w:r>
      <w:r>
        <w:rPr>
          <w:rFonts w:hint="eastAsia" w:ascii="宋体" w:hAnsi="宋体" w:eastAsia="宋体" w:cs="宋体"/>
          <w:b w:val="0"/>
          <w:bCs w:val="0"/>
          <w:color w:val="auto"/>
          <w:sz w:val="24"/>
          <w:szCs w:val="24"/>
          <w:highlight w:val="none"/>
        </w:rPr>
        <w:t>交易系统中上传加密电子投标文件。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五、开标时间及地点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1、时间：2024年0</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月</w:t>
      </w:r>
      <w:r>
        <w:rPr>
          <w:rFonts w:hint="eastAsia" w:ascii="宋体" w:hAnsi="宋体" w:cs="宋体"/>
          <w:b w:val="0"/>
          <w:bCs w:val="0"/>
          <w:color w:val="auto"/>
          <w:sz w:val="24"/>
          <w:szCs w:val="24"/>
          <w:highlight w:val="none"/>
          <w:lang w:val="en-US" w:eastAsia="zh-CN"/>
        </w:rPr>
        <w:t>21</w:t>
      </w:r>
      <w:r>
        <w:rPr>
          <w:rFonts w:hint="eastAsia" w:ascii="宋体" w:hAnsi="宋体" w:eastAsia="宋体" w:cs="宋体"/>
          <w:b w:val="0"/>
          <w:bCs w:val="0"/>
          <w:color w:val="auto"/>
          <w:sz w:val="24"/>
          <w:szCs w:val="24"/>
          <w:highlight w:val="none"/>
        </w:rPr>
        <w:t>日09时00分（北京时间）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2、地点：《全国公共资源交易平台（河南省·平顶山市）》（网址：http://ggzy.pds.gov.cn/)</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六、发布公告的媒介及招标公告期限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本次招标公告在</w:t>
      </w:r>
      <w:r>
        <w:rPr>
          <w:rFonts w:hint="eastAsia" w:ascii="宋体" w:hAnsi="宋体" w:cs="宋体"/>
          <w:sz w:val="24"/>
          <w:highlight w:val="none"/>
        </w:rPr>
        <w:t>《中国政府采购网》、</w:t>
      </w:r>
      <w:r>
        <w:rPr>
          <w:rFonts w:hint="eastAsia" w:ascii="宋体" w:hAnsi="宋体" w:eastAsia="宋体" w:cs="宋体"/>
          <w:b w:val="0"/>
          <w:bCs w:val="0"/>
          <w:color w:val="auto"/>
          <w:sz w:val="24"/>
          <w:szCs w:val="24"/>
          <w:highlight w:val="none"/>
        </w:rPr>
        <w:t>《河南省政府采购网》</w:t>
      </w:r>
      <w:r>
        <w:rPr>
          <w:rFonts w:hint="eastAsia" w:ascii="宋体" w:hAnsi="宋体" w:eastAsia="宋体" w:cs="宋体"/>
          <w:sz w:val="24"/>
          <w:szCs w:val="24"/>
          <w:highlight w:val="none"/>
          <w:lang w:eastAsia="zh-CN"/>
        </w:rPr>
        <w:t>、</w:t>
      </w:r>
      <w:r>
        <w:rPr>
          <w:rFonts w:hint="eastAsia" w:ascii="宋体" w:hAnsi="宋体" w:eastAsia="宋体" w:cs="宋体"/>
          <w:i w:val="0"/>
          <w:iCs w:val="0"/>
          <w:caps w:val="0"/>
          <w:color w:val="auto"/>
          <w:spacing w:val="0"/>
          <w:sz w:val="24"/>
          <w:szCs w:val="24"/>
          <w:highlight w:val="none"/>
          <w:shd w:val="clear" w:fill="auto"/>
        </w:rPr>
        <w:t>《平顶山市政府采购网》</w:t>
      </w:r>
      <w:r>
        <w:rPr>
          <w:rFonts w:hint="eastAsia" w:ascii="宋体" w:hAnsi="宋体" w:eastAsia="宋体" w:cs="宋体"/>
          <w:b w:val="0"/>
          <w:bCs w:val="0"/>
          <w:color w:val="auto"/>
          <w:sz w:val="24"/>
          <w:szCs w:val="24"/>
          <w:highlight w:val="none"/>
        </w:rPr>
        <w:t>、</w:t>
      </w:r>
      <w:r>
        <w:rPr>
          <w:rFonts w:hint="eastAsia" w:ascii="宋体" w:hAnsi="宋体" w:cs="宋体"/>
          <w:sz w:val="24"/>
          <w:highlight w:val="none"/>
        </w:rPr>
        <w:t>《中国招标投标公共服务平台》、《河南省电子招标投标公共服务平台》</w:t>
      </w:r>
      <w:r>
        <w:rPr>
          <w:rFonts w:hint="eastAsia" w:ascii="宋体" w:hAnsi="宋体" w:eastAsia="宋体" w:cs="宋体"/>
          <w:sz w:val="24"/>
          <w:szCs w:val="24"/>
          <w:highlight w:val="none"/>
          <w:lang w:eastAsia="zh-CN"/>
        </w:rPr>
        <w:t>、</w:t>
      </w:r>
      <w:r>
        <w:rPr>
          <w:rFonts w:hint="eastAsia" w:ascii="宋体" w:hAnsi="宋体" w:eastAsia="宋体" w:cs="宋体"/>
          <w:b w:val="0"/>
          <w:bCs w:val="0"/>
          <w:color w:val="auto"/>
          <w:sz w:val="24"/>
          <w:szCs w:val="24"/>
          <w:highlight w:val="none"/>
        </w:rPr>
        <w:t>《全国公共资源交易平台（河南省·平顶山）》上发布</w:t>
      </w:r>
      <w:r>
        <w:rPr>
          <w:rFonts w:hint="eastAsia" w:ascii="宋体" w:hAnsi="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招标公告期限为五个工作日。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七、其他补充事宜： </w:t>
      </w:r>
    </w:p>
    <w:p>
      <w:pPr>
        <w:widowControl/>
        <w:spacing w:line="360" w:lineRule="auto"/>
        <w:ind w:firstLine="480" w:firstLineChars="200"/>
        <w:jc w:val="left"/>
        <w:outlineLvl w:val="9"/>
        <w:rPr>
          <w:rFonts w:hint="eastAsia" w:ascii="宋体" w:hAnsi="宋体" w:cs="宋体"/>
          <w:b w:val="0"/>
          <w:bCs w:val="0"/>
          <w:color w:val="auto"/>
          <w:sz w:val="24"/>
          <w:highlight w:val="none"/>
          <w:lang w:val="en-US" w:eastAsia="zh-CN"/>
        </w:rPr>
      </w:pPr>
      <w:bookmarkStart w:id="3" w:name="_Toc26073"/>
      <w:r>
        <w:rPr>
          <w:rFonts w:hint="eastAsia" w:ascii="宋体" w:hAnsi="宋体" w:cs="宋体"/>
          <w:b w:val="0"/>
          <w:bCs w:val="0"/>
          <w:color w:val="auto"/>
          <w:sz w:val="24"/>
          <w:highlight w:val="none"/>
          <w:lang w:val="en-US" w:eastAsia="zh-CN"/>
        </w:rPr>
        <w:t>1、本项目执行落实支持创新、绿色发展、节能环保、促进中小型企业发展政策（监狱企业、残疾人福利性企业视同小微企业），优先采购节能环保产品，政府强制采购节能产品等。</w:t>
      </w:r>
      <w:bookmarkEnd w:id="3"/>
    </w:p>
    <w:p>
      <w:pPr>
        <w:widowControl/>
        <w:spacing w:line="360" w:lineRule="auto"/>
        <w:ind w:firstLine="480" w:firstLineChars="200"/>
        <w:jc w:val="left"/>
        <w:outlineLvl w:val="9"/>
        <w:rPr>
          <w:rFonts w:hint="eastAsia" w:ascii="宋体" w:hAnsi="宋体" w:cs="宋体"/>
          <w:b w:val="0"/>
          <w:bCs w:val="0"/>
          <w:color w:val="auto"/>
          <w:sz w:val="24"/>
          <w:highlight w:val="none"/>
          <w:lang w:val="en-US" w:eastAsia="zh-CN"/>
        </w:rPr>
      </w:pPr>
      <w:bookmarkStart w:id="4" w:name="_Toc9504"/>
      <w:r>
        <w:rPr>
          <w:rFonts w:hint="eastAsia" w:ascii="宋体" w:hAnsi="宋体" w:cs="宋体"/>
          <w:b w:val="0"/>
          <w:bCs w:val="0"/>
          <w:color w:val="auto"/>
          <w:sz w:val="24"/>
          <w:highlight w:val="none"/>
          <w:lang w:val="en-US" w:eastAsia="zh-CN"/>
        </w:rPr>
        <w:t>2、中心全面实行在线“不见面”开标，供应商需要在投标截止时间前在平顶山市公共资源交易中心交易系统中将加密电子投标文件加密上传，不再到开标现场，供应商开标前应仔细阅读《“不见面”开标注意事项及操作流程》。逾期上传的投标文件，采购人不予受理。</w:t>
      </w:r>
      <w:bookmarkEnd w:id="4"/>
    </w:p>
    <w:p>
      <w:pPr>
        <w:widowControl/>
        <w:spacing w:line="360" w:lineRule="auto"/>
        <w:ind w:firstLine="480" w:firstLineChars="200"/>
        <w:jc w:val="left"/>
        <w:outlineLvl w:val="9"/>
        <w:rPr>
          <w:rFonts w:hint="eastAsia" w:ascii="宋体" w:hAnsi="宋体" w:cs="宋体"/>
          <w:b w:val="0"/>
          <w:bCs w:val="0"/>
          <w:color w:val="auto"/>
          <w:sz w:val="24"/>
          <w:highlight w:val="none"/>
          <w:lang w:val="en-US" w:eastAsia="zh-CN"/>
        </w:rPr>
      </w:pPr>
      <w:bookmarkStart w:id="5" w:name="_Toc19321"/>
      <w:r>
        <w:rPr>
          <w:rFonts w:hint="eastAsia" w:ascii="宋体" w:hAnsi="宋体" w:cs="宋体"/>
          <w:b w:val="0"/>
          <w:bCs w:val="0"/>
          <w:color w:val="auto"/>
          <w:sz w:val="24"/>
          <w:highlight w:val="none"/>
          <w:lang w:val="en-US" w:eastAsia="zh-CN"/>
        </w:rPr>
        <w:t>3、供应商可通过平顶山市公共资源交易平台向采购人（代理机构）、行政监督部门提出在线质疑（异议）、投诉。</w:t>
      </w:r>
      <w:bookmarkEnd w:id="5"/>
    </w:p>
    <w:p>
      <w:pPr>
        <w:widowControl/>
        <w:spacing w:line="360" w:lineRule="auto"/>
        <w:ind w:firstLine="480" w:firstLineChars="200"/>
        <w:jc w:val="left"/>
        <w:outlineLvl w:val="9"/>
        <w:rPr>
          <w:rFonts w:hint="eastAsia" w:ascii="宋体" w:hAnsi="宋体" w:cs="宋体"/>
          <w:b w:val="0"/>
          <w:bCs w:val="0"/>
          <w:color w:val="auto"/>
          <w:sz w:val="24"/>
          <w:highlight w:val="none"/>
          <w:lang w:val="en-US" w:eastAsia="zh-CN"/>
        </w:rPr>
      </w:pPr>
      <w:bookmarkStart w:id="6" w:name="_Toc22227"/>
      <w:r>
        <w:rPr>
          <w:rFonts w:hint="eastAsia" w:ascii="宋体" w:hAnsi="宋体" w:cs="宋体"/>
          <w:b w:val="0"/>
          <w:bCs w:val="0"/>
          <w:color w:val="auto"/>
          <w:sz w:val="24"/>
          <w:highlight w:val="none"/>
          <w:lang w:val="en-US" w:eastAsia="zh-CN"/>
        </w:rPr>
        <w:t>4、该公告已同步至“平顶山市公共资源交易中心微信公众号”，可通过公众号中的服务栏目进行查阅”。</w:t>
      </w:r>
      <w:bookmarkEnd w:id="6"/>
    </w:p>
    <w:p>
      <w:pPr>
        <w:widowControl/>
        <w:spacing w:line="360" w:lineRule="auto"/>
        <w:ind w:firstLine="480" w:firstLineChars="200"/>
        <w:jc w:val="left"/>
        <w:outlineLvl w:val="9"/>
        <w:rPr>
          <w:rFonts w:hint="eastAsia" w:ascii="宋体" w:hAnsi="宋体" w:cs="宋体"/>
          <w:b w:val="0"/>
          <w:bCs w:val="0"/>
          <w:color w:val="auto"/>
          <w:sz w:val="24"/>
          <w:highlight w:val="none"/>
          <w:lang w:val="en-US" w:eastAsia="zh-CN"/>
        </w:rPr>
      </w:pPr>
      <w:bookmarkStart w:id="7" w:name="_Toc30915"/>
      <w:r>
        <w:rPr>
          <w:rFonts w:hint="eastAsia" w:ascii="宋体" w:hAnsi="宋体" w:cs="宋体"/>
          <w:b w:val="0"/>
          <w:bCs w:val="0"/>
          <w:color w:val="auto"/>
          <w:sz w:val="24"/>
          <w:highlight w:val="none"/>
          <w:lang w:val="en-US" w:eastAsia="zh-CN"/>
        </w:rPr>
        <w:t>5</w:t>
      </w:r>
      <w:r>
        <w:rPr>
          <w:rFonts w:hint="eastAsia" w:ascii="宋体" w:hAnsi="宋体" w:cs="宋体"/>
          <w:b w:val="0"/>
          <w:bCs w:val="0"/>
          <w:color w:val="auto"/>
          <w:sz w:val="24"/>
          <w:highlight w:val="none"/>
        </w:rPr>
        <w:t>、</w:t>
      </w:r>
      <w:r>
        <w:rPr>
          <w:rFonts w:hint="eastAsia" w:ascii="宋体" w:hAnsi="宋体" w:cs="宋体"/>
          <w:b w:val="0"/>
          <w:bCs w:val="0"/>
          <w:color w:val="auto"/>
          <w:sz w:val="24"/>
          <w:highlight w:val="none"/>
          <w:lang w:eastAsia="zh-CN"/>
        </w:rPr>
        <w:t>投标人</w:t>
      </w:r>
      <w:r>
        <w:rPr>
          <w:rFonts w:hint="eastAsia" w:ascii="宋体" w:hAnsi="宋体" w:cs="宋体"/>
          <w:b w:val="0"/>
          <w:bCs w:val="0"/>
          <w:color w:val="auto"/>
          <w:sz w:val="24"/>
          <w:highlight w:val="none"/>
        </w:rPr>
        <w:t>可同时参与多个标包投标，可同时中标不同产品多个标包。同一产品划分多个标包的，</w:t>
      </w:r>
      <w:r>
        <w:rPr>
          <w:rFonts w:hint="eastAsia" w:ascii="宋体" w:hAnsi="宋体" w:cs="宋体"/>
          <w:b w:val="0"/>
          <w:bCs w:val="0"/>
          <w:color w:val="auto"/>
          <w:sz w:val="24"/>
          <w:highlight w:val="none"/>
          <w:lang w:eastAsia="zh-CN"/>
        </w:rPr>
        <w:t>投标人</w:t>
      </w:r>
      <w:r>
        <w:rPr>
          <w:rFonts w:hint="eastAsia" w:ascii="宋体" w:hAnsi="宋体" w:cs="宋体"/>
          <w:b w:val="0"/>
          <w:bCs w:val="0"/>
          <w:color w:val="auto"/>
          <w:sz w:val="24"/>
          <w:highlight w:val="none"/>
        </w:rPr>
        <w:t>可同时参与多个标包投标，但只允许中取一个标包（若同一投标人在多个包中综合得分排名第一时，确定其为包号顺序靠前</w:t>
      </w:r>
      <w:r>
        <w:rPr>
          <w:rFonts w:hint="eastAsia" w:ascii="宋体" w:hAnsi="宋体" w:cs="宋体"/>
          <w:b w:val="0"/>
          <w:bCs w:val="0"/>
          <w:color w:val="auto"/>
          <w:sz w:val="24"/>
          <w:highlight w:val="none"/>
          <w:lang w:val="en-US" w:eastAsia="zh-CN"/>
        </w:rPr>
        <w:t>标</w:t>
      </w:r>
      <w:r>
        <w:rPr>
          <w:rFonts w:hint="eastAsia" w:ascii="宋体" w:hAnsi="宋体" w:cs="宋体"/>
          <w:b w:val="0"/>
          <w:bCs w:val="0"/>
          <w:color w:val="auto"/>
          <w:sz w:val="24"/>
          <w:highlight w:val="none"/>
        </w:rPr>
        <w:t>包的中标候选人，其他相关包推荐综合得分排名第二的投标人为该包的中标候选人，当相关包综合得分排名第二的投标人在所投其他包已被确定为中标候选人时，则由综合得分排名第三的投标人递补，依次类推）。当任一标包的第一中标候选人放弃中标，或因不可抗力提出不能履行合同，不按招标文件要求提交履约保证金或保函，或者被查实存在影响中标结果的违法行为等情形而不符合中标条件的，采购人将对该标包进行重新招标。</w:t>
      </w:r>
      <w:bookmarkEnd w:id="7"/>
    </w:p>
    <w:p>
      <w:pPr>
        <w:widowControl/>
        <w:spacing w:line="360" w:lineRule="auto"/>
        <w:ind w:firstLine="480" w:firstLineChars="200"/>
        <w:jc w:val="left"/>
        <w:outlineLvl w:val="9"/>
        <w:rPr>
          <w:rFonts w:hint="eastAsia" w:ascii="宋体" w:hAnsi="宋体" w:cs="宋体"/>
          <w:b w:val="0"/>
          <w:bCs w:val="0"/>
          <w:color w:val="auto"/>
          <w:sz w:val="24"/>
          <w:highlight w:val="none"/>
          <w:lang w:val="en-US" w:eastAsia="zh-CN"/>
        </w:rPr>
      </w:pPr>
      <w:bookmarkStart w:id="8" w:name="_Toc18792"/>
      <w:r>
        <w:rPr>
          <w:rFonts w:hint="eastAsia" w:ascii="宋体" w:hAnsi="宋体" w:cs="宋体"/>
          <w:b w:val="0"/>
          <w:bCs w:val="0"/>
          <w:color w:val="auto"/>
          <w:sz w:val="24"/>
          <w:highlight w:val="none"/>
          <w:lang w:val="en-US" w:eastAsia="zh-CN"/>
        </w:rPr>
        <w:t>6、监督单位：平顶山市政府采购服务中心</w:t>
      </w:r>
      <w:bookmarkEnd w:id="8"/>
    </w:p>
    <w:p>
      <w:pPr>
        <w:widowControl/>
        <w:spacing w:line="360" w:lineRule="auto"/>
        <w:ind w:firstLine="480" w:firstLineChars="200"/>
        <w:jc w:val="left"/>
        <w:outlineLvl w:val="9"/>
        <w:rPr>
          <w:rFonts w:hint="default" w:ascii="宋体" w:hAnsi="宋体" w:cs="宋体"/>
          <w:b w:val="0"/>
          <w:bCs w:val="0"/>
          <w:color w:val="auto"/>
          <w:sz w:val="24"/>
          <w:highlight w:val="none"/>
          <w:lang w:val="en-US" w:eastAsia="zh-CN"/>
        </w:rPr>
      </w:pPr>
      <w:bookmarkStart w:id="9" w:name="_Toc27846"/>
      <w:r>
        <w:rPr>
          <w:rFonts w:hint="eastAsia" w:ascii="宋体" w:hAnsi="宋体" w:cs="宋体"/>
          <w:b w:val="0"/>
          <w:bCs w:val="0"/>
          <w:color w:val="auto"/>
          <w:sz w:val="24"/>
          <w:highlight w:val="none"/>
          <w:lang w:val="en-US" w:eastAsia="zh-CN"/>
        </w:rPr>
        <w:t>联系方式：0375-262759</w:t>
      </w:r>
      <w:bookmarkEnd w:id="9"/>
      <w:r>
        <w:rPr>
          <w:rFonts w:hint="eastAsia" w:ascii="宋体" w:hAnsi="宋体" w:cs="宋体"/>
          <w:b w:val="0"/>
          <w:bCs w:val="0"/>
          <w:color w:val="auto"/>
          <w:sz w:val="24"/>
          <w:highlight w:val="none"/>
          <w:lang w:val="en-US" w:eastAsia="zh-CN"/>
        </w:rPr>
        <w:t>3</w:t>
      </w:r>
    </w:p>
    <w:p>
      <w:pPr>
        <w:widowControl/>
        <w:spacing w:line="360" w:lineRule="auto"/>
        <w:ind w:firstLine="480" w:firstLineChars="200"/>
        <w:jc w:val="left"/>
        <w:outlineLvl w:val="9"/>
        <w:rPr>
          <w:rFonts w:hint="eastAsia" w:ascii="宋体" w:hAnsi="宋体" w:cs="宋体"/>
          <w:b w:val="0"/>
          <w:bCs w:val="0"/>
          <w:color w:val="auto"/>
          <w:sz w:val="24"/>
          <w:highlight w:val="none"/>
        </w:rPr>
      </w:pPr>
      <w:r>
        <w:rPr>
          <w:rFonts w:hint="eastAsia" w:ascii="宋体" w:hAnsi="宋体" w:cs="宋体"/>
          <w:b w:val="0"/>
          <w:bCs w:val="0"/>
          <w:color w:val="auto"/>
          <w:sz w:val="24"/>
          <w:highlight w:val="none"/>
          <w:lang w:val="en-US" w:eastAsia="zh-CN"/>
        </w:rPr>
        <w:t>统一社会信用代码：12410400MB1N33980Q</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八、凡对本次招标提出询问，请按照以下方式联系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1.采购人信息：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名称：</w:t>
      </w:r>
      <w:r>
        <w:rPr>
          <w:rFonts w:hint="eastAsia" w:ascii="宋体" w:hAnsi="宋体" w:cs="宋体"/>
          <w:b w:val="0"/>
          <w:bCs w:val="0"/>
          <w:color w:val="auto"/>
          <w:sz w:val="24"/>
          <w:szCs w:val="24"/>
          <w:highlight w:val="none"/>
          <w:lang w:eastAsia="zh-CN"/>
        </w:rPr>
        <w:t>平顶山市消防救援支队</w:t>
      </w:r>
      <w:r>
        <w:rPr>
          <w:rFonts w:hint="eastAsia" w:ascii="宋体" w:hAnsi="宋体" w:eastAsia="宋体" w:cs="宋体"/>
          <w:b w:val="0"/>
          <w:bCs w:val="0"/>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地址：平顶山市新城区未来路与吉祥路交叉口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联系人：</w:t>
      </w:r>
      <w:r>
        <w:rPr>
          <w:rFonts w:hint="eastAsia" w:ascii="宋体" w:hAnsi="宋体" w:cs="宋体"/>
          <w:b w:val="0"/>
          <w:bCs w:val="0"/>
          <w:color w:val="auto"/>
          <w:sz w:val="24"/>
          <w:szCs w:val="24"/>
          <w:highlight w:val="none"/>
          <w:lang w:val="en-US" w:eastAsia="zh-CN"/>
        </w:rPr>
        <w:t>张文超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联系电话：</w:t>
      </w:r>
      <w:r>
        <w:rPr>
          <w:rFonts w:hint="eastAsia" w:ascii="宋体" w:hAnsi="宋体" w:cs="宋体"/>
          <w:b w:val="0"/>
          <w:bCs w:val="0"/>
          <w:color w:val="auto"/>
          <w:sz w:val="24"/>
          <w:szCs w:val="24"/>
          <w:highlight w:val="none"/>
          <w:lang w:val="en-US" w:eastAsia="zh-CN"/>
        </w:rPr>
        <w:t>0375-2235025</w:t>
      </w:r>
      <w:r>
        <w:rPr>
          <w:rFonts w:hint="eastAsia" w:ascii="宋体" w:hAnsi="宋体" w:eastAsia="宋体" w:cs="宋体"/>
          <w:b w:val="0"/>
          <w:bCs w:val="0"/>
          <w:color w:val="auto"/>
          <w:sz w:val="24"/>
          <w:szCs w:val="24"/>
          <w:highlight w:val="none"/>
        </w:rPr>
        <w:t xml:space="preserve"> </w:t>
      </w:r>
    </w:p>
    <w:p>
      <w:pPr>
        <w:adjustRightInd w:val="0"/>
        <w:snapToGrid w:val="0"/>
        <w:spacing w:line="360" w:lineRule="auto"/>
        <w:ind w:firstLine="480" w:firstLineChars="200"/>
        <w:jc w:val="left"/>
        <w:rPr>
          <w:rFonts w:hint="eastAsia" w:ascii="宋体" w:hAnsi="宋体" w:cs="宋体"/>
          <w:b w:val="0"/>
          <w:bCs w:val="0"/>
          <w:color w:val="auto"/>
          <w:sz w:val="24"/>
          <w:highlight w:val="none"/>
        </w:rPr>
      </w:pPr>
      <w:bookmarkStart w:id="10" w:name="_Toc30939"/>
      <w:r>
        <w:rPr>
          <w:rFonts w:hint="eastAsia" w:ascii="宋体" w:hAnsi="宋体" w:cs="宋体"/>
          <w:b w:val="0"/>
          <w:bCs w:val="0"/>
          <w:color w:val="auto"/>
          <w:sz w:val="24"/>
          <w:highlight w:val="none"/>
        </w:rPr>
        <w:t>2.采购代理机构信息（如有）</w:t>
      </w:r>
      <w:bookmarkEnd w:id="10"/>
      <w:r>
        <w:rPr>
          <w:rFonts w:hint="eastAsia" w:ascii="宋体" w:hAnsi="宋体" w:cs="宋体"/>
          <w:b w:val="0"/>
          <w:bCs w:val="0"/>
          <w:color w:val="auto"/>
          <w:sz w:val="24"/>
          <w:highlight w:val="none"/>
        </w:rPr>
        <w:t xml:space="preserve"> </w:t>
      </w:r>
    </w:p>
    <w:p>
      <w:pPr>
        <w:adjustRightInd w:val="0"/>
        <w:snapToGrid w:val="0"/>
        <w:spacing w:line="360" w:lineRule="auto"/>
        <w:ind w:firstLine="480" w:firstLineChars="200"/>
        <w:jc w:val="left"/>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名称：</w:t>
      </w:r>
      <w:r>
        <w:rPr>
          <w:rFonts w:hint="eastAsia" w:ascii="宋体" w:hAnsi="宋体" w:cs="宋体"/>
          <w:b w:val="0"/>
          <w:bCs w:val="0"/>
          <w:color w:val="auto"/>
          <w:sz w:val="24"/>
          <w:highlight w:val="none"/>
          <w:lang w:eastAsia="zh-CN"/>
        </w:rPr>
        <w:t>中发祥和工程管理有限公司</w:t>
      </w:r>
      <w:r>
        <w:rPr>
          <w:rFonts w:hint="eastAsia" w:ascii="宋体" w:hAnsi="宋体" w:cs="宋体"/>
          <w:b w:val="0"/>
          <w:bCs w:val="0"/>
          <w:color w:val="auto"/>
          <w:sz w:val="24"/>
          <w:highlight w:val="none"/>
        </w:rPr>
        <w:t xml:space="preserve"> </w:t>
      </w:r>
    </w:p>
    <w:p>
      <w:pPr>
        <w:adjustRightInd w:val="0"/>
        <w:snapToGrid w:val="0"/>
        <w:spacing w:line="360" w:lineRule="auto"/>
        <w:ind w:firstLine="480" w:firstLineChars="200"/>
        <w:jc w:val="left"/>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地址：河南省郑州市中原区建设西路198号院B座12层10号、11号</w:t>
      </w:r>
    </w:p>
    <w:p>
      <w:pPr>
        <w:adjustRightInd w:val="0"/>
        <w:snapToGrid w:val="0"/>
        <w:spacing w:line="360" w:lineRule="auto"/>
        <w:ind w:firstLine="480" w:firstLineChars="200"/>
        <w:jc w:val="left"/>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rPr>
        <w:t>联系人：</w:t>
      </w:r>
      <w:r>
        <w:rPr>
          <w:rFonts w:hint="eastAsia" w:ascii="宋体" w:hAnsi="宋体" w:cs="宋体"/>
          <w:b w:val="0"/>
          <w:bCs w:val="0"/>
          <w:color w:val="auto"/>
          <w:sz w:val="24"/>
          <w:highlight w:val="none"/>
          <w:lang w:eastAsia="zh-CN"/>
        </w:rPr>
        <w:t>张克玉</w:t>
      </w:r>
    </w:p>
    <w:p>
      <w:pPr>
        <w:adjustRightInd w:val="0"/>
        <w:snapToGrid w:val="0"/>
        <w:spacing w:line="360" w:lineRule="auto"/>
        <w:ind w:firstLine="480" w:firstLineChars="200"/>
        <w:jc w:val="left"/>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联系方式：</w:t>
      </w:r>
      <w:r>
        <w:rPr>
          <w:rFonts w:hint="eastAsia" w:ascii="宋体" w:hAnsi="宋体" w:cs="宋体"/>
          <w:b w:val="0"/>
          <w:bCs w:val="0"/>
          <w:color w:val="auto"/>
          <w:sz w:val="24"/>
          <w:highlight w:val="none"/>
          <w:lang w:val="en-US" w:eastAsia="zh-CN"/>
        </w:rPr>
        <w:t>0371-63399916,15639044333</w:t>
      </w:r>
    </w:p>
    <w:p>
      <w:pPr>
        <w:adjustRightInd w:val="0"/>
        <w:snapToGrid w:val="0"/>
        <w:spacing w:line="360" w:lineRule="auto"/>
        <w:ind w:firstLine="480" w:firstLineChars="200"/>
        <w:jc w:val="left"/>
        <w:rPr>
          <w:rFonts w:hint="eastAsia" w:ascii="宋体" w:hAnsi="宋体" w:cs="宋体"/>
          <w:b w:val="0"/>
          <w:bCs w:val="0"/>
          <w:color w:val="auto"/>
          <w:sz w:val="24"/>
          <w:highlight w:val="none"/>
        </w:rPr>
      </w:pPr>
      <w:bookmarkStart w:id="11" w:name="_Toc15407"/>
      <w:r>
        <w:rPr>
          <w:rFonts w:hint="eastAsia" w:ascii="宋体" w:hAnsi="宋体" w:cs="宋体"/>
          <w:b w:val="0"/>
          <w:bCs w:val="0"/>
          <w:color w:val="auto"/>
          <w:sz w:val="24"/>
          <w:highlight w:val="none"/>
        </w:rPr>
        <w:t>3.项目联系方式</w:t>
      </w:r>
      <w:bookmarkEnd w:id="11"/>
      <w:r>
        <w:rPr>
          <w:rFonts w:hint="eastAsia" w:ascii="宋体" w:hAnsi="宋体" w:cs="宋体"/>
          <w:b w:val="0"/>
          <w:bCs w:val="0"/>
          <w:color w:val="auto"/>
          <w:sz w:val="24"/>
          <w:highlight w:val="none"/>
        </w:rPr>
        <w:t xml:space="preserve"> </w:t>
      </w:r>
    </w:p>
    <w:p>
      <w:pPr>
        <w:adjustRightInd w:val="0"/>
        <w:snapToGrid w:val="0"/>
        <w:spacing w:line="360" w:lineRule="auto"/>
        <w:ind w:firstLine="480" w:firstLineChars="200"/>
        <w:jc w:val="left"/>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rPr>
        <w:t>项目联系人：</w:t>
      </w:r>
      <w:r>
        <w:rPr>
          <w:rFonts w:hint="eastAsia" w:ascii="宋体" w:hAnsi="宋体" w:cs="宋体"/>
          <w:b w:val="0"/>
          <w:bCs w:val="0"/>
          <w:color w:val="auto"/>
          <w:sz w:val="24"/>
          <w:highlight w:val="none"/>
          <w:lang w:eastAsia="zh-CN"/>
        </w:rPr>
        <w:t>张克玉</w:t>
      </w:r>
    </w:p>
    <w:p>
      <w:pPr>
        <w:adjustRightInd w:val="0"/>
        <w:snapToGrid w:val="0"/>
        <w:spacing w:line="360" w:lineRule="auto"/>
        <w:ind w:firstLine="480" w:firstLineChars="200"/>
        <w:jc w:val="left"/>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联系方式：</w:t>
      </w:r>
      <w:r>
        <w:rPr>
          <w:rFonts w:hint="eastAsia" w:ascii="宋体" w:hAnsi="宋体" w:cs="宋体"/>
          <w:b w:val="0"/>
          <w:bCs w:val="0"/>
          <w:color w:val="auto"/>
          <w:sz w:val="24"/>
          <w:highlight w:val="none"/>
          <w:lang w:val="en-US" w:eastAsia="zh-CN"/>
        </w:rPr>
        <w:t>0371-63399916,15639044333</w:t>
      </w:r>
    </w:p>
    <w:p>
      <w:pPr>
        <w:rPr>
          <w:highlight w:val="none"/>
        </w:rPr>
      </w:pPr>
    </w:p>
    <w:p>
      <w:pPr>
        <w:adjustRightInd w:val="0"/>
        <w:snapToGrid w:val="0"/>
        <w:spacing w:line="360" w:lineRule="auto"/>
        <w:ind w:firstLine="480" w:firstLineChars="200"/>
        <w:jc w:val="left"/>
        <w:rPr>
          <w:color w:val="auto"/>
          <w:highlight w:val="none"/>
        </w:rPr>
      </w:pPr>
      <w:r>
        <w:rPr>
          <w:rFonts w:ascii="宋体" w:hAnsi="宋体" w:cs="宋体"/>
          <w:color w:val="auto"/>
          <w:sz w:val="24"/>
          <w:highlight w:val="none"/>
        </w:rPr>
        <w:t xml:space="preserve">  </w:t>
      </w:r>
    </w:p>
    <w:p>
      <w:pPr>
        <w:numPr>
          <w:ilvl w:val="0"/>
          <w:numId w:val="1"/>
        </w:numPr>
        <w:spacing w:line="360" w:lineRule="auto"/>
        <w:jc w:val="center"/>
        <w:outlineLvl w:val="0"/>
        <w:rPr>
          <w:rStyle w:val="26"/>
          <w:rFonts w:ascii="宋体" w:cs="宋体"/>
          <w:color w:val="auto"/>
          <w:highlight w:val="none"/>
        </w:rPr>
      </w:pPr>
      <w:bookmarkStart w:id="12" w:name="_Toc25086"/>
      <w:bookmarkStart w:id="13" w:name="_Toc40112128"/>
      <w:r>
        <w:rPr>
          <w:rStyle w:val="26"/>
          <w:rFonts w:ascii="宋体" w:cs="宋体"/>
          <w:color w:val="auto"/>
          <w:highlight w:val="none"/>
        </w:rPr>
        <w:br w:type="page"/>
      </w:r>
      <w:bookmarkStart w:id="14" w:name="_Toc4342"/>
      <w:bookmarkStart w:id="15" w:name="_Toc25487"/>
      <w:bookmarkStart w:id="16" w:name="_Toc25564"/>
      <w:r>
        <w:rPr>
          <w:rStyle w:val="26"/>
          <w:rFonts w:hint="eastAsia" w:ascii="宋体" w:hAnsi="宋体" w:cs="宋体"/>
          <w:color w:val="auto"/>
          <w:highlight w:val="none"/>
          <w:lang w:eastAsia="zh-CN"/>
        </w:rPr>
        <w:t>投标人</w:t>
      </w:r>
      <w:r>
        <w:rPr>
          <w:rStyle w:val="26"/>
          <w:rFonts w:hint="eastAsia" w:ascii="宋体" w:hAnsi="宋体" w:cs="宋体"/>
          <w:color w:val="auto"/>
          <w:highlight w:val="none"/>
        </w:rPr>
        <w:t>须知</w:t>
      </w:r>
      <w:bookmarkEnd w:id="12"/>
      <w:bookmarkEnd w:id="13"/>
      <w:bookmarkEnd w:id="14"/>
      <w:bookmarkEnd w:id="15"/>
      <w:bookmarkEnd w:id="16"/>
    </w:p>
    <w:p>
      <w:pPr>
        <w:pStyle w:val="3"/>
        <w:ind w:left="420"/>
        <w:jc w:val="center"/>
        <w:rPr>
          <w:rStyle w:val="26"/>
          <w:rFonts w:ascii="宋体" w:hAnsi="Arial" w:cs="宋体"/>
          <w:b/>
          <w:bCs/>
          <w:color w:val="auto"/>
          <w:szCs w:val="32"/>
          <w:highlight w:val="none"/>
        </w:rPr>
      </w:pPr>
      <w:bookmarkStart w:id="17" w:name="_Toc14706"/>
      <w:bookmarkStart w:id="18" w:name="_Toc9954"/>
      <w:bookmarkStart w:id="19" w:name="_Toc8960"/>
      <w:bookmarkStart w:id="20" w:name="_Toc2805"/>
      <w:bookmarkStart w:id="21" w:name="_Toc40112129"/>
      <w:r>
        <w:rPr>
          <w:rStyle w:val="26"/>
          <w:rFonts w:hint="eastAsia" w:ascii="宋体" w:hAnsi="宋体" w:cs="宋体"/>
          <w:b/>
          <w:bCs/>
          <w:color w:val="auto"/>
          <w:szCs w:val="32"/>
          <w:highlight w:val="none"/>
          <w:lang w:eastAsia="zh-CN"/>
        </w:rPr>
        <w:t>投标人</w:t>
      </w:r>
      <w:r>
        <w:rPr>
          <w:rStyle w:val="26"/>
          <w:rFonts w:hint="eastAsia" w:ascii="宋体" w:hAnsi="宋体" w:cs="宋体"/>
          <w:b/>
          <w:bCs/>
          <w:color w:val="auto"/>
          <w:szCs w:val="32"/>
          <w:highlight w:val="none"/>
        </w:rPr>
        <w:t>须知前附表</w:t>
      </w:r>
      <w:bookmarkEnd w:id="17"/>
      <w:bookmarkEnd w:id="18"/>
      <w:bookmarkEnd w:id="19"/>
      <w:bookmarkEnd w:id="20"/>
      <w:bookmarkEnd w:id="21"/>
    </w:p>
    <w:p>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本表是对</w:t>
      </w:r>
      <w:r>
        <w:rPr>
          <w:rFonts w:hint="eastAsia" w:ascii="宋体" w:hAnsi="宋体" w:cs="宋体"/>
          <w:color w:val="auto"/>
          <w:sz w:val="24"/>
          <w:highlight w:val="none"/>
          <w:lang w:eastAsia="zh-CN"/>
        </w:rPr>
        <w:t>投标人</w:t>
      </w:r>
      <w:r>
        <w:rPr>
          <w:rFonts w:hint="eastAsia" w:ascii="宋体" w:hAnsi="宋体" w:cs="宋体"/>
          <w:color w:val="auto"/>
          <w:sz w:val="24"/>
          <w:highlight w:val="none"/>
        </w:rPr>
        <w:t>须知的具体补充和修改，如有矛盾，应以本表为准。</w:t>
      </w:r>
    </w:p>
    <w:tbl>
      <w:tblPr>
        <w:tblStyle w:val="23"/>
        <w:tblW w:w="51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7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4449" w:type="pct"/>
            <w:vAlign w:val="center"/>
          </w:tcPr>
          <w:p>
            <w:pPr>
              <w:adjustRightInd w:val="0"/>
              <w:snapToGrid w:val="0"/>
              <w:spacing w:line="360" w:lineRule="auto"/>
              <w:ind w:left="38" w:leftChars="18"/>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p>
        </w:tc>
        <w:tc>
          <w:tcPr>
            <w:tcW w:w="4449" w:type="pct"/>
            <w:vAlign w:val="center"/>
          </w:tcPr>
          <w:p>
            <w:pPr>
              <w:widowControl/>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平顶山市消防救援支队</w:t>
            </w:r>
            <w:r>
              <w:rPr>
                <w:rFonts w:hint="eastAsia" w:ascii="宋体" w:hAnsi="宋体" w:eastAsia="宋体" w:cs="宋体"/>
                <w:color w:val="auto"/>
                <w:sz w:val="24"/>
                <w:szCs w:val="24"/>
                <w:highlight w:val="none"/>
              </w:rPr>
              <w:t xml:space="preserve">  </w:t>
            </w:r>
          </w:p>
          <w:p>
            <w:pPr>
              <w:widowControl/>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地址：平顶山市新城区未来路与吉祥路交叉口</w:t>
            </w:r>
          </w:p>
          <w:p>
            <w:pPr>
              <w:widowControl/>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张文超</w:t>
            </w:r>
          </w:p>
          <w:p>
            <w:pPr>
              <w:widowControl/>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0375-</w:t>
            </w:r>
            <w:r>
              <w:rPr>
                <w:rFonts w:hint="eastAsia" w:ascii="宋体" w:hAnsi="宋体" w:eastAsia="宋体" w:cs="宋体"/>
                <w:color w:val="auto"/>
                <w:sz w:val="24"/>
                <w:szCs w:val="24"/>
                <w:highlight w:val="none"/>
              </w:rPr>
              <w:t xml:space="preserve">3325025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550" w:type="pct"/>
            <w:vAlign w:val="center"/>
          </w:tcPr>
          <w:p>
            <w:pPr>
              <w:widowControl/>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w:t>
            </w:r>
          </w:p>
        </w:tc>
        <w:tc>
          <w:tcPr>
            <w:tcW w:w="4449" w:type="pct"/>
            <w:vAlign w:val="center"/>
          </w:tcPr>
          <w:p>
            <w:pPr>
              <w:widowControl/>
              <w:adjustRightInd w:val="0"/>
              <w:snapToGrid w:val="0"/>
              <w:spacing w:line="312"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中发祥和工程管理有限公司</w:t>
            </w:r>
            <w:r>
              <w:rPr>
                <w:rFonts w:hint="eastAsia" w:ascii="宋体" w:hAnsi="宋体" w:eastAsia="宋体" w:cs="宋体"/>
                <w:color w:val="auto"/>
                <w:sz w:val="24"/>
                <w:szCs w:val="24"/>
                <w:highlight w:val="none"/>
              </w:rPr>
              <w:t xml:space="preserve"> </w:t>
            </w:r>
          </w:p>
          <w:p>
            <w:pPr>
              <w:widowControl/>
              <w:adjustRightInd w:val="0"/>
              <w:snapToGrid w:val="0"/>
              <w:spacing w:line="312"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地址：河南省郑州市中原区建设西路198号院B座12层10号、11号</w:t>
            </w:r>
          </w:p>
          <w:p>
            <w:pPr>
              <w:widowControl/>
              <w:adjustRightInd w:val="0"/>
              <w:snapToGrid w:val="0"/>
              <w:spacing w:line="312"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eastAsia="zh-CN"/>
              </w:rPr>
              <w:t>张克玉</w:t>
            </w:r>
          </w:p>
          <w:p>
            <w:pPr>
              <w:widowControl/>
              <w:adjustRightInd w:val="0"/>
              <w:snapToGrid w:val="0"/>
              <w:spacing w:line="312"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0371-63399916,15639044333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w:t>
            </w:r>
          </w:p>
        </w:tc>
        <w:tc>
          <w:tcPr>
            <w:tcW w:w="4449" w:type="pct"/>
            <w:vAlign w:val="center"/>
          </w:tcPr>
          <w:p>
            <w:pPr>
              <w:widowControl/>
              <w:adjustRightInd w:val="0"/>
              <w:snapToGrid w:val="0"/>
              <w:spacing w:line="312"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项目编号：平采招标-2024-35</w:t>
            </w:r>
          </w:p>
          <w:p>
            <w:pPr>
              <w:widowControl/>
              <w:adjustRightInd w:val="0"/>
              <w:snapToGrid w:val="0"/>
              <w:spacing w:line="312"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平顶山市消防救援支队河南省消防救援总队“自然灾害应急能力提升工程”平顶山支队装备建设项目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w:t>
            </w:r>
          </w:p>
        </w:tc>
        <w:tc>
          <w:tcPr>
            <w:tcW w:w="4449" w:type="pct"/>
            <w:vAlign w:val="center"/>
          </w:tcPr>
          <w:p>
            <w:pPr>
              <w:widowControl/>
              <w:adjustRightInd w:val="0"/>
              <w:snapToGrid w:val="0"/>
              <w:spacing w:line="312"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采购内容：详见招标公告</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具体技术参数要求详见招标文件“第六章招标项目需求及技术要求”。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w:t>
            </w:r>
          </w:p>
        </w:tc>
        <w:tc>
          <w:tcPr>
            <w:tcW w:w="4449" w:type="pct"/>
            <w:vAlign w:val="center"/>
          </w:tcPr>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资金来源：财政资金</w:t>
            </w:r>
          </w:p>
          <w:p>
            <w:pPr>
              <w:widowControl/>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w:t>
            </w:r>
            <w:r>
              <w:rPr>
                <w:rFonts w:hint="eastAsia" w:ascii="宋体" w:hAnsi="宋体" w:eastAsia="宋体" w:cs="宋体"/>
                <w:color w:val="0000FF"/>
                <w:sz w:val="24"/>
                <w:szCs w:val="24"/>
                <w:highlight w:val="none"/>
              </w:rPr>
              <w:t>：</w:t>
            </w:r>
            <w:r>
              <w:rPr>
                <w:rFonts w:hint="eastAsia" w:ascii="宋体" w:hAnsi="宋体" w:cs="宋体"/>
                <w:b w:val="0"/>
                <w:bCs w:val="0"/>
                <w:color w:val="auto"/>
                <w:sz w:val="24"/>
                <w:highlight w:val="none"/>
                <w:lang w:val="en-US" w:eastAsia="zh-CN"/>
              </w:rPr>
              <w:t>11782830.00</w:t>
            </w:r>
            <w:r>
              <w:rPr>
                <w:rFonts w:hint="eastAsia" w:ascii="宋体" w:hAnsi="宋体" w:eastAsia="宋体" w:cs="宋体"/>
                <w:color w:val="auto"/>
                <w:sz w:val="24"/>
                <w:szCs w:val="24"/>
                <w:highlight w:val="none"/>
              </w:rPr>
              <w:t>元，最高限价：</w:t>
            </w:r>
            <w:r>
              <w:rPr>
                <w:rFonts w:hint="eastAsia" w:ascii="宋体" w:hAnsi="宋体" w:cs="宋体"/>
                <w:b w:val="0"/>
                <w:bCs w:val="0"/>
                <w:color w:val="auto"/>
                <w:sz w:val="24"/>
                <w:highlight w:val="none"/>
                <w:lang w:val="en-US" w:eastAsia="zh-CN"/>
              </w:rPr>
              <w:t>11782830.00</w:t>
            </w:r>
            <w:r>
              <w:rPr>
                <w:rFonts w:hint="eastAsia" w:ascii="宋体" w:hAnsi="宋体" w:cs="宋体"/>
                <w:color w:val="auto"/>
                <w:sz w:val="24"/>
                <w:szCs w:val="24"/>
                <w:highlight w:val="none"/>
                <w:lang w:val="en-US" w:eastAsia="zh-CN"/>
              </w:rPr>
              <w:t>元</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所投标包投标总报价不可超过所投标包最高限价，且该标包中各单品报价不得超过单品最高限价，否则按无效标处理。各标包最高限价及单品限价详见“第六章  招标项目需求及技术要求”。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1.2.6</w:t>
            </w:r>
          </w:p>
        </w:tc>
        <w:tc>
          <w:tcPr>
            <w:tcW w:w="4449" w:type="pct"/>
            <w:vAlign w:val="center"/>
          </w:tcPr>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交货期：</w:t>
            </w:r>
            <w:r>
              <w:rPr>
                <w:rFonts w:hint="eastAsia" w:ascii="宋体" w:hAnsi="宋体" w:eastAsia="宋体" w:cs="宋体"/>
                <w:color w:val="auto"/>
                <w:sz w:val="24"/>
                <w:szCs w:val="24"/>
                <w:highlight w:val="none"/>
              </w:rPr>
              <w:t>详见招标文件“第六章招标项目需求及技术要求”。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1.2.7</w:t>
            </w:r>
          </w:p>
        </w:tc>
        <w:tc>
          <w:tcPr>
            <w:tcW w:w="4449" w:type="pct"/>
            <w:vAlign w:val="center"/>
          </w:tcPr>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交货地点：采购人指定地点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1.2.8</w:t>
            </w:r>
          </w:p>
        </w:tc>
        <w:tc>
          <w:tcPr>
            <w:tcW w:w="4449" w:type="pct"/>
            <w:vAlign w:val="center"/>
          </w:tcPr>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质保期：</w:t>
            </w:r>
            <w:r>
              <w:rPr>
                <w:rFonts w:hint="eastAsia" w:ascii="宋体" w:hAnsi="宋体" w:cs="宋体"/>
                <w:color w:val="auto"/>
                <w:sz w:val="24"/>
                <w:szCs w:val="24"/>
                <w:highlight w:val="none"/>
                <w:lang w:val="en-US" w:eastAsia="zh-CN"/>
              </w:rPr>
              <w:t>详见</w:t>
            </w:r>
            <w:r>
              <w:rPr>
                <w:rFonts w:hint="eastAsia" w:ascii="宋体" w:hAnsi="宋体" w:eastAsia="宋体" w:cs="宋体"/>
                <w:color w:val="auto"/>
                <w:sz w:val="24"/>
                <w:szCs w:val="24"/>
                <w:highlight w:val="none"/>
              </w:rPr>
              <w:t>招标文件“第六章招标项目需求及技术要求”，自验收合格之日算起。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1.2.9</w:t>
            </w:r>
          </w:p>
        </w:tc>
        <w:tc>
          <w:tcPr>
            <w:tcW w:w="4449" w:type="pct"/>
            <w:vAlign w:val="center"/>
          </w:tcPr>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质量要求：</w:t>
            </w:r>
            <w:r>
              <w:rPr>
                <w:rFonts w:hint="eastAsia" w:ascii="宋体" w:hAnsi="宋体" w:cs="宋体"/>
                <w:b w:val="0"/>
                <w:bCs w:val="0"/>
                <w:color w:val="auto"/>
                <w:sz w:val="24"/>
                <w:highlight w:val="none"/>
              </w:rPr>
              <w:t>合格（符合现行国家、行业、地方相关规范要求）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1.2.10</w:t>
            </w:r>
          </w:p>
        </w:tc>
        <w:tc>
          <w:tcPr>
            <w:tcW w:w="4449" w:type="pct"/>
            <w:vAlign w:val="center"/>
          </w:tcPr>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资格要求：详见招标公告“二、申请人资格要求”。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1.2.11</w:t>
            </w:r>
          </w:p>
        </w:tc>
        <w:tc>
          <w:tcPr>
            <w:tcW w:w="4449" w:type="pct"/>
            <w:vAlign w:val="center"/>
          </w:tcPr>
          <w:p>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是否接受联合体投标：不接受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1"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w:t>
            </w:r>
          </w:p>
        </w:tc>
        <w:tc>
          <w:tcPr>
            <w:tcW w:w="4449" w:type="pct"/>
            <w:vAlign w:val="center"/>
          </w:tcPr>
          <w:p>
            <w:pPr>
              <w:autoSpaceDE w:val="0"/>
              <w:autoSpaceDN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投标人</w:t>
            </w:r>
            <w:r>
              <w:rPr>
                <w:rFonts w:hint="eastAsia" w:ascii="宋体" w:hAnsi="宋体" w:eastAsia="宋体" w:cs="宋体"/>
                <w:color w:val="auto"/>
                <w:kern w:val="0"/>
                <w:sz w:val="24"/>
                <w:szCs w:val="24"/>
                <w:highlight w:val="none"/>
              </w:rPr>
              <w:t>不得存在的其他情形：</w:t>
            </w:r>
          </w:p>
          <w:p>
            <w:pPr>
              <w:autoSpaceDE w:val="0"/>
              <w:autoSpaceDN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（1）为采购人不具有独立法人资格的附属机构（单位）；</w:t>
            </w:r>
          </w:p>
          <w:p>
            <w:pPr>
              <w:autoSpaceDE w:val="0"/>
              <w:autoSpaceDN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（2）单位负责人为同一人或者存在直接控股、管理关系的不同供应商，不得参加同一合同项下的政府采购活动；</w:t>
            </w:r>
          </w:p>
          <w:p>
            <w:pPr>
              <w:autoSpaceDE w:val="0"/>
              <w:autoSpaceDN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（3）不得相互串通损害国家利益、社会公共利益和其他当事人的合法权益；不得以任何手段排斥其他</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参与竞争；</w:t>
            </w:r>
          </w:p>
          <w:p>
            <w:pPr>
              <w:autoSpaceDE w:val="0"/>
              <w:autoSpaceDN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（4）不得以向采购人行贿或者采取其他不正当手段谋取非法利益；</w:t>
            </w:r>
          </w:p>
          <w:p>
            <w:pPr>
              <w:autoSpaceDE w:val="0"/>
              <w:autoSpaceDN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（5）为本项目提供招标代理服务的；</w:t>
            </w:r>
          </w:p>
          <w:p>
            <w:pPr>
              <w:autoSpaceDE w:val="0"/>
              <w:autoSpaceDN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（6）被责令停业的；</w:t>
            </w:r>
          </w:p>
          <w:p>
            <w:pPr>
              <w:autoSpaceDE w:val="0"/>
              <w:autoSpaceDN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（7）被暂停或取消投标资格的；</w:t>
            </w:r>
          </w:p>
          <w:p>
            <w:pPr>
              <w:autoSpaceDE w:val="0"/>
              <w:autoSpaceDN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（8）财产被接管或冻结的；</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（9）在最近三年内有骗取中标或严重违约或重大质量问题的。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u w:val="wave"/>
              </w:rPr>
            </w:pPr>
            <w:r>
              <w:rPr>
                <w:rFonts w:hint="eastAsia" w:ascii="宋体" w:hAnsi="宋体" w:eastAsia="宋体" w:cs="宋体"/>
                <w:color w:val="auto"/>
                <w:sz w:val="24"/>
                <w:szCs w:val="24"/>
                <w:highlight w:val="none"/>
              </w:rPr>
              <w:t>1.4.1</w:t>
            </w:r>
          </w:p>
        </w:tc>
        <w:tc>
          <w:tcPr>
            <w:tcW w:w="4449" w:type="pct"/>
            <w:vAlign w:val="center"/>
          </w:tcPr>
          <w:p>
            <w:pPr>
              <w:tabs>
                <w:tab w:val="left" w:pos="720"/>
                <w:tab w:val="left" w:pos="1904"/>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现场考察：不组织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w:t>
            </w:r>
          </w:p>
        </w:tc>
        <w:tc>
          <w:tcPr>
            <w:tcW w:w="4449" w:type="pct"/>
            <w:vAlign w:val="center"/>
          </w:tcPr>
          <w:p>
            <w:pPr>
              <w:tabs>
                <w:tab w:val="left" w:pos="720"/>
                <w:tab w:val="left" w:pos="1904"/>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答疑会：不召开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w:t>
            </w:r>
          </w:p>
        </w:tc>
        <w:tc>
          <w:tcPr>
            <w:tcW w:w="4449" w:type="pct"/>
            <w:vAlign w:val="center"/>
          </w:tcPr>
          <w:p>
            <w:pPr>
              <w:tabs>
                <w:tab w:val="left" w:pos="720"/>
                <w:tab w:val="left" w:pos="1904"/>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Align w:val="center"/>
          </w:tcPr>
          <w:p>
            <w:pPr>
              <w:adjustRightInd w:val="0"/>
              <w:snapToGrid w:val="0"/>
              <w:spacing w:line="360" w:lineRule="auto"/>
              <w:ind w:left="38" w:leftChars="18"/>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1.6.1</w:t>
            </w:r>
          </w:p>
        </w:tc>
        <w:tc>
          <w:tcPr>
            <w:tcW w:w="4449" w:type="pct"/>
            <w:vAlign w:val="center"/>
          </w:tcPr>
          <w:p>
            <w:pPr>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实质性要求及条件：投标无效条款；招标文件中用“拒绝”、“不（予）接受”、“不得”、“不允许”、“否决”等文字规定的条款；法律、法规、规章的相关规定。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Align w:val="top"/>
          </w:tcPr>
          <w:p>
            <w:pPr>
              <w:pStyle w:val="32"/>
              <w:spacing w:before="311" w:line="182"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1.6.2</w:t>
            </w:r>
          </w:p>
        </w:tc>
        <w:tc>
          <w:tcPr>
            <w:tcW w:w="4449" w:type="pct"/>
            <w:vAlign w:val="center"/>
          </w:tcPr>
          <w:p>
            <w:pPr>
              <w:pStyle w:val="32"/>
              <w:spacing w:before="39" w:line="467" w:lineRule="exact"/>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en-US" w:eastAsia="zh-CN" w:bidi="ar-SA"/>
              </w:rPr>
              <w:t>技术支持资料： 提供相关证明资料(如第三方检测报告、公开发行的彩页或者生产厂商出具尽可能详细的技术参数文件)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w:t>
            </w:r>
          </w:p>
        </w:tc>
        <w:tc>
          <w:tcPr>
            <w:tcW w:w="4449" w:type="pct"/>
            <w:vAlign w:val="center"/>
          </w:tcPr>
          <w:p>
            <w:pPr>
              <w:adjustRightInd w:val="0"/>
              <w:snapToGrid w:val="0"/>
              <w:spacing w:line="360" w:lineRule="auto"/>
              <w:jc w:val="both"/>
              <w:rPr>
                <w:rFonts w:hint="default" w:ascii="宋体" w:hAnsi="宋体" w:eastAsia="宋体" w:cs="宋体"/>
                <w:color w:val="auto"/>
                <w:sz w:val="24"/>
                <w:szCs w:val="24"/>
                <w:highlight w:val="none"/>
                <w:u w:val="wave"/>
                <w:lang w:val="en-US" w:eastAsia="zh-CN"/>
              </w:rPr>
            </w:pPr>
            <w:r>
              <w:rPr>
                <w:rFonts w:hint="eastAsia" w:ascii="宋体" w:hAnsi="宋体" w:eastAsia="宋体" w:cs="宋体"/>
                <w:color w:val="auto"/>
                <w:sz w:val="24"/>
                <w:szCs w:val="24"/>
                <w:highlight w:val="none"/>
              </w:rPr>
              <w:t>偏差： 实质性要求和条件不允许偏差，其他允许偏差。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4449" w:type="pct"/>
            <w:vAlign w:val="center"/>
          </w:tcPr>
          <w:p>
            <w:pPr>
              <w:autoSpaceDE w:val="0"/>
              <w:autoSpaceDN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质量把控： </w:t>
            </w:r>
          </w:p>
          <w:p>
            <w:pPr>
              <w:numPr>
                <w:ilvl w:val="0"/>
                <w:numId w:val="2"/>
              </w:numPr>
              <w:autoSpaceDE w:val="0"/>
              <w:autoSpaceDN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投标人需在投标文件中提供投标产品4张以上整车图片（正前方、左、右前方45度角，后侧）及有关设计图纸。</w:t>
            </w:r>
          </w:p>
          <w:p>
            <w:pPr>
              <w:numPr>
                <w:ilvl w:val="0"/>
                <w:numId w:val="2"/>
              </w:numPr>
              <w:autoSpaceDE w:val="0"/>
              <w:autoSpaceDN w:val="0"/>
              <w:adjustRightInd w:val="0"/>
              <w:snapToGrid w:val="0"/>
              <w:spacing w:line="360" w:lineRule="auto"/>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中标后，生产前，需提供详尽设计图纸及生产实施方案，待甲方确认后方可生产。</w:t>
            </w:r>
          </w:p>
          <w:p>
            <w:pPr>
              <w:numPr>
                <w:ilvl w:val="0"/>
                <w:numId w:val="2"/>
              </w:numPr>
              <w:autoSpaceDE w:val="0"/>
              <w:autoSpaceDN w:val="0"/>
              <w:adjustRightInd w:val="0"/>
              <w:snapToGrid w:val="0"/>
              <w:spacing w:line="360" w:lineRule="auto"/>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样品或抽样送检费用由中标人承担，不计入中标合同数量及金额。</w:t>
            </w:r>
          </w:p>
          <w:p>
            <w:pPr>
              <w:numPr>
                <w:ilvl w:val="0"/>
                <w:numId w:val="0"/>
              </w:numPr>
              <w:autoSpaceDE w:val="0"/>
              <w:autoSpaceDN w:val="0"/>
              <w:adjustRightInd w:val="0"/>
              <w:snapToGrid w:val="0"/>
              <w:spacing w:line="360" w:lineRule="auto"/>
              <w:ind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4.质保期内投标人应按照合同约定到产品使用单位，开展技术巡检和售后服务。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Merge w:val="restar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2.2.1</w:t>
            </w:r>
          </w:p>
        </w:tc>
        <w:tc>
          <w:tcPr>
            <w:tcW w:w="4449" w:type="pct"/>
            <w:vAlign w:val="center"/>
          </w:tcPr>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投标人</w:t>
            </w:r>
            <w:r>
              <w:rPr>
                <w:rFonts w:hint="eastAsia" w:ascii="宋体" w:hAnsi="宋体" w:eastAsia="宋体" w:cs="宋体"/>
                <w:color w:val="auto"/>
                <w:kern w:val="0"/>
                <w:sz w:val="24"/>
                <w:szCs w:val="24"/>
                <w:highlight w:val="none"/>
              </w:rPr>
              <w:t>提出问题的截止时</w:t>
            </w:r>
            <w:r>
              <w:rPr>
                <w:rFonts w:hint="eastAsia" w:ascii="宋体" w:hAnsi="宋体" w:eastAsia="宋体" w:cs="宋体"/>
                <w:color w:val="auto"/>
                <w:sz w:val="24"/>
                <w:szCs w:val="24"/>
                <w:highlight w:val="none"/>
              </w:rPr>
              <w:t>间：</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文件或者</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文件公告期限届满之日起7个工作日内</w:t>
            </w:r>
            <w:r>
              <w:rPr>
                <w:rFonts w:hint="eastAsia" w:ascii="宋体" w:hAnsi="宋体" w:eastAsia="宋体" w:cs="宋体"/>
                <w:color w:val="auto"/>
                <w:sz w:val="24"/>
                <w:szCs w:val="24"/>
                <w:highlight w:val="none"/>
                <w:lang w:val="en-US" w:eastAsia="zh-CN"/>
              </w:rPr>
              <w:t>提出</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0" w:type="pct"/>
            <w:vMerge w:val="continue"/>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p>
        </w:tc>
        <w:tc>
          <w:tcPr>
            <w:tcW w:w="4449" w:type="pct"/>
            <w:vAlign w:val="center"/>
          </w:tcPr>
          <w:p>
            <w:pPr>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采购人书面澄清时间及方式：</w:t>
            </w:r>
            <w:r>
              <w:rPr>
                <w:rFonts w:hint="eastAsia" w:ascii="宋体" w:hAnsi="宋体" w:eastAsia="宋体" w:cs="宋体"/>
                <w:color w:val="auto"/>
                <w:sz w:val="24"/>
                <w:szCs w:val="24"/>
                <w:highlight w:val="none"/>
              </w:rPr>
              <w:t>递交投标文件的截止之日15日前，在</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《全国公共资源交易平台（河南省·平顶山市）》</w:t>
            </w:r>
            <w:r>
              <w:rPr>
                <w:rFonts w:hint="eastAsia" w:ascii="宋体" w:hAnsi="宋体" w:eastAsia="宋体" w:cs="宋体"/>
                <w:color w:val="auto"/>
                <w:kern w:val="0"/>
                <w:sz w:val="24"/>
                <w:szCs w:val="24"/>
                <w:highlight w:val="none"/>
              </w:rPr>
              <w:t>”电子交易平台</w:t>
            </w:r>
            <w:r>
              <w:rPr>
                <w:rFonts w:hint="eastAsia" w:ascii="宋体" w:hAnsi="宋体" w:eastAsia="宋体" w:cs="宋体"/>
                <w:color w:val="auto"/>
                <w:sz w:val="24"/>
                <w:szCs w:val="24"/>
                <w:highlight w:val="none"/>
              </w:rPr>
              <w:t>发布，发出即为收到。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w:t>
            </w:r>
          </w:p>
        </w:tc>
        <w:tc>
          <w:tcPr>
            <w:tcW w:w="4449" w:type="pct"/>
            <w:vAlign w:val="center"/>
          </w:tcPr>
          <w:p>
            <w:pPr>
              <w:adjustRightInd w:val="0"/>
              <w:snapToGrid w:val="0"/>
              <w:spacing w:line="360" w:lineRule="auto"/>
              <w:ind w:left="38" w:leftChars="18"/>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招标文件澄清发出形式：在“</w:t>
            </w:r>
            <w:r>
              <w:rPr>
                <w:rFonts w:hint="eastAsia" w:ascii="宋体" w:hAnsi="宋体" w:cs="宋体"/>
                <w:color w:val="auto"/>
                <w:kern w:val="0"/>
                <w:sz w:val="24"/>
                <w:szCs w:val="24"/>
                <w:highlight w:val="none"/>
                <w:lang w:eastAsia="zh-CN"/>
              </w:rPr>
              <w:t>《全国公共资源交易平台（河南省·平顶山市）》</w:t>
            </w:r>
            <w:r>
              <w:rPr>
                <w:rFonts w:hint="eastAsia" w:ascii="宋体" w:hAnsi="宋体" w:eastAsia="宋体" w:cs="宋体"/>
                <w:color w:val="auto"/>
                <w:kern w:val="0"/>
                <w:sz w:val="24"/>
                <w:szCs w:val="24"/>
                <w:highlight w:val="none"/>
              </w:rPr>
              <w:t>”电子交易平台发布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2.3.2</w:t>
            </w:r>
          </w:p>
        </w:tc>
        <w:tc>
          <w:tcPr>
            <w:tcW w:w="4449" w:type="pct"/>
            <w:vAlign w:val="center"/>
          </w:tcPr>
          <w:p>
            <w:pPr>
              <w:adjustRightInd w:val="0"/>
              <w:snapToGrid w:val="0"/>
              <w:spacing w:line="360" w:lineRule="auto"/>
              <w:ind w:left="38" w:leftChars="18"/>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招标文件修改发出形式：在“</w:t>
            </w:r>
            <w:r>
              <w:rPr>
                <w:rFonts w:hint="eastAsia" w:ascii="宋体" w:hAnsi="宋体" w:cs="宋体"/>
                <w:color w:val="auto"/>
                <w:kern w:val="0"/>
                <w:sz w:val="24"/>
                <w:szCs w:val="24"/>
                <w:highlight w:val="none"/>
                <w:lang w:eastAsia="zh-CN"/>
              </w:rPr>
              <w:t>《全国公共资源交易平台（河南省·平顶山市）》</w:t>
            </w:r>
            <w:r>
              <w:rPr>
                <w:rFonts w:hint="eastAsia" w:ascii="宋体" w:hAnsi="宋体" w:eastAsia="宋体" w:cs="宋体"/>
                <w:color w:val="auto"/>
                <w:kern w:val="0"/>
                <w:sz w:val="24"/>
                <w:szCs w:val="24"/>
                <w:highlight w:val="none"/>
              </w:rPr>
              <w:t>”电子交易平台发布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3.5.1</w:t>
            </w:r>
          </w:p>
        </w:tc>
        <w:tc>
          <w:tcPr>
            <w:tcW w:w="4449" w:type="pct"/>
            <w:vAlign w:val="center"/>
          </w:tcPr>
          <w:p>
            <w:pPr>
              <w:adjustRightInd w:val="0"/>
              <w:snapToGrid w:val="0"/>
              <w:spacing w:line="360" w:lineRule="auto"/>
              <w:ind w:left="38" w:leftChars="18"/>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根据《河南省财政厅关于优化政府采购营商环境有关问题的通知》豫财购【2019】4号文要求，不再收取</w:t>
            </w:r>
            <w:r>
              <w:rPr>
                <w:rFonts w:hint="eastAsia" w:ascii="宋体" w:hAnsi="宋体" w:cs="宋体"/>
                <w:color w:val="auto"/>
                <w:kern w:val="0"/>
                <w:sz w:val="24"/>
                <w:szCs w:val="24"/>
                <w:highlight w:val="none"/>
                <w:lang w:val="en-US" w:eastAsia="zh-CN"/>
              </w:rPr>
              <w:t>投标</w:t>
            </w:r>
            <w:r>
              <w:rPr>
                <w:rFonts w:hint="eastAsia" w:ascii="宋体" w:hAnsi="宋体" w:eastAsia="宋体" w:cs="宋体"/>
                <w:color w:val="auto"/>
                <w:kern w:val="0"/>
                <w:sz w:val="24"/>
                <w:szCs w:val="24"/>
                <w:highlight w:val="none"/>
                <w:lang w:val="en-US" w:eastAsia="zh-CN"/>
              </w:rPr>
              <w:t>保证金</w:t>
            </w:r>
            <w:r>
              <w:rPr>
                <w:rFonts w:hint="eastAsia" w:ascii="宋体" w:hAnsi="宋体" w:eastAsia="宋体" w:cs="宋体"/>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4449" w:type="pct"/>
            <w:vAlign w:val="center"/>
          </w:tcPr>
          <w:p>
            <w:pPr>
              <w:adjustRightInd w:val="0"/>
              <w:snapToGrid w:val="0"/>
              <w:spacing w:line="360" w:lineRule="auto"/>
              <w:ind w:left="38" w:leftChars="18"/>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投标有效期：递交投标文件截止之日起</w:t>
            </w:r>
            <w:r>
              <w:rPr>
                <w:rFonts w:hint="eastAsia" w:ascii="宋体" w:hAnsi="宋体" w:eastAsia="宋体" w:cs="宋体"/>
                <w:color w:val="auto"/>
                <w:sz w:val="24"/>
                <w:szCs w:val="24"/>
                <w:highlight w:val="none"/>
                <w:u w:val="none"/>
              </w:rPr>
              <w:t>120</w:t>
            </w:r>
            <w:r>
              <w:rPr>
                <w:rFonts w:hint="eastAsia" w:ascii="宋体" w:hAnsi="宋体" w:eastAsia="宋体" w:cs="宋体"/>
                <w:color w:val="auto"/>
                <w:sz w:val="24"/>
                <w:szCs w:val="24"/>
                <w:highlight w:val="none"/>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w:t>
            </w:r>
          </w:p>
        </w:tc>
        <w:tc>
          <w:tcPr>
            <w:tcW w:w="4449" w:type="pct"/>
            <w:vAlign w:val="center"/>
          </w:tcPr>
          <w:p>
            <w:pPr>
              <w:pStyle w:val="21"/>
              <w:adjustRightInd w:val="0"/>
              <w:snapToGrid w:val="0"/>
              <w:spacing w:after="0" w:line="360" w:lineRule="auto"/>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电子投标文件须按招标文件格式要求进行电子签章或签字。</w:t>
            </w:r>
          </w:p>
          <w:p>
            <w:pPr>
              <w:pStyle w:val="21"/>
              <w:adjustRightInd w:val="0"/>
              <w:snapToGrid w:val="0"/>
              <w:spacing w:after="0" w:line="360" w:lineRule="auto"/>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若委托代理人签字的，且委托代理人没有CA锁，则投标文件需上传有手写签名的扫描件。</w:t>
            </w:r>
          </w:p>
          <w:p>
            <w:pPr>
              <w:pStyle w:val="21"/>
              <w:adjustRightInd w:val="0"/>
              <w:snapToGrid w:val="0"/>
              <w:spacing w:after="0" w:line="360" w:lineRule="auto"/>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必须在投标截止时间前，按系统指定位置上传投标文件。同时参与多个包(若有)的须分别编制递交投标文件。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4.2.1</w:t>
            </w:r>
          </w:p>
        </w:tc>
        <w:tc>
          <w:tcPr>
            <w:tcW w:w="4449" w:type="pct"/>
            <w:vAlign w:val="center"/>
          </w:tcPr>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投标</w:t>
            </w:r>
            <w:r>
              <w:rPr>
                <w:rFonts w:hint="eastAsia" w:ascii="宋体" w:hAnsi="宋体" w:eastAsia="宋体" w:cs="宋体"/>
                <w:color w:val="auto"/>
                <w:spacing w:val="-2"/>
                <w:kern w:val="0"/>
                <w:sz w:val="24"/>
                <w:szCs w:val="24"/>
                <w:highlight w:val="none"/>
              </w:rPr>
              <w:t>截</w:t>
            </w:r>
            <w:r>
              <w:rPr>
                <w:rFonts w:hint="eastAsia" w:ascii="宋体" w:hAnsi="宋体" w:eastAsia="宋体" w:cs="宋体"/>
                <w:color w:val="auto"/>
                <w:kern w:val="0"/>
                <w:sz w:val="24"/>
                <w:szCs w:val="24"/>
                <w:highlight w:val="none"/>
              </w:rPr>
              <w:t>止</w:t>
            </w:r>
            <w:r>
              <w:rPr>
                <w:rFonts w:hint="eastAsia" w:ascii="宋体" w:hAnsi="宋体" w:eastAsia="宋体" w:cs="宋体"/>
                <w:color w:val="auto"/>
                <w:spacing w:val="-2"/>
                <w:kern w:val="0"/>
                <w:sz w:val="24"/>
                <w:szCs w:val="24"/>
                <w:highlight w:val="none"/>
              </w:rPr>
              <w:t>时</w:t>
            </w:r>
            <w:r>
              <w:rPr>
                <w:rFonts w:hint="eastAsia" w:ascii="宋体" w:hAnsi="宋体" w:eastAsia="宋体" w:cs="宋体"/>
                <w:color w:val="auto"/>
                <w:kern w:val="0"/>
                <w:sz w:val="24"/>
                <w:szCs w:val="24"/>
                <w:highlight w:val="none"/>
              </w:rPr>
              <w:t>间：</w:t>
            </w:r>
            <w:r>
              <w:rPr>
                <w:rFonts w:hint="eastAsia" w:ascii="宋体" w:hAnsi="宋体" w:eastAsia="宋体" w:cs="宋体"/>
                <w:b w:val="0"/>
                <w:bCs w:val="0"/>
                <w:color w:val="auto"/>
                <w:sz w:val="24"/>
                <w:szCs w:val="24"/>
                <w:highlight w:val="none"/>
              </w:rPr>
              <w:t>2024年0</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月</w:t>
            </w:r>
            <w:r>
              <w:rPr>
                <w:rFonts w:hint="eastAsia" w:ascii="宋体" w:hAnsi="宋体" w:cs="宋体"/>
                <w:b w:val="0"/>
                <w:bCs w:val="0"/>
                <w:color w:val="auto"/>
                <w:sz w:val="24"/>
                <w:szCs w:val="24"/>
                <w:highlight w:val="none"/>
                <w:lang w:val="en-US" w:eastAsia="zh-CN"/>
              </w:rPr>
              <w:t>21</w:t>
            </w:r>
            <w:r>
              <w:rPr>
                <w:rFonts w:hint="eastAsia" w:ascii="宋体" w:hAnsi="宋体" w:eastAsia="宋体" w:cs="宋体"/>
                <w:b w:val="0"/>
                <w:bCs w:val="0"/>
                <w:color w:val="auto"/>
                <w:sz w:val="24"/>
                <w:szCs w:val="24"/>
                <w:highlight w:val="none"/>
              </w:rPr>
              <w:t>日09时00分（北京时间）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4.2.2</w:t>
            </w:r>
          </w:p>
        </w:tc>
        <w:tc>
          <w:tcPr>
            <w:tcW w:w="4449" w:type="pct"/>
            <w:vAlign w:val="center"/>
          </w:tcPr>
          <w:p>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rPr>
              <w:t>递交投标文件地点：</w:t>
            </w:r>
            <w:r>
              <w:rPr>
                <w:rFonts w:hint="eastAsia" w:ascii="宋体" w:hAnsi="宋体" w:cs="宋体"/>
                <w:color w:val="auto"/>
                <w:kern w:val="0"/>
                <w:sz w:val="24"/>
                <w:szCs w:val="24"/>
                <w:highlight w:val="none"/>
                <w:lang w:eastAsia="zh-CN"/>
              </w:rPr>
              <w:t>《全国公共资源交易平台（河南省·平顶山市）》</w:t>
            </w:r>
            <w:r>
              <w:rPr>
                <w:rFonts w:hint="eastAsia" w:ascii="宋体" w:hAnsi="宋体" w:eastAsia="宋体" w:cs="宋体"/>
                <w:color w:val="auto"/>
                <w:kern w:val="0"/>
                <w:sz w:val="24"/>
                <w:szCs w:val="24"/>
                <w:highlight w:val="none"/>
              </w:rPr>
              <w:t xml:space="preserve">电子交易平台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w:t>
            </w:r>
          </w:p>
        </w:tc>
        <w:tc>
          <w:tcPr>
            <w:tcW w:w="4449" w:type="pct"/>
            <w:vAlign w:val="center"/>
          </w:tcPr>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开标时间：同投标截止时间 </w:t>
            </w:r>
          </w:p>
          <w:p>
            <w:pPr>
              <w:adjustRightInd w:val="0"/>
              <w:snapToGrid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开标地点：</w:t>
            </w:r>
            <w:r>
              <w:rPr>
                <w:rFonts w:hint="eastAsia" w:ascii="宋体" w:hAnsi="宋体" w:cs="宋体"/>
                <w:color w:val="auto"/>
                <w:kern w:val="0"/>
                <w:sz w:val="24"/>
                <w:szCs w:val="24"/>
                <w:highlight w:val="none"/>
                <w:lang w:eastAsia="zh-CN"/>
              </w:rPr>
              <w:t>《全国公共资源交易平台（河南省·平顶山市）》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50" w:type="pct"/>
            <w:vAlign w:val="center"/>
          </w:tcPr>
          <w:p>
            <w:pPr>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5.3.1</w:t>
            </w:r>
          </w:p>
        </w:tc>
        <w:tc>
          <w:tcPr>
            <w:tcW w:w="4449" w:type="pct"/>
            <w:vAlign w:val="center"/>
          </w:tcPr>
          <w:p>
            <w:pPr>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评标委员会组成：评标委员会由采购人代表和评标专家组成，成员人数为7人。其中</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 xml:space="preserve"> 采购人（评委）代表2人，评</w:t>
            </w:r>
            <w:r>
              <w:rPr>
                <w:rFonts w:hint="eastAsia" w:ascii="宋体" w:hAnsi="宋体" w:cs="宋体"/>
                <w:color w:val="auto"/>
                <w:kern w:val="0"/>
                <w:sz w:val="24"/>
                <w:szCs w:val="24"/>
                <w:highlight w:val="none"/>
                <w:lang w:eastAsia="zh-CN"/>
              </w:rPr>
              <w:t>标</w:t>
            </w:r>
            <w:r>
              <w:rPr>
                <w:rFonts w:hint="eastAsia" w:ascii="宋体" w:hAnsi="宋体" w:eastAsia="宋体" w:cs="宋体"/>
                <w:color w:val="auto"/>
                <w:kern w:val="0"/>
                <w:sz w:val="24"/>
                <w:szCs w:val="24"/>
                <w:highlight w:val="none"/>
              </w:rPr>
              <w:t>专家5人。评标专家从政府采购专家库中随机抽取。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5.3.4</w:t>
            </w:r>
          </w:p>
        </w:tc>
        <w:tc>
          <w:tcPr>
            <w:tcW w:w="4449" w:type="pct"/>
            <w:vAlign w:val="center"/>
          </w:tcPr>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推</w:t>
            </w:r>
            <w:r>
              <w:rPr>
                <w:rFonts w:hint="eastAsia" w:ascii="宋体" w:hAnsi="宋体" w:eastAsia="宋体" w:cs="宋体"/>
                <w:color w:val="auto"/>
                <w:spacing w:val="-2"/>
                <w:kern w:val="0"/>
                <w:sz w:val="24"/>
                <w:szCs w:val="24"/>
                <w:highlight w:val="none"/>
              </w:rPr>
              <w:t>荐</w:t>
            </w:r>
            <w:r>
              <w:rPr>
                <w:rFonts w:hint="eastAsia" w:ascii="宋体" w:hAnsi="宋体" w:eastAsia="宋体" w:cs="宋体"/>
                <w:color w:val="auto"/>
                <w:kern w:val="0"/>
                <w:sz w:val="24"/>
                <w:szCs w:val="24"/>
                <w:highlight w:val="none"/>
              </w:rPr>
              <w:t>中</w:t>
            </w:r>
            <w:r>
              <w:rPr>
                <w:rFonts w:hint="eastAsia" w:ascii="宋体" w:hAnsi="宋体" w:eastAsia="宋体" w:cs="宋体"/>
                <w:color w:val="auto"/>
                <w:spacing w:val="-2"/>
                <w:kern w:val="0"/>
                <w:sz w:val="24"/>
                <w:szCs w:val="24"/>
                <w:highlight w:val="none"/>
              </w:rPr>
              <w:t>标</w:t>
            </w:r>
            <w:r>
              <w:rPr>
                <w:rFonts w:hint="eastAsia" w:ascii="宋体" w:hAnsi="宋体" w:eastAsia="宋体" w:cs="宋体"/>
                <w:color w:val="auto"/>
                <w:kern w:val="0"/>
                <w:sz w:val="24"/>
                <w:szCs w:val="24"/>
                <w:highlight w:val="none"/>
              </w:rPr>
              <w:t>候</w:t>
            </w:r>
            <w:r>
              <w:rPr>
                <w:rFonts w:hint="eastAsia" w:ascii="宋体" w:hAnsi="宋体" w:eastAsia="宋体" w:cs="宋体"/>
                <w:color w:val="auto"/>
                <w:spacing w:val="-2"/>
                <w:kern w:val="0"/>
                <w:sz w:val="24"/>
                <w:szCs w:val="24"/>
                <w:highlight w:val="none"/>
              </w:rPr>
              <w:t>选</w:t>
            </w:r>
            <w:r>
              <w:rPr>
                <w:rFonts w:hint="eastAsia" w:ascii="宋体" w:hAnsi="宋体" w:eastAsia="宋体" w:cs="宋体"/>
                <w:color w:val="auto"/>
                <w:kern w:val="0"/>
                <w:sz w:val="24"/>
                <w:szCs w:val="24"/>
                <w:highlight w:val="none"/>
              </w:rPr>
              <w:t>人：</w:t>
            </w:r>
            <w:r>
              <w:rPr>
                <w:rFonts w:hint="eastAsia" w:ascii="宋体" w:hAnsi="宋体" w:eastAsia="宋体" w:cs="宋体"/>
                <w:color w:val="auto"/>
                <w:sz w:val="24"/>
                <w:szCs w:val="24"/>
                <w:highlight w:val="none"/>
              </w:rPr>
              <w:t>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6.4.1</w:t>
            </w:r>
          </w:p>
        </w:tc>
        <w:tc>
          <w:tcPr>
            <w:tcW w:w="4449" w:type="pct"/>
            <w:vAlign w:val="center"/>
          </w:tcPr>
          <w:p>
            <w:pPr>
              <w:adjustRightInd w:val="0"/>
              <w:snapToGrid w:val="0"/>
              <w:spacing w:line="360" w:lineRule="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履约保证金：</w:t>
            </w:r>
          </w:p>
          <w:p>
            <w:pPr>
              <w:adjustRightInd w:val="0"/>
              <w:snapToGrid w:val="0"/>
              <w:spacing w:line="360" w:lineRule="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履约保证金的金额：中标金额的5%</w:t>
            </w:r>
          </w:p>
          <w:p>
            <w:pPr>
              <w:adjustRightInd w:val="0"/>
              <w:snapToGrid w:val="0"/>
              <w:spacing w:line="360" w:lineRule="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缴纳时间及其他要求：</w:t>
            </w:r>
            <w:r>
              <w:rPr>
                <w:rFonts w:hint="eastAsia" w:ascii="宋体" w:hAnsi="宋体" w:cs="宋体"/>
                <w:spacing w:val="-3"/>
                <w:sz w:val="24"/>
                <w:highlight w:val="none"/>
                <w:lang w:eastAsia="zh-CN"/>
              </w:rPr>
              <w:t>中标人应在</w:t>
            </w:r>
            <w:r>
              <w:rPr>
                <w:rFonts w:hint="eastAsia" w:ascii="宋体" w:hAnsi="宋体" w:cs="宋体"/>
                <w:spacing w:val="-3"/>
                <w:sz w:val="24"/>
                <w:highlight w:val="none"/>
              </w:rPr>
              <w:t>合同签订</w:t>
            </w:r>
            <w:r>
              <w:rPr>
                <w:rFonts w:hint="eastAsia" w:ascii="宋体" w:hAnsi="宋体" w:cs="宋体"/>
                <w:spacing w:val="-3"/>
                <w:sz w:val="24"/>
                <w:highlight w:val="none"/>
                <w:lang w:eastAsia="zh-CN"/>
              </w:rPr>
              <w:t>之前</w:t>
            </w:r>
            <w:r>
              <w:rPr>
                <w:rFonts w:hint="eastAsia" w:ascii="宋体" w:hAnsi="宋体" w:cs="宋体"/>
                <w:spacing w:val="-3"/>
                <w:sz w:val="24"/>
                <w:highlight w:val="none"/>
              </w:rPr>
              <w:t>向采购人提交履约保证金。</w:t>
            </w:r>
            <w:r>
              <w:rPr>
                <w:rFonts w:hint="eastAsia" w:ascii="宋体" w:hAnsi="宋体" w:eastAsia="宋体" w:cs="宋体"/>
                <w:color w:val="auto"/>
                <w:spacing w:val="-3"/>
                <w:sz w:val="24"/>
                <w:szCs w:val="24"/>
                <w:highlight w:val="none"/>
              </w:rPr>
              <w:t>履约保证金的提交形式：①转账及法律法规规定的其他形式②如乙方采用保函形式缴纳履约保证金的，则乙方提供的保函须为具有开保函资格和所属额度的信誉良好的地市级以上的国有或股份制商业银行分行或支行开具的独立保函，该保函需载明：（1）见索即付；（2）收到采购人法定代表人或授权委托代理人签字确认并加盖公章的书面索赔通知后即应不争辩、不挑剔、不可撤销地向采购人支付索赔款，直至最高担保金额。（如乙方提供的保函未载明前述内容的，甲方可直接拒收该保函，乙方应以银行转账或其他能切实发挥履约担保作用的方式提供履约保证金）。③履约保证金（履约保函等）期限：提交之日起至验收合格之日起的第366天止。 ④无论履约保证金、独立保函是否退还，采购人或采购人用户随时都有权对由中标人生产的尚未使用且在质量保证期内的产品发生的质量问题向乙方主张索赔。</w:t>
            </w:r>
          </w:p>
          <w:p>
            <w:pPr>
              <w:adjustRightInd w:val="0"/>
              <w:snapToGrid w:val="0"/>
              <w:spacing w:line="360" w:lineRule="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 xml:space="preserve">履约保证金期限：提交之日起至全部货物到货验收合格之日起的第366天止。 </w:t>
            </w:r>
          </w:p>
          <w:p>
            <w:pPr>
              <w:adjustRightInd w:val="0"/>
              <w:snapToGrid w:val="0"/>
              <w:spacing w:line="360" w:lineRule="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 xml:space="preserve">履约保证金的作用：履约保证金用以确保中标人履行承担总体协议、采购合同（采购人用户与中标人签订）中的所有义务及产生的全部违约责任，对于中标人应承担的违约责任/索赔金额/罚金，如违约责任/索赔金额/罚金应向采购人支付，采购人可直接使用中标人提供的履约保证金进行抵扣或直接向出具独立保函的金融机构主张索赔；如违约责任/索赔金额/罚金应向采购人用户支付，则采购人用户有权报告采购人直接使用中标人提供的履约保证金进行抵扣或委托采购人向出具独立保函的金融机构主张索赔。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履约保证金的退还：采购人应于履约保证金期限届满后60日内向中标人退还剩余履约保证金或保函。中标人向采购人提交履约保证金后，中标人和采购人用户签订和实施采购合同时，无需再约定和分别提交履约保证金。无论履约保证金、独立保函是否退还，采购人或采购人用户随时都有权对由中标人交付的、仍在质量保证期内且尚未使用的采购人或采购人用户库存产品出现的质量问题，向中标人主张索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5000" w:type="pct"/>
            <w:gridSpan w:val="2"/>
            <w:vAlign w:val="center"/>
          </w:tcPr>
          <w:p>
            <w:pPr>
              <w:adjustRightInd w:val="0"/>
              <w:snapToGri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其 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8.1</w:t>
            </w:r>
          </w:p>
        </w:tc>
        <w:tc>
          <w:tcPr>
            <w:tcW w:w="4449" w:type="pct"/>
            <w:vAlign w:val="center"/>
          </w:tcPr>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 所投车辆尾气排放选用国六排放标准。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 投标人交车时（整车）必须是已取得中华人民共和国工业和信息化部发布的对应车型《道路机动车辆生产企业及产品公告》的合格产品（须提供工信部官方查询平台查询截图和网址链接），并在投标文件中进行承诺。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（3） 所投车辆（整车）交车验收时需取得办理车辆产权（含上牌）所必需的一切手续资料，应符合现行国家专用汽车的相关要求。否则，采购方有权按照投标人虚假投标处理，解除合同、扣除履约保证金，并收回预付款，拉入企业黑名单，并向上级部门上报相关情况；其它未尽事宜，按国家有关法律、法规执行。投标人应作出声明，提供承诺（格式详见第七章投标文件格式）。投标人所提供的所有技术及商务证明材料需真实有效，若提供虚假文件将追究相关法律责任。 </w:t>
            </w:r>
          </w:p>
          <w:p>
            <w:pPr>
              <w:adjustRightInd w:val="0"/>
              <w:snapToGrid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 投标语言：中文，投标人提供的外文资料应附有相应的中文译本。投标文件应按照招标文件规定格式填写，内容完整，不得出现关键字迹模糊、 无法辨认。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val="en-US" w:eastAsia="zh-CN"/>
              </w:rPr>
              <w:t>2</w:t>
            </w:r>
          </w:p>
        </w:tc>
        <w:tc>
          <w:tcPr>
            <w:tcW w:w="4449" w:type="pct"/>
            <w:vAlign w:val="center"/>
          </w:tcPr>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 xml:space="preserve">有下列情形之一的，采购人有权向有管辖权的行政机关反映，由有管辖权的行政机关处以采购金额千分之五以上千分之十以下的罚款，列入不良行为记录名单，在一至三年内禁止参加政府采购活动，有违法所得的，并处没收违法所得，情节严重的，由市场监督管理部门吊销营业执照；构成犯罪的，依法追究刑事责任，列入本系统内质量“黑名单”：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（1）提供虚假材料谋取中标、成交的；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（2）采取不正当手段诋毁、排挤其他</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 xml:space="preserve">的；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（3）与采购人、其他</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或者采购代理机构恶意串通的；</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（4）向采购人、采购代理机构行贿或者提供其他不正当利益的；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（5）在招标采购过程中与采购人进行协商谈判的；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（6）拒绝有关部门监督检查或者提供虚假情况的。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 xml:space="preserve">有上述第 1 至 </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 项情形之一的，中标无效。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p>
        </w:tc>
        <w:tc>
          <w:tcPr>
            <w:tcW w:w="4449" w:type="pct"/>
            <w:vAlign w:val="center"/>
          </w:tcPr>
          <w:p>
            <w:pPr>
              <w:pStyle w:val="27"/>
              <w:numPr>
                <w:ilvl w:val="0"/>
                <w:numId w:val="3"/>
              </w:numPr>
              <w:spacing w:line="360" w:lineRule="auto"/>
              <w:ind w:left="28"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本项目</w:t>
            </w:r>
            <w:r>
              <w:rPr>
                <w:rFonts w:hint="eastAsia" w:ascii="宋体" w:hAnsi="宋体" w:eastAsia="宋体" w:cs="宋体"/>
                <w:color w:val="auto"/>
                <w:sz w:val="24"/>
                <w:szCs w:val="24"/>
                <w:highlight w:val="none"/>
              </w:rPr>
              <w:t>贯彻落实财库[2022]19号《关于进一步加大政府采购支持中小企业力度的通知》、财库[2020]46号《政府采购促进中小企业发展管理办法》的规定，豫财购[2013]14号《河南省财政厅、河南省工业和信息化厅关于政府采购促进小型微型企业发展的实施意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 xml:space="preserve">  </w:t>
            </w:r>
          </w:p>
          <w:p>
            <w:pPr>
              <w:pStyle w:val="27"/>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中小企业划型标准以工信部联企业〔2011〕300号《工业和信息化部、国家统计局、国家发展和改革委员会、财政部关于印发中小企业划型标准规定的通知》为依据。</w:t>
            </w:r>
          </w:p>
          <w:p>
            <w:pPr>
              <w:pStyle w:val="27"/>
              <w:spacing w:line="360" w:lineRule="auto"/>
              <w:ind w:right="6"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pPr>
              <w:pStyle w:val="27"/>
              <w:spacing w:line="360" w:lineRule="auto"/>
              <w:ind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符合中小企业划分标准的个体工商户，在政府采购活动中视同中小企业。小型、微型企业提供中型企业制造的货物的，视同为中型企业。</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在政府采购活动中，</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提供的货物、工程或者服务符合下列情形的，享受本办法规定的中小企业扶持政策：</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（一）在货物采购项目中，货物由中小企业制造，即货物由中小企业生产且使用该中小企业商号或者注册商标。</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（二）在工程采购项目中，工程由中小企业承建，即工程施工单位为中小企业。</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（三）在服务采购项目中，服务由中小企业承接，即提供服务的人员为中小企业依照《中华人民共和国民法典》订立劳动合同的从业人员。</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在货物采购项目中，</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提供的货物既有中小企业制造货物，也有大型企业制造货物的，不享受本办法规定的中小企业扶持政策。</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以联合体形式参加政府采购活动，联合体各方均为中小企业的，联合体视同中小企业。其中，联合体各方均为小微企业的，联合体视同小微企业。</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关于投标报价评分中给予中小企业优惠的说明：评审时给予小型或微型企业10%的价格扣除，用扣除后的价格参与评审。</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大型企业评标报价=投标报价</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中型企业评标报价=投标报价</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小型或微型企业评标报价=投标报价*（1-10%）</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根据《财政部、司法部关于政府采购支持监狱企业发展有关问题的通知》（财库[2014]68号）规定，本项目支持监狱企业参与政府采购活动。监狱企业参加本项目投标时，须提供由省级以上监狱管理局、戒毒管理局（含新疆生产建设兵团）出具的属于监狱企业的证明文件，视同小型、微型企业。</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根据《关于促进残疾人就业政府采购政策的通知》（财库〔2017〕141号）文件规定，本项目支持残疾人福利性单位参与政府采购活动。符合条件的残疾人福利性单位参加本项目投标时，应当提供本通知规定的《残疾人福利性单位声明函》，并对声明的真实性负责，视同小型、微型企业。</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根据《关于调整优化节能产品环境标志产品政府采购执行机制的通知》（财库〔2019〕9号）文件规定，本项目如涉及到品目清单范围内的产品，将依据国家确定的认证机构出具的、处于有效期之内的节能产品、环境标志产品认证证书，对获得证书的产品实施优先采购或强制采购。</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E、根据政府采购政策，本项目如涉及到自主创新首购产品，应当采购由财政部会同科技部等部门制定的《政府采购自主创新产品目录》内的产品。</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F、根据政府采购政策，本项目如涉及到无线局域网产品，应当优先采购《无线局域网认证产品政府采购清单》内的产品，如涉及到信息安全产品，应当采购经国家认证的信息安全产品。</w:t>
            </w:r>
          </w:p>
          <w:p>
            <w:pPr>
              <w:pStyle w:val="27"/>
              <w:spacing w:line="360" w:lineRule="auto"/>
              <w:ind w:left="28" w:right="-7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G、根据政府采购政策，本项目如涉及到计算机办公设备产品，</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所投产品必须是预装正版操作系统软件的计算机产品。</w:t>
            </w:r>
          </w:p>
          <w:p>
            <w:pPr>
              <w:pStyle w:val="27"/>
              <w:spacing w:line="360" w:lineRule="auto"/>
              <w:ind w:left="28" w:right="-72"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H、本项目采购标的所对应的中小</w:t>
            </w:r>
            <w:r>
              <w:rPr>
                <w:rFonts w:hint="eastAsia" w:ascii="宋体" w:hAnsi="宋体" w:cs="宋体"/>
                <w:b/>
                <w:bCs/>
                <w:color w:val="auto"/>
                <w:sz w:val="24"/>
                <w:szCs w:val="24"/>
                <w:highlight w:val="none"/>
                <w:lang w:val="en-US" w:eastAsia="zh-CN"/>
              </w:rPr>
              <w:t>微</w:t>
            </w:r>
            <w:r>
              <w:rPr>
                <w:rFonts w:hint="eastAsia" w:ascii="宋体" w:hAnsi="宋体" w:eastAsia="宋体" w:cs="宋体"/>
                <w:b/>
                <w:bCs/>
                <w:color w:val="auto"/>
                <w:sz w:val="24"/>
                <w:szCs w:val="24"/>
                <w:highlight w:val="none"/>
              </w:rPr>
              <w:t>企业划分标准所属行业：工业。</w:t>
            </w:r>
          </w:p>
          <w:p>
            <w:pPr>
              <w:pStyle w:val="27"/>
              <w:spacing w:line="360" w:lineRule="auto"/>
              <w:ind w:left="28" w:leftChars="0" w:right="-72" w:rightChars="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I、其它未尽事宜，按国家有关法律、法规执行。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val="en-US" w:eastAsia="zh-CN"/>
              </w:rPr>
              <w:t>4</w:t>
            </w:r>
          </w:p>
        </w:tc>
        <w:tc>
          <w:tcPr>
            <w:tcW w:w="4449" w:type="pct"/>
            <w:vAlign w:val="center"/>
          </w:tcPr>
          <w:p>
            <w:pPr>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本项目为远程不见面开标方式，远程开标大厅为</w:t>
            </w:r>
            <w:r>
              <w:rPr>
                <w:rFonts w:hint="eastAsia" w:ascii="宋体" w:hAnsi="宋体" w:eastAsia="宋体" w:cs="宋体"/>
                <w:b w:val="0"/>
                <w:bCs w:val="0"/>
                <w:color w:val="auto"/>
                <w:sz w:val="24"/>
                <w:szCs w:val="24"/>
                <w:highlight w:val="none"/>
                <w:lang w:val="en-US" w:eastAsia="zh-CN"/>
              </w:rPr>
              <w:t>http://ggzy.pds.gov.cn/</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应在投标截止时间前登录远程开标大厅，在线准时参加开标活动并进行投标文件解密等。</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无需到交易中心现场参加开标会议。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ind w:left="38" w:leftChars="18"/>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val="en-US" w:eastAsia="zh-CN"/>
              </w:rPr>
              <w:t>.5</w:t>
            </w:r>
          </w:p>
        </w:tc>
        <w:tc>
          <w:tcPr>
            <w:tcW w:w="4449" w:type="pct"/>
            <w:vAlign w:val="center"/>
          </w:tcPr>
          <w:p>
            <w:pPr>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本项目产品需求及技术要求以招标文件第六章招标项目需求及技术要求为准。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val="en-US" w:eastAsia="zh-CN"/>
              </w:rPr>
              <w:t>6</w:t>
            </w:r>
          </w:p>
        </w:tc>
        <w:tc>
          <w:tcPr>
            <w:tcW w:w="4449" w:type="pct"/>
            <w:vAlign w:val="center"/>
          </w:tcPr>
          <w:p>
            <w:pPr>
              <w:adjustRightInd w:val="0"/>
              <w:snapToGrid w:val="0"/>
              <w:spacing w:line="360" w:lineRule="auto"/>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所投标包投标总报价不可超过所投标包最高限价，且该标包中各单品报价不得超过单品最高限价，否则按无效标处理。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val="en-US" w:eastAsia="zh-CN"/>
              </w:rPr>
              <w:t>7</w:t>
            </w:r>
          </w:p>
        </w:tc>
        <w:tc>
          <w:tcPr>
            <w:tcW w:w="4449" w:type="pct"/>
            <w:vAlign w:val="center"/>
          </w:tcPr>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1.合同付款方式：详见招标文件“第五章合同”中的要求。</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2.验收标准：符合招标文件的要求和投标文件的实质性承诺。</w:t>
            </w:r>
          </w:p>
          <w:p>
            <w:pPr>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3.采购人应当自政府采购合同签订之日起2个工作日内，将政府采购合同在省级以上人民政府财政部门指定的媒体上公告，但政府采购合同中涉及国家秘密、商业秘密的内容除外。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val="en-US" w:eastAsia="zh-CN"/>
              </w:rPr>
              <w:t>8</w:t>
            </w:r>
          </w:p>
        </w:tc>
        <w:tc>
          <w:tcPr>
            <w:tcW w:w="4449" w:type="pct"/>
            <w:vAlign w:val="center"/>
          </w:tcPr>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违约责任约定：</w:t>
            </w:r>
          </w:p>
          <w:p>
            <w:pPr>
              <w:adjustRightInd w:val="0"/>
              <w:snapToGrid w:val="0"/>
              <w:spacing w:line="360" w:lineRule="auto"/>
              <w:ind w:left="3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1．甲方应依合同规定时间内，向乙方支付货款，每拖延一天乙方可向甲方加收合同金额的1‰的违约金，但不超过合同金额的2%。</w:t>
            </w:r>
          </w:p>
          <w:p>
            <w:pPr>
              <w:adjustRightInd w:val="0"/>
              <w:snapToGrid w:val="0"/>
              <w:spacing w:line="360" w:lineRule="auto"/>
              <w:ind w:left="3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未能按时交货，每拖延一天，须向甲方支付合同金额的1‰作为违约金。如逾期交货超过30天的，甲方有权单方面解除本合同，并要求乙方立即赔付合同价款的10%作为违约金。同时，甲方向上一级主管部门申请将乙方列入“黑名单”。如甲</w:t>
            </w:r>
            <w:r>
              <w:rPr>
                <w:rFonts w:hint="eastAsia" w:ascii="宋体" w:hAnsi="宋体" w:cs="宋体"/>
                <w:color w:val="auto"/>
                <w:sz w:val="24"/>
                <w:szCs w:val="24"/>
                <w:highlight w:val="none"/>
                <w:lang w:val="en-US" w:eastAsia="zh-CN"/>
              </w:rPr>
              <w:t>乙双方协商后，</w:t>
            </w:r>
            <w:r>
              <w:rPr>
                <w:rFonts w:hint="eastAsia" w:ascii="宋体" w:hAnsi="宋体" w:eastAsia="宋体" w:cs="宋体"/>
                <w:color w:val="auto"/>
                <w:sz w:val="24"/>
                <w:szCs w:val="24"/>
                <w:highlight w:val="none"/>
              </w:rPr>
              <w:t xml:space="preserve">选择继续履行本合同的，甲方将从本合同货款总额内一次性扣除10%作为乙方的违约金。 </w:t>
            </w:r>
          </w:p>
          <w:p>
            <w:pPr>
              <w:adjustRightInd w:val="0"/>
              <w:snapToGrid w:val="0"/>
              <w:spacing w:line="360" w:lineRule="auto"/>
              <w:ind w:left="3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乙方交付货物不符合合同规定的或性能参数达不到招标文件要求、投标文件承诺的</w:t>
            </w:r>
            <w:r>
              <w:rPr>
                <w:rFonts w:hint="eastAsia" w:ascii="宋体" w:hAnsi="宋体" w:eastAsia="宋体" w:cs="宋体"/>
                <w:color w:val="auto"/>
                <w:sz w:val="24"/>
                <w:szCs w:val="24"/>
                <w:highlight w:val="none"/>
              </w:rPr>
              <w:t>，甲方有权拒收或单方面解除本合同，并要求乙方赔付合同价款的10%作为违约金，同时甲方向采购监管部门申请将乙方列入“黑名单”，禁止乙方在三年内参与甲方及甲方下属机构的任何招投标采购活动。</w:t>
            </w:r>
          </w:p>
          <w:p>
            <w:pPr>
              <w:adjustRightInd w:val="0"/>
              <w:snapToGrid w:val="0"/>
              <w:spacing w:line="360" w:lineRule="auto"/>
              <w:ind w:left="3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因验收不合格需要更换同规格的货物时，货物更换完成时间晚于交货时间的视为逾期交货。</w:t>
            </w:r>
          </w:p>
          <w:p>
            <w:pPr>
              <w:adjustRightInd w:val="0"/>
              <w:snapToGrid w:val="0"/>
              <w:spacing w:line="360" w:lineRule="auto"/>
              <w:ind w:left="38"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甲方无正当理由拒收乙方按照合同约定提供合格货物的，甲方应向乙方支付合同金额的10%作为违约金。</w:t>
            </w:r>
          </w:p>
          <w:p>
            <w:pPr>
              <w:adjustRightInd w:val="0"/>
              <w:snapToGrid w:val="0"/>
              <w:spacing w:line="360" w:lineRule="auto"/>
              <w:ind w:left="38"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．乙方未能按照故障响应时间履行售后维修、培训等服务的，甲方根据使用单位书面反馈情况，经核实属实的，每次乙方应支付合同金额的1%作为违约金，但不超过合同金额的5%。</w:t>
            </w:r>
          </w:p>
          <w:p>
            <w:pPr>
              <w:adjustRightInd w:val="0"/>
              <w:snapToGrid w:val="0"/>
              <w:spacing w:line="360" w:lineRule="auto"/>
              <w:ind w:left="38" w:leftChars="0"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．质保期满后，乙方未提供货物使用所有单位每半年巡检记录的，乙方应向甲方支付合同金额的5%作为违约金。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val="en-US" w:eastAsia="zh-CN"/>
              </w:rPr>
              <w:t>9</w:t>
            </w:r>
          </w:p>
        </w:tc>
        <w:tc>
          <w:tcPr>
            <w:tcW w:w="4449" w:type="pct"/>
            <w:vAlign w:val="center"/>
          </w:tcPr>
          <w:p>
            <w:pPr>
              <w:adjustRightInd w:val="0"/>
              <w:snapToGrid w:val="0"/>
              <w:spacing w:line="360" w:lineRule="auto"/>
              <w:ind w:left="38" w:leftChars="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专利权和保密要求：</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应保证使用方在使用该货物或其任何一部分时，不受第三方侵权指控。同时，</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不得向第三方泄露招标人提供的技术文件等资料。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ind w:left="38" w:leftChars="18"/>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val="en-US" w:eastAsia="zh-CN"/>
              </w:rPr>
              <w:t>10</w:t>
            </w:r>
          </w:p>
        </w:tc>
        <w:tc>
          <w:tcPr>
            <w:tcW w:w="4449" w:type="pct"/>
            <w:vAlign w:val="center"/>
          </w:tcPr>
          <w:p>
            <w:pPr>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投标文件制作机器码一致时投标文件视为无效投标。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8.1</w:t>
            </w:r>
            <w:r>
              <w:rPr>
                <w:rFonts w:hint="eastAsia" w:ascii="宋体" w:hAnsi="宋体" w:cs="宋体"/>
                <w:color w:val="auto"/>
                <w:sz w:val="24"/>
                <w:szCs w:val="24"/>
                <w:highlight w:val="none"/>
                <w:lang w:val="en-US" w:eastAsia="zh-CN"/>
              </w:rPr>
              <w:t>1</w:t>
            </w:r>
          </w:p>
        </w:tc>
        <w:tc>
          <w:tcPr>
            <w:tcW w:w="4449" w:type="pct"/>
            <w:vAlign w:val="center"/>
          </w:tcPr>
          <w:p>
            <w:pPr>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可同时参与多个标包投标，</w:t>
            </w:r>
            <w:r>
              <w:rPr>
                <w:rFonts w:hint="eastAsia" w:ascii="宋体" w:hAnsi="宋体" w:eastAsia="宋体" w:cs="宋体"/>
                <w:b/>
                <w:bCs/>
                <w:color w:val="auto"/>
                <w:sz w:val="24"/>
                <w:szCs w:val="24"/>
                <w:highlight w:val="none"/>
              </w:rPr>
              <w:t>可同时中标不同产品多个标包。同一产品划分多个标包的，</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可同时参与多个标包投标，但只允许中取一个标包</w:t>
            </w:r>
            <w:r>
              <w:rPr>
                <w:rFonts w:hint="eastAsia" w:ascii="宋体" w:hAnsi="宋体" w:eastAsia="宋体" w:cs="宋体"/>
                <w:color w:val="auto"/>
                <w:sz w:val="24"/>
                <w:szCs w:val="24"/>
                <w:highlight w:val="none"/>
              </w:rPr>
              <w:t>（若同一投标人在多个包中综合得分排名第一时，确定其为包号顺序靠前一包的中标候选人，其他相关包推荐综合得分排名第二的投标人为该包的中标候选人，当相关包综合得分排名第二的投标人在所投其他包已被确定为中标候选人时，则由综合得分排名第三的投标人递补，依次类推）。当任一标包的第一中标候选人放弃中标，或因不可抗力提出不能履行合同，不按招标文件要求提交履约保证金或保函，或者被查实存在影响中标结果的违法行为等情形而不符合中标条件的，采购人将对该标包进行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ind w:left="38" w:leftChars="18"/>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8.1</w:t>
            </w:r>
            <w:r>
              <w:rPr>
                <w:rFonts w:hint="eastAsia" w:ascii="宋体" w:hAnsi="宋体" w:cs="宋体"/>
                <w:color w:val="auto"/>
                <w:sz w:val="24"/>
                <w:szCs w:val="24"/>
                <w:highlight w:val="none"/>
                <w:lang w:val="en-US" w:eastAsia="zh-CN"/>
              </w:rPr>
              <w:t>2</w:t>
            </w:r>
          </w:p>
        </w:tc>
        <w:tc>
          <w:tcPr>
            <w:tcW w:w="4449" w:type="pct"/>
            <w:vAlign w:val="center"/>
          </w:tcPr>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代理费收取：</w:t>
            </w:r>
            <w:r>
              <w:rPr>
                <w:rFonts w:hint="eastAsia" w:ascii="宋体" w:hAnsi="宋体" w:eastAsia="宋体" w:cs="宋体"/>
                <w:bCs/>
                <w:color w:val="auto"/>
                <w:kern w:val="0"/>
                <w:sz w:val="24"/>
                <w:szCs w:val="24"/>
                <w:highlight w:val="none"/>
                <w:lang w:val="en-US" w:eastAsia="zh-CN"/>
              </w:rPr>
              <w:t>采购代理服务费由中标单位支付，收费标准按照</w:t>
            </w:r>
            <w:r>
              <w:rPr>
                <w:rFonts w:hint="eastAsia" w:ascii="宋体" w:hAnsi="宋体" w:eastAsia="宋体" w:cs="宋体"/>
                <w:color w:val="auto"/>
                <w:sz w:val="24"/>
                <w:szCs w:val="24"/>
                <w:highlight w:val="none"/>
              </w:rPr>
              <w:t>《河南省招标代理服务收费指导意见》（豫招协【2023】002号）文件的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90</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%执行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中标人应在领取中标通知书</w:t>
            </w:r>
            <w:r>
              <w:rPr>
                <w:rFonts w:hint="eastAsia" w:ascii="宋体" w:hAnsi="宋体" w:eastAsia="宋体" w:cs="宋体"/>
                <w:color w:val="auto"/>
                <w:sz w:val="24"/>
                <w:szCs w:val="24"/>
                <w:highlight w:val="none"/>
                <w:lang w:val="en-US" w:eastAsia="zh-CN"/>
              </w:rPr>
              <w:t>时</w:t>
            </w:r>
            <w:r>
              <w:rPr>
                <w:rFonts w:hint="eastAsia" w:ascii="宋体" w:hAnsi="宋体" w:eastAsia="宋体" w:cs="宋体"/>
                <w:color w:val="auto"/>
                <w:sz w:val="24"/>
                <w:szCs w:val="24"/>
                <w:highlight w:val="none"/>
              </w:rPr>
              <w:t>一次性缴纳。</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代理服务费收取账号：</w:t>
            </w:r>
          </w:p>
          <w:p>
            <w:pPr>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单位：</w:t>
            </w:r>
            <w:r>
              <w:rPr>
                <w:rFonts w:hint="eastAsia" w:ascii="宋体" w:hAnsi="宋体" w:cs="宋体"/>
                <w:color w:val="auto"/>
                <w:sz w:val="24"/>
                <w:szCs w:val="24"/>
                <w:highlight w:val="none"/>
                <w:lang w:eastAsia="zh-CN"/>
              </w:rPr>
              <w:t>中发祥和工程管理有限公司</w:t>
            </w:r>
          </w:p>
          <w:p>
            <w:pPr>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开户行：</w:t>
            </w:r>
            <w:r>
              <w:rPr>
                <w:rFonts w:hint="eastAsia" w:ascii="宋体" w:hAnsi="宋体" w:cs="宋体"/>
                <w:color w:val="auto"/>
                <w:sz w:val="24"/>
                <w:szCs w:val="24"/>
                <w:highlight w:val="none"/>
                <w:lang w:eastAsia="zh-CN"/>
              </w:rPr>
              <w:t>中国农业银行郑州商都支行</w:t>
            </w:r>
          </w:p>
          <w:p>
            <w:pPr>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账号：</w:t>
            </w:r>
            <w:r>
              <w:rPr>
                <w:rFonts w:hint="eastAsia" w:ascii="宋体" w:hAnsi="宋体" w:cs="宋体"/>
                <w:color w:val="auto"/>
                <w:sz w:val="24"/>
                <w:szCs w:val="24"/>
                <w:highlight w:val="none"/>
                <w:lang w:val="en-US" w:eastAsia="zh-CN"/>
              </w:rPr>
              <w:t>16003101040007372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8.1</w:t>
            </w:r>
            <w:r>
              <w:rPr>
                <w:rFonts w:hint="eastAsia" w:ascii="宋体" w:hAnsi="宋体" w:cs="宋体"/>
                <w:color w:val="auto"/>
                <w:sz w:val="24"/>
                <w:szCs w:val="24"/>
                <w:highlight w:val="none"/>
                <w:lang w:val="en-US" w:eastAsia="zh-CN"/>
              </w:rPr>
              <w:t>3</w:t>
            </w:r>
          </w:p>
        </w:tc>
        <w:tc>
          <w:tcPr>
            <w:tcW w:w="4449" w:type="pct"/>
            <w:vAlign w:val="center"/>
          </w:tcPr>
          <w:p>
            <w:pPr>
              <w:adjustRightInd w:val="0"/>
              <w:snapToGrid w:val="0"/>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质疑函接收信息</w:t>
            </w:r>
          </w:p>
          <w:p>
            <w:pPr>
              <w:adjustRightInd w:val="0"/>
              <w:snapToGrid w:val="0"/>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1.供应商认为采购文件、采购过程、中标或者成交结果使自己的权益受到损害的，可以在知道或者应知其权益受到损害之日起7个工作日内，以书面形式向采购人、采购代理机构提出质疑。</w:t>
            </w:r>
          </w:p>
          <w:p>
            <w:pPr>
              <w:adjustRightInd w:val="0"/>
              <w:snapToGrid w:val="0"/>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供应商提出质疑应当提交质疑函和必要的证明材料：质疑供应商应按照财政部制定的《政府采购质疑函范本》格式（可从财政部官方网站下载）及《政府采购质疑和投诉办法》的要求和必要的证明材料。供应商投诉的事项不得超出已质疑事项的范围，但基于质疑答复内容提出的投诉事项除外。</w:t>
            </w:r>
          </w:p>
          <w:p>
            <w:pPr>
              <w:adjustRightInd w:val="0"/>
              <w:snapToGrid w:val="0"/>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3.供应商应当在法定质疑期内一次性提出针对同一采购程序环节的质疑。</w:t>
            </w:r>
          </w:p>
          <w:p>
            <w:pPr>
              <w:adjustRightInd w:val="0"/>
              <w:snapToGrid w:val="0"/>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4.采购人、采购代理机构接收质疑函的方式、联系部门、联系电话和通讯地址：</w:t>
            </w:r>
          </w:p>
          <w:p>
            <w:pPr>
              <w:adjustRightInd w:val="0"/>
              <w:snapToGrid w:val="0"/>
              <w:spacing w:line="360" w:lineRule="auto"/>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单位</w:t>
            </w:r>
            <w:r>
              <w:rPr>
                <w:rFonts w:hint="eastAsia" w:ascii="宋体" w:hAnsi="宋体" w:eastAsia="宋体" w:cs="宋体"/>
                <w:b w:val="0"/>
                <w:bCs w:val="0"/>
                <w:color w:val="auto"/>
                <w:sz w:val="24"/>
                <w:szCs w:val="24"/>
                <w:highlight w:val="none"/>
                <w:lang w:val="en-US" w:eastAsia="zh-CN"/>
              </w:rPr>
              <w:t>名称</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eastAsia="zh-CN"/>
              </w:rPr>
              <w:t>中发祥和工程管理有限公司</w:t>
            </w:r>
          </w:p>
          <w:p>
            <w:pPr>
              <w:adjustRightInd w:val="0"/>
              <w:snapToGrid w:val="0"/>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联 系 人：</w:t>
            </w:r>
            <w:r>
              <w:rPr>
                <w:rFonts w:hint="eastAsia" w:ascii="宋体" w:hAnsi="宋体" w:cs="宋体"/>
                <w:b w:val="0"/>
                <w:bCs w:val="0"/>
                <w:color w:val="auto"/>
                <w:sz w:val="24"/>
                <w:szCs w:val="24"/>
                <w:highlight w:val="none"/>
                <w:lang w:eastAsia="zh-CN"/>
              </w:rPr>
              <w:t>张克玉</w:t>
            </w:r>
          </w:p>
          <w:p>
            <w:pPr>
              <w:adjustRightInd w:val="0"/>
              <w:snapToGrid w:val="0"/>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联系电话：</w:t>
            </w:r>
            <w:r>
              <w:rPr>
                <w:rFonts w:hint="eastAsia" w:ascii="宋体" w:hAnsi="宋体" w:cs="宋体"/>
                <w:b w:val="0"/>
                <w:bCs w:val="0"/>
                <w:color w:val="auto"/>
                <w:sz w:val="24"/>
                <w:highlight w:val="none"/>
                <w:lang w:val="en-US" w:eastAsia="zh-CN"/>
              </w:rPr>
              <w:t>0371-63399916,15639044333</w:t>
            </w:r>
          </w:p>
          <w:p>
            <w:pPr>
              <w:adjustRightInd w:val="0"/>
              <w:snapToGrid w:val="0"/>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通讯地址：</w:t>
            </w:r>
            <w:r>
              <w:rPr>
                <w:rFonts w:hint="eastAsia" w:ascii="宋体" w:hAnsi="宋体" w:cs="宋体"/>
                <w:b w:val="0"/>
                <w:bCs w:val="0"/>
                <w:color w:val="auto"/>
                <w:sz w:val="24"/>
                <w:highlight w:val="none"/>
              </w:rPr>
              <w:t>河南省郑州市中原区建设西路198号院B座12层10号、11号</w:t>
            </w:r>
          </w:p>
          <w:p>
            <w:pPr>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接收质疑函的方式：供应商应以书面形式提供质疑函原件。采购人、采购代理机构应当向质疑供应商以书面形式签收回执。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8.14</w:t>
            </w:r>
          </w:p>
        </w:tc>
        <w:tc>
          <w:tcPr>
            <w:tcW w:w="4449" w:type="pct"/>
            <w:vAlign w:val="center"/>
          </w:tcPr>
          <w:p>
            <w:pPr>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为了不影响投标，交易主体（投标人）务必尽快根据自己的实际情况和招标文件要求，在网上添加市场主体类型，完善各投标人主体库中的相应信息包括企业资质、业绩、人员、获奖、证书、纳税、社会保障、财务状况等招标文件中要求的相应资料，并对新增主体类型进行CA证书激活，否则可能影响投标文件的制作，添加主体类型并激活证书后，新增主体类型的基本信息需要提交交易中心工作人员验证，验证时间为一个工作日，建议投标人提前办理，以免影响下载招标文件及投标。市场主体登记的信息在交易中心网站“市场主体库公示”专栏对外公开，接受社会监督，登记的信息必须真实准确、合法有效，如信息填写错误或者未及时更新信息或者弄虚作假的，自行承担相应的后果及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8.15</w:t>
            </w:r>
          </w:p>
        </w:tc>
        <w:tc>
          <w:tcPr>
            <w:tcW w:w="4449" w:type="pct"/>
            <w:vAlign w:val="center"/>
          </w:tcPr>
          <w:p>
            <w:pPr>
              <w:adjustRightInd w:val="0"/>
              <w:snapToGrid w:val="0"/>
              <w:spacing w:line="360" w:lineRule="auto"/>
              <w:ind w:firstLine="482"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val="en-US" w:eastAsia="zh-CN"/>
              </w:rPr>
              <w:t>投标人在制作电子投标文件时，开标一览表</w:t>
            </w:r>
            <w:r>
              <w:rPr>
                <w:rFonts w:hint="eastAsia" w:ascii="宋体" w:hAnsi="宋体" w:cs="宋体"/>
                <w:b/>
                <w:bCs/>
                <w:color w:val="auto"/>
                <w:sz w:val="24"/>
                <w:szCs w:val="24"/>
                <w:highlight w:val="none"/>
                <w:lang w:val="en-US" w:eastAsia="zh-CN"/>
              </w:rPr>
              <w:t>为</w:t>
            </w:r>
            <w:r>
              <w:rPr>
                <w:rFonts w:hint="eastAsia" w:ascii="宋体" w:hAnsi="宋体" w:eastAsia="宋体" w:cs="宋体"/>
                <w:b/>
                <w:bCs/>
                <w:color w:val="auto"/>
                <w:sz w:val="24"/>
                <w:szCs w:val="24"/>
                <w:highlight w:val="none"/>
                <w:lang w:val="en-US" w:eastAsia="zh-CN"/>
              </w:rPr>
              <w:t>系统默认设置，供交易系统唱标时使用，若其中内容无法填写或不适用可填写“0”或“/”。本项目以投标人电子投标文件中的投标函及投标函附录中的内容为准。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0" w:type="pct"/>
            <w:vAlign w:val="center"/>
          </w:tcPr>
          <w:p>
            <w:pPr>
              <w:adjustRightInd w:val="0"/>
              <w:snapToGrid w:val="0"/>
              <w:spacing w:line="360" w:lineRule="auto"/>
              <w:ind w:left="38" w:leftChars="18"/>
              <w:jc w:val="center"/>
              <w:rPr>
                <w:rFonts w:hint="default"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rPr>
              <w:t>8.16</w:t>
            </w:r>
          </w:p>
        </w:tc>
        <w:tc>
          <w:tcPr>
            <w:tcW w:w="4449" w:type="pct"/>
            <w:vAlign w:val="center"/>
          </w:tcPr>
          <w:p>
            <w:pPr>
              <w:pStyle w:val="22"/>
              <w:numPr>
                <w:ilvl w:val="0"/>
                <w:numId w:val="0"/>
              </w:numPr>
              <w:tabs>
                <w:tab w:val="left" w:pos="420"/>
              </w:tabs>
              <w:adjustRightInd w:val="0"/>
              <w:snapToGrid w:val="0"/>
              <w:spacing w:after="0"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1、招标文件中带“</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 w:val="24"/>
                <w:szCs w:val="24"/>
                <w:highlight w:val="none"/>
              </w:rPr>
              <w:t>”条款为实质性要求，供应商必须满足，如不满足，将导致无效投标或投标不予接受。</w:t>
            </w:r>
          </w:p>
          <w:p>
            <w:pPr>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参与本项目政府采购活动的供应商，在中标后可以持政府采购合同向融资机构申请贷款，融资渠道和方式见“河南省政府采购合同融资平台”。</w:t>
            </w:r>
          </w:p>
        </w:tc>
      </w:tr>
    </w:tbl>
    <w:p>
      <w:pPr>
        <w:adjustRightInd w:val="0"/>
        <w:snapToGrid w:val="0"/>
        <w:spacing w:line="360" w:lineRule="auto"/>
        <w:jc w:val="both"/>
        <w:rPr>
          <w:rFonts w:hint="eastAsia" w:ascii="宋体" w:hAnsi="宋体" w:eastAsia="宋体" w:cs="宋体"/>
          <w:color w:val="auto"/>
          <w:sz w:val="24"/>
          <w:szCs w:val="24"/>
          <w:highlight w:val="none"/>
        </w:rPr>
        <w:sectPr>
          <w:footerReference r:id="rId7" w:type="default"/>
          <w:pgSz w:w="11911" w:h="16838"/>
          <w:pgMar w:top="1440" w:right="1803" w:bottom="1440" w:left="1803" w:header="884" w:footer="964" w:gutter="0"/>
          <w:pgBorders>
            <w:top w:val="none" w:sz="0" w:space="0"/>
            <w:left w:val="none" w:sz="0" w:space="0"/>
            <w:bottom w:val="none" w:sz="0" w:space="0"/>
            <w:right w:val="none" w:sz="0" w:space="0"/>
          </w:pgBorders>
          <w:pgNumType w:fmt="decimal"/>
          <w:cols w:space="0" w:num="1"/>
          <w:rtlGutter w:val="0"/>
          <w:docGrid w:linePitch="315" w:charSpace="0"/>
        </w:sectPr>
      </w:pPr>
    </w:p>
    <w:p>
      <w:pPr>
        <w:numPr>
          <w:ilvl w:val="0"/>
          <w:numId w:val="0"/>
        </w:numPr>
        <w:spacing w:line="400" w:lineRule="exact"/>
        <w:outlineLvl w:val="1"/>
        <w:rPr>
          <w:rFonts w:ascii="宋体" w:cs="宋体"/>
          <w:color w:val="auto"/>
          <w:sz w:val="24"/>
          <w:highlight w:val="none"/>
        </w:rPr>
      </w:pPr>
      <w:bookmarkStart w:id="22" w:name="_Toc15365"/>
      <w:bookmarkStart w:id="23" w:name="_Toc19997"/>
      <w:bookmarkStart w:id="24" w:name="_Toc40112130"/>
      <w:bookmarkStart w:id="25" w:name="_Toc3925"/>
      <w:bookmarkStart w:id="26" w:name="_Toc17929"/>
      <w:r>
        <w:rPr>
          <w:rStyle w:val="28"/>
          <w:rFonts w:hint="eastAsia"/>
          <w:color w:val="auto"/>
          <w:sz w:val="21"/>
          <w:szCs w:val="21"/>
          <w:highlight w:val="none"/>
        </w:rPr>
        <w:t>总则</w:t>
      </w:r>
      <w:bookmarkEnd w:id="22"/>
      <w:bookmarkEnd w:id="23"/>
      <w:bookmarkEnd w:id="24"/>
      <w:bookmarkEnd w:id="25"/>
      <w:bookmarkEnd w:id="26"/>
    </w:p>
    <w:p>
      <w:pPr>
        <w:numPr>
          <w:ilvl w:val="1"/>
          <w:numId w:val="4"/>
        </w:numPr>
        <w:spacing w:line="400" w:lineRule="exact"/>
        <w:ind w:firstLine="422" w:firstLineChars="200"/>
        <w:rPr>
          <w:rFonts w:ascii="宋体" w:cs="宋体"/>
          <w:b/>
          <w:bCs/>
          <w:color w:val="auto"/>
          <w:highlight w:val="none"/>
        </w:rPr>
      </w:pPr>
      <w:bookmarkStart w:id="27" w:name="_Toc28200"/>
      <w:bookmarkStart w:id="28" w:name="_Toc2081"/>
      <w:bookmarkStart w:id="29" w:name="_Toc30432"/>
      <w:bookmarkStart w:id="30" w:name="_Toc20743"/>
      <w:bookmarkStart w:id="31" w:name="_Toc4828"/>
      <w:bookmarkStart w:id="32" w:name="_Toc2427"/>
      <w:bookmarkStart w:id="33" w:name="_Toc30513"/>
      <w:bookmarkStart w:id="34" w:name="_Toc15062"/>
      <w:bookmarkStart w:id="35" w:name="_Toc5358"/>
      <w:bookmarkStart w:id="36" w:name="_Toc14496"/>
      <w:bookmarkStart w:id="37" w:name="_Toc28377"/>
      <w:r>
        <w:rPr>
          <w:rFonts w:hint="eastAsia" w:ascii="宋体" w:hAnsi="宋体" w:cs="宋体"/>
          <w:b/>
          <w:bCs/>
          <w:color w:val="auto"/>
          <w:highlight w:val="none"/>
        </w:rPr>
        <w:t>适用范围</w:t>
      </w:r>
      <w:bookmarkEnd w:id="27"/>
      <w:bookmarkEnd w:id="28"/>
      <w:bookmarkEnd w:id="29"/>
      <w:bookmarkEnd w:id="30"/>
      <w:bookmarkEnd w:id="31"/>
      <w:bookmarkEnd w:id="32"/>
      <w:bookmarkEnd w:id="33"/>
      <w:bookmarkEnd w:id="34"/>
      <w:bookmarkEnd w:id="35"/>
      <w:bookmarkEnd w:id="36"/>
      <w:bookmarkEnd w:id="37"/>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本招标文件仅适用于本次所述的货物及其伴随的服务采购。</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本招标文件的解释权归采购人所有。</w:t>
      </w:r>
    </w:p>
    <w:p>
      <w:pPr>
        <w:numPr>
          <w:ilvl w:val="1"/>
          <w:numId w:val="4"/>
        </w:numPr>
        <w:spacing w:line="400" w:lineRule="exact"/>
        <w:ind w:firstLine="422" w:firstLineChars="200"/>
        <w:rPr>
          <w:rFonts w:ascii="宋体" w:cs="宋体"/>
          <w:b/>
          <w:bCs/>
          <w:color w:val="auto"/>
          <w:highlight w:val="none"/>
        </w:rPr>
      </w:pPr>
      <w:bookmarkStart w:id="38" w:name="_Toc16716"/>
      <w:bookmarkStart w:id="39" w:name="_Toc29424"/>
      <w:bookmarkStart w:id="40" w:name="_Toc19192"/>
      <w:bookmarkStart w:id="41" w:name="_Toc18955"/>
      <w:r>
        <w:rPr>
          <w:rFonts w:hint="eastAsia" w:ascii="宋体" w:hAnsi="宋体" w:cs="宋体"/>
          <w:b/>
          <w:bCs/>
          <w:color w:val="auto"/>
          <w:highlight w:val="none"/>
        </w:rPr>
        <w:t>招标项目概况</w:t>
      </w:r>
      <w:bookmarkEnd w:id="38"/>
      <w:bookmarkEnd w:id="39"/>
      <w:bookmarkEnd w:id="40"/>
      <w:bookmarkEnd w:id="41"/>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采购人：</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须知前附表中所述的、依法进行政府采购的国家机关、事业单位、团体组织。</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采购代理机构：受采购人委托组织招标活动，在招标过程中负有相应责任的社会中介组织。</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项目编号及项目名称：见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本次采购内容：见</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须知前附表。</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资金来源及预算金额：见</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交货期：见</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交货地点：见</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质保期：见</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w:t>
      </w:r>
    </w:p>
    <w:p>
      <w:pPr>
        <w:numPr>
          <w:ilvl w:val="2"/>
          <w:numId w:val="4"/>
        </w:numPr>
        <w:adjustRightInd w:val="0"/>
        <w:snapToGrid w:val="0"/>
        <w:spacing w:line="400" w:lineRule="exact"/>
        <w:ind w:firstLine="420" w:firstLineChars="200"/>
        <w:rPr>
          <w:rFonts w:ascii="宋体" w:cs="宋体"/>
          <w:color w:val="auto"/>
          <w:kern w:val="0"/>
          <w:szCs w:val="21"/>
          <w:highlight w:val="none"/>
        </w:rPr>
      </w:pPr>
      <w:r>
        <w:rPr>
          <w:rFonts w:hint="eastAsia" w:ascii="宋体" w:hAnsi="宋体" w:cs="宋体"/>
          <w:color w:val="auto"/>
          <w:kern w:val="0"/>
          <w:szCs w:val="21"/>
          <w:highlight w:val="none"/>
        </w:rPr>
        <w:t>质量要求：见</w:t>
      </w:r>
      <w:r>
        <w:rPr>
          <w:rFonts w:hint="eastAsia" w:ascii="宋体" w:hAnsi="宋体" w:cs="宋体"/>
          <w:color w:val="auto"/>
          <w:kern w:val="0"/>
          <w:szCs w:val="21"/>
          <w:highlight w:val="none"/>
          <w:lang w:eastAsia="zh-CN"/>
        </w:rPr>
        <w:t>投标人须知</w:t>
      </w:r>
      <w:r>
        <w:rPr>
          <w:rFonts w:hint="eastAsia" w:ascii="宋体" w:hAnsi="宋体" w:cs="宋体"/>
          <w:color w:val="auto"/>
          <w:kern w:val="0"/>
          <w:szCs w:val="21"/>
          <w:highlight w:val="none"/>
        </w:rPr>
        <w:t>前附表。</w:t>
      </w:r>
    </w:p>
    <w:p>
      <w:pPr>
        <w:numPr>
          <w:ilvl w:val="2"/>
          <w:numId w:val="4"/>
        </w:numPr>
        <w:adjustRightInd w:val="0"/>
        <w:snapToGrid w:val="0"/>
        <w:spacing w:line="400" w:lineRule="exact"/>
        <w:ind w:firstLine="420" w:firstLineChars="200"/>
        <w:rPr>
          <w:rFonts w:ascii="宋体" w:cs="宋体"/>
          <w:color w:val="auto"/>
          <w:kern w:val="0"/>
          <w:szCs w:val="21"/>
          <w:highlight w:val="none"/>
        </w:rPr>
      </w:pP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资格要求：详见</w:t>
      </w:r>
      <w:r>
        <w:rPr>
          <w:rFonts w:hint="eastAsia" w:ascii="宋体" w:hAnsi="宋体" w:cs="宋体"/>
          <w:color w:val="auto"/>
          <w:kern w:val="0"/>
          <w:szCs w:val="21"/>
          <w:highlight w:val="none"/>
          <w:lang w:eastAsia="zh-CN"/>
        </w:rPr>
        <w:t>投标人须知</w:t>
      </w:r>
      <w:r>
        <w:rPr>
          <w:rFonts w:hint="eastAsia" w:ascii="宋体" w:hAnsi="宋体" w:cs="宋体"/>
          <w:color w:val="auto"/>
          <w:kern w:val="0"/>
          <w:szCs w:val="21"/>
          <w:highlight w:val="none"/>
        </w:rPr>
        <w:t>前附表。</w:t>
      </w:r>
    </w:p>
    <w:p>
      <w:pPr>
        <w:numPr>
          <w:ilvl w:val="2"/>
          <w:numId w:val="4"/>
        </w:numPr>
        <w:adjustRightInd w:val="0"/>
        <w:snapToGrid w:val="0"/>
        <w:spacing w:line="400" w:lineRule="exact"/>
        <w:ind w:firstLine="420" w:firstLineChars="200"/>
        <w:rPr>
          <w:rFonts w:ascii="宋体" w:cs="宋体"/>
          <w:color w:val="auto"/>
          <w:kern w:val="0"/>
          <w:szCs w:val="21"/>
          <w:highlight w:val="none"/>
        </w:rPr>
      </w:pPr>
      <w:r>
        <w:rPr>
          <w:rFonts w:hint="eastAsia" w:ascii="宋体" w:hAnsi="宋体" w:cs="宋体"/>
          <w:color w:val="auto"/>
          <w:kern w:val="0"/>
          <w:szCs w:val="21"/>
          <w:highlight w:val="none"/>
        </w:rPr>
        <w:t>不接受联合体投标。</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不得存在下列情形之一：</w:t>
      </w:r>
    </w:p>
    <w:p>
      <w:pPr>
        <w:numPr>
          <w:ilvl w:val="0"/>
          <w:numId w:val="5"/>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为采购人不具有独立法人资格的附属机构（单位）；</w:t>
      </w:r>
    </w:p>
    <w:p>
      <w:pPr>
        <w:numPr>
          <w:ilvl w:val="0"/>
          <w:numId w:val="5"/>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单位负责人为同一人或者存在直接控股、管理关系的不同供应商，不得参加同一合同项下的政府采购活动；</w:t>
      </w:r>
    </w:p>
    <w:p>
      <w:pPr>
        <w:numPr>
          <w:ilvl w:val="0"/>
          <w:numId w:val="5"/>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不得相互串通损害国家利益、社会公共利益和其他当事人的合法权益；不得以任何手段排斥其他</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参与竞争；</w:t>
      </w:r>
    </w:p>
    <w:p>
      <w:pPr>
        <w:numPr>
          <w:ilvl w:val="0"/>
          <w:numId w:val="5"/>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不得以向采购人行贿或者采取其他不正当手段谋取非法利益；</w:t>
      </w:r>
    </w:p>
    <w:p>
      <w:pPr>
        <w:numPr>
          <w:ilvl w:val="0"/>
          <w:numId w:val="5"/>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为本项目提供招标代理服务的；</w:t>
      </w:r>
    </w:p>
    <w:p>
      <w:pPr>
        <w:numPr>
          <w:ilvl w:val="0"/>
          <w:numId w:val="5"/>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被责令停业的；</w:t>
      </w:r>
    </w:p>
    <w:p>
      <w:pPr>
        <w:numPr>
          <w:ilvl w:val="0"/>
          <w:numId w:val="5"/>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被暂停或取消投标资格的；</w:t>
      </w:r>
    </w:p>
    <w:p>
      <w:pPr>
        <w:numPr>
          <w:ilvl w:val="0"/>
          <w:numId w:val="5"/>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财产被接管或冻结的；</w:t>
      </w:r>
    </w:p>
    <w:p>
      <w:pPr>
        <w:numPr>
          <w:ilvl w:val="0"/>
          <w:numId w:val="5"/>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在最近三年内有骗取中标或严重违约或重大质量问题的。</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中标人：接到并接受中标通知，最终被授予合同的供应商。</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投标文件：指</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根据招标文件提交的所有文件。</w:t>
      </w:r>
    </w:p>
    <w:p>
      <w:pPr>
        <w:numPr>
          <w:ilvl w:val="1"/>
          <w:numId w:val="4"/>
        </w:numPr>
        <w:spacing w:line="400" w:lineRule="exact"/>
        <w:ind w:firstLine="422" w:firstLineChars="200"/>
        <w:rPr>
          <w:rFonts w:ascii="宋体" w:cs="宋体"/>
          <w:b/>
          <w:bCs/>
          <w:color w:val="auto"/>
          <w:highlight w:val="none"/>
        </w:rPr>
      </w:pPr>
      <w:bookmarkStart w:id="42" w:name="_Toc9501"/>
      <w:bookmarkStart w:id="43" w:name="_Toc8166"/>
      <w:bookmarkStart w:id="44" w:name="_Toc25850"/>
      <w:bookmarkStart w:id="45" w:name="_Toc4927"/>
      <w:r>
        <w:rPr>
          <w:rFonts w:hint="eastAsia" w:ascii="宋体" w:hAnsi="宋体" w:cs="宋体"/>
          <w:b/>
          <w:bCs/>
          <w:color w:val="auto"/>
          <w:highlight w:val="none"/>
        </w:rPr>
        <w:t>投标费用</w:t>
      </w:r>
      <w:bookmarkEnd w:id="42"/>
      <w:bookmarkEnd w:id="43"/>
      <w:bookmarkEnd w:id="44"/>
      <w:bookmarkEnd w:id="45"/>
    </w:p>
    <w:p>
      <w:pPr>
        <w:numPr>
          <w:ilvl w:val="2"/>
          <w:numId w:val="4"/>
        </w:numPr>
        <w:adjustRightInd w:val="0"/>
        <w:snapToGrid w:val="0"/>
        <w:spacing w:line="400" w:lineRule="exact"/>
        <w:ind w:firstLine="420" w:firstLineChars="200"/>
        <w:rPr>
          <w:rFonts w:ascii="宋体" w:cs="宋体"/>
          <w:color w:val="auto"/>
          <w:szCs w:val="21"/>
          <w:highlight w:val="none"/>
        </w:rPr>
      </w:pPr>
      <w:bookmarkStart w:id="46" w:name="_Toc22953398"/>
      <w:bookmarkEnd w:id="46"/>
      <w:bookmarkStart w:id="47" w:name="_Toc312133544"/>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准备和参加投标活动发生的费用自理。</w:t>
      </w:r>
    </w:p>
    <w:p>
      <w:pPr>
        <w:numPr>
          <w:ilvl w:val="1"/>
          <w:numId w:val="4"/>
        </w:numPr>
        <w:spacing w:line="400" w:lineRule="exact"/>
        <w:ind w:firstLine="422" w:firstLineChars="200"/>
        <w:rPr>
          <w:rFonts w:ascii="宋体" w:cs="宋体"/>
          <w:b/>
          <w:bCs/>
          <w:color w:val="auto"/>
          <w:highlight w:val="none"/>
        </w:rPr>
      </w:pPr>
      <w:bookmarkStart w:id="48" w:name="_Toc27047"/>
      <w:bookmarkStart w:id="49" w:name="_Toc12301"/>
      <w:bookmarkStart w:id="50" w:name="_Toc30990"/>
      <w:bookmarkStart w:id="51" w:name="_Toc28577"/>
      <w:bookmarkStart w:id="52" w:name="_Toc31440"/>
      <w:bookmarkStart w:id="53" w:name="_Toc28829"/>
      <w:bookmarkStart w:id="54" w:name="_Toc18613"/>
      <w:bookmarkStart w:id="55" w:name="_Toc13660"/>
      <w:bookmarkStart w:id="56" w:name="_Toc23865"/>
      <w:bookmarkStart w:id="57" w:name="_Toc13179"/>
      <w:bookmarkStart w:id="58" w:name="_Toc1130"/>
      <w:r>
        <w:rPr>
          <w:rFonts w:hint="eastAsia" w:ascii="宋体" w:hAnsi="宋体" w:cs="宋体"/>
          <w:b/>
          <w:bCs/>
          <w:color w:val="auto"/>
          <w:highlight w:val="none"/>
        </w:rPr>
        <w:t>现场考察或答疑会</w:t>
      </w:r>
      <w:bookmarkEnd w:id="48"/>
      <w:bookmarkEnd w:id="49"/>
      <w:bookmarkEnd w:id="50"/>
      <w:bookmarkEnd w:id="51"/>
      <w:bookmarkEnd w:id="52"/>
      <w:bookmarkEnd w:id="53"/>
      <w:bookmarkEnd w:id="54"/>
      <w:bookmarkEnd w:id="55"/>
      <w:bookmarkEnd w:id="56"/>
      <w:bookmarkEnd w:id="57"/>
      <w:bookmarkEnd w:id="58"/>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现场考察：</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前附表规定组织现场考察的，采购人按</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前附表规定的时间、地点组织</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考察项目现场。部分</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未按时参加现场考察的，不影响现场考察的正常进行。</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现场考察发生的费用自理。</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除采购人的原因外，</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自行负责在现场考察中所发生的人员伤亡和财产损失。</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采购人在现场考察中介绍的项目场地和相关的周边环境情况，供</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在编制投标文件时参考，采购人不对</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据此作出的判断和决策负责。</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答疑会：见</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w:t>
      </w:r>
    </w:p>
    <w:p>
      <w:pPr>
        <w:numPr>
          <w:ilvl w:val="1"/>
          <w:numId w:val="4"/>
        </w:numPr>
        <w:spacing w:line="400" w:lineRule="exact"/>
        <w:ind w:firstLine="422" w:firstLineChars="200"/>
        <w:rPr>
          <w:rFonts w:ascii="宋体" w:cs="宋体"/>
          <w:b/>
          <w:bCs/>
          <w:color w:val="auto"/>
          <w:highlight w:val="none"/>
        </w:rPr>
      </w:pPr>
      <w:bookmarkStart w:id="59" w:name="_Toc28493"/>
      <w:bookmarkStart w:id="60" w:name="_Toc11040"/>
      <w:bookmarkStart w:id="61" w:name="_Toc9561"/>
      <w:bookmarkStart w:id="62" w:name="_Toc20467"/>
      <w:bookmarkStart w:id="63" w:name="_Toc10737"/>
      <w:bookmarkStart w:id="64" w:name="_Toc9110"/>
      <w:bookmarkStart w:id="65" w:name="_Toc27635"/>
      <w:bookmarkStart w:id="66" w:name="_Toc7448"/>
      <w:bookmarkStart w:id="67" w:name="_Toc26711"/>
      <w:bookmarkStart w:id="68" w:name="_Toc6051"/>
      <w:bookmarkStart w:id="69" w:name="_Toc8265"/>
      <w:r>
        <w:rPr>
          <w:rFonts w:hint="eastAsia" w:ascii="宋体" w:hAnsi="宋体" w:cs="宋体"/>
          <w:b/>
          <w:bCs/>
          <w:color w:val="auto"/>
          <w:highlight w:val="none"/>
        </w:rPr>
        <w:t>分包</w:t>
      </w:r>
      <w:bookmarkEnd w:id="59"/>
      <w:bookmarkEnd w:id="60"/>
      <w:bookmarkEnd w:id="61"/>
      <w:bookmarkEnd w:id="62"/>
      <w:bookmarkEnd w:id="63"/>
      <w:bookmarkEnd w:id="64"/>
      <w:bookmarkEnd w:id="65"/>
      <w:bookmarkEnd w:id="66"/>
      <w:bookmarkEnd w:id="67"/>
      <w:bookmarkEnd w:id="68"/>
      <w:bookmarkEnd w:id="69"/>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不允许分包</w:t>
      </w:r>
    </w:p>
    <w:p>
      <w:pPr>
        <w:numPr>
          <w:ilvl w:val="1"/>
          <w:numId w:val="4"/>
        </w:numPr>
        <w:spacing w:line="400" w:lineRule="exact"/>
        <w:ind w:firstLine="422" w:firstLineChars="200"/>
        <w:rPr>
          <w:rFonts w:ascii="宋体" w:cs="宋体"/>
          <w:b/>
          <w:bCs/>
          <w:color w:val="auto"/>
          <w:highlight w:val="none"/>
        </w:rPr>
      </w:pPr>
      <w:bookmarkStart w:id="70" w:name="_Toc6725"/>
      <w:bookmarkStart w:id="71" w:name="_Toc18743"/>
      <w:bookmarkStart w:id="72" w:name="_Toc20874"/>
      <w:bookmarkStart w:id="73" w:name="_Toc6977"/>
      <w:bookmarkStart w:id="74" w:name="_Toc2167"/>
      <w:bookmarkStart w:id="75" w:name="_Toc26863"/>
      <w:bookmarkStart w:id="76" w:name="_Toc21582"/>
      <w:bookmarkStart w:id="77" w:name="_Toc11954"/>
      <w:bookmarkStart w:id="78" w:name="_Toc28651"/>
      <w:bookmarkStart w:id="79" w:name="_Toc31207"/>
      <w:bookmarkStart w:id="80" w:name="_Toc26753"/>
      <w:bookmarkStart w:id="81" w:name="_Toc9963"/>
      <w:bookmarkStart w:id="82" w:name="_Toc10914"/>
      <w:r>
        <w:rPr>
          <w:rFonts w:hint="eastAsia" w:ascii="宋体" w:hAnsi="宋体" w:cs="宋体"/>
          <w:b/>
          <w:bCs/>
          <w:color w:val="auto"/>
          <w:highlight w:val="none"/>
        </w:rPr>
        <w:t>响应和偏差</w:t>
      </w:r>
      <w:bookmarkEnd w:id="70"/>
      <w:bookmarkEnd w:id="71"/>
      <w:bookmarkEnd w:id="72"/>
      <w:bookmarkEnd w:id="73"/>
      <w:bookmarkEnd w:id="74"/>
      <w:bookmarkEnd w:id="75"/>
      <w:bookmarkEnd w:id="76"/>
      <w:bookmarkEnd w:id="77"/>
      <w:bookmarkEnd w:id="78"/>
      <w:bookmarkEnd w:id="79"/>
      <w:bookmarkEnd w:id="80"/>
      <w:bookmarkEnd w:id="81"/>
      <w:bookmarkEnd w:id="82"/>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投标文件应当对招标文件的实质性要求和条件作出响应，实质性要求和条件见</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kern w:val="0"/>
          <w:szCs w:val="21"/>
          <w:highlight w:val="none"/>
        </w:rPr>
        <w:t>投标文件中应针对实质性要求和条件中列明的技术要求提供技术支持资料。技术支持资料以制造商公开发布的产品说明书，或检测机构</w:t>
      </w:r>
      <w:r>
        <w:rPr>
          <w:rFonts w:hint="eastAsia" w:ascii="宋体" w:hAnsi="宋体" w:cs="宋体"/>
          <w:color w:val="auto"/>
          <w:spacing w:val="-2"/>
          <w:kern w:val="0"/>
          <w:szCs w:val="21"/>
          <w:highlight w:val="none"/>
        </w:rPr>
        <w:t>出具的检测报告或检验报告，</w:t>
      </w:r>
      <w:r>
        <w:rPr>
          <w:rFonts w:hint="eastAsia" w:ascii="宋体" w:hAnsi="宋体" w:cs="宋体"/>
          <w:color w:val="auto"/>
          <w:kern w:val="0"/>
          <w:szCs w:val="21"/>
          <w:highlight w:val="none"/>
        </w:rPr>
        <w:t>或其他相关证明材料为准，不符合前述要求的，视为无技术支持资料。</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前附表允许投标文件偏离招标文件某些要求的，偏差应当符合招标文件规定的偏差范围和幅度。</w:t>
      </w:r>
    </w:p>
    <w:p>
      <w:pPr>
        <w:numPr>
          <w:ilvl w:val="2"/>
          <w:numId w:val="4"/>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kern w:val="0"/>
          <w:szCs w:val="21"/>
          <w:highlight w:val="none"/>
        </w:rPr>
        <w:t>投标</w:t>
      </w:r>
      <w:r>
        <w:rPr>
          <w:rFonts w:hint="eastAsia" w:ascii="宋体" w:hAnsi="宋体" w:cs="宋体"/>
          <w:color w:val="auto"/>
          <w:spacing w:val="-2"/>
          <w:kern w:val="0"/>
          <w:szCs w:val="21"/>
          <w:highlight w:val="none"/>
        </w:rPr>
        <w:t>文</w:t>
      </w:r>
      <w:r>
        <w:rPr>
          <w:rFonts w:hint="eastAsia" w:ascii="宋体" w:hAnsi="宋体" w:cs="宋体"/>
          <w:color w:val="auto"/>
          <w:kern w:val="0"/>
          <w:szCs w:val="21"/>
          <w:highlight w:val="none"/>
        </w:rPr>
        <w:t>件对招标</w:t>
      </w:r>
      <w:r>
        <w:rPr>
          <w:rFonts w:hint="eastAsia" w:ascii="宋体" w:hAnsi="宋体" w:cs="宋体"/>
          <w:color w:val="auto"/>
          <w:spacing w:val="-2"/>
          <w:kern w:val="0"/>
          <w:szCs w:val="21"/>
          <w:highlight w:val="none"/>
        </w:rPr>
        <w:t>文</w:t>
      </w:r>
      <w:r>
        <w:rPr>
          <w:rFonts w:hint="eastAsia" w:ascii="宋体" w:hAnsi="宋体" w:cs="宋体"/>
          <w:color w:val="auto"/>
          <w:kern w:val="0"/>
          <w:szCs w:val="21"/>
          <w:highlight w:val="none"/>
        </w:rPr>
        <w:t>件的全部偏差，均应在</w:t>
      </w:r>
      <w:r>
        <w:rPr>
          <w:rFonts w:hint="eastAsia" w:ascii="宋体" w:hAnsi="宋体" w:cs="宋体"/>
          <w:color w:val="auto"/>
          <w:spacing w:val="-2"/>
          <w:kern w:val="0"/>
          <w:szCs w:val="21"/>
          <w:highlight w:val="none"/>
        </w:rPr>
        <w:t>投</w:t>
      </w:r>
      <w:r>
        <w:rPr>
          <w:rFonts w:hint="eastAsia" w:ascii="宋体" w:hAnsi="宋体" w:cs="宋体"/>
          <w:color w:val="auto"/>
          <w:kern w:val="0"/>
          <w:szCs w:val="21"/>
          <w:highlight w:val="none"/>
        </w:rPr>
        <w:t>标文件</w:t>
      </w:r>
      <w:r>
        <w:rPr>
          <w:rFonts w:hint="eastAsia" w:ascii="宋体" w:hAnsi="宋体" w:cs="宋体"/>
          <w:color w:val="auto"/>
          <w:spacing w:val="1"/>
          <w:kern w:val="0"/>
          <w:szCs w:val="21"/>
          <w:highlight w:val="none"/>
        </w:rPr>
        <w:t>的</w:t>
      </w:r>
      <w:r>
        <w:rPr>
          <w:rFonts w:hint="eastAsia" w:ascii="宋体" w:hAnsi="宋体" w:cs="宋体"/>
          <w:color w:val="auto"/>
          <w:kern w:val="0"/>
          <w:szCs w:val="21"/>
          <w:highlight w:val="none"/>
        </w:rPr>
        <w:t>商务和技术偏</w:t>
      </w:r>
      <w:r>
        <w:rPr>
          <w:rFonts w:hint="eastAsia" w:ascii="宋体" w:hAnsi="宋体" w:cs="宋体"/>
          <w:color w:val="auto"/>
          <w:spacing w:val="-2"/>
          <w:kern w:val="0"/>
          <w:szCs w:val="21"/>
          <w:highlight w:val="none"/>
        </w:rPr>
        <w:t>差</w:t>
      </w:r>
      <w:r>
        <w:rPr>
          <w:rFonts w:hint="eastAsia" w:ascii="宋体" w:hAnsi="宋体" w:cs="宋体"/>
          <w:color w:val="auto"/>
          <w:kern w:val="0"/>
          <w:szCs w:val="21"/>
          <w:highlight w:val="none"/>
        </w:rPr>
        <w:t>表中列明，除列明</w:t>
      </w:r>
      <w:r>
        <w:rPr>
          <w:rFonts w:hint="eastAsia" w:ascii="宋体" w:hAnsi="宋体" w:cs="宋体"/>
          <w:color w:val="auto"/>
          <w:spacing w:val="-2"/>
          <w:kern w:val="0"/>
          <w:szCs w:val="21"/>
          <w:highlight w:val="none"/>
        </w:rPr>
        <w:t>的</w:t>
      </w:r>
      <w:r>
        <w:rPr>
          <w:rFonts w:hint="eastAsia" w:ascii="宋体" w:hAnsi="宋体" w:cs="宋体"/>
          <w:color w:val="auto"/>
          <w:kern w:val="0"/>
          <w:szCs w:val="21"/>
          <w:highlight w:val="none"/>
        </w:rPr>
        <w:t>内</w:t>
      </w:r>
      <w:r>
        <w:rPr>
          <w:rFonts w:hint="eastAsia" w:ascii="宋体" w:hAnsi="宋体" w:cs="宋体"/>
          <w:color w:val="auto"/>
          <w:spacing w:val="-2"/>
          <w:kern w:val="0"/>
          <w:szCs w:val="21"/>
          <w:highlight w:val="none"/>
        </w:rPr>
        <w:t>容</w:t>
      </w:r>
      <w:r>
        <w:rPr>
          <w:rFonts w:hint="eastAsia" w:ascii="宋体" w:hAnsi="宋体" w:cs="宋体"/>
          <w:color w:val="auto"/>
          <w:kern w:val="0"/>
          <w:szCs w:val="21"/>
          <w:highlight w:val="none"/>
        </w:rPr>
        <w:t>外</w:t>
      </w:r>
      <w:r>
        <w:rPr>
          <w:rFonts w:hint="eastAsia" w:ascii="宋体" w:hAnsi="宋体" w:cs="宋体"/>
          <w:color w:val="auto"/>
          <w:spacing w:val="-2"/>
          <w:kern w:val="0"/>
          <w:szCs w:val="21"/>
          <w:highlight w:val="none"/>
        </w:rPr>
        <w:t>，</w:t>
      </w:r>
      <w:r>
        <w:rPr>
          <w:rFonts w:hint="eastAsia" w:ascii="宋体" w:hAnsi="宋体" w:cs="宋体"/>
          <w:color w:val="auto"/>
          <w:kern w:val="0"/>
          <w:szCs w:val="21"/>
          <w:highlight w:val="none"/>
        </w:rPr>
        <w:t>视</w:t>
      </w:r>
      <w:r>
        <w:rPr>
          <w:rFonts w:hint="eastAsia" w:ascii="宋体" w:hAnsi="宋体" w:cs="宋体"/>
          <w:color w:val="auto"/>
          <w:spacing w:val="-2"/>
          <w:kern w:val="0"/>
          <w:szCs w:val="21"/>
          <w:highlight w:val="none"/>
        </w:rPr>
        <w:t>为</w:t>
      </w: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响</w:t>
      </w:r>
      <w:r>
        <w:rPr>
          <w:rFonts w:hint="eastAsia" w:ascii="宋体" w:hAnsi="宋体" w:cs="宋体"/>
          <w:color w:val="auto"/>
          <w:spacing w:val="-2"/>
          <w:kern w:val="0"/>
          <w:szCs w:val="21"/>
          <w:highlight w:val="none"/>
        </w:rPr>
        <w:t>应</w:t>
      </w:r>
      <w:r>
        <w:rPr>
          <w:rFonts w:hint="eastAsia" w:ascii="宋体" w:hAnsi="宋体" w:cs="宋体"/>
          <w:color w:val="auto"/>
          <w:kern w:val="0"/>
          <w:szCs w:val="21"/>
          <w:highlight w:val="none"/>
        </w:rPr>
        <w:t>招</w:t>
      </w:r>
      <w:r>
        <w:rPr>
          <w:rFonts w:hint="eastAsia" w:ascii="宋体" w:hAnsi="宋体" w:cs="宋体"/>
          <w:color w:val="auto"/>
          <w:spacing w:val="-2"/>
          <w:kern w:val="0"/>
          <w:szCs w:val="21"/>
          <w:highlight w:val="none"/>
        </w:rPr>
        <w:t>标</w:t>
      </w:r>
      <w:r>
        <w:rPr>
          <w:rFonts w:hint="eastAsia" w:ascii="宋体" w:hAnsi="宋体" w:cs="宋体"/>
          <w:color w:val="auto"/>
          <w:kern w:val="0"/>
          <w:szCs w:val="21"/>
          <w:highlight w:val="none"/>
        </w:rPr>
        <w:t>文</w:t>
      </w:r>
      <w:r>
        <w:rPr>
          <w:rFonts w:hint="eastAsia" w:ascii="宋体" w:hAnsi="宋体" w:cs="宋体"/>
          <w:color w:val="auto"/>
          <w:spacing w:val="-2"/>
          <w:kern w:val="0"/>
          <w:szCs w:val="21"/>
          <w:highlight w:val="none"/>
        </w:rPr>
        <w:t>件</w:t>
      </w:r>
      <w:r>
        <w:rPr>
          <w:rFonts w:hint="eastAsia" w:ascii="宋体" w:hAnsi="宋体" w:cs="宋体"/>
          <w:color w:val="auto"/>
          <w:kern w:val="0"/>
          <w:szCs w:val="21"/>
          <w:highlight w:val="none"/>
        </w:rPr>
        <w:t>的</w:t>
      </w:r>
      <w:r>
        <w:rPr>
          <w:rFonts w:hint="eastAsia" w:ascii="宋体" w:hAnsi="宋体" w:cs="宋体"/>
          <w:color w:val="auto"/>
          <w:spacing w:val="-2"/>
          <w:kern w:val="0"/>
          <w:szCs w:val="21"/>
          <w:highlight w:val="none"/>
        </w:rPr>
        <w:t>全</w:t>
      </w:r>
      <w:r>
        <w:rPr>
          <w:rFonts w:hint="eastAsia" w:ascii="宋体" w:hAnsi="宋体" w:cs="宋体"/>
          <w:color w:val="auto"/>
          <w:kern w:val="0"/>
          <w:szCs w:val="21"/>
          <w:highlight w:val="none"/>
        </w:rPr>
        <w:t>部</w:t>
      </w:r>
      <w:r>
        <w:rPr>
          <w:rFonts w:hint="eastAsia" w:ascii="宋体" w:hAnsi="宋体" w:cs="宋体"/>
          <w:color w:val="auto"/>
          <w:spacing w:val="-2"/>
          <w:kern w:val="0"/>
          <w:szCs w:val="21"/>
          <w:highlight w:val="none"/>
        </w:rPr>
        <w:t>要</w:t>
      </w:r>
      <w:r>
        <w:rPr>
          <w:rFonts w:hint="eastAsia" w:ascii="宋体" w:hAnsi="宋体" w:cs="宋体"/>
          <w:color w:val="auto"/>
          <w:kern w:val="0"/>
          <w:szCs w:val="21"/>
          <w:highlight w:val="none"/>
        </w:rPr>
        <w:t>求。</w:t>
      </w:r>
    </w:p>
    <w:p>
      <w:pPr>
        <w:numPr>
          <w:ilvl w:val="1"/>
          <w:numId w:val="4"/>
        </w:numPr>
        <w:spacing w:line="400" w:lineRule="exact"/>
        <w:ind w:firstLine="422" w:firstLineChars="200"/>
        <w:rPr>
          <w:rFonts w:ascii="宋体" w:cs="宋体"/>
          <w:b/>
          <w:bCs/>
          <w:color w:val="auto"/>
          <w:highlight w:val="none"/>
        </w:rPr>
      </w:pPr>
      <w:r>
        <w:rPr>
          <w:rFonts w:hint="eastAsia" w:ascii="宋体" w:hAnsi="宋体" w:cs="宋体"/>
          <w:b/>
          <w:bCs/>
          <w:color w:val="auto"/>
          <w:highlight w:val="none"/>
        </w:rPr>
        <w:t>质量把控</w:t>
      </w:r>
    </w:p>
    <w:p>
      <w:pPr>
        <w:spacing w:line="400" w:lineRule="exact"/>
        <w:ind w:firstLine="420" w:firstLineChars="200"/>
        <w:rPr>
          <w:rFonts w:ascii="宋体" w:cs="宋体"/>
          <w:color w:val="auto"/>
          <w:highlight w:val="none"/>
        </w:rPr>
      </w:pPr>
      <w:r>
        <w:rPr>
          <w:rFonts w:hint="eastAsia" w:ascii="宋体" w:hAnsi="宋体" w:cs="宋体"/>
          <w:color w:val="auto"/>
          <w:highlight w:val="none"/>
        </w:rPr>
        <w:t>详见</w:t>
      </w:r>
      <w:r>
        <w:rPr>
          <w:rFonts w:hint="eastAsia" w:ascii="宋体" w:hAnsi="宋体" w:cs="宋体"/>
          <w:color w:val="auto"/>
          <w:highlight w:val="none"/>
          <w:lang w:eastAsia="zh-CN"/>
        </w:rPr>
        <w:t>投标人须知</w:t>
      </w:r>
      <w:r>
        <w:rPr>
          <w:rFonts w:hint="eastAsia" w:ascii="宋体" w:hAnsi="宋体" w:cs="宋体"/>
          <w:color w:val="auto"/>
          <w:highlight w:val="none"/>
        </w:rPr>
        <w:t>前附表。</w:t>
      </w:r>
    </w:p>
    <w:p>
      <w:pPr>
        <w:numPr>
          <w:ilvl w:val="1"/>
          <w:numId w:val="4"/>
        </w:numPr>
        <w:spacing w:line="400" w:lineRule="exact"/>
        <w:ind w:firstLine="422" w:firstLineChars="200"/>
        <w:rPr>
          <w:rFonts w:ascii="宋体" w:cs="宋体"/>
          <w:b/>
          <w:bCs/>
          <w:color w:val="auto"/>
          <w:highlight w:val="none"/>
        </w:rPr>
      </w:pPr>
      <w:bookmarkStart w:id="83" w:name="_Toc9588"/>
      <w:bookmarkStart w:id="84" w:name="_Toc5477"/>
      <w:bookmarkStart w:id="85" w:name="_Toc29855"/>
      <w:bookmarkStart w:id="86" w:name="_Toc16595"/>
      <w:bookmarkStart w:id="87" w:name="_Toc14740"/>
      <w:bookmarkStart w:id="88" w:name="_Toc9147"/>
      <w:bookmarkStart w:id="89" w:name="_Toc11845"/>
      <w:bookmarkStart w:id="90" w:name="_Toc12963"/>
      <w:bookmarkStart w:id="91" w:name="_Toc29202"/>
      <w:bookmarkStart w:id="92" w:name="_Toc15630"/>
      <w:bookmarkStart w:id="93" w:name="_Toc25924"/>
      <w:r>
        <w:rPr>
          <w:rFonts w:hint="eastAsia" w:ascii="宋体" w:hAnsi="宋体" w:cs="宋体"/>
          <w:b/>
          <w:bCs/>
          <w:color w:val="auto"/>
          <w:highlight w:val="none"/>
        </w:rPr>
        <w:t>投标语言</w:t>
      </w:r>
      <w:bookmarkEnd w:id="83"/>
      <w:bookmarkEnd w:id="84"/>
      <w:bookmarkEnd w:id="85"/>
      <w:bookmarkEnd w:id="86"/>
      <w:bookmarkEnd w:id="87"/>
      <w:bookmarkEnd w:id="88"/>
      <w:bookmarkEnd w:id="89"/>
      <w:bookmarkEnd w:id="90"/>
      <w:bookmarkEnd w:id="91"/>
      <w:bookmarkEnd w:id="92"/>
      <w:bookmarkEnd w:id="93"/>
    </w:p>
    <w:p>
      <w:p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kern w:val="0"/>
          <w:szCs w:val="21"/>
          <w:highlight w:val="none"/>
        </w:rPr>
        <w:t>招标</w:t>
      </w:r>
      <w:r>
        <w:rPr>
          <w:rFonts w:hint="eastAsia" w:ascii="宋体" w:hAnsi="宋体" w:cs="宋体"/>
          <w:color w:val="auto"/>
          <w:spacing w:val="-2"/>
          <w:kern w:val="0"/>
          <w:szCs w:val="21"/>
          <w:highlight w:val="none"/>
        </w:rPr>
        <w:t>投</w:t>
      </w:r>
      <w:r>
        <w:rPr>
          <w:rFonts w:hint="eastAsia" w:ascii="宋体" w:hAnsi="宋体" w:cs="宋体"/>
          <w:color w:val="auto"/>
          <w:kern w:val="0"/>
          <w:szCs w:val="21"/>
          <w:highlight w:val="none"/>
        </w:rPr>
        <w:t>标</w:t>
      </w:r>
      <w:r>
        <w:rPr>
          <w:rFonts w:hint="eastAsia" w:ascii="宋体" w:hAnsi="宋体" w:cs="宋体"/>
          <w:color w:val="auto"/>
          <w:spacing w:val="-2"/>
          <w:kern w:val="0"/>
          <w:szCs w:val="21"/>
          <w:highlight w:val="none"/>
        </w:rPr>
        <w:t>文</w:t>
      </w:r>
      <w:r>
        <w:rPr>
          <w:rFonts w:hint="eastAsia" w:ascii="宋体" w:hAnsi="宋体" w:cs="宋体"/>
          <w:color w:val="auto"/>
          <w:kern w:val="0"/>
          <w:szCs w:val="21"/>
          <w:highlight w:val="none"/>
        </w:rPr>
        <w:t>件</w:t>
      </w:r>
      <w:r>
        <w:rPr>
          <w:rFonts w:hint="eastAsia" w:ascii="宋体" w:hAnsi="宋体" w:cs="宋体"/>
          <w:color w:val="auto"/>
          <w:spacing w:val="-2"/>
          <w:kern w:val="0"/>
          <w:szCs w:val="21"/>
          <w:highlight w:val="none"/>
        </w:rPr>
        <w:t>使</w:t>
      </w:r>
      <w:r>
        <w:rPr>
          <w:rFonts w:hint="eastAsia" w:ascii="宋体" w:hAnsi="宋体" w:cs="宋体"/>
          <w:color w:val="auto"/>
          <w:kern w:val="0"/>
          <w:szCs w:val="21"/>
          <w:highlight w:val="none"/>
        </w:rPr>
        <w:t>用</w:t>
      </w:r>
      <w:r>
        <w:rPr>
          <w:rFonts w:hint="eastAsia" w:ascii="宋体" w:hAnsi="宋体" w:cs="宋体"/>
          <w:color w:val="auto"/>
          <w:spacing w:val="-2"/>
          <w:kern w:val="0"/>
          <w:szCs w:val="21"/>
          <w:highlight w:val="none"/>
        </w:rPr>
        <w:t>的</w:t>
      </w:r>
      <w:r>
        <w:rPr>
          <w:rFonts w:hint="eastAsia" w:ascii="宋体" w:hAnsi="宋体" w:cs="宋体"/>
          <w:color w:val="auto"/>
          <w:kern w:val="0"/>
          <w:szCs w:val="21"/>
          <w:highlight w:val="none"/>
        </w:rPr>
        <w:t>语</w:t>
      </w:r>
      <w:r>
        <w:rPr>
          <w:rFonts w:hint="eastAsia" w:ascii="宋体" w:hAnsi="宋体" w:cs="宋体"/>
          <w:color w:val="auto"/>
          <w:spacing w:val="-2"/>
          <w:kern w:val="0"/>
          <w:szCs w:val="21"/>
          <w:highlight w:val="none"/>
        </w:rPr>
        <w:t>言</w:t>
      </w:r>
      <w:r>
        <w:rPr>
          <w:rFonts w:hint="eastAsia" w:ascii="宋体" w:hAnsi="宋体" w:cs="宋体"/>
          <w:color w:val="auto"/>
          <w:kern w:val="0"/>
          <w:szCs w:val="21"/>
          <w:highlight w:val="none"/>
        </w:rPr>
        <w:t>文字</w:t>
      </w:r>
      <w:r>
        <w:rPr>
          <w:rFonts w:hint="eastAsia" w:ascii="宋体" w:hAnsi="宋体" w:cs="宋体"/>
          <w:color w:val="auto"/>
          <w:spacing w:val="-2"/>
          <w:kern w:val="0"/>
          <w:szCs w:val="21"/>
          <w:highlight w:val="none"/>
        </w:rPr>
        <w:t>为</w:t>
      </w:r>
      <w:r>
        <w:rPr>
          <w:rFonts w:hint="eastAsia" w:ascii="宋体" w:hAnsi="宋体" w:cs="宋体"/>
          <w:color w:val="auto"/>
          <w:kern w:val="0"/>
          <w:szCs w:val="21"/>
          <w:highlight w:val="none"/>
        </w:rPr>
        <w:t>中</w:t>
      </w:r>
      <w:r>
        <w:rPr>
          <w:rFonts w:hint="eastAsia" w:ascii="宋体" w:hAnsi="宋体" w:cs="宋体"/>
          <w:color w:val="auto"/>
          <w:spacing w:val="-2"/>
          <w:kern w:val="0"/>
          <w:szCs w:val="21"/>
          <w:highlight w:val="none"/>
        </w:rPr>
        <w:t>文</w:t>
      </w:r>
      <w:r>
        <w:rPr>
          <w:rFonts w:hint="eastAsia" w:ascii="宋体" w:hAnsi="宋体" w:cs="宋体"/>
          <w:color w:val="auto"/>
          <w:kern w:val="0"/>
          <w:szCs w:val="21"/>
          <w:highlight w:val="none"/>
        </w:rPr>
        <w:t>。</w:t>
      </w:r>
      <w:r>
        <w:rPr>
          <w:rFonts w:hint="eastAsia" w:ascii="宋体" w:hAnsi="宋体" w:cs="宋体"/>
          <w:color w:val="auto"/>
          <w:spacing w:val="-2"/>
          <w:kern w:val="0"/>
          <w:szCs w:val="21"/>
          <w:highlight w:val="none"/>
        </w:rPr>
        <w:t>专</w:t>
      </w:r>
      <w:r>
        <w:rPr>
          <w:rFonts w:hint="eastAsia" w:ascii="宋体" w:hAnsi="宋体" w:cs="宋体"/>
          <w:color w:val="auto"/>
          <w:kern w:val="0"/>
          <w:szCs w:val="21"/>
          <w:highlight w:val="none"/>
        </w:rPr>
        <w:t>用</w:t>
      </w:r>
      <w:r>
        <w:rPr>
          <w:rFonts w:hint="eastAsia" w:ascii="宋体" w:hAnsi="宋体" w:cs="宋体"/>
          <w:color w:val="auto"/>
          <w:spacing w:val="-2"/>
          <w:kern w:val="0"/>
          <w:szCs w:val="21"/>
          <w:highlight w:val="none"/>
        </w:rPr>
        <w:t>术</w:t>
      </w:r>
      <w:r>
        <w:rPr>
          <w:rFonts w:hint="eastAsia" w:ascii="宋体" w:hAnsi="宋体" w:cs="宋体"/>
          <w:color w:val="auto"/>
          <w:kern w:val="0"/>
          <w:szCs w:val="21"/>
          <w:highlight w:val="none"/>
        </w:rPr>
        <w:t>语</w:t>
      </w:r>
      <w:r>
        <w:rPr>
          <w:rFonts w:hint="eastAsia" w:ascii="宋体" w:hAnsi="宋体" w:cs="宋体"/>
          <w:color w:val="auto"/>
          <w:spacing w:val="-2"/>
          <w:kern w:val="0"/>
          <w:szCs w:val="21"/>
          <w:highlight w:val="none"/>
        </w:rPr>
        <w:t>使</w:t>
      </w:r>
      <w:r>
        <w:rPr>
          <w:rFonts w:hint="eastAsia" w:ascii="宋体" w:hAnsi="宋体" w:cs="宋体"/>
          <w:color w:val="auto"/>
          <w:kern w:val="0"/>
          <w:szCs w:val="21"/>
          <w:highlight w:val="none"/>
        </w:rPr>
        <w:t>用外</w:t>
      </w:r>
      <w:r>
        <w:rPr>
          <w:rFonts w:hint="eastAsia" w:ascii="宋体" w:hAnsi="宋体" w:cs="宋体"/>
          <w:color w:val="auto"/>
          <w:spacing w:val="-2"/>
          <w:kern w:val="0"/>
          <w:szCs w:val="21"/>
          <w:highlight w:val="none"/>
        </w:rPr>
        <w:t>文</w:t>
      </w:r>
      <w:r>
        <w:rPr>
          <w:rFonts w:hint="eastAsia" w:ascii="宋体" w:hAnsi="宋体" w:cs="宋体"/>
          <w:color w:val="auto"/>
          <w:kern w:val="0"/>
          <w:szCs w:val="21"/>
          <w:highlight w:val="none"/>
        </w:rPr>
        <w:t>的</w:t>
      </w:r>
      <w:r>
        <w:rPr>
          <w:rFonts w:hint="eastAsia" w:ascii="宋体" w:hAnsi="宋体" w:cs="宋体"/>
          <w:color w:val="auto"/>
          <w:spacing w:val="-2"/>
          <w:kern w:val="0"/>
          <w:szCs w:val="21"/>
          <w:highlight w:val="none"/>
        </w:rPr>
        <w:t>，</w:t>
      </w:r>
      <w:r>
        <w:rPr>
          <w:rFonts w:hint="eastAsia" w:ascii="宋体" w:hAnsi="宋体" w:cs="宋体"/>
          <w:color w:val="auto"/>
          <w:kern w:val="0"/>
          <w:szCs w:val="21"/>
          <w:highlight w:val="none"/>
        </w:rPr>
        <w:t>应</w:t>
      </w:r>
      <w:r>
        <w:rPr>
          <w:rFonts w:hint="eastAsia" w:ascii="宋体" w:hAnsi="宋体" w:cs="宋体"/>
          <w:color w:val="auto"/>
          <w:spacing w:val="-2"/>
          <w:kern w:val="0"/>
          <w:szCs w:val="21"/>
          <w:highlight w:val="none"/>
        </w:rPr>
        <w:t>附</w:t>
      </w:r>
      <w:r>
        <w:rPr>
          <w:rFonts w:hint="eastAsia" w:ascii="宋体" w:hAnsi="宋体" w:cs="宋体"/>
          <w:color w:val="auto"/>
          <w:kern w:val="0"/>
          <w:szCs w:val="21"/>
          <w:highlight w:val="none"/>
        </w:rPr>
        <w:t>有</w:t>
      </w:r>
      <w:r>
        <w:rPr>
          <w:rFonts w:hint="eastAsia" w:ascii="宋体" w:hAnsi="宋体" w:cs="宋体"/>
          <w:color w:val="auto"/>
          <w:spacing w:val="-2"/>
          <w:kern w:val="0"/>
          <w:szCs w:val="21"/>
          <w:highlight w:val="none"/>
        </w:rPr>
        <w:t>中</w:t>
      </w:r>
      <w:r>
        <w:rPr>
          <w:rFonts w:hint="eastAsia" w:ascii="宋体" w:hAnsi="宋体" w:cs="宋体"/>
          <w:color w:val="auto"/>
          <w:kern w:val="0"/>
          <w:szCs w:val="21"/>
          <w:highlight w:val="none"/>
        </w:rPr>
        <w:t>文</w:t>
      </w:r>
      <w:r>
        <w:rPr>
          <w:rFonts w:hint="eastAsia" w:ascii="宋体" w:hAnsi="宋体" w:cs="宋体"/>
          <w:color w:val="auto"/>
          <w:spacing w:val="-2"/>
          <w:kern w:val="0"/>
          <w:szCs w:val="21"/>
          <w:highlight w:val="none"/>
        </w:rPr>
        <w:t>注</w:t>
      </w:r>
      <w:r>
        <w:rPr>
          <w:rFonts w:hint="eastAsia" w:ascii="宋体" w:hAnsi="宋体" w:cs="宋体"/>
          <w:color w:val="auto"/>
          <w:kern w:val="0"/>
          <w:szCs w:val="21"/>
          <w:highlight w:val="none"/>
        </w:rPr>
        <w:t>释</w:t>
      </w:r>
      <w:r>
        <w:rPr>
          <w:rFonts w:hint="eastAsia" w:ascii="宋体" w:hAnsi="宋体" w:cs="宋体"/>
          <w:color w:val="auto"/>
          <w:szCs w:val="21"/>
          <w:highlight w:val="none"/>
        </w:rPr>
        <w:t>。</w:t>
      </w:r>
    </w:p>
    <w:p>
      <w:pPr>
        <w:numPr>
          <w:ilvl w:val="1"/>
          <w:numId w:val="4"/>
        </w:numPr>
        <w:spacing w:line="400" w:lineRule="exact"/>
        <w:ind w:firstLine="422" w:firstLineChars="200"/>
        <w:rPr>
          <w:rFonts w:ascii="宋体" w:cs="宋体"/>
          <w:b/>
          <w:bCs/>
          <w:color w:val="auto"/>
          <w:highlight w:val="none"/>
        </w:rPr>
      </w:pPr>
      <w:bookmarkStart w:id="94" w:name="_Toc22466"/>
      <w:bookmarkStart w:id="95" w:name="_Toc9167"/>
      <w:bookmarkStart w:id="96" w:name="_Toc7785"/>
      <w:bookmarkStart w:id="97" w:name="_Toc5019"/>
      <w:bookmarkStart w:id="98" w:name="_Toc14186"/>
      <w:bookmarkStart w:id="99" w:name="_Toc22605"/>
      <w:bookmarkStart w:id="100" w:name="_Toc20418"/>
      <w:bookmarkStart w:id="101" w:name="_Toc21374"/>
      <w:bookmarkStart w:id="102" w:name="_Toc19599"/>
      <w:bookmarkStart w:id="103" w:name="_Toc14812"/>
      <w:bookmarkStart w:id="104" w:name="_Toc30395"/>
      <w:r>
        <w:rPr>
          <w:rFonts w:hint="eastAsia" w:ascii="宋体" w:hAnsi="宋体" w:cs="宋体"/>
          <w:b/>
          <w:bCs/>
          <w:color w:val="auto"/>
          <w:highlight w:val="none"/>
        </w:rPr>
        <w:t>投标文件计量单位</w:t>
      </w:r>
      <w:bookmarkEnd w:id="94"/>
      <w:bookmarkEnd w:id="95"/>
      <w:bookmarkEnd w:id="96"/>
      <w:bookmarkEnd w:id="97"/>
      <w:bookmarkEnd w:id="98"/>
      <w:bookmarkEnd w:id="99"/>
      <w:bookmarkEnd w:id="100"/>
      <w:bookmarkEnd w:id="101"/>
      <w:bookmarkEnd w:id="102"/>
      <w:bookmarkEnd w:id="103"/>
      <w:bookmarkEnd w:id="104"/>
    </w:p>
    <w:p>
      <w:p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除在招标文件的技术文件中另有规定外，计量单位均使用中华人民共和国法定计量标准单位。</w:t>
      </w:r>
    </w:p>
    <w:p>
      <w:pPr>
        <w:numPr>
          <w:ilvl w:val="1"/>
          <w:numId w:val="4"/>
        </w:numPr>
        <w:spacing w:line="400" w:lineRule="exact"/>
        <w:ind w:firstLine="422" w:firstLineChars="200"/>
        <w:rPr>
          <w:rFonts w:ascii="宋体" w:cs="宋体"/>
          <w:color w:val="auto"/>
          <w:szCs w:val="21"/>
          <w:highlight w:val="none"/>
        </w:rPr>
      </w:pPr>
      <w:bookmarkStart w:id="105" w:name="_Toc2806"/>
      <w:bookmarkStart w:id="106" w:name="_Toc16602"/>
      <w:bookmarkStart w:id="107" w:name="_Toc15754"/>
      <w:bookmarkStart w:id="108" w:name="_Toc24747"/>
      <w:bookmarkStart w:id="109" w:name="_Toc23957"/>
      <w:bookmarkStart w:id="110" w:name="_Toc23880"/>
      <w:bookmarkStart w:id="111" w:name="_Toc26769"/>
      <w:bookmarkStart w:id="112" w:name="_Toc4326"/>
      <w:bookmarkStart w:id="113" w:name="_Toc12071"/>
      <w:bookmarkStart w:id="114" w:name="_Toc19923"/>
      <w:bookmarkStart w:id="115" w:name="_Toc10045"/>
      <w:r>
        <w:rPr>
          <w:rFonts w:hint="eastAsia" w:ascii="宋体" w:hAnsi="宋体" w:cs="宋体"/>
          <w:b/>
          <w:bCs/>
          <w:color w:val="auto"/>
          <w:highlight w:val="none"/>
        </w:rPr>
        <w:t>投标货币</w:t>
      </w:r>
      <w:bookmarkEnd w:id="105"/>
      <w:bookmarkEnd w:id="106"/>
      <w:bookmarkEnd w:id="107"/>
      <w:bookmarkEnd w:id="108"/>
      <w:bookmarkEnd w:id="109"/>
      <w:bookmarkEnd w:id="110"/>
      <w:bookmarkEnd w:id="111"/>
      <w:bookmarkEnd w:id="112"/>
      <w:bookmarkEnd w:id="113"/>
      <w:bookmarkEnd w:id="114"/>
      <w:bookmarkEnd w:id="115"/>
    </w:p>
    <w:p>
      <w:pPr>
        <w:spacing w:line="400" w:lineRule="exact"/>
        <w:ind w:left="420" w:leftChars="200"/>
        <w:rPr>
          <w:rFonts w:ascii="宋体" w:cs="宋体"/>
          <w:color w:val="auto"/>
          <w:szCs w:val="21"/>
          <w:highlight w:val="none"/>
        </w:rPr>
      </w:pPr>
      <w:r>
        <w:rPr>
          <w:rFonts w:hint="eastAsia" w:ascii="宋体" w:hAnsi="宋体" w:cs="宋体"/>
          <w:color w:val="auto"/>
          <w:szCs w:val="21"/>
          <w:highlight w:val="none"/>
        </w:rPr>
        <w:t>除非另有规定，</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提供的所有服务用人民币报价。</w:t>
      </w:r>
    </w:p>
    <w:p>
      <w:pPr>
        <w:numPr>
          <w:ilvl w:val="1"/>
          <w:numId w:val="4"/>
        </w:numPr>
        <w:spacing w:line="400" w:lineRule="exact"/>
        <w:ind w:firstLine="422" w:firstLineChars="200"/>
        <w:rPr>
          <w:rFonts w:ascii="宋体" w:cs="宋体"/>
          <w:b/>
          <w:bCs/>
          <w:color w:val="auto"/>
          <w:highlight w:val="none"/>
        </w:rPr>
      </w:pPr>
      <w:bookmarkStart w:id="116" w:name="_Toc16853"/>
      <w:bookmarkStart w:id="117" w:name="_Toc14764"/>
      <w:bookmarkStart w:id="118" w:name="_Toc141"/>
      <w:bookmarkStart w:id="119" w:name="_Toc19335"/>
      <w:bookmarkStart w:id="120" w:name="_Toc28184"/>
      <w:bookmarkStart w:id="121" w:name="_Toc26021"/>
      <w:bookmarkStart w:id="122" w:name="_Toc32032"/>
      <w:bookmarkStart w:id="123" w:name="_Toc12030"/>
      <w:bookmarkStart w:id="124" w:name="_Toc11598"/>
      <w:bookmarkStart w:id="125" w:name="_Toc24561"/>
      <w:bookmarkStart w:id="126" w:name="_Toc4030"/>
      <w:bookmarkStart w:id="127" w:name="_Toc29095"/>
      <w:bookmarkStart w:id="128" w:name="_Toc31058"/>
      <w:r>
        <w:rPr>
          <w:rFonts w:hint="eastAsia" w:ascii="宋体" w:hAnsi="宋体" w:cs="宋体"/>
          <w:b/>
          <w:bCs/>
          <w:color w:val="auto"/>
          <w:highlight w:val="none"/>
        </w:rPr>
        <w:t>保密</w:t>
      </w:r>
      <w:bookmarkEnd w:id="116"/>
      <w:bookmarkEnd w:id="117"/>
      <w:bookmarkEnd w:id="118"/>
      <w:bookmarkEnd w:id="119"/>
      <w:bookmarkEnd w:id="120"/>
      <w:bookmarkEnd w:id="121"/>
      <w:bookmarkEnd w:id="122"/>
      <w:bookmarkEnd w:id="123"/>
      <w:bookmarkEnd w:id="124"/>
      <w:bookmarkEnd w:id="125"/>
      <w:bookmarkEnd w:id="126"/>
      <w:bookmarkEnd w:id="127"/>
      <w:bookmarkEnd w:id="128"/>
    </w:p>
    <w:p>
      <w:p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参与招标投标活动的各方应对招标文件和投标文件中的商业和技术等秘密保密，否则应承担相应的法律责任。</w:t>
      </w:r>
    </w:p>
    <w:p>
      <w:pPr>
        <w:numPr>
          <w:ilvl w:val="0"/>
          <w:numId w:val="6"/>
        </w:numPr>
        <w:spacing w:line="400" w:lineRule="exact"/>
        <w:ind w:firstLine="422" w:firstLineChars="200"/>
        <w:outlineLvl w:val="1"/>
        <w:rPr>
          <w:rStyle w:val="28"/>
          <w:color w:val="auto"/>
          <w:sz w:val="21"/>
          <w:szCs w:val="21"/>
          <w:highlight w:val="none"/>
        </w:rPr>
      </w:pPr>
      <w:bookmarkStart w:id="129" w:name="_Toc12581"/>
      <w:bookmarkStart w:id="130" w:name="_Toc20563"/>
      <w:bookmarkStart w:id="131" w:name="_Toc40112131"/>
      <w:bookmarkStart w:id="132" w:name="_Toc6378"/>
      <w:bookmarkStart w:id="133" w:name="_Toc11800"/>
      <w:r>
        <w:rPr>
          <w:rStyle w:val="28"/>
          <w:rFonts w:hint="eastAsia"/>
          <w:color w:val="auto"/>
          <w:sz w:val="21"/>
          <w:szCs w:val="21"/>
          <w:highlight w:val="none"/>
        </w:rPr>
        <w:t>招标文件</w:t>
      </w:r>
      <w:bookmarkEnd w:id="47"/>
      <w:bookmarkEnd w:id="129"/>
      <w:bookmarkEnd w:id="130"/>
      <w:bookmarkEnd w:id="131"/>
      <w:bookmarkEnd w:id="132"/>
      <w:bookmarkEnd w:id="133"/>
    </w:p>
    <w:p>
      <w:pPr>
        <w:numPr>
          <w:ilvl w:val="1"/>
          <w:numId w:val="6"/>
        </w:numPr>
        <w:spacing w:line="400" w:lineRule="exact"/>
        <w:ind w:firstLine="422" w:firstLineChars="200"/>
        <w:rPr>
          <w:rFonts w:ascii="宋体" w:cs="宋体"/>
          <w:b/>
          <w:bCs/>
          <w:color w:val="auto"/>
          <w:highlight w:val="none"/>
        </w:rPr>
      </w:pPr>
      <w:bookmarkStart w:id="134" w:name="_Toc20524"/>
      <w:bookmarkStart w:id="135" w:name="_Toc8008"/>
      <w:bookmarkStart w:id="136" w:name="_Toc14801"/>
      <w:bookmarkStart w:id="137" w:name="_Toc3764"/>
      <w:r>
        <w:rPr>
          <w:rFonts w:hint="eastAsia" w:ascii="宋体" w:hAnsi="宋体" w:cs="宋体"/>
          <w:b/>
          <w:bCs/>
          <w:color w:val="auto"/>
          <w:highlight w:val="none"/>
        </w:rPr>
        <w:t>招标文件的构成</w:t>
      </w:r>
      <w:bookmarkEnd w:id="134"/>
      <w:bookmarkEnd w:id="135"/>
      <w:bookmarkEnd w:id="136"/>
      <w:bookmarkEnd w:id="137"/>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招标文件用以阐明本次招标的货物和服务要求、招标投标程序和合同条件。</w:t>
      </w:r>
    </w:p>
    <w:p>
      <w:pPr>
        <w:pStyle w:val="19"/>
        <w:tabs>
          <w:tab w:val="left" w:pos="720"/>
          <w:tab w:val="left" w:pos="1080"/>
        </w:tabs>
        <w:adjustRightInd w:val="0"/>
        <w:snapToGrid w:val="0"/>
        <w:spacing w:line="400" w:lineRule="exact"/>
        <w:ind w:left="0"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招标文件由下述部分组成：</w:t>
      </w:r>
      <w:r>
        <w:rPr>
          <w:rFonts w:ascii="宋体" w:hAnsi="宋体" w:eastAsia="宋体" w:cs="宋体"/>
          <w:color w:val="auto"/>
          <w:sz w:val="21"/>
          <w:szCs w:val="21"/>
          <w:highlight w:val="none"/>
        </w:rPr>
        <w:t xml:space="preserve"> </w:t>
      </w:r>
    </w:p>
    <w:p>
      <w:pPr>
        <w:pStyle w:val="19"/>
        <w:tabs>
          <w:tab w:val="left" w:pos="720"/>
          <w:tab w:val="left" w:pos="1080"/>
        </w:tabs>
        <w:adjustRightInd w:val="0"/>
        <w:snapToGrid w:val="0"/>
        <w:spacing w:line="400" w:lineRule="exact"/>
        <w:ind w:left="0"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第一章</w:t>
      </w:r>
      <w:r>
        <w:rPr>
          <w:rFonts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t>招标公告</w:t>
      </w:r>
    </w:p>
    <w:p>
      <w:pPr>
        <w:pStyle w:val="19"/>
        <w:tabs>
          <w:tab w:val="left" w:pos="720"/>
          <w:tab w:val="left" w:pos="1080"/>
        </w:tabs>
        <w:adjustRightInd w:val="0"/>
        <w:snapToGrid w:val="0"/>
        <w:spacing w:line="400" w:lineRule="exact"/>
        <w:ind w:left="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第二章</w:t>
      </w:r>
      <w:r>
        <w:rPr>
          <w:rFonts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投标人须知</w:t>
      </w:r>
    </w:p>
    <w:p>
      <w:pPr>
        <w:pStyle w:val="19"/>
        <w:tabs>
          <w:tab w:val="left" w:pos="720"/>
          <w:tab w:val="left" w:pos="1080"/>
        </w:tabs>
        <w:adjustRightInd w:val="0"/>
        <w:snapToGrid w:val="0"/>
        <w:spacing w:line="400" w:lineRule="exact"/>
        <w:ind w:left="0"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第三章</w:t>
      </w:r>
      <w:r>
        <w:rPr>
          <w:rFonts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t>资格审查</w:t>
      </w:r>
    </w:p>
    <w:p>
      <w:pPr>
        <w:pStyle w:val="19"/>
        <w:tabs>
          <w:tab w:val="left" w:pos="720"/>
          <w:tab w:val="left" w:pos="1080"/>
        </w:tabs>
        <w:adjustRightInd w:val="0"/>
        <w:snapToGrid w:val="0"/>
        <w:spacing w:line="400" w:lineRule="exact"/>
        <w:ind w:left="0"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第四章</w:t>
      </w:r>
      <w:r>
        <w:rPr>
          <w:rFonts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t>评标办法（综合评分法）</w:t>
      </w:r>
    </w:p>
    <w:p>
      <w:pPr>
        <w:pStyle w:val="19"/>
        <w:tabs>
          <w:tab w:val="left" w:pos="720"/>
          <w:tab w:val="left" w:pos="1080"/>
        </w:tabs>
        <w:adjustRightInd w:val="0"/>
        <w:snapToGrid w:val="0"/>
        <w:spacing w:line="400" w:lineRule="exact"/>
        <w:ind w:left="0"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第五章</w:t>
      </w:r>
      <w:r>
        <w:rPr>
          <w:rFonts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t>合同</w:t>
      </w:r>
    </w:p>
    <w:p>
      <w:pPr>
        <w:pStyle w:val="19"/>
        <w:tabs>
          <w:tab w:val="left" w:pos="720"/>
          <w:tab w:val="left" w:pos="1080"/>
        </w:tabs>
        <w:adjustRightInd w:val="0"/>
        <w:snapToGrid w:val="0"/>
        <w:spacing w:line="400" w:lineRule="exact"/>
        <w:ind w:left="0"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第六章</w:t>
      </w:r>
      <w:r>
        <w:rPr>
          <w:rFonts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t>招标项目需求及技术要求</w:t>
      </w:r>
    </w:p>
    <w:p>
      <w:pPr>
        <w:pStyle w:val="19"/>
        <w:tabs>
          <w:tab w:val="left" w:pos="720"/>
          <w:tab w:val="left" w:pos="1080"/>
        </w:tabs>
        <w:adjustRightInd w:val="0"/>
        <w:snapToGrid w:val="0"/>
        <w:spacing w:line="400" w:lineRule="exact"/>
        <w:ind w:left="0"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第七章</w:t>
      </w:r>
      <w:r>
        <w:rPr>
          <w:rFonts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t>投标文件格式</w:t>
      </w:r>
    </w:p>
    <w:p>
      <w:pPr>
        <w:numPr>
          <w:ilvl w:val="2"/>
          <w:numId w:val="6"/>
        </w:numPr>
        <w:adjustRightInd w:val="0"/>
        <w:snapToGrid w:val="0"/>
        <w:spacing w:line="400" w:lineRule="exact"/>
        <w:ind w:firstLine="420" w:firstLineChars="200"/>
        <w:rPr>
          <w:rFonts w:ascii="宋体" w:cs="宋体"/>
          <w:color w:val="auto"/>
          <w:sz w:val="24"/>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应仔细阅读招标文件中</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合同条款的所有事项、格式要求和技术规范，按招标文件的要求提供投标文件，并保证所提供的全部资料的真实性，以使其投标对招标文件做出实质性响应，否则，将承担其投标被拒绝或认定为投标无效的风险。</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制作投标文件时应充分完整理解招标文件的整体要求。</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根据本章第</w:t>
      </w:r>
      <w:r>
        <w:rPr>
          <w:rFonts w:ascii="宋体" w:hAnsi="宋体" w:cs="宋体"/>
          <w:color w:val="auto"/>
          <w:szCs w:val="21"/>
          <w:highlight w:val="none"/>
        </w:rPr>
        <w:t>1.4</w:t>
      </w:r>
      <w:r>
        <w:rPr>
          <w:rFonts w:hint="eastAsia" w:ascii="宋体" w:hAnsi="宋体" w:cs="宋体"/>
          <w:color w:val="auto"/>
          <w:szCs w:val="21"/>
          <w:highlight w:val="none"/>
        </w:rPr>
        <w:t>款、第</w:t>
      </w:r>
      <w:r>
        <w:rPr>
          <w:rFonts w:ascii="宋体" w:hAnsi="宋体" w:cs="宋体"/>
          <w:color w:val="auto"/>
          <w:szCs w:val="21"/>
          <w:highlight w:val="none"/>
        </w:rPr>
        <w:t>2.2</w:t>
      </w:r>
      <w:r>
        <w:rPr>
          <w:rFonts w:hint="eastAsia" w:ascii="宋体" w:hAnsi="宋体" w:cs="宋体"/>
          <w:color w:val="auto"/>
          <w:szCs w:val="21"/>
          <w:highlight w:val="none"/>
        </w:rPr>
        <w:t>款和第</w:t>
      </w:r>
      <w:r>
        <w:rPr>
          <w:rFonts w:ascii="宋体" w:hAnsi="宋体" w:cs="宋体"/>
          <w:color w:val="auto"/>
          <w:szCs w:val="21"/>
          <w:highlight w:val="none"/>
        </w:rPr>
        <w:t>2.3</w:t>
      </w:r>
      <w:r>
        <w:rPr>
          <w:rFonts w:hint="eastAsia" w:ascii="宋体" w:hAnsi="宋体" w:cs="宋体"/>
          <w:color w:val="auto"/>
          <w:szCs w:val="21"/>
          <w:highlight w:val="none"/>
        </w:rPr>
        <w:t>款对招标文件所做的澄清和修改，构成招标文件的组成部分。</w:t>
      </w:r>
    </w:p>
    <w:p>
      <w:pPr>
        <w:numPr>
          <w:ilvl w:val="1"/>
          <w:numId w:val="6"/>
        </w:numPr>
        <w:spacing w:line="400" w:lineRule="exact"/>
        <w:ind w:firstLine="422" w:firstLineChars="200"/>
        <w:rPr>
          <w:rFonts w:ascii="宋体" w:cs="宋体"/>
          <w:b/>
          <w:bCs/>
          <w:color w:val="auto"/>
          <w:highlight w:val="none"/>
        </w:rPr>
      </w:pPr>
      <w:bookmarkStart w:id="138" w:name="_Toc3408"/>
      <w:bookmarkStart w:id="139" w:name="_Toc7923"/>
      <w:bookmarkStart w:id="140" w:name="_Toc23431"/>
      <w:bookmarkStart w:id="141" w:name="_Toc6978"/>
      <w:r>
        <w:rPr>
          <w:rFonts w:hint="eastAsia" w:ascii="宋体" w:hAnsi="宋体" w:cs="宋体"/>
          <w:b/>
          <w:bCs/>
          <w:color w:val="auto"/>
          <w:highlight w:val="none"/>
        </w:rPr>
        <w:t>招标文件的澄清</w:t>
      </w:r>
      <w:bookmarkEnd w:id="138"/>
      <w:bookmarkEnd w:id="139"/>
      <w:bookmarkEnd w:id="140"/>
      <w:bookmarkEnd w:id="141"/>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应仔细阅读和检查招标文件的全部内容。如发现缺页或附件不全，应及时向采购人提出，以便补齐。如有疑问，应按</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前附表规定的时间和形式将提出的问题送达采购人，要求采购人对招标文件予以澄清。</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招标文件的澄清以</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前附表规定的形式发给所有购买招标文件的</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，但不指明澄清问题的来源。澄清发出的时间距本章第</w:t>
      </w:r>
      <w:r>
        <w:rPr>
          <w:rFonts w:ascii="宋体" w:hAnsi="宋体" w:cs="宋体"/>
          <w:color w:val="auto"/>
          <w:szCs w:val="21"/>
          <w:highlight w:val="none"/>
        </w:rPr>
        <w:t>4.2.1</w:t>
      </w:r>
      <w:r>
        <w:rPr>
          <w:rFonts w:hint="eastAsia" w:ascii="宋体" w:hAnsi="宋体" w:cs="宋体"/>
          <w:color w:val="auto"/>
          <w:szCs w:val="21"/>
          <w:highlight w:val="none"/>
        </w:rPr>
        <w:t>项规定的投标截止时间不足</w:t>
      </w:r>
      <w:r>
        <w:rPr>
          <w:rFonts w:ascii="宋体" w:hAnsi="宋体" w:cs="宋体"/>
          <w:color w:val="auto"/>
          <w:szCs w:val="21"/>
          <w:highlight w:val="none"/>
        </w:rPr>
        <w:t>15</w:t>
      </w:r>
      <w:r>
        <w:rPr>
          <w:rFonts w:hint="eastAsia" w:ascii="宋体" w:hAnsi="宋体" w:cs="宋体"/>
          <w:color w:val="auto"/>
          <w:szCs w:val="21"/>
          <w:highlight w:val="none"/>
        </w:rPr>
        <w:t>日的，并且澄清内容可能影响投标文件编制的，将相应延长投标截止时间。</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在收到澄清后，应按</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前附表规定的时间和形式通知采购人，确认已收到该澄清。</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除非采购人认为确有必要答复，否则，采购人有权拒绝回复</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在本章第</w:t>
      </w:r>
      <w:r>
        <w:rPr>
          <w:rFonts w:ascii="宋体" w:hAnsi="宋体" w:cs="宋体"/>
          <w:color w:val="auto"/>
          <w:szCs w:val="21"/>
          <w:highlight w:val="none"/>
        </w:rPr>
        <w:t xml:space="preserve"> 2.2.1 </w:t>
      </w:r>
      <w:r>
        <w:rPr>
          <w:rFonts w:hint="eastAsia" w:ascii="宋体" w:hAnsi="宋体" w:cs="宋体"/>
          <w:color w:val="auto"/>
          <w:szCs w:val="21"/>
          <w:highlight w:val="none"/>
        </w:rPr>
        <w:t>项规定的时间后的任何澄清要求。在规定的时间内未提出疑问的，将被视为对招标文件完全认可。</w:t>
      </w:r>
    </w:p>
    <w:p>
      <w:pPr>
        <w:numPr>
          <w:ilvl w:val="1"/>
          <w:numId w:val="6"/>
        </w:numPr>
        <w:spacing w:line="400" w:lineRule="exact"/>
        <w:ind w:firstLine="422" w:firstLineChars="200"/>
        <w:rPr>
          <w:rFonts w:ascii="宋体" w:cs="宋体"/>
          <w:b/>
          <w:bCs/>
          <w:color w:val="auto"/>
          <w:highlight w:val="none"/>
        </w:rPr>
      </w:pPr>
      <w:bookmarkStart w:id="142" w:name="_Toc32510"/>
      <w:bookmarkStart w:id="143" w:name="_Toc12162"/>
      <w:bookmarkStart w:id="144" w:name="_Toc25801"/>
      <w:bookmarkStart w:id="145" w:name="_Toc28742"/>
      <w:r>
        <w:rPr>
          <w:rFonts w:hint="eastAsia" w:ascii="宋体" w:hAnsi="宋体" w:cs="宋体"/>
          <w:b/>
          <w:bCs/>
          <w:color w:val="auto"/>
          <w:highlight w:val="none"/>
        </w:rPr>
        <w:t>招标文件的修改</w:t>
      </w:r>
      <w:bookmarkEnd w:id="142"/>
      <w:bookmarkEnd w:id="143"/>
      <w:bookmarkEnd w:id="144"/>
      <w:bookmarkEnd w:id="145"/>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采购人或采购代理机构可以对已发出的招标文件进行必要的修改，但不得改变采购标的和资格条件，修改的内容为招标文件的组成部分。</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采购人或采购代理机构以</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前附表规定的形式修改招标文件，并通知所有已购买招标文件的</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。修改招标文件的时间距本章第</w:t>
      </w:r>
      <w:r>
        <w:rPr>
          <w:rFonts w:ascii="宋体" w:hAnsi="宋体" w:cs="宋体"/>
          <w:color w:val="auto"/>
          <w:szCs w:val="21"/>
          <w:highlight w:val="none"/>
        </w:rPr>
        <w:t>4.2.1</w:t>
      </w:r>
      <w:r>
        <w:rPr>
          <w:rFonts w:hint="eastAsia" w:ascii="宋体" w:hAnsi="宋体" w:cs="宋体"/>
          <w:color w:val="auto"/>
          <w:szCs w:val="21"/>
          <w:highlight w:val="none"/>
        </w:rPr>
        <w:t>项规定的投标截止时间不足</w:t>
      </w:r>
      <w:r>
        <w:rPr>
          <w:rFonts w:ascii="宋体" w:hAnsi="宋体" w:cs="宋体"/>
          <w:color w:val="auto"/>
          <w:szCs w:val="21"/>
          <w:highlight w:val="none"/>
        </w:rPr>
        <w:t>15</w:t>
      </w:r>
      <w:r>
        <w:rPr>
          <w:rFonts w:hint="eastAsia" w:ascii="宋体" w:hAnsi="宋体" w:cs="宋体"/>
          <w:color w:val="auto"/>
          <w:szCs w:val="21"/>
          <w:highlight w:val="none"/>
        </w:rPr>
        <w:t>日的，并且修改内容可能影响投标文件编制的，将相应延长投标截止时间。</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收到修改内容后，应按</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前附表规定的时间和形式通知采购人，确认已收到该修改。</w:t>
      </w:r>
    </w:p>
    <w:p>
      <w:pPr>
        <w:numPr>
          <w:ilvl w:val="0"/>
          <w:numId w:val="6"/>
        </w:numPr>
        <w:spacing w:line="400" w:lineRule="exact"/>
        <w:ind w:firstLine="422" w:firstLineChars="200"/>
        <w:outlineLvl w:val="1"/>
        <w:rPr>
          <w:rStyle w:val="28"/>
          <w:color w:val="auto"/>
          <w:sz w:val="21"/>
          <w:szCs w:val="21"/>
          <w:highlight w:val="none"/>
        </w:rPr>
      </w:pPr>
      <w:bookmarkStart w:id="146" w:name="_Toc18538"/>
      <w:bookmarkStart w:id="147" w:name="_Toc312133545"/>
      <w:bookmarkStart w:id="148" w:name="_Toc22882"/>
      <w:bookmarkStart w:id="149" w:name="_Toc40112132"/>
      <w:bookmarkStart w:id="150" w:name="_Toc26472"/>
      <w:bookmarkStart w:id="151" w:name="_Toc23680"/>
      <w:r>
        <w:rPr>
          <w:rStyle w:val="28"/>
          <w:rFonts w:hint="eastAsia"/>
          <w:color w:val="auto"/>
          <w:sz w:val="21"/>
          <w:szCs w:val="21"/>
          <w:highlight w:val="none"/>
        </w:rPr>
        <w:t>投标文件的编写</w:t>
      </w:r>
      <w:bookmarkEnd w:id="146"/>
      <w:bookmarkEnd w:id="147"/>
      <w:bookmarkEnd w:id="148"/>
      <w:bookmarkEnd w:id="149"/>
      <w:bookmarkEnd w:id="150"/>
      <w:bookmarkEnd w:id="151"/>
    </w:p>
    <w:p>
      <w:pPr>
        <w:numPr>
          <w:ilvl w:val="1"/>
          <w:numId w:val="6"/>
        </w:numPr>
        <w:spacing w:line="400" w:lineRule="exact"/>
        <w:ind w:firstLine="422" w:firstLineChars="200"/>
        <w:rPr>
          <w:rFonts w:ascii="宋体" w:cs="宋体"/>
          <w:b/>
          <w:bCs/>
          <w:color w:val="auto"/>
          <w:highlight w:val="none"/>
        </w:rPr>
      </w:pPr>
      <w:bookmarkStart w:id="152" w:name="_Toc21879"/>
      <w:bookmarkStart w:id="153" w:name="_Toc9605"/>
      <w:bookmarkStart w:id="154" w:name="_Toc27498"/>
      <w:bookmarkStart w:id="155" w:name="_Toc17436"/>
      <w:r>
        <w:rPr>
          <w:rFonts w:hint="eastAsia" w:ascii="宋体" w:hAnsi="宋体" w:cs="宋体"/>
          <w:b/>
          <w:bCs/>
          <w:color w:val="auto"/>
          <w:highlight w:val="none"/>
        </w:rPr>
        <w:t>投标文件的组成</w:t>
      </w:r>
      <w:bookmarkEnd w:id="152"/>
      <w:bookmarkEnd w:id="153"/>
      <w:bookmarkEnd w:id="154"/>
      <w:bookmarkEnd w:id="155"/>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投标文件包括下列部分：详见第七章投标文件格式</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投标文件应按招标文件中投标文件格式编写。</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招标文件中的每个分包，是项目招标不可拆分的最小投标单元，</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必须按此分包编制投标文件，提交相应的文件资料，拆包投标将视为漏项或非实质性响应予以认定为投标无效。</w:t>
      </w:r>
    </w:p>
    <w:p>
      <w:pPr>
        <w:numPr>
          <w:ilvl w:val="1"/>
          <w:numId w:val="6"/>
        </w:numPr>
        <w:spacing w:line="400" w:lineRule="exact"/>
        <w:ind w:firstLine="422" w:firstLineChars="200"/>
        <w:rPr>
          <w:rFonts w:ascii="宋体" w:cs="宋体"/>
          <w:b/>
          <w:bCs/>
          <w:color w:val="auto"/>
          <w:highlight w:val="none"/>
        </w:rPr>
      </w:pPr>
      <w:bookmarkStart w:id="156" w:name="_Toc2826"/>
      <w:bookmarkStart w:id="157" w:name="_Toc4941"/>
      <w:bookmarkStart w:id="158" w:name="_Toc1833"/>
      <w:bookmarkStart w:id="159" w:name="_Toc32754"/>
      <w:r>
        <w:rPr>
          <w:rFonts w:hint="eastAsia" w:ascii="宋体" w:hAnsi="宋体" w:cs="宋体"/>
          <w:b/>
          <w:bCs/>
          <w:color w:val="auto"/>
          <w:highlight w:val="none"/>
        </w:rPr>
        <w:t>投标报价</w:t>
      </w:r>
      <w:bookmarkEnd w:id="156"/>
      <w:bookmarkEnd w:id="157"/>
      <w:bookmarkEnd w:id="158"/>
      <w:bookmarkEnd w:id="159"/>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应按照招标文件提供的报价明细表格式填写提供各项货物及服务的单价、分项总价和总投标价。</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lang w:val="en-US" w:eastAsia="zh-CN"/>
        </w:rPr>
        <w:t>投标总报价应是采购人指定地点交货的，包括基于交货或提供服务前发生的各种包括但不限于货物及配置产品的设计、采购、制造、检测、试验、包装、运输、保险、装卸、货款、安装调试、培训、保修维护、技术支持、质保期服务、税费和服务内容的检验、验收、技术服务（包括技术资料、图纸的提供）、质保期保障等的全部费用的总报价</w:t>
      </w:r>
      <w:r>
        <w:rPr>
          <w:rFonts w:hint="eastAsia" w:ascii="宋体" w:hAnsi="宋体" w:cs="宋体"/>
          <w:color w:val="auto"/>
          <w:szCs w:val="21"/>
          <w:highlight w:val="none"/>
        </w:rPr>
        <w:t>。</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根据上述规定所作分项报价的目的只是为了评标时对投标文件进行比较的方便，但并不限制采购人订立合同的权力。</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投标报价应完全包括招标文件规定的全部货物及其伴随的服务范围，不得任意分割或合并所规定的货物及其伴随的服务分项。</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对每种货物只允许有一个报价，采购人和采购代理机构不接受有任何选择报价的投标。</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不得以任何理由在</w:t>
      </w:r>
      <w:r>
        <w:rPr>
          <w:rFonts w:hint="eastAsia" w:ascii="宋体" w:hAnsi="宋体" w:cs="宋体"/>
          <w:color w:val="auto"/>
          <w:szCs w:val="21"/>
          <w:highlight w:val="none"/>
          <w:lang w:val="en-US" w:eastAsia="zh-CN"/>
        </w:rPr>
        <w:t>投标截止时间</w:t>
      </w:r>
      <w:r>
        <w:rPr>
          <w:rFonts w:hint="eastAsia" w:ascii="宋体" w:hAnsi="宋体" w:cs="宋体"/>
          <w:color w:val="auto"/>
          <w:szCs w:val="21"/>
          <w:highlight w:val="none"/>
        </w:rPr>
        <w:t>后对投标报价予以修改，报价在投标有效期内是固定的，不因任何原因而改变。任何包含价格调整要求和条件的投标，将被视为非实质性响应投标而予以拒绝。最低投标报价并不意味着一定中标。</w:t>
      </w:r>
    </w:p>
    <w:p>
      <w:pPr>
        <w:numPr>
          <w:ilvl w:val="1"/>
          <w:numId w:val="6"/>
        </w:numPr>
        <w:spacing w:line="400" w:lineRule="exact"/>
        <w:ind w:firstLine="422" w:firstLineChars="200"/>
        <w:rPr>
          <w:rFonts w:ascii="宋体" w:cs="宋体"/>
          <w:b/>
          <w:bCs/>
          <w:color w:val="auto"/>
          <w:highlight w:val="none"/>
        </w:rPr>
      </w:pPr>
      <w:bookmarkStart w:id="160" w:name="_Toc31023"/>
      <w:bookmarkStart w:id="161" w:name="_Toc28543"/>
      <w:bookmarkStart w:id="162" w:name="_Toc25999"/>
      <w:bookmarkStart w:id="163" w:name="_Toc26916"/>
      <w:r>
        <w:rPr>
          <w:rFonts w:hint="eastAsia" w:ascii="宋体" w:hAnsi="宋体" w:cs="宋体"/>
          <w:b/>
          <w:bCs/>
          <w:color w:val="auto"/>
          <w:highlight w:val="none"/>
          <w:lang w:eastAsia="zh-CN"/>
        </w:rPr>
        <w:t>投标人</w:t>
      </w:r>
      <w:r>
        <w:rPr>
          <w:rFonts w:hint="eastAsia" w:ascii="宋体" w:hAnsi="宋体" w:cs="宋体"/>
          <w:b/>
          <w:bCs/>
          <w:color w:val="auto"/>
          <w:highlight w:val="none"/>
        </w:rPr>
        <w:t>资格的证明文件</w:t>
      </w:r>
      <w:bookmarkEnd w:id="160"/>
      <w:bookmarkEnd w:id="161"/>
      <w:bookmarkEnd w:id="162"/>
      <w:bookmarkEnd w:id="163"/>
    </w:p>
    <w:p>
      <w:pPr>
        <w:adjustRightInd w:val="0"/>
        <w:snapToGrid w:val="0"/>
        <w:spacing w:line="400" w:lineRule="exact"/>
        <w:ind w:firstLine="420" w:firstLineChars="200"/>
        <w:rPr>
          <w:rFonts w:ascii="宋体" w:cs="宋体"/>
          <w:color w:val="auto"/>
          <w:szCs w:val="21"/>
          <w:highlight w:val="none"/>
        </w:rPr>
      </w:pPr>
      <w:bookmarkStart w:id="164" w:name="_Toc28461"/>
      <w:bookmarkStart w:id="165" w:name="_Toc30002"/>
      <w:r>
        <w:rPr>
          <w:rFonts w:hint="eastAsia" w:ascii="宋体" w:hAnsi="宋体" w:cs="宋体"/>
          <w:color w:val="auto"/>
          <w:szCs w:val="21"/>
          <w:highlight w:val="none"/>
        </w:rPr>
        <w:t>依据</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前附表中的要求提交相应的资格证明文件，作为投标文件资格审查的一部分，以证明其有资格进行投标和有能力履行合同。</w:t>
      </w:r>
    </w:p>
    <w:p>
      <w:pPr>
        <w:numPr>
          <w:ilvl w:val="1"/>
          <w:numId w:val="6"/>
        </w:numPr>
        <w:spacing w:line="400" w:lineRule="exact"/>
        <w:ind w:firstLine="422" w:firstLineChars="200"/>
        <w:rPr>
          <w:rFonts w:ascii="宋体" w:cs="宋体"/>
          <w:b/>
          <w:bCs/>
          <w:color w:val="auto"/>
          <w:highlight w:val="none"/>
        </w:rPr>
      </w:pPr>
      <w:bookmarkStart w:id="166" w:name="_Toc13866"/>
      <w:bookmarkStart w:id="167" w:name="_Toc7564"/>
      <w:r>
        <w:rPr>
          <w:rFonts w:hint="eastAsia" w:ascii="宋体" w:hAnsi="宋体" w:cs="宋体"/>
          <w:b/>
          <w:bCs/>
          <w:color w:val="auto"/>
          <w:highlight w:val="none"/>
          <w:lang w:eastAsia="zh-CN"/>
        </w:rPr>
        <w:t>投标人</w:t>
      </w:r>
      <w:r>
        <w:rPr>
          <w:rFonts w:hint="eastAsia" w:ascii="宋体" w:hAnsi="宋体" w:cs="宋体"/>
          <w:b/>
          <w:bCs/>
          <w:color w:val="auto"/>
          <w:highlight w:val="none"/>
        </w:rPr>
        <w:t>技术证明文件</w:t>
      </w:r>
      <w:bookmarkEnd w:id="164"/>
      <w:bookmarkEnd w:id="165"/>
      <w:bookmarkEnd w:id="166"/>
      <w:bookmarkEnd w:id="167"/>
    </w:p>
    <w:p>
      <w:pPr>
        <w:numPr>
          <w:ilvl w:val="2"/>
          <w:numId w:val="6"/>
        </w:numPr>
        <w:adjustRightInd w:val="0"/>
        <w:snapToGrid w:val="0"/>
        <w:spacing w:line="400" w:lineRule="exact"/>
        <w:ind w:firstLine="420" w:firstLineChars="200"/>
        <w:rPr>
          <w:rFonts w:ascii="宋体" w:cs="宋体"/>
          <w:color w:val="auto"/>
          <w:szCs w:val="21"/>
          <w:highlight w:val="none"/>
        </w:rPr>
      </w:pPr>
      <w:bookmarkStart w:id="168" w:name="_Toc26009"/>
      <w:bookmarkStart w:id="169" w:name="_Toc26473"/>
      <w:bookmarkStart w:id="170" w:name="_Toc14418"/>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应提交证明其拟供货物及伴随服务符合招标文件规定的技术响应文件，作为投标文件的一部分。</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在投标文件中应说明各项货物名称、数量、单价、规格型号等。</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证明文件可以是文字资料、图纸和数据。</w:t>
      </w:r>
    </w:p>
    <w:p>
      <w:pPr>
        <w:numPr>
          <w:ilvl w:val="1"/>
          <w:numId w:val="6"/>
        </w:numPr>
        <w:spacing w:line="400" w:lineRule="exact"/>
        <w:ind w:firstLine="422" w:firstLineChars="200"/>
        <w:rPr>
          <w:rFonts w:ascii="宋体" w:cs="宋体"/>
          <w:b/>
          <w:bCs/>
          <w:color w:val="auto"/>
          <w:highlight w:val="none"/>
        </w:rPr>
      </w:pPr>
      <w:bookmarkStart w:id="171" w:name="_Toc20716"/>
      <w:r>
        <w:rPr>
          <w:rFonts w:hint="eastAsia" w:ascii="宋体" w:hAnsi="宋体" w:cs="宋体"/>
          <w:b/>
          <w:bCs/>
          <w:color w:val="auto"/>
          <w:highlight w:val="none"/>
        </w:rPr>
        <w:t>投标保证金</w:t>
      </w:r>
      <w:bookmarkEnd w:id="168"/>
      <w:bookmarkEnd w:id="169"/>
      <w:bookmarkEnd w:id="170"/>
      <w:bookmarkEnd w:id="171"/>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根据豫财购【</w:t>
      </w:r>
      <w:r>
        <w:rPr>
          <w:rFonts w:ascii="宋体" w:hAnsi="宋体" w:cs="宋体"/>
          <w:color w:val="auto"/>
          <w:szCs w:val="21"/>
          <w:highlight w:val="none"/>
        </w:rPr>
        <w:t>2019</w:t>
      </w: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号文要求，不再收取投标保证金。</w:t>
      </w:r>
    </w:p>
    <w:p>
      <w:pPr>
        <w:numPr>
          <w:ilvl w:val="1"/>
          <w:numId w:val="6"/>
        </w:numPr>
        <w:spacing w:line="400" w:lineRule="exact"/>
        <w:ind w:firstLine="422" w:firstLineChars="200"/>
        <w:rPr>
          <w:rFonts w:ascii="宋体" w:cs="宋体"/>
          <w:b/>
          <w:bCs/>
          <w:color w:val="auto"/>
          <w:highlight w:val="none"/>
        </w:rPr>
      </w:pPr>
      <w:bookmarkStart w:id="172" w:name="_Toc11525"/>
      <w:bookmarkStart w:id="173" w:name="_Toc11749"/>
      <w:bookmarkStart w:id="174" w:name="_Toc29010"/>
      <w:bookmarkStart w:id="175" w:name="_Toc878"/>
      <w:r>
        <w:rPr>
          <w:rFonts w:hint="eastAsia" w:ascii="宋体" w:hAnsi="宋体" w:cs="宋体"/>
          <w:b/>
          <w:bCs/>
          <w:color w:val="auto"/>
          <w:highlight w:val="none"/>
        </w:rPr>
        <w:t>投标有效期</w:t>
      </w:r>
      <w:bookmarkEnd w:id="172"/>
      <w:bookmarkEnd w:id="173"/>
      <w:bookmarkEnd w:id="174"/>
      <w:bookmarkEnd w:id="175"/>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投标有效期见</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前附表，从递交投标文件的截止之日起算。投标有效期内</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不得要求撤销投标文件。</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投标文件应自递交投标文件的截止之日起，在</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前附表规定的时间内保持有效。投标有效期不足的将被视为非响应投标而予以拒绝。</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在特殊情况下，在原投标有效期截止之前，采购人和采购代理机构可征求</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同意延长投标有效期。这种要求与答复均应以书面形式提交。</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可以拒绝这种要求。同意延期的</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将不会被要求也不允许修改其投标。</w:t>
      </w:r>
    </w:p>
    <w:p>
      <w:pPr>
        <w:numPr>
          <w:ilvl w:val="1"/>
          <w:numId w:val="6"/>
        </w:numPr>
        <w:spacing w:line="400" w:lineRule="exact"/>
        <w:ind w:firstLine="422" w:firstLineChars="200"/>
        <w:rPr>
          <w:rFonts w:ascii="宋体" w:cs="宋体"/>
          <w:b/>
          <w:bCs/>
          <w:color w:val="auto"/>
          <w:highlight w:val="none"/>
        </w:rPr>
      </w:pPr>
      <w:bookmarkStart w:id="176" w:name="_Toc10777"/>
      <w:bookmarkStart w:id="177" w:name="_Toc25251"/>
      <w:bookmarkStart w:id="178" w:name="_Toc9753"/>
      <w:bookmarkStart w:id="179" w:name="_Toc5773"/>
      <w:r>
        <w:rPr>
          <w:rFonts w:hint="eastAsia" w:ascii="宋体" w:hAnsi="宋体" w:cs="宋体"/>
          <w:b/>
          <w:bCs/>
          <w:color w:val="auto"/>
          <w:highlight w:val="none"/>
        </w:rPr>
        <w:t>投标文件编制</w:t>
      </w:r>
      <w:bookmarkEnd w:id="176"/>
      <w:bookmarkEnd w:id="177"/>
      <w:bookmarkEnd w:id="178"/>
      <w:bookmarkEnd w:id="179"/>
    </w:p>
    <w:p>
      <w:pPr>
        <w:numPr>
          <w:ilvl w:val="2"/>
          <w:numId w:val="6"/>
        </w:numPr>
        <w:adjustRightInd w:val="0"/>
        <w:snapToGrid w:val="0"/>
        <w:spacing w:line="400" w:lineRule="exact"/>
        <w:ind w:firstLine="420" w:firstLineChars="200"/>
        <w:rPr>
          <w:rFonts w:ascii="宋体" w:cs="宋体"/>
          <w:color w:val="auto"/>
          <w:szCs w:val="21"/>
          <w:highlight w:val="none"/>
        </w:rPr>
      </w:pPr>
      <w:bookmarkStart w:id="180" w:name="_Toc312133546"/>
      <w:r>
        <w:rPr>
          <w:rFonts w:hint="eastAsia" w:ascii="宋体" w:hAnsi="宋体" w:cs="宋体"/>
          <w:color w:val="auto"/>
          <w:szCs w:val="21"/>
          <w:highlight w:val="none"/>
        </w:rPr>
        <w:t>投标文件应按第七章“投标文件格式”进行编写，如有必要，可以增加附页，作为投标文件的组成部分。其中，投标函附录在满足招标文件实质性要求的基础上，可以提出比招标文件要求更有利于采购人的承诺。</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投标文件应当对招标文件有关投标有效期、招标范围等实质性内容作出响应。</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投标文件须是已上传加密的的电子投标文件，并按招标文件中要求签字盖章，如授权代表签字或盖章，授权代表必须将书面形式出具的法定代表人授权委托书附在投标文件中。</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任何行间插字、涂改和增删，必须由</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法定代表人或其委托代理人在旁边签字或加盖公章后有效。</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电报、电传和传真投标文件一律不接受。</w:t>
      </w:r>
    </w:p>
    <w:p>
      <w:pPr>
        <w:numPr>
          <w:ilvl w:val="0"/>
          <w:numId w:val="6"/>
        </w:numPr>
        <w:spacing w:line="400" w:lineRule="exact"/>
        <w:ind w:firstLine="422" w:firstLineChars="200"/>
        <w:outlineLvl w:val="1"/>
        <w:rPr>
          <w:rStyle w:val="28"/>
          <w:color w:val="auto"/>
          <w:sz w:val="21"/>
          <w:szCs w:val="21"/>
          <w:highlight w:val="none"/>
        </w:rPr>
      </w:pPr>
      <w:bookmarkStart w:id="181" w:name="_Toc25147"/>
      <w:bookmarkStart w:id="182" w:name="_Toc5919"/>
      <w:bookmarkStart w:id="183" w:name="_Toc40112133"/>
      <w:bookmarkStart w:id="184" w:name="_Toc18954"/>
      <w:bookmarkStart w:id="185" w:name="_Toc26693"/>
      <w:r>
        <w:rPr>
          <w:rStyle w:val="28"/>
          <w:rFonts w:hint="eastAsia"/>
          <w:color w:val="auto"/>
          <w:sz w:val="21"/>
          <w:szCs w:val="21"/>
          <w:highlight w:val="none"/>
        </w:rPr>
        <w:t>投标</w:t>
      </w:r>
      <w:bookmarkEnd w:id="180"/>
      <w:bookmarkEnd w:id="181"/>
      <w:bookmarkEnd w:id="182"/>
      <w:bookmarkEnd w:id="183"/>
      <w:bookmarkEnd w:id="184"/>
      <w:bookmarkEnd w:id="185"/>
    </w:p>
    <w:p>
      <w:pPr>
        <w:numPr>
          <w:ilvl w:val="1"/>
          <w:numId w:val="6"/>
        </w:numPr>
        <w:spacing w:line="400" w:lineRule="exact"/>
        <w:ind w:firstLine="422" w:firstLineChars="200"/>
        <w:rPr>
          <w:rFonts w:ascii="宋体" w:cs="宋体"/>
          <w:b/>
          <w:bCs/>
          <w:color w:val="auto"/>
          <w:highlight w:val="none"/>
        </w:rPr>
      </w:pPr>
      <w:bookmarkStart w:id="186" w:name="_Toc22690"/>
      <w:bookmarkStart w:id="187" w:name="_Toc7004"/>
      <w:bookmarkStart w:id="188" w:name="_Toc17190"/>
      <w:bookmarkStart w:id="189" w:name="_Toc25740"/>
      <w:bookmarkStart w:id="190" w:name="_Toc24770"/>
      <w:bookmarkStart w:id="191" w:name="_Toc9486"/>
      <w:bookmarkStart w:id="192" w:name="_Toc15515"/>
      <w:bookmarkStart w:id="193" w:name="_Toc2541"/>
      <w:bookmarkStart w:id="194" w:name="_Toc7201"/>
      <w:bookmarkStart w:id="195" w:name="_Toc23777"/>
      <w:bookmarkStart w:id="196" w:name="_Toc24089"/>
      <w:bookmarkStart w:id="197" w:name="_Toc312133547"/>
      <w:r>
        <w:rPr>
          <w:rFonts w:hint="eastAsia" w:ascii="宋体" w:hAnsi="宋体" w:cs="宋体"/>
          <w:b/>
          <w:bCs/>
          <w:color w:val="auto"/>
          <w:highlight w:val="none"/>
        </w:rPr>
        <w:t>投标文件签署和盖章</w:t>
      </w:r>
      <w:bookmarkEnd w:id="186"/>
      <w:bookmarkEnd w:id="187"/>
      <w:bookmarkEnd w:id="188"/>
      <w:bookmarkEnd w:id="189"/>
      <w:bookmarkEnd w:id="190"/>
      <w:bookmarkEnd w:id="191"/>
      <w:bookmarkEnd w:id="192"/>
      <w:bookmarkEnd w:id="193"/>
      <w:bookmarkEnd w:id="194"/>
      <w:bookmarkEnd w:id="195"/>
      <w:bookmarkEnd w:id="196"/>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按照招标文件中格式的要求签字或盖章。</w:t>
      </w:r>
    </w:p>
    <w:p>
      <w:pPr>
        <w:numPr>
          <w:ilvl w:val="1"/>
          <w:numId w:val="6"/>
        </w:numPr>
        <w:spacing w:line="400" w:lineRule="exact"/>
        <w:ind w:firstLine="422" w:firstLineChars="200"/>
        <w:rPr>
          <w:rFonts w:ascii="宋体" w:cs="宋体"/>
          <w:b/>
          <w:bCs/>
          <w:color w:val="auto"/>
          <w:highlight w:val="none"/>
        </w:rPr>
      </w:pPr>
      <w:bookmarkStart w:id="198" w:name="_Toc8642"/>
      <w:bookmarkStart w:id="199" w:name="_Toc17164"/>
      <w:bookmarkStart w:id="200" w:name="_Toc20161"/>
      <w:bookmarkStart w:id="201" w:name="_Toc27621"/>
      <w:bookmarkStart w:id="202" w:name="_Toc2882"/>
      <w:bookmarkStart w:id="203" w:name="_Toc27859"/>
      <w:bookmarkStart w:id="204" w:name="_Toc17234"/>
      <w:bookmarkStart w:id="205" w:name="_Toc25206"/>
      <w:bookmarkStart w:id="206" w:name="_Toc14647"/>
      <w:bookmarkStart w:id="207" w:name="_Toc28937"/>
      <w:bookmarkStart w:id="208" w:name="_Toc10849"/>
      <w:r>
        <w:rPr>
          <w:rFonts w:hint="eastAsia" w:ascii="宋体" w:hAnsi="宋体" w:cs="宋体"/>
          <w:b/>
          <w:bCs/>
          <w:color w:val="auto"/>
          <w:highlight w:val="none"/>
        </w:rPr>
        <w:t>投标文件的递交</w:t>
      </w:r>
      <w:bookmarkEnd w:id="198"/>
      <w:bookmarkEnd w:id="199"/>
      <w:bookmarkEnd w:id="200"/>
      <w:bookmarkEnd w:id="201"/>
      <w:bookmarkEnd w:id="202"/>
      <w:bookmarkEnd w:id="203"/>
      <w:bookmarkEnd w:id="204"/>
      <w:bookmarkEnd w:id="205"/>
      <w:bookmarkEnd w:id="206"/>
      <w:bookmarkEnd w:id="207"/>
      <w:bookmarkEnd w:id="208"/>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kern w:val="0"/>
          <w:szCs w:val="21"/>
          <w:highlight w:val="none"/>
          <w:lang w:eastAsia="zh-CN"/>
        </w:rPr>
        <w:t>投标人</w:t>
      </w:r>
      <w:r>
        <w:rPr>
          <w:rFonts w:hint="eastAsia" w:ascii="宋体" w:hAnsi="宋体" w:cs="宋体"/>
          <w:color w:val="auto"/>
          <w:spacing w:val="-2"/>
          <w:kern w:val="0"/>
          <w:szCs w:val="21"/>
          <w:highlight w:val="none"/>
        </w:rPr>
        <w:t>应</w:t>
      </w:r>
      <w:r>
        <w:rPr>
          <w:rFonts w:hint="eastAsia" w:ascii="宋体" w:hAnsi="宋体" w:cs="宋体"/>
          <w:color w:val="auto"/>
          <w:kern w:val="0"/>
          <w:szCs w:val="21"/>
          <w:highlight w:val="none"/>
        </w:rPr>
        <w:t>在</w:t>
      </w:r>
      <w:r>
        <w:rPr>
          <w:rFonts w:hint="eastAsia" w:ascii="宋体" w:hAnsi="宋体" w:cs="宋体"/>
          <w:color w:val="auto"/>
          <w:spacing w:val="-2"/>
          <w:kern w:val="0"/>
          <w:szCs w:val="21"/>
          <w:highlight w:val="none"/>
          <w:lang w:eastAsia="zh-CN"/>
        </w:rPr>
        <w:t>投标人须知</w:t>
      </w:r>
      <w:r>
        <w:rPr>
          <w:rFonts w:hint="eastAsia" w:ascii="宋体" w:hAnsi="宋体" w:cs="宋体"/>
          <w:color w:val="auto"/>
          <w:kern w:val="0"/>
          <w:szCs w:val="21"/>
          <w:highlight w:val="none"/>
        </w:rPr>
        <w:t>前</w:t>
      </w:r>
      <w:r>
        <w:rPr>
          <w:rFonts w:hint="eastAsia" w:ascii="宋体" w:hAnsi="宋体" w:cs="宋体"/>
          <w:color w:val="auto"/>
          <w:spacing w:val="-2"/>
          <w:kern w:val="0"/>
          <w:szCs w:val="21"/>
          <w:highlight w:val="none"/>
        </w:rPr>
        <w:t>附</w:t>
      </w:r>
      <w:r>
        <w:rPr>
          <w:rFonts w:hint="eastAsia" w:ascii="宋体" w:hAnsi="宋体" w:cs="宋体"/>
          <w:color w:val="auto"/>
          <w:kern w:val="0"/>
          <w:szCs w:val="21"/>
          <w:highlight w:val="none"/>
        </w:rPr>
        <w:t>表</w:t>
      </w:r>
      <w:r>
        <w:rPr>
          <w:rFonts w:hint="eastAsia" w:ascii="宋体" w:hAnsi="宋体" w:cs="宋体"/>
          <w:color w:val="auto"/>
          <w:spacing w:val="-2"/>
          <w:kern w:val="0"/>
          <w:szCs w:val="21"/>
          <w:highlight w:val="none"/>
        </w:rPr>
        <w:t>规</w:t>
      </w:r>
      <w:r>
        <w:rPr>
          <w:rFonts w:hint="eastAsia" w:ascii="宋体" w:hAnsi="宋体" w:cs="宋体"/>
          <w:color w:val="auto"/>
          <w:kern w:val="0"/>
          <w:szCs w:val="21"/>
          <w:highlight w:val="none"/>
        </w:rPr>
        <w:t>定</w:t>
      </w:r>
      <w:r>
        <w:rPr>
          <w:rFonts w:hint="eastAsia" w:ascii="宋体" w:hAnsi="宋体" w:cs="宋体"/>
          <w:color w:val="auto"/>
          <w:spacing w:val="-2"/>
          <w:kern w:val="0"/>
          <w:szCs w:val="21"/>
          <w:highlight w:val="none"/>
        </w:rPr>
        <w:t>的</w:t>
      </w:r>
      <w:r>
        <w:rPr>
          <w:rFonts w:hint="eastAsia" w:ascii="宋体" w:hAnsi="宋体" w:cs="宋体"/>
          <w:color w:val="auto"/>
          <w:kern w:val="0"/>
          <w:szCs w:val="21"/>
          <w:highlight w:val="none"/>
        </w:rPr>
        <w:t>投</w:t>
      </w:r>
      <w:r>
        <w:rPr>
          <w:rFonts w:hint="eastAsia" w:ascii="宋体" w:hAnsi="宋体" w:cs="宋体"/>
          <w:color w:val="auto"/>
          <w:spacing w:val="-2"/>
          <w:kern w:val="0"/>
          <w:szCs w:val="21"/>
          <w:highlight w:val="none"/>
        </w:rPr>
        <w:t>标</w:t>
      </w:r>
      <w:r>
        <w:rPr>
          <w:rFonts w:hint="eastAsia" w:ascii="宋体" w:hAnsi="宋体" w:cs="宋体"/>
          <w:color w:val="auto"/>
          <w:kern w:val="0"/>
          <w:szCs w:val="21"/>
          <w:highlight w:val="none"/>
        </w:rPr>
        <w:t>截</w:t>
      </w:r>
      <w:r>
        <w:rPr>
          <w:rFonts w:hint="eastAsia" w:ascii="宋体" w:hAnsi="宋体" w:cs="宋体"/>
          <w:color w:val="auto"/>
          <w:spacing w:val="-2"/>
          <w:kern w:val="0"/>
          <w:szCs w:val="21"/>
          <w:highlight w:val="none"/>
        </w:rPr>
        <w:t>止</w:t>
      </w:r>
      <w:r>
        <w:rPr>
          <w:rFonts w:hint="eastAsia" w:ascii="宋体" w:hAnsi="宋体" w:cs="宋体"/>
          <w:color w:val="auto"/>
          <w:kern w:val="0"/>
          <w:szCs w:val="21"/>
          <w:highlight w:val="none"/>
        </w:rPr>
        <w:t>时间</w:t>
      </w:r>
      <w:r>
        <w:rPr>
          <w:rFonts w:hint="eastAsia" w:ascii="宋体" w:hAnsi="宋体" w:cs="宋体"/>
          <w:color w:val="auto"/>
          <w:spacing w:val="-2"/>
          <w:kern w:val="0"/>
          <w:szCs w:val="21"/>
          <w:highlight w:val="none"/>
        </w:rPr>
        <w:t>前</w:t>
      </w:r>
      <w:r>
        <w:rPr>
          <w:rFonts w:hint="eastAsia" w:ascii="宋体" w:hAnsi="宋体" w:cs="宋体"/>
          <w:color w:val="auto"/>
          <w:kern w:val="0"/>
          <w:szCs w:val="21"/>
          <w:highlight w:val="none"/>
        </w:rPr>
        <w:t>递</w:t>
      </w:r>
      <w:r>
        <w:rPr>
          <w:rFonts w:hint="eastAsia" w:ascii="宋体" w:hAnsi="宋体" w:cs="宋体"/>
          <w:color w:val="auto"/>
          <w:spacing w:val="-2"/>
          <w:kern w:val="0"/>
          <w:szCs w:val="21"/>
          <w:highlight w:val="none"/>
        </w:rPr>
        <w:t>交</w:t>
      </w:r>
      <w:r>
        <w:rPr>
          <w:rFonts w:hint="eastAsia" w:ascii="宋体" w:hAnsi="宋体" w:cs="宋体"/>
          <w:color w:val="auto"/>
          <w:kern w:val="0"/>
          <w:szCs w:val="21"/>
          <w:highlight w:val="none"/>
        </w:rPr>
        <w:t>投</w:t>
      </w:r>
      <w:r>
        <w:rPr>
          <w:rFonts w:hint="eastAsia" w:ascii="宋体" w:hAnsi="宋体" w:cs="宋体"/>
          <w:color w:val="auto"/>
          <w:spacing w:val="-2"/>
          <w:kern w:val="0"/>
          <w:szCs w:val="21"/>
          <w:highlight w:val="none"/>
        </w:rPr>
        <w:t>标</w:t>
      </w:r>
      <w:r>
        <w:rPr>
          <w:rFonts w:hint="eastAsia" w:ascii="宋体" w:hAnsi="宋体" w:cs="宋体"/>
          <w:color w:val="auto"/>
          <w:kern w:val="0"/>
          <w:szCs w:val="21"/>
          <w:highlight w:val="none"/>
        </w:rPr>
        <w:t>文</w:t>
      </w:r>
      <w:r>
        <w:rPr>
          <w:rFonts w:hint="eastAsia" w:ascii="宋体" w:hAnsi="宋体" w:cs="宋体"/>
          <w:color w:val="auto"/>
          <w:spacing w:val="-2"/>
          <w:kern w:val="0"/>
          <w:szCs w:val="21"/>
          <w:highlight w:val="none"/>
        </w:rPr>
        <w:t>件</w:t>
      </w:r>
      <w:r>
        <w:rPr>
          <w:rFonts w:hint="eastAsia" w:ascii="宋体" w:hAnsi="宋体" w:cs="宋体"/>
          <w:color w:val="auto"/>
          <w:kern w:val="0"/>
          <w:szCs w:val="21"/>
          <w:highlight w:val="none"/>
        </w:rPr>
        <w:t>。</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电子投标文件的递交：</w:t>
      </w:r>
      <w:r>
        <w:rPr>
          <w:rFonts w:ascii="宋体" w:hAnsi="宋体" w:cs="宋体"/>
          <w:color w:val="auto"/>
          <w:szCs w:val="21"/>
          <w:highlight w:val="none"/>
        </w:rPr>
        <w:t xml:space="preserve"> </w:t>
      </w:r>
    </w:p>
    <w:p>
      <w:p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应在投标截止时间前上传加密的电子投标文件到电子交易平台系统的指定位置。上传时必须得到电脑“上传成功”的确认。请</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在上传时认真检查上传投标文件是否完整、正确。</w:t>
      </w:r>
      <w:r>
        <w:rPr>
          <w:rFonts w:ascii="宋体" w:hAnsi="宋体" w:cs="宋体"/>
          <w:color w:val="auto"/>
          <w:szCs w:val="21"/>
          <w:highlight w:val="none"/>
        </w:rPr>
        <w:t xml:space="preserve"> </w:t>
      </w:r>
    </w:p>
    <w:p>
      <w:p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因交易中心投标系统问题无法上传电子投标文件时，请在工作时间与</w:t>
      </w:r>
      <w:r>
        <w:rPr>
          <w:rFonts w:hint="eastAsia" w:ascii="宋体" w:hAnsi="宋体" w:cs="宋体"/>
          <w:color w:val="auto"/>
          <w:szCs w:val="21"/>
          <w:highlight w:val="none"/>
          <w:lang w:eastAsia="zh-CN"/>
        </w:rPr>
        <w:t>《全国公共资源交易平台（河南省·平顶山市）》</w:t>
      </w:r>
      <w:r>
        <w:rPr>
          <w:rFonts w:hint="eastAsia" w:ascii="宋体" w:hAnsi="宋体" w:cs="宋体"/>
          <w:color w:val="auto"/>
          <w:szCs w:val="21"/>
          <w:highlight w:val="none"/>
        </w:rPr>
        <w:t>联系。</w:t>
      </w:r>
      <w:r>
        <w:rPr>
          <w:rFonts w:ascii="宋体" w:hAnsi="宋体" w:cs="宋体"/>
          <w:color w:val="auto"/>
          <w:szCs w:val="21"/>
          <w:highlight w:val="none"/>
        </w:rPr>
        <w:t xml:space="preserve"> </w:t>
      </w:r>
    </w:p>
    <w:p>
      <w:pPr>
        <w:numPr>
          <w:ilvl w:val="1"/>
          <w:numId w:val="6"/>
        </w:numPr>
        <w:spacing w:line="400" w:lineRule="exact"/>
        <w:ind w:firstLine="422" w:firstLineChars="200"/>
        <w:rPr>
          <w:rFonts w:ascii="宋体" w:cs="宋体"/>
          <w:b/>
          <w:bCs/>
          <w:color w:val="auto"/>
          <w:highlight w:val="none"/>
        </w:rPr>
      </w:pPr>
      <w:bookmarkStart w:id="209" w:name="_Toc7423"/>
      <w:bookmarkStart w:id="210" w:name="_Toc22212"/>
      <w:bookmarkStart w:id="211" w:name="_Toc23125"/>
      <w:bookmarkStart w:id="212" w:name="_Toc13886"/>
      <w:bookmarkStart w:id="213" w:name="_Toc3471"/>
      <w:bookmarkStart w:id="214" w:name="_Toc31018"/>
      <w:bookmarkStart w:id="215" w:name="_Toc8025"/>
      <w:bookmarkStart w:id="216" w:name="_Toc27084"/>
      <w:bookmarkStart w:id="217" w:name="_Toc27900"/>
      <w:bookmarkStart w:id="218" w:name="_Toc19554"/>
      <w:bookmarkStart w:id="219" w:name="_Toc32365"/>
      <w:r>
        <w:rPr>
          <w:rFonts w:hint="eastAsia" w:ascii="宋体" w:hAnsi="宋体" w:cs="宋体"/>
          <w:b/>
          <w:bCs/>
          <w:color w:val="auto"/>
          <w:highlight w:val="none"/>
        </w:rPr>
        <w:t>投标文件的修改和撤回</w:t>
      </w:r>
      <w:bookmarkEnd w:id="209"/>
      <w:bookmarkEnd w:id="210"/>
      <w:bookmarkEnd w:id="211"/>
      <w:bookmarkEnd w:id="212"/>
      <w:bookmarkEnd w:id="213"/>
      <w:bookmarkEnd w:id="214"/>
      <w:bookmarkEnd w:id="215"/>
      <w:bookmarkEnd w:id="216"/>
      <w:bookmarkEnd w:id="217"/>
      <w:bookmarkEnd w:id="218"/>
      <w:bookmarkEnd w:id="219"/>
    </w:p>
    <w:p>
      <w:pPr>
        <w:numPr>
          <w:ilvl w:val="2"/>
          <w:numId w:val="6"/>
        </w:numPr>
        <w:adjustRightInd w:val="0"/>
        <w:snapToGrid w:val="0"/>
        <w:spacing w:line="400" w:lineRule="exact"/>
        <w:ind w:firstLine="420" w:firstLineChars="200"/>
        <w:rPr>
          <w:rFonts w:ascii="宋体" w:cs="宋体"/>
          <w:color w:val="auto"/>
          <w:kern w:val="0"/>
          <w:szCs w:val="21"/>
          <w:highlight w:val="none"/>
        </w:rPr>
      </w:pPr>
      <w:r>
        <w:rPr>
          <w:rFonts w:hint="eastAsia" w:ascii="宋体" w:hAnsi="宋体" w:cs="宋体"/>
          <w:color w:val="auto"/>
          <w:kern w:val="0"/>
          <w:szCs w:val="21"/>
          <w:highlight w:val="none"/>
        </w:rPr>
        <w:t>在本章第</w:t>
      </w:r>
      <w:r>
        <w:rPr>
          <w:rFonts w:ascii="宋体" w:hAnsi="宋体" w:cs="宋体"/>
          <w:color w:val="auto"/>
          <w:kern w:val="0"/>
          <w:szCs w:val="21"/>
          <w:highlight w:val="none"/>
        </w:rPr>
        <w:t>4.2.1</w:t>
      </w:r>
      <w:r>
        <w:rPr>
          <w:rFonts w:hint="eastAsia" w:ascii="宋体" w:hAnsi="宋体" w:cs="宋体"/>
          <w:color w:val="auto"/>
          <w:kern w:val="0"/>
          <w:szCs w:val="21"/>
          <w:highlight w:val="none"/>
        </w:rPr>
        <w:t>项规定的投标截止时间前，</w:t>
      </w: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可以修改或撤回已上传的投标文件。</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在投标截止时间之后，</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不得对其投标文件做任何修改。</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从投标截止时间至</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在投标文件中载明的投标有效期满期间，</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不得撤回其投标文件。</w:t>
      </w:r>
    </w:p>
    <w:p>
      <w:pPr>
        <w:numPr>
          <w:ilvl w:val="0"/>
          <w:numId w:val="6"/>
        </w:numPr>
        <w:spacing w:line="400" w:lineRule="exact"/>
        <w:ind w:firstLine="422" w:firstLineChars="200"/>
        <w:outlineLvl w:val="1"/>
        <w:rPr>
          <w:rStyle w:val="28"/>
          <w:color w:val="auto"/>
          <w:sz w:val="21"/>
          <w:szCs w:val="21"/>
          <w:highlight w:val="none"/>
        </w:rPr>
      </w:pPr>
      <w:bookmarkStart w:id="220" w:name="_Toc20910"/>
      <w:bookmarkStart w:id="221" w:name="_Toc17439"/>
      <w:bookmarkStart w:id="222" w:name="_Toc40112134"/>
      <w:bookmarkStart w:id="223" w:name="_Toc27025"/>
      <w:bookmarkStart w:id="224" w:name="_Toc29190"/>
      <w:r>
        <w:rPr>
          <w:rStyle w:val="28"/>
          <w:rFonts w:hint="eastAsia"/>
          <w:color w:val="auto"/>
          <w:sz w:val="21"/>
          <w:szCs w:val="21"/>
          <w:highlight w:val="none"/>
        </w:rPr>
        <w:t>开标、资格审查与评标</w:t>
      </w:r>
      <w:bookmarkEnd w:id="197"/>
      <w:bookmarkEnd w:id="220"/>
      <w:bookmarkEnd w:id="221"/>
      <w:bookmarkEnd w:id="222"/>
      <w:bookmarkEnd w:id="223"/>
      <w:bookmarkEnd w:id="224"/>
    </w:p>
    <w:p>
      <w:pPr>
        <w:numPr>
          <w:ilvl w:val="1"/>
          <w:numId w:val="6"/>
        </w:numPr>
        <w:spacing w:line="400" w:lineRule="exact"/>
        <w:ind w:firstLine="422" w:firstLineChars="200"/>
        <w:rPr>
          <w:rFonts w:ascii="宋体" w:cs="宋体"/>
          <w:b/>
          <w:bCs/>
          <w:color w:val="auto"/>
          <w:highlight w:val="none"/>
        </w:rPr>
      </w:pPr>
      <w:bookmarkStart w:id="225" w:name="_Toc10066"/>
      <w:bookmarkStart w:id="226" w:name="_Toc18834"/>
      <w:bookmarkStart w:id="227" w:name="_Toc30917"/>
      <w:bookmarkStart w:id="228" w:name="_Toc28821"/>
      <w:bookmarkStart w:id="229" w:name="_Toc22058"/>
      <w:bookmarkStart w:id="230" w:name="_Toc10372"/>
      <w:bookmarkStart w:id="231" w:name="_Toc1051"/>
      <w:bookmarkStart w:id="232" w:name="_Toc24837"/>
      <w:bookmarkStart w:id="233" w:name="_Toc3484"/>
      <w:bookmarkStart w:id="234" w:name="_Toc3802"/>
      <w:bookmarkStart w:id="235" w:name="_Toc21689"/>
      <w:bookmarkStart w:id="236" w:name="_Toc312133548"/>
      <w:r>
        <w:rPr>
          <w:rFonts w:hint="eastAsia" w:ascii="宋体" w:hAnsi="宋体" w:cs="宋体"/>
          <w:b/>
          <w:bCs/>
          <w:color w:val="auto"/>
          <w:highlight w:val="none"/>
        </w:rPr>
        <w:t>开标</w:t>
      </w:r>
      <w:bookmarkEnd w:id="225"/>
      <w:bookmarkEnd w:id="226"/>
      <w:bookmarkEnd w:id="227"/>
      <w:bookmarkEnd w:id="228"/>
      <w:bookmarkEnd w:id="229"/>
      <w:bookmarkEnd w:id="230"/>
      <w:bookmarkEnd w:id="231"/>
      <w:bookmarkEnd w:id="232"/>
      <w:bookmarkEnd w:id="233"/>
      <w:bookmarkEnd w:id="234"/>
      <w:bookmarkEnd w:id="235"/>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采购代理机构在</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前附表中规定的时间和地点组织公开开标。</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不足</w:t>
      </w:r>
      <w:r>
        <w:rPr>
          <w:rFonts w:ascii="宋体" w:hAnsi="宋体" w:cs="宋体"/>
          <w:color w:val="auto"/>
          <w:szCs w:val="21"/>
          <w:highlight w:val="none"/>
        </w:rPr>
        <w:t>3</w:t>
      </w:r>
      <w:r>
        <w:rPr>
          <w:rFonts w:hint="eastAsia" w:ascii="宋体" w:hAnsi="宋体" w:cs="宋体"/>
          <w:color w:val="auto"/>
          <w:szCs w:val="21"/>
          <w:highlight w:val="none"/>
        </w:rPr>
        <w:t>家的，不得开标。开标由采购代理机构主持，邀请所有</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的法定代表人或委托代理人参加远程不见面开标会议。</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开标程序：</w:t>
      </w:r>
    </w:p>
    <w:p>
      <w:p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w:t>
      </w:r>
      <w:bookmarkStart w:id="237" w:name="_Toc14761"/>
      <w:r>
        <w:rPr>
          <w:rFonts w:hint="eastAsia" w:ascii="宋体" w:hAnsi="宋体" w:cs="宋体"/>
          <w:color w:val="auto"/>
          <w:szCs w:val="21"/>
          <w:highlight w:val="none"/>
        </w:rPr>
        <w:t>公布投标人</w:t>
      </w:r>
      <w:bookmarkEnd w:id="237"/>
      <w:r>
        <w:rPr>
          <w:rFonts w:hint="eastAsia" w:ascii="宋体" w:hAnsi="宋体" w:cs="宋体"/>
          <w:color w:val="auto"/>
          <w:szCs w:val="21"/>
          <w:highlight w:val="none"/>
        </w:rPr>
        <w:t>（供应商）；</w:t>
      </w:r>
    </w:p>
    <w:p>
      <w:p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bookmarkStart w:id="238" w:name="_Toc2651"/>
      <w:r>
        <w:rPr>
          <w:rFonts w:hint="eastAsia" w:ascii="宋体" w:hAnsi="宋体" w:cs="宋体"/>
          <w:color w:val="auto"/>
          <w:szCs w:val="21"/>
          <w:highlight w:val="none"/>
        </w:rPr>
        <w:t>投标人（供应商）解密</w:t>
      </w:r>
      <w:bookmarkEnd w:id="238"/>
      <w:r>
        <w:rPr>
          <w:rFonts w:hint="eastAsia" w:ascii="宋体" w:hAnsi="宋体" w:cs="宋体"/>
          <w:color w:val="auto"/>
          <w:szCs w:val="21"/>
          <w:highlight w:val="none"/>
        </w:rPr>
        <w:t>；</w:t>
      </w:r>
    </w:p>
    <w:p>
      <w:p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）批量导入完成后，公布开标结果；</w:t>
      </w:r>
    </w:p>
    <w:p>
      <w:p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w:t>
      </w:r>
      <w:bookmarkStart w:id="239" w:name="_Toc17366"/>
      <w:r>
        <w:rPr>
          <w:rFonts w:hint="eastAsia" w:ascii="宋体" w:hAnsi="宋体" w:cs="宋体"/>
          <w:color w:val="auto"/>
          <w:szCs w:val="21"/>
          <w:highlight w:val="none"/>
        </w:rPr>
        <w:t>异议答复</w:t>
      </w:r>
      <w:bookmarkEnd w:id="239"/>
      <w:r>
        <w:rPr>
          <w:rFonts w:hint="eastAsia" w:ascii="宋体" w:hAnsi="宋体" w:cs="宋体"/>
          <w:color w:val="auto"/>
          <w:szCs w:val="21"/>
          <w:highlight w:val="none"/>
        </w:rPr>
        <w:t>；</w:t>
      </w:r>
    </w:p>
    <w:p>
      <w:p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）开标结束；</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代表对开标过程和开标记录有异议，以及认为采购人、采购代理机构相关工作人员有需要回避的情形的，应当场提出询问或者回避申请。采购人、采购代理机构对</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代表提出的询问或者回避申请应当及时处理，并制作记录。</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未参加开标的，视同认可开标结果。</w:t>
      </w:r>
    </w:p>
    <w:p>
      <w:pPr>
        <w:numPr>
          <w:ilvl w:val="1"/>
          <w:numId w:val="6"/>
        </w:numPr>
        <w:spacing w:line="400" w:lineRule="exact"/>
        <w:ind w:firstLine="422" w:firstLineChars="200"/>
        <w:rPr>
          <w:rFonts w:ascii="宋体" w:cs="宋体"/>
          <w:b/>
          <w:bCs/>
          <w:color w:val="auto"/>
          <w:highlight w:val="none"/>
        </w:rPr>
      </w:pPr>
      <w:bookmarkStart w:id="240" w:name="_Toc22209"/>
      <w:bookmarkStart w:id="241" w:name="_Toc29955"/>
      <w:bookmarkStart w:id="242" w:name="_Toc29315"/>
      <w:bookmarkStart w:id="243" w:name="_Toc18862"/>
      <w:bookmarkStart w:id="244" w:name="_Toc29637"/>
      <w:bookmarkStart w:id="245" w:name="_Toc3031"/>
      <w:bookmarkStart w:id="246" w:name="_Toc24277"/>
      <w:bookmarkStart w:id="247" w:name="_Toc29588"/>
      <w:bookmarkStart w:id="248" w:name="_Toc22131"/>
      <w:bookmarkStart w:id="249" w:name="_Toc13168"/>
      <w:bookmarkStart w:id="250" w:name="_Toc11192"/>
      <w:r>
        <w:rPr>
          <w:rFonts w:hint="eastAsia" w:ascii="宋体" w:hAnsi="宋体" w:cs="宋体"/>
          <w:b/>
          <w:bCs/>
          <w:color w:val="auto"/>
          <w:highlight w:val="none"/>
        </w:rPr>
        <w:t>资格审查工作</w:t>
      </w:r>
      <w:bookmarkEnd w:id="240"/>
      <w:bookmarkEnd w:id="241"/>
      <w:bookmarkEnd w:id="242"/>
      <w:bookmarkEnd w:id="243"/>
      <w:bookmarkEnd w:id="244"/>
      <w:bookmarkEnd w:id="245"/>
      <w:bookmarkEnd w:id="246"/>
      <w:bookmarkEnd w:id="247"/>
      <w:bookmarkEnd w:id="248"/>
      <w:bookmarkEnd w:id="249"/>
      <w:bookmarkEnd w:id="250"/>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开标结束后，采购代理机构应当依法对</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的资格进行审查。合格</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不足</w:t>
      </w:r>
      <w:r>
        <w:rPr>
          <w:rFonts w:ascii="宋体" w:hAnsi="宋体" w:cs="宋体"/>
          <w:color w:val="auto"/>
          <w:szCs w:val="21"/>
          <w:highlight w:val="none"/>
        </w:rPr>
        <w:t>3</w:t>
      </w:r>
      <w:r>
        <w:rPr>
          <w:rFonts w:hint="eastAsia" w:ascii="宋体" w:hAnsi="宋体" w:cs="宋体"/>
          <w:color w:val="auto"/>
          <w:szCs w:val="21"/>
          <w:highlight w:val="none"/>
        </w:rPr>
        <w:t>家的，不得评标。</w:t>
      </w:r>
    </w:p>
    <w:p>
      <w:pPr>
        <w:numPr>
          <w:ilvl w:val="1"/>
          <w:numId w:val="6"/>
        </w:numPr>
        <w:spacing w:line="400" w:lineRule="exact"/>
        <w:ind w:firstLine="422" w:firstLineChars="200"/>
        <w:rPr>
          <w:rFonts w:ascii="宋体" w:cs="宋体"/>
          <w:b/>
          <w:bCs/>
          <w:color w:val="auto"/>
          <w:highlight w:val="none"/>
        </w:rPr>
      </w:pPr>
      <w:bookmarkStart w:id="251" w:name="_Toc31474"/>
      <w:bookmarkStart w:id="252" w:name="_Toc26746"/>
      <w:bookmarkStart w:id="253" w:name="_Toc12598"/>
      <w:bookmarkStart w:id="254" w:name="_Toc8092"/>
      <w:bookmarkStart w:id="255" w:name="_Toc16180"/>
      <w:bookmarkStart w:id="256" w:name="_Toc2042"/>
      <w:bookmarkStart w:id="257" w:name="_Toc31129"/>
      <w:bookmarkStart w:id="258" w:name="_Toc19513"/>
      <w:bookmarkStart w:id="259" w:name="_Toc32305"/>
      <w:bookmarkStart w:id="260" w:name="_Toc22105"/>
      <w:bookmarkStart w:id="261" w:name="_Toc24379"/>
      <w:r>
        <w:rPr>
          <w:rFonts w:hint="eastAsia" w:ascii="宋体" w:hAnsi="宋体" w:cs="宋体"/>
          <w:b/>
          <w:bCs/>
          <w:color w:val="auto"/>
          <w:highlight w:val="none"/>
        </w:rPr>
        <w:t>评标工作</w:t>
      </w:r>
      <w:bookmarkEnd w:id="251"/>
      <w:bookmarkEnd w:id="252"/>
      <w:bookmarkEnd w:id="253"/>
      <w:bookmarkEnd w:id="254"/>
      <w:bookmarkEnd w:id="255"/>
      <w:bookmarkEnd w:id="256"/>
      <w:bookmarkEnd w:id="257"/>
      <w:bookmarkEnd w:id="258"/>
      <w:bookmarkEnd w:id="259"/>
      <w:bookmarkEnd w:id="260"/>
      <w:bookmarkEnd w:id="261"/>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评标委员会</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）评标工作由采购人依法组建的评标委员会负责，对符合资格的投标人的投标文件进行</w:t>
      </w:r>
      <w:r>
        <w:rPr>
          <w:rFonts w:hint="eastAsia" w:ascii="宋体" w:hAnsi="宋体" w:cs="宋体"/>
          <w:color w:val="auto"/>
          <w:kern w:val="0"/>
          <w:szCs w:val="21"/>
          <w:highlight w:val="none"/>
          <w:lang w:val="en-US" w:eastAsia="zh-CN"/>
        </w:rPr>
        <w:t>评审</w:t>
      </w:r>
      <w:r>
        <w:rPr>
          <w:rFonts w:hint="eastAsia" w:ascii="宋体" w:hAnsi="宋体" w:cs="宋体"/>
          <w:color w:val="auto"/>
          <w:kern w:val="0"/>
          <w:szCs w:val="21"/>
          <w:highlight w:val="none"/>
        </w:rPr>
        <w:t>，并按评标办法规定的方式推荐出</w:t>
      </w:r>
      <w:r>
        <w:rPr>
          <w:rFonts w:hint="eastAsia" w:ascii="宋体" w:hAnsi="宋体" w:cs="宋体"/>
          <w:color w:val="auto"/>
          <w:kern w:val="0"/>
          <w:szCs w:val="21"/>
          <w:highlight w:val="none"/>
          <w:lang w:eastAsia="zh-CN"/>
        </w:rPr>
        <w:t>投标人须知</w:t>
      </w:r>
      <w:r>
        <w:rPr>
          <w:rFonts w:hint="eastAsia" w:ascii="宋体" w:hAnsi="宋体" w:cs="宋体"/>
          <w:color w:val="auto"/>
          <w:kern w:val="0"/>
          <w:szCs w:val="21"/>
          <w:highlight w:val="none"/>
        </w:rPr>
        <w:t>前附表中载明数量的中标候选人。</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）评标委员会由采购人代表和评标专家组成，见</w:t>
      </w:r>
      <w:r>
        <w:rPr>
          <w:rFonts w:hint="eastAsia" w:ascii="宋体" w:hAnsi="宋体" w:cs="宋体"/>
          <w:color w:val="auto"/>
          <w:kern w:val="0"/>
          <w:szCs w:val="21"/>
          <w:highlight w:val="none"/>
          <w:lang w:eastAsia="zh-CN"/>
        </w:rPr>
        <w:t>投标人须知</w:t>
      </w:r>
      <w:r>
        <w:rPr>
          <w:rFonts w:hint="eastAsia" w:ascii="宋体" w:hAnsi="宋体" w:cs="宋体"/>
          <w:color w:val="auto"/>
          <w:kern w:val="0"/>
          <w:szCs w:val="21"/>
          <w:highlight w:val="none"/>
        </w:rPr>
        <w:t>前附表。</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评标专家对本单位的采购项目只能作为采购人代表参与评标，</w:t>
      </w:r>
      <w:r>
        <w:rPr>
          <w:rFonts w:hint="eastAsia" w:ascii="宋体" w:hAnsi="宋体" w:cs="宋体"/>
          <w:color w:val="auto"/>
          <w:kern w:val="0"/>
          <w:szCs w:val="21"/>
          <w:highlight w:val="none"/>
          <w:lang w:eastAsia="zh-CN"/>
        </w:rPr>
        <w:t>对技术复杂、专业性强的采购项目，通过随机方式难以确定合适评审专家的，经主管预算单位同意，采购人可以自行选定相应专业领域的评审专家</w:t>
      </w:r>
      <w:r>
        <w:rPr>
          <w:rFonts w:hint="eastAsia" w:ascii="宋体" w:hAnsi="宋体" w:cs="宋体"/>
          <w:color w:val="auto"/>
          <w:kern w:val="0"/>
          <w:szCs w:val="21"/>
          <w:highlight w:val="none"/>
        </w:rPr>
        <w:t>。</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4</w:t>
      </w:r>
      <w:r>
        <w:rPr>
          <w:rFonts w:hint="eastAsia" w:ascii="宋体" w:hAnsi="宋体" w:cs="宋体"/>
          <w:color w:val="auto"/>
          <w:kern w:val="0"/>
          <w:szCs w:val="21"/>
          <w:highlight w:val="none"/>
        </w:rPr>
        <w:t>）采购代理机构工作人员不得参加由本机构代理的政府采购项目的评标。</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5</w:t>
      </w:r>
      <w:r>
        <w:rPr>
          <w:rFonts w:hint="eastAsia" w:ascii="宋体" w:hAnsi="宋体" w:cs="宋体"/>
          <w:color w:val="auto"/>
          <w:kern w:val="0"/>
          <w:szCs w:val="21"/>
          <w:highlight w:val="none"/>
        </w:rPr>
        <w:t>）评标委员会成员名单在评标结果公告前应当保密。</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评标委员会及其成员不得有下列行为：</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）确定参与评标至评标结束前私自接触</w:t>
      </w: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）接受</w:t>
      </w: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提出的与投标文件不一致的澄清或者说明（对于投标文件中含义不明确、同类问题表述不一致或者有明显文字和计算错误的内容，评标委员会以书面形式要求</w:t>
      </w: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作出必要的澄清、说明或者补正的除外）；</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）违反评标纪律发表倾向性意见或者征询采购人的倾向性意见；</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4</w:t>
      </w:r>
      <w:r>
        <w:rPr>
          <w:rFonts w:hint="eastAsia" w:ascii="宋体" w:hAnsi="宋体" w:cs="宋体"/>
          <w:color w:val="auto"/>
          <w:kern w:val="0"/>
          <w:szCs w:val="21"/>
          <w:highlight w:val="none"/>
        </w:rPr>
        <w:t>）在评标过程中擅离职守，影响评标程序正常进行的；</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5</w:t>
      </w:r>
      <w:r>
        <w:rPr>
          <w:rFonts w:hint="eastAsia" w:ascii="宋体" w:hAnsi="宋体" w:cs="宋体"/>
          <w:color w:val="auto"/>
          <w:kern w:val="0"/>
          <w:szCs w:val="21"/>
          <w:highlight w:val="none"/>
        </w:rPr>
        <w:t>）记录、复制或者带走任何评标资料；</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6</w:t>
      </w:r>
      <w:r>
        <w:rPr>
          <w:rFonts w:hint="eastAsia" w:ascii="宋体" w:hAnsi="宋体" w:cs="宋体"/>
          <w:color w:val="auto"/>
          <w:kern w:val="0"/>
          <w:szCs w:val="21"/>
          <w:highlight w:val="none"/>
        </w:rPr>
        <w:t>）其他不遵守评标纪律的行为。</w:t>
      </w:r>
    </w:p>
    <w:p>
      <w:pPr>
        <w:tabs>
          <w:tab w:val="left" w:pos="720"/>
        </w:tabs>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评标委员会成员有本章第</w:t>
      </w:r>
      <w:r>
        <w:rPr>
          <w:rFonts w:ascii="宋体" w:hAnsi="宋体" w:cs="宋体"/>
          <w:color w:val="auto"/>
          <w:szCs w:val="21"/>
          <w:highlight w:val="none"/>
        </w:rPr>
        <w:t>5.3.2</w:t>
      </w:r>
      <w:r>
        <w:rPr>
          <w:rFonts w:hint="eastAsia" w:ascii="宋体" w:hAnsi="宋体" w:cs="宋体"/>
          <w:color w:val="auto"/>
          <w:szCs w:val="21"/>
          <w:highlight w:val="none"/>
        </w:rPr>
        <w:t>项第（</w:t>
      </w:r>
      <w:r>
        <w:rPr>
          <w:rFonts w:ascii="宋体" w:hAnsi="宋体" w:cs="宋体"/>
          <w:color w:val="auto"/>
          <w:szCs w:val="21"/>
          <w:highlight w:val="none"/>
        </w:rPr>
        <w:t>1</w:t>
      </w:r>
      <w:r>
        <w:rPr>
          <w:rFonts w:hint="eastAsia" w:ascii="宋体" w:hAnsi="宋体" w:cs="宋体"/>
          <w:color w:val="auto"/>
          <w:szCs w:val="21"/>
          <w:highlight w:val="none"/>
        </w:rPr>
        <w:t>）至（</w:t>
      </w:r>
      <w:r>
        <w:rPr>
          <w:rFonts w:ascii="宋体" w:hAnsi="宋体" w:cs="宋体"/>
          <w:color w:val="auto"/>
          <w:szCs w:val="21"/>
          <w:highlight w:val="none"/>
        </w:rPr>
        <w:t>6</w:t>
      </w:r>
      <w:r>
        <w:rPr>
          <w:rFonts w:hint="eastAsia" w:ascii="宋体" w:hAnsi="宋体" w:cs="宋体"/>
          <w:color w:val="auto"/>
          <w:szCs w:val="21"/>
          <w:highlight w:val="none"/>
        </w:rPr>
        <w:t>）目行为之一的，其评标意见无效，并不得获取评标劳务报酬和报销异地评标差旅费。</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评标</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）评标委员会按照第四章评标办法规定的方法、评标因素、标准和程序对投标文件进行评标。第四章评标办法没有规定的方法、评标因素和标准，不作为评标依据。</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）评标委员会完成评标后，评标委员会应当向</w:t>
      </w:r>
      <w:r>
        <w:rPr>
          <w:rFonts w:hint="eastAsia" w:ascii="宋体" w:hAnsi="宋体" w:cs="宋体"/>
          <w:color w:val="auto"/>
          <w:kern w:val="0"/>
          <w:szCs w:val="21"/>
          <w:highlight w:val="none"/>
          <w:lang w:eastAsia="zh-CN"/>
        </w:rPr>
        <w:t>《全国公共资源交易平台（河南省·平顶山市）》</w:t>
      </w:r>
      <w:r>
        <w:rPr>
          <w:rFonts w:hint="eastAsia" w:ascii="宋体" w:hAnsi="宋体" w:cs="宋体"/>
          <w:color w:val="auto"/>
          <w:kern w:val="0"/>
          <w:szCs w:val="21"/>
          <w:highlight w:val="none"/>
        </w:rPr>
        <w:t>评标系统上提交书面评标报告和中标候选人名单。评标委员会推荐中标候选人的人数见</w:t>
      </w:r>
      <w:r>
        <w:rPr>
          <w:rFonts w:hint="eastAsia" w:ascii="宋体" w:hAnsi="宋体" w:cs="宋体"/>
          <w:color w:val="auto"/>
          <w:kern w:val="0"/>
          <w:szCs w:val="21"/>
          <w:highlight w:val="none"/>
          <w:lang w:eastAsia="zh-CN"/>
        </w:rPr>
        <w:t>投标人须知</w:t>
      </w:r>
      <w:r>
        <w:rPr>
          <w:rFonts w:hint="eastAsia" w:ascii="宋体" w:hAnsi="宋体" w:cs="宋体"/>
          <w:color w:val="auto"/>
          <w:kern w:val="0"/>
          <w:szCs w:val="21"/>
          <w:highlight w:val="none"/>
        </w:rPr>
        <w:t>前附表。</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评标委员会成员有下列情形之一的，应当回避：</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ascii="宋体" w:hAnsi="宋体" w:cs="宋体"/>
          <w:color w:val="auto"/>
          <w:kern w:val="0"/>
          <w:szCs w:val="21"/>
          <w:highlight w:val="none"/>
        </w:rPr>
        <w:t>(</w:t>
      </w:r>
      <w:r>
        <w:rPr>
          <w:rFonts w:hint="eastAsia" w:ascii="宋体" w:hAnsi="宋体" w:cs="宋体"/>
          <w:color w:val="auto"/>
          <w:kern w:val="0"/>
          <w:szCs w:val="21"/>
          <w:highlight w:val="none"/>
        </w:rPr>
        <w:t>一</w:t>
      </w:r>
      <w:r>
        <w:rPr>
          <w:rFonts w:ascii="宋体" w:hAnsi="宋体" w:cs="宋体"/>
          <w:color w:val="auto"/>
          <w:kern w:val="0"/>
          <w:szCs w:val="21"/>
          <w:highlight w:val="none"/>
        </w:rPr>
        <w:t>)</w:t>
      </w:r>
      <w:r>
        <w:rPr>
          <w:rFonts w:hint="eastAsia" w:ascii="宋体" w:hAnsi="宋体" w:cs="宋体"/>
          <w:color w:val="auto"/>
          <w:kern w:val="0"/>
          <w:szCs w:val="21"/>
          <w:highlight w:val="none"/>
        </w:rPr>
        <w:t>参加采购活动前三年内</w:t>
      </w:r>
      <w:r>
        <w:rPr>
          <w:rFonts w:hint="eastAsia" w:ascii="宋体" w:cs="宋体"/>
          <w:color w:val="auto"/>
          <w:kern w:val="0"/>
          <w:szCs w:val="21"/>
          <w:highlight w:val="none"/>
        </w:rPr>
        <w:t>，</w:t>
      </w:r>
      <w:r>
        <w:rPr>
          <w:rFonts w:hint="eastAsia" w:ascii="宋体" w:hAnsi="宋体" w:cs="宋体"/>
          <w:color w:val="auto"/>
          <w:kern w:val="0"/>
          <w:szCs w:val="21"/>
          <w:highlight w:val="none"/>
        </w:rPr>
        <w:t>与</w:t>
      </w: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存在劳动关系</w:t>
      </w:r>
      <w:r>
        <w:rPr>
          <w:rFonts w:hint="eastAsia" w:ascii="宋体" w:cs="宋体"/>
          <w:color w:val="auto"/>
          <w:kern w:val="0"/>
          <w:szCs w:val="21"/>
          <w:highlight w:val="none"/>
        </w:rPr>
        <w:t>，</w:t>
      </w:r>
      <w:r>
        <w:rPr>
          <w:rFonts w:hint="eastAsia" w:ascii="宋体" w:hAnsi="宋体" w:cs="宋体"/>
          <w:color w:val="auto"/>
          <w:kern w:val="0"/>
          <w:szCs w:val="21"/>
          <w:highlight w:val="none"/>
        </w:rPr>
        <w:t>或者担任过</w:t>
      </w: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的董事、监事</w:t>
      </w:r>
      <w:r>
        <w:rPr>
          <w:rFonts w:hint="eastAsia" w:ascii="宋体" w:cs="宋体"/>
          <w:color w:val="auto"/>
          <w:kern w:val="0"/>
          <w:szCs w:val="21"/>
          <w:highlight w:val="none"/>
        </w:rPr>
        <w:t>，</w:t>
      </w:r>
      <w:r>
        <w:rPr>
          <w:rFonts w:hint="eastAsia" w:ascii="宋体" w:hAnsi="宋体" w:cs="宋体"/>
          <w:color w:val="auto"/>
          <w:kern w:val="0"/>
          <w:szCs w:val="21"/>
          <w:highlight w:val="none"/>
        </w:rPr>
        <w:t>或者是</w:t>
      </w: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的控股股东或实际控制人；</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ascii="宋体" w:hAnsi="宋体" w:cs="宋体"/>
          <w:color w:val="auto"/>
          <w:kern w:val="0"/>
          <w:szCs w:val="21"/>
          <w:highlight w:val="none"/>
        </w:rPr>
        <w:t>(</w:t>
      </w:r>
      <w:r>
        <w:rPr>
          <w:rFonts w:hint="eastAsia" w:ascii="宋体" w:hAnsi="宋体" w:cs="宋体"/>
          <w:color w:val="auto"/>
          <w:kern w:val="0"/>
          <w:szCs w:val="21"/>
          <w:highlight w:val="none"/>
        </w:rPr>
        <w:t>二</w:t>
      </w:r>
      <w:r>
        <w:rPr>
          <w:rFonts w:ascii="宋体" w:hAnsi="宋体" w:cs="宋体"/>
          <w:color w:val="auto"/>
          <w:kern w:val="0"/>
          <w:szCs w:val="21"/>
          <w:highlight w:val="none"/>
        </w:rPr>
        <w:t>)</w:t>
      </w:r>
      <w:r>
        <w:rPr>
          <w:rFonts w:hint="eastAsia" w:ascii="宋体" w:hAnsi="宋体" w:cs="宋体"/>
          <w:color w:val="auto"/>
          <w:kern w:val="0"/>
          <w:szCs w:val="21"/>
          <w:highlight w:val="none"/>
        </w:rPr>
        <w:t>与</w:t>
      </w: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的法定代表人或者负责人有夫妻、直系血亲、三代以内旁系血亲或者近姻亲关系；</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ascii="宋体" w:hAnsi="宋体" w:cs="宋体"/>
          <w:color w:val="auto"/>
          <w:kern w:val="0"/>
          <w:szCs w:val="21"/>
          <w:highlight w:val="none"/>
        </w:rPr>
        <w:t>(</w:t>
      </w:r>
      <w:r>
        <w:rPr>
          <w:rFonts w:hint="eastAsia" w:ascii="宋体" w:hAnsi="宋体" w:cs="宋体"/>
          <w:color w:val="auto"/>
          <w:kern w:val="0"/>
          <w:szCs w:val="21"/>
          <w:highlight w:val="none"/>
        </w:rPr>
        <w:t>三</w:t>
      </w:r>
      <w:r>
        <w:rPr>
          <w:rFonts w:ascii="宋体" w:hAnsi="宋体" w:cs="宋体"/>
          <w:color w:val="auto"/>
          <w:kern w:val="0"/>
          <w:szCs w:val="21"/>
          <w:highlight w:val="none"/>
        </w:rPr>
        <w:t>)</w:t>
      </w:r>
      <w:r>
        <w:rPr>
          <w:rFonts w:hint="eastAsia" w:ascii="宋体" w:hAnsi="宋体" w:cs="宋体"/>
          <w:color w:val="auto"/>
          <w:kern w:val="0"/>
          <w:szCs w:val="21"/>
          <w:highlight w:val="none"/>
        </w:rPr>
        <w:t>与</w:t>
      </w: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有其他可能影响政府采购活动公平、公正进行的关系。</w:t>
      </w:r>
    </w:p>
    <w:p>
      <w:pPr>
        <w:autoSpaceDE w:val="0"/>
        <w:autoSpaceDN w:val="0"/>
        <w:adjustRightInd w:val="0"/>
        <w:snapToGrid w:val="0"/>
        <w:spacing w:line="400" w:lineRule="exact"/>
        <w:ind w:right="40" w:firstLine="420" w:firstLineChars="200"/>
        <w:jc w:val="left"/>
        <w:rPr>
          <w:rFonts w:ascii="宋体" w:cs="宋体"/>
          <w:color w:val="auto"/>
          <w:kern w:val="0"/>
          <w:szCs w:val="21"/>
          <w:highlight w:val="none"/>
        </w:rPr>
      </w:pPr>
      <w:r>
        <w:rPr>
          <w:rFonts w:hint="eastAsia" w:ascii="宋体" w:hAnsi="宋体" w:cs="宋体"/>
          <w:color w:val="auto"/>
          <w:kern w:val="0"/>
          <w:szCs w:val="21"/>
          <w:highlight w:val="none"/>
        </w:rPr>
        <w:t>评标专家发现本人与参加采购活动的</w:t>
      </w: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有利害关系的</w:t>
      </w:r>
      <w:r>
        <w:rPr>
          <w:rFonts w:hint="eastAsia" w:ascii="宋体" w:cs="宋体"/>
          <w:color w:val="auto"/>
          <w:kern w:val="0"/>
          <w:szCs w:val="21"/>
          <w:highlight w:val="none"/>
        </w:rPr>
        <w:t>，</w:t>
      </w:r>
      <w:r>
        <w:rPr>
          <w:rFonts w:hint="eastAsia" w:ascii="宋体" w:hAnsi="宋体" w:cs="宋体"/>
          <w:color w:val="auto"/>
          <w:kern w:val="0"/>
          <w:szCs w:val="21"/>
          <w:highlight w:val="none"/>
        </w:rPr>
        <w:t>应当主动提出回避。采购代理机构发现评标专家与参加采购活动的</w:t>
      </w:r>
      <w:r>
        <w:rPr>
          <w:rFonts w:hint="eastAsia" w:ascii="宋体" w:hAnsi="宋体" w:cs="宋体"/>
          <w:color w:val="auto"/>
          <w:kern w:val="0"/>
          <w:szCs w:val="21"/>
          <w:highlight w:val="none"/>
          <w:lang w:eastAsia="zh-CN"/>
        </w:rPr>
        <w:t>投标人</w:t>
      </w:r>
      <w:r>
        <w:rPr>
          <w:rFonts w:hint="eastAsia" w:ascii="宋体" w:hAnsi="宋体" w:cs="宋体"/>
          <w:color w:val="auto"/>
          <w:kern w:val="0"/>
          <w:szCs w:val="21"/>
          <w:highlight w:val="none"/>
        </w:rPr>
        <w:t>有利害关系的</w:t>
      </w:r>
      <w:r>
        <w:rPr>
          <w:rFonts w:hint="eastAsia" w:ascii="宋体" w:cs="宋体"/>
          <w:color w:val="auto"/>
          <w:kern w:val="0"/>
          <w:szCs w:val="21"/>
          <w:highlight w:val="none"/>
        </w:rPr>
        <w:t>，</w:t>
      </w:r>
      <w:r>
        <w:rPr>
          <w:rFonts w:hint="eastAsia" w:ascii="宋体" w:hAnsi="宋体" w:cs="宋体"/>
          <w:color w:val="auto"/>
          <w:kern w:val="0"/>
          <w:szCs w:val="21"/>
          <w:highlight w:val="none"/>
        </w:rPr>
        <w:t>应当要求其回避。</w:t>
      </w:r>
    </w:p>
    <w:p>
      <w:pPr>
        <w:numPr>
          <w:ilvl w:val="1"/>
          <w:numId w:val="6"/>
        </w:numPr>
        <w:spacing w:line="400" w:lineRule="exact"/>
        <w:ind w:firstLine="422" w:firstLineChars="200"/>
        <w:rPr>
          <w:rFonts w:ascii="宋体" w:cs="宋体"/>
          <w:b/>
          <w:bCs/>
          <w:color w:val="auto"/>
          <w:highlight w:val="none"/>
        </w:rPr>
      </w:pPr>
      <w:bookmarkStart w:id="262" w:name="_Toc8996"/>
      <w:bookmarkStart w:id="263" w:name="_Toc25755"/>
      <w:bookmarkStart w:id="264" w:name="_Toc12131"/>
      <w:bookmarkStart w:id="265" w:name="_Toc10927"/>
      <w:bookmarkStart w:id="266" w:name="_Toc5830"/>
      <w:bookmarkStart w:id="267" w:name="_Toc22420"/>
      <w:bookmarkStart w:id="268" w:name="_Toc12609"/>
      <w:bookmarkStart w:id="269" w:name="_Toc25530"/>
      <w:bookmarkStart w:id="270" w:name="_Toc7396"/>
      <w:bookmarkStart w:id="271" w:name="_Toc25509"/>
      <w:bookmarkStart w:id="272" w:name="_Toc608"/>
      <w:r>
        <w:rPr>
          <w:rFonts w:hint="eastAsia" w:ascii="宋体" w:hAnsi="宋体" w:cs="宋体"/>
          <w:b/>
          <w:bCs/>
          <w:color w:val="auto"/>
          <w:highlight w:val="none"/>
        </w:rPr>
        <w:t>保密及其它注意事项</w:t>
      </w:r>
      <w:bookmarkEnd w:id="262"/>
      <w:bookmarkEnd w:id="263"/>
      <w:bookmarkEnd w:id="264"/>
      <w:bookmarkEnd w:id="265"/>
      <w:bookmarkEnd w:id="266"/>
      <w:bookmarkEnd w:id="267"/>
      <w:bookmarkEnd w:id="268"/>
      <w:bookmarkEnd w:id="269"/>
      <w:bookmarkEnd w:id="270"/>
      <w:bookmarkEnd w:id="271"/>
      <w:bookmarkEnd w:id="272"/>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评标是招标工作的重要环节，评标工作在评标委员会内独立进行。</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评标委员会将遵照规定的评标方法，公正、平等地对待所有</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在开标、评标期间，</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不得向评委询问评标情况，不得进行旨在影响评标结果的活动。否则其投标可能被拒绝。</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为保证评标的公正性，开标后直至授予</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合同，评委不得与</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私下交换意见。</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在评标工作结束后，凡与评标情况有接触的任何人不得擅自将评标情况扩散出评标人员之外。</w:t>
      </w:r>
    </w:p>
    <w:p>
      <w:pPr>
        <w:numPr>
          <w:ilvl w:val="2"/>
          <w:numId w:val="6"/>
        </w:numPr>
        <w:adjustRightInd w:val="0"/>
        <w:snapToGrid w:val="0"/>
        <w:spacing w:line="400" w:lineRule="exact"/>
        <w:ind w:firstLine="420" w:firstLineChars="200"/>
        <w:rPr>
          <w:rFonts w:ascii="宋体" w:cs="宋体"/>
          <w:b/>
          <w:bCs/>
          <w:color w:val="auto"/>
          <w:highlight w:val="none"/>
        </w:rPr>
      </w:pPr>
      <w:r>
        <w:rPr>
          <w:rFonts w:hint="eastAsia" w:ascii="宋体" w:hAnsi="宋体" w:cs="宋体"/>
          <w:color w:val="auto"/>
          <w:szCs w:val="21"/>
          <w:highlight w:val="none"/>
        </w:rPr>
        <w:t>评标结束后，投标文件概不退还。</w:t>
      </w:r>
      <w:bookmarkStart w:id="273" w:name="_Toc30376"/>
      <w:bookmarkStart w:id="274" w:name="_Toc40112135"/>
    </w:p>
    <w:p>
      <w:pPr>
        <w:numPr>
          <w:ilvl w:val="0"/>
          <w:numId w:val="6"/>
        </w:numPr>
        <w:spacing w:line="400" w:lineRule="exact"/>
        <w:ind w:firstLine="422" w:firstLineChars="200"/>
        <w:outlineLvl w:val="1"/>
        <w:rPr>
          <w:rStyle w:val="28"/>
          <w:color w:val="auto"/>
          <w:sz w:val="21"/>
          <w:szCs w:val="21"/>
          <w:highlight w:val="none"/>
        </w:rPr>
      </w:pPr>
      <w:bookmarkStart w:id="275" w:name="_Toc14201"/>
      <w:bookmarkStart w:id="276" w:name="_Toc11279"/>
      <w:bookmarkStart w:id="277" w:name="_Toc11701"/>
      <w:r>
        <w:rPr>
          <w:rStyle w:val="28"/>
          <w:rFonts w:hint="eastAsia"/>
          <w:color w:val="auto"/>
          <w:sz w:val="21"/>
          <w:szCs w:val="21"/>
          <w:highlight w:val="none"/>
        </w:rPr>
        <w:t>授予合同</w:t>
      </w:r>
      <w:bookmarkEnd w:id="236"/>
      <w:bookmarkEnd w:id="273"/>
      <w:bookmarkEnd w:id="274"/>
      <w:bookmarkEnd w:id="275"/>
      <w:bookmarkEnd w:id="276"/>
      <w:bookmarkEnd w:id="277"/>
    </w:p>
    <w:p>
      <w:pPr>
        <w:numPr>
          <w:ilvl w:val="1"/>
          <w:numId w:val="6"/>
        </w:numPr>
        <w:spacing w:line="400" w:lineRule="exact"/>
        <w:ind w:firstLine="422" w:firstLineChars="200"/>
        <w:rPr>
          <w:rFonts w:ascii="宋体" w:cs="宋体"/>
          <w:b/>
          <w:bCs/>
          <w:color w:val="auto"/>
          <w:highlight w:val="none"/>
        </w:rPr>
      </w:pPr>
      <w:bookmarkStart w:id="278" w:name="_Toc22971"/>
      <w:bookmarkStart w:id="279" w:name="_Toc7898"/>
      <w:bookmarkStart w:id="280" w:name="_Toc6320"/>
      <w:bookmarkStart w:id="281" w:name="_Toc32241"/>
      <w:bookmarkStart w:id="282" w:name="_Toc13599"/>
      <w:bookmarkStart w:id="283" w:name="_Toc16230"/>
      <w:bookmarkStart w:id="284" w:name="_Toc3574"/>
      <w:bookmarkStart w:id="285" w:name="_Toc15637"/>
      <w:bookmarkStart w:id="286" w:name="_Toc22245"/>
      <w:bookmarkStart w:id="287" w:name="_Toc21756"/>
      <w:bookmarkStart w:id="288" w:name="_Toc27126"/>
      <w:bookmarkStart w:id="289" w:name="_Toc23900"/>
      <w:bookmarkStart w:id="290" w:name="_Toc26604"/>
      <w:bookmarkStart w:id="291" w:name="_Toc22457"/>
      <w:bookmarkStart w:id="292" w:name="_Toc17818"/>
      <w:bookmarkStart w:id="293" w:name="_Toc30644"/>
      <w:bookmarkStart w:id="294" w:name="_Toc22088"/>
      <w:r>
        <w:rPr>
          <w:rFonts w:hint="eastAsia" w:ascii="宋体" w:hAnsi="宋体" w:cs="宋体"/>
          <w:b/>
          <w:bCs/>
          <w:color w:val="auto"/>
          <w:highlight w:val="none"/>
        </w:rPr>
        <w:t>中标公告</w:t>
      </w:r>
      <w:bookmarkEnd w:id="278"/>
      <w:bookmarkEnd w:id="279"/>
      <w:bookmarkEnd w:id="280"/>
      <w:bookmarkEnd w:id="281"/>
      <w:bookmarkEnd w:id="282"/>
      <w:bookmarkEnd w:id="283"/>
      <w:bookmarkEnd w:id="284"/>
      <w:bookmarkEnd w:id="285"/>
      <w:bookmarkEnd w:id="286"/>
      <w:bookmarkEnd w:id="287"/>
      <w:bookmarkEnd w:id="288"/>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采购代理机构应当在评标结束后</w:t>
      </w:r>
      <w:r>
        <w:rPr>
          <w:rFonts w:ascii="宋体" w:hAnsi="宋体" w:cs="宋体"/>
          <w:color w:val="auto"/>
          <w:szCs w:val="21"/>
          <w:highlight w:val="none"/>
        </w:rPr>
        <w:t>2</w:t>
      </w:r>
      <w:r>
        <w:rPr>
          <w:rFonts w:hint="eastAsia" w:ascii="宋体" w:hAnsi="宋体" w:cs="宋体"/>
          <w:color w:val="auto"/>
          <w:szCs w:val="21"/>
          <w:highlight w:val="none"/>
        </w:rPr>
        <w:t>个工作日内将评标报告送采购人。采购人应自收到评标报告之日起</w:t>
      </w:r>
      <w:r>
        <w:rPr>
          <w:rFonts w:ascii="宋体" w:hAnsi="宋体" w:cs="宋体"/>
          <w:color w:val="auto"/>
          <w:szCs w:val="21"/>
          <w:highlight w:val="none"/>
        </w:rPr>
        <w:t>5</w:t>
      </w:r>
      <w:r>
        <w:rPr>
          <w:rFonts w:hint="eastAsia" w:ascii="宋体" w:hAnsi="宋体" w:cs="宋体"/>
          <w:color w:val="auto"/>
          <w:szCs w:val="21"/>
          <w:highlight w:val="none"/>
        </w:rPr>
        <w:t>个工作日内，依法确定中标人。中标候选人并列的，由采购人确定中标人。</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采购代理机构应当自中标人确定之日起</w:t>
      </w:r>
      <w:r>
        <w:rPr>
          <w:rFonts w:ascii="宋体" w:hAnsi="宋体" w:cs="宋体"/>
          <w:color w:val="auto"/>
          <w:szCs w:val="21"/>
          <w:highlight w:val="none"/>
        </w:rPr>
        <w:t>2</w:t>
      </w:r>
      <w:r>
        <w:rPr>
          <w:rFonts w:hint="eastAsia" w:ascii="宋体" w:hAnsi="宋体" w:cs="宋体"/>
          <w:color w:val="auto"/>
          <w:szCs w:val="21"/>
          <w:highlight w:val="none"/>
        </w:rPr>
        <w:t>个工作日内，在省级以上财政部门指定的媒体上公告中标结果，招标文件应当随中标结果同时公告。</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中标结果公告内容应当包括采购人及其委托的采购代理机构的名称、地址、联系方式，项目名称和项目编号，中标人名称、地址和中标金额，主要中标标的的名称、规格型号、数量、单价、服务要求，中标公告期限以及评标专家名单。公告期限为</w:t>
      </w:r>
      <w:r>
        <w:rPr>
          <w:rFonts w:ascii="宋体" w:hAnsi="宋体" w:cs="宋体"/>
          <w:color w:val="auto"/>
          <w:szCs w:val="21"/>
          <w:highlight w:val="none"/>
        </w:rPr>
        <w:t>1</w:t>
      </w:r>
      <w:r>
        <w:rPr>
          <w:rFonts w:hint="eastAsia" w:ascii="宋体" w:hAnsi="宋体" w:cs="宋体"/>
          <w:color w:val="auto"/>
          <w:szCs w:val="21"/>
          <w:highlight w:val="none"/>
        </w:rPr>
        <w:t>个工作日。</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在公告中标结果的同时，采购代理机构应当向中标人发出中标通知书；对未通过资格审查的</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，应当告知其未通过的原因；采用综合评分法评标的，还应当告知未中标人单位的评审得分与排序。</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中标通知书发出后，采购人无正当理由不得改变中标结果，中标人无正当理由不得放弃中标。</w:t>
      </w:r>
    </w:p>
    <w:p>
      <w:pPr>
        <w:numPr>
          <w:ilvl w:val="2"/>
          <w:numId w:val="6"/>
        </w:numPr>
        <w:adjustRightInd w:val="0"/>
        <w:snapToGrid w:val="0"/>
        <w:spacing w:line="400" w:lineRule="exact"/>
        <w:ind w:firstLine="420" w:firstLineChars="200"/>
        <w:rPr>
          <w:rFonts w:ascii="宋体" w:cs="宋体"/>
          <w:color w:val="auto"/>
          <w:highlight w:val="none"/>
        </w:rPr>
      </w:pPr>
      <w:r>
        <w:rPr>
          <w:rFonts w:hint="eastAsia" w:ascii="宋体" w:hAnsi="宋体" w:cs="宋体"/>
          <w:color w:val="auto"/>
          <w:szCs w:val="21"/>
          <w:highlight w:val="none"/>
        </w:rPr>
        <w:t>中标人为中小企业的，采购代理机构将随中标结果同时公告其《中小企业声明函》；中标人为残疾人福利性单位的，采购代理机构将随中标结果同时公告其《残疾人福利性单位声明函》，接受社会监督。</w:t>
      </w:r>
    </w:p>
    <w:p>
      <w:pPr>
        <w:numPr>
          <w:ilvl w:val="2"/>
          <w:numId w:val="6"/>
        </w:numPr>
        <w:adjustRightInd w:val="0"/>
        <w:snapToGrid w:val="0"/>
        <w:spacing w:line="400" w:lineRule="exact"/>
        <w:ind w:firstLine="420" w:firstLineChars="200"/>
        <w:rPr>
          <w:rFonts w:ascii="宋体" w:cs="宋体"/>
          <w:color w:val="auto"/>
          <w:highlight w:val="none"/>
        </w:rPr>
      </w:pPr>
      <w:r>
        <w:rPr>
          <w:rFonts w:hint="eastAsia" w:ascii="宋体" w:hAnsi="宋体" w:cs="宋体"/>
          <w:color w:val="auto"/>
          <w:szCs w:val="21"/>
          <w:highlight w:val="none"/>
        </w:rPr>
        <w:t>各有关当事人对中标结果有异议的，可以在</w:t>
      </w:r>
      <w:r>
        <w:rPr>
          <w:rFonts w:hint="eastAsia" w:ascii="宋体" w:hAnsi="宋体" w:cs="宋体"/>
          <w:color w:val="auto"/>
          <w:szCs w:val="21"/>
          <w:highlight w:val="none"/>
          <w:lang w:eastAsia="zh-CN"/>
        </w:rPr>
        <w:t>中标结果公告</w:t>
      </w:r>
      <w:r>
        <w:rPr>
          <w:rFonts w:hint="eastAsia" w:ascii="宋体" w:hAnsi="宋体" w:cs="宋体"/>
          <w:color w:val="auto"/>
          <w:szCs w:val="21"/>
          <w:highlight w:val="none"/>
        </w:rPr>
        <w:t>期限届满之日起七个工作日内，按《政府采购质疑和投诉办法》（财政部令第</w:t>
      </w:r>
      <w:r>
        <w:rPr>
          <w:rFonts w:ascii="宋体" w:hAnsi="宋体" w:cs="宋体"/>
          <w:color w:val="auto"/>
          <w:szCs w:val="21"/>
          <w:highlight w:val="none"/>
        </w:rPr>
        <w:t>94</w:t>
      </w:r>
      <w:r>
        <w:rPr>
          <w:rFonts w:hint="eastAsia" w:ascii="宋体" w:hAnsi="宋体" w:cs="宋体"/>
          <w:color w:val="auto"/>
          <w:szCs w:val="21"/>
          <w:highlight w:val="none"/>
        </w:rPr>
        <w:t>号）要求以书面形式同时向采购人和采购代理机构提出质疑，逾期提交或未按照要求提交的质疑函将不予受理。</w:t>
      </w:r>
    </w:p>
    <w:bookmarkEnd w:id="289"/>
    <w:bookmarkEnd w:id="290"/>
    <w:bookmarkEnd w:id="291"/>
    <w:bookmarkEnd w:id="292"/>
    <w:bookmarkEnd w:id="293"/>
    <w:bookmarkEnd w:id="294"/>
    <w:p>
      <w:pPr>
        <w:numPr>
          <w:ilvl w:val="1"/>
          <w:numId w:val="6"/>
        </w:numPr>
        <w:spacing w:line="400" w:lineRule="exact"/>
        <w:ind w:firstLine="422" w:firstLineChars="200"/>
        <w:rPr>
          <w:rFonts w:ascii="宋体" w:cs="宋体"/>
          <w:b/>
          <w:bCs/>
          <w:color w:val="auto"/>
          <w:highlight w:val="none"/>
        </w:rPr>
      </w:pPr>
      <w:bookmarkStart w:id="295" w:name="_Toc7497"/>
      <w:r>
        <w:rPr>
          <w:rFonts w:hint="eastAsia" w:ascii="宋体" w:hAnsi="宋体" w:cs="宋体"/>
          <w:b/>
          <w:bCs/>
          <w:color w:val="auto"/>
          <w:highlight w:val="none"/>
        </w:rPr>
        <w:t>采购任务取消</w:t>
      </w:r>
      <w:bookmarkEnd w:id="295"/>
    </w:p>
    <w:p>
      <w:pPr>
        <w:adjustRightInd w:val="0"/>
        <w:snapToGrid w:val="0"/>
        <w:spacing w:line="400" w:lineRule="exact"/>
        <w:ind w:firstLine="420" w:firstLineChars="200"/>
        <w:rPr>
          <w:rFonts w:ascii="宋体" w:cs="宋体"/>
          <w:color w:val="auto"/>
          <w:szCs w:val="21"/>
          <w:highlight w:val="none"/>
        </w:rPr>
      </w:pPr>
      <w:r>
        <w:rPr>
          <w:rFonts w:hint="eastAsia" w:ascii="宋体" w:cs="宋体"/>
          <w:color w:val="auto"/>
          <w:szCs w:val="21"/>
          <w:highlight w:val="none"/>
        </w:rPr>
        <w:t>因重大变故采购任务取消时，采购人或者采购代理机构应当及时在原公告发布媒体上发布终止公告，以书面形式通知已经获取招标文件、资格预审文件或者被邀请的潜在投标人，并将项目实施情况和采购任务取消原因报告本级财政部门。已经收取招标文件费用或者投标保证金的，采购人或者采购代理机构应当在终止采购活动后</w:t>
      </w:r>
      <w:r>
        <w:rPr>
          <w:rFonts w:ascii="宋体" w:cs="宋体"/>
          <w:color w:val="auto"/>
          <w:szCs w:val="21"/>
          <w:highlight w:val="none"/>
        </w:rPr>
        <w:t>5</w:t>
      </w:r>
      <w:r>
        <w:rPr>
          <w:rFonts w:hint="eastAsia" w:ascii="宋体" w:cs="宋体"/>
          <w:color w:val="auto"/>
          <w:szCs w:val="21"/>
          <w:highlight w:val="none"/>
        </w:rPr>
        <w:t>个工作日内，退还所收取的招标文件费用和所收取的投标保证金及其在银行产生的孳息。采购人有权拒绝任何</w:t>
      </w:r>
      <w:r>
        <w:rPr>
          <w:rFonts w:hint="eastAsia" w:ascii="宋体" w:cs="宋体"/>
          <w:color w:val="auto"/>
          <w:szCs w:val="21"/>
          <w:highlight w:val="none"/>
          <w:lang w:eastAsia="zh-CN"/>
        </w:rPr>
        <w:t>投标人</w:t>
      </w:r>
      <w:r>
        <w:rPr>
          <w:rFonts w:hint="eastAsia" w:ascii="宋体" w:cs="宋体"/>
          <w:color w:val="auto"/>
          <w:szCs w:val="21"/>
          <w:highlight w:val="none"/>
        </w:rPr>
        <w:t>中标，且对受影响的</w:t>
      </w:r>
      <w:r>
        <w:rPr>
          <w:rFonts w:hint="eastAsia" w:ascii="宋体" w:cs="宋体"/>
          <w:color w:val="auto"/>
          <w:szCs w:val="21"/>
          <w:highlight w:val="none"/>
          <w:lang w:eastAsia="zh-CN"/>
        </w:rPr>
        <w:t>投标人</w:t>
      </w:r>
      <w:r>
        <w:rPr>
          <w:rFonts w:hint="eastAsia" w:ascii="宋体" w:cs="宋体"/>
          <w:color w:val="auto"/>
          <w:szCs w:val="21"/>
          <w:highlight w:val="none"/>
        </w:rPr>
        <w:t>不承担任何责任。</w:t>
      </w:r>
    </w:p>
    <w:p>
      <w:pPr>
        <w:numPr>
          <w:ilvl w:val="1"/>
          <w:numId w:val="6"/>
        </w:numPr>
        <w:spacing w:line="400" w:lineRule="exact"/>
        <w:ind w:firstLine="422" w:firstLineChars="200"/>
        <w:rPr>
          <w:rFonts w:ascii="宋体" w:cs="宋体"/>
          <w:b/>
          <w:bCs/>
          <w:color w:val="auto"/>
          <w:highlight w:val="none"/>
        </w:rPr>
      </w:pPr>
      <w:bookmarkStart w:id="296" w:name="_Toc29785"/>
      <w:bookmarkStart w:id="297" w:name="_Toc21282"/>
      <w:bookmarkStart w:id="298" w:name="_Toc5799"/>
      <w:bookmarkStart w:id="299" w:name="_Toc3846"/>
      <w:bookmarkStart w:id="300" w:name="_Toc14610"/>
      <w:bookmarkStart w:id="301" w:name="_Toc12174"/>
      <w:bookmarkStart w:id="302" w:name="_Toc23214"/>
      <w:bookmarkStart w:id="303" w:name="_Toc12305"/>
      <w:bookmarkStart w:id="304" w:name="_Toc1468"/>
      <w:bookmarkStart w:id="305" w:name="_Toc25326"/>
      <w:bookmarkStart w:id="306" w:name="_Toc24223"/>
      <w:r>
        <w:rPr>
          <w:rFonts w:hint="eastAsia" w:ascii="宋体" w:hAnsi="宋体" w:cs="宋体"/>
          <w:b/>
          <w:bCs/>
          <w:color w:val="auto"/>
          <w:highlight w:val="none"/>
        </w:rPr>
        <w:t>中标通知书</w:t>
      </w:r>
      <w:bookmarkEnd w:id="296"/>
      <w:bookmarkEnd w:id="297"/>
      <w:bookmarkEnd w:id="298"/>
      <w:bookmarkEnd w:id="299"/>
      <w:bookmarkEnd w:id="300"/>
      <w:bookmarkEnd w:id="301"/>
      <w:bookmarkEnd w:id="302"/>
      <w:bookmarkEnd w:id="303"/>
      <w:bookmarkEnd w:id="304"/>
      <w:bookmarkEnd w:id="305"/>
      <w:bookmarkEnd w:id="306"/>
    </w:p>
    <w:p>
      <w:p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在公告中标结果的同时，采购人或采购代理机构应当向中标人发出中标通知书，中标通知书将作为进行签订合同的依据。</w:t>
      </w:r>
    </w:p>
    <w:p>
      <w:pPr>
        <w:numPr>
          <w:ilvl w:val="1"/>
          <w:numId w:val="6"/>
        </w:numPr>
        <w:spacing w:line="400" w:lineRule="exact"/>
        <w:ind w:firstLine="422" w:firstLineChars="200"/>
        <w:rPr>
          <w:rFonts w:ascii="宋体" w:cs="宋体"/>
          <w:b/>
          <w:bCs/>
          <w:color w:val="auto"/>
          <w:highlight w:val="none"/>
        </w:rPr>
      </w:pPr>
      <w:bookmarkStart w:id="307" w:name="_Toc9865"/>
      <w:bookmarkStart w:id="308" w:name="_Toc21924"/>
      <w:bookmarkStart w:id="309" w:name="_Toc25686"/>
      <w:bookmarkStart w:id="310" w:name="_Toc20517"/>
      <w:bookmarkStart w:id="311" w:name="_Toc9428"/>
      <w:bookmarkStart w:id="312" w:name="_Toc3979"/>
      <w:bookmarkStart w:id="313" w:name="_Toc11448"/>
      <w:bookmarkStart w:id="314" w:name="_Toc14397"/>
      <w:bookmarkStart w:id="315" w:name="_Toc26111"/>
      <w:bookmarkStart w:id="316" w:name="_Toc25990"/>
      <w:bookmarkStart w:id="317" w:name="_Toc15209"/>
      <w:bookmarkStart w:id="318" w:name="_Toc12530"/>
      <w:bookmarkStart w:id="319" w:name="_Toc26471"/>
      <w:bookmarkStart w:id="320" w:name="_Toc15061"/>
      <w:bookmarkStart w:id="321" w:name="_Toc11221"/>
      <w:bookmarkStart w:id="322" w:name="_Toc3376"/>
      <w:bookmarkStart w:id="323" w:name="_Toc1226"/>
      <w:r>
        <w:rPr>
          <w:rFonts w:hint="eastAsia" w:ascii="宋体" w:hAnsi="宋体" w:cs="宋体"/>
          <w:b/>
          <w:bCs/>
          <w:color w:val="auto"/>
          <w:highlight w:val="none"/>
        </w:rPr>
        <w:t>履约保证金</w:t>
      </w:r>
      <w:bookmarkEnd w:id="307"/>
      <w:bookmarkEnd w:id="308"/>
      <w:bookmarkEnd w:id="309"/>
      <w:bookmarkEnd w:id="310"/>
      <w:bookmarkEnd w:id="311"/>
      <w:bookmarkEnd w:id="312"/>
      <w:bookmarkEnd w:id="313"/>
      <w:bookmarkEnd w:id="314"/>
      <w:bookmarkEnd w:id="315"/>
      <w:bookmarkEnd w:id="316"/>
      <w:bookmarkEnd w:id="317"/>
    </w:p>
    <w:p>
      <w:pPr>
        <w:numPr>
          <w:ilvl w:val="2"/>
          <w:numId w:val="6"/>
        </w:numPr>
        <w:adjustRightInd w:val="0"/>
        <w:snapToGrid w:val="0"/>
        <w:spacing w:line="400" w:lineRule="exact"/>
        <w:ind w:firstLine="420" w:firstLineChars="200"/>
        <w:rPr>
          <w:rFonts w:ascii="宋体" w:cs="宋体"/>
          <w:color w:val="auto"/>
          <w:szCs w:val="21"/>
          <w:highlight w:val="none"/>
        </w:rPr>
      </w:pPr>
      <w:bookmarkStart w:id="324" w:name="_Toc13295"/>
      <w:bookmarkStart w:id="325" w:name="_Toc1508"/>
      <w:bookmarkStart w:id="326" w:name="_Toc24299"/>
      <w:bookmarkStart w:id="327" w:name="_Toc22384"/>
      <w:r>
        <w:rPr>
          <w:rFonts w:hint="eastAsia" w:ascii="宋体" w:hAnsi="宋体" w:cs="宋体"/>
          <w:color w:val="auto"/>
          <w:szCs w:val="21"/>
          <w:highlight w:val="none"/>
          <w:lang w:val="en-US" w:eastAsia="zh-CN"/>
        </w:rPr>
        <w:t>中标人应按投标人须知前附表规定的形式、金额和招标文件第五章“合同条款及格式”的规定向招标人提交履约保证金</w:t>
      </w:r>
      <w:r>
        <w:rPr>
          <w:rFonts w:hint="eastAsia" w:ascii="宋体" w:hAnsi="宋体" w:cs="宋体"/>
          <w:color w:val="auto"/>
          <w:szCs w:val="21"/>
          <w:highlight w:val="none"/>
        </w:rPr>
        <w:t>。</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中标人不能按</w:t>
      </w:r>
      <w:r>
        <w:rPr>
          <w:rFonts w:hint="eastAsia" w:ascii="宋体" w:hAnsi="宋体" w:cs="宋体"/>
          <w:color w:val="auto"/>
          <w:szCs w:val="21"/>
          <w:highlight w:val="none"/>
          <w:lang w:eastAsia="zh-CN"/>
        </w:rPr>
        <w:t>投标人须知前附表</w:t>
      </w:r>
      <w:r>
        <w:rPr>
          <w:rFonts w:hint="eastAsia" w:ascii="宋体" w:hAnsi="宋体" w:cs="宋体"/>
          <w:color w:val="auto"/>
          <w:szCs w:val="21"/>
          <w:highlight w:val="none"/>
        </w:rPr>
        <w:t>第</w:t>
      </w:r>
      <w:r>
        <w:rPr>
          <w:rFonts w:ascii="宋体" w:hAnsi="宋体" w:cs="宋体"/>
          <w:color w:val="auto"/>
          <w:szCs w:val="21"/>
          <w:highlight w:val="none"/>
        </w:rPr>
        <w:t>6.4.1</w:t>
      </w:r>
      <w:r>
        <w:rPr>
          <w:rFonts w:hint="eastAsia" w:ascii="宋体" w:hAnsi="宋体" w:cs="宋体"/>
          <w:color w:val="auto"/>
          <w:szCs w:val="21"/>
          <w:highlight w:val="none"/>
        </w:rPr>
        <w:t>项要求提交履约保证金的，视为放弃中标。</w:t>
      </w:r>
    </w:p>
    <w:p>
      <w:pPr>
        <w:numPr>
          <w:ilvl w:val="1"/>
          <w:numId w:val="6"/>
        </w:numPr>
        <w:spacing w:line="400" w:lineRule="exact"/>
        <w:ind w:firstLine="422" w:firstLineChars="200"/>
        <w:rPr>
          <w:rFonts w:ascii="宋体" w:cs="宋体"/>
          <w:b/>
          <w:bCs/>
          <w:color w:val="auto"/>
          <w:highlight w:val="none"/>
        </w:rPr>
      </w:pPr>
      <w:bookmarkStart w:id="328" w:name="_Toc20184"/>
      <w:r>
        <w:rPr>
          <w:rFonts w:hint="eastAsia" w:ascii="宋体" w:hAnsi="宋体" w:cs="宋体"/>
          <w:b/>
          <w:bCs/>
          <w:color w:val="auto"/>
          <w:highlight w:val="none"/>
        </w:rPr>
        <w:t>签订合同</w:t>
      </w:r>
      <w:bookmarkEnd w:id="318"/>
      <w:bookmarkEnd w:id="319"/>
      <w:bookmarkEnd w:id="320"/>
      <w:bookmarkEnd w:id="321"/>
      <w:bookmarkEnd w:id="322"/>
      <w:bookmarkEnd w:id="323"/>
      <w:bookmarkEnd w:id="324"/>
      <w:bookmarkEnd w:id="325"/>
      <w:bookmarkEnd w:id="326"/>
      <w:bookmarkEnd w:id="327"/>
      <w:bookmarkEnd w:id="328"/>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采购人应当自中标通知书发出之日起</w:t>
      </w:r>
      <w:r>
        <w:rPr>
          <w:rFonts w:hint="eastAsia" w:ascii="宋体" w:hAnsi="宋体" w:cs="宋体"/>
          <w:color w:val="auto"/>
          <w:szCs w:val="21"/>
          <w:highlight w:val="none"/>
          <w:lang w:eastAsia="zh-CN"/>
        </w:rPr>
        <w:t>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日内，按照招标文件和中标人投标文件的规定，与中标人签订书面合同。所签订的合同不得对招标文件确定的事项和中标人投标文件作实质性修改。</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招标文件、中标人的投标文件和澄清文件等，均应作为签约合同文本的基础。</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如中标人拒签合同，则按违约处理。对违约方收取中标金额</w:t>
      </w:r>
      <w:r>
        <w:rPr>
          <w:rFonts w:ascii="宋体" w:hAnsi="宋体" w:cs="宋体"/>
          <w:color w:val="auto"/>
          <w:szCs w:val="21"/>
          <w:highlight w:val="none"/>
        </w:rPr>
        <w:t>2%</w:t>
      </w:r>
      <w:r>
        <w:rPr>
          <w:rFonts w:hint="eastAsia" w:ascii="宋体" w:hAnsi="宋体" w:cs="宋体"/>
          <w:color w:val="auto"/>
          <w:szCs w:val="21"/>
          <w:highlight w:val="none"/>
        </w:rPr>
        <w:t>的违约金。</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政府采购合同应当包括采购人与中标人的名称和住所、标的、数量、质量、价款或者报酬、履行期限及地点和方式、验收要求、违约责任、解决争议的方法等内容。</w:t>
      </w:r>
    </w:p>
    <w:p>
      <w:pPr>
        <w:numPr>
          <w:ilvl w:val="2"/>
          <w:numId w:val="6"/>
        </w:num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如中标人不</w:t>
      </w:r>
      <w:r>
        <w:rPr>
          <w:rFonts w:hint="eastAsia" w:ascii="宋体" w:hAnsi="宋体" w:cs="宋体"/>
          <w:color w:val="auto"/>
          <w:szCs w:val="21"/>
          <w:highlight w:val="none"/>
          <w:lang w:val="en-US" w:eastAsia="zh-CN"/>
        </w:rPr>
        <w:t>按</w:t>
      </w:r>
      <w:r>
        <w:rPr>
          <w:rFonts w:hint="eastAsia" w:ascii="宋体" w:hAnsi="宋体" w:cs="宋体"/>
          <w:color w:val="auto"/>
          <w:szCs w:val="21"/>
          <w:highlight w:val="none"/>
        </w:rPr>
        <w:t>约定签订合同，采购人将报请取消其中标决定。采购人可重新招标。</w:t>
      </w:r>
    </w:p>
    <w:p>
      <w:pPr>
        <w:numPr>
          <w:ilvl w:val="0"/>
          <w:numId w:val="6"/>
        </w:numPr>
        <w:spacing w:line="400" w:lineRule="exact"/>
        <w:ind w:firstLine="422" w:firstLineChars="200"/>
        <w:outlineLvl w:val="1"/>
        <w:rPr>
          <w:rStyle w:val="28"/>
          <w:color w:val="auto"/>
          <w:sz w:val="21"/>
          <w:szCs w:val="21"/>
          <w:highlight w:val="none"/>
        </w:rPr>
      </w:pPr>
      <w:bookmarkStart w:id="329" w:name="_Toc23358"/>
      <w:bookmarkStart w:id="330" w:name="_Toc11106"/>
      <w:bookmarkStart w:id="331" w:name="_Toc3577"/>
      <w:bookmarkStart w:id="332" w:name="_Toc40112136"/>
      <w:bookmarkStart w:id="333" w:name="_Toc27949"/>
      <w:r>
        <w:rPr>
          <w:rStyle w:val="28"/>
          <w:rFonts w:hint="eastAsia"/>
          <w:color w:val="auto"/>
          <w:sz w:val="21"/>
          <w:szCs w:val="21"/>
          <w:highlight w:val="none"/>
        </w:rPr>
        <w:t>信用记录</w:t>
      </w:r>
      <w:bookmarkEnd w:id="329"/>
      <w:bookmarkEnd w:id="330"/>
      <w:bookmarkEnd w:id="331"/>
      <w:bookmarkEnd w:id="332"/>
      <w:bookmarkEnd w:id="333"/>
    </w:p>
    <w:p>
      <w:pPr>
        <w:adjustRightInd w:val="0"/>
        <w:snapToGrid w:val="0"/>
        <w:spacing w:line="400" w:lineRule="exact"/>
        <w:ind w:firstLine="420" w:firstLineChars="200"/>
        <w:rPr>
          <w:rFonts w:ascii="宋体" w:cs="宋体"/>
          <w:color w:val="auto"/>
          <w:szCs w:val="21"/>
          <w:highlight w:val="none"/>
        </w:rPr>
      </w:pPr>
      <w:bookmarkStart w:id="334" w:name="_Toc40112137"/>
      <w:bookmarkStart w:id="335" w:name="_Toc18298"/>
      <w:bookmarkStart w:id="336" w:name="_Toc16339"/>
      <w:r>
        <w:rPr>
          <w:rFonts w:hint="eastAsia" w:ascii="宋体" w:hAnsi="宋体" w:cs="宋体"/>
          <w:color w:val="auto"/>
          <w:szCs w:val="21"/>
          <w:highlight w:val="none"/>
        </w:rPr>
        <w:t>根据《关于在政府采购活动中查询及使用信用记录有关问题的通知》</w:t>
      </w:r>
      <w:r>
        <w:rPr>
          <w:rFonts w:ascii="宋体" w:hAnsi="宋体" w:cs="宋体"/>
          <w:color w:val="auto"/>
          <w:szCs w:val="21"/>
          <w:highlight w:val="none"/>
        </w:rPr>
        <w:t>(</w:t>
      </w:r>
      <w:r>
        <w:rPr>
          <w:rFonts w:hint="eastAsia" w:ascii="宋体" w:hAnsi="宋体" w:cs="宋体"/>
          <w:color w:val="auto"/>
          <w:szCs w:val="21"/>
          <w:highlight w:val="none"/>
        </w:rPr>
        <w:t>财库</w:t>
      </w:r>
      <w:r>
        <w:rPr>
          <w:rFonts w:ascii="宋体" w:hAnsi="宋体" w:cs="宋体"/>
          <w:color w:val="auto"/>
          <w:szCs w:val="21"/>
          <w:highlight w:val="none"/>
        </w:rPr>
        <w:t>[2016]125</w:t>
      </w:r>
      <w:r>
        <w:rPr>
          <w:rFonts w:hint="eastAsia" w:ascii="宋体" w:hAnsi="宋体" w:cs="宋体"/>
          <w:color w:val="auto"/>
          <w:szCs w:val="21"/>
          <w:highlight w:val="none"/>
        </w:rPr>
        <w:t>号</w:t>
      </w:r>
      <w:r>
        <w:rPr>
          <w:rFonts w:ascii="宋体" w:hAnsi="宋体" w:cs="宋体"/>
          <w:color w:val="auto"/>
          <w:szCs w:val="21"/>
          <w:highlight w:val="none"/>
        </w:rPr>
        <w:t>)</w:t>
      </w:r>
      <w:r>
        <w:rPr>
          <w:rFonts w:hint="eastAsia" w:ascii="宋体" w:hAnsi="宋体" w:cs="宋体"/>
          <w:color w:val="auto"/>
          <w:szCs w:val="21"/>
          <w:highlight w:val="none"/>
        </w:rPr>
        <w:t>的规定，</w:t>
      </w:r>
      <w:r>
        <w:rPr>
          <w:rFonts w:hint="eastAsia" w:ascii="宋体" w:hAnsi="宋体" w:cs="宋体"/>
          <w:color w:val="auto"/>
          <w:szCs w:val="21"/>
          <w:highlight w:val="none"/>
          <w:lang w:eastAsia="zh-CN"/>
        </w:rPr>
        <w:t>开标结束后至符合性审查前</w:t>
      </w:r>
      <w:r>
        <w:rPr>
          <w:rFonts w:hint="eastAsia" w:ascii="宋体" w:hAnsi="宋体" w:cs="宋体"/>
          <w:color w:val="auto"/>
          <w:szCs w:val="21"/>
          <w:highlight w:val="none"/>
        </w:rPr>
        <w:t>采购代理机构通过“信用中国”网站（</w:t>
      </w:r>
      <w:r>
        <w:rPr>
          <w:rFonts w:ascii="宋体" w:hAnsi="宋体" w:cs="宋体"/>
          <w:color w:val="auto"/>
          <w:szCs w:val="21"/>
          <w:highlight w:val="none"/>
        </w:rPr>
        <w:t>www.creditchina.gov.cn</w:t>
      </w:r>
      <w:r>
        <w:rPr>
          <w:rFonts w:hint="eastAsia" w:ascii="宋体" w:hAnsi="宋体" w:cs="宋体"/>
          <w:color w:val="auto"/>
          <w:szCs w:val="21"/>
          <w:highlight w:val="none"/>
        </w:rPr>
        <w:t>）、“中国执行信息公开网”网站（</w:t>
      </w:r>
      <w:r>
        <w:rPr>
          <w:rFonts w:ascii="宋体" w:hAnsi="宋体" w:cs="宋体"/>
          <w:color w:val="auto"/>
          <w:szCs w:val="21"/>
          <w:highlight w:val="none"/>
        </w:rPr>
        <w:t>zxgk.court.gov.cn</w:t>
      </w:r>
      <w:r>
        <w:rPr>
          <w:rFonts w:hint="eastAsia" w:ascii="宋体" w:hAnsi="宋体" w:cs="宋体"/>
          <w:color w:val="auto"/>
          <w:szCs w:val="21"/>
          <w:highlight w:val="none"/>
        </w:rPr>
        <w:t>）和中国政府采购网（</w:t>
      </w:r>
      <w:r>
        <w:rPr>
          <w:rFonts w:ascii="宋体" w:hAnsi="宋体" w:cs="宋体"/>
          <w:color w:val="auto"/>
          <w:szCs w:val="21"/>
          <w:highlight w:val="none"/>
        </w:rPr>
        <w:t>www.ccgp.gov.cn</w:t>
      </w:r>
      <w:r>
        <w:rPr>
          <w:rFonts w:hint="eastAsia" w:ascii="宋体" w:hAnsi="宋体" w:cs="宋体"/>
          <w:color w:val="auto"/>
          <w:szCs w:val="21"/>
          <w:highlight w:val="none"/>
        </w:rPr>
        <w:t>）查询企业的信用记录，列入“中国执行信息公开网”网站的“失信被执行人”、“信用中国”网站的</w:t>
      </w:r>
      <w:r>
        <w:rPr>
          <w:rFonts w:hint="eastAsia" w:ascii="宋体" w:hAnsi="宋体" w:cs="宋体"/>
          <w:color w:val="auto"/>
          <w:highlight w:val="none"/>
        </w:rPr>
        <w:t>“重大税收违法失信主体”</w:t>
      </w:r>
      <w:r>
        <w:rPr>
          <w:rFonts w:hint="eastAsia" w:ascii="宋体" w:hAnsi="宋体" w:cs="宋体"/>
          <w:color w:val="auto"/>
          <w:szCs w:val="21"/>
          <w:highlight w:val="none"/>
        </w:rPr>
        <w:t>和“中国政府采购网”网站的“政府采购严重违法失信行为记录名单”及其他不符合《中华人民共和国政府采购法》第二十二条规定条件的</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，将拒绝参与本次政府采购活动。</w:t>
      </w:r>
    </w:p>
    <w:p>
      <w:pPr>
        <w:adjustRightInd w:val="0"/>
        <w:snapToGrid w:val="0"/>
        <w:spacing w:line="400" w:lineRule="exact"/>
        <w:ind w:firstLine="420" w:firstLineChars="200"/>
        <w:rPr>
          <w:rFonts w:ascii="宋体" w:cs="宋体"/>
          <w:color w:val="auto"/>
          <w:highlight w:val="none"/>
        </w:rPr>
      </w:pPr>
      <w:r>
        <w:rPr>
          <w:rFonts w:hint="eastAsia" w:ascii="宋体" w:hAnsi="宋体" w:cs="宋体"/>
          <w:color w:val="auto"/>
          <w:szCs w:val="21"/>
          <w:highlight w:val="none"/>
        </w:rPr>
        <w:t>在本招标文件规定的查询时间之后，网站信息发生的任何变更均不再作为评标依据。</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自行提供的与网站信息不一致的其他证明材料亦不作为资格审查的依据。信用信息查询记录及相关证据与其他采购文件一并保存。</w:t>
      </w:r>
    </w:p>
    <w:p>
      <w:pPr>
        <w:numPr>
          <w:ilvl w:val="0"/>
          <w:numId w:val="6"/>
        </w:numPr>
        <w:spacing w:line="400" w:lineRule="exact"/>
        <w:ind w:firstLine="422" w:firstLineChars="200"/>
        <w:outlineLvl w:val="1"/>
        <w:rPr>
          <w:rStyle w:val="28"/>
          <w:color w:val="auto"/>
          <w:sz w:val="21"/>
          <w:szCs w:val="21"/>
          <w:highlight w:val="none"/>
        </w:rPr>
      </w:pPr>
      <w:bookmarkStart w:id="337" w:name="_Toc10534"/>
      <w:bookmarkStart w:id="338" w:name="_Toc7802"/>
      <w:bookmarkStart w:id="339" w:name="_Toc28502"/>
      <w:r>
        <w:rPr>
          <w:rStyle w:val="28"/>
          <w:rFonts w:hint="eastAsia"/>
          <w:color w:val="auto"/>
          <w:sz w:val="21"/>
          <w:szCs w:val="21"/>
          <w:highlight w:val="none"/>
        </w:rPr>
        <w:t>需要补充的其他内容</w:t>
      </w:r>
      <w:bookmarkEnd w:id="334"/>
      <w:bookmarkEnd w:id="335"/>
      <w:bookmarkEnd w:id="337"/>
      <w:bookmarkEnd w:id="338"/>
      <w:bookmarkEnd w:id="339"/>
    </w:p>
    <w:p>
      <w:pPr>
        <w:adjustRightInd w:val="0"/>
        <w:snapToGrid w:val="0"/>
        <w:spacing w:line="400" w:lineRule="exact"/>
        <w:ind w:firstLine="420" w:firstLineChars="200"/>
        <w:rPr>
          <w:rFonts w:ascii="宋体" w:cs="宋体"/>
          <w:color w:val="auto"/>
          <w:szCs w:val="21"/>
          <w:highlight w:val="none"/>
        </w:rPr>
      </w:pPr>
      <w:r>
        <w:rPr>
          <w:rFonts w:hint="eastAsia" w:ascii="宋体" w:hAnsi="宋体" w:cs="宋体"/>
          <w:color w:val="auto"/>
          <w:szCs w:val="21"/>
          <w:highlight w:val="none"/>
        </w:rPr>
        <w:t>见</w:t>
      </w:r>
      <w:r>
        <w:rPr>
          <w:rFonts w:hint="eastAsia" w:ascii="宋体" w:hAnsi="宋体" w:cs="宋体"/>
          <w:color w:val="auto"/>
          <w:szCs w:val="21"/>
          <w:highlight w:val="none"/>
          <w:lang w:eastAsia="zh-CN"/>
        </w:rPr>
        <w:t>投标人须知</w:t>
      </w:r>
      <w:r>
        <w:rPr>
          <w:rFonts w:hint="eastAsia" w:ascii="宋体" w:hAnsi="宋体" w:cs="宋体"/>
          <w:color w:val="auto"/>
          <w:szCs w:val="21"/>
          <w:highlight w:val="none"/>
        </w:rPr>
        <w:t>前附表。</w:t>
      </w:r>
      <w:bookmarkEnd w:id="336"/>
    </w:p>
    <w:p>
      <w:pPr>
        <w:rPr>
          <w:highlight w:val="none"/>
        </w:rPr>
      </w:pPr>
      <w:r>
        <w:rPr>
          <w:highlight w:val="none"/>
        </w:rPr>
        <w:br w:type="page"/>
      </w:r>
    </w:p>
    <w:p>
      <w:pPr>
        <w:pStyle w:val="2"/>
        <w:adjustRightInd w:val="0"/>
        <w:snapToGrid w:val="0"/>
        <w:rPr>
          <w:rFonts w:ascii="宋体" w:cs="宋体"/>
          <w:color w:val="auto"/>
          <w:szCs w:val="32"/>
          <w:highlight w:val="none"/>
        </w:rPr>
      </w:pPr>
      <w:bookmarkStart w:id="340" w:name="_Toc28292"/>
      <w:bookmarkStart w:id="341" w:name="_Toc11970"/>
      <w:bookmarkStart w:id="342" w:name="_Toc19667"/>
      <w:bookmarkStart w:id="343" w:name="_Toc7871"/>
      <w:bookmarkStart w:id="344" w:name="_Toc40112138"/>
      <w:r>
        <w:rPr>
          <w:rFonts w:hint="eastAsia" w:ascii="宋体" w:hAnsi="宋体" w:cs="宋体"/>
          <w:color w:val="auto"/>
          <w:szCs w:val="32"/>
          <w:highlight w:val="none"/>
        </w:rPr>
        <w:t>第三章</w:t>
      </w:r>
      <w:r>
        <w:rPr>
          <w:rFonts w:ascii="宋体" w:hAnsi="宋体" w:cs="宋体"/>
          <w:color w:val="auto"/>
          <w:szCs w:val="32"/>
          <w:highlight w:val="none"/>
        </w:rPr>
        <w:t xml:space="preserve">  </w:t>
      </w:r>
      <w:r>
        <w:rPr>
          <w:rFonts w:hint="eastAsia" w:ascii="宋体" w:hAnsi="宋体" w:cs="宋体"/>
          <w:color w:val="auto"/>
          <w:szCs w:val="32"/>
          <w:highlight w:val="none"/>
        </w:rPr>
        <w:t>资格审查</w:t>
      </w:r>
      <w:bookmarkEnd w:id="340"/>
      <w:bookmarkEnd w:id="341"/>
      <w:bookmarkEnd w:id="342"/>
      <w:bookmarkEnd w:id="343"/>
      <w:bookmarkEnd w:id="344"/>
    </w:p>
    <w:p>
      <w:pPr>
        <w:pStyle w:val="4"/>
        <w:adjustRightInd w:val="0"/>
        <w:snapToGrid w:val="0"/>
        <w:ind w:left="482"/>
        <w:jc w:val="center"/>
        <w:rPr>
          <w:rFonts w:hint="eastAsia" w:ascii="宋体" w:eastAsia="宋体" w:cs="宋体"/>
          <w:color w:val="auto"/>
          <w:sz w:val="24"/>
          <w:szCs w:val="24"/>
          <w:highlight w:val="none"/>
          <w:lang w:eastAsia="zh-CN"/>
        </w:rPr>
      </w:pPr>
      <w:bookmarkStart w:id="345" w:name="_Toc6735"/>
      <w:bookmarkStart w:id="346" w:name="_Toc11714"/>
      <w:bookmarkStart w:id="347" w:name="_Toc21173"/>
      <w:bookmarkStart w:id="348" w:name="_Toc30398"/>
      <w:bookmarkStart w:id="349" w:name="_Toc27205"/>
      <w:bookmarkStart w:id="350" w:name="_Toc28519"/>
      <w:bookmarkStart w:id="351" w:name="_Toc13197"/>
      <w:bookmarkStart w:id="352" w:name="_Toc16729"/>
      <w:bookmarkStart w:id="353" w:name="_Toc27033"/>
      <w:r>
        <w:rPr>
          <w:rFonts w:hint="eastAsia" w:ascii="宋体" w:hAnsi="宋体" w:cs="宋体"/>
          <w:color w:val="auto"/>
          <w:sz w:val="24"/>
          <w:szCs w:val="24"/>
          <w:highlight w:val="none"/>
        </w:rPr>
        <w:t>资格审查前附表</w:t>
      </w:r>
      <w:bookmarkEnd w:id="345"/>
      <w:bookmarkEnd w:id="346"/>
      <w:bookmarkEnd w:id="347"/>
      <w:bookmarkEnd w:id="348"/>
      <w:bookmarkEnd w:id="349"/>
      <w:bookmarkEnd w:id="350"/>
      <w:bookmarkEnd w:id="351"/>
      <w:bookmarkEnd w:id="352"/>
      <w:bookmarkEnd w:id="353"/>
    </w:p>
    <w:tbl>
      <w:tblPr>
        <w:tblStyle w:val="23"/>
        <w:tblpPr w:leftFromText="180" w:rightFromText="180" w:vertAnchor="text" w:horzAnchor="page" w:tblpX="1455" w:tblpY="71"/>
        <w:tblOverlap w:val="never"/>
        <w:tblW w:w="92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3104"/>
        <w:gridCol w:w="5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972" w:type="dxa"/>
            <w:vAlign w:val="center"/>
          </w:tcPr>
          <w:p>
            <w:pPr>
              <w:widowControl/>
              <w:adjustRightInd w:val="0"/>
              <w:snapToGrid w:val="0"/>
              <w:spacing w:line="360" w:lineRule="auto"/>
              <w:jc w:val="center"/>
              <w:rPr>
                <w:rFonts w:ascii="宋体" w:cs="宋体"/>
                <w:color w:val="auto"/>
                <w:kern w:val="0"/>
                <w:sz w:val="24"/>
                <w:highlight w:val="none"/>
              </w:rPr>
            </w:pPr>
            <w:r>
              <w:rPr>
                <w:rFonts w:hint="eastAsia" w:ascii="宋体" w:hAnsi="宋体" w:cs="宋体"/>
                <w:color w:val="auto"/>
                <w:kern w:val="0"/>
                <w:sz w:val="24"/>
                <w:highlight w:val="none"/>
              </w:rPr>
              <w:t>条款</w:t>
            </w:r>
          </w:p>
        </w:tc>
        <w:tc>
          <w:tcPr>
            <w:tcW w:w="3104" w:type="dxa"/>
            <w:vAlign w:val="center"/>
          </w:tcPr>
          <w:p>
            <w:pPr>
              <w:widowControl/>
              <w:adjustRightInd w:val="0"/>
              <w:snapToGrid w:val="0"/>
              <w:spacing w:line="360" w:lineRule="auto"/>
              <w:jc w:val="center"/>
              <w:rPr>
                <w:rFonts w:ascii="宋体" w:cs="宋体"/>
                <w:color w:val="auto"/>
                <w:kern w:val="0"/>
                <w:sz w:val="24"/>
                <w:highlight w:val="none"/>
              </w:rPr>
            </w:pPr>
            <w:r>
              <w:rPr>
                <w:rFonts w:hint="eastAsia" w:ascii="宋体" w:hAnsi="宋体" w:cs="宋体"/>
                <w:color w:val="auto"/>
                <w:kern w:val="0"/>
                <w:sz w:val="24"/>
                <w:highlight w:val="none"/>
              </w:rPr>
              <w:t>评审因素</w:t>
            </w:r>
          </w:p>
        </w:tc>
        <w:tc>
          <w:tcPr>
            <w:tcW w:w="5153" w:type="dxa"/>
            <w:vAlign w:val="center"/>
          </w:tcPr>
          <w:p>
            <w:pPr>
              <w:widowControl/>
              <w:adjustRightInd w:val="0"/>
              <w:snapToGrid w:val="0"/>
              <w:spacing w:line="360" w:lineRule="auto"/>
              <w:jc w:val="center"/>
              <w:rPr>
                <w:rFonts w:ascii="宋体" w:cs="宋体"/>
                <w:color w:val="auto"/>
                <w:kern w:val="0"/>
                <w:sz w:val="24"/>
                <w:highlight w:val="none"/>
              </w:rPr>
            </w:pPr>
            <w:r>
              <w:rPr>
                <w:rFonts w:hint="eastAsia" w:ascii="宋体" w:hAnsi="宋体" w:cs="宋体"/>
                <w:color w:val="auto"/>
                <w:kern w:val="0"/>
                <w:sz w:val="24"/>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2" w:type="dxa"/>
            <w:vMerge w:val="restart"/>
            <w:vAlign w:val="center"/>
          </w:tcPr>
          <w:p>
            <w:pPr>
              <w:widowControl/>
              <w:adjustRightInd w:val="0"/>
              <w:snapToGrid w:val="0"/>
              <w:spacing w:line="360" w:lineRule="auto"/>
              <w:jc w:val="center"/>
              <w:rPr>
                <w:rFonts w:ascii="宋体" w:cs="宋体"/>
                <w:color w:val="auto"/>
                <w:kern w:val="0"/>
                <w:sz w:val="24"/>
                <w:highlight w:val="none"/>
              </w:rPr>
            </w:pPr>
            <w:r>
              <w:rPr>
                <w:rFonts w:hint="eastAsia" w:ascii="宋体" w:hAnsi="宋体" w:cs="宋体"/>
                <w:color w:val="auto"/>
                <w:sz w:val="24"/>
                <w:highlight w:val="none"/>
              </w:rPr>
              <w:t>资格审查</w:t>
            </w:r>
            <w:r>
              <w:rPr>
                <w:rFonts w:hint="eastAsia" w:ascii="宋体" w:hAnsi="宋体" w:cs="宋体"/>
                <w:color w:val="auto"/>
                <w:kern w:val="0"/>
                <w:sz w:val="24"/>
                <w:highlight w:val="none"/>
              </w:rPr>
              <w:t>标准</w:t>
            </w:r>
          </w:p>
        </w:tc>
        <w:tc>
          <w:tcPr>
            <w:tcW w:w="3104" w:type="dxa"/>
            <w:vAlign w:val="center"/>
          </w:tcPr>
          <w:p>
            <w:pPr>
              <w:widowControl/>
              <w:adjustRightInd w:val="0"/>
              <w:snapToGrid w:val="0"/>
              <w:spacing w:line="360" w:lineRule="auto"/>
              <w:jc w:val="center"/>
              <w:rPr>
                <w:rFonts w:ascii="宋体" w:cs="宋体"/>
                <w:color w:val="auto"/>
                <w:sz w:val="24"/>
                <w:highlight w:val="none"/>
              </w:rPr>
            </w:pPr>
            <w:r>
              <w:rPr>
                <w:rFonts w:hint="eastAsia" w:ascii="宋体" w:hAnsi="宋体" w:cs="宋体"/>
                <w:color w:val="auto"/>
                <w:sz w:val="24"/>
                <w:highlight w:val="none"/>
              </w:rPr>
              <w:t>应在中华人民共和国境内注册，具有独立承担民事责任的能力</w:t>
            </w:r>
          </w:p>
        </w:tc>
        <w:tc>
          <w:tcPr>
            <w:tcW w:w="5153" w:type="dxa"/>
            <w:vAlign w:val="center"/>
          </w:tcPr>
          <w:p>
            <w:pPr>
              <w:widowControl/>
              <w:adjustRightInd w:val="0"/>
              <w:snapToGrid w:val="0"/>
              <w:spacing w:line="360" w:lineRule="auto"/>
              <w:jc w:val="center"/>
              <w:rPr>
                <w:rFonts w:ascii="宋体" w:cs="宋体"/>
                <w:color w:val="auto"/>
                <w:sz w:val="24"/>
                <w:highlight w:val="none"/>
              </w:rPr>
            </w:pPr>
            <w:r>
              <w:rPr>
                <w:rFonts w:hint="eastAsia" w:ascii="宋体" w:hAnsi="宋体" w:cs="宋体"/>
                <w:color w:val="auto"/>
                <w:sz w:val="24"/>
                <w:highlight w:val="none"/>
              </w:rPr>
              <w:t>提供营业执照或自然人的身份证明等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72" w:type="dxa"/>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3104" w:type="dxa"/>
            <w:vAlign w:val="top"/>
          </w:tcPr>
          <w:p>
            <w:pPr>
              <w:pStyle w:val="32"/>
              <w:spacing w:before="113" w:line="308" w:lineRule="auto"/>
              <w:ind w:right="190"/>
              <w:jc w:val="both"/>
              <w:rPr>
                <w:rFonts w:hint="eastAsia" w:ascii="宋体" w:hAnsi="宋体" w:cs="宋体"/>
                <w:color w:val="auto"/>
                <w:sz w:val="24"/>
                <w:highlight w:val="none"/>
              </w:rPr>
            </w:pPr>
            <w:r>
              <w:rPr>
                <w:rFonts w:hint="eastAsia" w:ascii="宋体" w:hAnsi="宋体" w:eastAsia="宋体" w:cs="宋体"/>
                <w:color w:val="auto"/>
                <w:kern w:val="2"/>
                <w:sz w:val="24"/>
                <w:szCs w:val="24"/>
                <w:highlight w:val="none"/>
                <w:lang w:val="en-US" w:eastAsia="zh-CN" w:bidi="ar-SA"/>
              </w:rPr>
              <w:t>投标人必须为所投车辆的生产企业（须提供承诺函），</w:t>
            </w:r>
            <w:r>
              <w:rPr>
                <w:rFonts w:hint="default" w:ascii="宋体" w:hAnsi="宋体" w:eastAsia="宋体" w:cs="宋体"/>
                <w:color w:val="auto"/>
                <w:kern w:val="2"/>
                <w:sz w:val="24"/>
                <w:szCs w:val="24"/>
                <w:highlight w:val="none"/>
                <w:lang w:val="en-US" w:eastAsia="zh-CN" w:bidi="ar-SA"/>
              </w:rPr>
              <w:t>交车时（整车）必须是已取得中华人民共和国工业和信息化部发布的对应车型《道路机动车辆生产企业及产品公告》的合格产品（须提供工信部官方查询平台查询截图和网址链接）</w:t>
            </w:r>
          </w:p>
        </w:tc>
        <w:tc>
          <w:tcPr>
            <w:tcW w:w="5153" w:type="dxa"/>
            <w:vAlign w:val="top"/>
          </w:tcPr>
          <w:p>
            <w:pPr>
              <w:spacing w:line="245" w:lineRule="auto"/>
              <w:rPr>
                <w:rFonts w:ascii="Arial"/>
                <w:sz w:val="21"/>
                <w:highlight w:val="none"/>
              </w:rPr>
            </w:pPr>
          </w:p>
          <w:p>
            <w:pPr>
              <w:spacing w:line="245" w:lineRule="auto"/>
              <w:rPr>
                <w:rFonts w:ascii="Arial"/>
                <w:sz w:val="21"/>
                <w:highlight w:val="none"/>
              </w:rPr>
            </w:pPr>
          </w:p>
          <w:p>
            <w:pPr>
              <w:spacing w:line="246" w:lineRule="auto"/>
              <w:rPr>
                <w:rFonts w:ascii="Arial"/>
                <w:sz w:val="21"/>
                <w:highlight w:val="none"/>
              </w:rPr>
            </w:pPr>
          </w:p>
          <w:p>
            <w:pPr>
              <w:spacing w:line="246" w:lineRule="auto"/>
              <w:rPr>
                <w:rFonts w:ascii="Arial"/>
                <w:sz w:val="21"/>
                <w:highlight w:val="none"/>
              </w:rPr>
            </w:pPr>
          </w:p>
          <w:p>
            <w:pPr>
              <w:spacing w:line="246" w:lineRule="auto"/>
              <w:rPr>
                <w:rFonts w:ascii="Arial"/>
                <w:sz w:val="21"/>
                <w:highlight w:val="none"/>
              </w:rPr>
            </w:pPr>
          </w:p>
          <w:p>
            <w:pPr>
              <w:pStyle w:val="32"/>
              <w:spacing w:before="78" w:line="219" w:lineRule="auto"/>
              <w:ind w:left="118" w:leftChars="0"/>
              <w:rPr>
                <w:rFonts w:hint="eastAsia"/>
                <w:color w:val="auto"/>
                <w:sz w:val="24"/>
                <w:szCs w:val="24"/>
                <w:highlight w:val="none"/>
                <w:lang w:eastAsia="zh-CN"/>
              </w:rPr>
            </w:pPr>
            <w:r>
              <w:rPr>
                <w:spacing w:val="-2"/>
                <w:highlight w:val="none"/>
              </w:rPr>
              <w:t>须提供承诺函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972" w:type="dxa"/>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3104" w:type="dxa"/>
            <w:vAlign w:val="top"/>
          </w:tcPr>
          <w:p>
            <w:pPr>
              <w:jc w:val="center"/>
              <w:rPr>
                <w:rFonts w:hint="eastAsia"/>
                <w:highlight w:val="none"/>
              </w:rPr>
            </w:pPr>
            <w:r>
              <w:rPr>
                <w:rFonts w:hint="eastAsia" w:ascii="宋体" w:hAnsi="宋体" w:cs="宋体"/>
                <w:color w:val="auto"/>
                <w:sz w:val="24"/>
                <w:highlight w:val="none"/>
                <w:lang w:val="en-US" w:eastAsia="zh-CN"/>
              </w:rPr>
              <w:t>投标人必须为所投车辆的生产企业</w:t>
            </w:r>
          </w:p>
        </w:tc>
        <w:tc>
          <w:tcPr>
            <w:tcW w:w="5153" w:type="dxa"/>
            <w:vAlign w:val="top"/>
          </w:tcPr>
          <w:p>
            <w:pPr>
              <w:pStyle w:val="32"/>
              <w:spacing w:before="227" w:line="219" w:lineRule="auto"/>
              <w:ind w:left="118" w:leftChars="0"/>
              <w:rPr>
                <w:rFonts w:hint="eastAsia"/>
                <w:color w:val="auto"/>
                <w:sz w:val="24"/>
                <w:szCs w:val="24"/>
                <w:highlight w:val="none"/>
                <w:lang w:eastAsia="zh-CN"/>
              </w:rPr>
            </w:pPr>
            <w:r>
              <w:rPr>
                <w:spacing w:val="-2"/>
                <w:highlight w:val="none"/>
              </w:rPr>
              <w:t>须提供承诺函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72" w:type="dxa"/>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3104" w:type="dxa"/>
            <w:vAlign w:val="center"/>
          </w:tcPr>
          <w:p>
            <w:pPr>
              <w:widowControl/>
              <w:adjustRightInd w:val="0"/>
              <w:snapToGrid w:val="0"/>
              <w:spacing w:line="360" w:lineRule="auto"/>
              <w:jc w:val="center"/>
              <w:rPr>
                <w:rFonts w:ascii="宋体" w:cs="宋体"/>
                <w:color w:val="auto"/>
                <w:kern w:val="0"/>
                <w:sz w:val="24"/>
                <w:highlight w:val="none"/>
              </w:rPr>
            </w:pPr>
            <w:r>
              <w:rPr>
                <w:rFonts w:hint="eastAsia" w:ascii="宋体" w:hAnsi="宋体" w:cs="宋体"/>
                <w:color w:val="auto"/>
                <w:sz w:val="24"/>
                <w:highlight w:val="none"/>
              </w:rPr>
              <w:t>具有良好的商业信誉和健全的财务会计制度</w:t>
            </w:r>
          </w:p>
        </w:tc>
        <w:tc>
          <w:tcPr>
            <w:tcW w:w="5153" w:type="dxa"/>
            <w:vAlign w:val="center"/>
          </w:tcPr>
          <w:p>
            <w:pPr>
              <w:widowControl/>
              <w:adjustRightInd w:val="0"/>
              <w:snapToGrid w:val="0"/>
              <w:spacing w:line="360" w:lineRule="auto"/>
              <w:rPr>
                <w:rFonts w:ascii="宋体" w:cs="宋体"/>
                <w:color w:val="auto"/>
                <w:kern w:val="0"/>
                <w:sz w:val="24"/>
                <w:highlight w:val="none"/>
              </w:rPr>
            </w:pPr>
            <w:r>
              <w:rPr>
                <w:rFonts w:hint="eastAsia"/>
                <w:color w:val="auto"/>
                <w:sz w:val="24"/>
                <w:szCs w:val="24"/>
                <w:highlight w:val="none"/>
                <w:lang w:eastAsia="zh-CN"/>
              </w:rPr>
              <w:t>须提供</w:t>
            </w:r>
            <w:r>
              <w:rPr>
                <w:color w:val="auto"/>
                <w:sz w:val="24"/>
                <w:szCs w:val="24"/>
                <w:highlight w:val="none"/>
                <w:lang w:eastAsia="zh-CN"/>
              </w:rPr>
              <w:t>202</w:t>
            </w:r>
            <w:r>
              <w:rPr>
                <w:rFonts w:hint="eastAsia"/>
                <w:color w:val="auto"/>
                <w:sz w:val="24"/>
                <w:szCs w:val="24"/>
                <w:highlight w:val="none"/>
                <w:lang w:val="en-US" w:eastAsia="zh-CN"/>
              </w:rPr>
              <w:t>2</w:t>
            </w:r>
            <w:r>
              <w:rPr>
                <w:rFonts w:hint="eastAsia"/>
                <w:color w:val="auto"/>
                <w:sz w:val="24"/>
                <w:szCs w:val="24"/>
                <w:highlight w:val="none"/>
                <w:lang w:eastAsia="zh-CN"/>
              </w:rPr>
              <w:t>年度</w:t>
            </w:r>
            <w:r>
              <w:rPr>
                <w:rFonts w:hint="eastAsia"/>
                <w:color w:val="auto"/>
                <w:sz w:val="24"/>
                <w:szCs w:val="24"/>
                <w:highlight w:val="none"/>
                <w:lang w:val="en-US" w:eastAsia="zh-CN"/>
              </w:rPr>
              <w:t>或2023年度</w:t>
            </w:r>
            <w:r>
              <w:rPr>
                <w:rFonts w:hint="eastAsia"/>
                <w:color w:val="auto"/>
                <w:sz w:val="24"/>
                <w:szCs w:val="24"/>
                <w:highlight w:val="none"/>
                <w:lang w:eastAsia="zh-CN"/>
              </w:rPr>
              <w:t>经会计师事务所或第三方审计机构审计后的财务报告（须包括资产负债表、现金流量表、利润表和附注</w:t>
            </w:r>
            <w:r>
              <w:rPr>
                <w:color w:val="auto"/>
                <w:sz w:val="24"/>
                <w:szCs w:val="24"/>
                <w:highlight w:val="none"/>
                <w:lang w:eastAsia="zh-CN"/>
              </w:rPr>
              <w:t>)</w:t>
            </w:r>
            <w:r>
              <w:rPr>
                <w:rFonts w:hint="eastAsia"/>
                <w:color w:val="auto"/>
                <w:sz w:val="24"/>
                <w:szCs w:val="24"/>
                <w:highlight w:val="none"/>
                <w:lang w:eastAsia="zh-CN"/>
              </w:rPr>
              <w:t>，新成立企业自成立之日起不足一年的须提供基本开户行出具的银行资信证明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972" w:type="dxa"/>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3104" w:type="dxa"/>
            <w:vAlign w:val="center"/>
          </w:tcPr>
          <w:p>
            <w:pPr>
              <w:widowControl/>
              <w:adjustRightInd w:val="0"/>
              <w:snapToGrid w:val="0"/>
              <w:spacing w:line="360" w:lineRule="auto"/>
              <w:jc w:val="center"/>
              <w:rPr>
                <w:rFonts w:ascii="宋体" w:cs="宋体"/>
                <w:color w:val="auto"/>
                <w:kern w:val="0"/>
                <w:sz w:val="24"/>
                <w:highlight w:val="none"/>
              </w:rPr>
            </w:pPr>
            <w:r>
              <w:rPr>
                <w:rFonts w:hint="eastAsia" w:ascii="宋体" w:hAnsi="宋体" w:cs="宋体"/>
                <w:color w:val="auto"/>
                <w:sz w:val="24"/>
                <w:highlight w:val="none"/>
              </w:rPr>
              <w:t>具有履行合同所必需的设备和专业技术能力</w:t>
            </w:r>
          </w:p>
        </w:tc>
        <w:tc>
          <w:tcPr>
            <w:tcW w:w="5153" w:type="dxa"/>
            <w:vAlign w:val="center"/>
          </w:tcPr>
          <w:p>
            <w:pPr>
              <w:widowControl/>
              <w:adjustRightInd w:val="0"/>
              <w:snapToGrid w:val="0"/>
              <w:spacing w:line="360" w:lineRule="auto"/>
              <w:rPr>
                <w:rFonts w:ascii="宋体" w:cs="宋体"/>
                <w:color w:val="auto"/>
                <w:kern w:val="0"/>
                <w:sz w:val="24"/>
                <w:highlight w:val="none"/>
              </w:rPr>
            </w:pPr>
            <w:r>
              <w:rPr>
                <w:rFonts w:hint="eastAsia" w:ascii="宋体" w:hAnsi="宋体" w:eastAsia="宋体" w:cs="宋体"/>
                <w:b w:val="0"/>
                <w:bCs w:val="0"/>
                <w:color w:val="auto"/>
                <w:sz w:val="24"/>
                <w:szCs w:val="24"/>
                <w:highlight w:val="none"/>
              </w:rPr>
              <w:t>(须提供承诺函，</w:t>
            </w:r>
            <w:r>
              <w:rPr>
                <w:rFonts w:hint="eastAsia" w:ascii="宋体" w:hAnsi="宋体" w:cs="宋体"/>
                <w:b w:val="0"/>
                <w:bCs w:val="0"/>
                <w:color w:val="auto"/>
                <w:sz w:val="24"/>
                <w:szCs w:val="24"/>
                <w:highlight w:val="none"/>
                <w:lang w:eastAsia="zh-CN"/>
              </w:rPr>
              <w:t>格式自拟</w:t>
            </w:r>
            <w:r>
              <w:rPr>
                <w:rFonts w:hint="eastAsia" w:ascii="宋体" w:hAnsi="宋体" w:eastAsia="宋体" w:cs="宋体"/>
                <w:b w:val="0"/>
                <w:bCs w:val="0"/>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972" w:type="dxa"/>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3104" w:type="dxa"/>
            <w:vAlign w:val="center"/>
          </w:tcPr>
          <w:p>
            <w:pPr>
              <w:widowControl/>
              <w:adjustRightInd w:val="0"/>
              <w:snapToGrid w:val="0"/>
              <w:spacing w:line="360" w:lineRule="auto"/>
              <w:jc w:val="center"/>
              <w:rPr>
                <w:rFonts w:hint="default" w:ascii="宋体" w:eastAsia="宋体" w:cs="宋体"/>
                <w:color w:val="auto"/>
                <w:kern w:val="0"/>
                <w:sz w:val="24"/>
                <w:highlight w:val="none"/>
                <w:lang w:val="en-US" w:eastAsia="zh-CN"/>
              </w:rPr>
            </w:pPr>
            <w:r>
              <w:rPr>
                <w:rFonts w:hint="eastAsia" w:ascii="宋体" w:hAnsi="宋体" w:cs="宋体"/>
                <w:color w:val="auto"/>
                <w:sz w:val="24"/>
                <w:highlight w:val="none"/>
              </w:rPr>
              <w:t>依法缴纳税收</w:t>
            </w:r>
            <w:r>
              <w:rPr>
                <w:rFonts w:hint="eastAsia" w:ascii="宋体" w:hAnsi="宋体" w:cs="宋体"/>
                <w:color w:val="auto"/>
                <w:sz w:val="24"/>
                <w:highlight w:val="none"/>
                <w:lang w:val="en-US" w:eastAsia="zh-CN"/>
              </w:rPr>
              <w:t>和社会保障资金</w:t>
            </w:r>
          </w:p>
        </w:tc>
        <w:tc>
          <w:tcPr>
            <w:tcW w:w="5153" w:type="dxa"/>
            <w:vAlign w:val="center"/>
          </w:tcPr>
          <w:p>
            <w:pPr>
              <w:widowControl/>
              <w:adjustRightInd w:val="0"/>
              <w:snapToGrid w:val="0"/>
              <w:spacing w:line="360" w:lineRule="auto"/>
              <w:rPr>
                <w:rFonts w:ascii="宋体" w:cs="宋体"/>
                <w:color w:val="auto"/>
                <w:kern w:val="0"/>
                <w:sz w:val="24"/>
                <w:highlight w:val="none"/>
              </w:rPr>
            </w:pPr>
            <w:r>
              <w:rPr>
                <w:rFonts w:hint="eastAsia"/>
                <w:color w:val="auto"/>
                <w:sz w:val="24"/>
                <w:szCs w:val="24"/>
                <w:highlight w:val="none"/>
                <w:lang w:eastAsia="zh-CN"/>
              </w:rPr>
              <w:t>提供</w:t>
            </w:r>
            <w:r>
              <w:rPr>
                <w:color w:val="auto"/>
                <w:sz w:val="24"/>
                <w:szCs w:val="24"/>
                <w:highlight w:val="none"/>
                <w:lang w:eastAsia="zh-CN"/>
              </w:rPr>
              <w:t>202</w:t>
            </w:r>
            <w:r>
              <w:rPr>
                <w:rFonts w:hint="eastAsia"/>
                <w:color w:val="auto"/>
                <w:sz w:val="24"/>
                <w:szCs w:val="24"/>
                <w:highlight w:val="none"/>
                <w:lang w:val="en-US" w:eastAsia="zh-CN"/>
              </w:rPr>
              <w:t>4</w:t>
            </w:r>
            <w:r>
              <w:rPr>
                <w:rFonts w:hint="eastAsia"/>
                <w:color w:val="auto"/>
                <w:sz w:val="24"/>
                <w:szCs w:val="24"/>
                <w:highlight w:val="none"/>
                <w:lang w:eastAsia="zh-CN"/>
              </w:rPr>
              <w:t>年</w:t>
            </w:r>
            <w:r>
              <w:rPr>
                <w:color w:val="auto"/>
                <w:sz w:val="24"/>
                <w:szCs w:val="24"/>
                <w:highlight w:val="none"/>
                <w:lang w:eastAsia="zh-CN"/>
              </w:rPr>
              <w:t>1</w:t>
            </w:r>
            <w:r>
              <w:rPr>
                <w:rFonts w:hint="eastAsia"/>
                <w:color w:val="auto"/>
                <w:sz w:val="24"/>
                <w:szCs w:val="24"/>
                <w:highlight w:val="none"/>
                <w:lang w:eastAsia="zh-CN"/>
              </w:rPr>
              <w:t>月</w:t>
            </w:r>
            <w:r>
              <w:rPr>
                <w:color w:val="auto"/>
                <w:sz w:val="24"/>
                <w:szCs w:val="24"/>
                <w:highlight w:val="none"/>
                <w:lang w:eastAsia="zh-CN"/>
              </w:rPr>
              <w:t>1</w:t>
            </w:r>
            <w:r>
              <w:rPr>
                <w:rFonts w:hint="eastAsia"/>
                <w:color w:val="auto"/>
                <w:sz w:val="24"/>
                <w:szCs w:val="24"/>
                <w:highlight w:val="none"/>
                <w:lang w:eastAsia="zh-CN"/>
              </w:rPr>
              <w:t>日以来任意</w:t>
            </w:r>
            <w:r>
              <w:rPr>
                <w:color w:val="auto"/>
                <w:sz w:val="24"/>
                <w:szCs w:val="24"/>
                <w:highlight w:val="none"/>
                <w:lang w:eastAsia="zh-CN"/>
              </w:rPr>
              <w:t>1</w:t>
            </w:r>
            <w:r>
              <w:rPr>
                <w:rFonts w:hint="eastAsia"/>
                <w:color w:val="auto"/>
                <w:sz w:val="24"/>
                <w:szCs w:val="24"/>
                <w:highlight w:val="none"/>
                <w:lang w:eastAsia="zh-CN"/>
              </w:rPr>
              <w:t>个月依法缴纳税收的相关证明，依法免税的，应提供相应证明文件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972" w:type="dxa"/>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3104" w:type="dxa"/>
            <w:vAlign w:val="center"/>
          </w:tcPr>
          <w:p>
            <w:pPr>
              <w:widowControl/>
              <w:adjustRightInd w:val="0"/>
              <w:snapToGrid w:val="0"/>
              <w:spacing w:line="360" w:lineRule="auto"/>
              <w:jc w:val="center"/>
              <w:rPr>
                <w:rFonts w:ascii="宋体" w:cs="宋体"/>
                <w:color w:val="auto"/>
                <w:kern w:val="0"/>
                <w:sz w:val="24"/>
                <w:highlight w:val="none"/>
              </w:rPr>
            </w:pPr>
            <w:r>
              <w:rPr>
                <w:rFonts w:hint="eastAsia" w:ascii="宋体" w:hAnsi="宋体" w:cs="宋体"/>
                <w:color w:val="auto"/>
                <w:kern w:val="0"/>
                <w:sz w:val="24"/>
                <w:highlight w:val="none"/>
              </w:rPr>
              <w:t>参加政府采购活动前三年内，在经营活动中没有重大违法记录</w:t>
            </w:r>
          </w:p>
        </w:tc>
        <w:tc>
          <w:tcPr>
            <w:tcW w:w="5153" w:type="dxa"/>
            <w:vAlign w:val="center"/>
          </w:tcPr>
          <w:p>
            <w:pPr>
              <w:widowControl/>
              <w:adjustRightInd w:val="0"/>
              <w:snapToGrid w:val="0"/>
              <w:spacing w:line="360" w:lineRule="auto"/>
              <w:rPr>
                <w:rFonts w:ascii="宋体" w:cs="宋体"/>
                <w:color w:val="auto"/>
                <w:kern w:val="0"/>
                <w:sz w:val="24"/>
                <w:highlight w:val="none"/>
              </w:rPr>
            </w:pPr>
            <w:r>
              <w:rPr>
                <w:rFonts w:hint="eastAsia" w:ascii="宋体" w:hAnsi="宋体" w:eastAsia="宋体" w:cs="宋体"/>
                <w:b w:val="0"/>
                <w:bCs w:val="0"/>
                <w:color w:val="auto"/>
                <w:sz w:val="24"/>
                <w:szCs w:val="24"/>
                <w:highlight w:val="none"/>
              </w:rPr>
              <w:t>(须提供承诺函，</w:t>
            </w:r>
            <w:r>
              <w:rPr>
                <w:rFonts w:hint="eastAsia" w:ascii="宋体" w:hAnsi="宋体" w:cs="宋体"/>
                <w:b w:val="0"/>
                <w:bCs w:val="0"/>
                <w:color w:val="auto"/>
                <w:sz w:val="24"/>
                <w:szCs w:val="24"/>
                <w:highlight w:val="none"/>
                <w:lang w:eastAsia="zh-CN"/>
              </w:rPr>
              <w:t>格式自拟</w:t>
            </w:r>
            <w:r>
              <w:rPr>
                <w:rFonts w:hint="eastAsia" w:ascii="宋体" w:hAnsi="宋体" w:eastAsia="宋体" w:cs="宋体"/>
                <w:b w:val="0"/>
                <w:bCs w:val="0"/>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72" w:type="dxa"/>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3104" w:type="dxa"/>
            <w:vAlign w:val="center"/>
          </w:tcPr>
          <w:p>
            <w:pPr>
              <w:widowControl/>
              <w:adjustRightInd w:val="0"/>
              <w:snapToGrid w:val="0"/>
              <w:spacing w:line="360" w:lineRule="auto"/>
              <w:jc w:val="center"/>
              <w:rPr>
                <w:rFonts w:ascii="宋体" w:cs="宋体"/>
                <w:color w:val="auto"/>
                <w:kern w:val="0"/>
                <w:sz w:val="24"/>
                <w:highlight w:val="none"/>
              </w:rPr>
            </w:pPr>
            <w:r>
              <w:rPr>
                <w:rFonts w:hint="eastAsia" w:ascii="宋体" w:hAnsi="宋体" w:cs="宋体"/>
                <w:color w:val="auto"/>
                <w:sz w:val="24"/>
                <w:highlight w:val="none"/>
              </w:rPr>
              <w:t>单位负责人为同一人或者存在直接控股、管理关系的不同供应商，不得参加同一合同项下的政府采购活动</w:t>
            </w:r>
          </w:p>
        </w:tc>
        <w:tc>
          <w:tcPr>
            <w:tcW w:w="5153" w:type="dxa"/>
            <w:vAlign w:val="center"/>
          </w:tcPr>
          <w:p>
            <w:pPr>
              <w:widowControl/>
              <w:adjustRightInd w:val="0"/>
              <w:snapToGrid w:val="0"/>
              <w:spacing w:line="360" w:lineRule="auto"/>
              <w:rPr>
                <w:rFonts w:ascii="宋体" w:cs="宋体"/>
                <w:color w:val="auto"/>
                <w:kern w:val="0"/>
                <w:sz w:val="24"/>
                <w:highlight w:val="none"/>
              </w:rPr>
            </w:pPr>
            <w:r>
              <w:rPr>
                <w:rFonts w:hint="eastAsia" w:ascii="宋体" w:hAnsi="宋体" w:eastAsia="宋体" w:cs="宋体"/>
                <w:b w:val="0"/>
                <w:bCs w:val="0"/>
                <w:color w:val="auto"/>
                <w:sz w:val="24"/>
                <w:szCs w:val="24"/>
                <w:highlight w:val="none"/>
              </w:rPr>
              <w:t>(须提供承诺函，</w:t>
            </w:r>
            <w:r>
              <w:rPr>
                <w:rFonts w:hint="eastAsia" w:ascii="宋体" w:hAnsi="宋体" w:cs="宋体"/>
                <w:b w:val="0"/>
                <w:bCs w:val="0"/>
                <w:color w:val="auto"/>
                <w:sz w:val="24"/>
                <w:szCs w:val="24"/>
                <w:highlight w:val="none"/>
                <w:lang w:eastAsia="zh-CN"/>
              </w:rPr>
              <w:t>格式自拟</w:t>
            </w:r>
            <w:r>
              <w:rPr>
                <w:rFonts w:hint="eastAsia" w:ascii="宋体" w:hAnsi="宋体" w:eastAsia="宋体" w:cs="宋体"/>
                <w:b w:val="0"/>
                <w:bCs w:val="0"/>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9" w:hRule="atLeast"/>
        </w:trPr>
        <w:tc>
          <w:tcPr>
            <w:tcW w:w="972" w:type="dxa"/>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3104" w:type="dxa"/>
            <w:vAlign w:val="center"/>
          </w:tcPr>
          <w:p>
            <w:pPr>
              <w:widowControl/>
              <w:adjustRightInd w:val="0"/>
              <w:snapToGrid w:val="0"/>
              <w:spacing w:line="360" w:lineRule="auto"/>
              <w:jc w:val="center"/>
              <w:rPr>
                <w:rFonts w:ascii="宋体" w:cs="宋体"/>
                <w:color w:val="auto"/>
                <w:kern w:val="0"/>
                <w:sz w:val="24"/>
                <w:highlight w:val="none"/>
              </w:rPr>
            </w:pPr>
            <w:r>
              <w:rPr>
                <w:rFonts w:hint="eastAsia" w:ascii="宋体" w:hAnsi="宋体" w:cs="宋体"/>
                <w:color w:val="auto"/>
                <w:kern w:val="0"/>
                <w:sz w:val="24"/>
                <w:highlight w:val="none"/>
              </w:rPr>
              <w:t>信用记录</w:t>
            </w:r>
          </w:p>
        </w:tc>
        <w:tc>
          <w:tcPr>
            <w:tcW w:w="5153" w:type="dxa"/>
            <w:vAlign w:val="center"/>
          </w:tcPr>
          <w:p>
            <w:pPr>
              <w:widowControl/>
              <w:adjustRightInd w:val="0"/>
              <w:snapToGrid w:val="0"/>
              <w:spacing w:line="360" w:lineRule="auto"/>
              <w:jc w:val="left"/>
              <w:rPr>
                <w:rFonts w:ascii="宋体" w:cs="宋体"/>
                <w:color w:val="auto"/>
                <w:kern w:val="0"/>
                <w:sz w:val="24"/>
                <w:highlight w:val="none"/>
              </w:rPr>
            </w:pPr>
            <w:r>
              <w:rPr>
                <w:rFonts w:hint="eastAsia" w:ascii="宋体" w:hAnsi="宋体" w:cs="宋体"/>
                <w:color w:val="auto"/>
                <w:kern w:val="0"/>
                <w:sz w:val="24"/>
                <w:highlight w:val="none"/>
              </w:rPr>
              <w:t>根据《关于在政府采购活动中查询及使用信用记录有关问题的通知》</w:t>
            </w:r>
            <w:r>
              <w:rPr>
                <w:rFonts w:ascii="宋体" w:hAnsi="宋体" w:cs="宋体"/>
                <w:color w:val="auto"/>
                <w:kern w:val="0"/>
                <w:sz w:val="24"/>
                <w:highlight w:val="none"/>
              </w:rPr>
              <w:t>(</w:t>
            </w:r>
            <w:r>
              <w:rPr>
                <w:rFonts w:hint="eastAsia" w:ascii="宋体" w:hAnsi="宋体" w:cs="宋体"/>
                <w:color w:val="auto"/>
                <w:kern w:val="0"/>
                <w:sz w:val="24"/>
                <w:highlight w:val="none"/>
              </w:rPr>
              <w:t>财库</w:t>
            </w:r>
            <w:r>
              <w:rPr>
                <w:rFonts w:ascii="宋体" w:hAnsi="宋体" w:cs="宋体"/>
                <w:color w:val="auto"/>
                <w:kern w:val="0"/>
                <w:sz w:val="24"/>
                <w:highlight w:val="none"/>
              </w:rPr>
              <w:t>[2016]125</w:t>
            </w:r>
            <w:r>
              <w:rPr>
                <w:rFonts w:hint="eastAsia" w:ascii="宋体" w:hAnsi="宋体" w:cs="宋体"/>
                <w:color w:val="auto"/>
                <w:kern w:val="0"/>
                <w:sz w:val="24"/>
                <w:highlight w:val="none"/>
              </w:rPr>
              <w:t>号</w:t>
            </w:r>
            <w:r>
              <w:rPr>
                <w:rFonts w:ascii="宋体" w:hAnsi="宋体" w:cs="宋体"/>
                <w:color w:val="auto"/>
                <w:kern w:val="0"/>
                <w:sz w:val="24"/>
                <w:highlight w:val="none"/>
              </w:rPr>
              <w:t>)</w:t>
            </w:r>
            <w:r>
              <w:rPr>
                <w:rFonts w:hint="eastAsia" w:ascii="宋体" w:hAnsi="宋体" w:cs="宋体"/>
                <w:color w:val="auto"/>
                <w:kern w:val="0"/>
                <w:sz w:val="24"/>
                <w:highlight w:val="none"/>
              </w:rPr>
              <w:t>的规定，</w:t>
            </w:r>
            <w:r>
              <w:rPr>
                <w:rFonts w:hint="eastAsia" w:ascii="宋体" w:hAnsi="宋体" w:cs="宋体"/>
                <w:color w:val="auto"/>
                <w:kern w:val="0"/>
                <w:sz w:val="24"/>
                <w:highlight w:val="none"/>
                <w:lang w:eastAsia="zh-CN"/>
              </w:rPr>
              <w:t>开标结束后至符合性审查前</w:t>
            </w:r>
            <w:r>
              <w:rPr>
                <w:rFonts w:hint="eastAsia" w:ascii="宋体" w:hAnsi="宋体" w:cs="宋体"/>
                <w:color w:val="auto"/>
                <w:kern w:val="0"/>
                <w:sz w:val="24"/>
                <w:highlight w:val="none"/>
              </w:rPr>
              <w:t>采购代理机构通过“信用中国”网站（</w:t>
            </w:r>
            <w:r>
              <w:rPr>
                <w:rFonts w:ascii="宋体" w:hAnsi="宋体" w:cs="宋体"/>
                <w:color w:val="auto"/>
                <w:kern w:val="0"/>
                <w:sz w:val="24"/>
                <w:highlight w:val="none"/>
              </w:rPr>
              <w:t>www.creditchina.gov.cn</w:t>
            </w:r>
            <w:r>
              <w:rPr>
                <w:rFonts w:hint="eastAsia" w:ascii="宋体" w:hAnsi="宋体" w:cs="宋体"/>
                <w:color w:val="auto"/>
                <w:kern w:val="0"/>
                <w:sz w:val="24"/>
                <w:highlight w:val="none"/>
              </w:rPr>
              <w:t>）、“中国执行信息公开网”网站（</w:t>
            </w:r>
            <w:r>
              <w:rPr>
                <w:rFonts w:ascii="宋体" w:hAnsi="宋体" w:cs="宋体"/>
                <w:color w:val="auto"/>
                <w:kern w:val="0"/>
                <w:sz w:val="24"/>
                <w:highlight w:val="none"/>
              </w:rPr>
              <w:t>zxgk.court.gov.cn</w:t>
            </w:r>
            <w:r>
              <w:rPr>
                <w:rFonts w:hint="eastAsia" w:ascii="宋体" w:hAnsi="宋体" w:cs="宋体"/>
                <w:color w:val="auto"/>
                <w:kern w:val="0"/>
                <w:sz w:val="24"/>
                <w:highlight w:val="none"/>
              </w:rPr>
              <w:t>）和中国政府采购网（</w:t>
            </w:r>
            <w:r>
              <w:rPr>
                <w:rFonts w:ascii="宋体" w:hAnsi="宋体" w:cs="宋体"/>
                <w:color w:val="auto"/>
                <w:kern w:val="0"/>
                <w:sz w:val="24"/>
                <w:highlight w:val="none"/>
              </w:rPr>
              <w:t>www.ccgp.gov.cn</w:t>
            </w:r>
            <w:r>
              <w:rPr>
                <w:rFonts w:hint="eastAsia" w:ascii="宋体" w:hAnsi="宋体" w:cs="宋体"/>
                <w:color w:val="auto"/>
                <w:kern w:val="0"/>
                <w:sz w:val="24"/>
                <w:highlight w:val="none"/>
              </w:rPr>
              <w:t>）查询企业的信用记录，列入“中国执行信息公开网”网站的“失信被执行人”、“信用中国”网站的</w:t>
            </w:r>
            <w:r>
              <w:rPr>
                <w:rFonts w:hint="eastAsia" w:ascii="宋体" w:hAnsi="宋体" w:cs="宋体"/>
                <w:color w:val="auto"/>
                <w:sz w:val="24"/>
                <w:highlight w:val="none"/>
              </w:rPr>
              <w:t>“重大税收违法失信主体”</w:t>
            </w:r>
            <w:r>
              <w:rPr>
                <w:rFonts w:hint="eastAsia" w:ascii="宋体" w:hAnsi="宋体" w:cs="宋体"/>
                <w:color w:val="auto"/>
                <w:kern w:val="0"/>
                <w:sz w:val="24"/>
                <w:highlight w:val="none"/>
              </w:rPr>
              <w:t>和“中国政府采购网”网站的“政府采购严重违法失信行为记录名单”及其他不符合《中华人民共和国政府采购法》第二十二条规定条件的</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，将拒绝参与本次政府采购活动。</w:t>
            </w:r>
          </w:p>
        </w:tc>
      </w:tr>
    </w:tbl>
    <w:p>
      <w:pPr>
        <w:pStyle w:val="4"/>
        <w:numPr>
          <w:ilvl w:val="0"/>
          <w:numId w:val="7"/>
        </w:numPr>
        <w:adjustRightInd w:val="0"/>
        <w:snapToGrid w:val="0"/>
        <w:rPr>
          <w:rFonts w:ascii="宋体" w:cs="宋体"/>
          <w:color w:val="auto"/>
          <w:sz w:val="24"/>
          <w:szCs w:val="24"/>
          <w:highlight w:val="none"/>
        </w:rPr>
      </w:pPr>
      <w:bookmarkStart w:id="354" w:name="_Toc1301"/>
      <w:bookmarkStart w:id="355" w:name="_Toc19241"/>
      <w:bookmarkStart w:id="356" w:name="_Toc465"/>
      <w:bookmarkStart w:id="357" w:name="_Toc25514"/>
      <w:bookmarkStart w:id="358" w:name="_Toc23399"/>
      <w:bookmarkStart w:id="359" w:name="_Toc16293"/>
      <w:bookmarkStart w:id="360" w:name="_Toc16266"/>
      <w:bookmarkStart w:id="361" w:name="_Toc16607"/>
      <w:bookmarkStart w:id="362" w:name="_Toc21337"/>
      <w:bookmarkStart w:id="363" w:name="_Toc2378"/>
      <w:r>
        <w:rPr>
          <w:rFonts w:hint="eastAsia" w:ascii="宋体" w:hAnsi="宋体" w:cs="宋体"/>
          <w:color w:val="auto"/>
          <w:sz w:val="24"/>
          <w:szCs w:val="24"/>
          <w:highlight w:val="none"/>
        </w:rPr>
        <w:t>资格审查</w:t>
      </w:r>
      <w:bookmarkEnd w:id="354"/>
      <w:bookmarkEnd w:id="355"/>
      <w:bookmarkEnd w:id="356"/>
      <w:bookmarkEnd w:id="357"/>
      <w:bookmarkEnd w:id="358"/>
      <w:bookmarkEnd w:id="359"/>
      <w:bookmarkEnd w:id="360"/>
      <w:bookmarkEnd w:id="361"/>
      <w:bookmarkEnd w:id="362"/>
      <w:bookmarkEnd w:id="363"/>
    </w:p>
    <w:p>
      <w:pPr>
        <w:adjustRightInd w:val="0"/>
        <w:snapToGrid w:val="0"/>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开标结束后，采购代理机构应当依法对</w:t>
      </w:r>
      <w:r>
        <w:rPr>
          <w:rFonts w:hint="eastAsia" w:ascii="宋体" w:hAnsi="宋体" w:cs="宋体"/>
          <w:color w:val="auto"/>
          <w:sz w:val="24"/>
          <w:highlight w:val="none"/>
          <w:lang w:eastAsia="zh-CN"/>
        </w:rPr>
        <w:t>投标人</w:t>
      </w:r>
      <w:r>
        <w:rPr>
          <w:rFonts w:hint="eastAsia" w:ascii="宋体" w:hAnsi="宋体" w:cs="宋体"/>
          <w:color w:val="auto"/>
          <w:sz w:val="24"/>
          <w:highlight w:val="none"/>
        </w:rPr>
        <w:t>的资格进行审查。</w:t>
      </w:r>
    </w:p>
    <w:p>
      <w:pPr>
        <w:pStyle w:val="4"/>
        <w:numPr>
          <w:ilvl w:val="0"/>
          <w:numId w:val="7"/>
        </w:numPr>
        <w:adjustRightInd w:val="0"/>
        <w:snapToGrid w:val="0"/>
        <w:rPr>
          <w:rFonts w:ascii="宋体" w:cs="宋体"/>
          <w:color w:val="auto"/>
          <w:sz w:val="24"/>
          <w:szCs w:val="24"/>
          <w:highlight w:val="none"/>
        </w:rPr>
      </w:pPr>
      <w:bookmarkStart w:id="364" w:name="_Toc3310"/>
      <w:bookmarkStart w:id="365" w:name="_Toc18033"/>
      <w:bookmarkStart w:id="366" w:name="_Toc8280"/>
      <w:bookmarkStart w:id="367" w:name="_Toc21593"/>
      <w:bookmarkStart w:id="368" w:name="_Toc23230"/>
      <w:bookmarkStart w:id="369" w:name="_Toc8631"/>
      <w:bookmarkStart w:id="370" w:name="_Toc11542"/>
      <w:bookmarkStart w:id="371" w:name="_Toc12137"/>
      <w:bookmarkStart w:id="372" w:name="_Toc2610"/>
      <w:bookmarkStart w:id="373" w:name="_Toc29893"/>
      <w:r>
        <w:rPr>
          <w:rFonts w:hint="eastAsia" w:ascii="宋体" w:hAnsi="宋体" w:cs="宋体"/>
          <w:color w:val="auto"/>
          <w:sz w:val="24"/>
          <w:szCs w:val="24"/>
          <w:highlight w:val="none"/>
        </w:rPr>
        <w:t>资格审查标准</w:t>
      </w:r>
      <w:bookmarkEnd w:id="364"/>
      <w:bookmarkEnd w:id="365"/>
      <w:bookmarkEnd w:id="366"/>
      <w:bookmarkEnd w:id="367"/>
      <w:bookmarkEnd w:id="368"/>
      <w:bookmarkEnd w:id="369"/>
      <w:bookmarkEnd w:id="370"/>
      <w:bookmarkEnd w:id="371"/>
      <w:bookmarkEnd w:id="372"/>
      <w:bookmarkEnd w:id="373"/>
    </w:p>
    <w:p>
      <w:pPr>
        <w:autoSpaceDE w:val="0"/>
        <w:autoSpaceDN w:val="0"/>
        <w:adjustRightInd w:val="0"/>
        <w:snapToGrid w:val="0"/>
        <w:spacing w:line="360" w:lineRule="auto"/>
        <w:ind w:right="-20"/>
        <w:jc w:val="left"/>
        <w:rPr>
          <w:rFonts w:ascii="宋体" w:cs="宋体"/>
          <w:color w:val="auto"/>
          <w:sz w:val="24"/>
          <w:highlight w:val="none"/>
        </w:rPr>
      </w:pPr>
      <w:r>
        <w:rPr>
          <w:rFonts w:ascii="宋体" w:hAnsi="宋体" w:cs="宋体"/>
          <w:color w:val="auto"/>
          <w:kern w:val="0"/>
          <w:sz w:val="24"/>
          <w:highlight w:val="none"/>
        </w:rPr>
        <w:t xml:space="preserve">    </w:t>
      </w:r>
      <w:r>
        <w:rPr>
          <w:rFonts w:hint="eastAsia" w:ascii="宋体" w:hAnsi="宋体" w:cs="宋体"/>
          <w:color w:val="auto"/>
          <w:kern w:val="0"/>
          <w:sz w:val="24"/>
          <w:highlight w:val="none"/>
        </w:rPr>
        <w:t>资格审查标准：见资格审查前附表。</w:t>
      </w:r>
    </w:p>
    <w:p>
      <w:pPr>
        <w:pStyle w:val="4"/>
        <w:numPr>
          <w:ilvl w:val="0"/>
          <w:numId w:val="7"/>
        </w:numPr>
        <w:adjustRightInd w:val="0"/>
        <w:snapToGrid w:val="0"/>
        <w:rPr>
          <w:rFonts w:ascii="宋体" w:cs="宋体"/>
          <w:color w:val="auto"/>
          <w:sz w:val="24"/>
          <w:szCs w:val="24"/>
          <w:highlight w:val="none"/>
        </w:rPr>
      </w:pPr>
      <w:bookmarkStart w:id="374" w:name="_Toc16031"/>
      <w:bookmarkStart w:id="375" w:name="_Toc920"/>
      <w:bookmarkStart w:id="376" w:name="_Toc2029"/>
      <w:bookmarkStart w:id="377" w:name="_Toc32375"/>
      <w:bookmarkStart w:id="378" w:name="_Toc2259"/>
      <w:bookmarkStart w:id="379" w:name="_Toc14072"/>
      <w:bookmarkStart w:id="380" w:name="_Toc10180"/>
      <w:bookmarkStart w:id="381" w:name="_Toc13549"/>
      <w:bookmarkStart w:id="382" w:name="_Toc5940"/>
      <w:bookmarkStart w:id="383" w:name="_Toc19383"/>
      <w:r>
        <w:rPr>
          <w:rFonts w:hint="eastAsia" w:ascii="宋体" w:hAnsi="宋体" w:cs="宋体"/>
          <w:color w:val="auto"/>
          <w:sz w:val="24"/>
          <w:szCs w:val="24"/>
          <w:highlight w:val="none"/>
        </w:rPr>
        <w:t>资格审查程序</w:t>
      </w:r>
      <w:bookmarkEnd w:id="374"/>
      <w:bookmarkEnd w:id="375"/>
      <w:bookmarkEnd w:id="376"/>
      <w:bookmarkEnd w:id="377"/>
      <w:bookmarkEnd w:id="378"/>
      <w:bookmarkEnd w:id="379"/>
      <w:bookmarkEnd w:id="380"/>
      <w:bookmarkEnd w:id="381"/>
      <w:bookmarkEnd w:id="382"/>
      <w:bookmarkEnd w:id="383"/>
    </w:p>
    <w:p>
      <w:pPr>
        <w:autoSpaceDE w:val="0"/>
        <w:autoSpaceDN w:val="0"/>
        <w:adjustRightInd w:val="0"/>
        <w:snapToGrid w:val="0"/>
        <w:spacing w:line="360" w:lineRule="auto"/>
        <w:ind w:right="40" w:firstLine="472" w:firstLineChars="200"/>
        <w:jc w:val="left"/>
        <w:rPr>
          <w:rFonts w:ascii="宋体" w:cs="宋体"/>
          <w:color w:val="auto"/>
          <w:kern w:val="0"/>
          <w:sz w:val="24"/>
          <w:highlight w:val="none"/>
        </w:rPr>
      </w:pPr>
      <w:r>
        <w:rPr>
          <w:rFonts w:hint="eastAsia" w:ascii="宋体" w:hAnsi="宋体" w:cs="宋体"/>
          <w:color w:val="auto"/>
          <w:spacing w:val="-2"/>
          <w:kern w:val="0"/>
          <w:sz w:val="24"/>
          <w:highlight w:val="none"/>
        </w:rPr>
        <w:t>资格审查人员依</w:t>
      </w:r>
      <w:r>
        <w:rPr>
          <w:rFonts w:hint="eastAsia" w:ascii="宋体" w:hAnsi="宋体" w:cs="宋体"/>
          <w:color w:val="auto"/>
          <w:kern w:val="0"/>
          <w:sz w:val="24"/>
          <w:highlight w:val="none"/>
        </w:rPr>
        <w:t>据本</w:t>
      </w:r>
      <w:r>
        <w:rPr>
          <w:rFonts w:hint="eastAsia" w:ascii="宋体" w:hAnsi="宋体" w:cs="宋体"/>
          <w:color w:val="auto"/>
          <w:spacing w:val="-2"/>
          <w:kern w:val="0"/>
          <w:sz w:val="24"/>
          <w:highlight w:val="none"/>
        </w:rPr>
        <w:t>章</w:t>
      </w:r>
      <w:r>
        <w:rPr>
          <w:rFonts w:hint="eastAsia" w:ascii="宋体" w:hAnsi="宋体" w:cs="宋体"/>
          <w:color w:val="auto"/>
          <w:kern w:val="0"/>
          <w:sz w:val="24"/>
          <w:highlight w:val="none"/>
        </w:rPr>
        <w:t>资格审查前附表</w:t>
      </w:r>
      <w:r>
        <w:rPr>
          <w:rFonts w:hint="eastAsia" w:ascii="宋体" w:hAnsi="宋体" w:cs="宋体"/>
          <w:color w:val="auto"/>
          <w:spacing w:val="-2"/>
          <w:kern w:val="0"/>
          <w:sz w:val="24"/>
          <w:highlight w:val="none"/>
        </w:rPr>
        <w:t>规</w:t>
      </w:r>
      <w:r>
        <w:rPr>
          <w:rFonts w:hint="eastAsia" w:ascii="宋体" w:hAnsi="宋体" w:cs="宋体"/>
          <w:color w:val="auto"/>
          <w:kern w:val="0"/>
          <w:sz w:val="24"/>
          <w:highlight w:val="none"/>
        </w:rPr>
        <w:t>定</w:t>
      </w:r>
      <w:r>
        <w:rPr>
          <w:rFonts w:hint="eastAsia" w:ascii="宋体" w:hAnsi="宋体" w:cs="宋体"/>
          <w:color w:val="auto"/>
          <w:spacing w:val="-2"/>
          <w:kern w:val="0"/>
          <w:sz w:val="24"/>
          <w:highlight w:val="none"/>
        </w:rPr>
        <w:t>的标</w:t>
      </w:r>
      <w:r>
        <w:rPr>
          <w:rFonts w:hint="eastAsia" w:ascii="宋体" w:hAnsi="宋体" w:cs="宋体"/>
          <w:color w:val="auto"/>
          <w:kern w:val="0"/>
          <w:sz w:val="24"/>
          <w:highlight w:val="none"/>
        </w:rPr>
        <w:t>准对</w:t>
      </w:r>
      <w:r>
        <w:rPr>
          <w:rFonts w:hint="eastAsia" w:ascii="宋体" w:hAnsi="宋体" w:cs="宋体"/>
          <w:color w:val="auto"/>
          <w:spacing w:val="-2"/>
          <w:kern w:val="0"/>
          <w:sz w:val="24"/>
          <w:highlight w:val="none"/>
        </w:rPr>
        <w:t>投</w:t>
      </w:r>
      <w:r>
        <w:rPr>
          <w:rFonts w:hint="eastAsia" w:ascii="宋体" w:hAnsi="宋体" w:cs="宋体"/>
          <w:color w:val="auto"/>
          <w:kern w:val="0"/>
          <w:sz w:val="24"/>
          <w:highlight w:val="none"/>
        </w:rPr>
        <w:t>标</w:t>
      </w:r>
      <w:r>
        <w:rPr>
          <w:rFonts w:hint="eastAsia" w:ascii="宋体" w:hAnsi="宋体" w:cs="宋体"/>
          <w:color w:val="auto"/>
          <w:spacing w:val="-2"/>
          <w:kern w:val="0"/>
          <w:sz w:val="24"/>
          <w:highlight w:val="none"/>
        </w:rPr>
        <w:t>文</w:t>
      </w:r>
      <w:r>
        <w:rPr>
          <w:rFonts w:hint="eastAsia" w:ascii="宋体" w:hAnsi="宋体" w:cs="宋体"/>
          <w:color w:val="auto"/>
          <w:kern w:val="0"/>
          <w:sz w:val="24"/>
          <w:highlight w:val="none"/>
        </w:rPr>
        <w:t>件</w:t>
      </w:r>
      <w:r>
        <w:rPr>
          <w:rFonts w:hint="eastAsia" w:ascii="宋体" w:hAnsi="宋体" w:cs="宋体"/>
          <w:color w:val="auto"/>
          <w:spacing w:val="-2"/>
          <w:kern w:val="0"/>
          <w:sz w:val="24"/>
          <w:highlight w:val="none"/>
        </w:rPr>
        <w:t>进</w:t>
      </w:r>
      <w:r>
        <w:rPr>
          <w:rFonts w:hint="eastAsia" w:ascii="宋体" w:hAnsi="宋体" w:cs="宋体"/>
          <w:color w:val="auto"/>
          <w:kern w:val="0"/>
          <w:sz w:val="24"/>
          <w:highlight w:val="none"/>
        </w:rPr>
        <w:t>行</w:t>
      </w:r>
      <w:r>
        <w:rPr>
          <w:rFonts w:hint="eastAsia" w:ascii="宋体" w:hAnsi="宋体" w:cs="宋体"/>
          <w:color w:val="auto"/>
          <w:spacing w:val="-2"/>
          <w:kern w:val="0"/>
          <w:sz w:val="24"/>
          <w:highlight w:val="none"/>
        </w:rPr>
        <w:t>资</w:t>
      </w:r>
      <w:r>
        <w:rPr>
          <w:rFonts w:hint="eastAsia" w:ascii="宋体" w:hAnsi="宋体" w:cs="宋体"/>
          <w:color w:val="auto"/>
          <w:kern w:val="0"/>
          <w:sz w:val="24"/>
          <w:highlight w:val="none"/>
        </w:rPr>
        <w:t>格审查，以确定</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是否具备投标资格，有一项不符合评审标准的，资格审查人员应当认定其投标无效，合格</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不足</w:t>
      </w:r>
      <w:r>
        <w:rPr>
          <w:rFonts w:ascii="宋体" w:hAnsi="宋体" w:cs="宋体"/>
          <w:color w:val="auto"/>
          <w:kern w:val="0"/>
          <w:sz w:val="24"/>
          <w:highlight w:val="none"/>
        </w:rPr>
        <w:t>3</w:t>
      </w:r>
      <w:r>
        <w:rPr>
          <w:rFonts w:hint="eastAsia" w:ascii="宋体" w:hAnsi="宋体" w:cs="宋体"/>
          <w:color w:val="auto"/>
          <w:kern w:val="0"/>
          <w:sz w:val="24"/>
          <w:highlight w:val="none"/>
        </w:rPr>
        <w:t>家的，不得评标。</w:t>
      </w:r>
    </w:p>
    <w:p>
      <w:pPr>
        <w:pStyle w:val="2"/>
        <w:rPr>
          <w:rFonts w:ascii="宋体" w:cs="宋体"/>
          <w:color w:val="auto"/>
          <w:szCs w:val="32"/>
          <w:highlight w:val="none"/>
        </w:rPr>
      </w:pPr>
      <w:r>
        <w:rPr>
          <w:rFonts w:ascii="宋体" w:cs="宋体"/>
          <w:color w:val="auto"/>
          <w:highlight w:val="none"/>
        </w:rPr>
        <w:br w:type="page"/>
      </w:r>
      <w:bookmarkStart w:id="384" w:name="_Toc20425"/>
      <w:bookmarkStart w:id="385" w:name="_Toc40112139"/>
      <w:bookmarkStart w:id="386" w:name="_Toc2792"/>
      <w:bookmarkStart w:id="387" w:name="_Toc31076"/>
      <w:r>
        <w:rPr>
          <w:rFonts w:hint="eastAsia" w:ascii="宋体" w:hAnsi="宋体" w:cs="宋体"/>
          <w:color w:val="auto"/>
          <w:szCs w:val="32"/>
          <w:highlight w:val="none"/>
        </w:rPr>
        <w:t>第四章</w:t>
      </w:r>
      <w:r>
        <w:rPr>
          <w:rFonts w:ascii="宋体" w:hAnsi="宋体" w:cs="宋体"/>
          <w:color w:val="auto"/>
          <w:szCs w:val="32"/>
          <w:highlight w:val="none"/>
        </w:rPr>
        <w:t xml:space="preserve">  </w:t>
      </w:r>
      <w:r>
        <w:rPr>
          <w:rFonts w:hint="eastAsia" w:ascii="宋体" w:hAnsi="宋体" w:cs="宋体"/>
          <w:color w:val="auto"/>
          <w:szCs w:val="32"/>
          <w:highlight w:val="none"/>
        </w:rPr>
        <w:t>评标办法（综合评分法）</w:t>
      </w:r>
      <w:bookmarkEnd w:id="384"/>
      <w:bookmarkEnd w:id="385"/>
      <w:bookmarkEnd w:id="386"/>
      <w:bookmarkEnd w:id="387"/>
    </w:p>
    <w:p>
      <w:pPr>
        <w:keepNext/>
        <w:keepLines/>
        <w:spacing w:line="360" w:lineRule="auto"/>
        <w:ind w:left="482"/>
        <w:jc w:val="center"/>
        <w:rPr>
          <w:color w:val="auto"/>
          <w:highlight w:val="none"/>
        </w:rPr>
      </w:pPr>
      <w:bookmarkStart w:id="388" w:name="_Toc22649"/>
      <w:bookmarkStart w:id="389" w:name="_Toc14114"/>
      <w:bookmarkStart w:id="390" w:name="_Toc4734"/>
      <w:bookmarkStart w:id="391" w:name="_Toc22753"/>
      <w:bookmarkStart w:id="392" w:name="_Toc12415"/>
      <w:bookmarkStart w:id="393" w:name="_Toc1534"/>
      <w:bookmarkStart w:id="394" w:name="_Toc23659"/>
      <w:bookmarkStart w:id="395" w:name="_Toc16535"/>
      <w:bookmarkStart w:id="396" w:name="_Toc6633"/>
      <w:bookmarkStart w:id="397" w:name="_Toc16950"/>
      <w:r>
        <w:rPr>
          <w:rFonts w:hint="eastAsia" w:ascii="宋体" w:hAnsi="宋体" w:cs="宋体"/>
          <w:b/>
          <w:bCs/>
          <w:color w:val="auto"/>
          <w:sz w:val="30"/>
          <w:szCs w:val="30"/>
          <w:highlight w:val="none"/>
        </w:rPr>
        <w:t>评标办法前附表</w:t>
      </w:r>
      <w:bookmarkEnd w:id="388"/>
      <w:bookmarkEnd w:id="389"/>
      <w:bookmarkEnd w:id="390"/>
      <w:bookmarkEnd w:id="391"/>
      <w:bookmarkEnd w:id="392"/>
      <w:bookmarkEnd w:id="393"/>
      <w:bookmarkEnd w:id="394"/>
      <w:bookmarkEnd w:id="395"/>
      <w:bookmarkEnd w:id="396"/>
      <w:bookmarkEnd w:id="397"/>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119"/>
        <w:gridCol w:w="929"/>
        <w:gridCol w:w="3"/>
        <w:gridCol w:w="1449"/>
        <w:gridCol w:w="3"/>
        <w:gridCol w:w="5177"/>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1105" w:type="pct"/>
            <w:gridSpan w:val="4"/>
            <w:vAlign w:val="center"/>
          </w:tcPr>
          <w:p>
            <w:pPr>
              <w:widowControl/>
              <w:adjustRightInd w:val="0"/>
              <w:snapToGrid w:val="0"/>
              <w:spacing w:line="360" w:lineRule="auto"/>
              <w:jc w:val="center"/>
              <w:rPr>
                <w:rFonts w:ascii="宋体" w:cs="宋体"/>
                <w:b/>
                <w:bCs/>
                <w:color w:val="auto"/>
                <w:sz w:val="24"/>
                <w:highlight w:val="none"/>
              </w:rPr>
            </w:pPr>
            <w:r>
              <w:rPr>
                <w:rFonts w:hint="eastAsia" w:ascii="宋体" w:hAnsi="宋体" w:cs="宋体"/>
                <w:b/>
                <w:bCs/>
                <w:color w:val="auto"/>
                <w:sz w:val="24"/>
                <w:highlight w:val="none"/>
              </w:rPr>
              <w:t>条款号</w:t>
            </w:r>
          </w:p>
        </w:tc>
        <w:tc>
          <w:tcPr>
            <w:tcW w:w="852" w:type="pct"/>
            <w:gridSpan w:val="2"/>
            <w:vAlign w:val="center"/>
          </w:tcPr>
          <w:p>
            <w:pPr>
              <w:autoSpaceDE w:val="0"/>
              <w:autoSpaceDN w:val="0"/>
              <w:adjustRightInd w:val="0"/>
              <w:snapToGrid w:val="0"/>
              <w:spacing w:line="360" w:lineRule="auto"/>
              <w:ind w:left="38" w:leftChars="18"/>
              <w:jc w:val="center"/>
              <w:rPr>
                <w:rFonts w:ascii="宋体" w:cs="宋体"/>
                <w:b/>
                <w:bCs/>
                <w:color w:val="auto"/>
                <w:kern w:val="0"/>
                <w:sz w:val="24"/>
                <w:highlight w:val="none"/>
              </w:rPr>
            </w:pPr>
            <w:r>
              <w:rPr>
                <w:rFonts w:hint="eastAsia" w:ascii="宋体" w:hAnsi="宋体" w:cs="宋体"/>
                <w:b/>
                <w:bCs/>
                <w:color w:val="auto"/>
                <w:kern w:val="0"/>
                <w:sz w:val="24"/>
                <w:highlight w:val="none"/>
              </w:rPr>
              <w:t>评审因素</w:t>
            </w:r>
          </w:p>
        </w:tc>
        <w:tc>
          <w:tcPr>
            <w:tcW w:w="3041" w:type="pct"/>
            <w:gridSpan w:val="2"/>
            <w:vAlign w:val="center"/>
          </w:tcPr>
          <w:p>
            <w:pPr>
              <w:autoSpaceDE w:val="0"/>
              <w:autoSpaceDN w:val="0"/>
              <w:adjustRightInd w:val="0"/>
              <w:snapToGrid w:val="0"/>
              <w:spacing w:line="360" w:lineRule="auto"/>
              <w:ind w:left="38" w:leftChars="18"/>
              <w:jc w:val="center"/>
              <w:rPr>
                <w:rFonts w:ascii="宋体" w:cs="宋体"/>
                <w:b/>
                <w:bCs/>
                <w:color w:val="auto"/>
                <w:sz w:val="24"/>
                <w:highlight w:val="none"/>
              </w:rPr>
            </w:pPr>
            <w:r>
              <w:rPr>
                <w:rFonts w:hint="eastAsia" w:ascii="宋体" w:hAnsi="宋体" w:cs="宋体"/>
                <w:b/>
                <w:bCs/>
                <w:color w:val="auto"/>
                <w:kern w:val="0"/>
                <w:sz w:val="24"/>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558" w:type="pct"/>
            <w:gridSpan w:val="2"/>
            <w:vMerge w:val="restart"/>
            <w:vAlign w:val="center"/>
          </w:tcPr>
          <w:p>
            <w:pPr>
              <w:widowControl/>
              <w:adjustRightInd w:val="0"/>
              <w:snapToGrid w:val="0"/>
              <w:spacing w:line="360" w:lineRule="auto"/>
              <w:jc w:val="center"/>
              <w:rPr>
                <w:rFonts w:ascii="宋体" w:cs="宋体"/>
                <w:color w:val="auto"/>
                <w:kern w:val="0"/>
                <w:sz w:val="24"/>
                <w:highlight w:val="none"/>
              </w:rPr>
            </w:pPr>
            <w:r>
              <w:rPr>
                <w:rFonts w:ascii="宋体" w:hAnsi="宋体" w:cs="宋体"/>
                <w:color w:val="auto"/>
                <w:kern w:val="0"/>
                <w:sz w:val="24"/>
                <w:highlight w:val="none"/>
              </w:rPr>
              <w:t>2.1.1</w:t>
            </w:r>
          </w:p>
        </w:tc>
        <w:tc>
          <w:tcPr>
            <w:tcW w:w="547" w:type="pct"/>
            <w:gridSpan w:val="2"/>
            <w:vMerge w:val="restart"/>
            <w:vAlign w:val="center"/>
          </w:tcPr>
          <w:p>
            <w:pPr>
              <w:widowControl/>
              <w:adjustRightInd w:val="0"/>
              <w:snapToGrid w:val="0"/>
              <w:spacing w:line="360" w:lineRule="auto"/>
              <w:jc w:val="center"/>
              <w:rPr>
                <w:rFonts w:ascii="宋体" w:cs="宋体"/>
                <w:color w:val="auto"/>
                <w:kern w:val="0"/>
                <w:sz w:val="24"/>
                <w:highlight w:val="none"/>
              </w:rPr>
            </w:pPr>
            <w:r>
              <w:rPr>
                <w:rFonts w:hint="eastAsia" w:ascii="宋体" w:hAnsi="宋体" w:cs="宋体"/>
                <w:color w:val="auto"/>
                <w:kern w:val="0"/>
                <w:sz w:val="24"/>
                <w:highlight w:val="none"/>
              </w:rPr>
              <w:t>形式</w:t>
            </w:r>
          </w:p>
          <w:p>
            <w:pPr>
              <w:widowControl/>
              <w:adjustRightInd w:val="0"/>
              <w:snapToGrid w:val="0"/>
              <w:spacing w:line="360" w:lineRule="auto"/>
              <w:jc w:val="center"/>
              <w:rPr>
                <w:rFonts w:ascii="宋体" w:cs="宋体"/>
                <w:color w:val="auto"/>
                <w:kern w:val="0"/>
                <w:sz w:val="24"/>
                <w:highlight w:val="none"/>
              </w:rPr>
            </w:pPr>
            <w:r>
              <w:rPr>
                <w:rFonts w:hint="eastAsia" w:ascii="宋体" w:hAnsi="宋体" w:cs="宋体"/>
                <w:color w:val="auto"/>
                <w:kern w:val="0"/>
                <w:sz w:val="24"/>
                <w:highlight w:val="none"/>
              </w:rPr>
              <w:t>评审</w:t>
            </w:r>
          </w:p>
        </w:tc>
        <w:tc>
          <w:tcPr>
            <w:tcW w:w="852" w:type="pct"/>
            <w:gridSpan w:val="2"/>
            <w:vAlign w:val="center"/>
          </w:tcPr>
          <w:p>
            <w:pPr>
              <w:widowControl/>
              <w:adjustRightInd w:val="0"/>
              <w:snapToGrid w:val="0"/>
              <w:spacing w:line="400" w:lineRule="exact"/>
              <w:jc w:val="center"/>
              <w:rPr>
                <w:rFonts w:ascii="宋体" w:cs="宋体"/>
                <w:color w:val="auto"/>
                <w:kern w:val="0"/>
                <w:sz w:val="24"/>
                <w:highlight w:val="none"/>
              </w:rPr>
            </w:pPr>
            <w:r>
              <w:rPr>
                <w:rFonts w:hint="eastAsia" w:ascii="宋体" w:hAnsi="宋体" w:cs="宋体"/>
                <w:color w:val="auto"/>
                <w:kern w:val="0"/>
                <w:sz w:val="24"/>
                <w:highlight w:val="none"/>
              </w:rPr>
              <w:t>投标文件签署、盖章</w:t>
            </w:r>
          </w:p>
        </w:tc>
        <w:tc>
          <w:tcPr>
            <w:tcW w:w="3041" w:type="pct"/>
            <w:gridSpan w:val="2"/>
            <w:vAlign w:val="center"/>
          </w:tcPr>
          <w:p>
            <w:pPr>
              <w:widowControl/>
              <w:adjustRightInd w:val="0"/>
              <w:snapToGrid w:val="0"/>
              <w:spacing w:line="400" w:lineRule="exact"/>
              <w:jc w:val="center"/>
              <w:rPr>
                <w:rFonts w:ascii="宋体" w:cs="宋体"/>
                <w:color w:val="auto"/>
                <w:kern w:val="0"/>
                <w:sz w:val="24"/>
                <w:highlight w:val="none"/>
              </w:rPr>
            </w:pPr>
            <w:r>
              <w:rPr>
                <w:rFonts w:hint="eastAsia" w:ascii="宋体" w:hAnsi="宋体" w:cs="宋体"/>
                <w:color w:val="auto"/>
                <w:sz w:val="24"/>
                <w:highlight w:val="none"/>
              </w:rPr>
              <w:t>投标文件按招标文件要求签署、盖章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exact"/>
          <w:jc w:val="center"/>
        </w:trPr>
        <w:tc>
          <w:tcPr>
            <w:tcW w:w="558"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547"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852" w:type="pct"/>
            <w:gridSpan w:val="2"/>
            <w:vAlign w:val="center"/>
          </w:tcPr>
          <w:p>
            <w:pPr>
              <w:widowControl/>
              <w:adjustRightInd w:val="0"/>
              <w:snapToGrid w:val="0"/>
              <w:spacing w:line="400" w:lineRule="exact"/>
              <w:jc w:val="center"/>
              <w:rPr>
                <w:rFonts w:ascii="宋体" w:cs="宋体"/>
                <w:color w:val="auto"/>
                <w:kern w:val="0"/>
                <w:sz w:val="24"/>
                <w:highlight w:val="none"/>
              </w:rPr>
            </w:pPr>
            <w:r>
              <w:rPr>
                <w:rFonts w:hint="eastAsia" w:ascii="宋体" w:hAnsi="宋体" w:cs="宋体"/>
                <w:color w:val="auto"/>
                <w:kern w:val="0"/>
                <w:sz w:val="24"/>
                <w:highlight w:val="none"/>
              </w:rPr>
              <w:t>投标文件格式</w:t>
            </w:r>
          </w:p>
        </w:tc>
        <w:tc>
          <w:tcPr>
            <w:tcW w:w="3041" w:type="pct"/>
            <w:gridSpan w:val="2"/>
            <w:vAlign w:val="center"/>
          </w:tcPr>
          <w:p>
            <w:pPr>
              <w:widowControl/>
              <w:adjustRightInd w:val="0"/>
              <w:snapToGrid w:val="0"/>
              <w:spacing w:line="400" w:lineRule="exact"/>
              <w:jc w:val="center"/>
              <w:rPr>
                <w:rFonts w:ascii="宋体" w:cs="宋体"/>
                <w:color w:val="auto"/>
                <w:kern w:val="0"/>
                <w:sz w:val="24"/>
                <w:highlight w:val="none"/>
              </w:rPr>
            </w:pPr>
            <w:r>
              <w:rPr>
                <w:rFonts w:hint="eastAsia" w:ascii="宋体" w:hAnsi="宋体" w:cs="宋体"/>
                <w:color w:val="auto"/>
                <w:kern w:val="0"/>
                <w:sz w:val="24"/>
                <w:highlight w:val="none"/>
              </w:rPr>
              <w:t>符合招标文件中提供的投标文件格式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558"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547"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852" w:type="pct"/>
            <w:gridSpan w:val="2"/>
            <w:vAlign w:val="center"/>
          </w:tcPr>
          <w:p>
            <w:pPr>
              <w:widowControl/>
              <w:adjustRightInd w:val="0"/>
              <w:snapToGrid w:val="0"/>
              <w:spacing w:line="400" w:lineRule="exact"/>
              <w:jc w:val="center"/>
              <w:rPr>
                <w:rFonts w:ascii="宋体" w:cs="宋体"/>
                <w:color w:val="auto"/>
                <w:kern w:val="0"/>
                <w:sz w:val="24"/>
                <w:highlight w:val="none"/>
              </w:rPr>
            </w:pPr>
            <w:r>
              <w:rPr>
                <w:rFonts w:hint="eastAsia" w:ascii="宋体" w:hAnsi="宋体" w:cs="宋体"/>
                <w:color w:val="auto"/>
                <w:kern w:val="0"/>
                <w:sz w:val="24"/>
                <w:highlight w:val="none"/>
              </w:rPr>
              <w:t>总报价唯一</w:t>
            </w:r>
          </w:p>
        </w:tc>
        <w:tc>
          <w:tcPr>
            <w:tcW w:w="3041" w:type="pct"/>
            <w:gridSpan w:val="2"/>
            <w:vAlign w:val="center"/>
          </w:tcPr>
          <w:p>
            <w:pPr>
              <w:widowControl/>
              <w:adjustRightInd w:val="0"/>
              <w:snapToGrid w:val="0"/>
              <w:spacing w:line="400" w:lineRule="exact"/>
              <w:jc w:val="center"/>
              <w:rPr>
                <w:rFonts w:ascii="宋体" w:cs="宋体"/>
                <w:color w:val="auto"/>
                <w:kern w:val="0"/>
                <w:sz w:val="24"/>
                <w:highlight w:val="none"/>
              </w:rPr>
            </w:pPr>
            <w:r>
              <w:rPr>
                <w:rFonts w:hint="eastAsia" w:ascii="宋体" w:hAnsi="宋体" w:cs="宋体"/>
                <w:color w:val="auto"/>
                <w:kern w:val="0"/>
                <w:sz w:val="24"/>
                <w:highlight w:val="none"/>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exact"/>
          <w:jc w:val="center"/>
        </w:trPr>
        <w:tc>
          <w:tcPr>
            <w:tcW w:w="558"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547"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852" w:type="pct"/>
            <w:gridSpan w:val="2"/>
            <w:vAlign w:val="center"/>
          </w:tcPr>
          <w:p>
            <w:pPr>
              <w:widowControl/>
              <w:adjustRightInd w:val="0"/>
              <w:snapToGrid w:val="0"/>
              <w:spacing w:line="400" w:lineRule="exact"/>
              <w:jc w:val="center"/>
              <w:rPr>
                <w:rFonts w:ascii="宋体" w:cs="宋体"/>
                <w:color w:val="auto"/>
                <w:kern w:val="0"/>
                <w:sz w:val="24"/>
                <w:highlight w:val="none"/>
              </w:rPr>
            </w:pPr>
            <w:r>
              <w:rPr>
                <w:rFonts w:hint="eastAsia" w:ascii="宋体" w:hAnsi="宋体" w:cs="宋体"/>
                <w:color w:val="auto"/>
                <w:kern w:val="0"/>
                <w:sz w:val="24"/>
                <w:highlight w:val="none"/>
              </w:rPr>
              <w:t>投标报价</w:t>
            </w:r>
          </w:p>
        </w:tc>
        <w:tc>
          <w:tcPr>
            <w:tcW w:w="3041" w:type="pct"/>
            <w:gridSpan w:val="2"/>
            <w:vAlign w:val="center"/>
          </w:tcPr>
          <w:p>
            <w:pPr>
              <w:widowControl/>
              <w:adjustRightInd w:val="0"/>
              <w:snapToGrid w:val="0"/>
              <w:spacing w:line="400" w:lineRule="exact"/>
              <w:jc w:val="center"/>
              <w:rPr>
                <w:rFonts w:ascii="宋体" w:cs="宋体"/>
                <w:color w:val="auto"/>
                <w:kern w:val="0"/>
                <w:sz w:val="24"/>
                <w:highlight w:val="none"/>
              </w:rPr>
            </w:pP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所投标包投标总报价不可超过所投标包最高限价，且该标包中各单品报价不得超过单品最高限价。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exact"/>
          <w:jc w:val="center"/>
        </w:trPr>
        <w:tc>
          <w:tcPr>
            <w:tcW w:w="558" w:type="pct"/>
            <w:gridSpan w:val="2"/>
            <w:vMerge w:val="restart"/>
            <w:vAlign w:val="center"/>
          </w:tcPr>
          <w:p>
            <w:pPr>
              <w:widowControl/>
              <w:adjustRightInd w:val="0"/>
              <w:snapToGrid w:val="0"/>
              <w:spacing w:line="360" w:lineRule="auto"/>
              <w:jc w:val="center"/>
              <w:rPr>
                <w:rFonts w:ascii="宋体" w:cs="宋体"/>
                <w:color w:val="auto"/>
                <w:kern w:val="0"/>
                <w:sz w:val="24"/>
                <w:highlight w:val="none"/>
              </w:rPr>
            </w:pPr>
            <w:r>
              <w:rPr>
                <w:rFonts w:ascii="宋体" w:hAnsi="宋体" w:cs="宋体"/>
                <w:color w:val="auto"/>
                <w:kern w:val="0"/>
                <w:sz w:val="24"/>
                <w:highlight w:val="none"/>
              </w:rPr>
              <w:t>2.1.2</w:t>
            </w:r>
          </w:p>
        </w:tc>
        <w:tc>
          <w:tcPr>
            <w:tcW w:w="547" w:type="pct"/>
            <w:gridSpan w:val="2"/>
            <w:vMerge w:val="restart"/>
            <w:vAlign w:val="center"/>
          </w:tcPr>
          <w:p>
            <w:pPr>
              <w:widowControl/>
              <w:adjustRightInd w:val="0"/>
              <w:snapToGrid w:val="0"/>
              <w:spacing w:line="360" w:lineRule="auto"/>
              <w:jc w:val="center"/>
              <w:rPr>
                <w:rFonts w:ascii="宋体" w:cs="宋体"/>
                <w:color w:val="auto"/>
                <w:kern w:val="0"/>
                <w:sz w:val="24"/>
                <w:highlight w:val="none"/>
              </w:rPr>
            </w:pPr>
            <w:r>
              <w:rPr>
                <w:rFonts w:hint="eastAsia" w:ascii="宋体" w:hAnsi="宋体" w:cs="宋体"/>
                <w:color w:val="auto"/>
                <w:sz w:val="24"/>
                <w:highlight w:val="none"/>
              </w:rPr>
              <w:t>符合性审查</w:t>
            </w:r>
            <w:r>
              <w:rPr>
                <w:rFonts w:hint="eastAsia" w:ascii="宋体" w:hAnsi="宋体" w:cs="宋体"/>
                <w:color w:val="auto"/>
                <w:kern w:val="0"/>
                <w:sz w:val="24"/>
                <w:highlight w:val="none"/>
              </w:rPr>
              <w:t>标准</w:t>
            </w:r>
          </w:p>
        </w:tc>
        <w:tc>
          <w:tcPr>
            <w:tcW w:w="852" w:type="pct"/>
            <w:gridSpan w:val="2"/>
            <w:vAlign w:val="center"/>
          </w:tcPr>
          <w:p>
            <w:pPr>
              <w:widowControl/>
              <w:adjustRightInd w:val="0"/>
              <w:snapToGrid w:val="0"/>
              <w:spacing w:line="400" w:lineRule="exact"/>
              <w:jc w:val="center"/>
              <w:rPr>
                <w:rFonts w:ascii="宋体" w:cs="宋体"/>
                <w:color w:val="auto"/>
                <w:kern w:val="0"/>
                <w:sz w:val="24"/>
                <w:highlight w:val="none"/>
              </w:rPr>
            </w:pPr>
            <w:r>
              <w:rPr>
                <w:rFonts w:hint="eastAsia" w:ascii="宋体" w:hAnsi="宋体" w:cs="宋体"/>
                <w:color w:val="auto"/>
                <w:kern w:val="0"/>
                <w:sz w:val="24"/>
                <w:highlight w:val="none"/>
              </w:rPr>
              <w:t>交货期</w:t>
            </w:r>
          </w:p>
        </w:tc>
        <w:tc>
          <w:tcPr>
            <w:tcW w:w="3041" w:type="pct"/>
            <w:gridSpan w:val="2"/>
            <w:vAlign w:val="center"/>
          </w:tcPr>
          <w:p>
            <w:pPr>
              <w:widowControl/>
              <w:adjustRightInd w:val="0"/>
              <w:snapToGrid w:val="0"/>
              <w:spacing w:line="400" w:lineRule="exact"/>
              <w:jc w:val="center"/>
              <w:rPr>
                <w:rFonts w:ascii="宋体" w:cs="宋体"/>
                <w:color w:val="auto"/>
                <w:kern w:val="0"/>
                <w:sz w:val="24"/>
                <w:highlight w:val="none"/>
              </w:rPr>
            </w:pPr>
            <w:r>
              <w:rPr>
                <w:rFonts w:hint="eastAsia" w:ascii="宋体" w:hAnsi="宋体" w:cs="宋体"/>
                <w:color w:val="auto"/>
                <w:kern w:val="0"/>
                <w:sz w:val="24"/>
                <w:highlight w:val="none"/>
              </w:rPr>
              <w:t>符合第二章“</w:t>
            </w:r>
            <w:r>
              <w:rPr>
                <w:rFonts w:hint="eastAsia" w:ascii="宋体" w:hAnsi="宋体" w:cs="宋体"/>
                <w:color w:val="auto"/>
                <w:kern w:val="0"/>
                <w:sz w:val="24"/>
                <w:highlight w:val="none"/>
                <w:lang w:eastAsia="zh-CN"/>
              </w:rPr>
              <w:t>投标人须知</w:t>
            </w:r>
            <w:r>
              <w:rPr>
                <w:rFonts w:hint="eastAsia" w:ascii="宋体" w:hAnsi="宋体" w:cs="宋体"/>
                <w:color w:val="auto"/>
                <w:kern w:val="0"/>
                <w:sz w:val="24"/>
                <w:highlight w:val="none"/>
              </w:rPr>
              <w:t>前附表”第</w:t>
            </w:r>
            <w:r>
              <w:rPr>
                <w:rFonts w:ascii="宋体" w:hAnsi="宋体" w:cs="宋体"/>
                <w:color w:val="auto"/>
                <w:kern w:val="0"/>
                <w:sz w:val="24"/>
                <w:highlight w:val="none"/>
              </w:rPr>
              <w:t>1.2.6</w:t>
            </w:r>
            <w:r>
              <w:rPr>
                <w:rFonts w:hint="eastAsia" w:ascii="宋体" w:hAnsi="宋体" w:cs="宋体"/>
                <w:color w:val="auto"/>
                <w:kern w:val="0"/>
                <w:sz w:val="24"/>
                <w:highlight w:val="none"/>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exact"/>
          <w:jc w:val="center"/>
        </w:trPr>
        <w:tc>
          <w:tcPr>
            <w:tcW w:w="558"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547"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852" w:type="pct"/>
            <w:gridSpan w:val="2"/>
            <w:vAlign w:val="center"/>
          </w:tcPr>
          <w:p>
            <w:pPr>
              <w:widowControl/>
              <w:adjustRightInd w:val="0"/>
              <w:snapToGrid w:val="0"/>
              <w:spacing w:line="400" w:lineRule="exact"/>
              <w:jc w:val="center"/>
              <w:rPr>
                <w:rFonts w:ascii="宋体" w:cs="宋体"/>
                <w:color w:val="auto"/>
                <w:kern w:val="0"/>
                <w:sz w:val="24"/>
                <w:highlight w:val="none"/>
              </w:rPr>
            </w:pPr>
            <w:r>
              <w:rPr>
                <w:rFonts w:hint="eastAsia" w:ascii="宋体" w:hAnsi="宋体" w:cs="宋体"/>
                <w:color w:val="auto"/>
                <w:kern w:val="0"/>
                <w:sz w:val="24"/>
                <w:highlight w:val="none"/>
              </w:rPr>
              <w:t>交货地点</w:t>
            </w:r>
          </w:p>
        </w:tc>
        <w:tc>
          <w:tcPr>
            <w:tcW w:w="3041" w:type="pct"/>
            <w:gridSpan w:val="2"/>
            <w:vAlign w:val="center"/>
          </w:tcPr>
          <w:p>
            <w:pPr>
              <w:widowControl/>
              <w:adjustRightInd w:val="0"/>
              <w:snapToGrid w:val="0"/>
              <w:spacing w:line="400" w:lineRule="exact"/>
              <w:jc w:val="center"/>
              <w:rPr>
                <w:rFonts w:ascii="宋体" w:cs="宋体"/>
                <w:color w:val="auto"/>
                <w:kern w:val="0"/>
                <w:sz w:val="24"/>
                <w:highlight w:val="none"/>
              </w:rPr>
            </w:pPr>
            <w:r>
              <w:rPr>
                <w:rFonts w:hint="eastAsia" w:ascii="宋体" w:hAnsi="宋体" w:cs="宋体"/>
                <w:color w:val="auto"/>
                <w:kern w:val="0"/>
                <w:sz w:val="24"/>
                <w:highlight w:val="none"/>
              </w:rPr>
              <w:t>符合第二章“</w:t>
            </w:r>
            <w:r>
              <w:rPr>
                <w:rFonts w:hint="eastAsia" w:ascii="宋体" w:hAnsi="宋体" w:cs="宋体"/>
                <w:color w:val="auto"/>
                <w:kern w:val="0"/>
                <w:sz w:val="24"/>
                <w:highlight w:val="none"/>
                <w:lang w:eastAsia="zh-CN"/>
              </w:rPr>
              <w:t>投标人须知</w:t>
            </w:r>
            <w:r>
              <w:rPr>
                <w:rFonts w:hint="eastAsia" w:ascii="宋体" w:hAnsi="宋体" w:cs="宋体"/>
                <w:color w:val="auto"/>
                <w:kern w:val="0"/>
                <w:sz w:val="24"/>
                <w:highlight w:val="none"/>
              </w:rPr>
              <w:t>前附表”第</w:t>
            </w:r>
            <w:r>
              <w:rPr>
                <w:rFonts w:ascii="宋体" w:hAnsi="宋体" w:cs="宋体"/>
                <w:color w:val="auto"/>
                <w:kern w:val="0"/>
                <w:sz w:val="24"/>
                <w:highlight w:val="none"/>
              </w:rPr>
              <w:t>1.2.7</w:t>
            </w:r>
            <w:r>
              <w:rPr>
                <w:rFonts w:hint="eastAsia" w:ascii="宋体" w:hAnsi="宋体" w:cs="宋体"/>
                <w:color w:val="auto"/>
                <w:kern w:val="0"/>
                <w:sz w:val="24"/>
                <w:highlight w:val="none"/>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558"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547"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852" w:type="pct"/>
            <w:gridSpan w:val="2"/>
            <w:vAlign w:val="center"/>
          </w:tcPr>
          <w:p>
            <w:pPr>
              <w:widowControl/>
              <w:adjustRightInd w:val="0"/>
              <w:snapToGrid w:val="0"/>
              <w:spacing w:line="400" w:lineRule="exact"/>
              <w:jc w:val="center"/>
              <w:rPr>
                <w:rFonts w:ascii="宋体" w:cs="宋体"/>
                <w:color w:val="auto"/>
                <w:sz w:val="24"/>
                <w:highlight w:val="none"/>
              </w:rPr>
            </w:pPr>
            <w:r>
              <w:rPr>
                <w:rFonts w:hint="eastAsia" w:ascii="宋体" w:hAnsi="宋体" w:cs="宋体"/>
                <w:color w:val="auto"/>
                <w:sz w:val="24"/>
                <w:highlight w:val="none"/>
              </w:rPr>
              <w:t>质保期</w:t>
            </w:r>
          </w:p>
        </w:tc>
        <w:tc>
          <w:tcPr>
            <w:tcW w:w="3041" w:type="pct"/>
            <w:gridSpan w:val="2"/>
            <w:vAlign w:val="center"/>
          </w:tcPr>
          <w:p>
            <w:pPr>
              <w:widowControl/>
              <w:adjustRightInd w:val="0"/>
              <w:snapToGrid w:val="0"/>
              <w:spacing w:line="400" w:lineRule="exact"/>
              <w:jc w:val="center"/>
              <w:rPr>
                <w:rFonts w:ascii="宋体" w:cs="宋体"/>
                <w:color w:val="auto"/>
                <w:sz w:val="24"/>
                <w:highlight w:val="none"/>
              </w:rPr>
            </w:pPr>
            <w:r>
              <w:rPr>
                <w:rFonts w:hint="eastAsia" w:ascii="宋体" w:hAnsi="宋体" w:cs="宋体"/>
                <w:color w:val="auto"/>
                <w:sz w:val="24"/>
                <w:highlight w:val="none"/>
              </w:rPr>
              <w:t>符合第二章“</w:t>
            </w:r>
            <w:r>
              <w:rPr>
                <w:rFonts w:hint="eastAsia" w:ascii="宋体" w:hAnsi="宋体" w:cs="宋体"/>
                <w:color w:val="auto"/>
                <w:sz w:val="24"/>
                <w:highlight w:val="none"/>
                <w:lang w:eastAsia="zh-CN"/>
              </w:rPr>
              <w:t>投标人须知</w:t>
            </w:r>
            <w:r>
              <w:rPr>
                <w:rFonts w:hint="eastAsia" w:ascii="宋体" w:hAnsi="宋体" w:cs="宋体"/>
                <w:color w:val="auto"/>
                <w:sz w:val="24"/>
                <w:highlight w:val="none"/>
              </w:rPr>
              <w:t>前附表”第</w:t>
            </w:r>
            <w:r>
              <w:rPr>
                <w:rFonts w:ascii="宋体" w:hAnsi="宋体" w:cs="宋体"/>
                <w:color w:val="auto"/>
                <w:sz w:val="24"/>
                <w:highlight w:val="none"/>
              </w:rPr>
              <w:t>1.2.8</w:t>
            </w:r>
            <w:r>
              <w:rPr>
                <w:rFonts w:hint="eastAsia" w:ascii="宋体" w:hAnsi="宋体" w:cs="宋体"/>
                <w:color w:val="auto"/>
                <w:sz w:val="24"/>
                <w:highlight w:val="none"/>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558"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547"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852" w:type="pct"/>
            <w:gridSpan w:val="2"/>
            <w:vAlign w:val="center"/>
          </w:tcPr>
          <w:p>
            <w:pPr>
              <w:widowControl/>
              <w:adjustRightInd w:val="0"/>
              <w:snapToGrid w:val="0"/>
              <w:spacing w:line="400" w:lineRule="exact"/>
              <w:jc w:val="center"/>
              <w:rPr>
                <w:rFonts w:ascii="宋体" w:cs="宋体"/>
                <w:color w:val="auto"/>
                <w:sz w:val="24"/>
                <w:highlight w:val="none"/>
              </w:rPr>
            </w:pPr>
            <w:r>
              <w:rPr>
                <w:rFonts w:hint="eastAsia" w:ascii="宋体" w:hAnsi="宋体" w:cs="宋体"/>
                <w:color w:val="auto"/>
                <w:sz w:val="24"/>
                <w:highlight w:val="none"/>
              </w:rPr>
              <w:t>质量要求</w:t>
            </w:r>
          </w:p>
        </w:tc>
        <w:tc>
          <w:tcPr>
            <w:tcW w:w="3041" w:type="pct"/>
            <w:gridSpan w:val="2"/>
            <w:vAlign w:val="center"/>
          </w:tcPr>
          <w:p>
            <w:pPr>
              <w:widowControl/>
              <w:adjustRightInd w:val="0"/>
              <w:snapToGrid w:val="0"/>
              <w:spacing w:line="400" w:lineRule="exact"/>
              <w:jc w:val="center"/>
              <w:rPr>
                <w:rFonts w:ascii="宋体" w:cs="宋体"/>
                <w:color w:val="auto"/>
                <w:sz w:val="24"/>
                <w:highlight w:val="none"/>
              </w:rPr>
            </w:pPr>
            <w:r>
              <w:rPr>
                <w:rFonts w:hint="eastAsia" w:ascii="宋体" w:hAnsi="宋体" w:cs="宋体"/>
                <w:color w:val="auto"/>
                <w:sz w:val="24"/>
                <w:highlight w:val="none"/>
              </w:rPr>
              <w:t>符合第二章“</w:t>
            </w:r>
            <w:r>
              <w:rPr>
                <w:rFonts w:hint="eastAsia" w:ascii="宋体" w:hAnsi="宋体" w:cs="宋体"/>
                <w:color w:val="auto"/>
                <w:sz w:val="24"/>
                <w:highlight w:val="none"/>
                <w:lang w:eastAsia="zh-CN"/>
              </w:rPr>
              <w:t>投标人须知</w:t>
            </w:r>
            <w:r>
              <w:rPr>
                <w:rFonts w:hint="eastAsia" w:ascii="宋体" w:hAnsi="宋体" w:cs="宋体"/>
                <w:color w:val="auto"/>
                <w:sz w:val="24"/>
                <w:highlight w:val="none"/>
              </w:rPr>
              <w:t>前附表”第</w:t>
            </w:r>
            <w:r>
              <w:rPr>
                <w:rFonts w:ascii="宋体" w:hAnsi="宋体" w:cs="宋体"/>
                <w:color w:val="auto"/>
                <w:sz w:val="24"/>
                <w:highlight w:val="none"/>
              </w:rPr>
              <w:t>1.2.9</w:t>
            </w:r>
            <w:r>
              <w:rPr>
                <w:rFonts w:hint="eastAsia" w:ascii="宋体" w:hAnsi="宋体" w:cs="宋体"/>
                <w:color w:val="auto"/>
                <w:sz w:val="24"/>
                <w:highlight w:val="none"/>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58"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547"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852" w:type="pct"/>
            <w:gridSpan w:val="2"/>
            <w:vAlign w:val="center"/>
          </w:tcPr>
          <w:p>
            <w:pPr>
              <w:widowControl/>
              <w:adjustRightInd w:val="0"/>
              <w:snapToGrid w:val="0"/>
              <w:spacing w:line="400" w:lineRule="exact"/>
              <w:jc w:val="center"/>
              <w:rPr>
                <w:rFonts w:ascii="宋体" w:cs="宋体"/>
                <w:color w:val="auto"/>
                <w:sz w:val="24"/>
                <w:highlight w:val="none"/>
              </w:rPr>
            </w:pPr>
            <w:r>
              <w:rPr>
                <w:rFonts w:hint="eastAsia" w:ascii="宋体" w:hAnsi="宋体" w:cs="宋体"/>
                <w:color w:val="auto"/>
                <w:sz w:val="24"/>
                <w:highlight w:val="none"/>
              </w:rPr>
              <w:t>投标有效期</w:t>
            </w:r>
          </w:p>
        </w:tc>
        <w:tc>
          <w:tcPr>
            <w:tcW w:w="3041" w:type="pct"/>
            <w:gridSpan w:val="2"/>
            <w:vAlign w:val="center"/>
          </w:tcPr>
          <w:p>
            <w:pPr>
              <w:widowControl/>
              <w:adjustRightInd w:val="0"/>
              <w:snapToGrid w:val="0"/>
              <w:spacing w:line="400" w:lineRule="exact"/>
              <w:jc w:val="center"/>
              <w:rPr>
                <w:rFonts w:ascii="宋体" w:cs="宋体"/>
                <w:color w:val="auto"/>
                <w:sz w:val="24"/>
                <w:highlight w:val="none"/>
              </w:rPr>
            </w:pPr>
            <w:r>
              <w:rPr>
                <w:rFonts w:hint="eastAsia" w:ascii="宋体" w:hAnsi="宋体" w:cs="宋体"/>
                <w:color w:val="auto"/>
                <w:sz w:val="24"/>
                <w:highlight w:val="none"/>
              </w:rPr>
              <w:t>符合第二章“</w:t>
            </w:r>
            <w:r>
              <w:rPr>
                <w:rFonts w:hint="eastAsia" w:ascii="宋体" w:hAnsi="宋体" w:cs="宋体"/>
                <w:color w:val="auto"/>
                <w:sz w:val="24"/>
                <w:highlight w:val="none"/>
                <w:lang w:eastAsia="zh-CN"/>
              </w:rPr>
              <w:t>投标人须知</w:t>
            </w:r>
            <w:r>
              <w:rPr>
                <w:rFonts w:hint="eastAsia" w:ascii="宋体" w:hAnsi="宋体" w:cs="宋体"/>
                <w:color w:val="auto"/>
                <w:sz w:val="24"/>
                <w:highlight w:val="none"/>
              </w:rPr>
              <w:t>前附表”第</w:t>
            </w:r>
            <w:r>
              <w:rPr>
                <w:rFonts w:ascii="宋体" w:hAnsi="宋体" w:cs="宋体"/>
                <w:color w:val="auto"/>
                <w:sz w:val="24"/>
                <w:highlight w:val="none"/>
              </w:rPr>
              <w:t>3.6.1</w:t>
            </w:r>
            <w:r>
              <w:rPr>
                <w:rFonts w:hint="eastAsia" w:ascii="宋体" w:hAnsi="宋体" w:cs="宋体"/>
                <w:color w:val="auto"/>
                <w:sz w:val="24"/>
                <w:highlight w:val="none"/>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58"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547"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852" w:type="pct"/>
            <w:gridSpan w:val="2"/>
            <w:vAlign w:val="center"/>
          </w:tcPr>
          <w:p>
            <w:pPr>
              <w:widowControl/>
              <w:adjustRightInd w:val="0"/>
              <w:snapToGrid w:val="0"/>
              <w:spacing w:line="400" w:lineRule="exact"/>
              <w:jc w:val="center"/>
              <w:rPr>
                <w:rFonts w:ascii="宋体" w:cs="宋体"/>
                <w:color w:val="auto"/>
                <w:sz w:val="24"/>
                <w:highlight w:val="none"/>
              </w:rPr>
            </w:pPr>
            <w:r>
              <w:rPr>
                <w:rFonts w:hint="eastAsia"/>
                <w:color w:val="auto"/>
                <w:sz w:val="24"/>
                <w:highlight w:val="none"/>
              </w:rPr>
              <w:t>投标文件制作机器码</w:t>
            </w:r>
          </w:p>
        </w:tc>
        <w:tc>
          <w:tcPr>
            <w:tcW w:w="3041" w:type="pct"/>
            <w:gridSpan w:val="2"/>
            <w:vAlign w:val="center"/>
          </w:tcPr>
          <w:p>
            <w:pPr>
              <w:widowControl/>
              <w:adjustRightInd w:val="0"/>
              <w:snapToGrid w:val="0"/>
              <w:spacing w:line="400" w:lineRule="exact"/>
              <w:jc w:val="center"/>
              <w:rPr>
                <w:rFonts w:ascii="宋体" w:cs="宋体"/>
                <w:color w:val="auto"/>
                <w:sz w:val="24"/>
                <w:highlight w:val="none"/>
              </w:rPr>
            </w:pPr>
            <w:r>
              <w:rPr>
                <w:rFonts w:hint="eastAsia"/>
                <w:color w:val="auto"/>
                <w:sz w:val="24"/>
                <w:highlight w:val="none"/>
              </w:rPr>
              <w:t>投标文件制作机器码一致的视为无效投标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58"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547"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852" w:type="pct"/>
            <w:gridSpan w:val="2"/>
            <w:vAlign w:val="center"/>
          </w:tcPr>
          <w:p>
            <w:pPr>
              <w:widowControl/>
              <w:adjustRightInd w:val="0"/>
              <w:snapToGrid w:val="0"/>
              <w:spacing w:line="400" w:lineRule="exact"/>
              <w:jc w:val="center"/>
              <w:rPr>
                <w:color w:val="auto"/>
                <w:sz w:val="24"/>
                <w:highlight w:val="none"/>
              </w:rPr>
            </w:pPr>
            <w:r>
              <w:rPr>
                <w:rFonts w:ascii="宋体" w:hAnsi="宋体" w:eastAsia="宋体" w:cs="宋体"/>
                <w:color w:val="auto"/>
                <w:sz w:val="24"/>
                <w:szCs w:val="24"/>
                <w:highlight w:val="none"/>
              </w:rPr>
              <w:t>技术要求</w:t>
            </w:r>
          </w:p>
        </w:tc>
        <w:tc>
          <w:tcPr>
            <w:tcW w:w="3041" w:type="pct"/>
            <w:gridSpan w:val="2"/>
            <w:vAlign w:val="center"/>
          </w:tcPr>
          <w:p>
            <w:pPr>
              <w:widowControl/>
              <w:adjustRightInd w:val="0"/>
              <w:snapToGrid w:val="0"/>
              <w:spacing w:line="400" w:lineRule="exact"/>
              <w:jc w:val="center"/>
              <w:rPr>
                <w:color w:val="auto"/>
                <w:sz w:val="24"/>
                <w:highlight w:val="none"/>
              </w:rPr>
            </w:pPr>
            <w:r>
              <w:rPr>
                <w:rFonts w:ascii="宋体" w:hAnsi="宋体" w:eastAsia="宋体" w:cs="宋体"/>
                <w:color w:val="auto"/>
                <w:sz w:val="24"/>
                <w:szCs w:val="24"/>
                <w:highlight w:val="none"/>
              </w:rPr>
              <w:t>招标项目需求及技术要求中标注“</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”号条款为实质性条款，符合技术标准要求。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58"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547" w:type="pct"/>
            <w:gridSpan w:val="2"/>
            <w:vMerge w:val="continue"/>
            <w:vAlign w:val="center"/>
          </w:tcPr>
          <w:p>
            <w:pPr>
              <w:widowControl/>
              <w:adjustRightInd w:val="0"/>
              <w:snapToGrid w:val="0"/>
              <w:spacing w:line="360" w:lineRule="auto"/>
              <w:jc w:val="center"/>
              <w:rPr>
                <w:rFonts w:ascii="宋体" w:cs="宋体"/>
                <w:color w:val="auto"/>
                <w:kern w:val="0"/>
                <w:sz w:val="24"/>
                <w:highlight w:val="none"/>
              </w:rPr>
            </w:pPr>
          </w:p>
        </w:tc>
        <w:tc>
          <w:tcPr>
            <w:tcW w:w="852" w:type="pct"/>
            <w:gridSpan w:val="2"/>
            <w:vAlign w:val="center"/>
          </w:tcPr>
          <w:p>
            <w:pPr>
              <w:widowControl/>
              <w:adjustRightInd w:val="0"/>
              <w:snapToGrid w:val="0"/>
              <w:spacing w:line="400" w:lineRule="exact"/>
              <w:jc w:val="center"/>
              <w:rPr>
                <w:color w:val="auto"/>
                <w:sz w:val="24"/>
                <w:highlight w:val="none"/>
              </w:rPr>
            </w:pPr>
            <w:r>
              <w:rPr>
                <w:rFonts w:hint="eastAsia"/>
                <w:color w:val="auto"/>
                <w:sz w:val="24"/>
                <w:highlight w:val="none"/>
              </w:rPr>
              <w:t>其他</w:t>
            </w:r>
          </w:p>
        </w:tc>
        <w:tc>
          <w:tcPr>
            <w:tcW w:w="3041" w:type="pct"/>
            <w:gridSpan w:val="2"/>
            <w:vAlign w:val="center"/>
          </w:tcPr>
          <w:p>
            <w:pPr>
              <w:widowControl/>
              <w:adjustRightInd w:val="0"/>
              <w:snapToGrid w:val="0"/>
              <w:spacing w:line="400" w:lineRule="exact"/>
              <w:jc w:val="center"/>
              <w:rPr>
                <w:color w:val="auto"/>
                <w:sz w:val="24"/>
                <w:highlight w:val="none"/>
              </w:rPr>
            </w:pPr>
            <w:r>
              <w:rPr>
                <w:rFonts w:hint="eastAsia"/>
                <w:color w:val="auto"/>
                <w:sz w:val="24"/>
                <w:highlight w:val="none"/>
              </w:rPr>
              <w:t>响应招标文件规定的其他实质性内容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1105" w:type="pct"/>
            <w:gridSpan w:val="4"/>
            <w:vAlign w:val="center"/>
          </w:tcPr>
          <w:p>
            <w:pPr>
              <w:autoSpaceDE w:val="0"/>
              <w:autoSpaceDN w:val="0"/>
              <w:adjustRightInd w:val="0"/>
              <w:snapToGrid w:val="0"/>
              <w:spacing w:line="360" w:lineRule="auto"/>
              <w:ind w:left="38" w:leftChars="18"/>
              <w:jc w:val="center"/>
              <w:rPr>
                <w:rFonts w:ascii="宋体" w:cs="宋体"/>
                <w:color w:val="auto"/>
                <w:kern w:val="0"/>
                <w:sz w:val="24"/>
                <w:highlight w:val="none"/>
              </w:rPr>
            </w:pPr>
            <w:r>
              <w:rPr>
                <w:rFonts w:hint="eastAsia" w:ascii="宋体" w:hAnsi="宋体" w:cs="宋体"/>
                <w:color w:val="auto"/>
                <w:kern w:val="0"/>
                <w:sz w:val="24"/>
                <w:highlight w:val="none"/>
              </w:rPr>
              <w:t>条款号</w:t>
            </w:r>
          </w:p>
        </w:tc>
        <w:tc>
          <w:tcPr>
            <w:tcW w:w="852" w:type="pct"/>
            <w:gridSpan w:val="2"/>
            <w:vAlign w:val="center"/>
          </w:tcPr>
          <w:p>
            <w:pPr>
              <w:autoSpaceDE w:val="0"/>
              <w:autoSpaceDN w:val="0"/>
              <w:adjustRightInd w:val="0"/>
              <w:snapToGrid w:val="0"/>
              <w:spacing w:line="360" w:lineRule="auto"/>
              <w:ind w:left="38" w:leftChars="18"/>
              <w:jc w:val="center"/>
              <w:rPr>
                <w:rFonts w:ascii="宋体" w:cs="宋体"/>
                <w:color w:val="auto"/>
                <w:kern w:val="0"/>
                <w:sz w:val="24"/>
                <w:highlight w:val="none"/>
              </w:rPr>
            </w:pPr>
            <w:r>
              <w:rPr>
                <w:rFonts w:hint="eastAsia"/>
                <w:b/>
                <w:color w:val="auto"/>
                <w:spacing w:val="1"/>
                <w:sz w:val="24"/>
                <w:highlight w:val="none"/>
              </w:rPr>
              <w:t>评审因素</w:t>
            </w:r>
          </w:p>
        </w:tc>
        <w:tc>
          <w:tcPr>
            <w:tcW w:w="3041" w:type="pct"/>
            <w:gridSpan w:val="2"/>
            <w:vAlign w:val="center"/>
          </w:tcPr>
          <w:p>
            <w:pPr>
              <w:autoSpaceDE w:val="0"/>
              <w:autoSpaceDN w:val="0"/>
              <w:adjustRightInd w:val="0"/>
              <w:snapToGrid w:val="0"/>
              <w:spacing w:line="360" w:lineRule="auto"/>
              <w:ind w:left="38" w:leftChars="18"/>
              <w:jc w:val="center"/>
              <w:rPr>
                <w:rFonts w:ascii="宋体" w:cs="宋体"/>
                <w:color w:val="auto"/>
                <w:kern w:val="0"/>
                <w:sz w:val="24"/>
                <w:highlight w:val="none"/>
              </w:rPr>
            </w:pPr>
            <w:r>
              <w:rPr>
                <w:rFonts w:hint="eastAsia"/>
                <w:b/>
                <w:color w:val="auto"/>
                <w:spacing w:val="1"/>
                <w:sz w:val="24"/>
                <w:highlight w:val="none"/>
              </w:rPr>
              <w:t>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5" w:type="pct"/>
            <w:gridSpan w:val="4"/>
            <w:vAlign w:val="center"/>
          </w:tcPr>
          <w:p>
            <w:pPr>
              <w:autoSpaceDE w:val="0"/>
              <w:autoSpaceDN w:val="0"/>
              <w:adjustRightInd w:val="0"/>
              <w:snapToGrid w:val="0"/>
              <w:spacing w:line="360" w:lineRule="auto"/>
              <w:ind w:left="38" w:leftChars="18"/>
              <w:jc w:val="center"/>
              <w:rPr>
                <w:rFonts w:ascii="宋体" w:cs="宋体"/>
                <w:color w:val="auto"/>
                <w:kern w:val="0"/>
                <w:sz w:val="24"/>
                <w:highlight w:val="none"/>
              </w:rPr>
            </w:pPr>
            <w:r>
              <w:rPr>
                <w:rFonts w:ascii="宋体" w:hAnsi="宋体" w:cs="宋体"/>
                <w:color w:val="auto"/>
                <w:kern w:val="0"/>
                <w:sz w:val="24"/>
                <w:highlight w:val="none"/>
              </w:rPr>
              <w:t>2.2.1</w:t>
            </w:r>
          </w:p>
        </w:tc>
        <w:tc>
          <w:tcPr>
            <w:tcW w:w="852" w:type="pct"/>
            <w:gridSpan w:val="2"/>
            <w:vAlign w:val="center"/>
          </w:tcPr>
          <w:p>
            <w:pPr>
              <w:autoSpaceDE w:val="0"/>
              <w:autoSpaceDN w:val="0"/>
              <w:adjustRightInd w:val="0"/>
              <w:snapToGrid w:val="0"/>
              <w:spacing w:line="360" w:lineRule="auto"/>
              <w:ind w:left="38" w:leftChars="18"/>
              <w:jc w:val="center"/>
              <w:rPr>
                <w:rFonts w:ascii="宋体" w:cs="宋体"/>
                <w:color w:val="auto"/>
                <w:kern w:val="0"/>
                <w:sz w:val="24"/>
                <w:highlight w:val="none"/>
              </w:rPr>
            </w:pPr>
            <w:r>
              <w:rPr>
                <w:rFonts w:hint="eastAsia" w:ascii="宋体" w:hAnsi="宋体" w:cs="宋体"/>
                <w:color w:val="auto"/>
                <w:kern w:val="0"/>
                <w:sz w:val="24"/>
                <w:highlight w:val="none"/>
              </w:rPr>
              <w:t>分值构成</w:t>
            </w:r>
          </w:p>
          <w:p>
            <w:pPr>
              <w:autoSpaceDE w:val="0"/>
              <w:autoSpaceDN w:val="0"/>
              <w:adjustRightInd w:val="0"/>
              <w:snapToGrid w:val="0"/>
              <w:spacing w:line="360" w:lineRule="auto"/>
              <w:ind w:left="38" w:leftChars="18"/>
              <w:jc w:val="center"/>
              <w:rPr>
                <w:rFonts w:ascii="宋体" w:cs="宋体"/>
                <w:color w:val="auto"/>
                <w:kern w:val="0"/>
                <w:sz w:val="24"/>
                <w:highlight w:val="none"/>
              </w:rPr>
            </w:pPr>
            <w:r>
              <w:rPr>
                <w:rFonts w:ascii="宋体" w:hAnsi="宋体" w:cs="宋体"/>
                <w:color w:val="auto"/>
                <w:kern w:val="0"/>
                <w:sz w:val="24"/>
                <w:highlight w:val="none"/>
              </w:rPr>
              <w:t>(</w:t>
            </w:r>
            <w:r>
              <w:rPr>
                <w:rFonts w:hint="eastAsia" w:ascii="宋体" w:hAnsi="宋体" w:cs="宋体"/>
                <w:color w:val="auto"/>
                <w:kern w:val="0"/>
                <w:sz w:val="24"/>
                <w:highlight w:val="none"/>
              </w:rPr>
              <w:t>总分</w:t>
            </w:r>
            <w:r>
              <w:rPr>
                <w:rFonts w:ascii="宋体" w:hAnsi="宋体" w:cs="宋体"/>
                <w:color w:val="auto"/>
                <w:kern w:val="0"/>
                <w:sz w:val="24"/>
                <w:highlight w:val="none"/>
              </w:rPr>
              <w:t>100</w:t>
            </w:r>
            <w:r>
              <w:rPr>
                <w:rFonts w:hint="eastAsia" w:ascii="宋体" w:hAnsi="宋体" w:cs="宋体"/>
                <w:color w:val="auto"/>
                <w:kern w:val="0"/>
                <w:sz w:val="24"/>
                <w:highlight w:val="none"/>
              </w:rPr>
              <w:t>分</w:t>
            </w:r>
            <w:r>
              <w:rPr>
                <w:rFonts w:ascii="宋体" w:hAnsi="宋体" w:cs="宋体"/>
                <w:color w:val="auto"/>
                <w:kern w:val="0"/>
                <w:sz w:val="24"/>
                <w:highlight w:val="none"/>
              </w:rPr>
              <w:t>)</w:t>
            </w:r>
          </w:p>
        </w:tc>
        <w:tc>
          <w:tcPr>
            <w:tcW w:w="3041" w:type="pct"/>
            <w:gridSpan w:val="2"/>
            <w:vAlign w:val="center"/>
          </w:tcPr>
          <w:p>
            <w:pPr>
              <w:autoSpaceDE w:val="0"/>
              <w:autoSpaceDN w:val="0"/>
              <w:adjustRightInd w:val="0"/>
              <w:snapToGrid w:val="0"/>
              <w:spacing w:line="360" w:lineRule="auto"/>
              <w:ind w:left="38" w:leftChars="18"/>
              <w:jc w:val="left"/>
              <w:rPr>
                <w:rFonts w:ascii="宋体" w:cs="宋体"/>
                <w:b/>
                <w:bCs/>
                <w:color w:val="auto"/>
                <w:kern w:val="0"/>
                <w:sz w:val="24"/>
                <w:highlight w:val="none"/>
              </w:rPr>
            </w:pPr>
            <w:r>
              <w:rPr>
                <w:rFonts w:hint="eastAsia" w:ascii="宋体" w:hAnsi="宋体" w:cs="宋体"/>
                <w:b/>
                <w:bCs/>
                <w:color w:val="auto"/>
                <w:kern w:val="0"/>
                <w:sz w:val="24"/>
                <w:highlight w:val="none"/>
              </w:rPr>
              <w:t>报价得分：</w:t>
            </w:r>
            <w:r>
              <w:rPr>
                <w:rFonts w:ascii="宋体" w:hAnsi="宋体" w:cs="宋体"/>
                <w:b/>
                <w:bCs/>
                <w:color w:val="auto"/>
                <w:kern w:val="0"/>
                <w:sz w:val="24"/>
                <w:highlight w:val="none"/>
              </w:rPr>
              <w:t>3</w:t>
            </w:r>
            <w:r>
              <w:rPr>
                <w:rFonts w:hint="eastAsia" w:ascii="宋体" w:hAnsi="宋体" w:cs="宋体"/>
                <w:b/>
                <w:bCs/>
                <w:color w:val="auto"/>
                <w:kern w:val="0"/>
                <w:sz w:val="24"/>
                <w:highlight w:val="none"/>
                <w:lang w:val="en-US" w:eastAsia="zh-CN"/>
              </w:rPr>
              <w:t>0</w:t>
            </w:r>
            <w:r>
              <w:rPr>
                <w:rFonts w:hint="eastAsia" w:ascii="宋体" w:hAnsi="宋体" w:cs="宋体"/>
                <w:b/>
                <w:bCs/>
                <w:color w:val="auto"/>
                <w:kern w:val="0"/>
                <w:sz w:val="24"/>
                <w:highlight w:val="none"/>
              </w:rPr>
              <w:t>分</w:t>
            </w:r>
            <w:r>
              <w:rPr>
                <w:rFonts w:ascii="宋体" w:hAnsi="宋体" w:cs="宋体"/>
                <w:b/>
                <w:bCs/>
                <w:color w:val="auto"/>
                <w:kern w:val="0"/>
                <w:sz w:val="24"/>
                <w:highlight w:val="none"/>
              </w:rPr>
              <w:t xml:space="preserve">  </w:t>
            </w:r>
          </w:p>
          <w:p>
            <w:pPr>
              <w:autoSpaceDE w:val="0"/>
              <w:autoSpaceDN w:val="0"/>
              <w:adjustRightInd w:val="0"/>
              <w:snapToGrid w:val="0"/>
              <w:spacing w:line="360" w:lineRule="auto"/>
              <w:ind w:left="38" w:leftChars="18"/>
              <w:jc w:val="left"/>
              <w:rPr>
                <w:rFonts w:ascii="宋体" w:cs="宋体"/>
                <w:b/>
                <w:color w:val="auto"/>
                <w:sz w:val="24"/>
                <w:highlight w:val="none"/>
              </w:rPr>
            </w:pPr>
            <w:r>
              <w:rPr>
                <w:rFonts w:hint="eastAsia" w:ascii="宋体" w:hAnsi="宋体" w:cs="宋体"/>
                <w:b/>
                <w:color w:val="auto"/>
                <w:sz w:val="24"/>
                <w:highlight w:val="none"/>
              </w:rPr>
              <w:t>技术部分：</w:t>
            </w:r>
            <w:r>
              <w:rPr>
                <w:rFonts w:hint="eastAsia" w:ascii="宋体" w:hAnsi="宋体" w:cs="宋体"/>
                <w:b/>
                <w:color w:val="auto"/>
                <w:sz w:val="24"/>
                <w:highlight w:val="none"/>
                <w:lang w:val="en-US" w:eastAsia="zh-CN"/>
              </w:rPr>
              <w:t>45</w:t>
            </w:r>
            <w:r>
              <w:rPr>
                <w:rFonts w:hint="eastAsia" w:ascii="宋体" w:hAnsi="宋体" w:cs="宋体"/>
                <w:b/>
                <w:color w:val="auto"/>
                <w:sz w:val="24"/>
                <w:highlight w:val="none"/>
              </w:rPr>
              <w:t>分</w:t>
            </w:r>
            <w:r>
              <w:rPr>
                <w:rFonts w:ascii="宋体" w:hAnsi="宋体" w:cs="宋体"/>
                <w:b/>
                <w:color w:val="auto"/>
                <w:sz w:val="24"/>
                <w:highlight w:val="none"/>
              </w:rPr>
              <w:t xml:space="preserve">   </w:t>
            </w:r>
          </w:p>
          <w:p>
            <w:pPr>
              <w:autoSpaceDE w:val="0"/>
              <w:autoSpaceDN w:val="0"/>
              <w:adjustRightInd w:val="0"/>
              <w:snapToGrid w:val="0"/>
              <w:spacing w:line="360" w:lineRule="auto"/>
              <w:ind w:left="38" w:leftChars="18"/>
              <w:jc w:val="left"/>
              <w:rPr>
                <w:rFonts w:ascii="宋体" w:cs="宋体"/>
                <w:b/>
                <w:color w:val="auto"/>
                <w:sz w:val="24"/>
                <w:highlight w:val="none"/>
              </w:rPr>
            </w:pPr>
            <w:r>
              <w:rPr>
                <w:rFonts w:hint="eastAsia" w:ascii="宋体" w:hAnsi="宋体" w:cs="宋体"/>
                <w:b/>
                <w:color w:val="auto"/>
                <w:sz w:val="24"/>
                <w:highlight w:val="none"/>
              </w:rPr>
              <w:t>商务部分：</w:t>
            </w:r>
            <w:r>
              <w:rPr>
                <w:rFonts w:hint="eastAsia" w:ascii="宋体" w:hAnsi="宋体" w:cs="宋体"/>
                <w:b/>
                <w:color w:val="auto"/>
                <w:sz w:val="24"/>
                <w:highlight w:val="none"/>
                <w:lang w:val="en-US" w:eastAsia="zh-CN"/>
              </w:rPr>
              <w:t>25</w:t>
            </w:r>
            <w:r>
              <w:rPr>
                <w:rFonts w:hint="eastAsia" w:ascii="宋体" w:hAnsi="宋体" w:cs="宋体"/>
                <w:b/>
                <w:color w:val="auto"/>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05" w:type="pct"/>
            <w:gridSpan w:val="4"/>
            <w:vAlign w:val="center"/>
          </w:tcPr>
          <w:p>
            <w:pPr>
              <w:autoSpaceDE w:val="0"/>
              <w:autoSpaceDN w:val="0"/>
              <w:adjustRightInd w:val="0"/>
              <w:snapToGrid w:val="0"/>
              <w:spacing w:line="360" w:lineRule="auto"/>
              <w:ind w:left="38" w:leftChars="18"/>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条款号</w:t>
            </w:r>
          </w:p>
        </w:tc>
        <w:tc>
          <w:tcPr>
            <w:tcW w:w="852" w:type="pct"/>
            <w:gridSpan w:val="2"/>
            <w:vAlign w:val="center"/>
          </w:tcPr>
          <w:p>
            <w:pPr>
              <w:autoSpaceDE w:val="0"/>
              <w:autoSpaceDN w:val="0"/>
              <w:adjustRightInd w:val="0"/>
              <w:snapToGrid w:val="0"/>
              <w:spacing w:line="360" w:lineRule="auto"/>
              <w:ind w:left="38" w:leftChars="18"/>
              <w:jc w:val="center"/>
              <w:rPr>
                <w:rFonts w:hint="eastAsia" w:ascii="宋体" w:hAnsi="宋体" w:eastAsia="宋体" w:cs="宋体"/>
                <w:color w:val="auto"/>
                <w:kern w:val="0"/>
                <w:sz w:val="21"/>
                <w:szCs w:val="21"/>
                <w:highlight w:val="none"/>
              </w:rPr>
            </w:pPr>
            <w:r>
              <w:rPr>
                <w:rFonts w:hint="eastAsia" w:ascii="宋体" w:hAnsi="宋体" w:eastAsia="宋体" w:cs="宋体"/>
                <w:b/>
                <w:color w:val="auto"/>
                <w:spacing w:val="1"/>
                <w:sz w:val="21"/>
                <w:szCs w:val="21"/>
                <w:highlight w:val="none"/>
              </w:rPr>
              <w:t>评审因素</w:t>
            </w:r>
          </w:p>
        </w:tc>
        <w:tc>
          <w:tcPr>
            <w:tcW w:w="3041" w:type="pct"/>
            <w:gridSpan w:val="2"/>
            <w:vAlign w:val="center"/>
          </w:tcPr>
          <w:p>
            <w:pPr>
              <w:autoSpaceDE w:val="0"/>
              <w:autoSpaceDN w:val="0"/>
              <w:adjustRightInd w:val="0"/>
              <w:snapToGrid w:val="0"/>
              <w:spacing w:line="360" w:lineRule="auto"/>
              <w:ind w:left="38" w:leftChars="18"/>
              <w:jc w:val="center"/>
              <w:rPr>
                <w:rFonts w:hint="eastAsia" w:ascii="宋体" w:hAnsi="宋体" w:eastAsia="宋体" w:cs="宋体"/>
                <w:b/>
                <w:color w:val="auto"/>
                <w:sz w:val="21"/>
                <w:szCs w:val="21"/>
                <w:highlight w:val="none"/>
              </w:rPr>
            </w:pPr>
            <w:r>
              <w:rPr>
                <w:rFonts w:hint="eastAsia" w:ascii="宋体" w:hAnsi="宋体" w:eastAsia="宋体" w:cs="宋体"/>
                <w:b/>
                <w:color w:val="auto"/>
                <w:spacing w:val="1"/>
                <w:sz w:val="21"/>
                <w:szCs w:val="21"/>
                <w:highlight w:val="none"/>
              </w:rPr>
              <w:t>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42" w:hRule="atLeast"/>
          <w:jc w:val="center"/>
        </w:trPr>
        <w:tc>
          <w:tcPr>
            <w:tcW w:w="488" w:type="pct"/>
            <w:vAlign w:val="center"/>
          </w:tcPr>
          <w:p>
            <w:pPr>
              <w:widowControl/>
              <w:adjustRightInd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2.2.2（1）</w:t>
            </w:r>
          </w:p>
        </w:tc>
        <w:tc>
          <w:tcPr>
            <w:tcW w:w="615" w:type="pct"/>
            <w:gridSpan w:val="2"/>
            <w:vAlign w:val="center"/>
          </w:tcPr>
          <w:p>
            <w:pPr>
              <w:widowControl/>
              <w:adjustRightInd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报价</w:t>
            </w:r>
          </w:p>
          <w:p>
            <w:pPr>
              <w:widowControl/>
              <w:adjustRightInd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得分</w:t>
            </w:r>
          </w:p>
          <w:p>
            <w:pPr>
              <w:widowControl/>
              <w:adjustRightInd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w:t>
            </w:r>
            <w:r>
              <w:rPr>
                <w:rFonts w:hint="eastAsia" w:ascii="宋体" w:hAnsi="宋体" w:eastAsia="宋体" w:cs="宋体"/>
                <w:b/>
                <w:color w:val="auto"/>
                <w:sz w:val="21"/>
                <w:szCs w:val="21"/>
                <w:highlight w:val="none"/>
                <w:lang w:val="en-US" w:eastAsia="zh-CN"/>
              </w:rPr>
              <w:t>0</w:t>
            </w:r>
            <w:r>
              <w:rPr>
                <w:rFonts w:hint="eastAsia" w:ascii="宋体" w:hAnsi="宋体" w:eastAsia="宋体" w:cs="宋体"/>
                <w:b/>
                <w:color w:val="auto"/>
                <w:sz w:val="21"/>
                <w:szCs w:val="21"/>
                <w:highlight w:val="none"/>
              </w:rPr>
              <w:t>分）</w:t>
            </w:r>
          </w:p>
        </w:tc>
        <w:tc>
          <w:tcPr>
            <w:tcW w:w="852" w:type="pct"/>
            <w:gridSpan w:val="2"/>
            <w:vAlign w:val="center"/>
          </w:tcPr>
          <w:p>
            <w:pPr>
              <w:adjustRightInd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投标报价标准</w:t>
            </w:r>
          </w:p>
        </w:tc>
        <w:tc>
          <w:tcPr>
            <w:tcW w:w="3040" w:type="pct"/>
            <w:gridSpan w:val="2"/>
            <w:vAlign w:val="center"/>
          </w:tcPr>
          <w:p>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计算方法如下：</w:t>
            </w:r>
          </w:p>
          <w:p>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评标基准值=有效</w:t>
            </w:r>
            <w:r>
              <w:rPr>
                <w:rFonts w:hint="eastAsia" w:ascii="宋体" w:hAnsi="宋体" w:eastAsia="宋体" w:cs="宋体"/>
                <w:color w:val="auto"/>
                <w:kern w:val="0"/>
                <w:sz w:val="21"/>
                <w:szCs w:val="21"/>
                <w:highlight w:val="none"/>
                <w:lang w:eastAsia="zh-CN"/>
              </w:rPr>
              <w:t>投标人</w:t>
            </w:r>
            <w:r>
              <w:rPr>
                <w:rFonts w:hint="eastAsia" w:ascii="宋体" w:hAnsi="宋体" w:eastAsia="宋体" w:cs="宋体"/>
                <w:color w:val="auto"/>
                <w:kern w:val="0"/>
                <w:sz w:val="21"/>
                <w:szCs w:val="21"/>
                <w:highlight w:val="none"/>
              </w:rPr>
              <w:t>的最低评标报价</w:t>
            </w:r>
          </w:p>
          <w:p>
            <w:pPr>
              <w:adjustRightInd w:val="0"/>
              <w:snapToGrid w:val="0"/>
              <w:spacing w:line="360" w:lineRule="auto"/>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投标报价得分=评标基准值/评标报价×3</w:t>
            </w:r>
            <w:r>
              <w:rPr>
                <w:rFonts w:hint="eastAsia" w:ascii="宋体" w:hAnsi="宋体" w:eastAsia="宋体" w:cs="宋体"/>
                <w:color w:val="auto"/>
                <w:kern w:val="0"/>
                <w:sz w:val="21"/>
                <w:szCs w:val="21"/>
                <w:highlight w:val="none"/>
                <w:lang w:val="en-US" w:eastAsia="zh-CN"/>
              </w:rPr>
              <w:t>0</w:t>
            </w:r>
          </w:p>
          <w:p>
            <w:pPr>
              <w:adjustRightInd w:val="0"/>
              <w:snapToGrid w:val="0"/>
              <w:spacing w:line="360" w:lineRule="auto"/>
              <w:ind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为贯彻落实《政府采购促进中小企业发展管理办法》（财库[2020]46号）、财库〔2022〕19号《财政部关于进一步加大政府采购支持中小企业力度的通知》、《关于促进残疾人就业政府采购政策的通知》（财库[2017]141号）、《关于政府采购支持监狱企业发展有关问题的通知》（财库[2014]68号）等规定，促进中小型企业的发展，评审时给予小型或微型企业、监狱企业、残疾人福利性单位10%的价格扣除，用扣除后的价格参与评审。同一</w:t>
            </w:r>
            <w:r>
              <w:rPr>
                <w:rFonts w:hint="eastAsia" w:ascii="宋体" w:hAnsi="宋体" w:eastAsia="宋体" w:cs="宋体"/>
                <w:color w:val="auto"/>
                <w:kern w:val="0"/>
                <w:sz w:val="21"/>
                <w:szCs w:val="21"/>
                <w:highlight w:val="none"/>
                <w:lang w:eastAsia="zh-CN"/>
              </w:rPr>
              <w:t>投标人</w:t>
            </w:r>
            <w:r>
              <w:rPr>
                <w:rFonts w:hint="eastAsia" w:ascii="宋体" w:hAnsi="宋体" w:eastAsia="宋体" w:cs="宋体"/>
                <w:color w:val="auto"/>
                <w:kern w:val="0"/>
                <w:sz w:val="21"/>
                <w:szCs w:val="21"/>
                <w:highlight w:val="none"/>
              </w:rPr>
              <w:t>，小微企业、监狱企业、残疾人福利性单位价格扣除优惠只享受一次，不得重复享受。应提供《中小企业声明函》、《残疾人福利性单位声明函》、《监狱企业的证明文件》，格式见</w:t>
            </w:r>
            <w:r>
              <w:rPr>
                <w:rFonts w:hint="eastAsia" w:ascii="宋体" w:hAnsi="宋体" w:cs="宋体"/>
                <w:color w:val="auto"/>
                <w:kern w:val="0"/>
                <w:sz w:val="21"/>
                <w:szCs w:val="21"/>
                <w:highlight w:val="none"/>
                <w:lang w:eastAsia="zh-CN"/>
              </w:rPr>
              <w:t>投标文件格式</w:t>
            </w:r>
            <w:r>
              <w:rPr>
                <w:rFonts w:hint="eastAsia" w:ascii="宋体" w:hAnsi="宋体" w:eastAsia="宋体" w:cs="宋体"/>
                <w:color w:val="auto"/>
                <w:kern w:val="0"/>
                <w:sz w:val="21"/>
                <w:szCs w:val="21"/>
                <w:highlight w:val="none"/>
              </w:rPr>
              <w:t>，未提供声明函者不予认定。</w:t>
            </w:r>
          </w:p>
          <w:p>
            <w:pPr>
              <w:adjustRightInd w:val="0"/>
              <w:snapToGrid w:val="0"/>
              <w:spacing w:line="360" w:lineRule="auto"/>
              <w:ind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（2）评标委员会认定某</w:t>
            </w:r>
            <w:r>
              <w:rPr>
                <w:rFonts w:hint="eastAsia" w:ascii="宋体" w:hAnsi="宋体" w:eastAsia="宋体" w:cs="宋体"/>
                <w:color w:val="auto"/>
                <w:kern w:val="0"/>
                <w:sz w:val="21"/>
                <w:szCs w:val="21"/>
                <w:highlight w:val="none"/>
                <w:lang w:eastAsia="zh-CN"/>
              </w:rPr>
              <w:t>投标人</w:t>
            </w:r>
            <w:r>
              <w:rPr>
                <w:rFonts w:hint="eastAsia" w:ascii="宋体" w:hAnsi="宋体" w:eastAsia="宋体" w:cs="宋体"/>
                <w:color w:val="auto"/>
                <w:kern w:val="0"/>
                <w:sz w:val="21"/>
                <w:szCs w:val="21"/>
                <w:highlight w:val="none"/>
              </w:rPr>
              <w:t>的投标报价明显低于其他有效</w:t>
            </w:r>
            <w:r>
              <w:rPr>
                <w:rFonts w:hint="eastAsia" w:ascii="宋体" w:hAnsi="宋体" w:eastAsia="宋体" w:cs="宋体"/>
                <w:color w:val="auto"/>
                <w:kern w:val="0"/>
                <w:sz w:val="21"/>
                <w:szCs w:val="21"/>
                <w:highlight w:val="none"/>
                <w:lang w:eastAsia="zh-CN"/>
              </w:rPr>
              <w:t>投标人</w:t>
            </w:r>
            <w:r>
              <w:rPr>
                <w:rFonts w:hint="eastAsia" w:ascii="宋体" w:hAnsi="宋体" w:eastAsia="宋体" w:cs="宋体"/>
                <w:color w:val="auto"/>
                <w:kern w:val="0"/>
                <w:sz w:val="21"/>
                <w:szCs w:val="21"/>
                <w:highlight w:val="none"/>
              </w:rPr>
              <w:t>投标报价，有可能影响产品质量或者不能诚信履约的，评标委员会有权要求该</w:t>
            </w:r>
            <w:r>
              <w:rPr>
                <w:rFonts w:hint="eastAsia" w:ascii="宋体" w:hAnsi="宋体" w:eastAsia="宋体" w:cs="宋体"/>
                <w:color w:val="auto"/>
                <w:kern w:val="0"/>
                <w:sz w:val="21"/>
                <w:szCs w:val="21"/>
                <w:highlight w:val="none"/>
                <w:lang w:eastAsia="zh-CN"/>
              </w:rPr>
              <w:t>投标人</w:t>
            </w:r>
            <w:r>
              <w:rPr>
                <w:rFonts w:hint="eastAsia" w:ascii="宋体" w:hAnsi="宋体" w:eastAsia="宋体" w:cs="宋体"/>
                <w:color w:val="auto"/>
                <w:kern w:val="0"/>
                <w:sz w:val="21"/>
                <w:szCs w:val="21"/>
                <w:highlight w:val="none"/>
              </w:rPr>
              <w:t>对其报价的合理性作出书面说明，并提供相关证明材料，否则作为无效投标处理。</w:t>
            </w:r>
          </w:p>
          <w:p>
            <w:pPr>
              <w:adjustRightInd w:val="0"/>
              <w:snapToGrid w:val="0"/>
              <w:spacing w:line="360" w:lineRule="auto"/>
              <w:jc w:val="left"/>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注：</w:t>
            </w:r>
          </w:p>
          <w:p>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1、有效投标人是指响应招标文件要求并通过资格审查、形式评审、符合性审查未被判定为无效投标的所有投标人。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512" w:hRule="atLeast"/>
          <w:jc w:val="center"/>
        </w:trPr>
        <w:tc>
          <w:tcPr>
            <w:tcW w:w="488" w:type="pct"/>
            <w:vMerge w:val="restart"/>
            <w:vAlign w:val="center"/>
          </w:tcPr>
          <w:p>
            <w:pPr>
              <w:widowControl/>
              <w:adjustRightInd w:val="0"/>
              <w:snapToGrid w:val="0"/>
              <w:spacing w:line="360" w:lineRule="auto"/>
              <w:jc w:val="center"/>
              <w:rPr>
                <w:rFonts w:hint="eastAsia" w:ascii="宋体" w:hAnsi="宋体" w:eastAsia="宋体" w:cs="宋体"/>
                <w:color w:val="auto"/>
                <w:kern w:val="0"/>
                <w:sz w:val="21"/>
                <w:szCs w:val="21"/>
                <w:highlight w:val="none"/>
              </w:rPr>
            </w:pPr>
          </w:p>
          <w:p>
            <w:pPr>
              <w:widowControl/>
              <w:adjustRightInd w:val="0"/>
              <w:snapToGrid w:val="0"/>
              <w:spacing w:line="360" w:lineRule="auto"/>
              <w:jc w:val="center"/>
              <w:rPr>
                <w:rFonts w:hint="eastAsia" w:ascii="宋体" w:hAnsi="宋体" w:eastAsia="宋体" w:cs="宋体"/>
                <w:color w:val="auto"/>
                <w:kern w:val="0"/>
                <w:sz w:val="21"/>
                <w:szCs w:val="21"/>
                <w:highlight w:val="none"/>
              </w:rPr>
            </w:pPr>
          </w:p>
          <w:p>
            <w:pPr>
              <w:widowControl/>
              <w:adjustRightInd w:val="0"/>
              <w:snapToGrid w:val="0"/>
              <w:spacing w:line="360" w:lineRule="auto"/>
              <w:jc w:val="center"/>
              <w:rPr>
                <w:rFonts w:hint="eastAsia" w:ascii="宋体" w:hAnsi="宋体" w:eastAsia="宋体" w:cs="宋体"/>
                <w:color w:val="auto"/>
                <w:kern w:val="0"/>
                <w:sz w:val="21"/>
                <w:szCs w:val="21"/>
                <w:highlight w:val="none"/>
              </w:rPr>
            </w:pPr>
          </w:p>
          <w:p>
            <w:pPr>
              <w:widowControl/>
              <w:adjustRightInd w:val="0"/>
              <w:snapToGrid w:val="0"/>
              <w:spacing w:line="360" w:lineRule="auto"/>
              <w:jc w:val="center"/>
              <w:rPr>
                <w:rFonts w:hint="eastAsia" w:ascii="宋体" w:hAnsi="宋体" w:eastAsia="宋体" w:cs="宋体"/>
                <w:color w:val="auto"/>
                <w:kern w:val="0"/>
                <w:sz w:val="21"/>
                <w:szCs w:val="21"/>
                <w:highlight w:val="none"/>
              </w:rPr>
            </w:pPr>
          </w:p>
          <w:p>
            <w:pPr>
              <w:widowControl/>
              <w:adjustRightInd w:val="0"/>
              <w:snapToGrid w:val="0"/>
              <w:spacing w:line="360" w:lineRule="auto"/>
              <w:jc w:val="center"/>
              <w:rPr>
                <w:rFonts w:hint="eastAsia" w:ascii="宋体" w:hAnsi="宋体" w:eastAsia="宋体" w:cs="宋体"/>
                <w:color w:val="auto"/>
                <w:kern w:val="0"/>
                <w:sz w:val="21"/>
                <w:szCs w:val="21"/>
                <w:highlight w:val="none"/>
              </w:rPr>
            </w:pPr>
          </w:p>
          <w:p>
            <w:pPr>
              <w:widowControl/>
              <w:adjustRightInd w:val="0"/>
              <w:snapToGrid w:val="0"/>
              <w:spacing w:line="360" w:lineRule="auto"/>
              <w:jc w:val="center"/>
              <w:rPr>
                <w:rFonts w:hint="eastAsia" w:ascii="宋体" w:hAnsi="宋体" w:eastAsia="宋体" w:cs="宋体"/>
                <w:color w:val="auto"/>
                <w:kern w:val="0"/>
                <w:sz w:val="21"/>
                <w:szCs w:val="21"/>
                <w:highlight w:val="none"/>
              </w:rPr>
            </w:pPr>
          </w:p>
          <w:p>
            <w:pPr>
              <w:widowControl/>
              <w:adjustRightInd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2.2.2（2）</w:t>
            </w:r>
          </w:p>
          <w:p>
            <w:pPr>
              <w:widowControl/>
              <w:adjustRightInd w:val="0"/>
              <w:snapToGrid w:val="0"/>
              <w:spacing w:line="360" w:lineRule="auto"/>
              <w:jc w:val="center"/>
              <w:rPr>
                <w:rFonts w:hint="eastAsia" w:ascii="宋体" w:hAnsi="宋体" w:eastAsia="宋体" w:cs="宋体"/>
                <w:color w:val="auto"/>
                <w:sz w:val="21"/>
                <w:szCs w:val="21"/>
                <w:highlight w:val="none"/>
              </w:rPr>
            </w:pPr>
          </w:p>
          <w:p>
            <w:pPr>
              <w:spacing w:after="120" w:line="360" w:lineRule="auto"/>
              <w:ind w:left="1470" w:leftChars="700" w:right="1470" w:rightChars="700"/>
              <w:rPr>
                <w:rFonts w:hint="eastAsia" w:ascii="宋体" w:hAnsi="宋体" w:eastAsia="宋体" w:cs="宋体"/>
                <w:color w:val="auto"/>
                <w:sz w:val="21"/>
                <w:szCs w:val="21"/>
                <w:highlight w:val="none"/>
              </w:rPr>
            </w:pPr>
          </w:p>
        </w:tc>
        <w:tc>
          <w:tcPr>
            <w:tcW w:w="615" w:type="pct"/>
            <w:gridSpan w:val="2"/>
            <w:vMerge w:val="restart"/>
            <w:vAlign w:val="center"/>
          </w:tcPr>
          <w:p>
            <w:pPr>
              <w:widowControl/>
              <w:adjustRightInd w:val="0"/>
              <w:snapToGrid w:val="0"/>
              <w:spacing w:line="360" w:lineRule="auto"/>
              <w:jc w:val="center"/>
              <w:rPr>
                <w:rFonts w:hint="eastAsia" w:ascii="宋体" w:hAnsi="宋体" w:eastAsia="宋体" w:cs="宋体"/>
                <w:b/>
                <w:color w:val="auto"/>
                <w:sz w:val="21"/>
                <w:szCs w:val="21"/>
                <w:highlight w:val="none"/>
              </w:rPr>
            </w:pPr>
          </w:p>
          <w:p>
            <w:pPr>
              <w:widowControl/>
              <w:adjustRightInd w:val="0"/>
              <w:snapToGrid w:val="0"/>
              <w:spacing w:line="360" w:lineRule="auto"/>
              <w:jc w:val="center"/>
              <w:rPr>
                <w:rFonts w:hint="eastAsia" w:ascii="宋体" w:hAnsi="宋体" w:eastAsia="宋体" w:cs="宋体"/>
                <w:b/>
                <w:color w:val="auto"/>
                <w:sz w:val="21"/>
                <w:szCs w:val="21"/>
                <w:highlight w:val="none"/>
              </w:rPr>
            </w:pPr>
          </w:p>
          <w:p>
            <w:pPr>
              <w:widowControl/>
              <w:adjustRightInd w:val="0"/>
              <w:snapToGrid w:val="0"/>
              <w:spacing w:line="360" w:lineRule="auto"/>
              <w:jc w:val="center"/>
              <w:rPr>
                <w:rFonts w:hint="eastAsia" w:ascii="宋体" w:hAnsi="宋体" w:eastAsia="宋体" w:cs="宋体"/>
                <w:b/>
                <w:color w:val="auto"/>
                <w:sz w:val="21"/>
                <w:szCs w:val="21"/>
                <w:highlight w:val="none"/>
              </w:rPr>
            </w:pPr>
          </w:p>
          <w:p>
            <w:pPr>
              <w:widowControl/>
              <w:adjustRightInd w:val="0"/>
              <w:snapToGrid w:val="0"/>
              <w:spacing w:line="360" w:lineRule="auto"/>
              <w:jc w:val="center"/>
              <w:rPr>
                <w:rFonts w:hint="eastAsia" w:ascii="宋体" w:hAnsi="宋体" w:eastAsia="宋体" w:cs="宋体"/>
                <w:b/>
                <w:color w:val="auto"/>
                <w:sz w:val="21"/>
                <w:szCs w:val="21"/>
                <w:highlight w:val="none"/>
              </w:rPr>
            </w:pPr>
          </w:p>
          <w:p>
            <w:pPr>
              <w:widowControl/>
              <w:adjustRightInd w:val="0"/>
              <w:snapToGrid w:val="0"/>
              <w:spacing w:line="360" w:lineRule="auto"/>
              <w:jc w:val="center"/>
              <w:rPr>
                <w:rFonts w:hint="eastAsia" w:ascii="宋体" w:hAnsi="宋体" w:eastAsia="宋体" w:cs="宋体"/>
                <w:b/>
                <w:color w:val="auto"/>
                <w:sz w:val="21"/>
                <w:szCs w:val="21"/>
                <w:highlight w:val="none"/>
              </w:rPr>
            </w:pPr>
          </w:p>
          <w:p>
            <w:pPr>
              <w:widowControl/>
              <w:adjustRightInd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w:t>
            </w:r>
          </w:p>
          <w:p>
            <w:pPr>
              <w:widowControl/>
              <w:adjustRightInd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部分</w:t>
            </w:r>
          </w:p>
          <w:p>
            <w:pPr>
              <w:widowControl/>
              <w:adjustRightInd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45</w:t>
            </w:r>
            <w:r>
              <w:rPr>
                <w:rFonts w:hint="eastAsia" w:ascii="宋体" w:hAnsi="宋体" w:eastAsia="宋体" w:cs="宋体"/>
                <w:b/>
                <w:color w:val="auto"/>
                <w:sz w:val="21"/>
                <w:szCs w:val="21"/>
                <w:highlight w:val="none"/>
              </w:rPr>
              <w:t>分）</w:t>
            </w:r>
          </w:p>
        </w:tc>
        <w:tc>
          <w:tcPr>
            <w:tcW w:w="852" w:type="pct"/>
            <w:gridSpan w:val="2"/>
            <w:vAlign w:val="center"/>
          </w:tcPr>
          <w:p>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技术指标响应情况（0-35分）</w:t>
            </w:r>
          </w:p>
        </w:tc>
        <w:tc>
          <w:tcPr>
            <w:tcW w:w="3040" w:type="pct"/>
            <w:gridSpan w:val="2"/>
            <w:vAlign w:val="center"/>
          </w:tcPr>
          <w:p>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技术参数(0-35分)完全满足或优于招标文件技术要求的得35分，投标技术参数与招标文件参数要求有负偏离的在</w:t>
            </w:r>
            <w:r>
              <w:rPr>
                <w:rFonts w:hint="eastAsia" w:ascii="宋体" w:hAnsi="宋体" w:eastAsia="宋体" w:cs="宋体"/>
                <w:color w:val="auto"/>
                <w:kern w:val="0"/>
                <w:sz w:val="21"/>
                <w:szCs w:val="21"/>
                <w:highlight w:val="none"/>
                <w:lang w:val="en-US" w:eastAsia="zh-CN"/>
              </w:rPr>
              <w:t>35</w:t>
            </w:r>
            <w:r>
              <w:rPr>
                <w:rFonts w:hint="eastAsia" w:ascii="宋体" w:hAnsi="宋体" w:eastAsia="宋体" w:cs="宋体"/>
                <w:color w:val="auto"/>
                <w:kern w:val="0"/>
                <w:sz w:val="21"/>
                <w:szCs w:val="21"/>
                <w:highlight w:val="none"/>
              </w:rPr>
              <w:t>分的基础上，不带标注符号的技术参数出现负偏离的每有一项扣1分，标注“</w:t>
            </w:r>
            <w:r>
              <w:rPr>
                <w:rFonts w:hint="eastAsia" w:ascii="宋体" w:hAnsi="宋体" w:cs="宋体"/>
                <w:sz w:val="24"/>
                <w:szCs w:val="24"/>
                <w:highlight w:val="none"/>
                <w:lang w:eastAsia="zh-CN"/>
              </w:rPr>
              <w:t>☆</w:t>
            </w:r>
            <w:r>
              <w:rPr>
                <w:rFonts w:hint="eastAsia" w:ascii="宋体" w:hAnsi="宋体" w:eastAsia="宋体" w:cs="宋体"/>
                <w:color w:val="auto"/>
                <w:kern w:val="0"/>
                <w:sz w:val="21"/>
                <w:szCs w:val="21"/>
                <w:highlight w:val="none"/>
              </w:rPr>
              <w:t>”号项技术参数出现负偏离的每有一项扣</w:t>
            </w:r>
            <w:r>
              <w:rPr>
                <w:rFonts w:hint="eastAsia" w:ascii="宋体"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分，在本项分值范围技术指标</w:t>
            </w:r>
            <w:r>
              <w:rPr>
                <w:rFonts w:hint="eastAsia" w:ascii="宋体" w:hAnsi="宋体" w:cs="宋体"/>
                <w:color w:val="auto"/>
                <w:kern w:val="0"/>
                <w:sz w:val="21"/>
                <w:szCs w:val="21"/>
                <w:highlight w:val="none"/>
                <w:lang w:val="en-US" w:eastAsia="zh-CN"/>
              </w:rPr>
              <w:t>项</w:t>
            </w:r>
            <w:r>
              <w:rPr>
                <w:rFonts w:hint="eastAsia" w:ascii="宋体" w:hAnsi="宋体" w:eastAsia="宋体" w:cs="宋体"/>
                <w:color w:val="auto"/>
                <w:kern w:val="0"/>
                <w:sz w:val="21"/>
                <w:szCs w:val="21"/>
                <w:highlight w:val="none"/>
              </w:rPr>
              <w:t>内扣完为止。招标项目需求及技术要求中标注“</w:t>
            </w:r>
            <w:r>
              <w:rPr>
                <w:rFonts w:hint="eastAsia" w:ascii="宋体" w:hAnsi="宋体" w:cs="宋体"/>
                <w:sz w:val="24"/>
                <w:szCs w:val="24"/>
                <w:highlight w:val="none"/>
                <w:lang w:eastAsia="zh-CN"/>
              </w:rPr>
              <w:t>★</w:t>
            </w:r>
            <w:r>
              <w:rPr>
                <w:rFonts w:hint="eastAsia" w:ascii="宋体" w:hAnsi="宋体" w:eastAsia="宋体" w:cs="宋体"/>
                <w:color w:val="auto"/>
                <w:kern w:val="0"/>
                <w:sz w:val="21"/>
                <w:szCs w:val="21"/>
                <w:highlight w:val="none"/>
              </w:rPr>
              <w:t>”号条款为实质性条款，必须逐条进行响应，有任何一条负偏离的，将导致无效投标。注:提供相关证明资料(如制造商公开发布的产品说明书或检测机构出具的检测报告或投标人须知前附表允许的其他形式予以佐证，否则为负偏离扣分或者无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16" w:hRule="atLeast"/>
          <w:jc w:val="center"/>
        </w:trPr>
        <w:tc>
          <w:tcPr>
            <w:tcW w:w="488" w:type="pct"/>
            <w:vMerge w:val="continue"/>
            <w:vAlign w:val="center"/>
          </w:tcPr>
          <w:p>
            <w:pPr>
              <w:widowControl/>
              <w:adjustRightInd w:val="0"/>
              <w:snapToGrid w:val="0"/>
              <w:spacing w:line="360" w:lineRule="auto"/>
              <w:jc w:val="center"/>
              <w:rPr>
                <w:rFonts w:hint="eastAsia" w:ascii="宋体" w:hAnsi="宋体" w:eastAsia="宋体" w:cs="宋体"/>
                <w:color w:val="auto"/>
                <w:kern w:val="0"/>
                <w:sz w:val="21"/>
                <w:szCs w:val="21"/>
                <w:highlight w:val="none"/>
              </w:rPr>
            </w:pPr>
          </w:p>
        </w:tc>
        <w:tc>
          <w:tcPr>
            <w:tcW w:w="615" w:type="pct"/>
            <w:gridSpan w:val="2"/>
            <w:vMerge w:val="continue"/>
            <w:vAlign w:val="center"/>
          </w:tcPr>
          <w:p>
            <w:pPr>
              <w:widowControl/>
              <w:adjustRightInd w:val="0"/>
              <w:snapToGrid w:val="0"/>
              <w:spacing w:line="360" w:lineRule="auto"/>
              <w:jc w:val="center"/>
              <w:rPr>
                <w:rFonts w:hint="eastAsia" w:ascii="宋体" w:hAnsi="宋体" w:eastAsia="宋体" w:cs="宋体"/>
                <w:b/>
                <w:color w:val="auto"/>
                <w:sz w:val="21"/>
                <w:szCs w:val="21"/>
                <w:highlight w:val="none"/>
              </w:rPr>
            </w:pPr>
          </w:p>
        </w:tc>
        <w:tc>
          <w:tcPr>
            <w:tcW w:w="852" w:type="pct"/>
            <w:gridSpan w:val="2"/>
            <w:vAlign w:val="center"/>
          </w:tcPr>
          <w:p>
            <w:pPr>
              <w:adjustRightInd w:val="0"/>
              <w:snapToGrid w:val="0"/>
              <w:spacing w:line="360" w:lineRule="auto"/>
              <w:ind w:left="31680" w:hanging="308" w:hangingChars="147"/>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车辆选型（整体设计）（0-5分）</w:t>
            </w:r>
          </w:p>
        </w:tc>
        <w:tc>
          <w:tcPr>
            <w:tcW w:w="3040" w:type="pct"/>
            <w:gridSpan w:val="2"/>
            <w:vAlign w:val="center"/>
          </w:tcPr>
          <w:p>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根据投标产品的底盘选型、上装设计及布局、电气设备、随车配套设备及配件等情况进行综合评审（须提供设计说明、整体设计图、结构设计图、功能设计图、三维系统图等）：投标产品的底盘选型具有针对性、对各使用场景适用性高，上装设计及布局科学合理，内部结构选用制作板材等材料可靠性高、性能稳定，电气设备配置与采购需求吻合，配置随车器材及备件满足采购需求，且描述清晰、性能稳定可靠的，得5分；</w:t>
            </w:r>
          </w:p>
          <w:p>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产品的底盘选型较合理，对于各种适用场景具有较高适用性，上装设计及布局较合理，内部结构选用制作板材等材料可靠性较高、性能较稳定，电气设备配置与采购需求较为吻合，随车器材及备件的相关描述较清晰，性能较稳定、可靠性较高的，得3分；</w:t>
            </w:r>
          </w:p>
          <w:p>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产品的底盘选型基本合理，对于各种适用场景具有一定适用性，上装设计及布局合理性略有欠缺，内部结构选用制作板材等材料可靠性较高、性能略有不足，电气设备配置与采购需求较为吻合，随车器材及备件的相关描述基本清晰，性能基本稳定、具有基本的可靠性，得1分；</w:t>
            </w:r>
          </w:p>
          <w:p>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产品的底盘选型性能配置及适用性较差，上装设计及布局有较大缺陷，电气设备配置不明确，随车器材及备件的相关信息描述简单，或者未同时提供设计说明、整体设计图、结构设计图、功能设计图、三维系统图等材料，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16" w:hRule="atLeast"/>
          <w:jc w:val="center"/>
        </w:trPr>
        <w:tc>
          <w:tcPr>
            <w:tcW w:w="488" w:type="pct"/>
            <w:vMerge w:val="continue"/>
            <w:vAlign w:val="center"/>
          </w:tcPr>
          <w:p>
            <w:pPr>
              <w:widowControl/>
              <w:adjustRightInd w:val="0"/>
              <w:snapToGrid w:val="0"/>
              <w:spacing w:line="360" w:lineRule="auto"/>
              <w:jc w:val="center"/>
              <w:rPr>
                <w:rFonts w:hint="eastAsia" w:ascii="宋体" w:hAnsi="宋体" w:eastAsia="宋体" w:cs="宋体"/>
                <w:color w:val="auto"/>
                <w:kern w:val="0"/>
                <w:sz w:val="21"/>
                <w:szCs w:val="21"/>
                <w:highlight w:val="none"/>
              </w:rPr>
            </w:pPr>
          </w:p>
        </w:tc>
        <w:tc>
          <w:tcPr>
            <w:tcW w:w="615" w:type="pct"/>
            <w:gridSpan w:val="2"/>
            <w:vMerge w:val="continue"/>
            <w:vAlign w:val="center"/>
          </w:tcPr>
          <w:p>
            <w:pPr>
              <w:widowControl/>
              <w:adjustRightInd w:val="0"/>
              <w:snapToGrid w:val="0"/>
              <w:spacing w:line="360" w:lineRule="auto"/>
              <w:jc w:val="center"/>
              <w:rPr>
                <w:rFonts w:hint="eastAsia" w:ascii="宋体" w:hAnsi="宋体" w:eastAsia="宋体" w:cs="宋体"/>
                <w:b/>
                <w:color w:val="auto"/>
                <w:sz w:val="21"/>
                <w:szCs w:val="21"/>
                <w:highlight w:val="none"/>
              </w:rPr>
            </w:pPr>
          </w:p>
        </w:tc>
        <w:tc>
          <w:tcPr>
            <w:tcW w:w="852" w:type="pct"/>
            <w:gridSpan w:val="2"/>
            <w:vAlign w:val="center"/>
          </w:tcPr>
          <w:p>
            <w:pPr>
              <w:adjustRightInd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车辆制造商专业技术生产能力（0-5分）</w:t>
            </w:r>
          </w:p>
        </w:tc>
        <w:tc>
          <w:tcPr>
            <w:tcW w:w="3040" w:type="pct"/>
            <w:gridSpan w:val="2"/>
            <w:vAlign w:val="center"/>
          </w:tcPr>
          <w:p>
            <w:pPr>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投标人所投车辆制造商专业技术生产能力（包括但不限于自主研发能力、生产工艺、生产步骤、产品检验等）进行评审：投标人所投车辆制造商具备自主研发能力及先进的生产工艺，提供完整工艺流程图并配有详细的图片和文字说明，生产步骤完整周详，能够提供各环节完整的生产车间环境及详细的实际生产实景照片，具有严格的产品检验流程，检验设备配置齐全、检验步骤严密无纰漏，得5分；投标人所投车辆制造商具备一定的自主研发能力及较先进的生产工艺，提供较完整的工艺流程图并配有较详细的图片和文字说明，生产步骤较完整，能够提供各环节较完整的生产车间环境及较详细的实际生产实景照片，具有较严格的产品检验流程，检验设备配置较齐全、检验步骤较严密，得3分；投标人所投车辆制造商具有一定自主研发能力，提供部分生产工艺流程说明，生产步骤基本完善并提供生产车间环境及实际生产照片，产品检验流程及具体检验步骤基本完整，检验设备配置基本齐全，得1分；投标人所投车辆制造商不具备自主研发能力，生产工艺简单粗糙，生产步骤完善程度较差，未能提供生产车间环境及实际生产照片，产品检验流程及具体检验步骤不完整，检验设备配置不齐全，或者未提供投标人所投车辆制造商专业技术生产能力证明材料，本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391" w:hRule="atLeast"/>
          <w:jc w:val="center"/>
        </w:trPr>
        <w:tc>
          <w:tcPr>
            <w:tcW w:w="488" w:type="pct"/>
            <w:vMerge w:val="restart"/>
            <w:vAlign w:val="center"/>
          </w:tcPr>
          <w:p>
            <w:pPr>
              <w:widowControl/>
              <w:adjustRightInd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2.2.2（3）</w:t>
            </w:r>
          </w:p>
        </w:tc>
        <w:tc>
          <w:tcPr>
            <w:tcW w:w="615" w:type="pct"/>
            <w:gridSpan w:val="2"/>
            <w:vMerge w:val="restart"/>
            <w:vAlign w:val="center"/>
          </w:tcPr>
          <w:p>
            <w:pPr>
              <w:widowControl/>
              <w:adjustRightInd w:val="0"/>
              <w:snapToGrid w:val="0"/>
              <w:spacing w:line="360" w:lineRule="auto"/>
              <w:jc w:val="center"/>
              <w:rPr>
                <w:rFonts w:hint="eastAsia" w:ascii="宋体" w:hAnsi="宋体" w:eastAsia="宋体" w:cs="宋体"/>
                <w:b/>
                <w:color w:val="auto"/>
                <w:sz w:val="21"/>
                <w:szCs w:val="21"/>
                <w:highlight w:val="none"/>
              </w:rPr>
            </w:pPr>
          </w:p>
          <w:p>
            <w:pPr>
              <w:widowControl/>
              <w:adjustRightInd w:val="0"/>
              <w:snapToGrid w:val="0"/>
              <w:spacing w:line="360" w:lineRule="auto"/>
              <w:jc w:val="center"/>
              <w:rPr>
                <w:rFonts w:hint="eastAsia" w:ascii="宋体" w:hAnsi="宋体" w:eastAsia="宋体" w:cs="宋体"/>
                <w:b/>
                <w:color w:val="auto"/>
                <w:sz w:val="21"/>
                <w:szCs w:val="21"/>
                <w:highlight w:val="none"/>
              </w:rPr>
            </w:pPr>
          </w:p>
          <w:p>
            <w:pPr>
              <w:widowControl/>
              <w:adjustRightInd w:val="0"/>
              <w:snapToGrid w:val="0"/>
              <w:spacing w:line="360" w:lineRule="auto"/>
              <w:jc w:val="center"/>
              <w:rPr>
                <w:rFonts w:hint="eastAsia" w:ascii="宋体" w:hAnsi="宋体" w:eastAsia="宋体" w:cs="宋体"/>
                <w:b/>
                <w:color w:val="auto"/>
                <w:sz w:val="21"/>
                <w:szCs w:val="21"/>
                <w:highlight w:val="none"/>
              </w:rPr>
            </w:pPr>
          </w:p>
          <w:p>
            <w:pPr>
              <w:widowControl/>
              <w:adjustRightInd w:val="0"/>
              <w:snapToGrid w:val="0"/>
              <w:spacing w:line="360" w:lineRule="auto"/>
              <w:jc w:val="center"/>
              <w:rPr>
                <w:rFonts w:hint="eastAsia" w:ascii="宋体" w:hAnsi="宋体" w:eastAsia="宋体" w:cs="宋体"/>
                <w:b/>
                <w:color w:val="auto"/>
                <w:sz w:val="21"/>
                <w:szCs w:val="21"/>
                <w:highlight w:val="none"/>
              </w:rPr>
            </w:pPr>
          </w:p>
          <w:p>
            <w:pPr>
              <w:widowControl/>
              <w:adjustRightInd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w:t>
            </w:r>
          </w:p>
          <w:p>
            <w:pPr>
              <w:widowControl/>
              <w:adjustRightInd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部分</w:t>
            </w:r>
          </w:p>
          <w:p>
            <w:pPr>
              <w:widowControl/>
              <w:adjustRightInd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25</w:t>
            </w:r>
            <w:r>
              <w:rPr>
                <w:rFonts w:hint="eastAsia" w:ascii="宋体" w:hAnsi="宋体" w:eastAsia="宋体" w:cs="宋体"/>
                <w:b/>
                <w:color w:val="auto"/>
                <w:sz w:val="21"/>
                <w:szCs w:val="21"/>
                <w:highlight w:val="none"/>
              </w:rPr>
              <w:t>分）</w:t>
            </w:r>
          </w:p>
          <w:p>
            <w:pPr>
              <w:widowControl/>
              <w:adjustRightInd w:val="0"/>
              <w:snapToGrid w:val="0"/>
              <w:spacing w:line="360" w:lineRule="auto"/>
              <w:jc w:val="center"/>
              <w:rPr>
                <w:rFonts w:hint="eastAsia" w:ascii="宋体" w:hAnsi="宋体" w:eastAsia="宋体" w:cs="宋体"/>
                <w:b/>
                <w:color w:val="auto"/>
                <w:sz w:val="21"/>
                <w:szCs w:val="21"/>
                <w:highlight w:val="none"/>
              </w:rPr>
            </w:pPr>
          </w:p>
        </w:tc>
        <w:tc>
          <w:tcPr>
            <w:tcW w:w="852" w:type="pct"/>
            <w:gridSpan w:val="2"/>
            <w:vAlign w:val="center"/>
          </w:tcPr>
          <w:p>
            <w:pPr>
              <w:widowControl/>
              <w:adjustRightInd w:val="0"/>
              <w:snapToGrid w:val="0"/>
              <w:spacing w:line="36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企业认证（0-1.5分）</w:t>
            </w:r>
          </w:p>
        </w:tc>
        <w:tc>
          <w:tcPr>
            <w:tcW w:w="3040" w:type="pct"/>
            <w:gridSpan w:val="2"/>
            <w:vAlign w:val="center"/>
          </w:tcPr>
          <w:p>
            <w:pPr>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投标人提供经认监委批准的认证机构颁发的有效的：</w:t>
            </w:r>
          </w:p>
          <w:p>
            <w:pPr>
              <w:numPr>
                <w:ilvl w:val="0"/>
                <w:numId w:val="8"/>
              </w:numPr>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质量管理体系认证证书得0.5分；</w:t>
            </w:r>
          </w:p>
          <w:p>
            <w:pPr>
              <w:numPr>
                <w:ilvl w:val="0"/>
                <w:numId w:val="8"/>
              </w:numPr>
              <w:adjustRightInd w:val="0"/>
              <w:snapToGrid w:val="0"/>
              <w:spacing w:line="360" w:lineRule="auto"/>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环境管理体系认证证书得0.5分；</w:t>
            </w:r>
          </w:p>
          <w:p>
            <w:pPr>
              <w:numPr>
                <w:ilvl w:val="0"/>
                <w:numId w:val="8"/>
              </w:numPr>
              <w:adjustRightInd w:val="0"/>
              <w:snapToGrid w:val="0"/>
              <w:spacing w:line="360" w:lineRule="auto"/>
              <w:ind w:left="0"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职业健康安全体系认证证书得0.5分。</w:t>
            </w:r>
          </w:p>
          <w:p>
            <w:pPr>
              <w:numPr>
                <w:ilvl w:val="0"/>
                <w:numId w:val="0"/>
              </w:numPr>
              <w:adjustRightInd w:val="0"/>
              <w:snapToGrid w:val="0"/>
              <w:spacing w:line="360" w:lineRule="auto"/>
              <w:ind w:leftChars="0"/>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注：本项累计最高得1.5分，需提供有效期内的有效证书扫描件，清晰可辨，无或其它不得分。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07" w:hRule="atLeast"/>
          <w:jc w:val="center"/>
        </w:trPr>
        <w:tc>
          <w:tcPr>
            <w:tcW w:w="488" w:type="pct"/>
            <w:vMerge w:val="continue"/>
            <w:vAlign w:val="center"/>
          </w:tcPr>
          <w:p>
            <w:pPr>
              <w:widowControl/>
              <w:adjustRightInd w:val="0"/>
              <w:snapToGrid w:val="0"/>
              <w:spacing w:line="360" w:lineRule="auto"/>
              <w:jc w:val="center"/>
              <w:rPr>
                <w:rFonts w:hint="eastAsia" w:ascii="宋体" w:hAnsi="宋体" w:eastAsia="宋体" w:cs="宋体"/>
                <w:color w:val="auto"/>
                <w:kern w:val="0"/>
                <w:sz w:val="21"/>
                <w:szCs w:val="21"/>
                <w:highlight w:val="none"/>
              </w:rPr>
            </w:pPr>
          </w:p>
        </w:tc>
        <w:tc>
          <w:tcPr>
            <w:tcW w:w="615" w:type="pct"/>
            <w:gridSpan w:val="2"/>
            <w:vMerge w:val="continue"/>
            <w:vAlign w:val="center"/>
          </w:tcPr>
          <w:p>
            <w:pPr>
              <w:widowControl/>
              <w:adjustRightInd w:val="0"/>
              <w:snapToGrid w:val="0"/>
              <w:spacing w:line="360" w:lineRule="auto"/>
              <w:jc w:val="center"/>
              <w:rPr>
                <w:rFonts w:hint="eastAsia" w:ascii="宋体" w:hAnsi="宋体" w:eastAsia="宋体" w:cs="宋体"/>
                <w:b/>
                <w:color w:val="auto"/>
                <w:sz w:val="21"/>
                <w:szCs w:val="21"/>
                <w:highlight w:val="none"/>
              </w:rPr>
            </w:pPr>
          </w:p>
        </w:tc>
        <w:tc>
          <w:tcPr>
            <w:tcW w:w="852" w:type="pct"/>
            <w:gridSpan w:val="2"/>
            <w:vAlign w:val="center"/>
          </w:tcPr>
          <w:p>
            <w:pPr>
              <w:widowControl/>
              <w:adjustRightInd w:val="0"/>
              <w:snapToGrid w:val="0"/>
              <w:spacing w:line="360" w:lineRule="auto"/>
              <w:jc w:val="center"/>
              <w:rPr>
                <w:rFonts w:hint="eastAsia" w:ascii="宋体" w:hAnsi="宋体" w:eastAsia="宋体" w:cs="宋体"/>
                <w:b/>
                <w:color w:val="auto"/>
                <w:kern w:val="0"/>
                <w:sz w:val="21"/>
                <w:szCs w:val="21"/>
                <w:highlight w:val="none"/>
              </w:rPr>
            </w:pPr>
            <w:r>
              <w:rPr>
                <w:rFonts w:hint="eastAsia" w:ascii="宋体" w:hAnsi="宋体" w:cs="宋体"/>
                <w:b/>
                <w:color w:val="auto"/>
                <w:kern w:val="0"/>
                <w:sz w:val="21"/>
                <w:szCs w:val="21"/>
                <w:highlight w:val="none"/>
                <w:lang w:eastAsia="zh-CN"/>
              </w:rPr>
              <w:t>产品</w:t>
            </w:r>
            <w:r>
              <w:rPr>
                <w:rFonts w:hint="eastAsia" w:ascii="宋体" w:hAnsi="宋体" w:eastAsia="宋体" w:cs="宋体"/>
                <w:b/>
                <w:color w:val="auto"/>
                <w:kern w:val="0"/>
                <w:sz w:val="21"/>
                <w:szCs w:val="21"/>
                <w:highlight w:val="none"/>
              </w:rPr>
              <w:t>业绩（0-2 分）</w:t>
            </w:r>
          </w:p>
        </w:tc>
        <w:tc>
          <w:tcPr>
            <w:tcW w:w="3040" w:type="pct"/>
            <w:gridSpan w:val="2"/>
            <w:vAlign w:val="center"/>
          </w:tcPr>
          <w:p>
            <w:pPr>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投标人每提供一份产品业绩得1分，最多得2分，不提供得0分。业绩年份要求，自202</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年1月1日算起。产品业绩是指投标人所投标包项目</w:t>
            </w:r>
            <w:r>
              <w:rPr>
                <w:rFonts w:hint="eastAsia" w:ascii="宋体" w:hAnsi="宋体" w:cs="宋体"/>
                <w:color w:val="auto"/>
                <w:sz w:val="21"/>
                <w:szCs w:val="21"/>
                <w:highlight w:val="none"/>
                <w:lang w:eastAsia="zh-CN"/>
              </w:rPr>
              <w:t>产品相同类别的</w:t>
            </w:r>
            <w:r>
              <w:rPr>
                <w:rFonts w:hint="eastAsia" w:ascii="宋体" w:hAnsi="宋体" w:eastAsia="宋体" w:cs="宋体"/>
                <w:color w:val="auto"/>
                <w:sz w:val="21"/>
                <w:szCs w:val="21"/>
                <w:highlight w:val="none"/>
              </w:rPr>
              <w:t>业绩，以合同签订时间为准，业绩须包括发票、合同。注：投标文件中须附合同（需包含签订合同双方的单位名称、合同项目名称、项目金额与含签订合同双方的落款盖章、签订日期的关键页）、发票扫描件，清晰可辨，并加盖投标人公章，以上内容缺一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660" w:hRule="atLeast"/>
          <w:jc w:val="center"/>
        </w:trPr>
        <w:tc>
          <w:tcPr>
            <w:tcW w:w="488" w:type="pct"/>
            <w:vMerge w:val="continue"/>
            <w:vAlign w:val="center"/>
          </w:tcPr>
          <w:p>
            <w:pPr>
              <w:widowControl/>
              <w:adjustRightInd w:val="0"/>
              <w:snapToGrid w:val="0"/>
              <w:spacing w:line="360" w:lineRule="auto"/>
              <w:jc w:val="center"/>
              <w:rPr>
                <w:rFonts w:hint="eastAsia" w:ascii="宋体" w:hAnsi="宋体" w:eastAsia="宋体" w:cs="宋体"/>
                <w:color w:val="auto"/>
                <w:kern w:val="0"/>
                <w:sz w:val="21"/>
                <w:szCs w:val="21"/>
                <w:highlight w:val="none"/>
              </w:rPr>
            </w:pPr>
          </w:p>
        </w:tc>
        <w:tc>
          <w:tcPr>
            <w:tcW w:w="615" w:type="pct"/>
            <w:gridSpan w:val="2"/>
            <w:vMerge w:val="continue"/>
            <w:vAlign w:val="center"/>
          </w:tcPr>
          <w:p>
            <w:pPr>
              <w:widowControl/>
              <w:adjustRightInd w:val="0"/>
              <w:snapToGrid w:val="0"/>
              <w:spacing w:line="360" w:lineRule="auto"/>
              <w:jc w:val="center"/>
              <w:rPr>
                <w:rFonts w:hint="eastAsia" w:ascii="宋体" w:hAnsi="宋体" w:eastAsia="宋体" w:cs="宋体"/>
                <w:b/>
                <w:color w:val="auto"/>
                <w:sz w:val="21"/>
                <w:szCs w:val="21"/>
                <w:highlight w:val="none"/>
              </w:rPr>
            </w:pPr>
          </w:p>
        </w:tc>
        <w:tc>
          <w:tcPr>
            <w:tcW w:w="852" w:type="pct"/>
            <w:gridSpan w:val="2"/>
            <w:vAlign w:val="center"/>
          </w:tcPr>
          <w:p>
            <w:pPr>
              <w:widowControl/>
              <w:adjustRightInd w:val="0"/>
              <w:snapToGrid w:val="0"/>
              <w:spacing w:line="36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节能环保产品（0-1 分）</w:t>
            </w:r>
          </w:p>
        </w:tc>
        <w:tc>
          <w:tcPr>
            <w:tcW w:w="3040" w:type="pct"/>
            <w:gridSpan w:val="2"/>
            <w:vAlign w:val="center"/>
          </w:tcPr>
          <w:p>
            <w:pPr>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投产品如为节能产品政府采购品目清单内非强制节能产品的，加0.5分。投标人须在投标文件中附该产品在节能产品政府采购品目清单所在页的扫描件，及国家确定的认证机构出具的、处于有效期之内的《国家节能产品认证证书》扫描件，否则评标委员会有权不予认可。清单可在中华人民共和国财政部网站（http://www.mof.gov.cn）、中国政府采购网（http://www.ccgp.gov.cn/）查阅。所投产品如为环境标志产品政府采购品目清单内的产品，加0.5分。投标人须在投标文件中附该产品在环境标志产品政府采购品目清单所在页的扫描件，及国家确定的认证机构出具的、处于有效期之内的《中国环境标志产品认证证书》扫描件，否则评标委员会有权不予认可。清单可在中华人民共和国财政部网站（http://www.mof.gov.cn）、中国政府采购网（http://www.ccgp.gov.cn/）查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660" w:hRule="atLeast"/>
          <w:jc w:val="center"/>
        </w:trPr>
        <w:tc>
          <w:tcPr>
            <w:tcW w:w="488" w:type="pct"/>
            <w:vMerge w:val="continue"/>
            <w:vAlign w:val="center"/>
          </w:tcPr>
          <w:p>
            <w:pPr>
              <w:widowControl/>
              <w:adjustRightInd w:val="0"/>
              <w:snapToGrid w:val="0"/>
              <w:spacing w:line="360" w:lineRule="auto"/>
              <w:jc w:val="center"/>
              <w:rPr>
                <w:rFonts w:hint="eastAsia" w:ascii="宋体" w:hAnsi="宋体" w:eastAsia="宋体" w:cs="宋体"/>
                <w:color w:val="auto"/>
                <w:kern w:val="0"/>
                <w:sz w:val="21"/>
                <w:szCs w:val="21"/>
                <w:highlight w:val="none"/>
              </w:rPr>
            </w:pPr>
          </w:p>
        </w:tc>
        <w:tc>
          <w:tcPr>
            <w:tcW w:w="615" w:type="pct"/>
            <w:gridSpan w:val="2"/>
            <w:vMerge w:val="continue"/>
            <w:vAlign w:val="center"/>
          </w:tcPr>
          <w:p>
            <w:pPr>
              <w:widowControl/>
              <w:adjustRightInd w:val="0"/>
              <w:snapToGrid w:val="0"/>
              <w:spacing w:line="360" w:lineRule="auto"/>
              <w:jc w:val="center"/>
              <w:rPr>
                <w:rFonts w:hint="eastAsia" w:ascii="宋体" w:hAnsi="宋体" w:eastAsia="宋体" w:cs="宋体"/>
                <w:b/>
                <w:color w:val="auto"/>
                <w:sz w:val="21"/>
                <w:szCs w:val="21"/>
                <w:highlight w:val="none"/>
              </w:rPr>
            </w:pPr>
          </w:p>
        </w:tc>
        <w:tc>
          <w:tcPr>
            <w:tcW w:w="852" w:type="pct"/>
            <w:gridSpan w:val="2"/>
            <w:vAlign w:val="center"/>
          </w:tcPr>
          <w:p>
            <w:pPr>
              <w:tabs>
                <w:tab w:val="left" w:pos="0"/>
              </w:tabs>
              <w:autoSpaceDE w:val="0"/>
              <w:autoSpaceDN w:val="0"/>
              <w:adjustRightInd w:val="0"/>
              <w:snapToGrid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质保期（0-4.5 分）</w:t>
            </w:r>
          </w:p>
        </w:tc>
        <w:tc>
          <w:tcPr>
            <w:tcW w:w="3040" w:type="pct"/>
            <w:gridSpan w:val="2"/>
            <w:vAlign w:val="center"/>
          </w:tcPr>
          <w:p>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highlight w:val="none"/>
              </w:rPr>
              <w:t>在招标文件要求的质保期基础上，每承诺延长一年质保期得1.5分，最多得4.5分，未承诺的不得分。（注：如标包内有多个产品的，所有产品的质保期均需延长，否则不得分）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660" w:hRule="atLeast"/>
          <w:jc w:val="center"/>
        </w:trPr>
        <w:tc>
          <w:tcPr>
            <w:tcW w:w="488" w:type="pct"/>
            <w:vMerge w:val="continue"/>
            <w:vAlign w:val="center"/>
          </w:tcPr>
          <w:p>
            <w:pPr>
              <w:widowControl/>
              <w:adjustRightInd w:val="0"/>
              <w:snapToGrid w:val="0"/>
              <w:spacing w:line="360" w:lineRule="auto"/>
              <w:jc w:val="center"/>
              <w:rPr>
                <w:rFonts w:hint="eastAsia" w:ascii="宋体" w:hAnsi="宋体" w:eastAsia="宋体" w:cs="宋体"/>
                <w:color w:val="auto"/>
                <w:kern w:val="0"/>
                <w:sz w:val="21"/>
                <w:szCs w:val="21"/>
                <w:highlight w:val="none"/>
              </w:rPr>
            </w:pPr>
          </w:p>
        </w:tc>
        <w:tc>
          <w:tcPr>
            <w:tcW w:w="615" w:type="pct"/>
            <w:gridSpan w:val="2"/>
            <w:vMerge w:val="continue"/>
            <w:vAlign w:val="center"/>
          </w:tcPr>
          <w:p>
            <w:pPr>
              <w:widowControl/>
              <w:adjustRightInd w:val="0"/>
              <w:snapToGrid w:val="0"/>
              <w:spacing w:line="360" w:lineRule="auto"/>
              <w:jc w:val="center"/>
              <w:rPr>
                <w:rFonts w:hint="eastAsia" w:ascii="宋体" w:hAnsi="宋体" w:eastAsia="宋体" w:cs="宋体"/>
                <w:b/>
                <w:color w:val="auto"/>
                <w:sz w:val="21"/>
                <w:szCs w:val="21"/>
                <w:highlight w:val="none"/>
              </w:rPr>
            </w:pPr>
          </w:p>
        </w:tc>
        <w:tc>
          <w:tcPr>
            <w:tcW w:w="852" w:type="pct"/>
            <w:gridSpan w:val="2"/>
            <w:vAlign w:val="center"/>
          </w:tcPr>
          <w:p>
            <w:pPr>
              <w:tabs>
                <w:tab w:val="left" w:pos="0"/>
              </w:tabs>
              <w:autoSpaceDE w:val="0"/>
              <w:autoSpaceDN w:val="0"/>
              <w:adjustRightInd w:val="0"/>
              <w:snapToGrid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优惠条款（0-1分）</w:t>
            </w:r>
          </w:p>
        </w:tc>
        <w:tc>
          <w:tcPr>
            <w:tcW w:w="3040" w:type="pct"/>
            <w:gridSpan w:val="2"/>
            <w:vAlign w:val="center"/>
          </w:tcPr>
          <w:p>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参照首保项目及范围进行维保延期承诺，承诺免费增加维保1次加0.5分，最多加1分，未承诺的不得分。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660" w:hRule="atLeast"/>
          <w:jc w:val="center"/>
        </w:trPr>
        <w:tc>
          <w:tcPr>
            <w:tcW w:w="488" w:type="pct"/>
            <w:vMerge w:val="continue"/>
            <w:vAlign w:val="center"/>
          </w:tcPr>
          <w:p>
            <w:pPr>
              <w:widowControl/>
              <w:adjustRightInd w:val="0"/>
              <w:snapToGrid w:val="0"/>
              <w:spacing w:line="360" w:lineRule="auto"/>
              <w:jc w:val="center"/>
              <w:rPr>
                <w:rFonts w:hint="eastAsia" w:ascii="宋体" w:hAnsi="宋体" w:eastAsia="宋体" w:cs="宋体"/>
                <w:color w:val="auto"/>
                <w:kern w:val="0"/>
                <w:sz w:val="21"/>
                <w:szCs w:val="21"/>
                <w:highlight w:val="none"/>
              </w:rPr>
            </w:pPr>
          </w:p>
        </w:tc>
        <w:tc>
          <w:tcPr>
            <w:tcW w:w="615" w:type="pct"/>
            <w:gridSpan w:val="2"/>
            <w:vMerge w:val="continue"/>
            <w:vAlign w:val="center"/>
          </w:tcPr>
          <w:p>
            <w:pPr>
              <w:widowControl/>
              <w:adjustRightInd w:val="0"/>
              <w:snapToGrid w:val="0"/>
              <w:spacing w:line="360" w:lineRule="auto"/>
              <w:jc w:val="center"/>
              <w:rPr>
                <w:rFonts w:hint="eastAsia" w:ascii="宋体" w:hAnsi="宋体" w:eastAsia="宋体" w:cs="宋体"/>
                <w:b/>
                <w:color w:val="auto"/>
                <w:sz w:val="21"/>
                <w:szCs w:val="21"/>
                <w:highlight w:val="none"/>
              </w:rPr>
            </w:pPr>
          </w:p>
        </w:tc>
        <w:tc>
          <w:tcPr>
            <w:tcW w:w="852" w:type="pct"/>
            <w:gridSpan w:val="2"/>
            <w:vAlign w:val="center"/>
          </w:tcPr>
          <w:p>
            <w:pPr>
              <w:tabs>
                <w:tab w:val="left" w:pos="0"/>
              </w:tabs>
              <w:autoSpaceDE w:val="0"/>
              <w:autoSpaceDN w:val="0"/>
              <w:adjustRightInd w:val="0"/>
              <w:snapToGrid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实施方案（0-4分）</w:t>
            </w:r>
          </w:p>
        </w:tc>
        <w:tc>
          <w:tcPr>
            <w:tcW w:w="3040" w:type="pct"/>
            <w:gridSpan w:val="2"/>
            <w:vAlign w:val="center"/>
          </w:tcPr>
          <w:p>
            <w:pPr>
              <w:numPr>
                <w:ilvl w:val="0"/>
                <w:numId w:val="9"/>
              </w:num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具体实施进度方案（2分）：（1）整体实施进度方案详实、切实可行，生产进度规划详细、原材料采购及生产计划响应迅速，供货周期优于项目要求，进度保障措施规划详细、响应周全、切实可行，项目组人员配备齐全、分工明确、团队力量强，得2分；（2）整体实施进度方案、生产进度规划、原材料采购及生产计划、供货周期、进度保障措施规划、项目组人员配备不详实、不详细或者部分不满足项目要求，得1分；（3）整体实施进度方案、生产进度规划、原材料采购及生产计划、供货周期、进度保障措施规划、项目组人员配备不能满足采购需求，得0.5分；（4）未提供方案，得0分。</w:t>
            </w:r>
          </w:p>
          <w:p>
            <w:pPr>
              <w:numPr>
                <w:ilvl w:val="0"/>
                <w:numId w:val="9"/>
              </w:numPr>
              <w:adjustRightInd w:val="0"/>
              <w:snapToGrid w:val="0"/>
              <w:spacing w:line="360" w:lineRule="auto"/>
              <w:ind w:left="0" w:lef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量保障措施（1分）：（1）质量保障方案制定详实、切实可行，质量保障制度制定完善、可操作性强，质量保障人员配备齐全、分工明确、团队力量强，有专门的的质量保障经费规划，质量保障设施设备配备齐全，得1分；（2）质量保障方案制定、质量保障制度制定、质量保障人员配备、质量保障设施设备配备不详实、不齐全或者部分不满足项目要求，得0.5分；（3）未提供方案，得0分。</w:t>
            </w:r>
          </w:p>
          <w:p>
            <w:pPr>
              <w:numPr>
                <w:ilvl w:val="0"/>
                <w:numId w:val="0"/>
              </w:numPr>
              <w:adjustRightInd w:val="0"/>
              <w:snapToGrid w:val="0"/>
              <w:spacing w:line="360" w:lineRule="auto"/>
              <w:ind w:left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项目测试方案、验收方案（1分）：（1）方案提供的测试、验收依据和相关的技术标准准确完整，方案制定的测试、验收的组织形式、程序、注意事项周全详实，测试、验收环节和内容设置详实，得1分；（2）方案提供的测试、验收依据和相关的技术标准、方案制定的测试、验收的组织形式、程序、注意事项、测试、验收环节和内容设置不详实或者部分不满足项目要求，得0.5分；（3）未提供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660" w:hRule="atLeast"/>
          <w:jc w:val="center"/>
        </w:trPr>
        <w:tc>
          <w:tcPr>
            <w:tcW w:w="488" w:type="pct"/>
            <w:vMerge w:val="continue"/>
            <w:vAlign w:val="center"/>
          </w:tcPr>
          <w:p>
            <w:pPr>
              <w:widowControl/>
              <w:adjustRightInd w:val="0"/>
              <w:snapToGrid w:val="0"/>
              <w:spacing w:line="360" w:lineRule="auto"/>
              <w:jc w:val="center"/>
              <w:rPr>
                <w:rFonts w:hint="eastAsia" w:ascii="宋体" w:hAnsi="宋体" w:eastAsia="宋体" w:cs="宋体"/>
                <w:color w:val="auto"/>
                <w:kern w:val="0"/>
                <w:sz w:val="21"/>
                <w:szCs w:val="21"/>
                <w:highlight w:val="none"/>
              </w:rPr>
            </w:pPr>
          </w:p>
        </w:tc>
        <w:tc>
          <w:tcPr>
            <w:tcW w:w="615" w:type="pct"/>
            <w:gridSpan w:val="2"/>
            <w:vMerge w:val="continue"/>
            <w:vAlign w:val="center"/>
          </w:tcPr>
          <w:p>
            <w:pPr>
              <w:widowControl/>
              <w:adjustRightInd w:val="0"/>
              <w:snapToGrid w:val="0"/>
              <w:spacing w:line="360" w:lineRule="auto"/>
              <w:jc w:val="center"/>
              <w:rPr>
                <w:rFonts w:hint="eastAsia" w:ascii="宋体" w:hAnsi="宋体" w:eastAsia="宋体" w:cs="宋体"/>
                <w:b/>
                <w:color w:val="auto"/>
                <w:sz w:val="21"/>
                <w:szCs w:val="21"/>
                <w:highlight w:val="none"/>
              </w:rPr>
            </w:pPr>
          </w:p>
        </w:tc>
        <w:tc>
          <w:tcPr>
            <w:tcW w:w="852" w:type="pct"/>
            <w:gridSpan w:val="2"/>
            <w:vAlign w:val="center"/>
          </w:tcPr>
          <w:p>
            <w:pPr>
              <w:tabs>
                <w:tab w:val="left" w:pos="0"/>
              </w:tabs>
              <w:autoSpaceDE w:val="0"/>
              <w:autoSpaceDN w:val="0"/>
              <w:adjustRightInd w:val="0"/>
              <w:snapToGrid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履约能力（0-3分）</w:t>
            </w:r>
          </w:p>
        </w:tc>
        <w:tc>
          <w:tcPr>
            <w:tcW w:w="3040" w:type="pct"/>
            <w:gridSpan w:val="2"/>
            <w:vAlign w:val="center"/>
          </w:tcPr>
          <w:p>
            <w:pPr>
              <w:numPr>
                <w:ilvl w:val="0"/>
                <w:numId w:val="10"/>
              </w:num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各阶段资金使用计划规划明确、各环节资金投入明确且保障有力得1分，没有保障或未提供该项内容得0分。</w:t>
            </w:r>
          </w:p>
          <w:p>
            <w:pPr>
              <w:numPr>
                <w:ilvl w:val="0"/>
                <w:numId w:val="0"/>
              </w:num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2.生产过程有落实节能环保相关措施且可行得1分，措施不可行或未提供该项内容得0分。</w:t>
            </w:r>
          </w:p>
          <w:p>
            <w:pPr>
              <w:numPr>
                <w:ilvl w:val="0"/>
                <w:numId w:val="0"/>
              </w:num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3.与各用户单位沟通和协调管理制度完善可行得1分，不完善、不可行或未提供该项内容得0分。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660" w:hRule="atLeast"/>
          <w:jc w:val="center"/>
        </w:trPr>
        <w:tc>
          <w:tcPr>
            <w:tcW w:w="488" w:type="pct"/>
            <w:vMerge w:val="continue"/>
            <w:vAlign w:val="center"/>
          </w:tcPr>
          <w:p>
            <w:pPr>
              <w:widowControl/>
              <w:adjustRightInd w:val="0"/>
              <w:snapToGrid w:val="0"/>
              <w:spacing w:line="360" w:lineRule="auto"/>
              <w:jc w:val="center"/>
              <w:rPr>
                <w:rFonts w:hint="eastAsia" w:ascii="宋体" w:hAnsi="宋体" w:eastAsia="宋体" w:cs="宋体"/>
                <w:color w:val="auto"/>
                <w:kern w:val="0"/>
                <w:sz w:val="21"/>
                <w:szCs w:val="21"/>
                <w:highlight w:val="none"/>
              </w:rPr>
            </w:pPr>
          </w:p>
        </w:tc>
        <w:tc>
          <w:tcPr>
            <w:tcW w:w="615" w:type="pct"/>
            <w:gridSpan w:val="2"/>
            <w:vMerge w:val="continue"/>
            <w:vAlign w:val="center"/>
          </w:tcPr>
          <w:p>
            <w:pPr>
              <w:widowControl/>
              <w:adjustRightInd w:val="0"/>
              <w:snapToGrid w:val="0"/>
              <w:spacing w:line="360" w:lineRule="auto"/>
              <w:jc w:val="center"/>
              <w:rPr>
                <w:rFonts w:hint="eastAsia" w:ascii="宋体" w:hAnsi="宋体" w:eastAsia="宋体" w:cs="宋体"/>
                <w:b/>
                <w:color w:val="auto"/>
                <w:sz w:val="21"/>
                <w:szCs w:val="21"/>
                <w:highlight w:val="none"/>
              </w:rPr>
            </w:pPr>
          </w:p>
        </w:tc>
        <w:tc>
          <w:tcPr>
            <w:tcW w:w="852" w:type="pct"/>
            <w:gridSpan w:val="2"/>
            <w:vAlign w:val="center"/>
          </w:tcPr>
          <w:p>
            <w:pPr>
              <w:tabs>
                <w:tab w:val="left" w:pos="0"/>
              </w:tabs>
              <w:autoSpaceDE w:val="0"/>
              <w:autoSpaceDN w:val="0"/>
              <w:adjustRightInd w:val="0"/>
              <w:snapToGrid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售后服务（0-</w:t>
            </w:r>
            <w:r>
              <w:rPr>
                <w:rFonts w:hint="eastAsia" w:ascii="宋体" w:hAnsi="宋体" w:cs="宋体"/>
                <w:b/>
                <w:bCs/>
                <w:color w:val="auto"/>
                <w:kern w:val="0"/>
                <w:sz w:val="21"/>
                <w:szCs w:val="21"/>
                <w:highlight w:val="none"/>
                <w:lang w:val="en-US" w:eastAsia="zh-CN"/>
              </w:rPr>
              <w:t>5</w:t>
            </w:r>
            <w:r>
              <w:rPr>
                <w:rFonts w:hint="eastAsia" w:ascii="宋体" w:hAnsi="宋体" w:eastAsia="宋体" w:cs="宋体"/>
                <w:b/>
                <w:bCs/>
                <w:color w:val="auto"/>
                <w:kern w:val="0"/>
                <w:sz w:val="21"/>
                <w:szCs w:val="21"/>
                <w:highlight w:val="none"/>
              </w:rPr>
              <w:t>分）</w:t>
            </w:r>
          </w:p>
        </w:tc>
        <w:tc>
          <w:tcPr>
            <w:tcW w:w="3040" w:type="pct"/>
            <w:gridSpan w:val="2"/>
            <w:vAlign w:val="center"/>
          </w:tcPr>
          <w:p>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售后服务（5分）</w:t>
            </w:r>
          </w:p>
          <w:p>
            <w:pPr>
              <w:numPr>
                <w:ilvl w:val="0"/>
                <w:numId w:val="11"/>
              </w:num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根据投标人售后服务计划（内容包括但不限于售后服务内容、售后服务体系、故障响应、备品备件保障供应、巡检服务等）进行综合评分：服务计划完整（涵盖上述全部内容）、详尽，完全满足项目要求的，得2分；服务计划基本完整（涵盖上述全部内容，但是内容不够详尽或者其中某项描述欠缺的），得1分；服务计划不完整（内容缺少一项或多项的），或者服务计划无法满足采购需求的得0.5分；无服务计划的不得分。</w:t>
            </w:r>
          </w:p>
          <w:p>
            <w:pPr>
              <w:numPr>
                <w:ilvl w:val="0"/>
                <w:numId w:val="11"/>
              </w:numPr>
              <w:adjustRightInd w:val="0"/>
              <w:snapToGrid w:val="0"/>
              <w:spacing w:line="360" w:lineRule="auto"/>
              <w:ind w:left="0" w:lef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根据投标人应急维修保障措施（内容包括但不限应急维修程序、应急维修预案、应急维修人员配备等）进行综合评分：维修保障措施完整（涵盖上述全部内容）、详尽，完全满足项目要求的，得2分；维修保障措施基本完整（涵盖上述全部内容，但是内容不够详尽或者其中某项描述欠缺的），得1分；维修保障措施不完整（内容缺少一项或多项的），或者服务计划无法满足采购需求的得0.5分；无服务计划的不得分。</w:t>
            </w:r>
          </w:p>
          <w:p>
            <w:pPr>
              <w:numPr>
                <w:ilvl w:val="0"/>
                <w:numId w:val="0"/>
              </w:numPr>
              <w:adjustRightInd w:val="0"/>
              <w:snapToGrid w:val="0"/>
              <w:spacing w:line="360" w:lineRule="auto"/>
              <w:ind w:left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（3）投标人提供本地化服务承诺（具体实施方式在合同中约定）的得1分，未提供的得0分。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660" w:hRule="atLeast"/>
          <w:jc w:val="center"/>
        </w:trPr>
        <w:tc>
          <w:tcPr>
            <w:tcW w:w="488" w:type="pct"/>
            <w:vMerge w:val="continue"/>
            <w:vAlign w:val="center"/>
          </w:tcPr>
          <w:p>
            <w:pPr>
              <w:widowControl/>
              <w:adjustRightInd w:val="0"/>
              <w:snapToGrid w:val="0"/>
              <w:spacing w:line="360" w:lineRule="auto"/>
              <w:jc w:val="center"/>
              <w:rPr>
                <w:rFonts w:hint="eastAsia" w:ascii="宋体" w:hAnsi="宋体" w:eastAsia="宋体" w:cs="宋体"/>
                <w:color w:val="auto"/>
                <w:kern w:val="0"/>
                <w:sz w:val="21"/>
                <w:szCs w:val="21"/>
                <w:highlight w:val="none"/>
              </w:rPr>
            </w:pPr>
          </w:p>
        </w:tc>
        <w:tc>
          <w:tcPr>
            <w:tcW w:w="615" w:type="pct"/>
            <w:gridSpan w:val="2"/>
            <w:vMerge w:val="continue"/>
            <w:vAlign w:val="center"/>
          </w:tcPr>
          <w:p>
            <w:pPr>
              <w:widowControl/>
              <w:adjustRightInd w:val="0"/>
              <w:snapToGrid w:val="0"/>
              <w:spacing w:line="360" w:lineRule="auto"/>
              <w:jc w:val="center"/>
              <w:rPr>
                <w:rFonts w:hint="eastAsia" w:ascii="宋体" w:hAnsi="宋体" w:eastAsia="宋体" w:cs="宋体"/>
                <w:b/>
                <w:color w:val="auto"/>
                <w:sz w:val="21"/>
                <w:szCs w:val="21"/>
                <w:highlight w:val="none"/>
              </w:rPr>
            </w:pPr>
          </w:p>
        </w:tc>
        <w:tc>
          <w:tcPr>
            <w:tcW w:w="852" w:type="pct"/>
            <w:gridSpan w:val="2"/>
            <w:vAlign w:val="center"/>
          </w:tcPr>
          <w:p>
            <w:pPr>
              <w:tabs>
                <w:tab w:val="left" w:pos="0"/>
              </w:tabs>
              <w:autoSpaceDE w:val="0"/>
              <w:autoSpaceDN w:val="0"/>
              <w:adjustRightInd w:val="0"/>
              <w:snapToGrid w:val="0"/>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培训方案（0-</w:t>
            </w:r>
            <w:r>
              <w:rPr>
                <w:rFonts w:hint="eastAsia" w:ascii="宋体" w:hAnsi="宋体" w:cs="宋体"/>
                <w:b/>
                <w:bCs/>
                <w:color w:val="auto"/>
                <w:kern w:val="0"/>
                <w:sz w:val="21"/>
                <w:szCs w:val="21"/>
                <w:highlight w:val="none"/>
                <w:lang w:val="en-US" w:eastAsia="zh-CN"/>
              </w:rPr>
              <w:t>3</w:t>
            </w:r>
            <w:r>
              <w:rPr>
                <w:rFonts w:hint="eastAsia" w:ascii="宋体" w:hAnsi="宋体" w:eastAsia="宋体" w:cs="宋体"/>
                <w:b/>
                <w:bCs/>
                <w:color w:val="auto"/>
                <w:kern w:val="0"/>
                <w:sz w:val="21"/>
                <w:szCs w:val="21"/>
                <w:highlight w:val="none"/>
              </w:rPr>
              <w:t>分）</w:t>
            </w:r>
          </w:p>
        </w:tc>
        <w:tc>
          <w:tcPr>
            <w:tcW w:w="3040" w:type="pct"/>
            <w:gridSpan w:val="2"/>
            <w:vAlign w:val="center"/>
          </w:tcPr>
          <w:p>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培训方案（3分）</w:t>
            </w:r>
          </w:p>
          <w:p>
            <w:pPr>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根据投标人提供的培训方案（内容包括但不限于培训内容、培训形式、培训计划和培训效果、培训师资力量、课时安排、培训时间安排等）进行综合评分：培训方案全面（涵盖上述全部内容）、详尽，符合项目特点，针对性强，确保满足培训效果的得3分；培训方案不全面（内容缺少一项或多项的）、针对性不强，得1.5分；培训方案无法满足项目实际需求的得0.5分；方案未提供不得分。</w:t>
            </w:r>
          </w:p>
        </w:tc>
      </w:tr>
    </w:tbl>
    <w:p>
      <w:pPr>
        <w:autoSpaceDE w:val="0"/>
        <w:autoSpaceDN w:val="0"/>
        <w:adjustRightInd w:val="0"/>
        <w:spacing w:line="360" w:lineRule="auto"/>
        <w:ind w:right="-23" w:firstLine="480" w:firstLineChars="200"/>
        <w:jc w:val="left"/>
        <w:rPr>
          <w:rFonts w:ascii="宋体" w:hAnsi="宋体" w:cs="宋体"/>
          <w:color w:val="auto"/>
          <w:kern w:val="0"/>
          <w:sz w:val="24"/>
          <w:highlight w:val="none"/>
        </w:rPr>
      </w:pP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1</w:t>
      </w:r>
      <w:r>
        <w:rPr>
          <w:rFonts w:hint="eastAsia" w:ascii="宋体" w:hAnsi="宋体" w:cs="宋体"/>
          <w:color w:val="auto"/>
          <w:kern w:val="0"/>
          <w:sz w:val="24"/>
          <w:highlight w:val="none"/>
        </w:rPr>
        <w:t>、本次招标采用综合评分法评标，投标文件满足招标文件全部实质性要求，且按照评标因素的量化指标评标得分最高的</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为中标候选人的评标方法。评分相等时，以投标报价低的优先；投标报价也相等的，以技术评分得分高的优先。</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hint="eastAsia" w:ascii="宋体" w:hAnsi="宋体" w:cs="宋体"/>
          <w:color w:val="auto"/>
          <w:kern w:val="0"/>
          <w:sz w:val="24"/>
          <w:highlight w:val="none"/>
        </w:rPr>
        <w:t>采购人已根据采购项目技术构成、产品价格比重等合理确定各标包核心产品，并在招标文件中载明。多家</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提供的核心产品品牌相同的，按以下规定处理：提供相同品牌产品且通过资格审查、符合性审查的不同</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参加同一合同项下投标的，按一家</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计算，评标后得分最高的同品牌</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获得中标人推荐资格；评标得分相同的，由采购人或者采购人委托评标委员会按照招标文件规定的方式确定一个</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获得中标人推荐资格，招标文件未规定的采取随机抽取方式确定，其他同品牌</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不作为中标候选人。</w:t>
      </w:r>
      <w:bookmarkStart w:id="398" w:name="_Toc26533"/>
      <w:bookmarkStart w:id="399" w:name="_Toc30234"/>
      <w:bookmarkStart w:id="400" w:name="_Toc17219"/>
      <w:bookmarkStart w:id="401" w:name="_Toc4003"/>
      <w:bookmarkStart w:id="402" w:name="_Toc13454"/>
      <w:bookmarkStart w:id="403" w:name="_Toc5920"/>
      <w:bookmarkStart w:id="404" w:name="_Toc30895"/>
      <w:bookmarkStart w:id="405" w:name="_Toc3406"/>
      <w:bookmarkStart w:id="406" w:name="_Toc6135"/>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2</w:t>
      </w:r>
      <w:r>
        <w:rPr>
          <w:rFonts w:hint="eastAsia" w:ascii="宋体" w:hAnsi="宋体" w:cs="宋体"/>
          <w:color w:val="auto"/>
          <w:kern w:val="0"/>
          <w:sz w:val="24"/>
          <w:highlight w:val="none"/>
        </w:rPr>
        <w:t>、评标标准</w:t>
      </w:r>
      <w:bookmarkEnd w:id="398"/>
      <w:bookmarkEnd w:id="399"/>
      <w:bookmarkEnd w:id="400"/>
      <w:bookmarkEnd w:id="401"/>
      <w:bookmarkEnd w:id="402"/>
      <w:bookmarkEnd w:id="403"/>
      <w:bookmarkEnd w:id="404"/>
      <w:bookmarkEnd w:id="405"/>
      <w:bookmarkEnd w:id="406"/>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2.1</w:t>
      </w:r>
      <w:r>
        <w:rPr>
          <w:rFonts w:hint="eastAsia" w:ascii="宋体" w:hAnsi="宋体" w:cs="宋体"/>
          <w:color w:val="auto"/>
          <w:kern w:val="0"/>
          <w:sz w:val="24"/>
          <w:highlight w:val="none"/>
        </w:rPr>
        <w:t>初步评审标准</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 xml:space="preserve">2.1.1 </w:t>
      </w:r>
      <w:r>
        <w:rPr>
          <w:rFonts w:hint="eastAsia" w:ascii="宋体" w:hAnsi="宋体" w:cs="宋体"/>
          <w:color w:val="auto"/>
          <w:kern w:val="0"/>
          <w:sz w:val="24"/>
          <w:highlight w:val="none"/>
        </w:rPr>
        <w:t>形式评审标准：见评标办法前附表；</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 xml:space="preserve">2.1.2 </w:t>
      </w:r>
      <w:r>
        <w:rPr>
          <w:rFonts w:hint="eastAsia" w:ascii="宋体" w:hAnsi="宋体" w:cs="宋体"/>
          <w:color w:val="auto"/>
          <w:kern w:val="0"/>
          <w:sz w:val="24"/>
          <w:highlight w:val="none"/>
        </w:rPr>
        <w:t>符合性评审标准：见评标办法前附表；</w:t>
      </w:r>
    </w:p>
    <w:p>
      <w:pPr>
        <w:autoSpaceDE w:val="0"/>
        <w:autoSpaceDN w:val="0"/>
        <w:adjustRightInd w:val="0"/>
        <w:spacing w:line="360" w:lineRule="auto"/>
        <w:ind w:right="-23" w:firstLine="480" w:firstLineChars="200"/>
        <w:jc w:val="left"/>
        <w:rPr>
          <w:rFonts w:ascii="宋体" w:cs="宋体"/>
          <w:color w:val="auto"/>
          <w:kern w:val="0"/>
          <w:sz w:val="24"/>
          <w:highlight w:val="none"/>
        </w:rPr>
      </w:pPr>
      <w:bookmarkStart w:id="407" w:name="_Toc17735"/>
      <w:bookmarkStart w:id="408" w:name="_Toc7259"/>
      <w:bookmarkStart w:id="409" w:name="_Toc5467"/>
      <w:bookmarkStart w:id="410" w:name="_Toc29139"/>
      <w:bookmarkStart w:id="411" w:name="_Toc6724"/>
      <w:bookmarkStart w:id="412" w:name="_Toc31651"/>
      <w:bookmarkStart w:id="413" w:name="_Toc10856"/>
      <w:bookmarkStart w:id="414" w:name="_Toc28336"/>
      <w:bookmarkStart w:id="415" w:name="_Toc27094"/>
      <w:r>
        <w:rPr>
          <w:rFonts w:ascii="宋体" w:hAnsi="宋体" w:cs="宋体"/>
          <w:color w:val="auto"/>
          <w:kern w:val="0"/>
          <w:sz w:val="24"/>
          <w:highlight w:val="none"/>
        </w:rPr>
        <w:t xml:space="preserve">2.2 </w:t>
      </w:r>
      <w:r>
        <w:rPr>
          <w:rFonts w:hint="eastAsia" w:ascii="宋体" w:hAnsi="宋体" w:cs="宋体"/>
          <w:color w:val="auto"/>
          <w:kern w:val="0"/>
          <w:sz w:val="24"/>
          <w:highlight w:val="none"/>
        </w:rPr>
        <w:t>分值构成与评分标准</w:t>
      </w:r>
      <w:bookmarkEnd w:id="407"/>
      <w:bookmarkEnd w:id="408"/>
      <w:bookmarkEnd w:id="409"/>
      <w:bookmarkEnd w:id="410"/>
      <w:bookmarkEnd w:id="411"/>
      <w:bookmarkEnd w:id="412"/>
      <w:bookmarkEnd w:id="413"/>
      <w:bookmarkEnd w:id="414"/>
      <w:bookmarkEnd w:id="415"/>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 xml:space="preserve">2.2.1 </w:t>
      </w:r>
      <w:r>
        <w:rPr>
          <w:rFonts w:hint="eastAsia" w:ascii="宋体" w:hAnsi="宋体" w:cs="宋体"/>
          <w:color w:val="auto"/>
          <w:kern w:val="0"/>
          <w:sz w:val="24"/>
          <w:highlight w:val="none"/>
        </w:rPr>
        <w:t>分值构成</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1</w:t>
      </w:r>
      <w:r>
        <w:rPr>
          <w:rFonts w:hint="eastAsia" w:ascii="宋体" w:hAnsi="宋体" w:cs="宋体"/>
          <w:color w:val="auto"/>
          <w:kern w:val="0"/>
          <w:sz w:val="24"/>
          <w:highlight w:val="none"/>
        </w:rPr>
        <w:t>）投标报价：见评标办法前附表；</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2</w:t>
      </w:r>
      <w:r>
        <w:rPr>
          <w:rFonts w:hint="eastAsia" w:ascii="宋体" w:hAnsi="宋体" w:cs="宋体"/>
          <w:color w:val="auto"/>
          <w:kern w:val="0"/>
          <w:sz w:val="24"/>
          <w:highlight w:val="none"/>
        </w:rPr>
        <w:t>）技术部分：见评标办法前附表；</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3</w:t>
      </w:r>
      <w:r>
        <w:rPr>
          <w:rFonts w:hint="eastAsia" w:ascii="宋体" w:hAnsi="宋体" w:cs="宋体"/>
          <w:color w:val="auto"/>
          <w:kern w:val="0"/>
          <w:sz w:val="24"/>
          <w:highlight w:val="none"/>
        </w:rPr>
        <w:t>）商务部分：见评标办法前附表；</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 xml:space="preserve">2.2.2 </w:t>
      </w:r>
      <w:r>
        <w:rPr>
          <w:rFonts w:hint="eastAsia" w:ascii="宋体" w:hAnsi="宋体" w:cs="宋体"/>
          <w:color w:val="auto"/>
          <w:kern w:val="0"/>
          <w:sz w:val="24"/>
          <w:highlight w:val="none"/>
        </w:rPr>
        <w:t>评分标准</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1</w:t>
      </w:r>
      <w:r>
        <w:rPr>
          <w:rFonts w:hint="eastAsia" w:ascii="宋体" w:hAnsi="宋体" w:cs="宋体"/>
          <w:color w:val="auto"/>
          <w:kern w:val="0"/>
          <w:sz w:val="24"/>
          <w:highlight w:val="none"/>
        </w:rPr>
        <w:t>）投标报价评分标准：见评标办法前附表；</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2</w:t>
      </w:r>
      <w:r>
        <w:rPr>
          <w:rFonts w:hint="eastAsia" w:ascii="宋体" w:hAnsi="宋体" w:cs="宋体"/>
          <w:color w:val="auto"/>
          <w:kern w:val="0"/>
          <w:sz w:val="24"/>
          <w:highlight w:val="none"/>
        </w:rPr>
        <w:t>）技术评分标准：见评标办法前附表；</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3</w:t>
      </w:r>
      <w:r>
        <w:rPr>
          <w:rFonts w:hint="eastAsia" w:ascii="宋体" w:hAnsi="宋体" w:cs="宋体"/>
          <w:color w:val="auto"/>
          <w:kern w:val="0"/>
          <w:sz w:val="24"/>
          <w:highlight w:val="none"/>
        </w:rPr>
        <w:t>）商务评分标准：见评标办法前附表；</w:t>
      </w:r>
    </w:p>
    <w:p>
      <w:pPr>
        <w:autoSpaceDE w:val="0"/>
        <w:autoSpaceDN w:val="0"/>
        <w:adjustRightInd w:val="0"/>
        <w:spacing w:line="360" w:lineRule="auto"/>
        <w:ind w:right="-23" w:firstLine="480" w:firstLineChars="200"/>
        <w:jc w:val="left"/>
        <w:rPr>
          <w:rFonts w:ascii="宋体" w:cs="宋体"/>
          <w:color w:val="auto"/>
          <w:kern w:val="0"/>
          <w:sz w:val="24"/>
          <w:highlight w:val="none"/>
        </w:rPr>
      </w:pPr>
      <w:bookmarkStart w:id="416" w:name="_Toc5149"/>
      <w:bookmarkStart w:id="417" w:name="_Toc21732"/>
      <w:bookmarkStart w:id="418" w:name="_Toc4338"/>
      <w:bookmarkStart w:id="419" w:name="_Toc28724"/>
      <w:bookmarkStart w:id="420" w:name="_Toc22175"/>
      <w:bookmarkStart w:id="421" w:name="_Toc16356"/>
      <w:bookmarkStart w:id="422" w:name="_Toc1740"/>
      <w:bookmarkStart w:id="423" w:name="_Toc5605"/>
      <w:bookmarkStart w:id="424" w:name="_Toc26726"/>
      <w:r>
        <w:rPr>
          <w:rFonts w:ascii="宋体" w:hAnsi="宋体" w:cs="宋体"/>
          <w:color w:val="auto"/>
          <w:kern w:val="0"/>
          <w:sz w:val="24"/>
          <w:highlight w:val="none"/>
        </w:rPr>
        <w:t>3</w:t>
      </w:r>
      <w:r>
        <w:rPr>
          <w:rFonts w:hint="eastAsia" w:ascii="宋体" w:hAnsi="宋体" w:cs="宋体"/>
          <w:color w:val="auto"/>
          <w:kern w:val="0"/>
          <w:sz w:val="24"/>
          <w:highlight w:val="none"/>
        </w:rPr>
        <w:t>、评标程序</w:t>
      </w:r>
      <w:bookmarkEnd w:id="416"/>
      <w:bookmarkEnd w:id="417"/>
      <w:bookmarkEnd w:id="418"/>
      <w:bookmarkEnd w:id="419"/>
      <w:bookmarkEnd w:id="420"/>
      <w:bookmarkEnd w:id="421"/>
      <w:bookmarkEnd w:id="422"/>
      <w:bookmarkEnd w:id="423"/>
      <w:bookmarkEnd w:id="424"/>
    </w:p>
    <w:p>
      <w:pPr>
        <w:autoSpaceDE w:val="0"/>
        <w:autoSpaceDN w:val="0"/>
        <w:adjustRightInd w:val="0"/>
        <w:spacing w:line="360" w:lineRule="auto"/>
        <w:ind w:right="-23" w:firstLine="480" w:firstLineChars="200"/>
        <w:jc w:val="left"/>
        <w:rPr>
          <w:rFonts w:ascii="宋体" w:cs="宋体"/>
          <w:color w:val="auto"/>
          <w:kern w:val="0"/>
          <w:sz w:val="24"/>
          <w:highlight w:val="none"/>
        </w:rPr>
      </w:pPr>
      <w:bookmarkStart w:id="425" w:name="_Toc5708"/>
      <w:bookmarkStart w:id="426" w:name="_Toc17957"/>
      <w:bookmarkStart w:id="427" w:name="_Toc1654"/>
      <w:bookmarkStart w:id="428" w:name="_Toc32083"/>
      <w:bookmarkStart w:id="429" w:name="_Toc10682"/>
      <w:bookmarkStart w:id="430" w:name="_Toc7036"/>
      <w:bookmarkStart w:id="431" w:name="_Toc9613"/>
      <w:bookmarkStart w:id="432" w:name="_Toc9443"/>
      <w:bookmarkStart w:id="433" w:name="_Toc18983"/>
      <w:r>
        <w:rPr>
          <w:rFonts w:ascii="宋体" w:hAnsi="宋体" w:cs="宋体"/>
          <w:color w:val="auto"/>
          <w:kern w:val="0"/>
          <w:sz w:val="24"/>
          <w:highlight w:val="none"/>
        </w:rPr>
        <w:t xml:space="preserve">3.1 </w:t>
      </w:r>
      <w:bookmarkEnd w:id="425"/>
      <w:bookmarkEnd w:id="426"/>
      <w:bookmarkEnd w:id="427"/>
      <w:bookmarkEnd w:id="428"/>
      <w:bookmarkEnd w:id="429"/>
      <w:bookmarkEnd w:id="430"/>
      <w:bookmarkEnd w:id="431"/>
      <w:bookmarkEnd w:id="432"/>
      <w:bookmarkEnd w:id="433"/>
      <w:r>
        <w:rPr>
          <w:rFonts w:hint="eastAsia" w:ascii="宋体" w:hAnsi="宋体" w:cs="宋体"/>
          <w:color w:val="auto"/>
          <w:kern w:val="0"/>
          <w:sz w:val="24"/>
          <w:highlight w:val="none"/>
        </w:rPr>
        <w:t>初步评审</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hint="eastAsia" w:ascii="宋体" w:hAnsi="宋体" w:cs="宋体"/>
          <w:color w:val="auto"/>
          <w:kern w:val="0"/>
          <w:sz w:val="24"/>
          <w:highlight w:val="none"/>
        </w:rPr>
        <w:t>评标委员会依据本章评标办法前附表规定的标准，对符合资格的</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的投标文件进行初步评审，以确定其是否满足招标文件的实质性要求，有一项不符合评标标准的，评标委员会应当认定其投标无效。</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 xml:space="preserve">3.1.1 </w:t>
      </w:r>
      <w:r>
        <w:rPr>
          <w:rFonts w:hint="eastAsia" w:ascii="宋体" w:hAnsi="宋体" w:cs="宋体"/>
          <w:color w:val="auto"/>
          <w:kern w:val="0"/>
          <w:sz w:val="24"/>
          <w:highlight w:val="none"/>
        </w:rPr>
        <w:t>投标报价有算术错误及其他错误的，评标委员会按以下原则要求</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对投标报价进行修正</w:t>
      </w:r>
    </w:p>
    <w:p>
      <w:pPr>
        <w:autoSpaceDE w:val="0"/>
        <w:autoSpaceDN w:val="0"/>
        <w:adjustRightInd w:val="0"/>
        <w:spacing w:line="360" w:lineRule="auto"/>
        <w:ind w:right="-23" w:firstLine="480" w:firstLineChars="200"/>
        <w:jc w:val="left"/>
        <w:rPr>
          <w:rFonts w:ascii="宋体" w:cs="宋体"/>
          <w:color w:val="auto"/>
          <w:kern w:val="0"/>
          <w:sz w:val="24"/>
          <w:highlight w:val="none"/>
        </w:rPr>
      </w:pPr>
      <w:bookmarkStart w:id="434" w:name="_Toc24391"/>
      <w:bookmarkStart w:id="435" w:name="_Toc10132"/>
      <w:bookmarkStart w:id="436" w:name="_Toc12089"/>
      <w:bookmarkStart w:id="437" w:name="_Toc26213"/>
      <w:bookmarkStart w:id="438" w:name="_Toc1221"/>
      <w:bookmarkStart w:id="439" w:name="_Toc30428"/>
      <w:bookmarkStart w:id="440" w:name="_Toc13336"/>
      <w:bookmarkStart w:id="441" w:name="_Toc18705"/>
      <w:bookmarkStart w:id="442" w:name="_Toc22449"/>
      <w:r>
        <w:rPr>
          <w:rFonts w:hint="eastAsia" w:ascii="宋体" w:hAnsi="宋体" w:cs="宋体"/>
          <w:color w:val="auto"/>
          <w:kern w:val="0"/>
          <w:sz w:val="24"/>
          <w:highlight w:val="none"/>
        </w:rPr>
        <w:t>（</w:t>
      </w:r>
      <w:r>
        <w:rPr>
          <w:rFonts w:ascii="宋体" w:hAnsi="宋体" w:cs="宋体"/>
          <w:color w:val="auto"/>
          <w:kern w:val="0"/>
          <w:sz w:val="24"/>
          <w:highlight w:val="none"/>
        </w:rPr>
        <w:t>1</w:t>
      </w:r>
      <w:r>
        <w:rPr>
          <w:rFonts w:hint="eastAsia" w:ascii="宋体" w:hAnsi="宋体" w:cs="宋体"/>
          <w:color w:val="auto"/>
          <w:kern w:val="0"/>
          <w:sz w:val="24"/>
          <w:highlight w:val="none"/>
        </w:rPr>
        <w:t>）投标文件中开标一览表（报价表）内容与投标文件中相应内容不一致的，以开标一览表（报价表）为准；</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2</w:t>
      </w:r>
      <w:r>
        <w:rPr>
          <w:rFonts w:hint="eastAsia" w:ascii="宋体" w:hAnsi="宋体" w:cs="宋体"/>
          <w:color w:val="auto"/>
          <w:kern w:val="0"/>
          <w:sz w:val="24"/>
          <w:highlight w:val="none"/>
        </w:rPr>
        <w:t>）大写金额和小写金额不一致的，以大写金额为准；</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3</w:t>
      </w:r>
      <w:r>
        <w:rPr>
          <w:rFonts w:hint="eastAsia" w:ascii="宋体" w:hAnsi="宋体" w:cs="宋体"/>
          <w:color w:val="auto"/>
          <w:kern w:val="0"/>
          <w:sz w:val="24"/>
          <w:highlight w:val="none"/>
        </w:rPr>
        <w:t>）单价金额小数点或者百分比有明显错位的，以开标一览表的总价为准，并修改单价；</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4</w:t>
      </w:r>
      <w:r>
        <w:rPr>
          <w:rFonts w:hint="eastAsia" w:ascii="宋体" w:hAnsi="宋体" w:cs="宋体"/>
          <w:color w:val="auto"/>
          <w:kern w:val="0"/>
          <w:sz w:val="24"/>
          <w:highlight w:val="none"/>
        </w:rPr>
        <w:t>）总价金额与按单价汇总金额不一致的，以单价金额计算结果为准。</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5</w:t>
      </w:r>
      <w:r>
        <w:rPr>
          <w:rFonts w:hint="eastAsia" w:ascii="宋体" w:hAnsi="宋体" w:cs="宋体"/>
          <w:color w:val="auto"/>
          <w:kern w:val="0"/>
          <w:sz w:val="24"/>
          <w:highlight w:val="none"/>
        </w:rPr>
        <w:t>）同时出现两种以上不一致的，按照前款规定的顺序修正。投标人不确认的，其投标无效。</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 xml:space="preserve">3.2 </w:t>
      </w:r>
      <w:r>
        <w:rPr>
          <w:rFonts w:hint="eastAsia" w:ascii="宋体" w:hAnsi="宋体" w:cs="宋体"/>
          <w:color w:val="auto"/>
          <w:kern w:val="0"/>
          <w:sz w:val="24"/>
          <w:highlight w:val="none"/>
        </w:rPr>
        <w:t>详细</w:t>
      </w:r>
      <w:bookmarkEnd w:id="434"/>
      <w:bookmarkEnd w:id="435"/>
      <w:bookmarkEnd w:id="436"/>
      <w:bookmarkEnd w:id="437"/>
      <w:bookmarkEnd w:id="438"/>
      <w:bookmarkEnd w:id="439"/>
      <w:bookmarkEnd w:id="440"/>
      <w:bookmarkEnd w:id="441"/>
      <w:bookmarkEnd w:id="442"/>
      <w:r>
        <w:rPr>
          <w:rFonts w:hint="eastAsia" w:ascii="宋体" w:hAnsi="宋体" w:cs="宋体"/>
          <w:color w:val="auto"/>
          <w:kern w:val="0"/>
          <w:sz w:val="24"/>
          <w:highlight w:val="none"/>
        </w:rPr>
        <w:t>评标</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 xml:space="preserve">3.2.1 </w:t>
      </w:r>
      <w:r>
        <w:rPr>
          <w:rFonts w:hint="eastAsia" w:ascii="宋体" w:hAnsi="宋体" w:cs="宋体"/>
          <w:color w:val="auto"/>
          <w:kern w:val="0"/>
          <w:sz w:val="24"/>
          <w:highlight w:val="none"/>
        </w:rPr>
        <w:t>评标委员会按本章规定的量化因素和分值进行打分，并计算出综合评估得分。</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 xml:space="preserve">3.2.2 </w:t>
      </w:r>
      <w:r>
        <w:rPr>
          <w:rFonts w:hint="eastAsia" w:ascii="宋体" w:hAnsi="宋体" w:cs="宋体"/>
          <w:color w:val="auto"/>
          <w:kern w:val="0"/>
          <w:sz w:val="24"/>
          <w:highlight w:val="none"/>
        </w:rPr>
        <w:t>评分分值计算保留小数点后两位，小数点后第三位“四舍五入”。</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 xml:space="preserve">3.2.3 </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综合得分等于所有评委最终打分的算数平均值。</w:t>
      </w:r>
    </w:p>
    <w:p>
      <w:pPr>
        <w:autoSpaceDE w:val="0"/>
        <w:autoSpaceDN w:val="0"/>
        <w:adjustRightInd w:val="0"/>
        <w:spacing w:line="360" w:lineRule="auto"/>
        <w:ind w:right="-23" w:firstLine="480" w:firstLineChars="200"/>
        <w:jc w:val="left"/>
        <w:rPr>
          <w:rFonts w:ascii="宋体" w:hAnsi="宋体" w:cs="宋体"/>
          <w:color w:val="auto"/>
          <w:kern w:val="0"/>
          <w:sz w:val="24"/>
          <w:highlight w:val="none"/>
        </w:rPr>
      </w:pPr>
      <w:r>
        <w:rPr>
          <w:rFonts w:ascii="宋体" w:hAnsi="宋体" w:cs="宋体"/>
          <w:color w:val="auto"/>
          <w:kern w:val="0"/>
          <w:sz w:val="24"/>
          <w:highlight w:val="none"/>
        </w:rPr>
        <w:t xml:space="preserve">3.2.4 </w:t>
      </w:r>
      <w:r>
        <w:rPr>
          <w:rFonts w:hint="eastAsia" w:ascii="宋体" w:hAnsi="宋体" w:cs="宋体"/>
          <w:color w:val="auto"/>
          <w:kern w:val="0"/>
          <w:sz w:val="24"/>
          <w:highlight w:val="none"/>
        </w:rPr>
        <w:t>评标委员会认为投标人的报价明显低于其他通过符合性审查投标人的报价，有可能影响产品质量或者不能诚信履约的，应当通过平台向投标人发出问询，在合理时间内提供书面说明，必要时提交相关证明材料；投标人不能证明其报价合理性的，评标委员会应当将其作为无效投标处理。</w:t>
      </w:r>
    </w:p>
    <w:p>
      <w:pPr>
        <w:autoSpaceDE w:val="0"/>
        <w:autoSpaceDN w:val="0"/>
        <w:adjustRightInd w:val="0"/>
        <w:spacing w:line="360" w:lineRule="auto"/>
        <w:ind w:right="-23" w:firstLine="480" w:firstLineChars="200"/>
        <w:jc w:val="left"/>
        <w:rPr>
          <w:rFonts w:ascii="宋体" w:cs="宋体"/>
          <w:color w:val="auto"/>
          <w:kern w:val="0"/>
          <w:sz w:val="24"/>
          <w:highlight w:val="none"/>
        </w:rPr>
      </w:pPr>
      <w:bookmarkStart w:id="443" w:name="_Toc11722"/>
      <w:bookmarkStart w:id="444" w:name="_Toc18083"/>
      <w:bookmarkStart w:id="445" w:name="_Toc18381"/>
      <w:bookmarkStart w:id="446" w:name="_Toc11785"/>
      <w:bookmarkStart w:id="447" w:name="_Toc6048"/>
      <w:bookmarkStart w:id="448" w:name="_Toc7845"/>
      <w:bookmarkStart w:id="449" w:name="_Toc2162"/>
      <w:bookmarkStart w:id="450" w:name="_Toc5640"/>
      <w:bookmarkStart w:id="451" w:name="_Toc9150"/>
      <w:r>
        <w:rPr>
          <w:rFonts w:ascii="宋体" w:hAnsi="宋体" w:cs="宋体"/>
          <w:color w:val="auto"/>
          <w:kern w:val="0"/>
          <w:sz w:val="24"/>
          <w:highlight w:val="none"/>
        </w:rPr>
        <w:t xml:space="preserve">3.3 </w:t>
      </w:r>
      <w:r>
        <w:rPr>
          <w:rFonts w:hint="eastAsia" w:ascii="宋体" w:hAnsi="宋体" w:cs="宋体"/>
          <w:color w:val="auto"/>
          <w:kern w:val="0"/>
          <w:sz w:val="24"/>
          <w:highlight w:val="none"/>
        </w:rPr>
        <w:t>投标文件的澄清</w:t>
      </w:r>
      <w:bookmarkEnd w:id="443"/>
      <w:bookmarkEnd w:id="444"/>
      <w:bookmarkEnd w:id="445"/>
      <w:bookmarkEnd w:id="446"/>
      <w:bookmarkEnd w:id="447"/>
      <w:bookmarkEnd w:id="448"/>
      <w:bookmarkEnd w:id="449"/>
      <w:bookmarkEnd w:id="450"/>
      <w:bookmarkEnd w:id="451"/>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 xml:space="preserve">3.3.1 </w:t>
      </w:r>
      <w:r>
        <w:rPr>
          <w:rFonts w:hint="eastAsia" w:ascii="宋体" w:hAnsi="宋体" w:cs="宋体"/>
          <w:color w:val="auto"/>
          <w:kern w:val="0"/>
          <w:sz w:val="24"/>
          <w:highlight w:val="none"/>
        </w:rPr>
        <w:t>在评标过程中，评标委员会可以书面形式要求</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对投标文件中含义不明确、对同类问题表述不一致或者有明显文字和计算错误的内容作必要的澄清、说明或补正。澄清、说明或补正应以书面方式进行，并加盖公章，或者由法定代表人或其授权的代表签字。评标委员会不接受</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主动提出的澄清、说明或补正。</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 xml:space="preserve">3.3.2 </w:t>
      </w:r>
      <w:r>
        <w:rPr>
          <w:rFonts w:hint="eastAsia" w:ascii="宋体" w:hAnsi="宋体" w:cs="宋体"/>
          <w:color w:val="auto"/>
          <w:kern w:val="0"/>
          <w:sz w:val="24"/>
          <w:highlight w:val="none"/>
        </w:rPr>
        <w:t>澄清、说明或补正不得超出投标文件的范围且不得改变投标文件的实质性内容，并构成投标文件的组成部分。</w:t>
      </w:r>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3.3.3</w:t>
      </w:r>
      <w:r>
        <w:rPr>
          <w:rFonts w:hint="eastAsia" w:ascii="宋体" w:hAnsi="宋体" w:cs="宋体"/>
          <w:color w:val="auto"/>
          <w:kern w:val="0"/>
          <w:sz w:val="24"/>
          <w:highlight w:val="none"/>
        </w:rPr>
        <w:t>评标委员会对</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提交的澄清、说明或补正有疑问的，可以要求</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进一步澄清、说明或补正，直至满足评标委员会的要求。</w:t>
      </w:r>
    </w:p>
    <w:p>
      <w:pPr>
        <w:autoSpaceDE w:val="0"/>
        <w:autoSpaceDN w:val="0"/>
        <w:adjustRightInd w:val="0"/>
        <w:spacing w:line="360" w:lineRule="auto"/>
        <w:ind w:right="-23" w:firstLine="480" w:firstLineChars="200"/>
        <w:jc w:val="left"/>
        <w:rPr>
          <w:rFonts w:ascii="宋体" w:cs="宋体"/>
          <w:color w:val="auto"/>
          <w:kern w:val="0"/>
          <w:sz w:val="24"/>
          <w:highlight w:val="none"/>
        </w:rPr>
      </w:pPr>
      <w:bookmarkStart w:id="452" w:name="_Toc25857"/>
      <w:bookmarkStart w:id="453" w:name="_Toc27845"/>
      <w:bookmarkStart w:id="454" w:name="_Toc12108"/>
      <w:bookmarkStart w:id="455" w:name="_Toc7956"/>
      <w:bookmarkStart w:id="456" w:name="_Toc19756"/>
      <w:bookmarkStart w:id="457" w:name="_Toc10336"/>
      <w:bookmarkStart w:id="458" w:name="_Toc12060"/>
      <w:bookmarkStart w:id="459" w:name="_Toc19426"/>
      <w:bookmarkStart w:id="460" w:name="_Toc28041"/>
      <w:r>
        <w:rPr>
          <w:rFonts w:ascii="宋体" w:hAnsi="宋体" w:cs="宋体"/>
          <w:color w:val="auto"/>
          <w:kern w:val="0"/>
          <w:sz w:val="24"/>
          <w:highlight w:val="none"/>
        </w:rPr>
        <w:t xml:space="preserve">3.4 </w:t>
      </w:r>
      <w:r>
        <w:rPr>
          <w:rFonts w:hint="eastAsia" w:ascii="宋体" w:hAnsi="宋体" w:cs="宋体"/>
          <w:color w:val="auto"/>
          <w:kern w:val="0"/>
          <w:sz w:val="24"/>
          <w:highlight w:val="none"/>
        </w:rPr>
        <w:t>评标结果</w:t>
      </w:r>
      <w:bookmarkEnd w:id="452"/>
      <w:bookmarkEnd w:id="453"/>
      <w:bookmarkEnd w:id="454"/>
      <w:bookmarkEnd w:id="455"/>
      <w:bookmarkEnd w:id="456"/>
      <w:bookmarkEnd w:id="457"/>
      <w:bookmarkEnd w:id="458"/>
      <w:bookmarkEnd w:id="459"/>
      <w:bookmarkEnd w:id="460"/>
    </w:p>
    <w:p>
      <w:pPr>
        <w:autoSpaceDE w:val="0"/>
        <w:autoSpaceDN w:val="0"/>
        <w:adjustRightInd w:val="0"/>
        <w:spacing w:line="360" w:lineRule="auto"/>
        <w:ind w:right="-23" w:firstLine="480" w:firstLineChars="200"/>
        <w:jc w:val="left"/>
        <w:rPr>
          <w:rFonts w:ascii="宋体" w:cs="宋体"/>
          <w:color w:val="auto"/>
          <w:kern w:val="0"/>
          <w:sz w:val="24"/>
          <w:highlight w:val="none"/>
        </w:rPr>
      </w:pPr>
      <w:r>
        <w:rPr>
          <w:rFonts w:ascii="宋体" w:hAnsi="宋体" w:cs="宋体"/>
          <w:color w:val="auto"/>
          <w:kern w:val="0"/>
          <w:sz w:val="24"/>
          <w:highlight w:val="none"/>
        </w:rPr>
        <w:t xml:space="preserve"> </w:t>
      </w:r>
      <w:r>
        <w:rPr>
          <w:rFonts w:hint="eastAsia" w:ascii="宋体" w:hAnsi="宋体" w:cs="宋体"/>
          <w:color w:val="auto"/>
          <w:kern w:val="0"/>
          <w:sz w:val="24"/>
          <w:highlight w:val="none"/>
        </w:rPr>
        <w:t>评标委员会完成评标后，采购代理机构应当在评标结束后</w:t>
      </w:r>
      <w:r>
        <w:rPr>
          <w:rFonts w:ascii="宋体" w:hAnsi="宋体" w:cs="宋体"/>
          <w:color w:val="auto"/>
          <w:kern w:val="0"/>
          <w:sz w:val="24"/>
          <w:highlight w:val="none"/>
        </w:rPr>
        <w:t>2</w:t>
      </w:r>
      <w:r>
        <w:rPr>
          <w:rFonts w:hint="eastAsia" w:ascii="宋体" w:hAnsi="宋体" w:cs="宋体"/>
          <w:color w:val="auto"/>
          <w:kern w:val="0"/>
          <w:sz w:val="24"/>
          <w:highlight w:val="none"/>
        </w:rPr>
        <w:t>个工作日内将评标报告送采购人。</w:t>
      </w:r>
    </w:p>
    <w:p>
      <w:pPr>
        <w:pStyle w:val="2"/>
        <w:rPr>
          <w:rFonts w:ascii="宋体" w:cs="宋体"/>
          <w:color w:val="auto"/>
          <w:szCs w:val="32"/>
          <w:highlight w:val="none"/>
        </w:rPr>
      </w:pPr>
      <w:bookmarkStart w:id="461" w:name="_Toc40112140"/>
      <w:bookmarkStart w:id="462" w:name="_Toc312133549"/>
      <w:r>
        <w:rPr>
          <w:rFonts w:ascii="宋体" w:cs="宋体"/>
          <w:color w:val="auto"/>
          <w:szCs w:val="32"/>
          <w:highlight w:val="none"/>
        </w:rPr>
        <w:br w:type="page"/>
      </w:r>
      <w:bookmarkStart w:id="463" w:name="_Toc17148"/>
      <w:bookmarkStart w:id="464" w:name="_Toc7178"/>
      <w:bookmarkStart w:id="465" w:name="_Toc16056"/>
      <w:r>
        <w:rPr>
          <w:rFonts w:hint="eastAsia" w:ascii="宋体" w:hAnsi="宋体" w:cs="宋体"/>
          <w:color w:val="auto"/>
          <w:szCs w:val="32"/>
          <w:highlight w:val="none"/>
        </w:rPr>
        <w:t>第五章</w:t>
      </w:r>
      <w:r>
        <w:rPr>
          <w:rFonts w:ascii="宋体" w:hAnsi="宋体" w:cs="宋体"/>
          <w:color w:val="auto"/>
          <w:szCs w:val="32"/>
          <w:highlight w:val="none"/>
        </w:rPr>
        <w:t xml:space="preserve">  </w:t>
      </w:r>
      <w:r>
        <w:rPr>
          <w:rFonts w:hint="eastAsia" w:ascii="宋体" w:hAnsi="宋体" w:cs="宋体"/>
          <w:color w:val="auto"/>
          <w:szCs w:val="32"/>
          <w:highlight w:val="none"/>
        </w:rPr>
        <w:t>合同</w:t>
      </w:r>
      <w:bookmarkEnd w:id="461"/>
      <w:bookmarkEnd w:id="463"/>
      <w:bookmarkEnd w:id="464"/>
      <w:bookmarkEnd w:id="465"/>
    </w:p>
    <w:bookmarkEnd w:id="462"/>
    <w:p>
      <w:pPr>
        <w:widowControl/>
        <w:spacing w:line="360" w:lineRule="auto"/>
        <w:jc w:val="center"/>
        <w:rPr>
          <w:rFonts w:ascii="宋体" w:cs="宋体"/>
          <w:color w:val="auto"/>
          <w:szCs w:val="21"/>
          <w:highlight w:val="none"/>
        </w:rPr>
      </w:pPr>
      <w:r>
        <w:rPr>
          <w:rFonts w:hint="eastAsia" w:ascii="宋体" w:hAnsi="宋体" w:cs="宋体"/>
          <w:color w:val="auto"/>
          <w:szCs w:val="21"/>
          <w:highlight w:val="none"/>
        </w:rPr>
        <w:t>（以双方签订为准）</w:t>
      </w:r>
    </w:p>
    <w:p>
      <w:pPr>
        <w:widowControl/>
        <w:spacing w:line="360" w:lineRule="auto"/>
        <w:jc w:val="center"/>
        <w:rPr>
          <w:rFonts w:ascii="宋体" w:hAnsi="宋体" w:cs="宋体"/>
          <w:b/>
          <w:bCs/>
          <w:color w:val="auto"/>
          <w:sz w:val="52"/>
          <w:szCs w:val="52"/>
          <w:highlight w:val="none"/>
        </w:rPr>
      </w:pPr>
      <w:bookmarkStart w:id="466" w:name="_Toc29143"/>
      <w:r>
        <w:rPr>
          <w:rFonts w:hint="eastAsia" w:ascii="宋体" w:hAnsi="宋体" w:cs="宋体"/>
          <w:b/>
          <w:bCs/>
          <w:color w:val="auto"/>
          <w:sz w:val="52"/>
          <w:szCs w:val="52"/>
          <w:highlight w:val="none"/>
        </w:rPr>
        <w:t>合  同  书</w:t>
      </w:r>
    </w:p>
    <w:p>
      <w:pPr>
        <w:widowControl/>
        <w:spacing w:line="360" w:lineRule="auto"/>
        <w:jc w:val="center"/>
        <w:rPr>
          <w:rFonts w:hint="eastAsia" w:ascii="宋体" w:hAnsi="宋体" w:cs="宋体"/>
          <w:color w:val="auto"/>
          <w:szCs w:val="21"/>
          <w:highlight w:val="none"/>
        </w:rPr>
      </w:pP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p>
    <w:p>
      <w:pPr>
        <w:widowControl/>
        <w:spacing w:line="360" w:lineRule="auto"/>
        <w:jc w:val="center"/>
        <w:rPr>
          <w:rFonts w:hint="default" w:ascii="宋体" w:eastAsia="宋体" w:cs="宋体"/>
          <w:color w:val="auto"/>
          <w:szCs w:val="21"/>
          <w:highlight w:val="none"/>
          <w:lang w:val="en-US" w:eastAsia="zh-CN"/>
        </w:rPr>
      </w:pPr>
      <w:r>
        <w:rPr>
          <w:rFonts w:hint="eastAsia" w:ascii="宋体" w:hAnsi="宋体" w:cs="宋体"/>
          <w:color w:val="auto"/>
          <w:szCs w:val="21"/>
          <w:highlight w:val="none"/>
        </w:rPr>
        <w:t xml:space="preserve">                                   </w:t>
      </w:r>
      <w:r>
        <w:rPr>
          <w:rFonts w:hint="eastAsia" w:ascii="宋体" w:hAnsi="宋体" w:cs="宋体"/>
          <w:color w:val="auto"/>
          <w:sz w:val="28"/>
          <w:szCs w:val="28"/>
          <w:highlight w:val="none"/>
        </w:rPr>
        <w:t>合同编号：</w:t>
      </w:r>
      <w:r>
        <w:rPr>
          <w:rFonts w:hint="eastAsia" w:ascii="宋体" w:hAnsi="宋体" w:cs="宋体"/>
          <w:color w:val="auto"/>
          <w:sz w:val="28"/>
          <w:szCs w:val="28"/>
          <w:highlight w:val="none"/>
          <w:u w:val="single"/>
          <w:lang w:val="en-US" w:eastAsia="zh-CN"/>
        </w:rPr>
        <w:t xml:space="preserve">          </w:t>
      </w:r>
    </w:p>
    <w:p>
      <w:pPr>
        <w:widowControl/>
        <w:spacing w:line="360" w:lineRule="auto"/>
        <w:jc w:val="center"/>
        <w:rPr>
          <w:rFonts w:ascii="宋体" w:cs="宋体"/>
          <w:color w:val="auto"/>
          <w:szCs w:val="21"/>
          <w:highlight w:val="none"/>
        </w:rPr>
      </w:pPr>
    </w:p>
    <w:p>
      <w:pPr>
        <w:pStyle w:val="12"/>
        <w:spacing w:line="360" w:lineRule="auto"/>
        <w:ind w:left="0" w:leftChars="0" w:right="1470"/>
        <w:rPr>
          <w:rFonts w:ascii="宋体" w:cs="宋体"/>
          <w:color w:val="auto"/>
          <w:sz w:val="32"/>
          <w:szCs w:val="32"/>
          <w:highlight w:val="none"/>
        </w:rPr>
      </w:pPr>
      <w:r>
        <w:rPr>
          <w:rFonts w:hint="eastAsia" w:ascii="宋体" w:hAnsi="宋体" w:cs="宋体"/>
          <w:color w:val="auto"/>
          <w:w w:val="90"/>
          <w:sz w:val="44"/>
          <w:szCs w:val="44"/>
          <w:highlight w:val="none"/>
        </w:rPr>
        <w:t>项目名称：</w:t>
      </w:r>
      <w:r>
        <w:rPr>
          <w:rFonts w:hint="eastAsia" w:ascii="宋体" w:hAnsi="宋体" w:cs="宋体"/>
          <w:color w:val="auto"/>
          <w:w w:val="90"/>
          <w:sz w:val="44"/>
          <w:szCs w:val="44"/>
          <w:highlight w:val="none"/>
          <w:lang w:eastAsia="zh-CN"/>
        </w:rPr>
        <w:t>平顶山市消防救援支队河南省消防救援总队“自然灾害应急能力提升工程”平顶山支队装备建设项目</w:t>
      </w:r>
    </w:p>
    <w:p>
      <w:pPr>
        <w:pStyle w:val="12"/>
        <w:spacing w:line="360" w:lineRule="auto"/>
        <w:ind w:left="0" w:leftChars="0" w:right="1470"/>
        <w:rPr>
          <w:rFonts w:ascii="宋体" w:cs="宋体"/>
          <w:color w:val="auto"/>
          <w:sz w:val="32"/>
          <w:szCs w:val="32"/>
          <w:highlight w:val="none"/>
        </w:rPr>
      </w:pPr>
    </w:p>
    <w:p>
      <w:pPr>
        <w:pStyle w:val="12"/>
        <w:spacing w:line="360" w:lineRule="auto"/>
        <w:ind w:left="0" w:leftChars="0" w:right="1470"/>
        <w:rPr>
          <w:rFonts w:ascii="宋体" w:cs="宋体"/>
          <w:color w:val="auto"/>
          <w:sz w:val="32"/>
          <w:szCs w:val="32"/>
          <w:highlight w:val="none"/>
        </w:rPr>
      </w:pPr>
    </w:p>
    <w:p>
      <w:pPr>
        <w:pStyle w:val="12"/>
        <w:spacing w:line="360" w:lineRule="auto"/>
        <w:ind w:left="0" w:leftChars="0" w:right="1470"/>
        <w:rPr>
          <w:rFonts w:ascii="宋体" w:cs="宋体"/>
          <w:color w:val="auto"/>
          <w:sz w:val="32"/>
          <w:szCs w:val="32"/>
          <w:highlight w:val="none"/>
        </w:rPr>
      </w:pPr>
    </w:p>
    <w:p>
      <w:pPr>
        <w:pStyle w:val="12"/>
        <w:spacing w:line="360" w:lineRule="auto"/>
        <w:ind w:left="0" w:leftChars="0" w:right="1470"/>
        <w:rPr>
          <w:rFonts w:ascii="宋体" w:cs="宋体"/>
          <w:color w:val="auto"/>
          <w:sz w:val="32"/>
          <w:szCs w:val="32"/>
          <w:highlight w:val="none"/>
        </w:rPr>
      </w:pPr>
    </w:p>
    <w:p>
      <w:pPr>
        <w:pStyle w:val="12"/>
        <w:spacing w:line="360" w:lineRule="auto"/>
        <w:ind w:left="0" w:leftChars="0" w:right="1470"/>
        <w:rPr>
          <w:rFonts w:ascii="宋体" w:cs="宋体"/>
          <w:color w:val="auto"/>
          <w:sz w:val="32"/>
          <w:szCs w:val="32"/>
          <w:highlight w:val="none"/>
        </w:rPr>
      </w:pPr>
    </w:p>
    <w:p>
      <w:pPr>
        <w:widowControl/>
        <w:spacing w:line="360" w:lineRule="auto"/>
        <w:rPr>
          <w:rFonts w:ascii="宋体" w:cs="宋体"/>
          <w:color w:val="auto"/>
          <w:sz w:val="32"/>
          <w:szCs w:val="32"/>
          <w:highlight w:val="none"/>
          <w:u w:val="single"/>
        </w:rPr>
      </w:pPr>
      <w:r>
        <w:rPr>
          <w:rFonts w:ascii="宋体" w:hAnsi="宋体" w:cs="宋体"/>
          <w:color w:val="auto"/>
          <w:sz w:val="32"/>
          <w:szCs w:val="32"/>
          <w:highlight w:val="none"/>
        </w:rPr>
        <w:t xml:space="preserve">             </w:t>
      </w:r>
      <w:r>
        <w:rPr>
          <w:rFonts w:hint="eastAsia" w:ascii="宋体" w:hAnsi="宋体" w:cs="宋体"/>
          <w:color w:val="auto"/>
          <w:sz w:val="32"/>
          <w:szCs w:val="32"/>
          <w:highlight w:val="none"/>
        </w:rPr>
        <w:t>甲方（需方）：</w:t>
      </w:r>
    </w:p>
    <w:p>
      <w:pPr>
        <w:widowControl/>
        <w:spacing w:line="360" w:lineRule="auto"/>
        <w:rPr>
          <w:rFonts w:ascii="宋体" w:cs="宋体"/>
          <w:color w:val="auto"/>
          <w:sz w:val="32"/>
          <w:szCs w:val="32"/>
          <w:highlight w:val="none"/>
        </w:rPr>
      </w:pPr>
    </w:p>
    <w:p>
      <w:pPr>
        <w:widowControl/>
        <w:spacing w:line="360" w:lineRule="auto"/>
        <w:rPr>
          <w:rFonts w:ascii="宋体" w:cs="宋体"/>
          <w:color w:val="auto"/>
          <w:sz w:val="32"/>
          <w:szCs w:val="32"/>
          <w:highlight w:val="none"/>
          <w:u w:val="single"/>
        </w:rPr>
      </w:pPr>
      <w:r>
        <w:rPr>
          <w:rFonts w:ascii="宋体" w:hAnsi="宋体" w:cs="宋体"/>
          <w:color w:val="auto"/>
          <w:sz w:val="32"/>
          <w:szCs w:val="32"/>
          <w:highlight w:val="none"/>
        </w:rPr>
        <w:t xml:space="preserve">             </w:t>
      </w:r>
      <w:r>
        <w:rPr>
          <w:rFonts w:hint="eastAsia" w:ascii="宋体" w:hAnsi="宋体" w:cs="宋体"/>
          <w:color w:val="auto"/>
          <w:sz w:val="32"/>
          <w:szCs w:val="32"/>
          <w:highlight w:val="none"/>
        </w:rPr>
        <w:t xml:space="preserve">乙方（供方）： </w:t>
      </w:r>
    </w:p>
    <w:p>
      <w:pPr>
        <w:widowControl/>
        <w:spacing w:line="360" w:lineRule="auto"/>
        <w:jc w:val="right"/>
        <w:rPr>
          <w:rFonts w:ascii="宋体" w:cs="宋体"/>
          <w:color w:val="auto"/>
          <w:sz w:val="32"/>
          <w:szCs w:val="32"/>
          <w:highlight w:val="none"/>
        </w:rPr>
      </w:pPr>
    </w:p>
    <w:p>
      <w:pPr>
        <w:widowControl/>
        <w:spacing w:line="360" w:lineRule="auto"/>
        <w:rPr>
          <w:rFonts w:ascii="宋体" w:cs="宋体"/>
          <w:color w:val="auto"/>
          <w:sz w:val="32"/>
          <w:szCs w:val="32"/>
          <w:highlight w:val="none"/>
          <w:u w:val="single"/>
        </w:rPr>
      </w:pPr>
      <w:r>
        <w:rPr>
          <w:rFonts w:ascii="宋体" w:hAnsi="宋体" w:cs="宋体"/>
          <w:color w:val="auto"/>
          <w:sz w:val="32"/>
          <w:szCs w:val="32"/>
          <w:highlight w:val="none"/>
        </w:rPr>
        <w:t xml:space="preserve">             </w:t>
      </w:r>
      <w:r>
        <w:rPr>
          <w:rFonts w:hint="eastAsia" w:ascii="宋体" w:hAnsi="宋体" w:cs="宋体"/>
          <w:color w:val="auto"/>
          <w:sz w:val="32"/>
          <w:szCs w:val="32"/>
          <w:highlight w:val="none"/>
        </w:rPr>
        <w:t>合同签订日期：二〇二</w:t>
      </w:r>
      <w:r>
        <w:rPr>
          <w:rFonts w:hint="eastAsia" w:ascii="宋体" w:hAnsi="宋体" w:cs="宋体"/>
          <w:color w:val="auto"/>
          <w:sz w:val="32"/>
          <w:szCs w:val="32"/>
          <w:highlight w:val="none"/>
          <w:lang w:val="en-US" w:eastAsia="zh-CN"/>
        </w:rPr>
        <w:t>四</w:t>
      </w:r>
      <w:r>
        <w:rPr>
          <w:rFonts w:hint="eastAsia" w:ascii="宋体" w:hAnsi="宋体" w:cs="宋体"/>
          <w:color w:val="auto"/>
          <w:sz w:val="32"/>
          <w:szCs w:val="32"/>
          <w:highlight w:val="none"/>
        </w:rPr>
        <w:t>年</w:t>
      </w:r>
      <w:r>
        <w:rPr>
          <w:rFonts w:ascii="宋体" w:hAnsi="宋体" w:cs="宋体"/>
          <w:color w:val="auto"/>
          <w:sz w:val="32"/>
          <w:szCs w:val="32"/>
          <w:highlight w:val="none"/>
        </w:rPr>
        <w:t xml:space="preserve">    </w:t>
      </w:r>
      <w:r>
        <w:rPr>
          <w:rFonts w:hint="eastAsia" w:ascii="宋体" w:hAnsi="宋体" w:cs="宋体"/>
          <w:color w:val="auto"/>
          <w:sz w:val="32"/>
          <w:szCs w:val="32"/>
          <w:highlight w:val="none"/>
        </w:rPr>
        <w:t>月</w:t>
      </w:r>
      <w:r>
        <w:rPr>
          <w:rFonts w:ascii="宋体" w:hAnsi="宋体" w:cs="宋体"/>
          <w:color w:val="auto"/>
          <w:sz w:val="32"/>
          <w:szCs w:val="32"/>
          <w:highlight w:val="none"/>
        </w:rPr>
        <w:t xml:space="preserve">    </w:t>
      </w:r>
      <w:r>
        <w:rPr>
          <w:rFonts w:hint="eastAsia" w:ascii="宋体" w:hAnsi="宋体" w:cs="宋体"/>
          <w:color w:val="auto"/>
          <w:sz w:val="32"/>
          <w:szCs w:val="32"/>
          <w:highlight w:val="none"/>
        </w:rPr>
        <w:t>日</w:t>
      </w:r>
      <w:r>
        <w:rPr>
          <w:rFonts w:ascii="宋体" w:hAnsi="宋体" w:cs="宋体"/>
          <w:color w:val="auto"/>
          <w:sz w:val="32"/>
          <w:szCs w:val="32"/>
          <w:highlight w:val="none"/>
        </w:rPr>
        <w:t xml:space="preserve">   </w:t>
      </w:r>
    </w:p>
    <w:p>
      <w:pPr>
        <w:spacing w:line="384" w:lineRule="auto"/>
        <w:ind w:firstLine="520"/>
        <w:jc w:val="both"/>
        <w:rPr>
          <w:rFonts w:hint="eastAsia" w:ascii="宋体" w:hAnsi="宋体" w:eastAsia="宋体"/>
          <w:color w:val="000000"/>
          <w:sz w:val="27"/>
          <w:highlight w:val="none"/>
        </w:rPr>
      </w:pPr>
    </w:p>
    <w:p>
      <w:pPr>
        <w:spacing w:line="384" w:lineRule="auto"/>
        <w:ind w:firstLine="520"/>
        <w:jc w:val="both"/>
        <w:rPr>
          <w:sz w:val="24"/>
          <w:szCs w:val="24"/>
          <w:highlight w:val="none"/>
        </w:rPr>
      </w:pPr>
      <w:r>
        <w:rPr>
          <w:rFonts w:hint="eastAsia" w:ascii="宋体" w:hAnsi="宋体" w:eastAsia="宋体"/>
          <w:color w:val="000000"/>
          <w:sz w:val="24"/>
          <w:szCs w:val="24"/>
          <w:highlight w:val="none"/>
        </w:rPr>
        <w:t>甲方：</w:t>
      </w:r>
      <w:r>
        <w:rPr>
          <w:rFonts w:hint="eastAsia" w:ascii="宋体" w:hAnsi="宋体" w:eastAsia="宋体"/>
          <w:color w:val="000000"/>
          <w:sz w:val="24"/>
          <w:szCs w:val="24"/>
          <w:highlight w:val="none"/>
          <w:u w:val="single"/>
        </w:rPr>
        <w:t xml:space="preserve">         </w:t>
      </w:r>
    </w:p>
    <w:p>
      <w:pPr>
        <w:spacing w:line="384" w:lineRule="auto"/>
        <w:ind w:firstLine="520"/>
        <w:jc w:val="both"/>
        <w:rPr>
          <w:sz w:val="24"/>
          <w:szCs w:val="24"/>
          <w:highlight w:val="none"/>
        </w:rPr>
      </w:pPr>
      <w:r>
        <w:rPr>
          <w:rFonts w:hint="eastAsia" w:ascii="宋体" w:hAnsi="宋体" w:eastAsia="宋体"/>
          <w:color w:val="000000"/>
          <w:sz w:val="24"/>
          <w:szCs w:val="24"/>
          <w:highlight w:val="none"/>
        </w:rPr>
        <w:t>乙方：</w:t>
      </w:r>
      <w:r>
        <w:rPr>
          <w:rFonts w:hint="eastAsia" w:ascii="宋体" w:hAnsi="宋体" w:eastAsia="宋体"/>
          <w:color w:val="000000"/>
          <w:sz w:val="24"/>
          <w:szCs w:val="24"/>
          <w:highlight w:val="none"/>
          <w:u w:val="single"/>
        </w:rPr>
        <w:t xml:space="preserve">         </w:t>
      </w:r>
    </w:p>
    <w:p>
      <w:pPr>
        <w:spacing w:line="384" w:lineRule="auto"/>
        <w:ind w:firstLine="520"/>
        <w:jc w:val="both"/>
        <w:rPr>
          <w:sz w:val="24"/>
          <w:szCs w:val="24"/>
          <w:highlight w:val="none"/>
        </w:rPr>
      </w:pPr>
      <w:r>
        <w:rPr>
          <w:rFonts w:hint="eastAsia" w:ascii="宋体" w:hAnsi="宋体" w:eastAsia="宋体"/>
          <w:color w:val="000000"/>
          <w:sz w:val="24"/>
          <w:szCs w:val="24"/>
          <w:highlight w:val="none"/>
        </w:rPr>
        <w:t>为了保护供需各方的合法权益，甲乙双方依照《中华人民共和国民法典》有关条款，就</w:t>
      </w:r>
      <w:r>
        <w:rPr>
          <w:rFonts w:hint="eastAsia" w:ascii="宋体" w:hAnsi="宋体"/>
          <w:color w:val="000000"/>
          <w:sz w:val="24"/>
          <w:szCs w:val="24"/>
          <w:highlight w:val="none"/>
          <w:u w:val="single"/>
          <w:lang w:val="en-US" w:eastAsia="zh-CN"/>
        </w:rPr>
        <w:t xml:space="preserve">          项目 </w:t>
      </w:r>
      <w:r>
        <w:rPr>
          <w:rFonts w:hint="eastAsia" w:ascii="宋体" w:hAnsi="宋体" w:eastAsia="宋体"/>
          <w:color w:val="000000"/>
          <w:sz w:val="24"/>
          <w:szCs w:val="24"/>
          <w:highlight w:val="none"/>
        </w:rPr>
        <w:t>（项目编号：</w:t>
      </w:r>
      <w:r>
        <w:rPr>
          <w:rFonts w:hint="eastAsia" w:ascii="宋体" w:hAnsi="宋体"/>
          <w:color w:val="000000"/>
          <w:sz w:val="24"/>
          <w:szCs w:val="24"/>
          <w:highlight w:val="none"/>
          <w:lang w:val="en-US" w:eastAsia="zh-CN"/>
        </w:rPr>
        <w:t xml:space="preserve">  </w:t>
      </w:r>
      <w:r>
        <w:rPr>
          <w:rFonts w:hint="eastAsia" w:ascii="宋体" w:hAnsi="宋体" w:eastAsia="宋体"/>
          <w:color w:val="000000"/>
          <w:sz w:val="24"/>
          <w:szCs w:val="24"/>
          <w:highlight w:val="none"/>
        </w:rPr>
        <w:t>）第</w:t>
      </w:r>
      <w:r>
        <w:rPr>
          <w:rFonts w:hint="eastAsia"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包中，乙方向甲方提供的供货及相关服务，经甲乙双方协商一致，签订本合同，共同遵守执行。</w:t>
      </w:r>
    </w:p>
    <w:p>
      <w:pPr>
        <w:spacing w:line="384" w:lineRule="auto"/>
        <w:ind w:firstLine="520"/>
        <w:jc w:val="both"/>
        <w:rPr>
          <w:sz w:val="24"/>
          <w:szCs w:val="24"/>
          <w:highlight w:val="none"/>
        </w:rPr>
      </w:pP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．合同货物清单</w:t>
      </w:r>
    </w:p>
    <w:tbl>
      <w:tblPr>
        <w:tblStyle w:val="23"/>
        <w:tblW w:w="9416"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649"/>
        <w:gridCol w:w="1754"/>
        <w:gridCol w:w="1350"/>
        <w:gridCol w:w="631"/>
        <w:gridCol w:w="596"/>
        <w:gridCol w:w="701"/>
        <w:gridCol w:w="1297"/>
        <w:gridCol w:w="1227"/>
        <w:gridCol w:w="1211"/>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919" w:hRule="atLeas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序号</w:t>
            </w:r>
          </w:p>
        </w:tc>
        <w:tc>
          <w:tcPr>
            <w:tcW w:w="1754"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货物名称</w:t>
            </w:r>
          </w:p>
        </w:tc>
        <w:tc>
          <w:tcPr>
            <w:tcW w:w="135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产地厂家</w:t>
            </w:r>
          </w:p>
        </w:tc>
        <w:tc>
          <w:tcPr>
            <w:tcW w:w="631" w:type="dxa"/>
            <w:tcBorders>
              <w:top w:val="single" w:color="000000" w:sz="4" w:space="0"/>
              <w:left w:val="single" w:color="000000" w:sz="4" w:space="0"/>
              <w:bottom w:val="single" w:color="000000" w:sz="4" w:space="0"/>
              <w:right w:val="single" w:color="000000" w:sz="4" w:space="0"/>
            </w:tcBorders>
            <w:vAlign w:val="center"/>
          </w:tcPr>
          <w:p>
            <w:pPr>
              <w:spacing w:line="384" w:lineRule="auto"/>
              <w:jc w:val="center"/>
              <w:rPr>
                <w:sz w:val="24"/>
                <w:szCs w:val="24"/>
                <w:highlight w:val="none"/>
              </w:rPr>
            </w:pPr>
            <w:r>
              <w:rPr>
                <w:rFonts w:hint="eastAsia" w:ascii="宋体" w:hAnsi="宋体" w:eastAsia="宋体"/>
                <w:color w:val="000000"/>
                <w:sz w:val="24"/>
                <w:szCs w:val="24"/>
                <w:highlight w:val="none"/>
              </w:rPr>
              <w:t>单位</w:t>
            </w:r>
          </w:p>
        </w:tc>
        <w:tc>
          <w:tcPr>
            <w:tcW w:w="596" w:type="dxa"/>
            <w:tcBorders>
              <w:top w:val="single" w:color="000000" w:sz="4" w:space="0"/>
              <w:left w:val="single" w:color="000000" w:sz="4" w:space="0"/>
              <w:bottom w:val="single" w:color="000000" w:sz="4" w:space="0"/>
              <w:right w:val="single" w:color="000000" w:sz="4" w:space="0"/>
            </w:tcBorders>
            <w:vAlign w:val="center"/>
          </w:tcPr>
          <w:p>
            <w:pPr>
              <w:spacing w:line="384" w:lineRule="auto"/>
              <w:jc w:val="center"/>
              <w:rPr>
                <w:sz w:val="24"/>
                <w:szCs w:val="24"/>
                <w:highlight w:val="none"/>
              </w:rPr>
            </w:pPr>
            <w:r>
              <w:rPr>
                <w:rFonts w:hint="eastAsia" w:ascii="宋体" w:hAnsi="宋体" w:eastAsia="宋体"/>
                <w:color w:val="000000"/>
                <w:sz w:val="24"/>
                <w:szCs w:val="24"/>
                <w:highlight w:val="none"/>
              </w:rPr>
              <w:t>数量</w:t>
            </w:r>
          </w:p>
        </w:tc>
        <w:tc>
          <w:tcPr>
            <w:tcW w:w="701"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规格型号</w:t>
            </w:r>
          </w:p>
        </w:tc>
        <w:tc>
          <w:tcPr>
            <w:tcW w:w="1297"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单价（元）</w:t>
            </w:r>
          </w:p>
        </w:tc>
        <w:tc>
          <w:tcPr>
            <w:tcW w:w="1227" w:type="dxa"/>
            <w:tcBorders>
              <w:top w:val="single" w:color="000000" w:sz="4" w:space="0"/>
              <w:left w:val="single" w:color="000000" w:sz="4" w:space="0"/>
              <w:bottom w:val="single" w:color="000000" w:sz="4" w:space="0"/>
              <w:right w:val="single" w:color="000000" w:sz="4" w:space="0"/>
            </w:tcBorders>
            <w:vAlign w:val="center"/>
          </w:tcPr>
          <w:p>
            <w:pPr>
              <w:spacing w:line="384" w:lineRule="auto"/>
              <w:jc w:val="center"/>
              <w:rPr>
                <w:sz w:val="24"/>
                <w:szCs w:val="24"/>
                <w:highlight w:val="none"/>
              </w:rPr>
            </w:pPr>
            <w:r>
              <w:rPr>
                <w:rFonts w:hint="eastAsia" w:ascii="宋体" w:hAnsi="宋体" w:eastAsia="宋体"/>
                <w:color w:val="000000"/>
                <w:sz w:val="24"/>
                <w:szCs w:val="24"/>
                <w:highlight w:val="none"/>
              </w:rPr>
              <w:t>小计（元）</w:t>
            </w:r>
          </w:p>
        </w:tc>
        <w:tc>
          <w:tcPr>
            <w:tcW w:w="1211" w:type="dxa"/>
            <w:tcBorders>
              <w:top w:val="single" w:color="000000" w:sz="4" w:space="0"/>
              <w:left w:val="single" w:color="000000" w:sz="4" w:space="0"/>
              <w:bottom w:val="single" w:color="000000" w:sz="4" w:space="0"/>
              <w:right w:val="single" w:color="000000" w:sz="4" w:space="0"/>
            </w:tcBorders>
            <w:vAlign w:val="center"/>
          </w:tcPr>
          <w:p>
            <w:pPr>
              <w:spacing w:line="384" w:lineRule="auto"/>
              <w:jc w:val="center"/>
              <w:rPr>
                <w:sz w:val="24"/>
                <w:szCs w:val="24"/>
                <w:highlight w:val="none"/>
              </w:rPr>
            </w:pPr>
            <w:r>
              <w:rPr>
                <w:rFonts w:hint="eastAsia" w:ascii="宋体" w:hAnsi="宋体" w:eastAsia="宋体"/>
                <w:color w:val="000000"/>
                <w:sz w:val="24"/>
                <w:szCs w:val="24"/>
                <w:highlight w:val="none"/>
              </w:rPr>
              <w:t>需求单位</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874" w:hRule="atLeas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spacing w:line="384" w:lineRule="auto"/>
              <w:jc w:val="center"/>
              <w:rPr>
                <w:rFonts w:hint="eastAsia" w:ascii="Calibri" w:hAnsi="Calibri" w:eastAsia="宋体"/>
                <w:color w:val="000000"/>
                <w:sz w:val="24"/>
                <w:szCs w:val="24"/>
                <w:highlight w:val="none"/>
                <w:lang w:val="en-US" w:eastAsia="zh-CN"/>
              </w:rPr>
            </w:pPr>
            <w:r>
              <w:rPr>
                <w:rFonts w:hint="eastAsia" w:ascii="Calibri" w:hAnsi="Calibri" w:eastAsia="宋体"/>
                <w:color w:val="000000"/>
                <w:sz w:val="24"/>
                <w:szCs w:val="24"/>
                <w:highlight w:val="none"/>
                <w:lang w:val="en-US" w:eastAsia="zh-CN"/>
              </w:rPr>
              <w:t>1</w:t>
            </w:r>
          </w:p>
        </w:tc>
        <w:tc>
          <w:tcPr>
            <w:tcW w:w="1754"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35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631"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596"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701"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297"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227"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211"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874" w:hRule="atLeas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spacing w:line="384" w:lineRule="auto"/>
              <w:jc w:val="center"/>
              <w:rPr>
                <w:rFonts w:hint="eastAsia" w:ascii="Calibri" w:hAnsi="Calibri" w:eastAsia="宋体"/>
                <w:color w:val="000000"/>
                <w:sz w:val="24"/>
                <w:szCs w:val="24"/>
                <w:highlight w:val="none"/>
                <w:lang w:val="en-US" w:eastAsia="zh-CN"/>
              </w:rPr>
            </w:pPr>
            <w:r>
              <w:rPr>
                <w:rFonts w:hint="eastAsia" w:ascii="Calibri" w:hAnsi="Calibri" w:eastAsia="宋体"/>
                <w:color w:val="000000"/>
                <w:sz w:val="24"/>
                <w:szCs w:val="24"/>
                <w:highlight w:val="none"/>
                <w:lang w:val="en-US" w:eastAsia="zh-CN"/>
              </w:rPr>
              <w:t>2</w:t>
            </w:r>
          </w:p>
        </w:tc>
        <w:tc>
          <w:tcPr>
            <w:tcW w:w="1754"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35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631"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596"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701"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297"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227"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211"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874" w:hRule="atLeas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spacing w:line="384" w:lineRule="auto"/>
              <w:jc w:val="center"/>
              <w:rPr>
                <w:rFonts w:hint="eastAsia" w:ascii="Calibri" w:hAnsi="Calibri" w:eastAsia="宋体"/>
                <w:color w:val="000000"/>
                <w:sz w:val="24"/>
                <w:szCs w:val="24"/>
                <w:highlight w:val="none"/>
                <w:lang w:val="en-US" w:eastAsia="zh-CN"/>
              </w:rPr>
            </w:pPr>
            <w:r>
              <w:rPr>
                <w:rFonts w:hint="eastAsia" w:ascii="Calibri" w:hAnsi="Calibri" w:eastAsia="宋体"/>
                <w:color w:val="000000"/>
                <w:sz w:val="24"/>
                <w:szCs w:val="24"/>
                <w:highlight w:val="none"/>
                <w:lang w:val="en-US" w:eastAsia="zh-CN"/>
              </w:rPr>
              <w:t>3</w:t>
            </w:r>
          </w:p>
        </w:tc>
        <w:tc>
          <w:tcPr>
            <w:tcW w:w="1754"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35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631"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596"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701"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297"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227"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211"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874" w:hRule="atLeast"/>
          <w:jc w:val="center"/>
        </w:trPr>
        <w:tc>
          <w:tcPr>
            <w:tcW w:w="649" w:type="dxa"/>
            <w:tcBorders>
              <w:top w:val="single" w:color="000000" w:sz="4" w:space="0"/>
              <w:left w:val="single" w:color="000000" w:sz="4" w:space="0"/>
              <w:bottom w:val="single" w:color="000000" w:sz="4" w:space="0"/>
              <w:right w:val="single" w:color="000000" w:sz="4" w:space="0"/>
            </w:tcBorders>
            <w:vAlign w:val="center"/>
          </w:tcPr>
          <w:p>
            <w:pPr>
              <w:spacing w:line="384" w:lineRule="auto"/>
              <w:jc w:val="center"/>
              <w:rPr>
                <w:rFonts w:hint="eastAsia" w:eastAsia="宋体"/>
                <w:sz w:val="24"/>
                <w:szCs w:val="24"/>
                <w:highlight w:val="none"/>
                <w:lang w:val="en-US" w:eastAsia="zh-CN"/>
              </w:rPr>
            </w:pPr>
            <w:r>
              <w:rPr>
                <w:rFonts w:hint="eastAsia"/>
                <w:sz w:val="24"/>
                <w:szCs w:val="24"/>
                <w:highlight w:val="none"/>
                <w:lang w:val="en-US" w:eastAsia="zh-CN"/>
              </w:rPr>
              <w:t>4</w:t>
            </w:r>
          </w:p>
        </w:tc>
        <w:tc>
          <w:tcPr>
            <w:tcW w:w="1754"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35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631"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596"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701"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297"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227"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211"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32" w:hRule="atLeast"/>
          <w:jc w:val="center"/>
        </w:trPr>
        <w:tc>
          <w:tcPr>
            <w:tcW w:w="9416" w:type="dxa"/>
            <w:gridSpan w:val="9"/>
            <w:tcBorders>
              <w:top w:val="single" w:color="000000" w:sz="4" w:space="0"/>
              <w:left w:val="single" w:color="000000" w:sz="4" w:space="0"/>
              <w:bottom w:val="single" w:color="000000" w:sz="4" w:space="0"/>
              <w:right w:val="single" w:color="000000" w:sz="4" w:space="0"/>
            </w:tcBorders>
            <w:vAlign w:val="center"/>
          </w:tcPr>
          <w:p>
            <w:pPr>
              <w:spacing w:line="384" w:lineRule="auto"/>
              <w:ind w:firstLine="0"/>
              <w:jc w:val="both"/>
              <w:rPr>
                <w:sz w:val="24"/>
                <w:szCs w:val="24"/>
                <w:highlight w:val="none"/>
              </w:rPr>
            </w:pPr>
            <w:r>
              <w:rPr>
                <w:rFonts w:hint="eastAsia" w:ascii="宋体" w:hAnsi="宋体" w:eastAsia="宋体"/>
                <w:color w:val="000000"/>
                <w:sz w:val="24"/>
                <w:szCs w:val="24"/>
                <w:highlight w:val="none"/>
              </w:rPr>
              <w:t>合计总价</w:t>
            </w:r>
            <w:r>
              <w:rPr>
                <w:rFonts w:hint="eastAsia" w:ascii="Calibri" w:hAnsi="Calibri" w:eastAsia="Calibri"/>
                <w:color w:val="000000"/>
                <w:sz w:val="24"/>
                <w:szCs w:val="24"/>
                <w:highlight w:val="none"/>
              </w:rPr>
              <w:t>RMB</w:t>
            </w:r>
            <w:r>
              <w:rPr>
                <w:rFonts w:hint="eastAsia" w:ascii="宋体" w:hAnsi="宋体" w:eastAsia="宋体"/>
                <w:color w:val="000000"/>
                <w:sz w:val="24"/>
                <w:szCs w:val="24"/>
                <w:highlight w:val="none"/>
              </w:rPr>
              <w:t>¥：   元</w:t>
            </w:r>
          </w:p>
        </w:tc>
      </w:tr>
    </w:tbl>
    <w:p>
      <w:pPr>
        <w:spacing w:line="384" w:lineRule="auto"/>
        <w:ind w:firstLine="520"/>
        <w:jc w:val="both"/>
        <w:rPr>
          <w:sz w:val="24"/>
          <w:szCs w:val="24"/>
          <w:highlight w:val="none"/>
        </w:rPr>
      </w:pP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．合同总价</w:t>
      </w:r>
    </w:p>
    <w:p>
      <w:pPr>
        <w:spacing w:line="384" w:lineRule="auto"/>
        <w:ind w:firstLine="520"/>
        <w:jc w:val="both"/>
        <w:rPr>
          <w:sz w:val="24"/>
          <w:szCs w:val="24"/>
          <w:highlight w:val="none"/>
        </w:rPr>
      </w:pPr>
      <w:r>
        <w:rPr>
          <w:rFonts w:hint="eastAsia" w:ascii="宋体" w:hAnsi="宋体" w:eastAsia="宋体"/>
          <w:color w:val="000000"/>
          <w:sz w:val="24"/>
          <w:szCs w:val="24"/>
          <w:highlight w:val="none"/>
        </w:rPr>
        <w:t>总价为人民币（大写）：</w:t>
      </w:r>
      <w:r>
        <w:rPr>
          <w:rFonts w:hint="eastAsia"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整，即</w:t>
      </w:r>
      <w:r>
        <w:rPr>
          <w:rFonts w:hint="eastAsia" w:ascii="Calibri" w:hAnsi="Calibri" w:eastAsia="Calibri"/>
          <w:color w:val="000000"/>
          <w:sz w:val="24"/>
          <w:szCs w:val="24"/>
          <w:highlight w:val="none"/>
        </w:rPr>
        <w:t>RMB</w:t>
      </w:r>
      <w:r>
        <w:rPr>
          <w:rFonts w:hint="eastAsia" w:ascii="宋体" w:hAnsi="宋体" w:eastAsia="宋体"/>
          <w:color w:val="000000"/>
          <w:sz w:val="24"/>
          <w:szCs w:val="24"/>
          <w:highlight w:val="none"/>
        </w:rPr>
        <w:t>¥：</w:t>
      </w:r>
      <w:r>
        <w:rPr>
          <w:rFonts w:hint="eastAsia"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元，合同总价包括货物的全部价款、税率及汇率的变化风险、包装、运输、装卸、安装、调试及出厂前验收、技术、指导、培训、咨询、服务、检测、保险、验收、交付、售后服务等全部费用，甲方不再另向乙方支付本合同规定之外的任何费用。本合同总价为固定不变价。</w:t>
      </w:r>
    </w:p>
    <w:p>
      <w:pPr>
        <w:spacing w:line="384" w:lineRule="auto"/>
        <w:ind w:firstLine="520"/>
        <w:jc w:val="both"/>
        <w:rPr>
          <w:sz w:val="24"/>
          <w:szCs w:val="24"/>
          <w:highlight w:val="none"/>
        </w:rPr>
      </w:pP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．合同组成</w:t>
      </w:r>
    </w:p>
    <w:p>
      <w:pPr>
        <w:spacing w:line="384" w:lineRule="auto"/>
        <w:ind w:firstLine="520"/>
        <w:jc w:val="both"/>
        <w:rPr>
          <w:sz w:val="24"/>
          <w:szCs w:val="24"/>
          <w:highlight w:val="none"/>
        </w:rPr>
      </w:pPr>
      <w:r>
        <w:rPr>
          <w:rFonts w:hint="eastAsia" w:ascii="宋体" w:hAnsi="宋体" w:eastAsia="宋体"/>
          <w:color w:val="000000"/>
          <w:sz w:val="24"/>
          <w:szCs w:val="24"/>
          <w:highlight w:val="none"/>
        </w:rPr>
        <w:t>技术规格、技术要求及其他有关货物的特定信息由合同附件说明。所有合同附件及本项目的报价文件、中标通知书、招标文件、投标文件、会议纪要、协议等均为本合同不可分割之部分。解释的顺序除特别说明外，以文件生成时间在后的为准。</w:t>
      </w:r>
    </w:p>
    <w:p>
      <w:pPr>
        <w:spacing w:line="384" w:lineRule="auto"/>
        <w:ind w:firstLine="520"/>
        <w:jc w:val="both"/>
        <w:rPr>
          <w:sz w:val="24"/>
          <w:szCs w:val="24"/>
          <w:highlight w:val="none"/>
        </w:rPr>
      </w:pPr>
      <w:r>
        <w:rPr>
          <w:rFonts w:hint="eastAsia" w:ascii="Calibri" w:hAnsi="Calibri" w:eastAsia="Calibri"/>
          <w:color w:val="000000"/>
          <w:sz w:val="24"/>
          <w:szCs w:val="24"/>
          <w:highlight w:val="none"/>
        </w:rPr>
        <w:t>4</w:t>
      </w:r>
      <w:r>
        <w:rPr>
          <w:rFonts w:hint="eastAsia" w:ascii="宋体" w:hAnsi="宋体" w:eastAsia="宋体"/>
          <w:color w:val="000000"/>
          <w:sz w:val="24"/>
          <w:szCs w:val="24"/>
          <w:highlight w:val="none"/>
        </w:rPr>
        <w:t>．技术要求</w:t>
      </w:r>
    </w:p>
    <w:p>
      <w:pPr>
        <w:spacing w:line="360" w:lineRule="auto"/>
        <w:ind w:firstLine="0"/>
        <w:jc w:val="both"/>
        <w:rPr>
          <w:sz w:val="24"/>
          <w:szCs w:val="24"/>
          <w:highlight w:val="none"/>
        </w:rPr>
      </w:pPr>
      <w:r>
        <w:rPr>
          <w:rFonts w:hint="eastAsia" w:ascii="Calibri" w:hAnsi="Calibri" w:eastAsia="Calibri"/>
          <w:color w:val="000000"/>
          <w:sz w:val="24"/>
          <w:szCs w:val="24"/>
          <w:highlight w:val="none"/>
        </w:rPr>
        <w:t>4</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 xml:space="preserve"> 乙方提供的货物必须符合中华人民共和国国家安全环保标准、国家有关产品质量认证标准，以及甲方采购文件和乙方投标文件中规定的质量要求和技术指标；甲乙双方如遇对质量要求和技术指标的约定标准有相互抵触或异议的事项，由甲方在采购与投标文件中按质量要求和技术指标比较优胜的原则确定该项的约定标准。如果中华人民共和国没有相关标准的，则采用货物来源国适用的官方标准。这些标准必须是相关国家或行业机构发布的最新版标准。</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4</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 xml:space="preserve"> 乙方保证提供的货物不侵犯任何第三方的专利、商标版权或其他知识产权。一旦出现任何第三方提出侵权指控，乙方必须与第三方交涉，并承担可能发生的一切责任与费用，如因此给甲方造成损失的，乙方负责全额赔偿。</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4</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 xml:space="preserve"> 进口底盘及设备必须具备有效的原产地证明、报关手续、商检部门的检验证明及合法进口渠道证明。</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4</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4</w:t>
      </w:r>
      <w:r>
        <w:rPr>
          <w:rFonts w:hint="eastAsia" w:ascii="宋体" w:hAnsi="宋体" w:eastAsia="宋体"/>
          <w:color w:val="000000"/>
          <w:sz w:val="24"/>
          <w:szCs w:val="24"/>
          <w:highlight w:val="none"/>
        </w:rPr>
        <w:t xml:space="preserve"> 合同货物上均应标有铭牌（内容包括：制造商、货物名称、型号规格、出厂日期等），并附有产品质量检验合格标志。</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．合同货物交货及验收</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交货期</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交货时间：合同签订之日起</w:t>
      </w:r>
      <w:r>
        <w:rPr>
          <w:rFonts w:hint="eastAsia"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日历天。</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交货地点：</w:t>
      </w:r>
    </w:p>
    <w:p>
      <w:pPr>
        <w:spacing w:line="360" w:lineRule="auto"/>
        <w:ind w:firstLine="1160"/>
        <w:jc w:val="both"/>
        <w:rPr>
          <w:sz w:val="24"/>
          <w:szCs w:val="24"/>
          <w:highlight w:val="none"/>
        </w:rPr>
      </w:pPr>
      <w:r>
        <w:rPr>
          <w:rFonts w:hint="eastAsia" w:ascii="宋体" w:hAnsi="宋体" w:eastAsia="宋体"/>
          <w:color w:val="000000"/>
          <w:sz w:val="24"/>
          <w:szCs w:val="24"/>
          <w:highlight w:val="none"/>
        </w:rPr>
        <w:t>甲方联系人：</w:t>
      </w:r>
      <w:r>
        <w:rPr>
          <w:rFonts w:hint="eastAsia"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联系电话：</w:t>
      </w:r>
      <w:r>
        <w:rPr>
          <w:rFonts w:hint="eastAsia" w:ascii="宋体" w:hAnsi="宋体" w:eastAsia="宋体"/>
          <w:color w:val="000000"/>
          <w:sz w:val="24"/>
          <w:szCs w:val="24"/>
          <w:highlight w:val="none"/>
          <w:u w:val="single"/>
        </w:rPr>
        <w:t xml:space="preserve">           </w:t>
      </w:r>
    </w:p>
    <w:p>
      <w:pPr>
        <w:spacing w:line="360" w:lineRule="auto"/>
        <w:ind w:firstLine="1160"/>
        <w:jc w:val="both"/>
        <w:rPr>
          <w:sz w:val="24"/>
          <w:szCs w:val="24"/>
          <w:highlight w:val="none"/>
        </w:rPr>
      </w:pPr>
      <w:r>
        <w:rPr>
          <w:rFonts w:hint="eastAsia" w:ascii="宋体" w:hAnsi="宋体" w:eastAsia="宋体"/>
          <w:color w:val="000000"/>
          <w:sz w:val="24"/>
          <w:szCs w:val="24"/>
          <w:highlight w:val="none"/>
        </w:rPr>
        <w:t>乙方联系人：</w:t>
      </w:r>
      <w:r>
        <w:rPr>
          <w:rFonts w:hint="eastAsia"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联系电话：</w:t>
      </w:r>
      <w:r>
        <w:rPr>
          <w:rFonts w:hint="eastAsia" w:ascii="宋体" w:hAnsi="宋体" w:eastAsia="宋体"/>
          <w:color w:val="000000"/>
          <w:sz w:val="24"/>
          <w:szCs w:val="24"/>
          <w:highlight w:val="none"/>
          <w:u w:val="single"/>
        </w:rPr>
        <w:t xml:space="preserve">   </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．货物验收</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乙方交付的车辆（整车）应为已取得中华人民共和国工业和信息化部发布的对应车型《道路机动车辆生产企业及产品公告》的合格产品；所交付车辆已取得办理车辆产权（含上牌）所必需的一切手续资料，应符合现行国家专用汽车的相关要求，否则，甲方有权按照投标人虚假投标处理，解除合同、扣除履约保证金，收回预付款，拉入企业黑名单，并向上级部门上报相关情况；其它未尽事宜，按国家有关法律、法规执行；同时，乙方向甲方递交验收申请书；货物到达甲方指定地点，乙方应自行完成安装调试工作，货物安装调试完成后</w:t>
      </w:r>
      <w:r>
        <w:rPr>
          <w:rFonts w:hint="eastAsia"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个工作日内，甲乙双方共同进行验收，验收合格后双方签订验收调试合格报告书一式</w:t>
      </w: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份。</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货物验收时，乙方必须向甲方验收小组提供货物发票、合格证及相关检测证明资料，并同时向甲方设立的维修中心提供</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套完整的操作、维修技术资料，包括整车操作使用说明书及光盘（中文）、底盘使用说明书及光盘（中文）、整车操作维修手册（中文）、底盘操作维修手册（中文）等。</w:t>
      </w:r>
    </w:p>
    <w:p>
      <w:pPr>
        <w:spacing w:line="360" w:lineRule="auto"/>
        <w:ind w:firstLine="0"/>
        <w:jc w:val="both"/>
        <w:rPr>
          <w:sz w:val="24"/>
          <w:szCs w:val="24"/>
          <w:highlight w:val="none"/>
        </w:rPr>
      </w:pP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验收按国家有关的规定、规范进行。验收时如发现所交付的货物有短装、次品、损坏或其它不符合本合同规定之情形者，甲方应做出详尽的现场记录，或由甲乙双方签署备忘录。此现场记录或备忘录可用作补充、缺失和更换损坏部件的有效证据。由此产生的有关费用由乙方承担，验收期限相应后延。</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4</w:t>
      </w:r>
      <w:r>
        <w:rPr>
          <w:rFonts w:hint="eastAsia" w:ascii="宋体" w:hAnsi="宋体" w:eastAsia="宋体"/>
          <w:color w:val="000000"/>
          <w:sz w:val="24"/>
          <w:szCs w:val="24"/>
          <w:highlight w:val="none"/>
        </w:rPr>
        <w:t>货物在运输和安装调试过程中发生短缺、损坏，乙方应及时安排换装，所需费用由乙方承担。</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乙方交货时应将货物的配置清单、用户手册、保修手册、原厂保修卡、产品合格证、资料及配件、随车工具、进口货物的商检证明、合法进口渠道证明、设计三视图等资料交付给甲方：乙方为执行本合同而提供的技术资料（具体内容见本合同</w:t>
      </w: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条）、软件的使用权归甲方所有。乙方不能完整交付货物及本款规定的资料和工具的，视为未按合同约定交货，乙方必须负责补齐，因此导致逾期交付的，由乙方承担相关的违约责任。</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货物到达交货地点之前的所有保险费用和派往甲方进行服务人员的人身险和其他有关险种，以及有关费用由乙方负责。</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4</w:t>
      </w:r>
      <w:r>
        <w:rPr>
          <w:rFonts w:hint="eastAsia" w:ascii="宋体" w:hAnsi="宋体" w:eastAsia="宋体"/>
          <w:color w:val="000000"/>
          <w:sz w:val="24"/>
          <w:szCs w:val="24"/>
          <w:highlight w:val="none"/>
        </w:rPr>
        <w:t>底盘进场后，甲方安排技术骨干驻厂监督（期间，人员食宿费自理）。监造过程中如发现有车辆主要部件性能不达标、质量差并经国家检测部门检测不符合国家或行业标准等问题拒不改正的，采购方有权终止合同，并按相关法律规定有权向上级主管机构举报，列入本系统消防车招标采购项目黑名单。</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甲方有正当理由拒收货物或者解除合同的，货物毁损、丢失的风险由乙方承担。</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．质量保证及售后服务</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乙方保证货物是通过合法渠道进货、全新且未使用过的，所有权权属无任何瑕疵（即不存在抵押或其他可能影响货物所有权属事宜），其质量、规格及技术特征要符合本合同及合同第</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条所包括的资料的要求。</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以书面形式提供货物原厂家承诺的质量保证。</w:t>
      </w:r>
    </w:p>
    <w:p>
      <w:pPr>
        <w:spacing w:line="360" w:lineRule="auto"/>
        <w:ind w:firstLine="480"/>
        <w:jc w:val="both"/>
        <w:rPr>
          <w:sz w:val="24"/>
          <w:szCs w:val="24"/>
          <w:highlight w:val="none"/>
        </w:rPr>
      </w:pPr>
      <w:r>
        <w:rPr>
          <w:rFonts w:hint="eastAsia" w:ascii="宋体" w:hAnsi="宋体" w:eastAsia="宋体"/>
          <w:color w:val="000000"/>
          <w:sz w:val="24"/>
          <w:szCs w:val="24"/>
          <w:highlight w:val="none"/>
        </w:rPr>
        <w:t>乙方及货物原厂家应保证车辆在正常行驶状况下的安全性，而无安全隐患。乙方及货物原厂家应保证车辆在保修期内，所有《产品说明书》或《产品使用书》所载明的安全装置都处在有效的使用状态。</w:t>
      </w:r>
    </w:p>
    <w:p>
      <w:pPr>
        <w:spacing w:line="360" w:lineRule="auto"/>
        <w:ind w:firstLine="480"/>
        <w:jc w:val="both"/>
        <w:rPr>
          <w:sz w:val="24"/>
          <w:szCs w:val="24"/>
          <w:highlight w:val="none"/>
        </w:rPr>
      </w:pPr>
      <w:r>
        <w:rPr>
          <w:rFonts w:hint="eastAsia" w:ascii="宋体" w:hAnsi="宋体" w:eastAsia="宋体"/>
          <w:color w:val="000000"/>
          <w:sz w:val="24"/>
          <w:szCs w:val="24"/>
          <w:highlight w:val="none"/>
        </w:rPr>
        <w:t>乙方提供整车（含车内和改装设备）不少于</w:t>
      </w:r>
      <w:r>
        <w:rPr>
          <w:rFonts w:hint="eastAsia"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年的质保服务（与投标文件承诺一致），质保期自甲乙双方代表在货物交付后的验收合格报告书上签字之日起计算（如果乙方投标承诺或生产制造厂家提供的质保期超过本款要求，按乙方投标承诺或生产制造厂家的质保期执行），首保费用由中标人承担。</w:t>
      </w:r>
    </w:p>
    <w:p>
      <w:pPr>
        <w:spacing w:line="384" w:lineRule="auto"/>
        <w:ind w:firstLine="480"/>
        <w:jc w:val="both"/>
        <w:rPr>
          <w:sz w:val="24"/>
          <w:szCs w:val="24"/>
          <w:highlight w:val="none"/>
        </w:rPr>
      </w:pPr>
      <w:r>
        <w:rPr>
          <w:rFonts w:hint="eastAsia" w:ascii="宋体" w:hAnsi="宋体" w:eastAsia="宋体"/>
          <w:color w:val="000000"/>
          <w:sz w:val="24"/>
          <w:szCs w:val="24"/>
          <w:highlight w:val="none"/>
        </w:rPr>
        <w:t>质保期内非甲方的人为原因而出现货物质量及安装问题，由乙方负责包修、包换或包退，并承担因此而产生的一切费用。乙方应在收到甲方通知后派员在</w:t>
      </w:r>
    </w:p>
    <w:p>
      <w:pPr>
        <w:spacing w:line="384" w:lineRule="auto"/>
        <w:ind w:firstLine="0"/>
        <w:jc w:val="both"/>
        <w:rPr>
          <w:sz w:val="24"/>
          <w:szCs w:val="24"/>
          <w:highlight w:val="none"/>
        </w:rPr>
      </w:pPr>
      <w:r>
        <w:rPr>
          <w:rFonts w:hint="eastAsia"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小时内到现场维修。质保期后，由乙方提供</w:t>
      </w:r>
      <w:r>
        <w:rPr>
          <w:rFonts w:hint="eastAsia"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的免费保修服务，保修费用计入合同总价，乙方只收取材料费。</w:t>
      </w:r>
    </w:p>
    <w:p>
      <w:pPr>
        <w:spacing w:line="384" w:lineRule="auto"/>
        <w:ind w:firstLine="480"/>
        <w:jc w:val="both"/>
        <w:rPr>
          <w:sz w:val="24"/>
          <w:szCs w:val="24"/>
          <w:highlight w:val="none"/>
        </w:rPr>
      </w:pPr>
      <w:r>
        <w:rPr>
          <w:rFonts w:hint="eastAsia" w:ascii="宋体" w:hAnsi="宋体" w:eastAsia="宋体"/>
          <w:color w:val="000000"/>
          <w:sz w:val="24"/>
          <w:szCs w:val="24"/>
          <w:highlight w:val="none"/>
        </w:rPr>
        <w:t>如有下列情况之一乙方不负责免费保修：</w:t>
      </w:r>
    </w:p>
    <w:p>
      <w:pPr>
        <w:spacing w:line="384" w:lineRule="auto"/>
        <w:ind w:firstLine="480"/>
        <w:jc w:val="both"/>
        <w:rPr>
          <w:sz w:val="24"/>
          <w:szCs w:val="24"/>
          <w:highlight w:val="none"/>
        </w:rPr>
      </w:pP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）甲方不按照乙方提供的正确方法使用而引致货物故障损坏；</w:t>
      </w:r>
    </w:p>
    <w:p>
      <w:pPr>
        <w:spacing w:line="384" w:lineRule="auto"/>
        <w:ind w:firstLine="480"/>
        <w:jc w:val="both"/>
        <w:rPr>
          <w:sz w:val="24"/>
          <w:szCs w:val="24"/>
          <w:highlight w:val="none"/>
        </w:rPr>
      </w:pP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）甲方擅自改装货物：</w:t>
      </w:r>
    </w:p>
    <w:p>
      <w:pPr>
        <w:spacing w:line="384" w:lineRule="auto"/>
        <w:ind w:firstLine="480"/>
        <w:jc w:val="both"/>
        <w:rPr>
          <w:sz w:val="24"/>
          <w:szCs w:val="24"/>
          <w:highlight w:val="none"/>
        </w:rPr>
      </w:pP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）各种不可抗力事件造成的损坏。</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货物交付使用后，仍需以书面形式承诺维修服务，实行终身维护：在质保期内，乙方必须提供至少</w:t>
      </w:r>
      <w:r>
        <w:rPr>
          <w:rFonts w:hint="eastAsia"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次免费上门维保服务（与投标文件承诺一致），乙方必须提供</w:t>
      </w:r>
      <w:r>
        <w:rPr>
          <w:rFonts w:hint="eastAsia" w:ascii="Calibri" w:hAnsi="Calibri" w:eastAsia="Calibri"/>
          <w:color w:val="000000"/>
          <w:sz w:val="24"/>
          <w:szCs w:val="24"/>
          <w:highlight w:val="none"/>
        </w:rPr>
        <w:t>24</w:t>
      </w:r>
      <w:r>
        <w:rPr>
          <w:rFonts w:hint="eastAsia" w:ascii="宋体" w:hAnsi="宋体" w:eastAsia="宋体"/>
          <w:color w:val="000000"/>
          <w:sz w:val="24"/>
          <w:szCs w:val="24"/>
          <w:highlight w:val="none"/>
        </w:rPr>
        <w:t>小时电话服务热线，保证在接到甲方故障报告电话后</w:t>
      </w:r>
      <w:r>
        <w:rPr>
          <w:rFonts w:hint="eastAsia"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小时内到达现场。</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保修期内，乙方负责对其提供的全部货物进行维修和维护，不再向甲方收取费用，但自然因素（如火灾、雷击等）造成的故障除外。货物厂家因货物发生质量问题需要成批召回维修的，乙方应及时通知甲方并积极协助办理有关手续，一切费用由乙方承担。</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所有货物保修服务方式均为乙方上门保修，即由乙方派员到甲方货物使用现场维修，由此产生的一切费用均由乙方承担。</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保修期内，乙方应负责货物运行的稳定性。</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4</w:t>
      </w:r>
      <w:r>
        <w:rPr>
          <w:rFonts w:hint="eastAsia" w:ascii="宋体" w:hAnsi="宋体" w:eastAsia="宋体"/>
          <w:color w:val="000000"/>
          <w:sz w:val="24"/>
          <w:szCs w:val="24"/>
          <w:highlight w:val="none"/>
        </w:rPr>
        <w:t>乙方应于验收后向甲方提供项目各项详细验收报告、技术文档的归纳、整理、提交。并提供完整的硬件技术资料。</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技术文件：包括验收报告、技术文档、完整的软、硬件技术资料（含纸介质和光电介质），进口货物必须提供中文说明书。</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如甲方向乙方单独订购配件，乙方应按照投标（中标）文件中所约定的比例进行优惠。</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4</w:t>
      </w:r>
      <w:r>
        <w:rPr>
          <w:rFonts w:hint="eastAsia" w:ascii="宋体" w:hAnsi="宋体" w:eastAsia="宋体"/>
          <w:color w:val="000000"/>
          <w:sz w:val="24"/>
          <w:szCs w:val="24"/>
          <w:highlight w:val="none"/>
        </w:rPr>
        <w:t>乙方应建立质量跟踪档案，每季度不少于一次向甲方进行现场（或电话）回访，以保证货物的正常高效使用，并以售后服务情况记录及甲方使用单位的反馈意见作为质量保证金退还凭证。如乙方已与甲方设立的维修中心签订了售后服务协议，乙方至少每半年与维修中心开展一次技术交流活动，并采取派人现场培训或入厂培训的方式对维修中心员工进行技术培训。</w:t>
      </w:r>
    </w:p>
    <w:p>
      <w:pPr>
        <w:spacing w:line="360" w:lineRule="auto"/>
        <w:ind w:firstLine="480" w:firstLineChars="20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依据法律规定或直观观察等日常使用情况能够直接确认的事实，可以直接作为判断是否有质量问题的依据，无需鉴定；确需鉴定的，以国家消防装备质量监督检验中心出具的书面鉴定意见为准。货物符合质量标准的，鉴定费用由甲方承担；货物不符合质量标准的，鉴定费用由乙方承担，并且甲方有权追究乙方的责任。</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乙方为甲方免费提供操作及维护培训，主要内容为货物的基本结构、性能、主要部件的构造及原理，日常使用操作、保养与管理，常见故障的排除，紧急情况的处理等，培训地点主要在货物安装现场或按甲乙双方协商安排。</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车辆控制面板的软件应用中，后期涉及所有更新换代及升级问题，乙方不得向甲方收取任何相关费用，终身免费升级维护。</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7</w:t>
      </w:r>
      <w:r>
        <w:rPr>
          <w:rFonts w:hint="eastAsia" w:ascii="宋体" w:hAnsi="宋体" w:eastAsia="宋体"/>
          <w:color w:val="000000"/>
          <w:sz w:val="24"/>
          <w:szCs w:val="24"/>
          <w:highlight w:val="none"/>
        </w:rPr>
        <w:t>针对本标包产品（货物），甲方有权采取驻厂监督、随机送检、到货验收等方式全程监督货物质量。存在质量问题，拒不改正的，甲方有权单方解除合同，并依法追究乙方商违约责任。</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8</w:t>
      </w:r>
      <w:r>
        <w:rPr>
          <w:rFonts w:hint="eastAsia" w:ascii="宋体" w:hAnsi="宋体" w:eastAsia="宋体"/>
          <w:color w:val="000000"/>
          <w:sz w:val="24"/>
          <w:szCs w:val="24"/>
          <w:highlight w:val="none"/>
        </w:rPr>
        <w:t>货物送达合同约定地点后，乙方书面向采购方递交验收申请，双方共同参与验收。必要时，甲方有权邀请参加本项目的评标专家或者第三方机构参与验收。对验收结果有争议的，可以委托国家相关机构质量检验，产生费用由过错方承担。</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9</w:t>
      </w:r>
      <w:r>
        <w:rPr>
          <w:rFonts w:hint="eastAsia" w:ascii="宋体" w:hAnsi="宋体" w:eastAsia="宋体"/>
          <w:color w:val="000000"/>
          <w:sz w:val="24"/>
          <w:szCs w:val="24"/>
          <w:highlight w:val="none"/>
        </w:rPr>
        <w:t>乙方在批量生产前需提供详尽设计图纸及生产实施方案，待甲方确认后方可生产。样品或抽样送检费用由乙方承担，不计入中标合同数量及金额。质保期内乙方应到甲方开展技术巡检和售后服务。</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10</w:t>
      </w:r>
      <w:r>
        <w:rPr>
          <w:rFonts w:hint="eastAsia" w:ascii="宋体" w:hAnsi="宋体" w:eastAsia="宋体"/>
          <w:color w:val="000000"/>
          <w:sz w:val="24"/>
          <w:szCs w:val="24"/>
          <w:highlight w:val="none"/>
        </w:rPr>
        <w:t>在发出信息、通知</w:t>
      </w:r>
      <w:r>
        <w:rPr>
          <w:rFonts w:hint="eastAsia"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日内没有收到回复，视为对方收到信息、通知。</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7</w:t>
      </w:r>
      <w:r>
        <w:rPr>
          <w:rFonts w:hint="eastAsia" w:ascii="宋体" w:hAnsi="宋体" w:eastAsia="宋体"/>
          <w:color w:val="000000"/>
          <w:sz w:val="24"/>
          <w:szCs w:val="24"/>
          <w:highlight w:val="none"/>
        </w:rPr>
        <w:t>．付款方式</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7</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cs="宋体"/>
          <w:color w:val="auto"/>
          <w:sz w:val="24"/>
          <w:szCs w:val="24"/>
          <w:highlight w:val="none"/>
          <w:lang w:eastAsia="zh-CN"/>
        </w:rPr>
        <w:t>在</w:t>
      </w:r>
      <w:r>
        <w:rPr>
          <w:rFonts w:hint="eastAsia" w:ascii="宋体" w:hAnsi="宋体" w:eastAsia="宋体" w:cs="宋体"/>
          <w:color w:val="auto"/>
          <w:sz w:val="24"/>
          <w:szCs w:val="24"/>
          <w:highlight w:val="none"/>
        </w:rPr>
        <w:t>合同签订之</w:t>
      </w:r>
      <w:r>
        <w:rPr>
          <w:rFonts w:hint="eastAsia" w:ascii="宋体" w:hAnsi="宋体" w:cs="宋体"/>
          <w:color w:val="auto"/>
          <w:sz w:val="24"/>
          <w:szCs w:val="24"/>
          <w:highlight w:val="none"/>
          <w:lang w:eastAsia="zh-CN"/>
        </w:rPr>
        <w:t>前</w:t>
      </w:r>
      <w:r>
        <w:rPr>
          <w:rFonts w:hint="eastAsia" w:ascii="宋体" w:hAnsi="宋体" w:eastAsia="宋体" w:cs="宋体"/>
          <w:color w:val="auto"/>
          <w:sz w:val="24"/>
          <w:szCs w:val="24"/>
          <w:highlight w:val="none"/>
        </w:rPr>
        <w:t>，乙方向甲方提供合同总金额5%的履约保证金</w:t>
      </w:r>
      <w:r>
        <w:rPr>
          <w:rFonts w:hint="eastAsia" w:ascii="宋体" w:hAnsi="宋体" w:eastAsia="宋体"/>
          <w:color w:val="000000"/>
          <w:sz w:val="24"/>
          <w:szCs w:val="24"/>
          <w:highlight w:val="none"/>
        </w:rPr>
        <w:t>（履约保证金期限届满后</w:t>
      </w:r>
      <w:r>
        <w:rPr>
          <w:rFonts w:hint="eastAsia" w:ascii="Calibri" w:hAnsi="Calibri" w:eastAsia="Calibri"/>
          <w:color w:val="000000"/>
          <w:sz w:val="24"/>
          <w:szCs w:val="24"/>
          <w:highlight w:val="none"/>
        </w:rPr>
        <w:t>60</w:t>
      </w:r>
      <w:r>
        <w:rPr>
          <w:rFonts w:hint="eastAsia" w:ascii="宋体" w:hAnsi="宋体" w:eastAsia="宋体"/>
          <w:color w:val="000000"/>
          <w:sz w:val="24"/>
          <w:szCs w:val="24"/>
          <w:highlight w:val="none"/>
        </w:rPr>
        <w:t xml:space="preserve">日内向乙方退还）。同时乙方先向甲方提供合同金额 </w:t>
      </w:r>
      <w:r>
        <w:rPr>
          <w:rFonts w:hint="eastAsia" w:ascii="Calibri" w:hAnsi="Calibri" w:eastAsia="Calibri"/>
          <w:color w:val="000000"/>
          <w:sz w:val="24"/>
          <w:szCs w:val="24"/>
          <w:highlight w:val="none"/>
        </w:rPr>
        <w:t>30</w:t>
      </w:r>
      <w:r>
        <w:rPr>
          <w:rFonts w:hint="eastAsia" w:ascii="宋体" w:hAnsi="宋体" w:eastAsia="宋体"/>
          <w:color w:val="000000"/>
          <w:sz w:val="24"/>
          <w:szCs w:val="24"/>
          <w:highlight w:val="none"/>
        </w:rPr>
        <w:t xml:space="preserve">％的预付款银行保函（乙方提供的保函须为具有开保函资格和所属额度的信誉良好的地市级以上的国有或股份制商业银行分行或支行开具的独立保函，预付款银行保函有效期大于供货期 </w:t>
      </w:r>
      <w:r>
        <w:rPr>
          <w:rFonts w:hint="eastAsia" w:ascii="Calibri" w:hAnsi="Calibri" w:eastAsia="Calibri"/>
          <w:color w:val="000000"/>
          <w:sz w:val="24"/>
          <w:szCs w:val="24"/>
          <w:highlight w:val="none"/>
        </w:rPr>
        <w:t>30</w:t>
      </w:r>
      <w:r>
        <w:rPr>
          <w:rFonts w:hint="eastAsia" w:ascii="宋体" w:hAnsi="宋体" w:eastAsia="宋体"/>
          <w:color w:val="000000"/>
          <w:sz w:val="24"/>
          <w:szCs w:val="24"/>
          <w:highlight w:val="none"/>
        </w:rPr>
        <w:t xml:space="preserve">日历天以上，如乙方延期供货的，预付款保函有限期应相应的延长），甲方向乙方支付合同总金额 </w:t>
      </w:r>
      <w:r>
        <w:rPr>
          <w:rFonts w:hint="eastAsia" w:ascii="Calibri" w:hAnsi="Calibri" w:eastAsia="Calibri"/>
          <w:color w:val="000000"/>
          <w:sz w:val="24"/>
          <w:szCs w:val="24"/>
          <w:highlight w:val="none"/>
        </w:rPr>
        <w:t>30</w:t>
      </w:r>
      <w:r>
        <w:rPr>
          <w:rFonts w:hint="eastAsia" w:ascii="宋体" w:hAnsi="宋体" w:eastAsia="宋体"/>
          <w:color w:val="000000"/>
          <w:sz w:val="24"/>
          <w:szCs w:val="24"/>
          <w:highlight w:val="none"/>
        </w:rPr>
        <w:t>％的预付款。车辆验收合格后，乙方向甲方提交车辆资料（产品出厂合格证、工信部公告、中文产品使用说明书、电子文档产品使用说明书、检验报告和货物有关配件等）及车辆质量验收报告及意见反馈单。经审核后，乙方向甲方提供审定金额全额发票后</w:t>
      </w:r>
      <w:r>
        <w:rPr>
          <w:rFonts w:hint="eastAsia" w:ascii="Calibri" w:hAnsi="Calibri" w:eastAsia="Calibri"/>
          <w:color w:val="000000"/>
          <w:sz w:val="24"/>
          <w:szCs w:val="24"/>
          <w:highlight w:val="none"/>
        </w:rPr>
        <w:t>60</w:t>
      </w:r>
      <w:r>
        <w:rPr>
          <w:rFonts w:hint="eastAsia" w:ascii="宋体" w:hAnsi="宋体" w:eastAsia="宋体"/>
          <w:color w:val="000000"/>
          <w:sz w:val="24"/>
          <w:szCs w:val="24"/>
          <w:highlight w:val="none"/>
        </w:rPr>
        <w:t>日历天内，甲方向乙方支付全部货款。质保期内乙方应到产品使用单位，开展技术巡检和售后服务。</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7</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履约保证金的提交形式：转账及法律法规规定的其他形式。</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7</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 xml:space="preserve"> 如乙方采用保函形式缴纳履约保证金的，则乙方提供的保函须为具有开保函资格和所属额度的信誉良好的地市级以上的国有或股份制商业银行分行或支行开具的独立保函，该保函需载明：（</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）见索即付：（</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收到采购人法定代表人或授权委托代理人签字确认并加盖公章的书面索赔通知后即应不争辩、不挑剔、不可撤销地向采购人支付索赔款，直至最高担保金额。（如乙方提供的保函未载明前述内容的，甲方可直接拒收该保函，乙方应以银行转账或其他能切实发挥履约担保作用的方式提供履约保证金）。</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7</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 xml:space="preserve"> 履约保证金（履约保函等）期限：提交之日起至验收合格之日起的第</w:t>
      </w:r>
      <w:r>
        <w:rPr>
          <w:rFonts w:hint="eastAsia" w:ascii="Calibri" w:hAnsi="Calibri" w:eastAsia="Calibri"/>
          <w:color w:val="000000"/>
          <w:sz w:val="24"/>
          <w:szCs w:val="24"/>
          <w:highlight w:val="none"/>
        </w:rPr>
        <w:t>366</w:t>
      </w:r>
      <w:r>
        <w:rPr>
          <w:rFonts w:hint="eastAsia" w:ascii="宋体" w:hAnsi="宋体" w:eastAsia="宋体"/>
          <w:color w:val="000000"/>
          <w:sz w:val="24"/>
          <w:szCs w:val="24"/>
          <w:highlight w:val="none"/>
        </w:rPr>
        <w:t>天止。</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7</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 xml:space="preserve"> 无论履约保证金、独立保函是否退还，采购人或采购人用户随时都有权对由中标人生产的尚未使用且在质量保证期内的产品发生的质量问题向乙方主张索赔。</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8</w:t>
      </w:r>
      <w:r>
        <w:rPr>
          <w:rFonts w:hint="eastAsia" w:ascii="宋体" w:hAnsi="宋体" w:eastAsia="宋体"/>
          <w:color w:val="000000"/>
          <w:sz w:val="24"/>
          <w:szCs w:val="24"/>
          <w:highlight w:val="none"/>
        </w:rPr>
        <w:t>．保密条款</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8</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未事先得到甲方书面同意，乙方不得将涉及货物的任何保密资料透露或以其他方式提供给合同以外的其他方或乙方内部与本合同无关的任何人员，乙方不得对保密信息进行拷贝或抄写。</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8</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乙方在合同履行期间知悉的甲方秘密（包括业务信息在内），同样负有保密责任。</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8</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乙方的保密责任不因合同的终止而终止，保密期限：永久（除非甲方将有关信息向社会公开）。</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9</w:t>
      </w:r>
      <w:r>
        <w:rPr>
          <w:rFonts w:hint="eastAsia" w:ascii="宋体" w:hAnsi="宋体" w:eastAsia="宋体"/>
          <w:color w:val="000000"/>
          <w:sz w:val="24"/>
          <w:szCs w:val="24"/>
          <w:highlight w:val="none"/>
        </w:rPr>
        <w:t>．不可抗力</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9</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不可抗力指战争、严重火灾、洪水、台风、地震等或其它双方认定的不可抗力事件。无法克服的技术因素不属于不可抗力范围。</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9</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进口货物或附属设备及备品、备件由于出口国限制出口导致不能供货、政策变化等原因导致本采购项目不能继续实施，不属于不可抗力范围。</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9</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由于不可抗力导致本合同不能履行的，双方均不需承担违约责任。但如系因违约而遇上不可抗力，违约方不得以不可抗力为由进行抗辩，违约方仍应按本合同约定执行。</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10．</w:t>
      </w:r>
      <w:r>
        <w:rPr>
          <w:rFonts w:hint="eastAsia" w:ascii="宋体" w:hAnsi="宋体" w:eastAsia="宋体"/>
          <w:color w:val="000000"/>
          <w:sz w:val="24"/>
          <w:szCs w:val="24"/>
          <w:highlight w:val="none"/>
        </w:rPr>
        <w:t>索赔</w:t>
      </w:r>
    </w:p>
    <w:p>
      <w:pPr>
        <w:spacing w:line="360" w:lineRule="auto"/>
        <w:ind w:firstLine="480"/>
        <w:jc w:val="both"/>
        <w:rPr>
          <w:sz w:val="24"/>
          <w:szCs w:val="24"/>
          <w:highlight w:val="none"/>
        </w:rPr>
      </w:pPr>
      <w:r>
        <w:rPr>
          <w:rFonts w:hint="eastAsia" w:ascii="Calibri" w:hAnsi="Calibri" w:eastAsia="Calibri"/>
          <w:color w:val="000000"/>
          <w:sz w:val="24"/>
          <w:szCs w:val="24"/>
          <w:highlight w:val="none"/>
        </w:rPr>
        <w:t>10</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货物经两次验收仍不合格的，甲方将根据国家消防装备质量监督检验中心的检验结果向乙方提出索赔或乙方同意甲方选择下列一种或多种方式解决：</w:t>
      </w:r>
    </w:p>
    <w:p>
      <w:pPr>
        <w:spacing w:line="384" w:lineRule="auto"/>
        <w:ind w:firstLine="480" w:firstLineChars="200"/>
        <w:jc w:val="both"/>
        <w:rPr>
          <w:sz w:val="24"/>
          <w:szCs w:val="24"/>
          <w:highlight w:val="none"/>
        </w:rPr>
      </w:pP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）甲方拒收货物，乙方按合同规定的同种货币将货款退还给甲方，并承担由此发生的一切损失和费用。</w:t>
      </w:r>
    </w:p>
    <w:p>
      <w:pPr>
        <w:spacing w:line="384" w:lineRule="auto"/>
        <w:ind w:firstLine="480"/>
        <w:jc w:val="both"/>
        <w:rPr>
          <w:sz w:val="24"/>
          <w:szCs w:val="24"/>
          <w:highlight w:val="none"/>
        </w:rPr>
      </w:pP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用符合规格、质量和性能要求的新零件、部件或货物来更换有缺陷的部分或修补缺陷的部分，乙方应承担一切费用和风险并赔偿甲方的一切直接损失和费用。同时，相应延长被更换零件、部件或货物的质量保证期。</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10</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货物验收不合格，甲方按照</w:t>
      </w:r>
      <w:r>
        <w:rPr>
          <w:rFonts w:hint="eastAsia" w:ascii="Calibri" w:hAnsi="Calibri" w:eastAsia="Calibri"/>
          <w:color w:val="000000"/>
          <w:sz w:val="24"/>
          <w:szCs w:val="24"/>
          <w:highlight w:val="none"/>
        </w:rPr>
        <w:t>10</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条款履行权利后，有权单方面解除合同。</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10</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如果在甲方发出索赔通知后</w:t>
      </w:r>
      <w:r>
        <w:rPr>
          <w:rFonts w:hint="eastAsia" w:ascii="Calibri" w:hAnsi="Calibri" w:eastAsia="Calibri"/>
          <w:color w:val="000000"/>
          <w:sz w:val="24"/>
          <w:szCs w:val="24"/>
          <w:highlight w:val="none"/>
        </w:rPr>
        <w:t>30</w:t>
      </w:r>
      <w:r>
        <w:rPr>
          <w:rFonts w:hint="eastAsia" w:ascii="宋体" w:hAnsi="宋体" w:eastAsia="宋体"/>
          <w:color w:val="000000"/>
          <w:sz w:val="24"/>
          <w:szCs w:val="24"/>
          <w:highlight w:val="none"/>
        </w:rPr>
        <w:t>天内，乙方未作答复，索赔应视为已被乙方接受。甲方将有权从合同款或从乙方的履约保证金中优先扣除索赔金额。若不足以赔偿索赔金额的，不足部分由乙方另行赔偿。</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11</w:t>
      </w:r>
      <w:r>
        <w:rPr>
          <w:rFonts w:hint="eastAsia" w:ascii="宋体" w:hAnsi="宋体" w:eastAsia="宋体"/>
          <w:color w:val="000000"/>
          <w:sz w:val="24"/>
          <w:szCs w:val="24"/>
          <w:highlight w:val="none"/>
        </w:rPr>
        <w:t>．违约责任</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11</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甲方无正当理由拒收货物的，甲方向乙方偿付货款总值</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％的违约金。</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11</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乙方不能按期交付货物的，乙方每日向甲方支付货款总值</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‰的违约金。非不可抗力，延期交货超过</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个月的，甲方可以单方解除合同，若违约金不足以弥补损失的，由乙方继续承担全部损失。并扣除全部履约保证金。</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11</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乙方所交货物品牌、型号、规格、产地及制造商、质量不符合合同约定标准的，甲方有权拒收。</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11</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4</w:t>
      </w:r>
      <w:r>
        <w:rPr>
          <w:rFonts w:hint="eastAsia" w:ascii="宋体" w:hAnsi="宋体" w:eastAsia="宋体"/>
          <w:color w:val="000000"/>
          <w:sz w:val="24"/>
          <w:szCs w:val="24"/>
          <w:highlight w:val="none"/>
        </w:rPr>
        <w:t>因货物质量问题发生争议的，由国家消防装备质量检验中心质量鉴定，该鉴定结论是终局的，甲乙双方均应当接受，发生的相关费用由责任方承担。</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11</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因验收不合格需要更换同规格的货物时，货物更换完成时间晚于交货时间的视为逾期交货。</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12</w:t>
      </w:r>
      <w:r>
        <w:rPr>
          <w:rFonts w:hint="eastAsia" w:ascii="宋体" w:hAnsi="宋体" w:eastAsia="宋体"/>
          <w:color w:val="000000"/>
          <w:sz w:val="24"/>
          <w:szCs w:val="24"/>
          <w:highlight w:val="none"/>
        </w:rPr>
        <w:t>．合同解除和终止</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12</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如果一方严重违反合同，并在收到对方违约通知书后在</w:t>
      </w:r>
      <w:r>
        <w:rPr>
          <w:rFonts w:hint="eastAsia" w:ascii="Calibri" w:hAnsi="Calibri" w:eastAsia="Calibri"/>
          <w:color w:val="000000"/>
          <w:sz w:val="24"/>
          <w:szCs w:val="24"/>
          <w:highlight w:val="none"/>
        </w:rPr>
        <w:t>30</w:t>
      </w:r>
      <w:r>
        <w:rPr>
          <w:rFonts w:hint="eastAsia" w:ascii="宋体" w:hAnsi="宋体" w:eastAsia="宋体"/>
          <w:color w:val="000000"/>
          <w:sz w:val="24"/>
          <w:szCs w:val="24"/>
          <w:highlight w:val="none"/>
        </w:rPr>
        <w:t>天内仍未能改正违约行为的，另一方可立即解除本合同。</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12</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本合同履行完毕，自然终止。</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13</w:t>
      </w:r>
      <w:r>
        <w:rPr>
          <w:rFonts w:hint="eastAsia" w:ascii="宋体" w:hAnsi="宋体" w:eastAsia="宋体"/>
          <w:color w:val="000000"/>
          <w:sz w:val="24"/>
          <w:szCs w:val="24"/>
          <w:highlight w:val="none"/>
        </w:rPr>
        <w:t>．法律诉讼</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13</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凡与本合同有关的一切争议，甲乙双方应首先通过友好协商解决：如经协商后仍不能达成协议时，双方同意采取</w:t>
      </w:r>
      <w:r>
        <w:rPr>
          <w:rFonts w:hint="eastAsia" w:ascii="Calibri" w:hAnsi="Calibri" w:eastAsia="Calibri"/>
          <w:color w:val="000000"/>
          <w:sz w:val="24"/>
          <w:szCs w:val="24"/>
          <w:highlight w:val="none"/>
          <w:u w:val="single"/>
        </w:rPr>
        <w:t>13</w:t>
      </w:r>
      <w:r>
        <w:rPr>
          <w:rFonts w:hint="eastAsia" w:ascii="宋体" w:hAnsi="宋体" w:eastAsia="宋体"/>
          <w:color w:val="000000"/>
          <w:sz w:val="24"/>
          <w:szCs w:val="24"/>
          <w:highlight w:val="none"/>
          <w:u w:val="single"/>
        </w:rPr>
        <w:t>.</w:t>
      </w:r>
      <w:r>
        <w:rPr>
          <w:rFonts w:hint="eastAsia" w:ascii="Calibri" w:hAnsi="Calibri" w:eastAsia="Calibri"/>
          <w:color w:val="000000"/>
          <w:sz w:val="24"/>
          <w:szCs w:val="24"/>
          <w:highlight w:val="none"/>
          <w:u w:val="single"/>
        </w:rPr>
        <w:t>1</w:t>
      </w:r>
      <w:r>
        <w:rPr>
          <w:rFonts w:hint="eastAsia" w:ascii="宋体" w:hAnsi="宋体" w:eastAsia="宋体"/>
          <w:color w:val="000000"/>
          <w:sz w:val="24"/>
          <w:szCs w:val="24"/>
          <w:highlight w:val="none"/>
          <w:u w:val="single"/>
        </w:rPr>
        <w:t>.</w:t>
      </w:r>
      <w:r>
        <w:rPr>
          <w:rFonts w:hint="eastAsia" w:ascii="Calibri" w:hAnsi="Calibri" w:eastAsia="Calibri"/>
          <w:color w:val="000000"/>
          <w:sz w:val="24"/>
          <w:szCs w:val="24"/>
          <w:highlight w:val="none"/>
          <w:u w:val="single"/>
        </w:rPr>
        <w:t>2</w:t>
      </w:r>
      <w:r>
        <w:rPr>
          <w:rFonts w:hint="eastAsia" w:ascii="宋体" w:hAnsi="宋体" w:eastAsia="宋体"/>
          <w:color w:val="000000"/>
          <w:sz w:val="24"/>
          <w:szCs w:val="24"/>
          <w:highlight w:val="none"/>
        </w:rPr>
        <w:t>条款约定方式解决：</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13</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向</w:t>
      </w:r>
      <w:r>
        <w:rPr>
          <w:rFonts w:hint="eastAsia" w:ascii="宋体" w:hAnsi="宋体" w:eastAsia="宋体"/>
          <w:color w:val="000000"/>
          <w:sz w:val="24"/>
          <w:szCs w:val="24"/>
          <w:highlight w:val="none"/>
          <w:u w:val="single"/>
        </w:rPr>
        <w:t xml:space="preserve">  ／  </w:t>
      </w:r>
      <w:r>
        <w:rPr>
          <w:rFonts w:hint="eastAsia" w:ascii="宋体" w:hAnsi="宋体" w:eastAsia="宋体"/>
          <w:color w:val="000000"/>
          <w:sz w:val="24"/>
          <w:szCs w:val="24"/>
          <w:highlight w:val="none"/>
        </w:rPr>
        <w:t>仲裁委员会申请仲裁：</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13</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向甲方所在地法院提出诉讼。</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13</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在仲裁或诉讼期间，除有争议部分的事项外，合同其他部分仍应继续履行。</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13</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甲乙双方共同确认，本合同中所列明的联系地址及电话，视为双方在履行本合同中及发生争议时，各类文书（包括法律文书）的送达地址。</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14．</w:t>
      </w:r>
      <w:r>
        <w:rPr>
          <w:rFonts w:hint="eastAsia" w:ascii="宋体" w:hAnsi="宋体" w:eastAsia="宋体"/>
          <w:color w:val="000000"/>
          <w:sz w:val="24"/>
          <w:szCs w:val="24"/>
          <w:highlight w:val="none"/>
        </w:rPr>
        <w:t>其他</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14</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本合同一式</w:t>
      </w:r>
      <w:r>
        <w:rPr>
          <w:rFonts w:hint="eastAsia" w:ascii="宋体" w:hAnsi="宋体" w:eastAsia="宋体"/>
          <w:color w:val="000000"/>
          <w:sz w:val="24"/>
          <w:szCs w:val="24"/>
          <w:highlight w:val="none"/>
          <w:u w:val="single"/>
        </w:rPr>
        <w:t>肆</w:t>
      </w:r>
      <w:r>
        <w:rPr>
          <w:rFonts w:hint="eastAsia" w:ascii="宋体" w:hAnsi="宋体" w:eastAsia="宋体"/>
          <w:color w:val="000000"/>
          <w:sz w:val="24"/>
          <w:szCs w:val="24"/>
          <w:highlight w:val="none"/>
        </w:rPr>
        <w:t>份，均为正本，具有同等法律效力，甲方</w:t>
      </w:r>
      <w:r>
        <w:rPr>
          <w:rFonts w:hint="eastAsia" w:ascii="宋体" w:hAnsi="宋体" w:eastAsia="宋体"/>
          <w:color w:val="000000"/>
          <w:sz w:val="24"/>
          <w:szCs w:val="24"/>
          <w:highlight w:val="none"/>
          <w:u w:val="single"/>
        </w:rPr>
        <w:t>叁</w:t>
      </w:r>
      <w:r>
        <w:rPr>
          <w:rFonts w:hint="eastAsia" w:ascii="宋体" w:hAnsi="宋体" w:eastAsia="宋体"/>
          <w:color w:val="000000"/>
          <w:sz w:val="24"/>
          <w:szCs w:val="24"/>
          <w:highlight w:val="none"/>
        </w:rPr>
        <w:t>份，乙方</w:t>
      </w:r>
      <w:r>
        <w:rPr>
          <w:rFonts w:hint="eastAsia" w:ascii="宋体" w:hAnsi="宋体" w:eastAsia="宋体"/>
          <w:color w:val="000000"/>
          <w:sz w:val="24"/>
          <w:szCs w:val="24"/>
          <w:highlight w:val="none"/>
          <w:u w:val="single"/>
        </w:rPr>
        <w:t>壹</w:t>
      </w:r>
      <w:r>
        <w:rPr>
          <w:rFonts w:hint="eastAsia" w:ascii="宋体" w:hAnsi="宋体" w:eastAsia="宋体"/>
          <w:color w:val="000000"/>
          <w:sz w:val="24"/>
          <w:szCs w:val="24"/>
          <w:highlight w:val="none"/>
        </w:rPr>
        <w:t>份。合同自双方法人代表或授权代表签字并加盖合同专用章或公章之日起生效。合同生效日期以最后一个签字日期为准。</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14</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乙方不得部分或全部转让其应履行的合同项下义务。合同履行期间，发生特殊情况时，任何一方需变更本合同的，要求变更一方应及时书面通知对方，征得对方同意后，双方签订书面变更协议，该协议将成为合同不可分割的部分。未经双方签署书面文件，任何一方无权变更本合同，否则，由此造成对方的经济损失，由责任方承担。</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14</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合同附件包括：</w:t>
      </w:r>
    </w:p>
    <w:p>
      <w:pPr>
        <w:spacing w:line="384" w:lineRule="auto"/>
        <w:ind w:firstLine="480"/>
        <w:jc w:val="both"/>
        <w:rPr>
          <w:sz w:val="24"/>
          <w:szCs w:val="24"/>
          <w:highlight w:val="none"/>
        </w:rPr>
      </w:pPr>
      <w:r>
        <w:rPr>
          <w:rFonts w:hint="eastAsia" w:ascii="宋体" w:hAnsi="宋体" w:eastAsia="宋体"/>
          <w:color w:val="000000"/>
          <w:sz w:val="24"/>
          <w:szCs w:val="24"/>
          <w:highlight w:val="none"/>
        </w:rPr>
        <w:t>附件</w:t>
      </w: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：投标一览表；</w:t>
      </w:r>
    </w:p>
    <w:p>
      <w:pPr>
        <w:spacing w:line="384" w:lineRule="auto"/>
        <w:ind w:firstLine="480"/>
        <w:jc w:val="both"/>
        <w:rPr>
          <w:sz w:val="24"/>
          <w:szCs w:val="24"/>
          <w:highlight w:val="none"/>
        </w:rPr>
      </w:pPr>
      <w:r>
        <w:rPr>
          <w:rFonts w:hint="eastAsia" w:ascii="宋体" w:hAnsi="宋体" w:eastAsia="宋体"/>
          <w:color w:val="000000"/>
          <w:sz w:val="24"/>
          <w:szCs w:val="24"/>
          <w:highlight w:val="none"/>
        </w:rPr>
        <w:t>附件</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：投标分项报价：</w:t>
      </w:r>
      <w:r>
        <w:rPr>
          <w:rFonts w:hint="eastAsia" w:ascii="Calibri" w:hAnsi="Calibri" w:eastAsia="Calibri"/>
          <w:color w:val="000000"/>
          <w:sz w:val="24"/>
          <w:szCs w:val="24"/>
          <w:highlight w:val="none"/>
        </w:rPr>
        <w:t xml:space="preserve">                       I</w:t>
      </w:r>
    </w:p>
    <w:p>
      <w:pPr>
        <w:spacing w:line="384" w:lineRule="auto"/>
        <w:ind w:firstLine="480"/>
        <w:jc w:val="both"/>
        <w:rPr>
          <w:sz w:val="24"/>
          <w:szCs w:val="24"/>
          <w:highlight w:val="none"/>
        </w:rPr>
      </w:pPr>
      <w:r>
        <w:rPr>
          <w:rFonts w:hint="eastAsia" w:ascii="宋体" w:hAnsi="宋体" w:eastAsia="宋体"/>
          <w:color w:val="000000"/>
          <w:sz w:val="24"/>
          <w:szCs w:val="24"/>
          <w:highlight w:val="none"/>
        </w:rPr>
        <w:t>附件</w:t>
      </w:r>
      <w:r>
        <w:rPr>
          <w:rFonts w:hint="eastAsia" w:ascii="Calibri" w:hAnsi="Calibri" w:eastAsia="Calibri"/>
          <w:color w:val="000000"/>
          <w:sz w:val="24"/>
          <w:szCs w:val="24"/>
          <w:highlight w:val="none"/>
        </w:rPr>
        <w:t>3</w:t>
      </w:r>
      <w:r>
        <w:rPr>
          <w:rFonts w:hint="eastAsia" w:ascii="宋体" w:hAnsi="宋体" w:eastAsia="宋体"/>
          <w:color w:val="000000"/>
          <w:sz w:val="24"/>
          <w:szCs w:val="24"/>
          <w:highlight w:val="none"/>
        </w:rPr>
        <w:t>：技术规格偏离表：</w:t>
      </w:r>
    </w:p>
    <w:p>
      <w:pPr>
        <w:spacing w:line="384" w:lineRule="auto"/>
        <w:ind w:firstLine="480"/>
        <w:jc w:val="both"/>
        <w:rPr>
          <w:sz w:val="24"/>
          <w:szCs w:val="24"/>
          <w:highlight w:val="none"/>
        </w:rPr>
      </w:pPr>
      <w:r>
        <w:rPr>
          <w:rFonts w:hint="eastAsia" w:ascii="宋体" w:hAnsi="宋体" w:eastAsia="宋体"/>
          <w:color w:val="000000"/>
          <w:sz w:val="24"/>
          <w:szCs w:val="24"/>
          <w:highlight w:val="none"/>
        </w:rPr>
        <w:t>附件</w:t>
      </w:r>
      <w:r>
        <w:rPr>
          <w:rFonts w:hint="eastAsia" w:ascii="Calibri" w:hAnsi="Calibri" w:eastAsia="Calibri"/>
          <w:color w:val="000000"/>
          <w:sz w:val="24"/>
          <w:szCs w:val="24"/>
          <w:highlight w:val="none"/>
        </w:rPr>
        <w:t>4</w:t>
      </w:r>
      <w:r>
        <w:rPr>
          <w:rFonts w:hint="eastAsia" w:ascii="宋体" w:hAnsi="宋体" w:eastAsia="宋体"/>
          <w:color w:val="000000"/>
          <w:sz w:val="24"/>
          <w:szCs w:val="24"/>
          <w:highlight w:val="none"/>
        </w:rPr>
        <w:t>：技术规格及供货范围：</w:t>
      </w:r>
    </w:p>
    <w:p>
      <w:pPr>
        <w:spacing w:line="384" w:lineRule="auto"/>
        <w:ind w:firstLine="480"/>
        <w:jc w:val="both"/>
        <w:rPr>
          <w:sz w:val="24"/>
          <w:szCs w:val="24"/>
          <w:highlight w:val="none"/>
        </w:rPr>
      </w:pPr>
      <w:r>
        <w:rPr>
          <w:rFonts w:hint="eastAsia" w:ascii="宋体" w:hAnsi="宋体" w:eastAsia="宋体"/>
          <w:color w:val="000000"/>
          <w:sz w:val="24"/>
          <w:szCs w:val="24"/>
          <w:highlight w:val="none"/>
        </w:rPr>
        <w:t>附件</w:t>
      </w:r>
      <w:r>
        <w:rPr>
          <w:rFonts w:hint="eastAsia" w:ascii="Calibri" w:hAnsi="Calibri" w:eastAsia="Calibri"/>
          <w:color w:val="000000"/>
          <w:sz w:val="24"/>
          <w:szCs w:val="24"/>
          <w:highlight w:val="none"/>
        </w:rPr>
        <w:t>5</w:t>
      </w:r>
      <w:r>
        <w:rPr>
          <w:rFonts w:hint="eastAsia" w:ascii="宋体" w:hAnsi="宋体" w:eastAsia="宋体"/>
          <w:color w:val="000000"/>
          <w:sz w:val="24"/>
          <w:szCs w:val="24"/>
          <w:highlight w:val="none"/>
        </w:rPr>
        <w:t>：技术文件（包括图纸、手册等）；</w:t>
      </w:r>
    </w:p>
    <w:p>
      <w:pPr>
        <w:spacing w:line="384" w:lineRule="auto"/>
        <w:ind w:firstLine="480"/>
        <w:jc w:val="both"/>
        <w:rPr>
          <w:sz w:val="24"/>
          <w:szCs w:val="24"/>
          <w:highlight w:val="none"/>
        </w:rPr>
      </w:pPr>
      <w:r>
        <w:rPr>
          <w:rFonts w:hint="eastAsia" w:ascii="宋体" w:hAnsi="宋体" w:eastAsia="宋体"/>
          <w:color w:val="000000"/>
          <w:sz w:val="24"/>
          <w:szCs w:val="24"/>
          <w:highlight w:val="none"/>
        </w:rPr>
        <w:t>附件</w:t>
      </w:r>
      <w:r>
        <w:rPr>
          <w:rFonts w:hint="eastAsia" w:ascii="Calibri" w:hAnsi="Calibri" w:eastAsia="Calibri"/>
          <w:color w:val="000000"/>
          <w:sz w:val="24"/>
          <w:szCs w:val="24"/>
          <w:highlight w:val="none"/>
        </w:rPr>
        <w:t>6</w:t>
      </w:r>
      <w:r>
        <w:rPr>
          <w:rFonts w:hint="eastAsia" w:ascii="宋体" w:hAnsi="宋体" w:eastAsia="宋体"/>
          <w:color w:val="000000"/>
          <w:sz w:val="24"/>
          <w:szCs w:val="24"/>
          <w:highlight w:val="none"/>
        </w:rPr>
        <w:t>：售后服务条款（同投标文件内容一致）；</w:t>
      </w:r>
    </w:p>
    <w:p>
      <w:pPr>
        <w:spacing w:line="384" w:lineRule="auto"/>
        <w:ind w:firstLine="480"/>
        <w:jc w:val="both"/>
        <w:rPr>
          <w:sz w:val="24"/>
          <w:szCs w:val="24"/>
          <w:highlight w:val="none"/>
        </w:rPr>
      </w:pPr>
      <w:r>
        <w:rPr>
          <w:rFonts w:hint="eastAsia" w:ascii="宋体" w:hAnsi="宋体" w:eastAsia="宋体"/>
          <w:color w:val="000000"/>
          <w:sz w:val="24"/>
          <w:szCs w:val="24"/>
          <w:highlight w:val="none"/>
        </w:rPr>
        <w:t>附件</w:t>
      </w:r>
      <w:r>
        <w:rPr>
          <w:rFonts w:hint="eastAsia" w:ascii="Calibri" w:hAnsi="Calibri" w:eastAsia="Calibri"/>
          <w:color w:val="000000"/>
          <w:sz w:val="24"/>
          <w:szCs w:val="24"/>
          <w:highlight w:val="none"/>
        </w:rPr>
        <w:t>7</w:t>
      </w:r>
      <w:r>
        <w:rPr>
          <w:rFonts w:hint="eastAsia" w:ascii="宋体" w:hAnsi="宋体" w:eastAsia="宋体"/>
          <w:color w:val="000000"/>
          <w:sz w:val="24"/>
          <w:szCs w:val="24"/>
          <w:highlight w:val="none"/>
        </w:rPr>
        <w:t>：合同最后一页请附中标通知书复印件；</w:t>
      </w:r>
    </w:p>
    <w:p>
      <w:pPr>
        <w:spacing w:line="384" w:lineRule="auto"/>
        <w:ind w:firstLine="480"/>
        <w:jc w:val="both"/>
        <w:rPr>
          <w:sz w:val="24"/>
          <w:szCs w:val="24"/>
          <w:highlight w:val="none"/>
        </w:rPr>
      </w:pPr>
      <w:r>
        <w:rPr>
          <w:rFonts w:hint="eastAsia" w:ascii="宋体" w:hAnsi="宋体" w:eastAsia="宋体"/>
          <w:color w:val="000000"/>
          <w:sz w:val="24"/>
          <w:szCs w:val="24"/>
          <w:highlight w:val="none"/>
        </w:rPr>
        <w:t>附件</w:t>
      </w:r>
      <w:r>
        <w:rPr>
          <w:rFonts w:hint="eastAsia" w:ascii="Calibri" w:hAnsi="Calibri" w:eastAsia="Calibri"/>
          <w:color w:val="000000"/>
          <w:sz w:val="24"/>
          <w:szCs w:val="24"/>
          <w:highlight w:val="none"/>
        </w:rPr>
        <w:t>8</w:t>
      </w:r>
      <w:r>
        <w:rPr>
          <w:rFonts w:hint="eastAsia" w:ascii="宋体" w:hAnsi="宋体" w:eastAsia="宋体"/>
          <w:color w:val="000000"/>
          <w:sz w:val="24"/>
          <w:szCs w:val="24"/>
          <w:highlight w:val="none"/>
        </w:rPr>
        <w:t>：零配件清单报价表。</w:t>
      </w:r>
    </w:p>
    <w:p>
      <w:pPr>
        <w:spacing w:line="384" w:lineRule="auto"/>
        <w:ind w:firstLine="480"/>
        <w:jc w:val="both"/>
        <w:rPr>
          <w:sz w:val="24"/>
          <w:szCs w:val="24"/>
          <w:highlight w:val="none"/>
        </w:rPr>
      </w:pPr>
      <w:r>
        <w:rPr>
          <w:rFonts w:hint="eastAsia" w:ascii="Calibri" w:hAnsi="Calibri" w:eastAsia="Calibri"/>
          <w:color w:val="000000"/>
          <w:sz w:val="24"/>
          <w:szCs w:val="24"/>
          <w:highlight w:val="none"/>
        </w:rPr>
        <w:t>14</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4</w:t>
      </w:r>
      <w:r>
        <w:rPr>
          <w:rFonts w:hint="eastAsia" w:ascii="宋体" w:hAnsi="宋体" w:eastAsia="宋体"/>
          <w:color w:val="000000"/>
          <w:sz w:val="24"/>
          <w:szCs w:val="24"/>
          <w:highlight w:val="none"/>
        </w:rPr>
        <w:t>货物的技术规格、性能指标、培训计划及售后服务方案等以招投标文件为依据。本合同中未尽事宜，由双方协商处理。</w:t>
      </w:r>
    </w:p>
    <w:p>
      <w:pPr>
        <w:spacing w:line="360" w:lineRule="auto"/>
        <w:ind w:firstLine="480"/>
        <w:jc w:val="both"/>
        <w:rPr>
          <w:sz w:val="24"/>
          <w:szCs w:val="24"/>
          <w:highlight w:val="none"/>
        </w:rPr>
      </w:pPr>
    </w:p>
    <w:p>
      <w:pPr>
        <w:spacing w:line="384" w:lineRule="auto"/>
        <w:ind w:firstLine="480"/>
        <w:jc w:val="both"/>
        <w:rPr>
          <w:sz w:val="24"/>
          <w:szCs w:val="24"/>
          <w:highlight w:val="none"/>
        </w:rPr>
      </w:pPr>
    </w:p>
    <w:p>
      <w:pPr>
        <w:spacing w:line="384" w:lineRule="auto"/>
        <w:ind w:firstLine="480"/>
        <w:jc w:val="both"/>
        <w:rPr>
          <w:sz w:val="24"/>
          <w:szCs w:val="24"/>
          <w:highlight w:val="none"/>
        </w:rPr>
      </w:pPr>
    </w:p>
    <w:p>
      <w:pPr>
        <w:spacing w:line="384" w:lineRule="auto"/>
        <w:ind w:firstLine="480"/>
        <w:jc w:val="both"/>
        <w:rPr>
          <w:sz w:val="24"/>
          <w:szCs w:val="24"/>
          <w:highlight w:val="none"/>
        </w:rPr>
      </w:pPr>
    </w:p>
    <w:p>
      <w:pPr>
        <w:spacing w:line="384" w:lineRule="auto"/>
        <w:ind w:firstLine="480"/>
        <w:jc w:val="both"/>
        <w:rPr>
          <w:sz w:val="24"/>
          <w:szCs w:val="24"/>
          <w:highlight w:val="none"/>
        </w:rPr>
      </w:pPr>
    </w:p>
    <w:p>
      <w:pPr>
        <w:spacing w:line="384" w:lineRule="auto"/>
        <w:ind w:firstLine="480"/>
        <w:jc w:val="both"/>
        <w:rPr>
          <w:sz w:val="24"/>
          <w:szCs w:val="24"/>
          <w:highlight w:val="none"/>
        </w:rPr>
      </w:pPr>
    </w:p>
    <w:p>
      <w:pPr>
        <w:spacing w:line="384" w:lineRule="auto"/>
        <w:ind w:firstLine="480"/>
        <w:jc w:val="both"/>
        <w:rPr>
          <w:sz w:val="24"/>
          <w:szCs w:val="24"/>
          <w:highlight w:val="none"/>
        </w:rPr>
      </w:pPr>
    </w:p>
    <w:p>
      <w:pPr>
        <w:spacing w:line="384" w:lineRule="auto"/>
        <w:ind w:firstLine="480"/>
        <w:jc w:val="both"/>
        <w:rPr>
          <w:sz w:val="24"/>
          <w:szCs w:val="24"/>
          <w:highlight w:val="none"/>
        </w:rPr>
      </w:pPr>
    </w:p>
    <w:p>
      <w:pPr>
        <w:spacing w:line="384" w:lineRule="auto"/>
        <w:ind w:firstLine="480"/>
        <w:jc w:val="both"/>
        <w:rPr>
          <w:sz w:val="24"/>
          <w:szCs w:val="24"/>
          <w:highlight w:val="none"/>
        </w:rPr>
      </w:pPr>
    </w:p>
    <w:p>
      <w:pPr>
        <w:spacing w:line="384" w:lineRule="auto"/>
        <w:ind w:firstLine="480"/>
        <w:jc w:val="both"/>
        <w:rPr>
          <w:sz w:val="24"/>
          <w:szCs w:val="24"/>
          <w:highlight w:val="none"/>
        </w:rPr>
      </w:pPr>
    </w:p>
    <w:p>
      <w:pPr>
        <w:spacing w:line="384" w:lineRule="auto"/>
        <w:ind w:firstLine="480"/>
        <w:jc w:val="both"/>
        <w:rPr>
          <w:sz w:val="24"/>
          <w:szCs w:val="24"/>
          <w:highlight w:val="none"/>
        </w:rPr>
      </w:pPr>
    </w:p>
    <w:p>
      <w:pPr>
        <w:spacing w:line="384" w:lineRule="auto"/>
        <w:jc w:val="both"/>
        <w:rPr>
          <w:sz w:val="24"/>
          <w:szCs w:val="24"/>
          <w:highlight w:val="none"/>
        </w:rPr>
      </w:pPr>
    </w:p>
    <w:p>
      <w:pPr>
        <w:spacing w:line="360" w:lineRule="auto"/>
        <w:ind w:firstLine="480"/>
        <w:jc w:val="both"/>
        <w:rPr>
          <w:sz w:val="24"/>
          <w:szCs w:val="24"/>
          <w:highlight w:val="none"/>
        </w:rPr>
      </w:pPr>
    </w:p>
    <w:p>
      <w:pPr>
        <w:rPr>
          <w:rFonts w:hint="eastAsia" w:ascii="宋体" w:cs="宋体"/>
          <w:color w:val="auto"/>
          <w:kern w:val="0"/>
          <w:sz w:val="24"/>
          <w:szCs w:val="24"/>
          <w:highlight w:val="none"/>
        </w:rPr>
      </w:pPr>
      <w:r>
        <w:rPr>
          <w:rFonts w:hint="eastAsia" w:ascii="宋体" w:cs="宋体"/>
          <w:color w:val="auto"/>
          <w:kern w:val="0"/>
          <w:sz w:val="24"/>
          <w:szCs w:val="24"/>
          <w:highlight w:val="none"/>
        </w:rPr>
        <w:t>（本页为签署页）</w:t>
      </w:r>
    </w:p>
    <w:tbl>
      <w:tblPr>
        <w:tblStyle w:val="23"/>
        <w:tblW w:w="8659" w:type="dxa"/>
        <w:tblInd w:w="0" w:type="dxa"/>
        <w:tblLayout w:type="fixed"/>
        <w:tblCellMar>
          <w:top w:w="0" w:type="dxa"/>
          <w:left w:w="108" w:type="dxa"/>
          <w:bottom w:w="0" w:type="dxa"/>
          <w:right w:w="108" w:type="dxa"/>
        </w:tblCellMar>
      </w:tblPr>
      <w:tblGrid>
        <w:gridCol w:w="4001"/>
        <w:gridCol w:w="4658"/>
      </w:tblGrid>
      <w:tr>
        <w:tblPrEx>
          <w:tblCellMar>
            <w:top w:w="0" w:type="dxa"/>
            <w:left w:w="108" w:type="dxa"/>
            <w:bottom w:w="0" w:type="dxa"/>
            <w:right w:w="108" w:type="dxa"/>
          </w:tblCellMar>
        </w:tblPrEx>
        <w:trPr>
          <w:trHeight w:val="996" w:hRule="atLeast"/>
        </w:trPr>
        <w:tc>
          <w:tcPr>
            <w:tcW w:w="4001"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甲  方（盖章）：   </w:t>
            </w:r>
          </w:p>
        </w:tc>
        <w:tc>
          <w:tcPr>
            <w:tcW w:w="4658"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乙  方（盖章）：</w:t>
            </w:r>
            <w:r>
              <w:rPr>
                <w:rFonts w:ascii="宋体" w:hAnsi="宋体" w:cs="宋体"/>
                <w:color w:val="auto"/>
                <w:kern w:val="0"/>
                <w:sz w:val="24"/>
                <w:szCs w:val="24"/>
                <w:highlight w:val="none"/>
              </w:rPr>
              <w:t xml:space="preserve"> </w:t>
            </w:r>
          </w:p>
        </w:tc>
      </w:tr>
      <w:tr>
        <w:tblPrEx>
          <w:tblCellMar>
            <w:top w:w="0" w:type="dxa"/>
            <w:left w:w="108" w:type="dxa"/>
            <w:bottom w:w="0" w:type="dxa"/>
            <w:right w:w="108" w:type="dxa"/>
          </w:tblCellMar>
        </w:tblPrEx>
        <w:trPr>
          <w:trHeight w:val="996" w:hRule="atLeast"/>
        </w:trPr>
        <w:tc>
          <w:tcPr>
            <w:tcW w:w="4001"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法定代表人（签字）： </w:t>
            </w:r>
          </w:p>
        </w:tc>
        <w:tc>
          <w:tcPr>
            <w:tcW w:w="4658"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法定代表人（签字或盖章）： </w:t>
            </w:r>
          </w:p>
        </w:tc>
      </w:tr>
      <w:tr>
        <w:tblPrEx>
          <w:tblCellMar>
            <w:top w:w="0" w:type="dxa"/>
            <w:left w:w="108" w:type="dxa"/>
            <w:bottom w:w="0" w:type="dxa"/>
            <w:right w:w="108" w:type="dxa"/>
          </w:tblCellMar>
        </w:tblPrEx>
        <w:trPr>
          <w:trHeight w:val="996" w:hRule="atLeast"/>
        </w:trPr>
        <w:tc>
          <w:tcPr>
            <w:tcW w:w="4001"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甲方授权代表（签字）：</w:t>
            </w:r>
          </w:p>
        </w:tc>
        <w:tc>
          <w:tcPr>
            <w:tcW w:w="4658"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乙方授权代表（签字）：</w:t>
            </w:r>
          </w:p>
        </w:tc>
      </w:tr>
      <w:tr>
        <w:tblPrEx>
          <w:tblCellMar>
            <w:top w:w="0" w:type="dxa"/>
            <w:left w:w="108" w:type="dxa"/>
            <w:bottom w:w="0" w:type="dxa"/>
            <w:right w:w="108" w:type="dxa"/>
          </w:tblCellMar>
        </w:tblPrEx>
        <w:trPr>
          <w:trHeight w:val="996" w:hRule="atLeast"/>
        </w:trPr>
        <w:tc>
          <w:tcPr>
            <w:tcW w:w="4001"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地址： </w:t>
            </w:r>
          </w:p>
        </w:tc>
        <w:tc>
          <w:tcPr>
            <w:tcW w:w="4658"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地址：</w:t>
            </w:r>
            <w:r>
              <w:rPr>
                <w:rFonts w:ascii="宋体" w:hAnsi="宋体" w:cs="宋体"/>
                <w:color w:val="auto"/>
                <w:kern w:val="0"/>
                <w:sz w:val="24"/>
                <w:szCs w:val="24"/>
                <w:highlight w:val="none"/>
              </w:rPr>
              <w:t xml:space="preserve"> </w:t>
            </w:r>
          </w:p>
        </w:tc>
      </w:tr>
      <w:tr>
        <w:tblPrEx>
          <w:tblCellMar>
            <w:top w:w="0" w:type="dxa"/>
            <w:left w:w="108" w:type="dxa"/>
            <w:bottom w:w="0" w:type="dxa"/>
            <w:right w:w="108" w:type="dxa"/>
          </w:tblCellMar>
        </w:tblPrEx>
        <w:trPr>
          <w:trHeight w:val="996" w:hRule="atLeast"/>
        </w:trPr>
        <w:tc>
          <w:tcPr>
            <w:tcW w:w="4001"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邮政编码： </w:t>
            </w:r>
          </w:p>
        </w:tc>
        <w:tc>
          <w:tcPr>
            <w:tcW w:w="4658"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邮政编码：</w:t>
            </w:r>
          </w:p>
        </w:tc>
      </w:tr>
      <w:tr>
        <w:tblPrEx>
          <w:tblCellMar>
            <w:top w:w="0" w:type="dxa"/>
            <w:left w:w="108" w:type="dxa"/>
            <w:bottom w:w="0" w:type="dxa"/>
            <w:right w:w="108" w:type="dxa"/>
          </w:tblCellMar>
        </w:tblPrEx>
        <w:trPr>
          <w:trHeight w:val="996" w:hRule="atLeast"/>
        </w:trPr>
        <w:tc>
          <w:tcPr>
            <w:tcW w:w="4001"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电话： </w:t>
            </w:r>
          </w:p>
        </w:tc>
        <w:tc>
          <w:tcPr>
            <w:tcW w:w="4658"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电话：</w:t>
            </w:r>
          </w:p>
        </w:tc>
      </w:tr>
      <w:tr>
        <w:tblPrEx>
          <w:tblCellMar>
            <w:top w:w="0" w:type="dxa"/>
            <w:left w:w="108" w:type="dxa"/>
            <w:bottom w:w="0" w:type="dxa"/>
            <w:right w:w="108" w:type="dxa"/>
          </w:tblCellMar>
        </w:tblPrEx>
        <w:trPr>
          <w:trHeight w:val="996" w:hRule="atLeast"/>
        </w:trPr>
        <w:tc>
          <w:tcPr>
            <w:tcW w:w="4001"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传真： </w:t>
            </w:r>
          </w:p>
        </w:tc>
        <w:tc>
          <w:tcPr>
            <w:tcW w:w="4658"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传真：</w:t>
            </w:r>
          </w:p>
        </w:tc>
      </w:tr>
      <w:tr>
        <w:tblPrEx>
          <w:tblCellMar>
            <w:top w:w="0" w:type="dxa"/>
            <w:left w:w="108" w:type="dxa"/>
            <w:bottom w:w="0" w:type="dxa"/>
            <w:right w:w="108" w:type="dxa"/>
          </w:tblCellMar>
        </w:tblPrEx>
        <w:trPr>
          <w:trHeight w:val="996" w:hRule="atLeast"/>
        </w:trPr>
        <w:tc>
          <w:tcPr>
            <w:tcW w:w="4001"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开户银行： </w:t>
            </w:r>
          </w:p>
        </w:tc>
        <w:tc>
          <w:tcPr>
            <w:tcW w:w="4658"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开户银行：</w:t>
            </w:r>
            <w:r>
              <w:rPr>
                <w:rFonts w:ascii="宋体" w:hAnsi="宋体" w:cs="宋体"/>
                <w:color w:val="auto"/>
                <w:kern w:val="0"/>
                <w:sz w:val="24"/>
                <w:szCs w:val="24"/>
                <w:highlight w:val="none"/>
              </w:rPr>
              <w:t xml:space="preserve"> </w:t>
            </w:r>
          </w:p>
        </w:tc>
      </w:tr>
      <w:tr>
        <w:tblPrEx>
          <w:tblCellMar>
            <w:top w:w="0" w:type="dxa"/>
            <w:left w:w="108" w:type="dxa"/>
            <w:bottom w:w="0" w:type="dxa"/>
            <w:right w:w="108" w:type="dxa"/>
          </w:tblCellMar>
        </w:tblPrEx>
        <w:trPr>
          <w:trHeight w:val="996" w:hRule="atLeast"/>
        </w:trPr>
        <w:tc>
          <w:tcPr>
            <w:tcW w:w="4001"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开户账号： </w:t>
            </w:r>
          </w:p>
        </w:tc>
        <w:tc>
          <w:tcPr>
            <w:tcW w:w="4658" w:type="dxa"/>
          </w:tcPr>
          <w:p>
            <w:pPr>
              <w:snapToGrid w:val="0"/>
              <w:spacing w:before="238" w:line="419" w:lineRule="atLeast"/>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开户账号：</w:t>
            </w:r>
          </w:p>
        </w:tc>
      </w:tr>
      <w:tr>
        <w:tblPrEx>
          <w:tblCellMar>
            <w:top w:w="0" w:type="dxa"/>
            <w:left w:w="108" w:type="dxa"/>
            <w:bottom w:w="0" w:type="dxa"/>
            <w:right w:w="108" w:type="dxa"/>
          </w:tblCellMar>
        </w:tblPrEx>
        <w:trPr>
          <w:trHeight w:val="996" w:hRule="atLeast"/>
        </w:trPr>
        <w:tc>
          <w:tcPr>
            <w:tcW w:w="4001" w:type="dxa"/>
            <w:vAlign w:val="center"/>
          </w:tcPr>
          <w:p>
            <w:pPr>
              <w:snapToGrid w:val="0"/>
              <w:spacing w:before="238" w:line="419" w:lineRule="atLeast"/>
              <w:ind w:firstLine="720" w:firstLineChars="300"/>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年    月    日　                       </w:t>
            </w:r>
          </w:p>
        </w:tc>
        <w:tc>
          <w:tcPr>
            <w:tcW w:w="4658" w:type="dxa"/>
            <w:vAlign w:val="center"/>
          </w:tcPr>
          <w:p>
            <w:pPr>
              <w:snapToGrid w:val="0"/>
              <w:spacing w:before="238" w:line="419" w:lineRule="atLeast"/>
              <w:ind w:firstLine="720" w:firstLineChars="300"/>
              <w:textAlignment w:val="baseline"/>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年    月    日　                       </w:t>
            </w:r>
          </w:p>
        </w:tc>
      </w:tr>
    </w:tbl>
    <w:p>
      <w:pPr>
        <w:snapToGrid w:val="0"/>
        <w:spacing w:before="119" w:line="360" w:lineRule="auto"/>
        <w:textAlignment w:val="baseline"/>
        <w:rPr>
          <w:rFonts w:hint="eastAsia" w:ascii="宋体" w:cs="宋体"/>
          <w:color w:val="auto"/>
          <w:kern w:val="0"/>
          <w:szCs w:val="21"/>
          <w:highlight w:val="none"/>
        </w:rPr>
      </w:pPr>
    </w:p>
    <w:p>
      <w:pPr>
        <w:pStyle w:val="22"/>
        <w:rPr>
          <w:rFonts w:hint="eastAsia"/>
          <w:color w:val="auto"/>
          <w:highlight w:val="none"/>
        </w:rPr>
      </w:pPr>
    </w:p>
    <w:p>
      <w:pPr>
        <w:pStyle w:val="6"/>
        <w:rPr>
          <w:rFonts w:hint="eastAsia"/>
          <w:color w:val="auto"/>
          <w:highlight w:val="none"/>
        </w:rPr>
      </w:pPr>
    </w:p>
    <w:bookmarkEnd w:id="466"/>
    <w:p>
      <w:pPr>
        <w:spacing w:line="360" w:lineRule="auto"/>
        <w:jc w:val="center"/>
        <w:rPr>
          <w:rFonts w:ascii="宋体" w:cs="宋体"/>
          <w:color w:val="auto"/>
          <w:sz w:val="36"/>
          <w:szCs w:val="44"/>
          <w:highlight w:val="none"/>
        </w:rPr>
      </w:pPr>
      <w:bookmarkStart w:id="467" w:name="bookmark24"/>
      <w:bookmarkStart w:id="468" w:name="bookmark22"/>
      <w:bookmarkStart w:id="469" w:name="bookmark23"/>
      <w:r>
        <w:rPr>
          <w:rFonts w:ascii="宋体" w:cs="宋体"/>
          <w:b/>
          <w:bCs/>
          <w:color w:val="auto"/>
          <w:sz w:val="36"/>
          <w:szCs w:val="36"/>
          <w:highlight w:val="none"/>
        </w:rPr>
        <w:br w:type="page"/>
      </w:r>
      <w:bookmarkEnd w:id="467"/>
      <w:bookmarkEnd w:id="468"/>
      <w:bookmarkEnd w:id="469"/>
      <w:r>
        <w:rPr>
          <w:rFonts w:hint="eastAsia" w:ascii="宋体" w:hAnsi="宋体" w:cs="宋体"/>
          <w:color w:val="auto"/>
          <w:sz w:val="36"/>
          <w:szCs w:val="44"/>
          <w:highlight w:val="none"/>
        </w:rPr>
        <w:t>政府采购廉政合同</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甲方（供货方）：</w:t>
      </w:r>
      <w:r>
        <w:rPr>
          <w:rFonts w:ascii="宋体" w:hAnsi="宋体" w:cs="宋体"/>
          <w:color w:val="auto"/>
          <w:kern w:val="0"/>
          <w:sz w:val="24"/>
          <w:highlight w:val="none"/>
        </w:rPr>
        <w:t xml:space="preserve"> </w:t>
      </w:r>
      <w:r>
        <w:rPr>
          <w:rFonts w:ascii="宋体" w:hAnsi="宋体" w:cs="宋体"/>
          <w:color w:val="auto"/>
          <w:kern w:val="0"/>
          <w:sz w:val="24"/>
          <w:highlight w:val="none"/>
        </w:rPr>
        <w:tab/>
      </w:r>
      <w:r>
        <w:rPr>
          <w:rFonts w:ascii="宋体" w:hAnsi="宋体" w:cs="宋体"/>
          <w:color w:val="auto"/>
          <w:kern w:val="0"/>
          <w:sz w:val="24"/>
          <w:highlight w:val="none"/>
        </w:rPr>
        <w:t xml:space="preserve"> </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乙方（购货方）：</w:t>
      </w:r>
      <w:r>
        <w:rPr>
          <w:rFonts w:ascii="宋体" w:hAnsi="宋体" w:cs="宋体"/>
          <w:color w:val="auto"/>
          <w:kern w:val="0"/>
          <w:sz w:val="24"/>
          <w:highlight w:val="none"/>
        </w:rPr>
        <w:t xml:space="preserve"> </w:t>
      </w:r>
      <w:r>
        <w:rPr>
          <w:rFonts w:ascii="宋体" w:hAnsi="宋体" w:cs="宋体"/>
          <w:color w:val="auto"/>
          <w:kern w:val="0"/>
          <w:sz w:val="24"/>
          <w:highlight w:val="none"/>
        </w:rPr>
        <w:tab/>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为促进甲乙双方廉洁高效合作，促使甲乙双方工作人员廉洁从业，不断推动党风廉政建设工作，按照《中华人民共和国民法典》和国家其他有关法律法规、廉政规定，经甲乙双方协商一致，</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自愿签订以下廉政合同。</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第一条：甲乙双方的权利和义务</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（一）严格遵守党和国家有关法律法规及党风廉政建设各项规定。</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（二）严格履行《中华人民共和国反不正当竞争法》、《关于禁止商业贿赂行为的暂行规定》各项约定，杜绝违约行为的发生。</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（三）双方的业务活动坚持公开、公平、公正、诚信的原则（除法律认定的商业秘密和合同文件另有规定之外），严禁损害国家和集体利益，违反法律法规及规章制度。</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（四）建立健全党风廉政建设各项制度，开展党风廉政建设宣传教育，加强对本方工作人员的监督检查。</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（五）发现对方在业务活动中有违反廉政规定和本合同约定的行为时，有及时提醒和督促对方纠正的权利和义务。</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（六）发现对方在业务活动中有违反廉政规定和本合同约定的行为时，有权向对方主管部门或有关机构检举、揭发。</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（七）经济合同变更时廉政合同内容也应做相应调整，并履行有关手续。第二条：甲方在廉政建设方面义务</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（一）甲方不准以任何形式向乙方及其工作人员馈赠礼金、礼品、有价证券、支付凭证、贵重物品等财物。</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（二）甲方不准以任何名义为乙方及其工作人员报销应由乙方或个人支付的任何费用。</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（三）甲方不准以任何理由邀请乙方工作人员参加有影响合作业务的宴请及娱乐活动；不准为其提供通讯工具、交通工具、高档办公用品等。</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（四）甲方不准为乙方工作人员在住房装修、婚丧嫁娶、配偶、子女、亲友出国（境）</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旅游提供方便；不准为乙方工作人员的配偶、子女及有利害关系的人员安排工作或劳务。</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（五）甲方及其工作人员不准与监管单位串通，违反有关规定和程序，损害乙方利益。</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（六）不得有其他违反法律法规、党纪政纪行为。第三条：乙方在廉政建设方面的义务</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（一）乙方及其工作人员不得干扰协作企业正常的生产经营活动，不得以任何理由要挟甲方从事不属于甲方义务的工作。</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（二）乙方及其工作人员不得索要或接受甲方的礼金，有价证券、支付凭证、贵重物品等财物。</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（三）乙方及其工作人员不得在甲方报销应由乙方或个人支付的任何费用。</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（四）乙方工作人员不得参加甲方提供的宴请、娱乐活动、高档消费；不得要求甲方提供交通工具、通讯工具、高档办公用品等。</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（五）乙方及其工作人员不得要求或者接受甲方为其住房装修、婚丧嫁娶、配偶、子女、亲友出国（境）旅游等违反规定的相关活动提供方便。</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（六）乙方及其工作人员不得要求甲方为其配偶、子女及有利害关系的人员安排工作或劳务；不得违反规定从事与甲方施工项目有关的材料设备供应、工程分包等经济活动。</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（七）乙方应根据经济合同约定进度付款，不得以不正当理由拖欠款项，不得超进度拨付款。</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第四条：违约责任</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（一）甲方违反本《廉政合同》规定义务的，须向乙方承担经济合同总额</w:t>
      </w:r>
      <w:r>
        <w:rPr>
          <w:rFonts w:ascii="宋体" w:hAnsi="宋体" w:cs="宋体"/>
          <w:color w:val="auto"/>
          <w:kern w:val="0"/>
          <w:sz w:val="24"/>
          <w:highlight w:val="none"/>
        </w:rPr>
        <w:t xml:space="preserve"> 3%</w:t>
      </w:r>
      <w:r>
        <w:rPr>
          <w:rFonts w:hint="eastAsia" w:ascii="宋体" w:hAnsi="宋体" w:cs="宋体"/>
          <w:color w:val="auto"/>
          <w:kern w:val="0"/>
          <w:sz w:val="24"/>
          <w:highlight w:val="none"/>
        </w:rPr>
        <w:t>的经济违约责任。</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（二）甲方发生多次违反廉政合同约定内容，乙方有权将甲方列入黑名单，禁止</w:t>
      </w:r>
      <w:r>
        <w:rPr>
          <w:rFonts w:ascii="宋体" w:hAnsi="宋体" w:cs="宋体"/>
          <w:color w:val="auto"/>
          <w:kern w:val="0"/>
          <w:sz w:val="24"/>
          <w:highlight w:val="none"/>
        </w:rPr>
        <w:t xml:space="preserve"> 3-5 </w:t>
      </w:r>
      <w:r>
        <w:rPr>
          <w:rFonts w:hint="eastAsia" w:ascii="宋体" w:hAnsi="宋体" w:cs="宋体"/>
          <w:color w:val="auto"/>
          <w:kern w:val="0"/>
          <w:sz w:val="24"/>
          <w:highlight w:val="none"/>
        </w:rPr>
        <w:t>年内进入乙方作业市场；给乙方造成经济损失、社会影响较大的，乙方有权终止履行合同。</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（三）乙方若违反本《廉政合同》有关规定的，对违法违纪人员，由乙方主管部门依据有关规定查处，给甲方造成的损失，按有关规定予以赔偿。</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第五条：检查方式</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本合同的履约情况由甲乙双方共同派员监督，检查方式为座谈、问卷调查、查看资料或由双方约定的其他方式等。检查时间、次数、方式、检查结论等由双方协商确定。</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第六条：本合同有效期同经济合同期限。</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第七条：本合同为经济合同附件，与主合同具有同等法律效力，甲乙双方签署后生效。</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第八条：本合同一式</w:t>
      </w:r>
      <w:r>
        <w:rPr>
          <w:rFonts w:ascii="宋体" w:cs="宋体"/>
          <w:color w:val="auto"/>
          <w:kern w:val="0"/>
          <w:sz w:val="24"/>
          <w:highlight w:val="none"/>
        </w:rPr>
        <w:tab/>
      </w:r>
      <w:r>
        <w:rPr>
          <w:rFonts w:hint="eastAsia" w:ascii="宋体" w:hAnsi="宋体" w:cs="宋体"/>
          <w:color w:val="auto"/>
          <w:kern w:val="0"/>
          <w:sz w:val="24"/>
          <w:highlight w:val="none"/>
        </w:rPr>
        <w:t>份，甲、乙双方</w:t>
      </w:r>
      <w:r>
        <w:rPr>
          <w:rFonts w:ascii="宋体" w:cs="宋体"/>
          <w:color w:val="auto"/>
          <w:kern w:val="0"/>
          <w:sz w:val="24"/>
          <w:highlight w:val="none"/>
        </w:rPr>
        <w:tab/>
      </w:r>
      <w:r>
        <w:rPr>
          <w:rFonts w:hint="eastAsia" w:ascii="宋体" w:hAnsi="宋体" w:cs="宋体"/>
          <w:color w:val="auto"/>
          <w:kern w:val="0"/>
          <w:sz w:val="24"/>
          <w:highlight w:val="none"/>
        </w:rPr>
        <w:t>份、采购办</w:t>
      </w:r>
      <w:r>
        <w:rPr>
          <w:rFonts w:ascii="宋体" w:cs="宋体"/>
          <w:color w:val="auto"/>
          <w:kern w:val="0"/>
          <w:sz w:val="24"/>
          <w:highlight w:val="none"/>
        </w:rPr>
        <w:tab/>
      </w:r>
      <w:r>
        <w:rPr>
          <w:rFonts w:hint="eastAsia" w:ascii="宋体" w:hAnsi="宋体" w:cs="宋体"/>
          <w:color w:val="auto"/>
          <w:kern w:val="0"/>
          <w:sz w:val="24"/>
          <w:highlight w:val="none"/>
        </w:rPr>
        <w:t>份。</w:t>
      </w:r>
    </w:p>
    <w:p>
      <w:pPr>
        <w:snapToGrid w:val="0"/>
        <w:spacing w:line="360" w:lineRule="auto"/>
        <w:ind w:firstLine="480" w:firstLineChars="200"/>
        <w:textAlignment w:val="baseline"/>
        <w:rPr>
          <w:rFonts w:ascii="宋体" w:cs="宋体"/>
          <w:color w:val="auto"/>
          <w:kern w:val="0"/>
          <w:sz w:val="24"/>
          <w:highlight w:val="none"/>
        </w:rPr>
      </w:pP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甲方单位：（盖章）</w:t>
      </w:r>
      <w:r>
        <w:rPr>
          <w:rFonts w:ascii="宋体" w:cs="宋体"/>
          <w:color w:val="auto"/>
          <w:kern w:val="0"/>
          <w:sz w:val="24"/>
          <w:highlight w:val="none"/>
        </w:rPr>
        <w:tab/>
      </w:r>
      <w:r>
        <w:rPr>
          <w:rFonts w:ascii="宋体" w:hAnsi="宋体" w:cs="宋体"/>
          <w:color w:val="auto"/>
          <w:kern w:val="0"/>
          <w:sz w:val="24"/>
          <w:highlight w:val="none"/>
        </w:rPr>
        <w:t xml:space="preserve">                    </w:t>
      </w:r>
      <w:r>
        <w:rPr>
          <w:rFonts w:hint="eastAsia" w:ascii="宋体" w:hAnsi="宋体" w:cs="宋体"/>
          <w:color w:val="auto"/>
          <w:kern w:val="0"/>
          <w:sz w:val="24"/>
          <w:highlight w:val="none"/>
        </w:rPr>
        <w:t>乙方单位：（盖章）</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法定代表人：</w:t>
      </w:r>
      <w:r>
        <w:rPr>
          <w:rFonts w:ascii="宋体" w:cs="宋体"/>
          <w:color w:val="auto"/>
          <w:kern w:val="0"/>
          <w:sz w:val="24"/>
          <w:highlight w:val="none"/>
        </w:rPr>
        <w:tab/>
      </w:r>
      <w:r>
        <w:rPr>
          <w:rFonts w:ascii="宋体" w:hAnsi="宋体" w:cs="宋体"/>
          <w:color w:val="auto"/>
          <w:kern w:val="0"/>
          <w:sz w:val="24"/>
          <w:highlight w:val="none"/>
        </w:rPr>
        <w:t xml:space="preserve">                           </w:t>
      </w:r>
      <w:r>
        <w:rPr>
          <w:rFonts w:hint="eastAsia" w:ascii="宋体" w:hAnsi="宋体" w:cs="宋体"/>
          <w:color w:val="auto"/>
          <w:kern w:val="0"/>
          <w:sz w:val="24"/>
          <w:highlight w:val="none"/>
        </w:rPr>
        <w:t>法定代表人：</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（或委托代理人）签字：</w:t>
      </w:r>
      <w:r>
        <w:rPr>
          <w:rFonts w:ascii="宋体" w:cs="宋体"/>
          <w:color w:val="auto"/>
          <w:kern w:val="0"/>
          <w:sz w:val="24"/>
          <w:highlight w:val="none"/>
        </w:rPr>
        <w:tab/>
      </w:r>
      <w:r>
        <w:rPr>
          <w:rFonts w:ascii="宋体" w:hAnsi="宋体" w:cs="宋体"/>
          <w:color w:val="auto"/>
          <w:kern w:val="0"/>
          <w:sz w:val="24"/>
          <w:highlight w:val="none"/>
        </w:rPr>
        <w:t xml:space="preserve">                </w:t>
      </w:r>
      <w:r>
        <w:rPr>
          <w:rFonts w:hint="eastAsia" w:ascii="宋体" w:hAnsi="宋体" w:cs="宋体"/>
          <w:color w:val="auto"/>
          <w:kern w:val="0"/>
          <w:sz w:val="24"/>
          <w:highlight w:val="none"/>
        </w:rPr>
        <w:t>（或委托代理人）签字：</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单位地址：</w:t>
      </w:r>
      <w:r>
        <w:rPr>
          <w:rFonts w:ascii="宋体" w:cs="宋体"/>
          <w:color w:val="auto"/>
          <w:kern w:val="0"/>
          <w:sz w:val="24"/>
          <w:highlight w:val="none"/>
        </w:rPr>
        <w:tab/>
      </w:r>
      <w:r>
        <w:rPr>
          <w:rFonts w:ascii="宋体" w:hAnsi="宋体" w:cs="宋体"/>
          <w:color w:val="auto"/>
          <w:kern w:val="0"/>
          <w:sz w:val="24"/>
          <w:highlight w:val="none"/>
        </w:rPr>
        <w:t xml:space="preserve">                           </w:t>
      </w:r>
      <w:r>
        <w:rPr>
          <w:rFonts w:hint="eastAsia" w:ascii="宋体" w:hAnsi="宋体" w:cs="宋体"/>
          <w:color w:val="auto"/>
          <w:kern w:val="0"/>
          <w:sz w:val="24"/>
          <w:highlight w:val="none"/>
        </w:rPr>
        <w:t>单位地址：</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联系电话：</w:t>
      </w:r>
      <w:r>
        <w:rPr>
          <w:rFonts w:ascii="宋体" w:cs="宋体"/>
          <w:color w:val="auto"/>
          <w:kern w:val="0"/>
          <w:sz w:val="24"/>
          <w:highlight w:val="none"/>
        </w:rPr>
        <w:tab/>
      </w:r>
      <w:r>
        <w:rPr>
          <w:rFonts w:ascii="宋体" w:hAnsi="宋体" w:cs="宋体"/>
          <w:color w:val="auto"/>
          <w:kern w:val="0"/>
          <w:sz w:val="24"/>
          <w:highlight w:val="none"/>
        </w:rPr>
        <w:t xml:space="preserve">                           </w:t>
      </w:r>
      <w:r>
        <w:rPr>
          <w:rFonts w:hint="eastAsia" w:ascii="宋体" w:hAnsi="宋体" w:cs="宋体"/>
          <w:color w:val="auto"/>
          <w:kern w:val="0"/>
          <w:sz w:val="24"/>
          <w:highlight w:val="none"/>
        </w:rPr>
        <w:t>联系电话：</w:t>
      </w:r>
    </w:p>
    <w:p>
      <w:pPr>
        <w:spacing w:line="360" w:lineRule="auto"/>
        <w:rPr>
          <w:color w:val="auto"/>
          <w:highlight w:val="none"/>
        </w:rPr>
      </w:pPr>
    </w:p>
    <w:p>
      <w:pPr>
        <w:spacing w:line="360" w:lineRule="auto"/>
        <w:rPr>
          <w:rFonts w:ascii="宋体" w:cs="宋体"/>
          <w:b/>
          <w:bCs/>
          <w:color w:val="auto"/>
          <w:sz w:val="32"/>
          <w:szCs w:val="40"/>
          <w:highlight w:val="none"/>
        </w:rPr>
      </w:pPr>
      <w:r>
        <w:rPr>
          <w:color w:val="auto"/>
          <w:highlight w:val="none"/>
        </w:rPr>
        <w:br w:type="page"/>
      </w:r>
    </w:p>
    <w:p>
      <w:pPr>
        <w:spacing w:line="360" w:lineRule="auto"/>
        <w:jc w:val="center"/>
        <w:rPr>
          <w:rFonts w:ascii="宋体" w:cs="宋体"/>
          <w:color w:val="auto"/>
          <w:sz w:val="36"/>
          <w:szCs w:val="44"/>
          <w:highlight w:val="none"/>
        </w:rPr>
      </w:pPr>
      <w:r>
        <w:rPr>
          <w:rFonts w:hint="eastAsia" w:ascii="宋体" w:hAnsi="宋体" w:cs="宋体"/>
          <w:color w:val="auto"/>
          <w:sz w:val="36"/>
          <w:szCs w:val="44"/>
          <w:highlight w:val="none"/>
        </w:rPr>
        <w:t>生产厂家售后服务承诺函</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lang w:eastAsia="zh-CN"/>
        </w:rPr>
        <w:t>平顶山市消防救援支队</w:t>
      </w:r>
      <w:r>
        <w:rPr>
          <w:rFonts w:hint="eastAsia" w:ascii="宋体" w:hAnsi="宋体" w:cs="宋体"/>
          <w:color w:val="auto"/>
          <w:kern w:val="0"/>
          <w:sz w:val="24"/>
          <w:highlight w:val="none"/>
        </w:rPr>
        <w:t>：</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我司现对贵方招标的</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项目</w:t>
      </w:r>
      <w:r>
        <w:rPr>
          <w:rFonts w:ascii="宋体" w:hAnsi="宋体" w:cs="宋体"/>
          <w:color w:val="auto"/>
          <w:kern w:val="0"/>
          <w:sz w:val="24"/>
          <w:highlight w:val="none"/>
        </w:rPr>
        <w:t>[</w:t>
      </w:r>
      <w:r>
        <w:rPr>
          <w:rFonts w:hint="eastAsia" w:ascii="宋体" w:hAnsi="宋体" w:cs="宋体"/>
          <w:color w:val="auto"/>
          <w:kern w:val="0"/>
          <w:sz w:val="24"/>
          <w:highlight w:val="none"/>
        </w:rPr>
        <w:t>项目编号：</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第</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包</w:t>
      </w:r>
      <w:r>
        <w:rPr>
          <w:rFonts w:ascii="宋体" w:hAnsi="宋体" w:cs="宋体"/>
          <w:color w:val="auto"/>
          <w:kern w:val="0"/>
          <w:sz w:val="24"/>
          <w:highlight w:val="none"/>
        </w:rPr>
        <w:t>]</w:t>
      </w:r>
      <w:r>
        <w:rPr>
          <w:rFonts w:hint="eastAsia" w:ascii="宋体" w:hAnsi="宋体" w:cs="宋体"/>
          <w:color w:val="auto"/>
          <w:kern w:val="0"/>
          <w:sz w:val="24"/>
          <w:highlight w:val="none"/>
        </w:rPr>
        <w:t>售后服务作出承诺，如果我司生产的产品中标，将授权给按</w:t>
      </w:r>
      <w:r>
        <w:rPr>
          <w:rFonts w:ascii="宋体" w:cs="宋体"/>
          <w:color w:val="auto"/>
          <w:kern w:val="0"/>
          <w:sz w:val="24"/>
          <w:highlight w:val="none"/>
          <w:u w:val="single"/>
        </w:rPr>
        <w:tab/>
      </w:r>
      <w:r>
        <w:rPr>
          <w:rFonts w:ascii="宋体" w:cs="宋体"/>
          <w:color w:val="auto"/>
          <w:kern w:val="0"/>
          <w:sz w:val="24"/>
          <w:highlight w:val="none"/>
          <w:u w:val="single"/>
        </w:rPr>
        <w:tab/>
      </w:r>
      <w:r>
        <w:rPr>
          <w:rFonts w:ascii="宋体" w:cs="宋体"/>
          <w:color w:val="auto"/>
          <w:kern w:val="0"/>
          <w:sz w:val="24"/>
          <w:highlight w:val="none"/>
          <w:u w:val="single"/>
        </w:rPr>
        <w:tab/>
      </w:r>
      <w:r>
        <w:rPr>
          <w:rFonts w:hint="eastAsia" w:ascii="宋体" w:hAnsi="宋体" w:cs="宋体"/>
          <w:color w:val="auto"/>
          <w:kern w:val="0"/>
          <w:sz w:val="24"/>
          <w:highlight w:val="none"/>
        </w:rPr>
        <w:t>（国家名称）法律成立的</w:t>
      </w:r>
      <w:r>
        <w:rPr>
          <w:rFonts w:ascii="宋体" w:cs="宋体"/>
          <w:color w:val="auto"/>
          <w:kern w:val="0"/>
          <w:sz w:val="24"/>
          <w:highlight w:val="none"/>
          <w:u w:val="single"/>
        </w:rPr>
        <w:tab/>
      </w:r>
      <w:r>
        <w:rPr>
          <w:rFonts w:ascii="宋体" w:cs="宋体"/>
          <w:color w:val="auto"/>
          <w:kern w:val="0"/>
          <w:sz w:val="24"/>
          <w:highlight w:val="none"/>
          <w:u w:val="single"/>
        </w:rPr>
        <w:tab/>
      </w:r>
      <w:r>
        <w:rPr>
          <w:rFonts w:hint="eastAsia" w:ascii="宋体" w:hAnsi="宋体" w:cs="宋体"/>
          <w:color w:val="auto"/>
          <w:kern w:val="0"/>
          <w:sz w:val="24"/>
          <w:highlight w:val="none"/>
        </w:rPr>
        <w:t>（制造商或代理商名称，以下简称“售后服务商”），主要营业地点设在</w:t>
      </w:r>
      <w:r>
        <w:rPr>
          <w:rFonts w:ascii="宋体" w:cs="宋体"/>
          <w:color w:val="auto"/>
          <w:kern w:val="0"/>
          <w:sz w:val="24"/>
          <w:highlight w:val="none"/>
          <w:u w:val="single"/>
        </w:rPr>
        <w:tab/>
      </w:r>
      <w:r>
        <w:rPr>
          <w:rFonts w:hint="eastAsia" w:ascii="宋体" w:hAnsi="宋体" w:cs="宋体"/>
          <w:color w:val="auto"/>
          <w:kern w:val="0"/>
          <w:sz w:val="24"/>
          <w:highlight w:val="none"/>
        </w:rPr>
        <w:t>（制造商地址），联系方式为</w:t>
      </w:r>
      <w:r>
        <w:rPr>
          <w:rFonts w:ascii="宋体" w:cs="宋体"/>
          <w:color w:val="auto"/>
          <w:kern w:val="0"/>
          <w:sz w:val="24"/>
          <w:highlight w:val="none"/>
          <w:u w:val="single"/>
        </w:rPr>
        <w:tab/>
      </w:r>
      <w:r>
        <w:rPr>
          <w:rFonts w:ascii="宋体" w:cs="宋体"/>
          <w:color w:val="auto"/>
          <w:kern w:val="0"/>
          <w:sz w:val="24"/>
          <w:highlight w:val="none"/>
          <w:u w:val="single"/>
        </w:rPr>
        <w:tab/>
      </w:r>
      <w:r>
        <w:rPr>
          <w:rFonts w:hint="eastAsia" w:ascii="宋体" w:hAnsi="宋体" w:cs="宋体"/>
          <w:color w:val="auto"/>
          <w:kern w:val="0"/>
          <w:sz w:val="24"/>
          <w:highlight w:val="none"/>
        </w:rPr>
        <w:t>（联系人、电话、传真、邮政编码）代表我方在中华人民共和国办理我司产品包含但不限于以下的售后服务承诺：</w:t>
      </w:r>
    </w:p>
    <w:p>
      <w:pPr>
        <w:snapToGrid w:val="0"/>
        <w:spacing w:line="360" w:lineRule="auto"/>
        <w:ind w:firstLine="480" w:firstLineChars="200"/>
        <w:textAlignment w:val="baseline"/>
        <w:rPr>
          <w:rFonts w:ascii="宋体" w:cs="宋体"/>
          <w:color w:val="auto"/>
          <w:kern w:val="0"/>
          <w:sz w:val="24"/>
          <w:highlight w:val="none"/>
        </w:rPr>
      </w:pPr>
      <w:r>
        <w:rPr>
          <w:rFonts w:ascii="宋体" w:hAnsi="宋体" w:cs="宋体"/>
          <w:color w:val="auto"/>
          <w:kern w:val="0"/>
          <w:sz w:val="24"/>
          <w:highlight w:val="none"/>
        </w:rPr>
        <w:t>1</w:t>
      </w:r>
      <w:r>
        <w:rPr>
          <w:rFonts w:hint="eastAsia" w:ascii="宋体" w:hAnsi="宋体" w:cs="宋体"/>
          <w:color w:val="auto"/>
          <w:kern w:val="0"/>
          <w:sz w:val="24"/>
          <w:highlight w:val="none"/>
        </w:rPr>
        <w:t>、售后服务商为贵方免费提供操作及维护培训，主要内容为货物的基本结构、性能、主要部件的构造及原理，日常使用操作、保养与管理，常见故障的排除，紧急情况的处理等，培训地点主要在货物安装、调试现场或最终使用单位进行；</w:t>
      </w:r>
    </w:p>
    <w:p>
      <w:pPr>
        <w:snapToGrid w:val="0"/>
        <w:spacing w:line="360" w:lineRule="auto"/>
        <w:ind w:firstLine="480" w:firstLineChars="200"/>
        <w:textAlignment w:val="baseline"/>
        <w:rPr>
          <w:rFonts w:ascii="宋体" w:cs="宋体"/>
          <w:color w:val="auto"/>
          <w:kern w:val="0"/>
          <w:sz w:val="24"/>
          <w:highlight w:val="none"/>
        </w:rPr>
      </w:pPr>
      <w:r>
        <w:rPr>
          <w:rFonts w:ascii="宋体" w:hAnsi="宋体" w:cs="宋体"/>
          <w:color w:val="auto"/>
          <w:kern w:val="0"/>
          <w:sz w:val="24"/>
          <w:highlight w:val="none"/>
        </w:rPr>
        <w:t>2</w:t>
      </w:r>
      <w:r>
        <w:rPr>
          <w:rFonts w:hint="eastAsia" w:ascii="宋体" w:hAnsi="宋体" w:cs="宋体"/>
          <w:color w:val="auto"/>
          <w:kern w:val="0"/>
          <w:sz w:val="24"/>
          <w:highlight w:val="none"/>
        </w:rPr>
        <w:t>、售后服务商提供整套设备（含底盘、上装、随带器材以及改装设备）不少于</w:t>
      </w:r>
      <w:r>
        <w:rPr>
          <w:rFonts w:ascii="宋体" w:cs="宋体"/>
          <w:color w:val="auto"/>
          <w:kern w:val="0"/>
          <w:sz w:val="24"/>
          <w:highlight w:val="none"/>
          <w:u w:val="single"/>
        </w:rPr>
        <w:tab/>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年的质保服务，质保期自合同中约定的验收合格报告书签字生效之日起计算；</w:t>
      </w:r>
    </w:p>
    <w:p>
      <w:pPr>
        <w:snapToGrid w:val="0"/>
        <w:spacing w:line="360" w:lineRule="auto"/>
        <w:ind w:firstLine="480" w:firstLineChars="200"/>
        <w:textAlignment w:val="baseline"/>
        <w:rPr>
          <w:rFonts w:ascii="宋体" w:cs="宋体"/>
          <w:color w:val="auto"/>
          <w:kern w:val="0"/>
          <w:sz w:val="24"/>
          <w:highlight w:val="none"/>
        </w:rPr>
      </w:pPr>
      <w:r>
        <w:rPr>
          <w:rFonts w:ascii="宋体" w:hAnsi="宋体" w:cs="宋体"/>
          <w:color w:val="auto"/>
          <w:kern w:val="0"/>
          <w:sz w:val="24"/>
          <w:highlight w:val="none"/>
        </w:rPr>
        <w:t>3</w:t>
      </w:r>
      <w:r>
        <w:rPr>
          <w:rFonts w:hint="eastAsia" w:ascii="宋体" w:hAnsi="宋体" w:cs="宋体"/>
          <w:color w:val="auto"/>
          <w:kern w:val="0"/>
          <w:sz w:val="24"/>
          <w:highlight w:val="none"/>
        </w:rPr>
        <w:t>、确实非我司生产的改装设备或部件出现故障时，将由售后服务商负责联系改装设备或部件的生产厂家进行免费上门维修，质保期时限仍按整套设备年限执行；</w:t>
      </w:r>
    </w:p>
    <w:p>
      <w:pPr>
        <w:snapToGrid w:val="0"/>
        <w:spacing w:line="360" w:lineRule="auto"/>
        <w:ind w:firstLine="480" w:firstLineChars="200"/>
        <w:textAlignment w:val="baseline"/>
        <w:rPr>
          <w:rFonts w:ascii="宋体" w:cs="宋体"/>
          <w:color w:val="auto"/>
          <w:kern w:val="0"/>
          <w:sz w:val="24"/>
          <w:highlight w:val="none"/>
        </w:rPr>
      </w:pPr>
      <w:r>
        <w:rPr>
          <w:rFonts w:ascii="宋体" w:hAnsi="宋体" w:cs="宋体"/>
          <w:color w:val="auto"/>
          <w:kern w:val="0"/>
          <w:sz w:val="24"/>
          <w:highlight w:val="none"/>
        </w:rPr>
        <w:t>4</w:t>
      </w:r>
      <w:r>
        <w:rPr>
          <w:rFonts w:hint="eastAsia" w:ascii="宋体" w:hAnsi="宋体" w:cs="宋体"/>
          <w:color w:val="auto"/>
          <w:kern w:val="0"/>
          <w:sz w:val="24"/>
          <w:highlight w:val="none"/>
        </w:rPr>
        <w:t>、质保期内售后服务商负责货物运行的稳定性，如非贵方的人为原因而出现货物质量及安装问题，由售后服务商负责包修、包换或包退，并承担因此而产生的一切费用。售后服务商将在收到贵方保修通知后派员在</w:t>
      </w:r>
      <w:r>
        <w:rPr>
          <w:rFonts w:ascii="宋体" w:cs="宋体"/>
          <w:color w:val="auto"/>
          <w:kern w:val="0"/>
          <w:sz w:val="24"/>
          <w:highlight w:val="none"/>
          <w:u w:val="single"/>
        </w:rPr>
        <w:tab/>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小时（或天）内到现场维修。质保期后，由售后服务商提供两年的免费保修服务，保修费用计入合同总价，售后服务商只收取材料成本费；</w:t>
      </w:r>
    </w:p>
    <w:p>
      <w:pPr>
        <w:snapToGrid w:val="0"/>
        <w:spacing w:line="360" w:lineRule="auto"/>
        <w:ind w:firstLine="480" w:firstLineChars="200"/>
        <w:textAlignment w:val="baseline"/>
        <w:rPr>
          <w:rFonts w:ascii="宋体" w:cs="宋体"/>
          <w:color w:val="auto"/>
          <w:kern w:val="0"/>
          <w:sz w:val="24"/>
          <w:highlight w:val="none"/>
        </w:rPr>
      </w:pPr>
      <w:r>
        <w:rPr>
          <w:rFonts w:ascii="宋体" w:hAnsi="宋体" w:cs="宋体"/>
          <w:color w:val="auto"/>
          <w:kern w:val="0"/>
          <w:sz w:val="24"/>
          <w:highlight w:val="none"/>
        </w:rPr>
        <w:t>5</w:t>
      </w:r>
      <w:r>
        <w:rPr>
          <w:rFonts w:hint="eastAsia" w:ascii="宋体" w:hAnsi="宋体" w:cs="宋体"/>
          <w:color w:val="auto"/>
          <w:kern w:val="0"/>
          <w:sz w:val="24"/>
          <w:highlight w:val="none"/>
        </w:rPr>
        <w:t>、在质保期与保修期内，售后服务商将提供</w:t>
      </w:r>
      <w:r>
        <w:rPr>
          <w:rFonts w:ascii="宋体" w:hAnsi="宋体" w:cs="宋体"/>
          <w:color w:val="auto"/>
          <w:kern w:val="0"/>
          <w:sz w:val="24"/>
          <w:highlight w:val="none"/>
        </w:rPr>
        <w:t xml:space="preserve"> 24 </w:t>
      </w:r>
      <w:r>
        <w:rPr>
          <w:rFonts w:hint="eastAsia" w:ascii="宋体" w:hAnsi="宋体" w:cs="宋体"/>
          <w:color w:val="auto"/>
          <w:kern w:val="0"/>
          <w:sz w:val="24"/>
          <w:highlight w:val="none"/>
        </w:rPr>
        <w:t>小时电话服务热线，保证在接到贵方故障报修电话后</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小时（或天）内到达现场，并在</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小时（或天）内解决故障，如果主要部件需从我司发运，将在</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天（或月）内解决故障；</w:t>
      </w:r>
    </w:p>
    <w:p>
      <w:pPr>
        <w:snapToGrid w:val="0"/>
        <w:spacing w:line="360" w:lineRule="auto"/>
        <w:ind w:firstLine="480" w:firstLineChars="200"/>
        <w:textAlignment w:val="baseline"/>
        <w:rPr>
          <w:rFonts w:ascii="宋体" w:cs="宋体"/>
          <w:color w:val="auto"/>
          <w:kern w:val="0"/>
          <w:sz w:val="24"/>
          <w:highlight w:val="none"/>
        </w:rPr>
      </w:pPr>
      <w:r>
        <w:rPr>
          <w:rFonts w:ascii="宋体" w:hAnsi="宋体" w:cs="宋体"/>
          <w:color w:val="auto"/>
          <w:kern w:val="0"/>
          <w:sz w:val="24"/>
          <w:highlight w:val="none"/>
        </w:rPr>
        <w:t>6</w:t>
      </w:r>
      <w:r>
        <w:rPr>
          <w:rFonts w:hint="eastAsia" w:ascii="宋体" w:hAnsi="宋体" w:cs="宋体"/>
          <w:color w:val="auto"/>
          <w:kern w:val="0"/>
          <w:sz w:val="24"/>
          <w:highlight w:val="none"/>
        </w:rPr>
        <w:t>、质保期内及质保期过后，如因货物设计或生产工艺质量问题需要成批召回维修的，</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我司将及时通过售后服务商通知贵方并积极协助办理有关手续，一切费用由售后服务商承担；</w:t>
      </w:r>
    </w:p>
    <w:p>
      <w:pPr>
        <w:snapToGrid w:val="0"/>
        <w:spacing w:line="360" w:lineRule="auto"/>
        <w:ind w:firstLine="480" w:firstLineChars="200"/>
        <w:textAlignment w:val="baseline"/>
        <w:rPr>
          <w:rFonts w:ascii="宋体" w:cs="宋体"/>
          <w:color w:val="auto"/>
          <w:kern w:val="0"/>
          <w:sz w:val="24"/>
          <w:highlight w:val="none"/>
        </w:rPr>
      </w:pPr>
      <w:r>
        <w:rPr>
          <w:rFonts w:ascii="宋体" w:hAnsi="宋体" w:cs="宋体"/>
          <w:color w:val="auto"/>
          <w:kern w:val="0"/>
          <w:sz w:val="24"/>
          <w:highlight w:val="none"/>
        </w:rPr>
        <w:t>7</w:t>
      </w:r>
      <w:r>
        <w:rPr>
          <w:rFonts w:hint="eastAsia" w:ascii="宋体" w:hAnsi="宋体" w:cs="宋体"/>
          <w:color w:val="auto"/>
          <w:kern w:val="0"/>
          <w:sz w:val="24"/>
          <w:highlight w:val="none"/>
        </w:rPr>
        <w:t>、所有货物保修服务方式均为我司及售后服务商上门保修，即由我司派员连同售后服务商到贵方货物使用现场维修，由此产生的一切费用均由售后服务商承担；</w:t>
      </w:r>
    </w:p>
    <w:p>
      <w:pPr>
        <w:snapToGrid w:val="0"/>
        <w:spacing w:line="360" w:lineRule="auto"/>
        <w:ind w:firstLine="480" w:firstLineChars="200"/>
        <w:textAlignment w:val="baseline"/>
        <w:rPr>
          <w:rFonts w:ascii="宋体" w:cs="宋体"/>
          <w:color w:val="auto"/>
          <w:kern w:val="0"/>
          <w:sz w:val="24"/>
          <w:highlight w:val="none"/>
        </w:rPr>
      </w:pPr>
      <w:r>
        <w:rPr>
          <w:rFonts w:ascii="宋体" w:hAnsi="宋体" w:cs="宋体"/>
          <w:color w:val="auto"/>
          <w:kern w:val="0"/>
          <w:sz w:val="24"/>
          <w:highlight w:val="none"/>
        </w:rPr>
        <w:t>8</w:t>
      </w:r>
      <w:r>
        <w:rPr>
          <w:rFonts w:hint="eastAsia" w:ascii="宋体" w:hAnsi="宋体" w:cs="宋体"/>
          <w:color w:val="auto"/>
          <w:kern w:val="0"/>
          <w:sz w:val="24"/>
          <w:highlight w:val="none"/>
        </w:rPr>
        <w:t>、售后服务商在货物验收后将及时归纳、整理各项详细验收报告、技术文档、硬件技术文件等资料，并提交给贵方，技术文件包括验收报告、技术文档、完整的软、硬件技术资料（含纸介质和光电介质），同时提供中文说明书；</w:t>
      </w:r>
    </w:p>
    <w:p>
      <w:pPr>
        <w:snapToGrid w:val="0"/>
        <w:spacing w:line="360" w:lineRule="auto"/>
        <w:ind w:firstLine="480" w:firstLineChars="200"/>
        <w:textAlignment w:val="baseline"/>
        <w:rPr>
          <w:rFonts w:ascii="宋体" w:cs="宋体"/>
          <w:color w:val="auto"/>
          <w:kern w:val="0"/>
          <w:sz w:val="24"/>
          <w:highlight w:val="none"/>
        </w:rPr>
      </w:pPr>
      <w:r>
        <w:rPr>
          <w:rFonts w:ascii="宋体" w:hAnsi="宋体" w:cs="宋体"/>
          <w:color w:val="auto"/>
          <w:kern w:val="0"/>
          <w:sz w:val="24"/>
          <w:highlight w:val="none"/>
        </w:rPr>
        <w:t>9</w:t>
      </w:r>
      <w:r>
        <w:rPr>
          <w:rFonts w:hint="eastAsia" w:ascii="宋体" w:hAnsi="宋体" w:cs="宋体"/>
          <w:color w:val="auto"/>
          <w:kern w:val="0"/>
          <w:sz w:val="24"/>
          <w:highlight w:val="none"/>
        </w:rPr>
        <w:t>、售后服务商将建立质量跟踪档案，每季度不少于一次向贵方进行现场（或电话）</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回访，以保证货物的正常高效使用，同时记录售后服务情况并征求使用单位的售后服务反馈意见；</w:t>
      </w:r>
    </w:p>
    <w:p>
      <w:pPr>
        <w:snapToGrid w:val="0"/>
        <w:spacing w:line="360" w:lineRule="auto"/>
        <w:ind w:firstLine="480" w:firstLineChars="200"/>
        <w:textAlignment w:val="baseline"/>
        <w:rPr>
          <w:rFonts w:ascii="宋体" w:cs="宋体"/>
          <w:color w:val="auto"/>
          <w:kern w:val="0"/>
          <w:sz w:val="24"/>
          <w:highlight w:val="none"/>
        </w:rPr>
      </w:pPr>
      <w:r>
        <w:rPr>
          <w:rFonts w:hint="eastAsia" w:ascii="宋体" w:hAnsi="宋体" w:cs="宋体"/>
          <w:color w:val="auto"/>
          <w:kern w:val="0"/>
          <w:sz w:val="24"/>
          <w:highlight w:val="none"/>
        </w:rPr>
        <w:t>我司于</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日签署本文件，</w:t>
      </w:r>
      <w:r>
        <w:rPr>
          <w:rFonts w:ascii="宋体" w:cs="宋体"/>
          <w:color w:val="auto"/>
          <w:kern w:val="0"/>
          <w:sz w:val="24"/>
          <w:highlight w:val="none"/>
          <w:u w:val="single"/>
        </w:rPr>
        <w:tab/>
      </w:r>
      <w:r>
        <w:rPr>
          <w:rFonts w:ascii="宋体" w:hAnsi="宋体" w:cs="宋体"/>
          <w:color w:val="auto"/>
          <w:kern w:val="0"/>
          <w:sz w:val="24"/>
          <w:highlight w:val="none"/>
        </w:rPr>
        <w:t>(</w:t>
      </w:r>
      <w:r>
        <w:rPr>
          <w:rFonts w:hint="eastAsia" w:ascii="宋体" w:hAnsi="宋体" w:cs="宋体"/>
          <w:color w:val="auto"/>
          <w:kern w:val="0"/>
          <w:sz w:val="24"/>
          <w:highlight w:val="none"/>
        </w:rPr>
        <w:t>售后服务商</w:t>
      </w:r>
      <w:r>
        <w:rPr>
          <w:rFonts w:ascii="宋体" w:hAnsi="宋体" w:cs="宋体"/>
          <w:color w:val="auto"/>
          <w:kern w:val="0"/>
          <w:sz w:val="24"/>
          <w:highlight w:val="none"/>
        </w:rPr>
        <w:t>)</w:t>
      </w:r>
      <w:r>
        <w:rPr>
          <w:rFonts w:hint="eastAsia" w:ascii="宋体" w:hAnsi="宋体" w:cs="宋体"/>
          <w:color w:val="auto"/>
          <w:kern w:val="0"/>
          <w:sz w:val="24"/>
          <w:highlight w:val="none"/>
        </w:rPr>
        <w:t>于</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日接受此件，代表我方履行上述售后服务条款，并具有替换或撤销的全权，如果售后服务商未能履行上述服务条款，我司将承担全部责任，以此为证。</w:t>
      </w:r>
    </w:p>
    <w:p>
      <w:pPr>
        <w:snapToGrid w:val="0"/>
        <w:spacing w:line="360" w:lineRule="auto"/>
        <w:textAlignment w:val="baseline"/>
        <w:rPr>
          <w:rFonts w:hint="eastAsia" w:ascii="宋体" w:hAnsi="宋体" w:cs="宋体"/>
          <w:color w:val="auto"/>
          <w:kern w:val="0"/>
          <w:sz w:val="24"/>
          <w:highlight w:val="none"/>
        </w:rPr>
      </w:pPr>
    </w:p>
    <w:p>
      <w:pPr>
        <w:snapToGrid w:val="0"/>
        <w:spacing w:line="360" w:lineRule="auto"/>
        <w:textAlignment w:val="baseline"/>
        <w:rPr>
          <w:rFonts w:ascii="宋体" w:cs="宋体"/>
          <w:color w:val="auto"/>
          <w:kern w:val="0"/>
          <w:sz w:val="24"/>
          <w:highlight w:val="none"/>
        </w:rPr>
      </w:pPr>
      <w:r>
        <w:rPr>
          <w:rFonts w:hint="eastAsia" w:ascii="宋体" w:hAnsi="宋体" w:cs="宋体"/>
          <w:color w:val="auto"/>
          <w:kern w:val="0"/>
          <w:sz w:val="24"/>
          <w:highlight w:val="none"/>
        </w:rPr>
        <w:t>售后服务商名称：（公章）</w:t>
      </w:r>
      <w:r>
        <w:rPr>
          <w:rFonts w:ascii="宋体" w:cs="宋体"/>
          <w:color w:val="auto"/>
          <w:kern w:val="0"/>
          <w:sz w:val="24"/>
          <w:highlight w:val="none"/>
        </w:rPr>
        <w:tab/>
      </w:r>
      <w:r>
        <w:rPr>
          <w:rFonts w:ascii="宋体" w:hAnsi="宋体" w:cs="宋体"/>
          <w:color w:val="auto"/>
          <w:kern w:val="0"/>
          <w:sz w:val="24"/>
          <w:highlight w:val="none"/>
        </w:rPr>
        <w:t xml:space="preserve">                         </w:t>
      </w:r>
      <w:r>
        <w:rPr>
          <w:rFonts w:hint="eastAsia" w:ascii="宋体" w:hAnsi="宋体" w:cs="宋体"/>
          <w:color w:val="auto"/>
          <w:kern w:val="0"/>
          <w:sz w:val="24"/>
          <w:highlight w:val="none"/>
        </w:rPr>
        <w:t>制造商名称：（公章）</w:t>
      </w:r>
    </w:p>
    <w:p>
      <w:pPr>
        <w:snapToGrid w:val="0"/>
        <w:spacing w:line="360" w:lineRule="auto"/>
        <w:textAlignment w:val="baseline"/>
        <w:rPr>
          <w:rFonts w:ascii="宋体" w:cs="宋体"/>
          <w:color w:val="auto"/>
          <w:kern w:val="0"/>
          <w:sz w:val="24"/>
          <w:highlight w:val="none"/>
        </w:rPr>
      </w:pPr>
      <w:r>
        <w:rPr>
          <w:rFonts w:hint="eastAsia" w:ascii="宋体" w:hAnsi="宋体" w:cs="宋体"/>
          <w:color w:val="auto"/>
          <w:kern w:val="0"/>
          <w:sz w:val="24"/>
          <w:highlight w:val="none"/>
        </w:rPr>
        <w:t>法定地址：</w:t>
      </w:r>
      <w:r>
        <w:rPr>
          <w:rFonts w:ascii="宋体" w:cs="宋体"/>
          <w:color w:val="auto"/>
          <w:kern w:val="0"/>
          <w:sz w:val="24"/>
          <w:highlight w:val="none"/>
        </w:rPr>
        <w:tab/>
      </w:r>
      <w:r>
        <w:rPr>
          <w:rFonts w:ascii="宋体" w:hAnsi="宋体" w:cs="宋体"/>
          <w:color w:val="auto"/>
          <w:kern w:val="0"/>
          <w:sz w:val="24"/>
          <w:highlight w:val="none"/>
        </w:rPr>
        <w:t xml:space="preserve">                                         </w:t>
      </w:r>
      <w:r>
        <w:rPr>
          <w:rFonts w:hint="eastAsia" w:ascii="宋体" w:hAnsi="宋体" w:cs="宋体"/>
          <w:color w:val="auto"/>
          <w:kern w:val="0"/>
          <w:sz w:val="24"/>
          <w:highlight w:val="none"/>
        </w:rPr>
        <w:t>法定地址：</w:t>
      </w:r>
    </w:p>
    <w:p>
      <w:pPr>
        <w:snapToGrid w:val="0"/>
        <w:spacing w:line="360" w:lineRule="auto"/>
        <w:textAlignment w:val="baseline"/>
        <w:rPr>
          <w:rFonts w:ascii="宋体" w:cs="宋体"/>
          <w:color w:val="auto"/>
          <w:kern w:val="0"/>
          <w:sz w:val="24"/>
          <w:highlight w:val="none"/>
        </w:rPr>
      </w:pPr>
      <w:r>
        <w:rPr>
          <w:rFonts w:hint="eastAsia" w:ascii="宋体" w:hAnsi="宋体" w:cs="宋体"/>
          <w:color w:val="auto"/>
          <w:kern w:val="0"/>
          <w:sz w:val="24"/>
          <w:highlight w:val="none"/>
        </w:rPr>
        <w:t>授权签字的代表姓名：</w:t>
      </w:r>
      <w:r>
        <w:rPr>
          <w:rFonts w:ascii="宋体" w:cs="宋体"/>
          <w:color w:val="auto"/>
          <w:kern w:val="0"/>
          <w:sz w:val="24"/>
          <w:highlight w:val="none"/>
        </w:rPr>
        <w:tab/>
      </w:r>
      <w:r>
        <w:rPr>
          <w:rFonts w:ascii="宋体" w:hAnsi="宋体" w:cs="宋体"/>
          <w:color w:val="auto"/>
          <w:kern w:val="0"/>
          <w:sz w:val="24"/>
          <w:highlight w:val="none"/>
        </w:rPr>
        <w:t xml:space="preserve">                             </w:t>
      </w:r>
      <w:r>
        <w:rPr>
          <w:rFonts w:hint="eastAsia" w:ascii="宋体" w:hAnsi="宋体" w:cs="宋体"/>
          <w:color w:val="auto"/>
          <w:kern w:val="0"/>
          <w:sz w:val="24"/>
          <w:highlight w:val="none"/>
        </w:rPr>
        <w:t>授权签字的代表姓名：</w:t>
      </w:r>
    </w:p>
    <w:p>
      <w:pPr>
        <w:snapToGrid w:val="0"/>
        <w:spacing w:line="360" w:lineRule="auto"/>
        <w:textAlignment w:val="baseline"/>
        <w:rPr>
          <w:rFonts w:ascii="宋体" w:cs="宋体"/>
          <w:color w:val="auto"/>
          <w:kern w:val="0"/>
          <w:sz w:val="24"/>
          <w:highlight w:val="none"/>
        </w:rPr>
      </w:pPr>
      <w:r>
        <w:rPr>
          <w:rFonts w:hint="eastAsia" w:ascii="宋体" w:hAnsi="宋体" w:cs="宋体"/>
          <w:color w:val="auto"/>
          <w:kern w:val="0"/>
          <w:sz w:val="24"/>
          <w:highlight w:val="none"/>
        </w:rPr>
        <w:t>职务和部门：</w:t>
      </w:r>
      <w:r>
        <w:rPr>
          <w:rFonts w:ascii="宋体" w:cs="宋体"/>
          <w:color w:val="auto"/>
          <w:kern w:val="0"/>
          <w:sz w:val="24"/>
          <w:highlight w:val="none"/>
        </w:rPr>
        <w:tab/>
      </w:r>
      <w:r>
        <w:rPr>
          <w:rFonts w:ascii="宋体" w:hAnsi="宋体" w:cs="宋体"/>
          <w:color w:val="auto"/>
          <w:kern w:val="0"/>
          <w:sz w:val="24"/>
          <w:highlight w:val="none"/>
        </w:rPr>
        <w:t xml:space="preserve">                                     </w:t>
      </w:r>
      <w:r>
        <w:rPr>
          <w:rFonts w:hint="eastAsia" w:ascii="宋体" w:hAnsi="宋体" w:cs="宋体"/>
          <w:color w:val="auto"/>
          <w:kern w:val="0"/>
          <w:sz w:val="24"/>
          <w:highlight w:val="none"/>
        </w:rPr>
        <w:t>职务和部门：</w:t>
      </w:r>
    </w:p>
    <w:p>
      <w:pPr>
        <w:spacing w:line="360" w:lineRule="auto"/>
        <w:rPr>
          <w:color w:val="auto"/>
          <w:highlight w:val="none"/>
        </w:rPr>
      </w:pPr>
    </w:p>
    <w:p>
      <w:pPr>
        <w:spacing w:line="360" w:lineRule="auto"/>
        <w:rPr>
          <w:color w:val="auto"/>
          <w:highlight w:val="none"/>
        </w:rPr>
      </w:pPr>
    </w:p>
    <w:p>
      <w:pPr>
        <w:spacing w:line="360" w:lineRule="auto"/>
        <w:rPr>
          <w:color w:val="auto"/>
          <w:highlight w:val="none"/>
        </w:rPr>
      </w:pPr>
    </w:p>
    <w:p>
      <w:pPr>
        <w:spacing w:line="360" w:lineRule="auto"/>
        <w:rPr>
          <w:color w:val="auto"/>
          <w:highlight w:val="none"/>
        </w:rPr>
      </w:pPr>
    </w:p>
    <w:p>
      <w:pPr>
        <w:spacing w:line="360" w:lineRule="auto"/>
        <w:rPr>
          <w:color w:val="auto"/>
          <w:highlight w:val="none"/>
        </w:rPr>
      </w:pPr>
    </w:p>
    <w:p>
      <w:pPr>
        <w:spacing w:line="360" w:lineRule="auto"/>
        <w:rPr>
          <w:color w:val="auto"/>
          <w:highlight w:val="none"/>
        </w:rPr>
      </w:pPr>
    </w:p>
    <w:p>
      <w:pPr>
        <w:spacing w:line="360" w:lineRule="auto"/>
        <w:rPr>
          <w:color w:val="auto"/>
          <w:highlight w:val="none"/>
        </w:rPr>
      </w:pPr>
    </w:p>
    <w:p>
      <w:pPr>
        <w:spacing w:line="360" w:lineRule="auto"/>
        <w:rPr>
          <w:color w:val="auto"/>
          <w:highlight w:val="none"/>
        </w:rPr>
      </w:pPr>
    </w:p>
    <w:p>
      <w:pPr>
        <w:widowControl/>
        <w:spacing w:line="360" w:lineRule="auto"/>
        <w:rPr>
          <w:rFonts w:ascii="宋体" w:cs="宋体"/>
          <w:color w:val="auto"/>
          <w:szCs w:val="21"/>
          <w:highlight w:val="none"/>
        </w:rPr>
      </w:pPr>
    </w:p>
    <w:p>
      <w:pPr>
        <w:autoSpaceDE w:val="0"/>
        <w:autoSpaceDN w:val="0"/>
        <w:spacing w:line="360" w:lineRule="auto"/>
        <w:jc w:val="center"/>
        <w:rPr>
          <w:rFonts w:ascii="宋体" w:cs="宋体"/>
          <w:b/>
          <w:bCs/>
          <w:color w:val="auto"/>
          <w:sz w:val="36"/>
          <w:szCs w:val="36"/>
          <w:highlight w:val="none"/>
        </w:rPr>
      </w:pPr>
    </w:p>
    <w:p>
      <w:pPr>
        <w:pStyle w:val="21"/>
        <w:rPr>
          <w:rFonts w:ascii="宋体" w:cs="宋体"/>
          <w:b/>
          <w:bCs/>
          <w:color w:val="auto"/>
          <w:sz w:val="36"/>
          <w:szCs w:val="36"/>
          <w:highlight w:val="none"/>
        </w:rPr>
      </w:pPr>
    </w:p>
    <w:p>
      <w:pPr>
        <w:rPr>
          <w:rFonts w:ascii="宋体" w:cs="宋体"/>
          <w:b/>
          <w:bCs/>
          <w:color w:val="auto"/>
          <w:sz w:val="36"/>
          <w:szCs w:val="36"/>
          <w:highlight w:val="none"/>
        </w:rPr>
      </w:pPr>
    </w:p>
    <w:p>
      <w:pPr>
        <w:rPr>
          <w:rFonts w:ascii="宋体" w:cs="宋体"/>
          <w:b/>
          <w:bCs/>
          <w:color w:val="auto"/>
          <w:sz w:val="36"/>
          <w:szCs w:val="36"/>
          <w:highlight w:val="none"/>
        </w:rPr>
      </w:pPr>
    </w:p>
    <w:p>
      <w:pPr>
        <w:rPr>
          <w:rFonts w:ascii="宋体" w:cs="宋体"/>
          <w:b/>
          <w:bCs/>
          <w:color w:val="auto"/>
          <w:sz w:val="36"/>
          <w:szCs w:val="36"/>
          <w:highlight w:val="none"/>
        </w:rPr>
      </w:pPr>
    </w:p>
    <w:p>
      <w:pPr>
        <w:rPr>
          <w:color w:val="auto"/>
          <w:highlight w:val="none"/>
        </w:rPr>
      </w:pPr>
    </w:p>
    <w:p>
      <w:pPr>
        <w:jc w:val="center"/>
        <w:rPr>
          <w:rFonts w:ascii="宋体" w:cs="宋体"/>
          <w:b/>
          <w:bCs/>
          <w:color w:val="auto"/>
          <w:sz w:val="28"/>
          <w:szCs w:val="28"/>
          <w:highlight w:val="none"/>
        </w:rPr>
      </w:pPr>
      <w:r>
        <w:rPr>
          <w:rFonts w:hint="eastAsia" w:ascii="宋体" w:hAnsi="宋体" w:cs="宋体"/>
          <w:b/>
          <w:bCs/>
          <w:color w:val="auto"/>
          <w:sz w:val="28"/>
          <w:szCs w:val="28"/>
          <w:highlight w:val="none"/>
        </w:rPr>
        <w:t>专项预付款银行保函</w:t>
      </w:r>
    </w:p>
    <w:p>
      <w:pPr>
        <w:snapToGrid w:val="0"/>
        <w:spacing w:line="500" w:lineRule="exact"/>
        <w:ind w:firstLine="480" w:firstLineChars="200"/>
        <w:textAlignment w:val="baseline"/>
        <w:rPr>
          <w:rFonts w:hint="eastAsia" w:asci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致：</w:t>
      </w:r>
      <w:r>
        <w:rPr>
          <w:rFonts w:hint="eastAsia" w:ascii="宋体" w:hAnsi="宋体" w:cs="宋体"/>
          <w:color w:val="auto"/>
          <w:kern w:val="0"/>
          <w:sz w:val="24"/>
          <w:szCs w:val="24"/>
          <w:highlight w:val="none"/>
          <w:lang w:eastAsia="zh-CN"/>
        </w:rPr>
        <w:t>平顶山市消防救援支队</w:t>
      </w:r>
    </w:p>
    <w:p>
      <w:pPr>
        <w:snapToGrid w:val="0"/>
        <w:spacing w:line="500" w:lineRule="exact"/>
        <w:ind w:firstLine="480" w:firstLineChars="200"/>
        <w:textAlignment w:val="baseline"/>
        <w:rPr>
          <w:rFonts w:ascii="宋体" w:cs="宋体"/>
          <w:color w:val="auto"/>
          <w:kern w:val="0"/>
          <w:sz w:val="24"/>
          <w:szCs w:val="24"/>
          <w:highlight w:val="none"/>
        </w:rPr>
      </w:pPr>
      <w:r>
        <w:rPr>
          <w:rFonts w:hint="eastAsia" w:ascii="宋体" w:hAnsi="宋体" w:cs="宋体"/>
          <w:color w:val="auto"/>
          <w:kern w:val="0"/>
          <w:sz w:val="24"/>
          <w:szCs w:val="24"/>
          <w:highlight w:val="none"/>
        </w:rPr>
        <w:t>根据</w:t>
      </w:r>
      <w:r>
        <w:rPr>
          <w:rFonts w:ascii="宋体" w:cs="宋体"/>
          <w:color w:val="auto"/>
          <w:kern w:val="0"/>
          <w:sz w:val="24"/>
          <w:szCs w:val="24"/>
          <w:highlight w:val="none"/>
          <w:u w:val="single"/>
        </w:rPr>
        <w:tab/>
      </w:r>
      <w:r>
        <w:rPr>
          <w:rFonts w:ascii="宋体" w:cs="宋体"/>
          <w:color w:val="auto"/>
          <w:kern w:val="0"/>
          <w:sz w:val="24"/>
          <w:szCs w:val="24"/>
          <w:highlight w:val="none"/>
          <w:u w:val="single"/>
        </w:rPr>
        <w:tab/>
      </w:r>
      <w:r>
        <w:rPr>
          <w:rFonts w:hint="eastAsia" w:ascii="宋体" w:hAnsi="宋体" w:cs="宋体"/>
          <w:color w:val="auto"/>
          <w:kern w:val="0"/>
          <w:sz w:val="24"/>
          <w:szCs w:val="24"/>
          <w:highlight w:val="none"/>
          <w:u w:val="single"/>
        </w:rPr>
        <w:t>（下称“公司”）</w:t>
      </w:r>
      <w:r>
        <w:rPr>
          <w:rFonts w:hint="eastAsia" w:ascii="宋体" w:hAnsi="宋体" w:cs="宋体"/>
          <w:color w:val="auto"/>
          <w:kern w:val="0"/>
          <w:sz w:val="24"/>
          <w:szCs w:val="24"/>
          <w:highlight w:val="none"/>
        </w:rPr>
        <w:t>与</w:t>
      </w:r>
      <w:r>
        <w:rPr>
          <w:rFonts w:hint="eastAsia" w:ascii="宋体" w:hAnsi="宋体" w:cs="宋体"/>
          <w:color w:val="auto"/>
          <w:kern w:val="0"/>
          <w:sz w:val="24"/>
          <w:szCs w:val="24"/>
          <w:highlight w:val="none"/>
          <w:lang w:eastAsia="zh-CN"/>
        </w:rPr>
        <w:t>平顶山市消防救援支队</w:t>
      </w:r>
      <w:r>
        <w:rPr>
          <w:rFonts w:hint="eastAsia" w:ascii="宋体" w:hAnsi="宋体" w:cs="宋体"/>
          <w:color w:val="auto"/>
          <w:kern w:val="0"/>
          <w:sz w:val="24"/>
          <w:szCs w:val="24"/>
          <w:highlight w:val="none"/>
        </w:rPr>
        <w:t>（下称“消防救援</w:t>
      </w:r>
      <w:r>
        <w:rPr>
          <w:rFonts w:hint="eastAsia" w:ascii="宋体" w:hAnsi="宋体" w:cs="宋体"/>
          <w:color w:val="auto"/>
          <w:kern w:val="0"/>
          <w:sz w:val="24"/>
          <w:szCs w:val="24"/>
          <w:highlight w:val="none"/>
          <w:lang w:eastAsia="zh-CN"/>
        </w:rPr>
        <w:t>支</w:t>
      </w:r>
      <w:r>
        <w:rPr>
          <w:rFonts w:hint="eastAsia" w:ascii="宋体" w:hAnsi="宋体" w:cs="宋体"/>
          <w:color w:val="auto"/>
          <w:kern w:val="0"/>
          <w:sz w:val="24"/>
          <w:szCs w:val="24"/>
          <w:highlight w:val="none"/>
        </w:rPr>
        <w:t>队</w:t>
      </w:r>
      <w:r>
        <w:rPr>
          <w:rFonts w:hint="eastAsia" w:ascii="宋体" w:hAnsi="宋体" w:cs="宋体"/>
          <w:color w:val="auto"/>
          <w:kern w:val="0"/>
          <w:sz w:val="24"/>
          <w:szCs w:val="24"/>
          <w:highlight w:val="none"/>
        </w:rPr>
        <w:t>”）于</w:t>
      </w:r>
      <w:r>
        <w:rPr>
          <w:rFonts w:ascii="宋体" w:cs="宋体"/>
          <w:color w:val="auto"/>
          <w:kern w:val="0"/>
          <w:sz w:val="24"/>
          <w:szCs w:val="24"/>
          <w:highlight w:val="none"/>
          <w:u w:val="single"/>
        </w:rPr>
        <w:tab/>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none"/>
        </w:rPr>
        <w:t>年</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none"/>
        </w:rPr>
        <w:t>月</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none"/>
        </w:rPr>
        <w:t>日</w:t>
      </w:r>
      <w:r>
        <w:rPr>
          <w:rFonts w:hint="eastAsia" w:ascii="宋体" w:hAnsi="宋体" w:cs="宋体"/>
          <w:color w:val="auto"/>
          <w:kern w:val="0"/>
          <w:sz w:val="24"/>
          <w:szCs w:val="24"/>
          <w:highlight w:val="none"/>
        </w:rPr>
        <w:t>签订的</w:t>
      </w:r>
      <w:r>
        <w:rPr>
          <w:rFonts w:hint="eastAsia" w:ascii="宋体" w:hAnsi="宋体" w:cs="宋体"/>
          <w:color w:val="auto"/>
          <w:kern w:val="0"/>
          <w:sz w:val="24"/>
          <w:szCs w:val="24"/>
          <w:highlight w:val="none"/>
          <w:u w:val="single"/>
        </w:rPr>
        <w:t>《</w:t>
      </w:r>
      <w:r>
        <w:rPr>
          <w:rFonts w:ascii="宋体" w:cs="宋体"/>
          <w:color w:val="auto"/>
          <w:kern w:val="0"/>
          <w:sz w:val="24"/>
          <w:szCs w:val="24"/>
          <w:highlight w:val="none"/>
          <w:u w:val="single"/>
        </w:rPr>
        <w:tab/>
      </w:r>
      <w:r>
        <w:rPr>
          <w:rFonts w:ascii="宋体" w:cs="宋体"/>
          <w:color w:val="auto"/>
          <w:kern w:val="0"/>
          <w:sz w:val="24"/>
          <w:szCs w:val="24"/>
          <w:highlight w:val="none"/>
          <w:u w:val="single"/>
        </w:rPr>
        <w:tab/>
      </w:r>
      <w:r>
        <w:rPr>
          <w:rFonts w:hint="eastAsia" w:ascii="宋体" w:hAnsi="宋体" w:cs="宋体"/>
          <w:color w:val="auto"/>
          <w:kern w:val="0"/>
          <w:sz w:val="24"/>
          <w:szCs w:val="24"/>
          <w:highlight w:val="none"/>
          <w:u w:val="single"/>
        </w:rPr>
        <w:t>合同》</w:t>
      </w:r>
      <w:r>
        <w:rPr>
          <w:rFonts w:hint="eastAsia" w:ascii="宋体" w:hAnsi="宋体" w:cs="宋体"/>
          <w:color w:val="auto"/>
          <w:kern w:val="0"/>
          <w:sz w:val="24"/>
          <w:szCs w:val="24"/>
          <w:highlight w:val="none"/>
        </w:rPr>
        <w:t>约定，</w:t>
      </w:r>
      <w:r>
        <w:rPr>
          <w:rFonts w:ascii="宋体" w:cs="宋体"/>
          <w:color w:val="auto"/>
          <w:kern w:val="0"/>
          <w:sz w:val="24"/>
          <w:szCs w:val="24"/>
          <w:highlight w:val="none"/>
          <w:u w:val="single"/>
        </w:rPr>
        <w:tab/>
      </w:r>
      <w:r>
        <w:rPr>
          <w:rFonts w:hint="eastAsia" w:asci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公司</w:t>
      </w:r>
      <w:r>
        <w:rPr>
          <w:rFonts w:hint="eastAsia" w:ascii="宋体" w:hAnsi="宋体" w:cs="宋体"/>
          <w:color w:val="auto"/>
          <w:kern w:val="0"/>
          <w:sz w:val="24"/>
          <w:szCs w:val="24"/>
          <w:highlight w:val="none"/>
        </w:rPr>
        <w:t>按约定的金额提交一份预付款银行保函（下称“保函”）作为购买材料（或合同约定的其他专项义务）专款专用的担保后，</w:t>
      </w:r>
      <w:r>
        <w:rPr>
          <w:rFonts w:ascii="宋体" w:cs="宋体"/>
          <w:color w:val="auto"/>
          <w:kern w:val="0"/>
          <w:sz w:val="24"/>
          <w:szCs w:val="24"/>
          <w:highlight w:val="none"/>
          <w:u w:val="single"/>
        </w:rPr>
        <w:tab/>
      </w:r>
      <w:r>
        <w:rPr>
          <w:rFonts w:ascii="宋体" w:cs="宋体"/>
          <w:color w:val="auto"/>
          <w:kern w:val="0"/>
          <w:sz w:val="24"/>
          <w:szCs w:val="24"/>
          <w:highlight w:val="none"/>
          <w:u w:val="single"/>
        </w:rPr>
        <w:tab/>
      </w:r>
      <w:r>
        <w:rPr>
          <w:rFonts w:hint="eastAsia" w:ascii="宋体" w:hAnsi="宋体" w:cs="宋体"/>
          <w:color w:val="auto"/>
          <w:kern w:val="0"/>
          <w:sz w:val="24"/>
          <w:szCs w:val="24"/>
          <w:highlight w:val="none"/>
          <w:u w:val="single"/>
        </w:rPr>
        <w:t>公司</w:t>
      </w:r>
      <w:r>
        <w:rPr>
          <w:rFonts w:hint="eastAsia" w:ascii="宋体" w:hAnsi="宋体" w:cs="宋体"/>
          <w:color w:val="auto"/>
          <w:kern w:val="0"/>
          <w:sz w:val="24"/>
          <w:szCs w:val="24"/>
          <w:highlight w:val="none"/>
        </w:rPr>
        <w:t>即有权得到消防救援</w:t>
      </w:r>
      <w:r>
        <w:rPr>
          <w:rFonts w:hint="eastAsia" w:ascii="宋体" w:hAnsi="宋体" w:cs="宋体"/>
          <w:color w:val="auto"/>
          <w:kern w:val="0"/>
          <w:sz w:val="24"/>
          <w:szCs w:val="24"/>
          <w:highlight w:val="none"/>
          <w:lang w:eastAsia="zh-CN"/>
        </w:rPr>
        <w:t>支</w:t>
      </w:r>
      <w:r>
        <w:rPr>
          <w:rFonts w:hint="eastAsia" w:ascii="宋体" w:hAnsi="宋体" w:cs="宋体"/>
          <w:color w:val="auto"/>
          <w:kern w:val="0"/>
          <w:sz w:val="24"/>
          <w:szCs w:val="24"/>
          <w:highlight w:val="none"/>
        </w:rPr>
        <w:t>队</w:t>
      </w:r>
      <w:r>
        <w:rPr>
          <w:rFonts w:hint="eastAsia" w:ascii="宋体" w:hAnsi="宋体" w:cs="宋体"/>
          <w:color w:val="auto"/>
          <w:kern w:val="0"/>
          <w:sz w:val="24"/>
          <w:szCs w:val="24"/>
          <w:highlight w:val="none"/>
        </w:rPr>
        <w:t>支付的一笔相等金额的（预购材料）的预付款。我行愿意出具保函为公司担保，担保金额为人民币</w:t>
      </w:r>
      <w:r>
        <w:rPr>
          <w:rFonts w:hint="eastAsia" w:ascii="宋体" w:hAnsi="宋体" w:cs="宋体"/>
          <w:color w:val="auto"/>
          <w:kern w:val="0"/>
          <w:sz w:val="24"/>
          <w:szCs w:val="24"/>
          <w:highlight w:val="none"/>
          <w:u w:val="single"/>
        </w:rPr>
        <w:t>（大写）</w:t>
      </w:r>
      <w:r>
        <w:rPr>
          <w:rFonts w:ascii="宋体" w:cs="宋体"/>
          <w:color w:val="auto"/>
          <w:kern w:val="0"/>
          <w:sz w:val="24"/>
          <w:szCs w:val="24"/>
          <w:highlight w:val="none"/>
          <w:u w:val="single"/>
        </w:rPr>
        <w:tab/>
      </w:r>
      <w:r>
        <w:rPr>
          <w:rFonts w:hint="eastAsia" w:asci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w:t>
      </w:r>
      <w:r>
        <w:rPr>
          <w:rFonts w:hint="eastAsia" w:ascii="宋体" w:hAnsi="宋体" w:cs="宋体"/>
          <w:color w:val="auto"/>
          <w:kern w:val="0"/>
          <w:sz w:val="24"/>
          <w:szCs w:val="24"/>
          <w:highlight w:val="none"/>
          <w:u w:val="single"/>
          <w:lang w:val="en-US" w:eastAsia="zh-CN"/>
        </w:rPr>
        <w:t xml:space="preserve"> </w:t>
      </w:r>
      <w:r>
        <w:rPr>
          <w:rFonts w:ascii="宋体" w:cs="宋体"/>
          <w:color w:val="auto"/>
          <w:kern w:val="0"/>
          <w:sz w:val="24"/>
          <w:szCs w:val="24"/>
          <w:highlight w:val="none"/>
          <w:u w:val="single"/>
        </w:rPr>
        <w:tab/>
      </w:r>
      <w:r>
        <w:rPr>
          <w:rFonts w:hint="eastAsia" w:ascii="宋体" w:hAnsi="宋体" w:cs="宋体"/>
          <w:color w:val="auto"/>
          <w:kern w:val="0"/>
          <w:sz w:val="24"/>
          <w:szCs w:val="24"/>
          <w:highlight w:val="none"/>
          <w:u w:val="single"/>
        </w:rPr>
        <w:t>元）</w:t>
      </w:r>
      <w:r>
        <w:rPr>
          <w:rFonts w:hint="eastAsia" w:ascii="宋体" w:hAnsi="宋体" w:cs="宋体"/>
          <w:color w:val="auto"/>
          <w:kern w:val="0"/>
          <w:sz w:val="24"/>
          <w:szCs w:val="24"/>
          <w:highlight w:val="none"/>
        </w:rPr>
        <w:t>。</w:t>
      </w:r>
    </w:p>
    <w:p>
      <w:pPr>
        <w:snapToGrid w:val="0"/>
        <w:spacing w:line="500" w:lineRule="exact"/>
        <w:ind w:firstLine="480" w:firstLineChars="200"/>
        <w:textAlignment w:val="baseline"/>
        <w:rPr>
          <w:rFonts w:ascii="宋体" w:cs="宋体"/>
          <w:color w:val="auto"/>
          <w:kern w:val="0"/>
          <w:sz w:val="24"/>
          <w:szCs w:val="24"/>
          <w:highlight w:val="none"/>
        </w:rPr>
      </w:pPr>
      <w:r>
        <w:rPr>
          <w:rFonts w:hint="eastAsia" w:ascii="宋体" w:hAnsi="宋体" w:cs="宋体"/>
          <w:color w:val="auto"/>
          <w:kern w:val="0"/>
          <w:sz w:val="24"/>
          <w:szCs w:val="24"/>
          <w:highlight w:val="none"/>
        </w:rPr>
        <w:t>本保函的义务是：我行在接到消防救援</w:t>
      </w:r>
      <w:r>
        <w:rPr>
          <w:rFonts w:hint="eastAsia" w:ascii="宋体" w:hAnsi="宋体" w:cs="宋体"/>
          <w:color w:val="auto"/>
          <w:kern w:val="0"/>
          <w:sz w:val="24"/>
          <w:szCs w:val="24"/>
          <w:highlight w:val="none"/>
          <w:lang w:eastAsia="zh-CN"/>
        </w:rPr>
        <w:t>支</w:t>
      </w:r>
      <w:r>
        <w:rPr>
          <w:rFonts w:hint="eastAsia" w:ascii="宋体" w:hAnsi="宋体" w:cs="宋体"/>
          <w:color w:val="auto"/>
          <w:kern w:val="0"/>
          <w:sz w:val="24"/>
          <w:szCs w:val="24"/>
          <w:highlight w:val="none"/>
        </w:rPr>
        <w:t>队</w:t>
      </w:r>
      <w:r>
        <w:rPr>
          <w:rFonts w:hint="eastAsia" w:ascii="宋体" w:hAnsi="宋体" w:cs="宋体"/>
          <w:color w:val="auto"/>
          <w:kern w:val="0"/>
          <w:sz w:val="24"/>
          <w:szCs w:val="24"/>
          <w:highlight w:val="none"/>
        </w:rPr>
        <w:t>提出的因</w:t>
      </w:r>
      <w:r>
        <w:rPr>
          <w:rFonts w:ascii="宋体" w:cs="宋体"/>
          <w:color w:val="auto"/>
          <w:kern w:val="0"/>
          <w:sz w:val="24"/>
          <w:szCs w:val="24"/>
          <w:highlight w:val="none"/>
          <w:u w:val="single"/>
        </w:rPr>
        <w:tab/>
      </w:r>
      <w:r>
        <w:rPr>
          <w:rFonts w:hint="eastAsia" w:ascii="宋体" w:hAnsi="宋体" w:cs="宋体"/>
          <w:color w:val="auto"/>
          <w:kern w:val="0"/>
          <w:sz w:val="24"/>
          <w:szCs w:val="24"/>
          <w:highlight w:val="none"/>
          <w:u w:val="single"/>
        </w:rPr>
        <w:t>公司</w:t>
      </w:r>
      <w:r>
        <w:rPr>
          <w:rFonts w:hint="eastAsia" w:ascii="宋体" w:hAnsi="宋体" w:cs="宋体"/>
          <w:color w:val="auto"/>
          <w:kern w:val="0"/>
          <w:sz w:val="24"/>
          <w:szCs w:val="24"/>
          <w:highlight w:val="none"/>
        </w:rPr>
        <w:t>在履行合同过程中未将消防救援</w:t>
      </w:r>
      <w:r>
        <w:rPr>
          <w:rFonts w:hint="eastAsia" w:ascii="宋体" w:hAnsi="宋体" w:cs="宋体"/>
          <w:color w:val="auto"/>
          <w:kern w:val="0"/>
          <w:sz w:val="24"/>
          <w:szCs w:val="24"/>
          <w:highlight w:val="none"/>
          <w:lang w:eastAsia="zh-CN"/>
        </w:rPr>
        <w:t>支</w:t>
      </w:r>
      <w:r>
        <w:rPr>
          <w:rFonts w:hint="eastAsia" w:ascii="宋体" w:hAnsi="宋体" w:cs="宋体"/>
          <w:color w:val="auto"/>
          <w:kern w:val="0"/>
          <w:sz w:val="24"/>
          <w:szCs w:val="24"/>
          <w:highlight w:val="none"/>
        </w:rPr>
        <w:t>队</w:t>
      </w:r>
      <w:r>
        <w:rPr>
          <w:rFonts w:hint="eastAsia" w:ascii="宋体" w:hAnsi="宋体" w:cs="宋体"/>
          <w:color w:val="auto"/>
          <w:kern w:val="0"/>
          <w:sz w:val="24"/>
          <w:szCs w:val="24"/>
          <w:highlight w:val="none"/>
        </w:rPr>
        <w:t>预付款按</w:t>
      </w:r>
      <w:r>
        <w:rPr>
          <w:rFonts w:hint="eastAsia" w:ascii="宋体" w:hAnsi="宋体" w:cs="宋体"/>
          <w:color w:val="auto"/>
          <w:kern w:val="0"/>
          <w:sz w:val="24"/>
          <w:szCs w:val="24"/>
          <w:highlight w:val="none"/>
          <w:u w:val="single"/>
        </w:rPr>
        <w:t>《</w:t>
      </w:r>
      <w:r>
        <w:rPr>
          <w:rFonts w:ascii="宋体" w:cs="宋体"/>
          <w:color w:val="auto"/>
          <w:kern w:val="0"/>
          <w:sz w:val="24"/>
          <w:szCs w:val="24"/>
          <w:highlight w:val="none"/>
          <w:u w:val="single"/>
        </w:rPr>
        <w:tab/>
      </w:r>
      <w:r>
        <w:rPr>
          <w:rFonts w:hint="eastAsia" w:ascii="宋体" w:hAnsi="宋体" w:cs="宋体"/>
          <w:color w:val="auto"/>
          <w:kern w:val="0"/>
          <w:sz w:val="24"/>
          <w:szCs w:val="24"/>
          <w:highlight w:val="none"/>
          <w:u w:val="single"/>
        </w:rPr>
        <w:t>合同》</w:t>
      </w:r>
      <w:r>
        <w:rPr>
          <w:rFonts w:hint="eastAsia" w:ascii="宋体" w:hAnsi="宋体" w:cs="宋体"/>
          <w:color w:val="auto"/>
          <w:kern w:val="0"/>
          <w:sz w:val="24"/>
          <w:szCs w:val="24"/>
          <w:highlight w:val="none"/>
        </w:rPr>
        <w:t>约定购买</w:t>
      </w:r>
      <w:r>
        <w:rPr>
          <w:rFonts w:ascii="宋体" w:cs="宋体"/>
          <w:color w:val="auto"/>
          <w:kern w:val="0"/>
          <w:sz w:val="24"/>
          <w:szCs w:val="24"/>
          <w:highlight w:val="none"/>
          <w:u w:val="single"/>
        </w:rPr>
        <w:tab/>
      </w:r>
      <w:r>
        <w:rPr>
          <w:rFonts w:hint="eastAsia" w:ascii="宋体" w:hAnsi="宋体" w:cs="宋体"/>
          <w:color w:val="auto"/>
          <w:kern w:val="0"/>
          <w:sz w:val="24"/>
          <w:szCs w:val="24"/>
          <w:highlight w:val="none"/>
          <w:u w:val="single"/>
        </w:rPr>
        <w:t>材料</w:t>
      </w:r>
      <w:r>
        <w:rPr>
          <w:rFonts w:hint="eastAsia" w:ascii="宋体" w:hAnsi="宋体" w:cs="宋体"/>
          <w:color w:val="auto"/>
          <w:kern w:val="0"/>
          <w:sz w:val="24"/>
          <w:szCs w:val="24"/>
          <w:highlight w:val="none"/>
        </w:rPr>
        <w:t>（或合同约定的其他专项义务）而要求索赔的书面通知后</w:t>
      </w:r>
      <w:r>
        <w:rPr>
          <w:rFonts w:ascii="宋体" w:hAnsi="宋体" w:cs="宋体"/>
          <w:color w:val="auto"/>
          <w:kern w:val="0"/>
          <w:sz w:val="24"/>
          <w:szCs w:val="24"/>
          <w:highlight w:val="none"/>
        </w:rPr>
        <w:t>3</w:t>
      </w:r>
      <w:r>
        <w:rPr>
          <w:rFonts w:hint="eastAsia" w:ascii="宋体" w:hAnsi="宋体" w:cs="宋体"/>
          <w:color w:val="auto"/>
          <w:kern w:val="0"/>
          <w:sz w:val="24"/>
          <w:szCs w:val="24"/>
          <w:highlight w:val="none"/>
        </w:rPr>
        <w:t>天内，我行在上述担保金额的限额内无条件向消防救援</w:t>
      </w:r>
      <w:r>
        <w:rPr>
          <w:rFonts w:hint="eastAsia" w:ascii="宋体" w:hAnsi="宋体" w:cs="宋体"/>
          <w:color w:val="auto"/>
          <w:kern w:val="0"/>
          <w:sz w:val="24"/>
          <w:szCs w:val="24"/>
          <w:highlight w:val="none"/>
          <w:lang w:eastAsia="zh-CN"/>
        </w:rPr>
        <w:t>支</w:t>
      </w:r>
      <w:r>
        <w:rPr>
          <w:rFonts w:hint="eastAsia" w:ascii="宋体" w:hAnsi="宋体" w:cs="宋体"/>
          <w:color w:val="auto"/>
          <w:kern w:val="0"/>
          <w:sz w:val="24"/>
          <w:szCs w:val="24"/>
          <w:highlight w:val="none"/>
        </w:rPr>
        <w:t>队</w:t>
      </w:r>
      <w:r>
        <w:rPr>
          <w:rFonts w:hint="eastAsia" w:ascii="宋体" w:hAnsi="宋体" w:cs="宋体"/>
          <w:color w:val="auto"/>
          <w:kern w:val="0"/>
          <w:sz w:val="24"/>
          <w:szCs w:val="24"/>
          <w:highlight w:val="none"/>
        </w:rPr>
        <w:t>支付消防救援</w:t>
      </w:r>
      <w:r>
        <w:rPr>
          <w:rFonts w:hint="eastAsia" w:ascii="宋体" w:hAnsi="宋体" w:cs="宋体"/>
          <w:color w:val="auto"/>
          <w:kern w:val="0"/>
          <w:sz w:val="24"/>
          <w:szCs w:val="24"/>
          <w:highlight w:val="none"/>
          <w:lang w:eastAsia="zh-CN"/>
        </w:rPr>
        <w:t>支</w:t>
      </w:r>
      <w:r>
        <w:rPr>
          <w:rFonts w:hint="eastAsia" w:ascii="宋体" w:hAnsi="宋体" w:cs="宋体"/>
          <w:color w:val="auto"/>
          <w:kern w:val="0"/>
          <w:sz w:val="24"/>
          <w:szCs w:val="24"/>
          <w:highlight w:val="none"/>
        </w:rPr>
        <w:t>队</w:t>
      </w:r>
      <w:r>
        <w:rPr>
          <w:rFonts w:hint="eastAsia" w:ascii="宋体" w:hAnsi="宋体" w:cs="宋体"/>
          <w:color w:val="auto"/>
          <w:kern w:val="0"/>
          <w:sz w:val="24"/>
          <w:szCs w:val="24"/>
          <w:highlight w:val="none"/>
        </w:rPr>
        <w:t>所要求数额的款项，无须消防救援</w:t>
      </w:r>
      <w:r>
        <w:rPr>
          <w:rFonts w:hint="eastAsia" w:ascii="宋体" w:hAnsi="宋体" w:cs="宋体"/>
          <w:color w:val="auto"/>
          <w:kern w:val="0"/>
          <w:sz w:val="24"/>
          <w:szCs w:val="24"/>
          <w:highlight w:val="none"/>
          <w:lang w:eastAsia="zh-CN"/>
        </w:rPr>
        <w:t>支</w:t>
      </w:r>
      <w:r>
        <w:rPr>
          <w:rFonts w:hint="eastAsia" w:ascii="宋体" w:hAnsi="宋体" w:cs="宋体"/>
          <w:color w:val="auto"/>
          <w:kern w:val="0"/>
          <w:sz w:val="24"/>
          <w:szCs w:val="24"/>
          <w:highlight w:val="none"/>
        </w:rPr>
        <w:t>队</w:t>
      </w:r>
      <w:r>
        <w:rPr>
          <w:rFonts w:hint="eastAsia" w:ascii="宋体" w:hAnsi="宋体" w:cs="宋体"/>
          <w:color w:val="auto"/>
          <w:kern w:val="0"/>
          <w:sz w:val="24"/>
          <w:szCs w:val="24"/>
          <w:highlight w:val="none"/>
        </w:rPr>
        <w:t>出具任何证明或陈述理由。</w:t>
      </w:r>
    </w:p>
    <w:p>
      <w:pPr>
        <w:snapToGrid w:val="0"/>
        <w:spacing w:line="500" w:lineRule="exact"/>
        <w:ind w:firstLine="480" w:firstLineChars="200"/>
        <w:textAlignment w:val="baseline"/>
        <w:rPr>
          <w:rFonts w:ascii="宋体" w:cs="宋体"/>
          <w:color w:val="auto"/>
          <w:kern w:val="0"/>
          <w:sz w:val="24"/>
          <w:szCs w:val="24"/>
          <w:highlight w:val="none"/>
        </w:rPr>
      </w:pPr>
      <w:r>
        <w:rPr>
          <w:rFonts w:hint="eastAsia" w:ascii="宋体" w:hAnsi="宋体" w:cs="宋体"/>
          <w:color w:val="auto"/>
          <w:kern w:val="0"/>
          <w:sz w:val="24"/>
          <w:szCs w:val="24"/>
          <w:highlight w:val="none"/>
        </w:rPr>
        <w:t>在向我行提出要求时，我行将不得要求消防救援</w:t>
      </w:r>
      <w:r>
        <w:rPr>
          <w:rFonts w:hint="eastAsia" w:ascii="宋体" w:hAnsi="宋体" w:cs="宋体"/>
          <w:color w:val="auto"/>
          <w:kern w:val="0"/>
          <w:sz w:val="24"/>
          <w:szCs w:val="24"/>
          <w:highlight w:val="none"/>
          <w:lang w:eastAsia="zh-CN"/>
        </w:rPr>
        <w:t>支</w:t>
      </w:r>
      <w:r>
        <w:rPr>
          <w:rFonts w:hint="eastAsia" w:ascii="宋体" w:hAnsi="宋体" w:cs="宋体"/>
          <w:color w:val="auto"/>
          <w:kern w:val="0"/>
          <w:sz w:val="24"/>
          <w:szCs w:val="24"/>
          <w:highlight w:val="none"/>
        </w:rPr>
        <w:t>队</w:t>
      </w:r>
      <w:r>
        <w:rPr>
          <w:rFonts w:hint="eastAsia" w:ascii="宋体" w:hAnsi="宋体" w:cs="宋体"/>
          <w:color w:val="auto"/>
          <w:kern w:val="0"/>
          <w:sz w:val="24"/>
          <w:szCs w:val="24"/>
          <w:highlight w:val="none"/>
        </w:rPr>
        <w:t>应首先向</w:t>
      </w:r>
      <w:r>
        <w:rPr>
          <w:rFonts w:ascii="宋体" w:cs="宋体"/>
          <w:color w:val="auto"/>
          <w:kern w:val="0"/>
          <w:sz w:val="24"/>
          <w:szCs w:val="24"/>
          <w:highlight w:val="none"/>
          <w:u w:val="single"/>
        </w:rPr>
        <w:tab/>
      </w:r>
      <w:r>
        <w:rPr>
          <w:rFonts w:hint="eastAsia" w:asci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公司</w:t>
      </w:r>
      <w:r>
        <w:rPr>
          <w:rFonts w:hint="eastAsia" w:ascii="宋体" w:hAnsi="宋体" w:cs="宋体"/>
          <w:color w:val="auto"/>
          <w:kern w:val="0"/>
          <w:sz w:val="24"/>
          <w:szCs w:val="24"/>
          <w:highlight w:val="none"/>
        </w:rPr>
        <w:t>索要上述款项。我行同意，任何对合同条款所作的修改或补充都不能免除我行按本保函所应承担的义务。</w:t>
      </w:r>
    </w:p>
    <w:p>
      <w:pPr>
        <w:snapToGrid w:val="0"/>
        <w:spacing w:line="500" w:lineRule="exact"/>
        <w:ind w:firstLine="480" w:firstLineChars="200"/>
        <w:textAlignment w:val="baseline"/>
        <w:rPr>
          <w:rFonts w:ascii="宋体" w:cs="宋体"/>
          <w:color w:val="auto"/>
          <w:kern w:val="0"/>
          <w:sz w:val="24"/>
          <w:szCs w:val="24"/>
          <w:highlight w:val="none"/>
        </w:rPr>
      </w:pPr>
      <w:r>
        <w:rPr>
          <w:rFonts w:hint="eastAsia" w:ascii="宋体" w:hAnsi="宋体" w:cs="宋体"/>
          <w:color w:val="auto"/>
          <w:kern w:val="0"/>
          <w:sz w:val="24"/>
          <w:szCs w:val="24"/>
          <w:highlight w:val="none"/>
        </w:rPr>
        <w:t>本保函不可撤销，并为见索即付保函。本保函在担保金额支付完毕，或</w:t>
      </w:r>
      <w:r>
        <w:rPr>
          <w:rFonts w:hint="eastAsia" w:ascii="宋体" w:hAnsi="宋体" w:cs="宋体"/>
          <w:color w:val="auto"/>
          <w:kern w:val="0"/>
          <w:sz w:val="24"/>
          <w:szCs w:val="24"/>
          <w:highlight w:val="none"/>
          <w:lang w:eastAsia="zh-CN"/>
        </w:rPr>
        <w:t>平顶山市消防救援支队</w:t>
      </w:r>
      <w:r>
        <w:rPr>
          <w:rFonts w:hint="eastAsia" w:ascii="宋体" w:hAnsi="宋体" w:cs="宋体"/>
          <w:color w:val="auto"/>
          <w:kern w:val="0"/>
          <w:sz w:val="24"/>
          <w:szCs w:val="24"/>
          <w:highlight w:val="none"/>
        </w:rPr>
        <w:t>出具专款专用履行完毕证明书之日起失效。</w:t>
      </w:r>
    </w:p>
    <w:p>
      <w:pPr>
        <w:snapToGrid w:val="0"/>
        <w:spacing w:line="500" w:lineRule="exact"/>
        <w:ind w:firstLine="480" w:firstLineChars="200"/>
        <w:textAlignment w:val="baseline"/>
        <w:rPr>
          <w:rFonts w:ascii="宋体" w:cs="宋体"/>
          <w:color w:val="auto"/>
          <w:kern w:val="0"/>
          <w:sz w:val="24"/>
          <w:szCs w:val="24"/>
          <w:highlight w:val="none"/>
        </w:rPr>
      </w:pPr>
    </w:p>
    <w:p>
      <w:pPr>
        <w:snapToGrid w:val="0"/>
        <w:spacing w:line="500" w:lineRule="exact"/>
        <w:ind w:firstLine="480" w:firstLineChars="200"/>
        <w:textAlignment w:val="baseline"/>
        <w:rPr>
          <w:rFonts w:ascii="宋体" w:cs="宋体"/>
          <w:color w:val="auto"/>
          <w:kern w:val="0"/>
          <w:sz w:val="24"/>
          <w:szCs w:val="24"/>
          <w:highlight w:val="none"/>
        </w:rPr>
      </w:pPr>
      <w:r>
        <w:rPr>
          <w:rFonts w:hint="eastAsia" w:ascii="宋体" w:hAnsi="宋体" w:cs="宋体"/>
          <w:color w:val="auto"/>
          <w:kern w:val="0"/>
          <w:sz w:val="24"/>
          <w:szCs w:val="24"/>
          <w:highlight w:val="none"/>
        </w:rPr>
        <w:t>担保银行：</w:t>
      </w:r>
    </w:p>
    <w:p>
      <w:pPr>
        <w:snapToGrid w:val="0"/>
        <w:spacing w:line="500" w:lineRule="exact"/>
        <w:ind w:firstLine="480" w:firstLineChars="200"/>
        <w:textAlignment w:val="baseline"/>
        <w:rPr>
          <w:rFonts w:ascii="宋体" w:cs="宋体"/>
          <w:color w:val="auto"/>
          <w:kern w:val="0"/>
          <w:sz w:val="24"/>
          <w:szCs w:val="24"/>
          <w:highlight w:val="none"/>
        </w:rPr>
      </w:pPr>
      <w:r>
        <w:rPr>
          <w:rFonts w:hint="eastAsia" w:ascii="宋体" w:hAnsi="宋体" w:cs="宋体"/>
          <w:color w:val="auto"/>
          <w:kern w:val="0"/>
          <w:sz w:val="24"/>
          <w:szCs w:val="24"/>
          <w:highlight w:val="none"/>
        </w:rPr>
        <w:t>法定代表人或其授权的代理人：</w:t>
      </w:r>
    </w:p>
    <w:p>
      <w:pPr>
        <w:snapToGrid w:val="0"/>
        <w:spacing w:line="500" w:lineRule="exact"/>
        <w:ind w:firstLine="480" w:firstLineChars="200"/>
        <w:textAlignment w:val="baseline"/>
        <w:rPr>
          <w:rFonts w:ascii="宋体" w:cs="宋体"/>
          <w:color w:val="auto"/>
          <w:kern w:val="0"/>
          <w:sz w:val="24"/>
          <w:szCs w:val="24"/>
          <w:highlight w:val="none"/>
        </w:rPr>
      </w:pPr>
      <w:r>
        <w:rPr>
          <w:rFonts w:hint="eastAsia" w:ascii="宋体" w:hAnsi="宋体" w:cs="宋体"/>
          <w:color w:val="auto"/>
          <w:kern w:val="0"/>
          <w:sz w:val="24"/>
          <w:szCs w:val="24"/>
          <w:highlight w:val="none"/>
        </w:rPr>
        <w:t>日期：</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年</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月</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日</w:t>
      </w:r>
    </w:p>
    <w:p>
      <w:pPr>
        <w:widowControl/>
        <w:jc w:val="center"/>
        <w:rPr>
          <w:rFonts w:ascii="宋体" w:cs="宋体"/>
          <w:b/>
          <w:bCs/>
          <w:color w:val="auto"/>
          <w:sz w:val="36"/>
          <w:szCs w:val="36"/>
          <w:highlight w:val="none"/>
        </w:rPr>
      </w:pPr>
      <w:r>
        <w:rPr>
          <w:rFonts w:ascii="宋体" w:cs="宋体"/>
          <w:b/>
          <w:bCs/>
          <w:color w:val="auto"/>
          <w:sz w:val="36"/>
          <w:szCs w:val="36"/>
          <w:highlight w:val="none"/>
        </w:rPr>
        <w:br w:type="page"/>
      </w:r>
      <w:r>
        <w:rPr>
          <w:rFonts w:hint="eastAsia" w:ascii="宋体" w:hAnsi="宋体" w:cs="宋体"/>
          <w:b/>
          <w:bCs/>
          <w:color w:val="auto"/>
          <w:sz w:val="36"/>
          <w:szCs w:val="36"/>
          <w:highlight w:val="none"/>
        </w:rPr>
        <w:t>河南省政府采购合同融资政策告知函</w:t>
      </w:r>
    </w:p>
    <w:p>
      <w:pPr>
        <w:autoSpaceDE w:val="0"/>
        <w:autoSpaceDN w:val="0"/>
        <w:spacing w:line="360" w:lineRule="auto"/>
        <w:ind w:firstLine="480" w:firstLineChars="200"/>
        <w:rPr>
          <w:rFonts w:ascii="宋体" w:cs="宋体"/>
          <w:color w:val="auto"/>
          <w:sz w:val="24"/>
          <w:highlight w:val="none"/>
        </w:rPr>
      </w:pPr>
    </w:p>
    <w:p>
      <w:pPr>
        <w:autoSpaceDE w:val="0"/>
        <w:autoSpaceDN w:val="0"/>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各供应商：</w:t>
      </w:r>
    </w:p>
    <w:p>
      <w:pPr>
        <w:autoSpaceDE w:val="0"/>
        <w:autoSpaceDN w:val="0"/>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欢迎贵公司参与河南省政府采购活动！</w:t>
      </w:r>
    </w:p>
    <w:p>
      <w:pPr>
        <w:autoSpaceDE w:val="0"/>
        <w:autoSpaceDN w:val="0"/>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w:t>
      </w:r>
      <w:r>
        <w:rPr>
          <w:rFonts w:ascii="宋体" w:hAnsi="宋体" w:cs="宋体"/>
          <w:color w:val="auto"/>
          <w:sz w:val="24"/>
          <w:highlight w:val="none"/>
        </w:rPr>
        <w:t xml:space="preserve"> </w:t>
      </w:r>
      <w:r>
        <w:rPr>
          <w:rFonts w:hint="eastAsia" w:ascii="宋体" w:hAnsi="宋体" w:cs="宋体"/>
          <w:color w:val="auto"/>
          <w:sz w:val="24"/>
          <w:highlight w:val="none"/>
        </w:rPr>
        <w:t>〔</w:t>
      </w:r>
      <w:r>
        <w:rPr>
          <w:rFonts w:ascii="宋体" w:hAnsi="宋体" w:cs="宋体"/>
          <w:color w:val="auto"/>
          <w:sz w:val="24"/>
          <w:highlight w:val="none"/>
        </w:rPr>
        <w:t>2017</w:t>
      </w:r>
      <w:r>
        <w:rPr>
          <w:rFonts w:hint="eastAsia" w:ascii="宋体" w:hAnsi="宋体" w:cs="宋体"/>
          <w:color w:val="auto"/>
          <w:sz w:val="24"/>
          <w:highlight w:val="none"/>
        </w:rPr>
        <w:t>〕</w:t>
      </w:r>
      <w:r>
        <w:rPr>
          <w:rFonts w:ascii="宋体" w:hAnsi="宋体" w:cs="宋体"/>
          <w:color w:val="auto"/>
          <w:sz w:val="24"/>
          <w:highlight w:val="none"/>
        </w:rPr>
        <w:t>10</w:t>
      </w:r>
      <w:r>
        <w:rPr>
          <w:rFonts w:hint="eastAsia" w:ascii="宋体" w:hAnsi="宋体" w:cs="宋体"/>
          <w:color w:val="auto"/>
          <w:sz w:val="24"/>
          <w:highlight w:val="none"/>
        </w:rPr>
        <w:t>号），按照双方自愿的原则提供便捷、优惠的贷款服务。</w:t>
      </w:r>
    </w:p>
    <w:p>
      <w:pPr>
        <w:autoSpaceDE w:val="0"/>
        <w:autoSpaceDN w:val="0"/>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贷款渠道和提供贷款的金融机构，可在河南省政府采购网</w:t>
      </w:r>
      <w:r>
        <w:rPr>
          <w:rFonts w:hint="eastAsia" w:ascii="宋体" w:hAnsi="宋体" w:cs="宋体"/>
          <w:color w:val="auto"/>
          <w:sz w:val="24"/>
          <w:highlight w:val="none"/>
          <w:lang w:val="zh-CN"/>
        </w:rPr>
        <w:t>“河南</w:t>
      </w:r>
      <w:r>
        <w:rPr>
          <w:rFonts w:hint="eastAsia" w:ascii="宋体" w:hAnsi="宋体" w:cs="宋体"/>
          <w:color w:val="auto"/>
          <w:sz w:val="24"/>
          <w:highlight w:val="none"/>
        </w:rPr>
        <w:t>省政府采购合同融资平台</w:t>
      </w:r>
      <w:r>
        <w:rPr>
          <w:rFonts w:ascii="宋体" w:hAnsi="宋体" w:cs="宋体"/>
          <w:color w:val="auto"/>
          <w:sz w:val="24"/>
          <w:highlight w:val="none"/>
        </w:rPr>
        <w:t>"</w:t>
      </w:r>
      <w:r>
        <w:rPr>
          <w:rFonts w:hint="eastAsia" w:ascii="宋体" w:hAnsi="宋体" w:cs="宋体"/>
          <w:color w:val="auto"/>
          <w:sz w:val="24"/>
          <w:highlight w:val="none"/>
        </w:rPr>
        <w:t>查询联系。</w:t>
      </w:r>
    </w:p>
    <w:p>
      <w:pPr>
        <w:autoSpaceDE w:val="0"/>
        <w:autoSpaceDN w:val="0"/>
        <w:spacing w:line="360" w:lineRule="auto"/>
        <w:ind w:firstLine="480" w:firstLineChars="200"/>
        <w:rPr>
          <w:rFonts w:ascii="宋体" w:cs="宋体"/>
          <w:color w:val="auto"/>
          <w:sz w:val="24"/>
          <w:highlight w:val="none"/>
        </w:rPr>
      </w:pPr>
    </w:p>
    <w:p>
      <w:pPr>
        <w:pStyle w:val="12"/>
        <w:spacing w:line="360" w:lineRule="auto"/>
        <w:ind w:left="31680" w:right="31680"/>
        <w:rPr>
          <w:rFonts w:ascii="宋体" w:cs="宋体"/>
          <w:bCs/>
          <w:color w:val="auto"/>
          <w:kern w:val="0"/>
          <w:sz w:val="32"/>
          <w:szCs w:val="32"/>
          <w:highlight w:val="none"/>
        </w:rPr>
      </w:pPr>
    </w:p>
    <w:p>
      <w:pPr>
        <w:pStyle w:val="12"/>
        <w:spacing w:line="360" w:lineRule="auto"/>
        <w:ind w:left="31680" w:right="31680"/>
        <w:rPr>
          <w:rFonts w:ascii="宋体" w:cs="宋体"/>
          <w:bCs/>
          <w:color w:val="auto"/>
          <w:kern w:val="0"/>
          <w:sz w:val="32"/>
          <w:szCs w:val="32"/>
          <w:highlight w:val="none"/>
        </w:rPr>
      </w:pPr>
    </w:p>
    <w:p>
      <w:pPr>
        <w:pStyle w:val="12"/>
        <w:spacing w:line="360" w:lineRule="auto"/>
        <w:ind w:left="31680" w:right="31680"/>
        <w:rPr>
          <w:rFonts w:ascii="宋体" w:cs="宋体"/>
          <w:bCs/>
          <w:color w:val="auto"/>
          <w:kern w:val="0"/>
          <w:sz w:val="32"/>
          <w:szCs w:val="32"/>
          <w:highlight w:val="none"/>
        </w:rPr>
        <w:sectPr>
          <w:footerReference r:id="rId8" w:type="default"/>
          <w:pgSz w:w="11911" w:h="16838"/>
          <w:pgMar w:top="1440" w:right="1803" w:bottom="1440" w:left="1803" w:header="850" w:footer="964" w:gutter="0"/>
          <w:pgBorders>
            <w:top w:val="none" w:sz="0" w:space="0"/>
            <w:left w:val="none" w:sz="0" w:space="0"/>
            <w:bottom w:val="none" w:sz="0" w:space="0"/>
            <w:right w:val="none" w:sz="0" w:space="0"/>
          </w:pgBorders>
          <w:pgNumType w:fmt="decimal"/>
          <w:cols w:space="0" w:num="1"/>
          <w:rtlGutter w:val="0"/>
          <w:docGrid w:linePitch="315" w:charSpace="0"/>
        </w:sectPr>
      </w:pPr>
    </w:p>
    <w:p>
      <w:pPr>
        <w:spacing w:line="360" w:lineRule="auto"/>
        <w:rPr>
          <w:rFonts w:ascii="宋体" w:cs="宋体"/>
          <w:bCs/>
          <w:color w:val="auto"/>
          <w:kern w:val="0"/>
          <w:szCs w:val="21"/>
          <w:highlight w:val="none"/>
        </w:rPr>
      </w:pPr>
    </w:p>
    <w:p>
      <w:pPr>
        <w:pStyle w:val="2"/>
        <w:rPr>
          <w:rFonts w:hint="eastAsia" w:ascii="宋体" w:hAnsi="宋体" w:cs="宋体"/>
          <w:color w:val="auto"/>
          <w:szCs w:val="32"/>
          <w:highlight w:val="none"/>
        </w:rPr>
      </w:pPr>
      <w:bookmarkStart w:id="470" w:name="_Toc410"/>
      <w:bookmarkStart w:id="471" w:name="_Toc23795"/>
      <w:bookmarkStart w:id="472" w:name="_Toc22008"/>
      <w:bookmarkStart w:id="473" w:name="_Toc40112141"/>
      <w:r>
        <w:rPr>
          <w:rFonts w:hint="eastAsia" w:ascii="宋体" w:hAnsi="宋体" w:cs="宋体"/>
          <w:color w:val="auto"/>
          <w:szCs w:val="32"/>
          <w:highlight w:val="none"/>
        </w:rPr>
        <w:t>第六章</w:t>
      </w:r>
      <w:r>
        <w:rPr>
          <w:rFonts w:ascii="宋体" w:hAnsi="宋体" w:cs="宋体"/>
          <w:color w:val="auto"/>
          <w:szCs w:val="32"/>
          <w:highlight w:val="none"/>
        </w:rPr>
        <w:t xml:space="preserve">  </w:t>
      </w:r>
      <w:r>
        <w:rPr>
          <w:rFonts w:hint="eastAsia" w:ascii="宋体" w:hAnsi="宋体" w:cs="宋体"/>
          <w:color w:val="auto"/>
          <w:szCs w:val="32"/>
          <w:highlight w:val="none"/>
        </w:rPr>
        <w:t>招标项目需求及技术要求</w:t>
      </w:r>
      <w:bookmarkEnd w:id="470"/>
      <w:bookmarkEnd w:id="471"/>
      <w:bookmarkEnd w:id="472"/>
      <w:bookmarkEnd w:id="473"/>
    </w:p>
    <w:p>
      <w:pPr>
        <w:spacing w:line="360" w:lineRule="auto"/>
        <w:jc w:val="center"/>
        <w:outlineLvl w:val="1"/>
        <w:rPr>
          <w:rFonts w:ascii="宋体" w:cs="宋体"/>
          <w:b/>
          <w:color w:val="auto"/>
          <w:sz w:val="32"/>
          <w:szCs w:val="32"/>
          <w:highlight w:val="none"/>
        </w:rPr>
      </w:pPr>
      <w:bookmarkStart w:id="474" w:name="_Toc2376"/>
      <w:bookmarkStart w:id="475" w:name="_Toc24050"/>
      <w:bookmarkStart w:id="476" w:name="_Toc612"/>
      <w:bookmarkStart w:id="477" w:name="_Toc30884"/>
      <w:r>
        <w:rPr>
          <w:rFonts w:hint="eastAsia" w:ascii="宋体" w:hAnsi="宋体" w:cs="宋体"/>
          <w:b/>
          <w:color w:val="auto"/>
          <w:sz w:val="32"/>
          <w:szCs w:val="32"/>
          <w:highlight w:val="none"/>
        </w:rPr>
        <w:t>一、项目需求</w:t>
      </w:r>
      <w:bookmarkEnd w:id="474"/>
      <w:bookmarkEnd w:id="475"/>
      <w:bookmarkEnd w:id="476"/>
      <w:bookmarkEnd w:id="477"/>
    </w:p>
    <w:p>
      <w:pPr>
        <w:spacing w:line="360" w:lineRule="auto"/>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1.1 项目名称：</w:t>
      </w:r>
      <w:r>
        <w:rPr>
          <w:rFonts w:hint="eastAsia" w:ascii="宋体" w:hAnsi="宋体" w:eastAsia="宋体" w:cs="宋体"/>
          <w:bCs/>
          <w:color w:val="auto"/>
          <w:sz w:val="24"/>
          <w:szCs w:val="24"/>
          <w:highlight w:val="none"/>
          <w:lang w:eastAsia="zh-CN"/>
        </w:rPr>
        <w:t>平顶山市消防救援支队河南省消防救援总队“自然灾害应急能力提升工程”平顶山支队装备建设项目</w:t>
      </w:r>
    </w:p>
    <w:p>
      <w:pPr>
        <w:adjustRightInd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1.2 采购内容：</w:t>
      </w:r>
    </w:p>
    <w:p>
      <w:pPr>
        <w:adjustRightInd w:val="0"/>
        <w:snapToGrid w:val="0"/>
        <w:spacing w:line="360" w:lineRule="auto"/>
        <w:ind w:firstLine="480" w:firstLineChars="200"/>
        <w:jc w:val="left"/>
        <w:rPr>
          <w:rFonts w:hint="default"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包</w:t>
      </w:r>
      <w:r>
        <w:rPr>
          <w:rFonts w:hint="eastAsia" w:ascii="宋体" w:hAnsi="宋体" w:cs="宋体"/>
          <w:bCs/>
          <w:color w:val="auto"/>
          <w:kern w:val="0"/>
          <w:sz w:val="24"/>
          <w:szCs w:val="24"/>
          <w:highlight w:val="none"/>
          <w:lang w:val="en-US" w:eastAsia="zh-CN"/>
        </w:rPr>
        <w:t>号：</w:t>
      </w:r>
      <w:r>
        <w:rPr>
          <w:rFonts w:hint="eastAsia" w:ascii="宋体" w:hAnsi="宋体" w:eastAsia="宋体" w:cs="宋体"/>
          <w:i w:val="0"/>
          <w:iCs w:val="0"/>
          <w:color w:val="auto"/>
          <w:kern w:val="0"/>
          <w:sz w:val="24"/>
          <w:szCs w:val="24"/>
          <w:highlight w:val="none"/>
          <w:u w:val="none"/>
          <w:lang w:val="en-US" w:eastAsia="zh-CN" w:bidi="ar"/>
        </w:rPr>
        <w:t>平公资采2024409号-1</w:t>
      </w:r>
      <w:r>
        <w:rPr>
          <w:rFonts w:hint="eastAsia" w:ascii="宋体" w:hAnsi="宋体" w:cs="宋体"/>
          <w:b w:val="0"/>
          <w:bCs w:val="0"/>
          <w:color w:val="auto"/>
          <w:sz w:val="24"/>
          <w:szCs w:val="24"/>
          <w:highlight w:val="none"/>
          <w:lang w:eastAsia="zh-CN"/>
        </w:rPr>
        <w:t>，包内容及数量（辆/件/套/台）：</w:t>
      </w:r>
      <w:r>
        <w:rPr>
          <w:rFonts w:hint="eastAsia" w:ascii="宋体" w:hAnsi="宋体" w:cs="宋体"/>
          <w:bCs/>
          <w:color w:val="auto"/>
          <w:kern w:val="0"/>
          <w:sz w:val="24"/>
          <w:szCs w:val="24"/>
          <w:highlight w:val="none"/>
          <w:lang w:val="en-US" w:eastAsia="zh-CN"/>
        </w:rPr>
        <w:t xml:space="preserve">被服洗涤车1；   </w:t>
      </w:r>
    </w:p>
    <w:p>
      <w:pPr>
        <w:adjustRightInd w:val="0"/>
        <w:snapToGrid w:val="0"/>
        <w:spacing w:line="360" w:lineRule="auto"/>
        <w:ind w:firstLine="480" w:firstLineChars="200"/>
        <w:jc w:val="left"/>
        <w:rPr>
          <w:rFonts w:hint="eastAsia"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包</w:t>
      </w:r>
      <w:r>
        <w:rPr>
          <w:rFonts w:hint="eastAsia" w:ascii="宋体" w:hAnsi="宋体" w:cs="宋体"/>
          <w:bCs/>
          <w:color w:val="auto"/>
          <w:kern w:val="0"/>
          <w:sz w:val="24"/>
          <w:szCs w:val="24"/>
          <w:highlight w:val="none"/>
          <w:lang w:val="en-US" w:eastAsia="zh-CN"/>
        </w:rPr>
        <w:t>号：</w:t>
      </w: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2</w:t>
      </w:r>
      <w:r>
        <w:rPr>
          <w:rFonts w:hint="eastAsia" w:ascii="宋体" w:hAnsi="宋体" w:cs="宋体"/>
          <w:b w:val="0"/>
          <w:bCs w:val="0"/>
          <w:color w:val="auto"/>
          <w:sz w:val="24"/>
          <w:szCs w:val="24"/>
          <w:highlight w:val="none"/>
          <w:lang w:eastAsia="zh-CN"/>
        </w:rPr>
        <w:t>，包内容及数量（辆/件/套/台）：</w:t>
      </w:r>
      <w:r>
        <w:rPr>
          <w:rFonts w:hint="eastAsia" w:ascii="宋体" w:hAnsi="宋体" w:cs="宋体"/>
          <w:bCs/>
          <w:color w:val="auto"/>
          <w:kern w:val="0"/>
          <w:sz w:val="24"/>
          <w:szCs w:val="24"/>
          <w:highlight w:val="none"/>
          <w:lang w:val="en-US" w:eastAsia="zh-CN"/>
        </w:rPr>
        <w:t>盥洗车1；</w:t>
      </w:r>
    </w:p>
    <w:p>
      <w:pPr>
        <w:adjustRightInd w:val="0"/>
        <w:snapToGrid w:val="0"/>
        <w:spacing w:line="360" w:lineRule="auto"/>
        <w:ind w:firstLine="480" w:firstLineChars="200"/>
        <w:jc w:val="left"/>
        <w:rPr>
          <w:rFonts w:hint="eastAsia"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包</w:t>
      </w:r>
      <w:r>
        <w:rPr>
          <w:rFonts w:hint="eastAsia" w:ascii="宋体" w:hAnsi="宋体" w:cs="宋体"/>
          <w:bCs/>
          <w:color w:val="auto"/>
          <w:kern w:val="0"/>
          <w:sz w:val="24"/>
          <w:szCs w:val="24"/>
          <w:highlight w:val="none"/>
          <w:lang w:val="en-US" w:eastAsia="zh-CN"/>
        </w:rPr>
        <w:t>号：</w:t>
      </w: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3</w:t>
      </w:r>
      <w:r>
        <w:rPr>
          <w:rFonts w:hint="eastAsia" w:ascii="宋体" w:hAnsi="宋体" w:cs="宋体"/>
          <w:b w:val="0"/>
          <w:bCs w:val="0"/>
          <w:color w:val="auto"/>
          <w:sz w:val="24"/>
          <w:szCs w:val="24"/>
          <w:highlight w:val="none"/>
          <w:lang w:eastAsia="zh-CN"/>
        </w:rPr>
        <w:t>，包内容及数量（辆/件/套/台）：</w:t>
      </w:r>
      <w:r>
        <w:rPr>
          <w:rFonts w:hint="eastAsia" w:ascii="宋体" w:hAnsi="宋体" w:cs="宋体"/>
          <w:bCs/>
          <w:color w:val="auto"/>
          <w:kern w:val="0"/>
          <w:sz w:val="24"/>
          <w:szCs w:val="24"/>
          <w:highlight w:val="none"/>
          <w:lang w:val="en-US" w:eastAsia="zh-CN"/>
        </w:rPr>
        <w:t>冷藏车1；</w:t>
      </w:r>
    </w:p>
    <w:p>
      <w:pPr>
        <w:adjustRightInd w:val="0"/>
        <w:snapToGrid w:val="0"/>
        <w:spacing w:line="360" w:lineRule="auto"/>
        <w:ind w:firstLine="480" w:firstLineChars="200"/>
        <w:jc w:val="left"/>
        <w:rPr>
          <w:rFonts w:hint="eastAsia"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包</w:t>
      </w:r>
      <w:r>
        <w:rPr>
          <w:rFonts w:hint="eastAsia" w:ascii="宋体" w:hAnsi="宋体" w:cs="宋体"/>
          <w:bCs/>
          <w:color w:val="auto"/>
          <w:kern w:val="0"/>
          <w:sz w:val="24"/>
          <w:szCs w:val="24"/>
          <w:highlight w:val="none"/>
          <w:lang w:val="en-US" w:eastAsia="zh-CN"/>
        </w:rPr>
        <w:t>号：</w:t>
      </w:r>
      <w:r>
        <w:rPr>
          <w:rFonts w:hint="eastAsia" w:ascii="宋体" w:hAnsi="宋体" w:eastAsia="宋体" w:cs="宋体"/>
          <w:i w:val="0"/>
          <w:iCs w:val="0"/>
          <w:color w:val="auto"/>
          <w:kern w:val="0"/>
          <w:sz w:val="24"/>
          <w:szCs w:val="24"/>
          <w:highlight w:val="none"/>
          <w:u w:val="none"/>
          <w:lang w:val="en-US" w:eastAsia="zh-CN" w:bidi="ar"/>
        </w:rPr>
        <w:t>平公资采2024409号-</w:t>
      </w:r>
      <w:r>
        <w:rPr>
          <w:rFonts w:hint="eastAsia" w:ascii="宋体" w:hAnsi="宋体" w:cs="宋体"/>
          <w:i w:val="0"/>
          <w:iCs w:val="0"/>
          <w:color w:val="auto"/>
          <w:kern w:val="0"/>
          <w:sz w:val="24"/>
          <w:szCs w:val="24"/>
          <w:highlight w:val="none"/>
          <w:u w:val="none"/>
          <w:lang w:val="en-US" w:eastAsia="zh-CN" w:bidi="ar"/>
        </w:rPr>
        <w:t>4</w:t>
      </w:r>
      <w:r>
        <w:rPr>
          <w:rFonts w:hint="eastAsia" w:ascii="宋体" w:hAnsi="宋体" w:cs="宋体"/>
          <w:b w:val="0"/>
          <w:bCs w:val="0"/>
          <w:color w:val="auto"/>
          <w:sz w:val="24"/>
          <w:szCs w:val="24"/>
          <w:highlight w:val="none"/>
          <w:lang w:eastAsia="zh-CN"/>
        </w:rPr>
        <w:t>，包内容及数量（辆/件/套/台）：</w:t>
      </w:r>
      <w:r>
        <w:rPr>
          <w:rFonts w:hint="eastAsia" w:ascii="宋体" w:hAnsi="宋体" w:cs="宋体"/>
          <w:bCs/>
          <w:color w:val="auto"/>
          <w:kern w:val="0"/>
          <w:sz w:val="24"/>
          <w:szCs w:val="24"/>
          <w:highlight w:val="none"/>
          <w:lang w:val="en-US" w:eastAsia="zh-CN"/>
        </w:rPr>
        <w:t>淋浴车1；</w:t>
      </w:r>
    </w:p>
    <w:p>
      <w:pPr>
        <w:adjustRightInd w:val="0"/>
        <w:snapToGrid w:val="0"/>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1.3 质量要求：合格（符合现行国家、行业、地方相关规范要求）。</w:t>
      </w:r>
    </w:p>
    <w:p>
      <w:pPr>
        <w:adjustRightInd w:val="0"/>
        <w:snapToGrid w:val="0"/>
        <w:spacing w:line="360" w:lineRule="auto"/>
        <w:ind w:firstLine="480" w:firstLineChars="200"/>
        <w:jc w:val="left"/>
        <w:rPr>
          <w:rFonts w:hint="eastAsia" w:ascii="宋体" w:hAnsi="宋体" w:eastAsia="宋体" w:cs="宋体"/>
          <w:bCs/>
          <w:color w:val="auto"/>
          <w:kern w:val="0"/>
          <w:sz w:val="24"/>
          <w:szCs w:val="24"/>
          <w:highlight w:val="none"/>
          <w:lang w:eastAsia="zh-CN"/>
        </w:rPr>
      </w:pPr>
      <w:r>
        <w:rPr>
          <w:rFonts w:hint="eastAsia" w:ascii="宋体" w:hAnsi="宋体" w:eastAsia="宋体" w:cs="宋体"/>
          <w:b w:val="0"/>
          <w:bCs w:val="0"/>
          <w:color w:val="auto"/>
          <w:sz w:val="24"/>
          <w:szCs w:val="24"/>
          <w:highlight w:val="none"/>
          <w:lang w:val="en-US" w:eastAsia="zh-CN"/>
        </w:rPr>
        <w:t>1.4 交货期：采用进口底盘投标的，自合同签订之日起120日历天，采用国产底盘投标的，自合同签订之日起90日历天。</w:t>
      </w:r>
    </w:p>
    <w:p>
      <w:pPr>
        <w:spacing w:line="360" w:lineRule="auto"/>
        <w:ind w:firstLine="480" w:firstLineChars="200"/>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1.5</w:t>
      </w:r>
      <w:r>
        <w:rPr>
          <w:rFonts w:hint="eastAsia" w:ascii="宋体" w:hAnsi="宋体" w:eastAsia="宋体" w:cs="宋体"/>
          <w:bCs/>
          <w:color w:val="auto"/>
          <w:kern w:val="0"/>
          <w:sz w:val="24"/>
          <w:szCs w:val="24"/>
          <w:highlight w:val="none"/>
        </w:rPr>
        <w:t>交货地点：采购人指定地点。</w:t>
      </w:r>
    </w:p>
    <w:p>
      <w:pPr>
        <w:spacing w:line="360" w:lineRule="auto"/>
        <w:ind w:firstLine="480" w:firstLineChars="200"/>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w:t>
      </w:r>
      <w:r>
        <w:rPr>
          <w:rFonts w:hint="eastAsia" w:ascii="宋体" w:hAnsi="宋体" w:eastAsia="宋体" w:cs="宋体"/>
          <w:bCs/>
          <w:color w:val="auto"/>
          <w:kern w:val="0"/>
          <w:sz w:val="24"/>
          <w:szCs w:val="24"/>
          <w:highlight w:val="none"/>
          <w:lang w:val="en-US" w:eastAsia="zh-CN"/>
        </w:rPr>
        <w:t>6</w:t>
      </w:r>
      <w:r>
        <w:rPr>
          <w:rFonts w:hint="eastAsia" w:ascii="宋体" w:hAnsi="宋体" w:eastAsia="宋体" w:cs="宋体"/>
          <w:bCs/>
          <w:color w:val="auto"/>
          <w:kern w:val="0"/>
          <w:sz w:val="24"/>
          <w:szCs w:val="24"/>
          <w:highlight w:val="none"/>
        </w:rPr>
        <w:t>本次采购车型整车质保期为5年（自验收合格之日算起）。</w:t>
      </w:r>
    </w:p>
    <w:p>
      <w:pPr>
        <w:spacing w:line="360" w:lineRule="auto"/>
        <w:ind w:firstLine="480" w:firstLineChars="200"/>
        <w:rPr>
          <w:rFonts w:hint="eastAsia"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1.7标包划分（包1-4）：</w:t>
      </w:r>
    </w:p>
    <w:tbl>
      <w:tblPr>
        <w:tblStyle w:val="23"/>
        <w:tblW w:w="869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0"/>
        <w:gridCol w:w="684"/>
        <w:gridCol w:w="1391"/>
        <w:gridCol w:w="939"/>
        <w:gridCol w:w="1082"/>
        <w:gridCol w:w="1111"/>
        <w:gridCol w:w="907"/>
        <w:gridCol w:w="1077"/>
        <w:gridCol w:w="10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9"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包号</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名称</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数量（辆）</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预算单价（单品最高限价）（万元）</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单品合计金额（万元）</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包最高限价（万元）</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质保期（年，自验收合格之日算起）</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Style w:val="35"/>
                <w:sz w:val="24"/>
                <w:szCs w:val="24"/>
                <w:highlight w:val="none"/>
                <w:lang w:val="en-US" w:eastAsia="zh-CN" w:bidi="ar"/>
              </w:rPr>
              <w:t>交货期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包1</w:t>
            </w:r>
          </w:p>
        </w:tc>
        <w:tc>
          <w:tcPr>
            <w:tcW w:w="149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被服洗涤车</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11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139.5</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139.5</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10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采用进口底盘投标的，自合同签订之日起120日历天，采用国产底盘投标的，自合同签订之日起90日历天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包2</w:t>
            </w:r>
          </w:p>
        </w:tc>
        <w:tc>
          <w:tcPr>
            <w:tcW w:w="149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盥洗车</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11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134.5</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134.5</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包3</w:t>
            </w:r>
          </w:p>
        </w:tc>
        <w:tc>
          <w:tcPr>
            <w:tcW w:w="149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冷藏车</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11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包4</w:t>
            </w:r>
          </w:p>
        </w:tc>
        <w:tc>
          <w:tcPr>
            <w:tcW w:w="1496"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淋浴车</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11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135.9</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135.9</w:t>
            </w:r>
          </w:p>
        </w:tc>
        <w:tc>
          <w:tcPr>
            <w:tcW w:w="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highlight w:val="none"/>
                <w:u w:val="none"/>
              </w:rPr>
            </w:pPr>
          </w:p>
        </w:tc>
      </w:tr>
    </w:tbl>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rPr>
          <w:rFonts w:hint="eastAsia" w:ascii="宋体" w:hAnsi="宋体" w:eastAsia="宋体" w:cs="宋体"/>
          <w:i w:val="0"/>
          <w:iCs w:val="0"/>
          <w:color w:val="000000"/>
          <w:kern w:val="0"/>
          <w:sz w:val="24"/>
          <w:szCs w:val="24"/>
          <w:highlight w:val="none"/>
          <w:u w:val="none"/>
          <w:lang w:val="en-US" w:eastAsia="zh-CN" w:bidi="ar"/>
        </w:rPr>
      </w:pPr>
    </w:p>
    <w:p>
      <w:pPr>
        <w:numPr>
          <w:ilvl w:val="0"/>
          <w:numId w:val="12"/>
        </w:numPr>
        <w:spacing w:line="360" w:lineRule="auto"/>
        <w:jc w:val="center"/>
        <w:outlineLvl w:val="1"/>
        <w:rPr>
          <w:rFonts w:hint="eastAsia" w:ascii="宋体" w:hAnsi="宋体" w:cs="宋体"/>
          <w:b/>
          <w:color w:val="auto"/>
          <w:sz w:val="32"/>
          <w:szCs w:val="32"/>
          <w:highlight w:val="none"/>
          <w:lang w:eastAsia="zh-CN"/>
        </w:rPr>
      </w:pPr>
      <w:bookmarkStart w:id="478" w:name="_Toc18501"/>
      <w:r>
        <w:rPr>
          <w:rFonts w:hint="eastAsia" w:ascii="宋体" w:hAnsi="宋体" w:cs="宋体"/>
          <w:b/>
          <w:color w:val="auto"/>
          <w:sz w:val="32"/>
          <w:szCs w:val="32"/>
          <w:highlight w:val="none"/>
        </w:rPr>
        <w:t>技术</w:t>
      </w:r>
      <w:r>
        <w:rPr>
          <w:rFonts w:hint="eastAsia" w:ascii="宋体" w:hAnsi="宋体" w:cs="宋体"/>
          <w:b/>
          <w:color w:val="auto"/>
          <w:sz w:val="32"/>
          <w:szCs w:val="32"/>
          <w:highlight w:val="none"/>
          <w:lang w:eastAsia="zh-CN"/>
        </w:rPr>
        <w:t>要求</w:t>
      </w:r>
      <w:bookmarkEnd w:id="478"/>
    </w:p>
    <w:p>
      <w:pPr>
        <w:rPr>
          <w:rFonts w:hint="eastAsia"/>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color w:val="auto"/>
          <w:sz w:val="24"/>
          <w:szCs w:val="24"/>
          <w:highlight w:val="none"/>
        </w:rPr>
      </w:pPr>
      <w:bookmarkStart w:id="479" w:name="_Toc30543"/>
      <w:r>
        <w:rPr>
          <w:rFonts w:hint="eastAsia" w:ascii="宋体" w:hAnsi="宋体" w:eastAsia="宋体" w:cs="宋体"/>
          <w:b/>
          <w:color w:val="auto"/>
          <w:sz w:val="24"/>
          <w:szCs w:val="24"/>
          <w:highlight w:val="none"/>
          <w:lang w:eastAsia="zh-CN"/>
        </w:rPr>
        <w:t>（一）</w:t>
      </w:r>
      <w:r>
        <w:rPr>
          <w:rFonts w:hint="eastAsia" w:ascii="宋体" w:hAnsi="宋体" w:eastAsia="宋体" w:cs="宋体"/>
          <w:b/>
          <w:color w:val="auto"/>
          <w:sz w:val="24"/>
          <w:szCs w:val="24"/>
          <w:highlight w:val="none"/>
        </w:rPr>
        <w:t>通用要求</w:t>
      </w:r>
      <w:bookmarkEnd w:id="47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1车辆整车外廓尺寸、轴荷及质量符合GB1589-2016《道路车辆外廓尺寸、轴荷及质量限值》规定。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2、车辆整车外部照明和信号装置符合GB4785《汽车及挂车外部照明和光信号装置的安装规定》的规定，车辆标识：按照《消防救援局关于做好消防救援车辆外观制式涂装工作的通知》（应急消[2019]76号）要求涂装。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3、车辆标记符合GB7258《机动车安全技术条件》。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4、车辆后下防护要求符合GB11567.1《汽车及挂车外部照明和信号装置的安装规定》。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根据应急消〔2020〕138号文件：所有消防车均应响应文件要求。底盘均应配置前轮盘式制动器（全驱越野底盘除外）、ABS（防抱死制动系统）和EBS（电控制动系统）等；配置ESP电子车身稳定系统，应设置限速装置，最高车速不得超过95Km/h，确保限制的车速不超过底盘厂允许的最高车速；加装排气制动、发动机缸内制动技术并配备液力缓速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安装主外视镜、广角外视镜、前视镜、补盲外视镜、外部照明、信号装置、反光警示标识、前后保险杠、侧面防护等安全防护性能，以及各类报警装置、后排座加装安全带，配备PDT制式350MHz数模两用车载台（符合PDT技术标准，兼容370MHz应急专用频段，天线阻抗50Ω；防水防尘≥IP54；含吸盘天线，北斗卫星定位装置，能接入北斗消防综合管理服务平台），360°无盲区高清行车记录仪、倒车雷达（≥4个）及高清倒车影像（彩色显示屏≥7寸，具有夜视功能，夜间图像清晰），记录仪为硬盘式存储≥500G；行车记录仪采用自动分段录制，记录卡录满后可以自行删除最早记录；预留12V车载台连接线、220V充电线，配置24V转12V和24V转220V逆变器，便于后期加装设备；轮胎采用子午线钢丝胎及胎压监测系统，并与原车前轮胎同品牌、同型号备用轮胎一条，配备专用防滑链，加装轮胎调压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7、车辆交付时须附着由“消防装备物资信息采集系统”统一发行的装备物资二维码（或RFID）。</w:t>
      </w:r>
      <w:r>
        <w:rPr>
          <w:rFonts w:hint="eastAsia" w:ascii="宋体" w:hAnsi="宋体" w:eastAsia="宋体" w:cs="宋体"/>
          <w:sz w:val="24"/>
          <w:szCs w:val="24"/>
          <w:highlight w:val="none"/>
          <w:lang w:bidi="ar"/>
        </w:rPr>
        <w:t>按照采购人要求，免费安装消防车感知定位终端及车辆多模芯片；终端及芯片数据能够实时传输至河南消防总队应急装备物资保障管理平台及国家消防局“消防一张图”系统，可查看消防车辆的实时动态信息(位置、车速、发动机转速、剩余燃油、故障预警信息、水量、泡沫量等)和车辆基础数据信息(隶属单位、车辆类型、随车装备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8、进口底盘入港时须做港检，交车现场须底盘厂家做PDI(交车前检测)。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9、各类车型显著位置须设置标注生产厂家名称、品牌名称、型号、发动机号、规格、生产日期、出厂日期等产品信息永久铭牌。各类操作开关、阀门、保险盒、随车器材等设置永久性标识。裸露在外的传动轴、皮带、设备等设置防护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投标人在车厢结构设计布置时需提前与采购单位联系，设计方案必须经采购单位同意后方可进行生产，采购需求未全部列出所需功能或部件，投标时需全部列出其他全部配置以满足实际需求，保证所投车辆具备各项功能。若因投标人未全部列出其他配置导致产品不能正常使用，投标人需承诺免费增添部件或更换所供产品或作退货处理。交车时中标单位须提供详细电路图、水路图、液压管路图和保险分布图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11、器材箱改装后不得影响加油、清洗油箱管路滤网、更换蓄电池、燃油滤芯、干燥罐、空气滤芯、柴油滤芯等底盘部件正常维护保养。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12、</w:t>
      </w:r>
      <w:r>
        <w:rPr>
          <w:rFonts w:hint="eastAsia" w:ascii="宋体" w:hAnsi="宋体" w:eastAsia="宋体" w:cs="宋体"/>
          <w:sz w:val="24"/>
          <w:szCs w:val="24"/>
          <w:highlight w:val="none"/>
          <w:lang w:bidi="ar"/>
        </w:rPr>
        <w:t>车辆排气管尾部配备防火罩。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13、各标包整车所有焊接部位牢固，光洁，平整；所有缝隙硅胶填充平整、密封良好。所有板材及骨架、零部件、结构件，均经过严格防锈处理，铝型材、铝板、花纹板均进行氧化处理。器材箱布置紧凑、装夹牢固，取用方便，使用防锈、防震、防脱落、防划伤的专用夹具固定随车器材（交车前固定完毕）。电气系统线路标识清楚，每根电线都具备单独编号，整车电气系统线路采用铜芯或铜合金芯电线，正负电极线路颜色区分明显，改装线路及接头采用防水、防尘材质，各线路捆扎整齐，线路铺设位置便于检查维修。改装线路裸露在车体外部、接近热源、靠近油箱等情况下应加装隔板或相应的保护。</w:t>
      </w:r>
    </w:p>
    <w:p>
      <w:pPr>
        <w:pStyle w:val="2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14、随车文件</w:t>
      </w:r>
      <w:r>
        <w:rPr>
          <w:rFonts w:hint="eastAsia" w:ascii="宋体" w:hAnsi="宋体" w:eastAsia="宋体" w:cs="宋体"/>
          <w:sz w:val="24"/>
          <w:szCs w:val="24"/>
          <w:highlight w:val="none"/>
          <w:lang w:eastAsia="zh-CN"/>
        </w:rPr>
        <w:t>（附件）</w:t>
      </w:r>
      <w:r>
        <w:rPr>
          <w:rFonts w:hint="eastAsia" w:ascii="宋体" w:hAnsi="宋体" w:eastAsia="宋体" w:cs="宋体"/>
          <w:sz w:val="24"/>
          <w:szCs w:val="24"/>
          <w:highlight w:val="none"/>
        </w:rPr>
        <w:t>：1、整车操作使用说明书，均为中文。纸制和电子（PPT格式）各一套；2、整车维护保养手册，均为中文。纸制和电子（PPT格式）各一套；3、整车零配件清单，提供不少于200种零配件，内附价格，质保期内可按照此价格采购；4、底盘质量保修卡；5、底盘合格证；6、底盘随车配件清单（需提供原装底盘保养滤芯1套（空滤、柴油油滤、机滤、空调滤芯）</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7、改装零件目录图：8、消防车消防器材清单；9、整车合格证；10、国家工信部公告；11、消防车跟踪服务卡；12、消防车交接清单；13、机动车销售统一发票、发动机号拓印件3份、车架号拓印件3份、车辆照片4张（左前45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 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、带接头的轮胎充气管1根≥10m，车辆限位块4块，车用三角</w:t>
      </w:r>
      <w:r>
        <w:rPr>
          <w:rFonts w:hint="eastAsia" w:ascii="宋体" w:hAnsi="宋体" w:eastAsia="宋体" w:cs="宋体"/>
          <w:sz w:val="24"/>
          <w:szCs w:val="24"/>
          <w:highlight w:val="none"/>
          <w:lang w:eastAsia="zh-CN"/>
        </w:rPr>
        <w:t>警示架</w:t>
      </w:r>
      <w:r>
        <w:rPr>
          <w:rFonts w:hint="eastAsia" w:ascii="宋体" w:hAnsi="宋体" w:eastAsia="宋体" w:cs="宋体"/>
          <w:sz w:val="24"/>
          <w:szCs w:val="24"/>
          <w:highlight w:val="none"/>
          <w:lang w:val="en-US" w:eastAsia="zh-CN"/>
        </w:rPr>
        <w:t>1套</w:t>
      </w:r>
      <w:r>
        <w:rPr>
          <w:rFonts w:hint="eastAsia" w:ascii="宋体" w:hAnsi="宋体" w:eastAsia="宋体" w:cs="宋体"/>
          <w:sz w:val="24"/>
          <w:szCs w:val="24"/>
          <w:highlight w:val="none"/>
        </w:rPr>
        <w:t>，原装备用轮胎1个</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防滑链1套</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电路检测工具1套 ；15、配备维修工具≥150件套，符合国家有关标准；便携式拉杆箱分层设计，包括液压千斤顶≥30T、大小套筒、8-32#开口/梅花两用扳手、黄油枪等维修工具，维修组套≥150件、扭力扳手、棘轮扳手组、滤芯扳手、大中小#尖嘴钳、卡簧钳、大中小#大力钳等）</w:t>
      </w:r>
      <w:r>
        <w:rPr>
          <w:rFonts w:hint="eastAsia" w:ascii="宋体" w:hAnsi="宋体" w:eastAsia="宋体" w:cs="宋体"/>
          <w:sz w:val="24"/>
          <w:szCs w:val="24"/>
          <w:highlight w:val="none"/>
          <w:lang w:val="en-US" w:eastAsia="zh-CN"/>
        </w:rPr>
        <w:t>；16、</w:t>
      </w:r>
      <w:r>
        <w:rPr>
          <w:rFonts w:hint="eastAsia" w:ascii="宋体" w:hAnsi="宋体" w:eastAsia="宋体" w:cs="宋体"/>
          <w:sz w:val="24"/>
          <w:szCs w:val="24"/>
          <w:highlight w:val="none"/>
        </w:rPr>
        <w:t>备用保险套装1套</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17、</w:t>
      </w:r>
      <w:r>
        <w:rPr>
          <w:rFonts w:hint="eastAsia" w:ascii="宋体" w:hAnsi="宋体" w:eastAsia="宋体" w:cs="宋体"/>
          <w:sz w:val="24"/>
          <w:szCs w:val="24"/>
          <w:highlight w:val="none"/>
        </w:rPr>
        <w:t>灭火器（含支架）4kg2具</w:t>
      </w:r>
      <w:r>
        <w:rPr>
          <w:rFonts w:hint="eastAsia" w:ascii="宋体" w:hAnsi="宋体" w:eastAsia="宋体" w:cs="宋体"/>
          <w:sz w:val="24"/>
          <w:szCs w:val="24"/>
          <w:highlight w:val="none"/>
          <w:lang w:eastAsia="zh-CN"/>
        </w:rPr>
        <w:t>。</w:t>
      </w:r>
    </w:p>
    <w:p>
      <w:pPr>
        <w:rPr>
          <w:rFonts w:hint="eastAsia"/>
          <w:highlight w:val="none"/>
          <w:lang w:val="en-US" w:eastAsia="zh-CN"/>
        </w:rPr>
      </w:pPr>
    </w:p>
    <w:p>
      <w:pPr>
        <w:rPr>
          <w:rFonts w:hint="eastAsia"/>
          <w:highlight w:val="none"/>
          <w:lang w:val="en-US" w:eastAsia="zh-CN"/>
        </w:rPr>
      </w:pPr>
    </w:p>
    <w:p>
      <w:pPr>
        <w:rPr>
          <w:rFonts w:hint="eastAsia"/>
          <w:highlight w:val="none"/>
          <w:lang w:val="en-US" w:eastAsia="zh-CN"/>
        </w:rPr>
      </w:pPr>
      <w:bookmarkStart w:id="561" w:name="_GoBack"/>
      <w:bookmarkEnd w:id="561"/>
    </w:p>
    <w:p>
      <w:pPr>
        <w:rPr>
          <w:rFonts w:hint="eastAsia"/>
          <w:highlight w:val="none"/>
          <w:lang w:val="en-US" w:eastAsia="zh-CN"/>
        </w:rPr>
      </w:pPr>
    </w:p>
    <w:p>
      <w:pPr>
        <w:rPr>
          <w:rFonts w:hint="eastAsia"/>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bCs/>
          <w:sz w:val="24"/>
          <w:szCs w:val="24"/>
          <w:highlight w:val="none"/>
        </w:rPr>
      </w:pPr>
      <w:bookmarkStart w:id="480" w:name="_Toc7135"/>
      <w:r>
        <w:rPr>
          <w:rFonts w:hint="eastAsia" w:ascii="宋体" w:hAnsi="宋体" w:eastAsia="宋体" w:cs="宋体"/>
          <w:b/>
          <w:color w:val="auto"/>
          <w:sz w:val="24"/>
          <w:szCs w:val="24"/>
          <w:highlight w:val="none"/>
          <w:lang w:eastAsia="zh-CN"/>
        </w:rPr>
        <w:t>（二）技术需求专用要求</w:t>
      </w:r>
      <w:bookmarkEnd w:id="480"/>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1、被服洗涤车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技术参数：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1、国家或行业标准：《消防车 第1部分：通用技术标准》（GB 7956.1-2014）、GB7258《机动车安全技术条件》。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2、车辆必须按照《消防救援局关于做好消防救援车辆外观制式涂装工作的通知》（应急消[2019]76号）要求涂装。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3、整车主要功能：用于消防救援队伍野外长时间作战被服洗涤需要。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4、底盘主要技术要求：驱动形式：4*2（等同或优于），发动机功率≥295KW，国六排放标准；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5、单排平顶驾驶室，配备转220V逆变器多功能插座，设置2个24V、2个12V直流电源插口和2个USB电源接口；顶部安装LED红色长排警灯，单音200W警报器，车体两侧上部各安装不少于2个LED爆闪灯。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6、上装主要技术要求：（1）采用洗脱烘一体机，设置不少于 4 台，洗衣量分别2台≥10kg、2台≥25kg，具有洗涤、脱水和烘干功能，其中≥10kg 机组洗涤贴身衣物，≥25kg 机组分别洗涤作训类服装及战斗服等救援衣物。能完成对作训服、战斗服和日常衣物等服装的洗脱烘，同时不损坏衣物原有性能；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（2）单次洗涤重量≥60kg；</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（3）配备额定功率≥1500w 熨烫一体机一台；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7、其他要求：（1）净水箱储水量≥1500L，配备2个≥1000L软体水罐及潜水泵；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（2）净水箱采用 304 不锈钢材质或优于该材质制作，具有保温层，耐腐蚀。净水箱前后设有加强结构，箱体内设置纵、横防荡板；</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(3)净水箱具有电加热功能，能保证在高寒地区执勤时净水箱内部不结冰；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(4)配有吹扫装置，在不使用时能将管路内液体吹扫干净,防止冬季结冰；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（5）设有液位计，能监测水液位，同时具有低液位报警功能;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（6）车厢内设置LED照明灯，无照明死角；配置市电、外接电源等多种供电方式，配备车载发电机，功率≥40Kw；</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（7）配备≥5组移动晾衣架；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（8）配备防护服专用衣撑</w:t>
      </w:r>
      <w:r>
        <w:rPr>
          <w:rFonts w:hint="eastAsia" w:ascii="宋体" w:hAnsi="宋体" w:eastAsia="宋体" w:cs="宋体"/>
          <w:sz w:val="24"/>
          <w:szCs w:val="24"/>
          <w:highlight w:val="none"/>
          <w:lang w:eastAsia="zh"/>
        </w:rPr>
        <w:t>≥</w:t>
      </w:r>
      <w:r>
        <w:rPr>
          <w:rFonts w:hint="eastAsia" w:ascii="宋体" w:hAnsi="宋体" w:eastAsia="宋体" w:cs="宋体"/>
          <w:sz w:val="24"/>
          <w:szCs w:val="24"/>
          <w:highlight w:val="none"/>
        </w:rPr>
        <w:t>100</w:t>
      </w:r>
      <w:r>
        <w:rPr>
          <w:rFonts w:hint="eastAsia" w:ascii="宋体" w:hAnsi="宋体" w:eastAsia="宋体" w:cs="宋体"/>
          <w:sz w:val="24"/>
          <w:szCs w:val="24"/>
          <w:highlight w:val="none"/>
          <w:lang w:eastAsia="zh"/>
        </w:rPr>
        <w:t>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（9）</w:t>
      </w:r>
      <w:r>
        <w:rPr>
          <w:rFonts w:hint="eastAsia" w:ascii="宋体" w:hAnsi="宋体" w:eastAsia="宋体" w:cs="宋体"/>
          <w:sz w:val="24"/>
          <w:szCs w:val="24"/>
          <w:highlight w:val="none"/>
          <w:lang w:eastAsia="zh"/>
        </w:rPr>
        <w:t>便携式烘干设备</w:t>
      </w:r>
      <w:r>
        <w:rPr>
          <w:rFonts w:hint="eastAsia" w:ascii="宋体" w:hAnsi="宋体" w:eastAsia="宋体" w:cs="宋体"/>
          <w:sz w:val="24"/>
          <w:szCs w:val="24"/>
          <w:highlight w:val="none"/>
        </w:rPr>
        <w:t>≥1台。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2</w:t>
      </w:r>
      <w:r>
        <w:rPr>
          <w:rFonts w:hint="eastAsia" w:ascii="宋体" w:hAnsi="宋体" w:eastAsia="宋体" w:cs="宋体"/>
          <w:b/>
          <w:bCs/>
          <w:sz w:val="24"/>
          <w:szCs w:val="24"/>
          <w:highlight w:val="none"/>
        </w:rPr>
        <w:t>、盥洗车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技术参数：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1、国家或行业标准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整车性能符合 《消防车 第 1 部分：通用技术条件》（GB 7956.1-2014）的规定；整车标记符合《机动车安全技术条件》（GB7258-2017）；整车外部照明和信号装置符合《汽车及挂车外部照明和信号装置的安装规定》GB4785-2019；整车后下防护要求符合《汽车和挂车后下部防护要求》（GB11567.1-2001）；改制后的整车外型尺寸符合《道路车辆外廓尺寸、轴荷及质量限值》（GB1589-2004）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2、主要功能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用于消防救援队伍野外长时间作战如厕使用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3、技术要求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3.1整车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3.1.1整车尺寸：长×宽×高（mm）：≤11000×2550×4000；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3.1.2满载质量：≤18T；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3.1.3比功率≥ 12KW/T；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 底盘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color w:val="auto"/>
          <w:szCs w:val="21"/>
          <w:highlight w:val="none"/>
        </w:rPr>
        <w:t>★</w:t>
      </w:r>
      <w:r>
        <w:rPr>
          <w:rFonts w:hint="eastAsia" w:ascii="宋体" w:hAnsi="宋体" w:eastAsia="宋体" w:cs="宋体"/>
          <w:sz w:val="24"/>
          <w:szCs w:val="24"/>
          <w:highlight w:val="none"/>
        </w:rPr>
        <w:t>3.2.1 发动机额定功率≥220kw；</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3.2.2燃料：柴油；油箱容积：≥200L；</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3.2.3尾气排放：符合国Ⅵ标准；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3.2.4驱动形式：4×2;</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3.2.5 最高车速≥95km/h；</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3.2.6 配置子午线钢丝轮胎、胎压监测系统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3.2.7变速箱：手动；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3.2.8制动系统：前轮盘式制动器，ABS（防抱死制动系统）或EBS（电控制动系统）；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3.3 驾乘室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3.3.1 结构：全钢框架焊接结构，带液压缸倾翻、带安全锁止装置，电动液压泵；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3.3.2 座位设置：单排，乘员≥2 人，所有座椅应全部设置安全带；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3.3.3 驾乘室设备：除原车设备外，内部带有空调、室内 LED 灯，设有电源总开关，预留总线接口，可读取发动机转速、冷却水温等信号，配备两组 12V、两组 24V、一组 220V 电源接口，并配备 2 个 USB 接口；</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 主要性能及配置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3.4.1车厢结构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3.4.1.1车厢前部为水箱、真空系统和水增压设备；中部为洗漱台、卫生间，车厢前部右侧上下梯为隐藏式抽拉梯，使用时直接抽出，无需搬运，更加方便；车尾处设置上下车抽拉梯，车厢前部装有登顶踏板便于上顶部维护设备；车辆裙部设置污水箱，预留发电机等大尺寸设备空间；顶部布置换气天窗，兼有逃生功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3.4.2环保型独立卫生间，同时满足≥10 人的卫厕需求（蹲便器、座便器数量根据客户需求确定），卫生间内部地面做防滑处理；每个隔间设置通气窗，带有防蚊帘，遮光帘；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3.4.3坐便器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3.4.3.1材质：真空不锈钢；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3.4.3.2配备红外感应开关，感应冲水，并配备有应急手动冲水按钮；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3.4.4蹲便器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3.4.4.1材质：真空不锈钢；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3.4.4.2配备红外感应开关，感应冲水，并配备有应急手动冲水按钮；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3.4.5车厢设置洗漱台，配备两套水龙头、镜子等；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3.4.6清水箱</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3.4.6.1容积：≥500L；</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3.4.6.2材质：304不锈钢；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3.4.6.3具备液位计及液位报警系统，可对液位情况实时掌握；</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3.4.6.4供水口可与消防车连接，各类转换接口≥2套。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3.4.7污水箱</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3.4.7.1容积：≥750L；</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3.4.7.2材质：304不锈钢；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3.4.7.3设置冲洗口、排污口，排污口的设置方便排污使用；冲洗阀使用时连接水带，直接外排；</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3.4.8真空集便系统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3.4.8.1功率：≥2kw；</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3.4.8.2气体流量：≥16m³/h;</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3.4.8.3冲洗负荷：≥120次/h；</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3.4.8.4系统控制箱：带PLC控制，带触摸屏；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3.4.8.5满足室外无排污条件使用，具有负压抽吸、收集、隔臭功能，臭气净化处里，设有粉碎系统，避免管道堵塞；</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3.4.9水增压系统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3.4.9.1功率：≥1.5kw；</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3.4.9.2增压泵流量：5m³/h；</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3.4.9.3增压泵压力：≥30Kpa；</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3.4.10发电机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3.4.10.1功率：≥10kw；</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3.4.10.2额定电压：220V；</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3.4.10.3额定频率：50HZ；</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3.4.10.4燃油：汽油；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3.5总体要求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3.5.1车身颜色符合GB/T3181-2008中规定的R03红色；</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3.5.2在确保不影响车辆安全行驶的前提下，根据采购单位需求，对外置车灯、灯具加装防护罩；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3.5.3防腐保护：驾乘室及上装均采用内涂层等进行防腐处理；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3.5.4厢体：采用高强度碳钢结构骨架及耐腐蚀性好的铝合金板为蒙皮，底板及车厢顶部为铝合金防滑板或经防滑处理的铝合金平板（表面喷涂防滑层）；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3.5.5警报灯具：车顶前面设置红色警灯（位于驾乘室顶端），车身设置轮廓灯带、爆闪警灯，警报器输出功率≥200W，LED光源；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冷藏车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bCs/>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技术参数：存储量满足 300 人以上至少 3 天所需的肉蛋蔬菜水果及主副食品。用于消防救援队伍野外长时间作战，处置灾害事故时餐饮保障储存各类副食品需要。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底盘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1、发动机及功率：柴油燃料，功率≥240kW；</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2、排放标准：符合国家现行排放标准；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3、整车外形尺寸（mm，长*宽*高）:≥8900*2450*3800；底盘：最大允许总质量≥18T；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4、驱动：4×2；</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5、油箱容积：≥300L；</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6、轮胎：原厂标准配置子午线钢丝真空轮胎，备用轮胎1个。</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7、制动：包含全空气双回路刹车系统；具备防抱死制动系统（ABS）、电控制动系统（EBS）、驱动防滑系统（ASR）、电子车身稳定系统（ESP）和排气制动等；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8、驾乘室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8.1布局结构:双门单排驾驶室。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8.2座位设置:单排座，座位(1+1)。</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8.3安全设置:主副驾驶安装有三点式预紧安全带及安全气囊。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8.4主副驾配有电动加热后视镜及电动玻璃升降器。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8.5音频：可通过手机蓝牙播放音频，带独立USB接口可播放音频。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9、车厢整体材质：304或更高不锈钢材质，保温车厢采用“钢骨架+蒙皮+保温材料”制作，防腐防漏性能≥5年；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10、车门：厢体设置两个手动外开门，前侧单开门可实现≥180°开启，后部对开门可实现≥270°开启；车门配套风钩，实现车门开启固定。车门设有保温帘；车厢内部设置自动照明灯，防雾、防爆、防水、防撞；</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11、车内布局：舱体内部分为冷冻室和冷藏室两个区域：前部为冷冻室约占舱体容积的1/3。设置内部报警器，防止工作人员被误锁；厢体内设置温度记录仪，可通过蜂鸣器等方式进行自动监控报警。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12、冷冻室预留≥8个肉钩，每个肉钩承重≥75kg；</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13、冷藏区一侧第一层货架高度≥80cm，配≥6个双层小推车，小推车带万向轮；冷藏区货架第二层，留≥4个大框放置；冷藏和冷冻区货框一半空心带孔，一半不带孔，存放不同食品。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14、配电系统：电源（配备市电220V和冷机380V）经电源输入插座接入；副电瓶：除原底盘启动电瓶增加12V副电瓶作为制冷机组的启动电瓶，配备安装电瓶总开关；</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15、制冷机组可接外部电源；配备≥50米电源线缆盘外接电源，具备外接电优先功能。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16、冷藏设备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16.1厢体最低温度：≤-18℃；车厢前部安装制冷机组，型式：多温独立制冷机组，两台蒸发器可独立运行；制冷量≥3600W，可自动除霜；温度可调节：冷冻室最低温度≤-20°，冷藏室最低温度≤0°至-15°，驾驶室内设有LED 显示，可以实时显示温度。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16.2制冷机组含发电机，可实现行车途中制冷机正常工作，配备独立副油箱，保证不间断工作≥ 3 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17、货架：冷冻室和冷藏室各存放一组货架，采用不锈钢材质，与车身固定牢固。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18、周转筐≥100个，与货架配套使用，耐低温，在货架相应位置需设置固定周转筐装置。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19、边仓系统：车辆裙箱设计边仓。</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20、液压系统：车辆尾部增加液压尾板。</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21、水路系统：冷冻室和冷藏室水管相通，冷冻水、冷凝水和冷藏室污水存储不锈钢保温水箱内，水路保温处理，在低位设置污水排放口。</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22、箱体左右安装LED频闪灯带；顶部后侧布置≥1个LED照明灯（功率≥100w）。</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23、警灯警报：符合应急管理部相关标准。</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4"/>
          <w:szCs w:val="24"/>
          <w:highlight w:val="none"/>
          <w:lang w:val="en-US" w:eastAsia="zh-CN"/>
        </w:rPr>
      </w:pP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淋浴车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bCs/>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技术参数：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1、用于消防救援队伍野外长时间作战淋浴使用，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2、底盘及驾驶室改装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2.1底盘：选用成熟品牌底盘,底盘须适用于消防车改装，符合先进性、可靠性、稳定性和成熟性的要求。交车时需提供底盘出厂合格证。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2.2驱动型式：4×2。</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2.3发动机额定功率≥240KW。</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2.4尾气排放：满足国6排放标准。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2.5驾驶室布局：原厂双门单排驾驶室，乘员≧2人。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2.6配备自动充电装置。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3、厢体</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3.1厢体满足整车强度要求，具有良好的保温、防潮、防尘密闭性能，符合防火、阻燃和环保指标要求；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3.2厢体设计有采光窗，带有遮阳帘和纱窗。带换气扇，保证淋浴舱内空气流通；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3.3 厢体分舱：厢体分为设备区，淋浴区和更衣区，设备区设置有燃油锅炉、净化装置、净水箱、热水箱及水泵等设备。更衣区设置≥8 组更衣柜（配备门锁）、洗手池、仪容镜、电动换气扇及取暖设备，保证淋浴舱内空气流通。淋浴区设置有≥8 个淋浴花洒及废水回流系统，确保同时洗漱人数≥8人。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4、淋浴设施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4.1净水箱：容量≥1800L，配人孔盖，外部设有液位计，可观察水箱内水位带液位显示功能，具有电加热功能，防止水结冰。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4.2保温水箱（热水）：保温处理；容量≥1000L，配人孔盖，外部设有液位计，可观察水箱内水位。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4.3淋浴区制作：含防水处理，≥8 个淋浴花洒；淋浴区的排水能力应为整车全部花洒同时开到最大时出水量以上，淋浴区地面应进行防滑处理及设置防滑设施。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4.4淋浴锅炉质量需符合行业标准，热功率：≥10万大卡，额定热功率≥0.12MW，热效率≥90%；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4.5温度调节：热水器能根据实际需求自由设定加热温度，锅炉加热装置操作电启动，热水器的工作过程可由程序自动控制。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4.6配备冷水泵及热水泵，保证水压不因花洒开启数量而变化；</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5、电气系统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5.1驾驶室安装电源总开关；</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eastAsia="宋体" w:cs="宋体"/>
          <w:sz w:val="24"/>
          <w:szCs w:val="24"/>
          <w:highlight w:val="none"/>
        </w:rPr>
        <w:t>5.2发电机：发电机，可移动柴油发电机，电压：220V，额定频率：50Hz，功率能满足整车用电设备同时工作，额定功率≥5.5KW。</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5.3配电系统：配有电表、转换开关，各种主开、分路开关。</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方正仿宋_GBK" w:hAnsi="方正仿宋_GBK" w:eastAsia="方正仿宋_GBK" w:cs="方正仿宋_GBK"/>
          <w:sz w:val="32"/>
          <w:szCs w:val="32"/>
          <w:highlight w:val="none"/>
        </w:rPr>
      </w:pPr>
      <w:r>
        <w:rPr>
          <w:rFonts w:hint="eastAsia" w:ascii="宋体" w:hAnsi="宋体" w:eastAsia="宋体" w:cs="宋体"/>
          <w:sz w:val="24"/>
          <w:szCs w:val="24"/>
          <w:highlight w:val="none"/>
        </w:rPr>
        <w:t>5.4照明系统：车厢内设有照明灯，能够满足整个箱体的照明，车内沐浴间电气照明使用防潮灯具；车顶安装100W长排警灯，警灯警报器在驾驶室内集成操作，具备消防警报、对外喊话等多种功能，车身左右及车尾设置红色频闪警灯。控制器件安装在驾驶室内。</w:t>
      </w:r>
    </w:p>
    <w:p>
      <w:pPr>
        <w:rPr>
          <w:rFonts w:hint="eastAsia" w:asciiTheme="minorEastAsia" w:hAnsiTheme="minorEastAsia" w:eastAsiaTheme="minorEastAsia" w:cstheme="minorEastAsia"/>
          <w:color w:val="auto"/>
          <w:sz w:val="24"/>
          <w:szCs w:val="24"/>
          <w:highlight w:val="none"/>
        </w:rPr>
      </w:pPr>
      <w:r>
        <w:rPr>
          <w:rFonts w:hint="eastAsia"/>
          <w:highlight w:val="none"/>
        </w:rPr>
        <w:br w:type="page"/>
      </w:r>
    </w:p>
    <w:p>
      <w:pPr>
        <w:pStyle w:val="2"/>
        <w:rPr>
          <w:rFonts w:ascii="宋体" w:cs="宋体"/>
          <w:color w:val="auto"/>
          <w:szCs w:val="32"/>
          <w:highlight w:val="none"/>
        </w:rPr>
      </w:pPr>
      <w:bookmarkStart w:id="481" w:name="_Toc11783"/>
      <w:bookmarkStart w:id="482" w:name="_Toc21444"/>
      <w:bookmarkStart w:id="483" w:name="_Toc14044"/>
      <w:bookmarkStart w:id="484" w:name="_Toc40112142"/>
      <w:r>
        <w:rPr>
          <w:rFonts w:hint="eastAsia" w:ascii="宋体" w:hAnsi="宋体" w:cs="宋体"/>
          <w:color w:val="auto"/>
          <w:szCs w:val="32"/>
          <w:highlight w:val="none"/>
        </w:rPr>
        <w:t>第七章</w:t>
      </w:r>
      <w:r>
        <w:rPr>
          <w:rFonts w:ascii="宋体" w:hAnsi="宋体" w:cs="宋体"/>
          <w:color w:val="auto"/>
          <w:szCs w:val="32"/>
          <w:highlight w:val="none"/>
        </w:rPr>
        <w:t xml:space="preserve">  </w:t>
      </w:r>
      <w:r>
        <w:rPr>
          <w:rFonts w:hint="eastAsia" w:ascii="宋体" w:hAnsi="宋体" w:cs="宋体"/>
          <w:color w:val="auto"/>
          <w:szCs w:val="32"/>
          <w:highlight w:val="none"/>
        </w:rPr>
        <w:t>投标文件格式</w:t>
      </w:r>
      <w:bookmarkEnd w:id="481"/>
      <w:bookmarkEnd w:id="482"/>
      <w:bookmarkEnd w:id="483"/>
      <w:bookmarkEnd w:id="484"/>
    </w:p>
    <w:p>
      <w:pPr>
        <w:spacing w:line="360" w:lineRule="auto"/>
        <w:ind w:left="720"/>
        <w:rPr>
          <w:color w:val="auto"/>
          <w:highlight w:val="none"/>
        </w:rPr>
      </w:pPr>
    </w:p>
    <w:p>
      <w:pPr>
        <w:pStyle w:val="13"/>
        <w:spacing w:beforeLines="100" w:afterLines="100" w:line="360" w:lineRule="auto"/>
        <w:jc w:val="center"/>
        <w:rPr>
          <w:rFonts w:hint="eastAsia" w:hAnsi="宋体" w:cs="宋体"/>
          <w:b/>
          <w:color w:val="auto"/>
          <w:sz w:val="44"/>
          <w:szCs w:val="44"/>
          <w:highlight w:val="none"/>
          <w:lang w:eastAsia="zh-CN"/>
        </w:rPr>
      </w:pPr>
      <w:r>
        <w:rPr>
          <w:rFonts w:hint="eastAsia" w:hAnsi="宋体" w:cs="宋体"/>
          <w:b/>
          <w:color w:val="auto"/>
          <w:sz w:val="44"/>
          <w:szCs w:val="44"/>
          <w:highlight w:val="none"/>
          <w:lang w:eastAsia="zh-CN"/>
        </w:rPr>
        <w:t>平顶山市消防救援支队河南省消防救援总队“自然灾害应急能力提升工程”平顶山支队装备建设项目</w:t>
      </w:r>
    </w:p>
    <w:p>
      <w:pPr>
        <w:pStyle w:val="13"/>
        <w:spacing w:beforeLines="100" w:afterLines="100" w:line="360" w:lineRule="auto"/>
        <w:jc w:val="center"/>
        <w:rPr>
          <w:rFonts w:hint="eastAsia" w:hAnsi="宋体" w:cs="宋体"/>
          <w:b/>
          <w:color w:val="auto"/>
          <w:sz w:val="44"/>
          <w:szCs w:val="44"/>
          <w:highlight w:val="none"/>
          <w:lang w:eastAsia="zh-CN"/>
        </w:rPr>
      </w:pPr>
    </w:p>
    <w:p>
      <w:pPr>
        <w:pStyle w:val="13"/>
        <w:spacing w:beforeLines="100" w:afterLines="100" w:line="360" w:lineRule="auto"/>
        <w:jc w:val="center"/>
        <w:rPr>
          <w:rFonts w:hint="eastAsia" w:hAnsi="宋体" w:cs="宋体"/>
          <w:b/>
          <w:color w:val="auto"/>
          <w:sz w:val="36"/>
          <w:szCs w:val="36"/>
          <w:highlight w:val="none"/>
          <w:lang w:eastAsia="zh-CN"/>
        </w:rPr>
      </w:pPr>
      <w:r>
        <w:rPr>
          <w:rFonts w:hint="eastAsia" w:hAnsi="宋体" w:cs="宋体"/>
          <w:b/>
          <w:color w:val="auto"/>
          <w:sz w:val="36"/>
          <w:szCs w:val="36"/>
          <w:highlight w:val="none"/>
          <w:lang w:eastAsia="zh-CN"/>
        </w:rPr>
        <w:t>（</w:t>
      </w:r>
      <w:r>
        <w:rPr>
          <w:rFonts w:hint="eastAsia" w:hAnsi="宋体" w:cs="宋体"/>
          <w:b/>
          <w:color w:val="auto"/>
          <w:sz w:val="36"/>
          <w:szCs w:val="36"/>
          <w:highlight w:val="none"/>
        </w:rPr>
        <w:t>包</w:t>
      </w:r>
      <w:r>
        <w:rPr>
          <w:rFonts w:hint="eastAsia" w:hAnsi="宋体" w:cs="宋体"/>
          <w:b/>
          <w:color w:val="auto"/>
          <w:sz w:val="36"/>
          <w:szCs w:val="36"/>
          <w:highlight w:val="none"/>
          <w:lang w:val="en-US" w:eastAsia="zh-CN"/>
        </w:rPr>
        <w:t xml:space="preserve">    </w:t>
      </w:r>
      <w:r>
        <w:rPr>
          <w:rFonts w:hint="eastAsia" w:hAnsi="宋体" w:cs="宋体"/>
          <w:b/>
          <w:color w:val="auto"/>
          <w:sz w:val="36"/>
          <w:szCs w:val="36"/>
          <w:highlight w:val="none"/>
          <w:lang w:eastAsia="zh-CN"/>
        </w:rPr>
        <w:t>）</w:t>
      </w:r>
    </w:p>
    <w:p>
      <w:pPr>
        <w:pStyle w:val="13"/>
        <w:spacing w:beforeLines="100" w:afterLines="100" w:line="360" w:lineRule="auto"/>
        <w:jc w:val="center"/>
        <w:rPr>
          <w:rFonts w:hAnsi="宋体" w:cs="宋体"/>
          <w:b/>
          <w:bCs/>
          <w:color w:val="auto"/>
          <w:sz w:val="84"/>
          <w:szCs w:val="84"/>
          <w:highlight w:val="none"/>
        </w:rPr>
      </w:pPr>
      <w:r>
        <w:rPr>
          <w:rFonts w:hint="eastAsia" w:hAnsi="宋体" w:cs="宋体"/>
          <w:b/>
          <w:bCs/>
          <w:color w:val="auto"/>
          <w:sz w:val="84"/>
          <w:szCs w:val="84"/>
          <w:highlight w:val="none"/>
        </w:rPr>
        <w:t>投标文件</w:t>
      </w:r>
    </w:p>
    <w:p>
      <w:pPr>
        <w:pStyle w:val="13"/>
        <w:spacing w:beforeLines="100" w:afterLines="100" w:line="360" w:lineRule="auto"/>
        <w:jc w:val="center"/>
        <w:rPr>
          <w:rFonts w:hint="eastAsia" w:hAnsi="宋体" w:eastAsia="宋体" w:cs="宋体"/>
          <w:b/>
          <w:bCs/>
          <w:color w:val="auto"/>
          <w:sz w:val="32"/>
          <w:highlight w:val="none"/>
          <w:u w:val="single"/>
          <w:lang w:eastAsia="zh-CN"/>
        </w:rPr>
      </w:pPr>
      <w:r>
        <w:rPr>
          <w:rFonts w:hint="eastAsia" w:hAnsi="宋体" w:cs="宋体"/>
          <w:bCs/>
          <w:color w:val="auto"/>
          <w:sz w:val="28"/>
          <w:szCs w:val="28"/>
          <w:highlight w:val="none"/>
        </w:rPr>
        <w:t>项目编号：</w:t>
      </w:r>
    </w:p>
    <w:p>
      <w:pPr>
        <w:pStyle w:val="13"/>
        <w:spacing w:beforeLines="100" w:afterLines="100" w:line="360" w:lineRule="auto"/>
        <w:rPr>
          <w:rFonts w:hAnsi="宋体" w:cs="宋体"/>
          <w:b/>
          <w:bCs/>
          <w:color w:val="auto"/>
          <w:sz w:val="32"/>
          <w:highlight w:val="none"/>
          <w:u w:val="single"/>
        </w:rPr>
      </w:pPr>
    </w:p>
    <w:p>
      <w:pPr>
        <w:pStyle w:val="13"/>
        <w:spacing w:beforeLines="100" w:afterLines="100" w:line="360" w:lineRule="auto"/>
        <w:jc w:val="center"/>
        <w:rPr>
          <w:rFonts w:hAnsi="宋体" w:cs="宋体"/>
          <w:b/>
          <w:bCs/>
          <w:color w:val="auto"/>
          <w:sz w:val="32"/>
          <w:highlight w:val="none"/>
          <w:u w:val="single"/>
        </w:rPr>
      </w:pPr>
    </w:p>
    <w:p>
      <w:pPr>
        <w:pStyle w:val="13"/>
        <w:spacing w:beforeLines="100" w:afterLines="100" w:line="360" w:lineRule="auto"/>
        <w:jc w:val="center"/>
        <w:rPr>
          <w:rFonts w:hAnsi="宋体" w:cs="宋体"/>
          <w:b/>
          <w:bCs/>
          <w:color w:val="auto"/>
          <w:sz w:val="32"/>
          <w:highlight w:val="none"/>
          <w:u w:val="single"/>
        </w:rPr>
      </w:pPr>
    </w:p>
    <w:p>
      <w:pPr>
        <w:spacing w:line="360" w:lineRule="auto"/>
        <w:jc w:val="center"/>
        <w:rPr>
          <w:rFonts w:ascii="宋体" w:cs="宋体"/>
          <w:color w:val="auto"/>
          <w:sz w:val="32"/>
          <w:szCs w:val="32"/>
          <w:highlight w:val="none"/>
          <w:u w:val="single"/>
        </w:rPr>
      </w:pPr>
      <w:r>
        <w:rPr>
          <w:rFonts w:hint="eastAsia" w:ascii="宋体" w:hAnsi="宋体" w:cs="宋体"/>
          <w:color w:val="auto"/>
          <w:sz w:val="32"/>
          <w:szCs w:val="32"/>
          <w:highlight w:val="none"/>
          <w:lang w:eastAsia="zh-CN"/>
        </w:rPr>
        <w:t>投标人</w:t>
      </w:r>
      <w:r>
        <w:rPr>
          <w:rFonts w:hint="eastAsia" w:ascii="宋体" w:hAnsi="宋体" w:cs="宋体"/>
          <w:color w:val="auto"/>
          <w:sz w:val="32"/>
          <w:szCs w:val="32"/>
          <w:highlight w:val="none"/>
        </w:rPr>
        <w:t>：</w:t>
      </w:r>
      <w:r>
        <w:rPr>
          <w:rFonts w:ascii="宋体" w:hAnsi="宋体" w:cs="宋体"/>
          <w:color w:val="auto"/>
          <w:sz w:val="32"/>
          <w:szCs w:val="32"/>
          <w:highlight w:val="none"/>
          <w:u w:val="single"/>
        </w:rPr>
        <w:t xml:space="preserve">                            </w:t>
      </w:r>
      <w:r>
        <w:rPr>
          <w:rFonts w:hint="eastAsia" w:ascii="宋体" w:hAnsi="宋体" w:cs="宋体"/>
          <w:color w:val="auto"/>
          <w:sz w:val="32"/>
          <w:szCs w:val="32"/>
          <w:highlight w:val="none"/>
        </w:rPr>
        <w:t>（电子签章）</w:t>
      </w:r>
    </w:p>
    <w:p>
      <w:pPr>
        <w:spacing w:line="360" w:lineRule="auto"/>
        <w:jc w:val="center"/>
        <w:rPr>
          <w:rFonts w:ascii="宋体" w:cs="宋体"/>
          <w:color w:val="auto"/>
          <w:sz w:val="32"/>
          <w:szCs w:val="32"/>
          <w:highlight w:val="none"/>
        </w:rPr>
      </w:pPr>
      <w:r>
        <w:rPr>
          <w:rFonts w:hint="eastAsia" w:ascii="宋体" w:hAnsi="宋体" w:cs="宋体"/>
          <w:color w:val="auto"/>
          <w:sz w:val="32"/>
          <w:szCs w:val="32"/>
          <w:highlight w:val="none"/>
        </w:rPr>
        <w:t>法定代表人或其委托代理人：</w:t>
      </w:r>
      <w:r>
        <w:rPr>
          <w:rFonts w:ascii="宋体" w:hAnsi="宋体" w:cs="宋体"/>
          <w:color w:val="auto"/>
          <w:sz w:val="32"/>
          <w:szCs w:val="32"/>
          <w:highlight w:val="none"/>
          <w:u w:val="single"/>
        </w:rPr>
        <w:t xml:space="preserve">     </w:t>
      </w:r>
      <w:r>
        <w:rPr>
          <w:rFonts w:hint="eastAsia" w:ascii="宋体" w:hAnsi="宋体" w:cs="宋体"/>
          <w:color w:val="auto"/>
          <w:sz w:val="32"/>
          <w:szCs w:val="32"/>
          <w:highlight w:val="none"/>
        </w:rPr>
        <w:t>（电子签章或签字）</w:t>
      </w:r>
    </w:p>
    <w:p>
      <w:pPr>
        <w:spacing w:line="360" w:lineRule="auto"/>
        <w:jc w:val="center"/>
        <w:rPr>
          <w:rFonts w:ascii="宋体" w:cs="宋体"/>
          <w:color w:val="auto"/>
          <w:sz w:val="24"/>
          <w:highlight w:val="none"/>
        </w:rPr>
      </w:pPr>
      <w:r>
        <w:rPr>
          <w:rFonts w:ascii="宋体" w:hAnsi="宋体" w:cs="宋体"/>
          <w:color w:val="auto"/>
          <w:sz w:val="32"/>
          <w:szCs w:val="32"/>
          <w:highlight w:val="none"/>
          <w:u w:val="single"/>
        </w:rPr>
        <w:t xml:space="preserve">     </w:t>
      </w:r>
      <w:r>
        <w:rPr>
          <w:rFonts w:hint="eastAsia" w:ascii="宋体" w:hAnsi="宋体" w:cs="宋体"/>
          <w:color w:val="auto"/>
          <w:sz w:val="32"/>
          <w:szCs w:val="32"/>
          <w:highlight w:val="none"/>
        </w:rPr>
        <w:t>年</w:t>
      </w:r>
      <w:r>
        <w:rPr>
          <w:rFonts w:ascii="宋体" w:hAnsi="宋体" w:cs="宋体"/>
          <w:color w:val="auto"/>
          <w:sz w:val="32"/>
          <w:szCs w:val="32"/>
          <w:highlight w:val="none"/>
          <w:u w:val="single"/>
        </w:rPr>
        <w:t xml:space="preserve">     </w:t>
      </w:r>
      <w:r>
        <w:rPr>
          <w:rFonts w:hint="eastAsia" w:ascii="宋体" w:hAnsi="宋体" w:cs="宋体"/>
          <w:color w:val="auto"/>
          <w:sz w:val="32"/>
          <w:szCs w:val="32"/>
          <w:highlight w:val="none"/>
        </w:rPr>
        <w:t>月</w:t>
      </w:r>
      <w:r>
        <w:rPr>
          <w:rFonts w:ascii="宋体" w:hAnsi="宋体" w:cs="宋体"/>
          <w:color w:val="auto"/>
          <w:sz w:val="32"/>
          <w:szCs w:val="32"/>
          <w:highlight w:val="none"/>
          <w:u w:val="single"/>
        </w:rPr>
        <w:t xml:space="preserve">     </w:t>
      </w:r>
      <w:r>
        <w:rPr>
          <w:rFonts w:hint="eastAsia" w:ascii="宋体" w:hAnsi="宋体" w:cs="宋体"/>
          <w:color w:val="auto"/>
          <w:sz w:val="32"/>
          <w:szCs w:val="32"/>
          <w:highlight w:val="none"/>
        </w:rPr>
        <w:t>日</w:t>
      </w:r>
    </w:p>
    <w:p>
      <w:pPr>
        <w:pStyle w:val="11"/>
        <w:spacing w:line="360" w:lineRule="auto"/>
        <w:ind w:left="0" w:leftChars="0" w:firstLine="2129" w:firstLineChars="707"/>
        <w:rPr>
          <w:rFonts w:ascii="宋体" w:cs="宋体"/>
          <w:b/>
          <w:bCs/>
          <w:color w:val="auto"/>
          <w:sz w:val="30"/>
          <w:szCs w:val="30"/>
          <w:highlight w:val="none"/>
        </w:rPr>
      </w:pPr>
    </w:p>
    <w:p>
      <w:pPr>
        <w:pStyle w:val="12"/>
        <w:spacing w:line="360" w:lineRule="auto"/>
        <w:ind w:left="31680" w:right="31680"/>
        <w:rPr>
          <w:rFonts w:ascii="宋体" w:cs="宋体"/>
          <w:b/>
          <w:color w:val="auto"/>
          <w:sz w:val="24"/>
          <w:highlight w:val="none"/>
        </w:rPr>
      </w:pPr>
    </w:p>
    <w:p>
      <w:pPr>
        <w:spacing w:line="360" w:lineRule="auto"/>
        <w:jc w:val="center"/>
        <w:rPr>
          <w:rFonts w:ascii="宋体" w:cs="宋体"/>
          <w:b/>
          <w:color w:val="auto"/>
          <w:sz w:val="28"/>
          <w:szCs w:val="28"/>
          <w:highlight w:val="none"/>
        </w:rPr>
      </w:pPr>
      <w:r>
        <w:rPr>
          <w:rFonts w:hint="eastAsia" w:ascii="宋体" w:hAnsi="宋体" w:cs="宋体"/>
          <w:b/>
          <w:color w:val="auto"/>
          <w:sz w:val="28"/>
          <w:szCs w:val="28"/>
          <w:highlight w:val="none"/>
        </w:rPr>
        <w:t>投标文件目录</w:t>
      </w:r>
    </w:p>
    <w:p>
      <w:pPr>
        <w:jc w:val="center"/>
        <w:rPr>
          <w:color w:val="auto"/>
          <w:sz w:val="24"/>
          <w:szCs w:val="32"/>
          <w:highlight w:val="none"/>
        </w:rPr>
      </w:pPr>
      <w:r>
        <w:rPr>
          <w:rFonts w:hint="eastAsia"/>
          <w:color w:val="auto"/>
          <w:sz w:val="24"/>
          <w:szCs w:val="32"/>
          <w:highlight w:val="none"/>
        </w:rPr>
        <w:t>（</w:t>
      </w:r>
      <w:r>
        <w:rPr>
          <w:rFonts w:hint="eastAsia"/>
          <w:color w:val="auto"/>
          <w:sz w:val="24"/>
          <w:szCs w:val="32"/>
          <w:highlight w:val="none"/>
          <w:lang w:eastAsia="zh-CN"/>
        </w:rPr>
        <w:t>投标人</w:t>
      </w:r>
      <w:r>
        <w:rPr>
          <w:rFonts w:hint="eastAsia"/>
          <w:color w:val="auto"/>
          <w:sz w:val="24"/>
          <w:szCs w:val="32"/>
          <w:highlight w:val="none"/>
        </w:rPr>
        <w:t>根据要求自行编制目录及页码）</w:t>
      </w:r>
    </w:p>
    <w:p>
      <w:pPr>
        <w:pStyle w:val="12"/>
        <w:spacing w:line="360" w:lineRule="auto"/>
        <w:ind w:left="0" w:leftChars="0" w:right="31680"/>
        <w:jc w:val="center"/>
        <w:rPr>
          <w:rFonts w:ascii="宋体" w:cs="宋体"/>
          <w:color w:val="auto"/>
          <w:highlight w:val="none"/>
        </w:rPr>
      </w:pPr>
    </w:p>
    <w:p>
      <w:pPr>
        <w:spacing w:line="360" w:lineRule="auto"/>
        <w:rPr>
          <w:rFonts w:ascii="宋体" w:cs="宋体"/>
          <w:bCs/>
          <w:color w:val="auto"/>
          <w:szCs w:val="21"/>
          <w:highlight w:val="none"/>
        </w:rPr>
      </w:pPr>
    </w:p>
    <w:p>
      <w:pPr>
        <w:spacing w:before="54" w:line="360" w:lineRule="auto"/>
        <w:ind w:left="6"/>
        <w:jc w:val="center"/>
        <w:outlineLvl w:val="1"/>
        <w:rPr>
          <w:b/>
          <w:color w:val="auto"/>
          <w:sz w:val="32"/>
          <w:highlight w:val="none"/>
        </w:rPr>
      </w:pPr>
      <w:r>
        <w:rPr>
          <w:rFonts w:ascii="宋体" w:cs="宋体"/>
          <w:color w:val="auto"/>
          <w:sz w:val="36"/>
          <w:highlight w:val="none"/>
        </w:rPr>
        <w:br w:type="page"/>
      </w:r>
      <w:bookmarkStart w:id="485" w:name="_Toc13005"/>
      <w:bookmarkStart w:id="486" w:name="_Toc5119"/>
      <w:bookmarkStart w:id="487" w:name="_Toc13982"/>
      <w:r>
        <w:rPr>
          <w:rFonts w:hint="eastAsia" w:ascii="宋体" w:hAnsi="宋体" w:cs="宋体"/>
          <w:b/>
          <w:color w:val="auto"/>
          <w:sz w:val="32"/>
          <w:highlight w:val="none"/>
        </w:rPr>
        <w:t>一、投标函及投标函附录</w:t>
      </w:r>
      <w:bookmarkEnd w:id="485"/>
      <w:bookmarkEnd w:id="486"/>
      <w:bookmarkEnd w:id="487"/>
    </w:p>
    <w:p>
      <w:pPr>
        <w:spacing w:before="212" w:line="360" w:lineRule="auto"/>
        <w:ind w:left="1"/>
        <w:jc w:val="center"/>
        <w:rPr>
          <w:b/>
          <w:color w:val="auto"/>
          <w:sz w:val="32"/>
          <w:highlight w:val="none"/>
        </w:rPr>
      </w:pPr>
      <w:bookmarkStart w:id="488" w:name="（一）投标函"/>
      <w:bookmarkEnd w:id="488"/>
      <w:r>
        <w:rPr>
          <w:rFonts w:hint="eastAsia"/>
          <w:b/>
          <w:color w:val="auto"/>
          <w:sz w:val="32"/>
          <w:highlight w:val="none"/>
        </w:rPr>
        <w:t>（一）投标函</w:t>
      </w:r>
    </w:p>
    <w:p>
      <w:pPr>
        <w:autoSpaceDE w:val="0"/>
        <w:autoSpaceDN w:val="0"/>
        <w:spacing w:line="360" w:lineRule="auto"/>
        <w:ind w:firstLine="630" w:firstLineChars="300"/>
        <w:jc w:val="left"/>
        <w:rPr>
          <w:rFonts w:hint="eastAsia" w:ascii="宋体" w:hAnsi="宋体" w:cs="宋体"/>
          <w:color w:val="auto"/>
          <w:kern w:val="0"/>
          <w:sz w:val="24"/>
          <w:highlight w:val="none"/>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page">
                  <wp:posOffset>899160</wp:posOffset>
                </wp:positionH>
                <wp:positionV relativeFrom="paragraph">
                  <wp:posOffset>210185</wp:posOffset>
                </wp:positionV>
                <wp:extent cx="1529715"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1529715" cy="0"/>
                        </a:xfrm>
                        <a:prstGeom prst="line">
                          <a:avLst/>
                        </a:prstGeom>
                        <a:ln w="762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0.8pt;margin-top:16.55pt;height:0pt;width:120.45pt;mso-position-horizontal-relative:page;z-index:251659264;mso-width-relative:page;mso-height-relative:page;" filled="f" stroked="t" coordsize="21600,21600" o:gfxdata="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JBXi7WAAAACQEAAA8AAAAAAAAAAQAgAAAAIgAAAGRycy9kb3ducmV2LnhtbFBLAQIU&#10;ABQAAAAIAIdO4kCWPJPq9QEAAOQDAAAOAAAAAAAAAAEAIAAAACUBAABkcnMvZTJvRG9jLnhtbFBL&#10;BQYAAAAABgAGAFkBAACMBQAAAAA=&#10;">
                <v:fill on="f" focussize="0,0"/>
                <v:stroke weight="0.6pt" color="#000000" joinstyle="round"/>
                <v:imagedata o:title=""/>
                <o:lock v:ext="edit" aspectratio="f"/>
              </v:line>
            </w:pict>
          </mc:Fallback>
        </mc:AlternateContent>
      </w:r>
      <w:r>
        <w:rPr>
          <w:rFonts w:hint="eastAsia" w:ascii="宋体" w:hAnsi="宋体" w:cs="宋体"/>
          <w:color w:val="auto"/>
          <w:kern w:val="0"/>
          <w:sz w:val="24"/>
          <w:highlight w:val="none"/>
        </w:rPr>
        <w:t>（采购人名称）：</w:t>
      </w:r>
    </w:p>
    <w:p>
      <w:pPr>
        <w:autoSpaceDE w:val="0"/>
        <w:autoSpaceDN w:val="0"/>
        <w:spacing w:line="360" w:lineRule="auto"/>
        <w:ind w:firstLine="480" w:firstLineChars="200"/>
        <w:jc w:val="left"/>
        <w:rPr>
          <w:rFonts w:ascii="宋体" w:cs="宋体"/>
          <w:color w:val="auto"/>
          <w:kern w:val="0"/>
          <w:sz w:val="24"/>
          <w:highlight w:val="none"/>
        </w:rPr>
      </w:pPr>
      <w:r>
        <w:rPr>
          <w:rFonts w:hint="eastAsia" w:ascii="宋体" w:hAnsi="宋体" w:cs="宋体"/>
          <w:color w:val="auto"/>
          <w:kern w:val="0"/>
          <w:sz w:val="24"/>
          <w:highlight w:val="none"/>
        </w:rPr>
        <w:t>我方已仔细研究了</w:t>
      </w:r>
      <w:r>
        <w:rPr>
          <w:rFonts w:hint="eastAsia" w:ascii="宋体" w:hAnsi="宋体" w:cs="宋体"/>
          <w:color w:val="auto"/>
          <w:kern w:val="0"/>
          <w:sz w:val="24"/>
          <w:highlight w:val="none"/>
          <w:u w:val="single"/>
          <w:lang w:eastAsia="zh-CN"/>
        </w:rPr>
        <w:t>平顶山市消防救援支队河南省消防救援总队“自然灾害应急能力提升工程”平顶山支队装备建设项目</w:t>
      </w:r>
      <w:r>
        <w:rPr>
          <w:rFonts w:hint="eastAsia" w:ascii="宋体" w:hAnsi="宋体" w:cs="宋体"/>
          <w:color w:val="auto"/>
          <w:kern w:val="0"/>
          <w:sz w:val="24"/>
          <w:highlight w:val="none"/>
          <w:u w:val="single"/>
        </w:rPr>
        <w:t>（项目名称）（项目编号）（包</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招标文件的全部内容，签字代表</w:t>
      </w:r>
      <w:r>
        <w:rPr>
          <w:rFonts w:hAnsi="宋体" w:eastAsia="Times New Roman" w:cs="宋体"/>
          <w:color w:val="auto"/>
          <w:kern w:val="0"/>
          <w:sz w:val="24"/>
          <w:highlight w:val="none"/>
          <w:u w:val="single"/>
        </w:rPr>
        <w:tab/>
      </w:r>
      <w:r>
        <w:rPr>
          <w:rFonts w:hint="eastAsia" w:hAnsi="宋体" w:eastAsia="宋体" w:cs="宋体"/>
          <w:color w:val="auto"/>
          <w:kern w:val="0"/>
          <w:sz w:val="24"/>
          <w:highlight w:val="none"/>
          <w:u w:val="single"/>
          <w:lang w:val="en-US" w:eastAsia="zh-CN"/>
        </w:rPr>
        <w:t xml:space="preserve">   </w:t>
      </w:r>
      <w:r>
        <w:rPr>
          <w:rFonts w:hint="eastAsia" w:ascii="宋体" w:hAnsi="宋体" w:cs="宋体"/>
          <w:color w:val="auto"/>
          <w:kern w:val="0"/>
          <w:sz w:val="24"/>
          <w:highlight w:val="none"/>
        </w:rPr>
        <w:t>（委托代理人全名、职务）经正式授权并代表</w:t>
      </w: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u w:val="single"/>
          <w:lang w:eastAsia="zh-CN"/>
        </w:rPr>
        <w:t>投标人</w:t>
      </w:r>
      <w:r>
        <w:rPr>
          <w:rFonts w:hint="eastAsia" w:ascii="宋体" w:hAnsi="宋体" w:cs="宋体"/>
          <w:color w:val="auto"/>
          <w:kern w:val="0"/>
          <w:sz w:val="24"/>
          <w:highlight w:val="none"/>
          <w:u w:val="single"/>
        </w:rPr>
        <w:t>名称）</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签署、澄清确认、递交、撤回、修改投标文件、签订合同和处理有关事宜，并对之负法律责任。据此函，签字代表宣布同意如下：</w:t>
      </w:r>
    </w:p>
    <w:p>
      <w:pPr>
        <w:numPr>
          <w:ilvl w:val="2"/>
          <w:numId w:val="13"/>
        </w:numPr>
        <w:tabs>
          <w:tab w:val="left" w:pos="1057"/>
          <w:tab w:val="left" w:pos="5927"/>
        </w:tabs>
        <w:autoSpaceDE w:val="0"/>
        <w:autoSpaceDN w:val="0"/>
        <w:spacing w:line="360" w:lineRule="auto"/>
        <w:jc w:val="left"/>
        <w:rPr>
          <w:rFonts w:hAnsi="宋体" w:eastAsia="Times New Roman" w:cs="宋体"/>
          <w:color w:val="auto"/>
          <w:kern w:val="0"/>
          <w:sz w:val="24"/>
          <w:szCs w:val="22"/>
          <w:highlight w:val="none"/>
        </w:rPr>
      </w:pPr>
      <w:r>
        <w:rPr>
          <w:rFonts w:hint="eastAsia" w:ascii="宋体" w:hAnsi="宋体" w:cs="宋体"/>
          <w:color w:val="auto"/>
          <w:spacing w:val="-1"/>
          <w:kern w:val="0"/>
          <w:sz w:val="24"/>
          <w:szCs w:val="22"/>
          <w:highlight w:val="none"/>
        </w:rPr>
        <w:t>所附投标报价表</w:t>
      </w:r>
      <w:r>
        <w:rPr>
          <w:rFonts w:hint="eastAsia" w:ascii="宋体" w:hAnsi="宋体" w:cs="宋体"/>
          <w:color w:val="auto"/>
          <w:kern w:val="0"/>
          <w:sz w:val="24"/>
          <w:szCs w:val="22"/>
          <w:highlight w:val="none"/>
        </w:rPr>
        <w:t>中规定的应提供和交付的货物投标总价：</w:t>
      </w:r>
    </w:p>
    <w:p>
      <w:pPr>
        <w:tabs>
          <w:tab w:val="left" w:pos="1057"/>
          <w:tab w:val="left" w:pos="5927"/>
        </w:tabs>
        <w:autoSpaceDE w:val="0"/>
        <w:autoSpaceDN w:val="0"/>
        <w:spacing w:line="360" w:lineRule="auto"/>
        <w:ind w:left="816"/>
        <w:jc w:val="left"/>
        <w:rPr>
          <w:rFonts w:hAnsi="宋体" w:eastAsia="Times New Roman" w:cs="宋体"/>
          <w:color w:val="auto"/>
          <w:kern w:val="0"/>
          <w:sz w:val="24"/>
          <w:szCs w:val="22"/>
          <w:highlight w:val="none"/>
        </w:rPr>
      </w:pPr>
      <w:r>
        <w:rPr>
          <w:rFonts w:hint="eastAsia" w:ascii="宋体" w:hAnsi="宋体" w:cs="宋体"/>
          <w:color w:val="auto"/>
          <w:kern w:val="0"/>
          <w:sz w:val="24"/>
          <w:szCs w:val="22"/>
          <w:highlight w:val="none"/>
        </w:rPr>
        <w:t>人民币（大写）：</w:t>
      </w:r>
      <w:r>
        <w:rPr>
          <w:rFonts w:hAnsi="宋体" w:eastAsia="Times New Roman" w:cs="宋体"/>
          <w:color w:val="auto"/>
          <w:kern w:val="0"/>
          <w:sz w:val="24"/>
          <w:szCs w:val="22"/>
          <w:highlight w:val="none"/>
          <w:u w:val="single"/>
        </w:rPr>
        <w:tab/>
      </w:r>
    </w:p>
    <w:p>
      <w:pPr>
        <w:tabs>
          <w:tab w:val="left" w:pos="5927"/>
        </w:tabs>
        <w:autoSpaceDE w:val="0"/>
        <w:autoSpaceDN w:val="0"/>
        <w:spacing w:line="360" w:lineRule="auto"/>
        <w:ind w:left="1536"/>
        <w:jc w:val="left"/>
        <w:rPr>
          <w:rFonts w:hAnsi="宋体" w:eastAsia="Times New Roman" w:cs="宋体"/>
          <w:color w:val="auto"/>
          <w:kern w:val="0"/>
          <w:sz w:val="24"/>
          <w:highlight w:val="none"/>
        </w:rPr>
      </w:pPr>
      <w:r>
        <w:rPr>
          <w:rFonts w:hint="eastAsia" w:ascii="宋体" w:hAnsi="宋体" w:cs="宋体"/>
          <w:color w:val="auto"/>
          <w:kern w:val="0"/>
          <w:sz w:val="24"/>
          <w:highlight w:val="none"/>
        </w:rPr>
        <w:t>（小写）：</w:t>
      </w:r>
      <w:r>
        <w:rPr>
          <w:rFonts w:hAnsi="宋体" w:eastAsia="Times New Roman" w:cs="宋体"/>
          <w:color w:val="auto"/>
          <w:kern w:val="0"/>
          <w:sz w:val="24"/>
          <w:highlight w:val="none"/>
          <w:u w:val="single"/>
        </w:rPr>
        <w:tab/>
      </w:r>
    </w:p>
    <w:p>
      <w:pPr>
        <w:numPr>
          <w:ilvl w:val="2"/>
          <w:numId w:val="13"/>
        </w:numPr>
        <w:tabs>
          <w:tab w:val="left" w:pos="1057"/>
        </w:tabs>
        <w:autoSpaceDE w:val="0"/>
        <w:autoSpaceDN w:val="0"/>
        <w:spacing w:line="360" w:lineRule="auto"/>
        <w:ind w:left="335" w:right="213" w:firstLine="480"/>
        <w:jc w:val="left"/>
        <w:rPr>
          <w:rFonts w:ascii="宋体" w:cs="宋体"/>
          <w:color w:val="auto"/>
          <w:kern w:val="0"/>
          <w:sz w:val="24"/>
          <w:szCs w:val="22"/>
          <w:highlight w:val="none"/>
        </w:rPr>
      </w:pPr>
      <w:r>
        <w:rPr>
          <w:rFonts w:hint="eastAsia" w:ascii="宋体" w:hAnsi="宋体" w:cs="宋体"/>
          <w:color w:val="auto"/>
          <w:spacing w:val="-9"/>
          <w:kern w:val="0"/>
          <w:sz w:val="24"/>
          <w:szCs w:val="22"/>
          <w:highlight w:val="none"/>
        </w:rPr>
        <w:t>如果我们的投标书被接受，我们将履行招标文件中规定的每一项要求，按期、按质、</w:t>
      </w:r>
      <w:r>
        <w:rPr>
          <w:rFonts w:hint="eastAsia" w:ascii="宋体" w:hAnsi="宋体" w:cs="宋体"/>
          <w:color w:val="auto"/>
          <w:kern w:val="0"/>
          <w:sz w:val="24"/>
          <w:szCs w:val="22"/>
          <w:highlight w:val="none"/>
        </w:rPr>
        <w:t>按量履行合同。</w:t>
      </w:r>
    </w:p>
    <w:p>
      <w:pPr>
        <w:numPr>
          <w:ilvl w:val="2"/>
          <w:numId w:val="13"/>
        </w:numPr>
        <w:tabs>
          <w:tab w:val="left" w:pos="1057"/>
        </w:tabs>
        <w:autoSpaceDE w:val="0"/>
        <w:autoSpaceDN w:val="0"/>
        <w:spacing w:line="360" w:lineRule="auto"/>
        <w:ind w:left="335" w:right="333" w:firstLine="480"/>
        <w:jc w:val="left"/>
        <w:rPr>
          <w:rFonts w:ascii="宋体" w:cs="宋体"/>
          <w:color w:val="auto"/>
          <w:kern w:val="0"/>
          <w:sz w:val="24"/>
          <w:szCs w:val="22"/>
          <w:highlight w:val="none"/>
        </w:rPr>
      </w:pPr>
      <w:r>
        <w:rPr>
          <w:rFonts w:hint="eastAsia" w:ascii="宋体" w:hAnsi="宋体" w:cs="宋体"/>
          <w:color w:val="auto"/>
          <w:spacing w:val="-1"/>
          <w:kern w:val="0"/>
          <w:sz w:val="24"/>
          <w:szCs w:val="22"/>
          <w:highlight w:val="none"/>
        </w:rPr>
        <w:t>我方承诺按照招标文件规定向你方递交履约担保，并按照招标文件</w:t>
      </w:r>
      <w:r>
        <w:rPr>
          <w:rFonts w:hint="eastAsia" w:ascii="宋体" w:cs="宋体"/>
          <w:color w:val="auto"/>
          <w:spacing w:val="-1"/>
          <w:kern w:val="0"/>
          <w:sz w:val="24"/>
          <w:szCs w:val="22"/>
          <w:highlight w:val="none"/>
        </w:rPr>
        <w:t>“</w:t>
      </w:r>
      <w:r>
        <w:rPr>
          <w:rFonts w:hint="eastAsia" w:ascii="宋体" w:hAnsi="宋体" w:cs="宋体"/>
          <w:color w:val="auto"/>
          <w:spacing w:val="-1"/>
          <w:kern w:val="0"/>
          <w:sz w:val="24"/>
          <w:szCs w:val="22"/>
          <w:highlight w:val="none"/>
        </w:rPr>
        <w:t>合同</w:t>
      </w:r>
      <w:r>
        <w:rPr>
          <w:rFonts w:hint="eastAsia" w:ascii="宋体" w:cs="宋体"/>
          <w:color w:val="auto"/>
          <w:kern w:val="0"/>
          <w:sz w:val="24"/>
          <w:szCs w:val="22"/>
          <w:highlight w:val="none"/>
        </w:rPr>
        <w:t>”</w:t>
      </w:r>
      <w:r>
        <w:rPr>
          <w:rFonts w:hint="eastAsia" w:ascii="宋体" w:hAnsi="宋体" w:cs="宋体"/>
          <w:color w:val="auto"/>
          <w:kern w:val="0"/>
          <w:sz w:val="24"/>
          <w:szCs w:val="22"/>
          <w:highlight w:val="none"/>
        </w:rPr>
        <w:t>规定及《中华人民共和国民法典》的权利义务履行合同。</w:t>
      </w:r>
    </w:p>
    <w:p>
      <w:pPr>
        <w:numPr>
          <w:ilvl w:val="2"/>
          <w:numId w:val="13"/>
        </w:numPr>
        <w:tabs>
          <w:tab w:val="left" w:pos="1057"/>
        </w:tabs>
        <w:autoSpaceDE w:val="0"/>
        <w:autoSpaceDN w:val="0"/>
        <w:spacing w:line="360" w:lineRule="auto"/>
        <w:ind w:left="335" w:right="333" w:firstLine="480"/>
        <w:jc w:val="left"/>
        <w:rPr>
          <w:rFonts w:ascii="宋体" w:cs="宋体"/>
          <w:color w:val="auto"/>
          <w:kern w:val="0"/>
          <w:sz w:val="24"/>
          <w:szCs w:val="22"/>
          <w:highlight w:val="none"/>
        </w:rPr>
      </w:pPr>
      <w:r>
        <w:rPr>
          <w:rFonts w:hint="eastAsia" w:ascii="宋体" w:hAnsi="宋体" w:cs="宋体"/>
          <w:color w:val="auto"/>
          <w:spacing w:val="-1"/>
          <w:kern w:val="0"/>
          <w:sz w:val="24"/>
          <w:szCs w:val="22"/>
          <w:highlight w:val="none"/>
        </w:rPr>
        <w:t>我方已详细审查全部招标文件，包括修改文件以及全部参考资料和有关附件。我们</w:t>
      </w:r>
      <w:r>
        <w:rPr>
          <w:rFonts w:hint="eastAsia" w:ascii="宋体" w:hAnsi="宋体" w:cs="宋体"/>
          <w:color w:val="auto"/>
          <w:kern w:val="0"/>
          <w:sz w:val="24"/>
          <w:szCs w:val="22"/>
          <w:highlight w:val="none"/>
        </w:rPr>
        <w:t>完全理解并同意放弃对这方面有不明及误解的权力。</w:t>
      </w:r>
    </w:p>
    <w:p>
      <w:pPr>
        <w:numPr>
          <w:ilvl w:val="2"/>
          <w:numId w:val="13"/>
        </w:numPr>
        <w:tabs>
          <w:tab w:val="left" w:pos="1057"/>
        </w:tabs>
        <w:autoSpaceDE w:val="0"/>
        <w:autoSpaceDN w:val="0"/>
        <w:spacing w:line="360" w:lineRule="auto"/>
        <w:ind w:left="335" w:right="573" w:firstLine="480"/>
        <w:jc w:val="left"/>
        <w:rPr>
          <w:rFonts w:ascii="宋体" w:cs="宋体"/>
          <w:color w:val="auto"/>
          <w:kern w:val="0"/>
          <w:sz w:val="24"/>
          <w:szCs w:val="22"/>
          <w:highlight w:val="none"/>
        </w:rPr>
      </w:pPr>
      <w:r>
        <w:rPr>
          <w:rFonts w:hint="eastAsia" w:ascii="宋体" w:hAnsi="宋体" w:cs="宋体"/>
          <w:color w:val="auto"/>
          <w:spacing w:val="-1"/>
          <w:kern w:val="0"/>
          <w:sz w:val="24"/>
          <w:szCs w:val="22"/>
          <w:highlight w:val="none"/>
        </w:rPr>
        <w:t>我方承诺投标文件中技术参数若有未体现的参数则该项是完全满足本项目招标要</w:t>
      </w:r>
      <w:r>
        <w:rPr>
          <w:rFonts w:hint="eastAsia" w:ascii="宋体" w:hAnsi="宋体" w:cs="宋体"/>
          <w:color w:val="auto"/>
          <w:kern w:val="0"/>
          <w:sz w:val="24"/>
          <w:szCs w:val="22"/>
          <w:highlight w:val="none"/>
        </w:rPr>
        <w:t>求。</w:t>
      </w:r>
    </w:p>
    <w:p>
      <w:pPr>
        <w:numPr>
          <w:ilvl w:val="2"/>
          <w:numId w:val="13"/>
        </w:numPr>
        <w:tabs>
          <w:tab w:val="left" w:pos="1057"/>
        </w:tabs>
        <w:autoSpaceDE w:val="0"/>
        <w:autoSpaceDN w:val="0"/>
        <w:spacing w:line="360" w:lineRule="auto"/>
        <w:ind w:left="1057"/>
        <w:jc w:val="left"/>
        <w:rPr>
          <w:rFonts w:ascii="宋体" w:cs="宋体"/>
          <w:color w:val="auto"/>
          <w:spacing w:val="-1"/>
          <w:kern w:val="0"/>
          <w:sz w:val="24"/>
          <w:szCs w:val="22"/>
          <w:highlight w:val="none"/>
        </w:rPr>
      </w:pPr>
      <w:r>
        <w:rPr>
          <w:rFonts w:hint="eastAsia" w:ascii="宋体" w:hAnsi="宋体" w:cs="宋体"/>
          <w:color w:val="auto"/>
          <w:spacing w:val="-1"/>
          <w:kern w:val="0"/>
          <w:sz w:val="24"/>
          <w:szCs w:val="22"/>
          <w:highlight w:val="none"/>
        </w:rPr>
        <w:t>本项目投标有效期为</w:t>
      </w:r>
      <w:r>
        <w:rPr>
          <w:rFonts w:ascii="宋体" w:hAnsi="宋体" w:cs="宋体"/>
          <w:color w:val="auto"/>
          <w:spacing w:val="-1"/>
          <w:kern w:val="0"/>
          <w:sz w:val="24"/>
          <w:szCs w:val="22"/>
          <w:highlight w:val="none"/>
        </w:rPr>
        <w:t>120</w:t>
      </w:r>
      <w:r>
        <w:rPr>
          <w:rFonts w:hint="eastAsia" w:ascii="宋体" w:hAnsi="宋体" w:cs="宋体"/>
          <w:color w:val="auto"/>
          <w:spacing w:val="-1"/>
          <w:kern w:val="0"/>
          <w:sz w:val="24"/>
          <w:szCs w:val="22"/>
          <w:highlight w:val="none"/>
        </w:rPr>
        <w:t>日历天。</w:t>
      </w:r>
    </w:p>
    <w:p>
      <w:pPr>
        <w:numPr>
          <w:ilvl w:val="2"/>
          <w:numId w:val="13"/>
        </w:numPr>
        <w:tabs>
          <w:tab w:val="left" w:pos="1057"/>
        </w:tabs>
        <w:autoSpaceDE w:val="0"/>
        <w:autoSpaceDN w:val="0"/>
        <w:spacing w:line="360" w:lineRule="auto"/>
        <w:ind w:left="1057"/>
        <w:jc w:val="left"/>
        <w:rPr>
          <w:rFonts w:ascii="宋体" w:cs="宋体"/>
          <w:color w:val="auto"/>
          <w:kern w:val="0"/>
          <w:sz w:val="24"/>
          <w:szCs w:val="22"/>
          <w:highlight w:val="none"/>
        </w:rPr>
      </w:pPr>
      <w:r>
        <w:rPr>
          <w:rFonts w:hint="eastAsia" w:ascii="宋体" w:hAnsi="宋体" w:cs="宋体"/>
          <w:color w:val="auto"/>
          <w:kern w:val="0"/>
          <w:sz w:val="24"/>
          <w:szCs w:val="22"/>
          <w:highlight w:val="none"/>
        </w:rPr>
        <w:t>我方在此声明，所递交的投标文件及有关资料内容完整、真实和准确。</w:t>
      </w:r>
    </w:p>
    <w:p>
      <w:pPr>
        <w:numPr>
          <w:ilvl w:val="2"/>
          <w:numId w:val="13"/>
        </w:numPr>
        <w:tabs>
          <w:tab w:val="left" w:pos="1057"/>
        </w:tabs>
        <w:autoSpaceDE w:val="0"/>
        <w:autoSpaceDN w:val="0"/>
        <w:spacing w:line="360" w:lineRule="auto"/>
        <w:ind w:left="335" w:right="333" w:firstLine="480"/>
        <w:jc w:val="left"/>
        <w:rPr>
          <w:rFonts w:ascii="宋体" w:cs="宋体"/>
          <w:color w:val="auto"/>
          <w:kern w:val="0"/>
          <w:sz w:val="24"/>
          <w:szCs w:val="22"/>
          <w:highlight w:val="none"/>
        </w:rPr>
      </w:pPr>
      <w:r>
        <w:rPr>
          <w:rFonts w:hint="eastAsia" w:ascii="宋体" w:hAnsi="宋体" w:cs="宋体"/>
          <w:color w:val="auto"/>
          <w:spacing w:val="-1"/>
          <w:kern w:val="0"/>
          <w:sz w:val="24"/>
          <w:szCs w:val="22"/>
          <w:highlight w:val="none"/>
        </w:rPr>
        <w:t>我方同意提供按照贵方可能要求的与其投标有关的一切数据或资料，理解贵方不一</w:t>
      </w:r>
      <w:r>
        <w:rPr>
          <w:rFonts w:hint="eastAsia" w:ascii="宋体" w:hAnsi="宋体" w:cs="宋体"/>
          <w:color w:val="auto"/>
          <w:kern w:val="0"/>
          <w:sz w:val="24"/>
          <w:szCs w:val="22"/>
          <w:highlight w:val="none"/>
        </w:rPr>
        <w:t>定要接受最低价的投标。</w:t>
      </w:r>
    </w:p>
    <w:p>
      <w:pPr>
        <w:spacing w:line="360" w:lineRule="auto"/>
        <w:ind w:firstLine="2400" w:firstLineChars="1000"/>
        <w:jc w:val="left"/>
        <w:rPr>
          <w:rFonts w:hint="eastAsia" w:ascii="宋体" w:hAnsi="宋体" w:cs="宋体"/>
          <w:color w:val="auto"/>
          <w:sz w:val="24"/>
          <w:highlight w:val="none"/>
          <w:lang w:eastAsia="zh-CN"/>
        </w:rPr>
      </w:pPr>
    </w:p>
    <w:p>
      <w:pPr>
        <w:spacing w:line="360" w:lineRule="auto"/>
        <w:ind w:firstLine="2400" w:firstLineChars="1000"/>
        <w:jc w:val="left"/>
        <w:rPr>
          <w:rFonts w:ascii="宋体" w:cs="宋体"/>
          <w:color w:val="auto"/>
          <w:sz w:val="24"/>
          <w:highlight w:val="none"/>
        </w:rPr>
      </w:pPr>
      <w:r>
        <w:rPr>
          <w:rFonts w:hint="eastAsia" w:ascii="宋体" w:hAnsi="宋体" w:cs="宋体"/>
          <w:color w:val="auto"/>
          <w:sz w:val="24"/>
          <w:highlight w:val="none"/>
          <w:lang w:eastAsia="zh-CN"/>
        </w:rPr>
        <w:t>投标人</w:t>
      </w:r>
      <w:r>
        <w:rPr>
          <w:rFonts w:hint="eastAsia" w:ascii="宋体" w:hAnsi="宋体" w:cs="宋体"/>
          <w:color w:val="auto"/>
          <w:sz w:val="24"/>
          <w:highlight w:val="none"/>
        </w:rPr>
        <w:t>：</w:t>
      </w:r>
      <w:r>
        <w:rPr>
          <w:rFonts w:ascii="宋体" w:hAnsi="宋体" w:cs="宋体"/>
          <w:color w:val="auto"/>
          <w:sz w:val="24"/>
          <w:highlight w:val="none"/>
          <w:u w:val="single"/>
        </w:rPr>
        <w:t xml:space="preserve">                          </w:t>
      </w:r>
      <w:r>
        <w:rPr>
          <w:rFonts w:hint="eastAsia" w:ascii="宋体" w:hAnsi="宋体" w:cs="宋体"/>
          <w:color w:val="auto"/>
          <w:sz w:val="24"/>
          <w:highlight w:val="none"/>
        </w:rPr>
        <w:t>（电子签章）</w:t>
      </w:r>
    </w:p>
    <w:p>
      <w:pPr>
        <w:spacing w:line="360" w:lineRule="auto"/>
        <w:ind w:firstLine="2400" w:firstLineChars="1000"/>
        <w:jc w:val="left"/>
        <w:rPr>
          <w:rFonts w:ascii="宋体" w:cs="宋体"/>
          <w:color w:val="auto"/>
          <w:sz w:val="24"/>
          <w:highlight w:val="non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（电子签章</w:t>
      </w:r>
      <w:r>
        <w:rPr>
          <w:rFonts w:hint="eastAsia" w:ascii="宋体" w:hAnsi="宋体" w:cs="宋体"/>
          <w:color w:val="auto"/>
          <w:kern w:val="0"/>
          <w:sz w:val="24"/>
          <w:highlight w:val="none"/>
        </w:rPr>
        <w:t>或签字</w:t>
      </w:r>
      <w:r>
        <w:rPr>
          <w:rFonts w:hint="eastAsia" w:ascii="宋体" w:hAnsi="宋体" w:cs="宋体"/>
          <w:color w:val="auto"/>
          <w:sz w:val="24"/>
          <w:highlight w:val="none"/>
        </w:rPr>
        <w:t>）</w:t>
      </w:r>
    </w:p>
    <w:p>
      <w:pPr>
        <w:wordWrap w:val="0"/>
        <w:spacing w:line="360" w:lineRule="auto"/>
        <w:ind w:firstLine="3120" w:firstLineChars="1300"/>
        <w:rPr>
          <w:rFonts w:ascii="宋体" w:cs="宋体"/>
          <w:color w:val="auto"/>
          <w:sz w:val="24"/>
          <w:highlight w:val="none"/>
        </w:rPr>
      </w:pPr>
      <w:r>
        <w:rPr>
          <w:rFonts w:hint="eastAsia" w:ascii="宋体" w:hAnsi="宋体" w:cs="宋体"/>
          <w:color w:val="auto"/>
          <w:sz w:val="24"/>
          <w:highlight w:val="none"/>
        </w:rPr>
        <w:t>日</w:t>
      </w:r>
      <w:r>
        <w:rPr>
          <w:rFonts w:ascii="宋体" w:hAnsi="宋体" w:cs="宋体"/>
          <w:color w:val="auto"/>
          <w:sz w:val="24"/>
          <w:highlight w:val="none"/>
        </w:rPr>
        <w:t xml:space="preserve">  </w:t>
      </w:r>
      <w:r>
        <w:rPr>
          <w:rFonts w:hint="eastAsia" w:ascii="宋体" w:hAnsi="宋体" w:cs="宋体"/>
          <w:color w:val="auto"/>
          <w:sz w:val="24"/>
          <w:highlight w:val="none"/>
        </w:rPr>
        <w:t>期：</w:t>
      </w:r>
      <w:r>
        <w:rPr>
          <w:rFonts w:ascii="宋体" w:hAnsi="宋体" w:cs="宋体"/>
          <w:color w:val="auto"/>
          <w:sz w:val="24"/>
          <w:highlight w:val="none"/>
        </w:rPr>
        <w:t xml:space="preserve">     </w:t>
      </w:r>
      <w:r>
        <w:rPr>
          <w:rFonts w:hint="eastAsia" w:ascii="宋体" w:hAnsi="宋体" w:cs="宋体"/>
          <w:color w:val="auto"/>
          <w:sz w:val="24"/>
          <w:highlight w:val="none"/>
        </w:rPr>
        <w:t>年</w:t>
      </w:r>
      <w:r>
        <w:rPr>
          <w:rFonts w:ascii="宋体" w:hAnsi="宋体" w:cs="宋体"/>
          <w:color w:val="auto"/>
          <w:sz w:val="24"/>
          <w:highlight w:val="none"/>
        </w:rPr>
        <w:t xml:space="preserve">     </w:t>
      </w:r>
      <w:r>
        <w:rPr>
          <w:rFonts w:hint="eastAsia" w:ascii="宋体" w:hAnsi="宋体" w:cs="宋体"/>
          <w:color w:val="auto"/>
          <w:sz w:val="24"/>
          <w:highlight w:val="none"/>
        </w:rPr>
        <w:t>月</w:t>
      </w:r>
      <w:r>
        <w:rPr>
          <w:rFonts w:ascii="宋体" w:hAnsi="宋体" w:cs="宋体"/>
          <w:color w:val="auto"/>
          <w:sz w:val="24"/>
          <w:highlight w:val="none"/>
        </w:rPr>
        <w:t xml:space="preserve">     </w:t>
      </w:r>
      <w:r>
        <w:rPr>
          <w:rFonts w:hint="eastAsia" w:ascii="宋体" w:hAnsi="宋体" w:cs="宋体"/>
          <w:color w:val="auto"/>
          <w:sz w:val="24"/>
          <w:highlight w:val="none"/>
        </w:rPr>
        <w:t>日</w:t>
      </w:r>
    </w:p>
    <w:p>
      <w:pPr>
        <w:spacing w:line="360" w:lineRule="auto"/>
        <w:jc w:val="right"/>
        <w:rPr>
          <w:rStyle w:val="29"/>
          <w:color w:val="auto"/>
          <w:szCs w:val="18"/>
          <w:highlight w:val="none"/>
        </w:rPr>
      </w:pPr>
    </w:p>
    <w:p>
      <w:pPr>
        <w:numPr>
          <w:ilvl w:val="0"/>
          <w:numId w:val="14"/>
        </w:numPr>
        <w:spacing w:before="217" w:line="360" w:lineRule="auto"/>
        <w:ind w:left="3"/>
        <w:jc w:val="center"/>
        <w:rPr>
          <w:b/>
          <w:color w:val="auto"/>
          <w:sz w:val="32"/>
          <w:highlight w:val="none"/>
        </w:rPr>
      </w:pPr>
      <w:bookmarkStart w:id="489" w:name="（二）投标函附录1"/>
      <w:bookmarkEnd w:id="489"/>
      <w:r>
        <w:rPr>
          <w:rFonts w:hint="eastAsia"/>
          <w:b/>
          <w:color w:val="auto"/>
          <w:sz w:val="32"/>
          <w:highlight w:val="none"/>
        </w:rPr>
        <w:t>投标函附录</w:t>
      </w:r>
      <w:r>
        <w:rPr>
          <w:b/>
          <w:color w:val="auto"/>
          <w:sz w:val="32"/>
          <w:highlight w:val="none"/>
        </w:rPr>
        <w:t xml:space="preserve"> </w:t>
      </w:r>
    </w:p>
    <w:p>
      <w:pPr>
        <w:pStyle w:val="12"/>
        <w:spacing w:line="360" w:lineRule="auto"/>
        <w:ind w:left="0" w:leftChars="0" w:right="31680"/>
        <w:jc w:val="center"/>
        <w:rPr>
          <w:b/>
          <w:color w:val="auto"/>
          <w:sz w:val="20"/>
          <w:highlight w:val="none"/>
        </w:rPr>
      </w:pPr>
      <w:r>
        <w:rPr>
          <w:b/>
          <w:color w:val="auto"/>
          <w:sz w:val="28"/>
          <w:highlight w:val="none"/>
        </w:rPr>
        <w:t xml:space="preserve">         1.</w:t>
      </w:r>
      <w:r>
        <w:rPr>
          <w:rFonts w:hint="eastAsia"/>
          <w:b/>
          <w:color w:val="auto"/>
          <w:sz w:val="28"/>
          <w:highlight w:val="none"/>
        </w:rPr>
        <w:t>开标一览表</w:t>
      </w:r>
    </w:p>
    <w:tbl>
      <w:tblPr>
        <w:tblStyle w:val="23"/>
        <w:tblW w:w="90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43"/>
        <w:gridCol w:w="6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trPr>
        <w:tc>
          <w:tcPr>
            <w:tcW w:w="2043" w:type="dxa"/>
          </w:tcPr>
          <w:p>
            <w:pPr>
              <w:pStyle w:val="27"/>
              <w:spacing w:before="35" w:line="360" w:lineRule="auto"/>
              <w:ind w:left="106"/>
              <w:jc w:val="center"/>
              <w:rPr>
                <w:color w:val="auto"/>
                <w:highlight w:val="none"/>
              </w:rPr>
            </w:pPr>
            <w:r>
              <w:rPr>
                <w:rFonts w:hint="eastAsia"/>
                <w:color w:val="auto"/>
                <w:highlight w:val="none"/>
              </w:rPr>
              <w:t>投标人名称</w:t>
            </w:r>
          </w:p>
        </w:tc>
        <w:tc>
          <w:tcPr>
            <w:tcW w:w="6976" w:type="dxa"/>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trPr>
        <w:tc>
          <w:tcPr>
            <w:tcW w:w="2043" w:type="dxa"/>
            <w:vAlign w:val="center"/>
          </w:tcPr>
          <w:p>
            <w:pPr>
              <w:pStyle w:val="27"/>
              <w:spacing w:before="43" w:line="360" w:lineRule="auto"/>
              <w:ind w:left="106" w:leftChars="0"/>
              <w:jc w:val="center"/>
              <w:rPr>
                <w:rFonts w:hint="eastAsia" w:ascii="Times New Roman" w:hAnsi="Times New Roman" w:eastAsia="宋体" w:cs="Times New Roman"/>
                <w:color w:val="auto"/>
                <w:kern w:val="2"/>
                <w:sz w:val="24"/>
                <w:szCs w:val="24"/>
                <w:highlight w:val="none"/>
                <w:lang w:val="en-US" w:eastAsia="zh-CN" w:bidi="ar-SA"/>
              </w:rPr>
            </w:pPr>
            <w:r>
              <w:rPr>
                <w:rFonts w:hint="eastAsia"/>
                <w:color w:val="auto"/>
                <w:highlight w:val="none"/>
              </w:rPr>
              <w:t>包号</w:t>
            </w:r>
          </w:p>
        </w:tc>
        <w:tc>
          <w:tcPr>
            <w:tcW w:w="6976" w:type="dxa"/>
            <w:vAlign w:val="center"/>
          </w:tcPr>
          <w:p>
            <w:pPr>
              <w:pStyle w:val="27"/>
              <w:spacing w:before="43" w:line="360" w:lineRule="auto"/>
              <w:jc w:val="center"/>
              <w:rPr>
                <w:rFonts w:hint="default"/>
                <w:color w:val="auto"/>
                <w:highlight w:val="none"/>
                <w:u w:val="singl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2043" w:type="dxa"/>
            <w:vAlign w:val="center"/>
          </w:tcPr>
          <w:p>
            <w:pPr>
              <w:pStyle w:val="27"/>
              <w:spacing w:before="43" w:line="360" w:lineRule="auto"/>
              <w:ind w:left="106"/>
              <w:jc w:val="center"/>
              <w:rPr>
                <w:rFonts w:hint="eastAsia" w:eastAsia="宋体"/>
                <w:color w:val="auto"/>
                <w:highlight w:val="none"/>
                <w:lang w:eastAsia="zh-CN"/>
              </w:rPr>
            </w:pPr>
            <w:r>
              <w:rPr>
                <w:rFonts w:hint="eastAsia"/>
                <w:color w:val="auto"/>
                <w:highlight w:val="none"/>
                <w:lang w:eastAsia="zh-CN"/>
              </w:rPr>
              <w:t>包名称</w:t>
            </w:r>
          </w:p>
        </w:tc>
        <w:tc>
          <w:tcPr>
            <w:tcW w:w="6976" w:type="dxa"/>
            <w:vAlign w:val="center"/>
          </w:tcPr>
          <w:p>
            <w:pPr>
              <w:pStyle w:val="27"/>
              <w:spacing w:before="43" w:line="360" w:lineRule="auto"/>
              <w:jc w:val="both"/>
              <w:rPr>
                <w:rFonts w:hint="eastAsia" w:eastAsia="宋体"/>
                <w:color w:val="auto"/>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2043" w:type="dxa"/>
            <w:vAlign w:val="center"/>
          </w:tcPr>
          <w:p>
            <w:pPr>
              <w:pStyle w:val="27"/>
              <w:spacing w:before="43" w:line="360" w:lineRule="auto"/>
              <w:ind w:left="106"/>
              <w:jc w:val="center"/>
              <w:rPr>
                <w:color w:val="auto"/>
                <w:highlight w:val="none"/>
              </w:rPr>
            </w:pPr>
            <w:r>
              <w:rPr>
                <w:rFonts w:hint="eastAsia"/>
                <w:color w:val="auto"/>
                <w:highlight w:val="none"/>
              </w:rPr>
              <w:t>投标总报价（大写）</w:t>
            </w:r>
          </w:p>
        </w:tc>
        <w:tc>
          <w:tcPr>
            <w:tcW w:w="6976" w:type="dxa"/>
            <w:vAlign w:val="center"/>
          </w:tcPr>
          <w:p>
            <w:pPr>
              <w:pStyle w:val="27"/>
              <w:spacing w:before="43" w:line="360" w:lineRule="auto"/>
              <w:jc w:val="both"/>
              <w:rPr>
                <w:rFonts w:hint="eastAsia" w:eastAsia="宋体"/>
                <w:color w:val="auto"/>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trPr>
        <w:tc>
          <w:tcPr>
            <w:tcW w:w="2043" w:type="dxa"/>
            <w:vAlign w:val="center"/>
          </w:tcPr>
          <w:p>
            <w:pPr>
              <w:pStyle w:val="27"/>
              <w:spacing w:before="43" w:line="360" w:lineRule="auto"/>
              <w:ind w:left="106"/>
              <w:jc w:val="center"/>
              <w:rPr>
                <w:color w:val="auto"/>
                <w:highlight w:val="none"/>
              </w:rPr>
            </w:pPr>
            <w:r>
              <w:rPr>
                <w:rFonts w:hint="eastAsia"/>
                <w:color w:val="auto"/>
                <w:highlight w:val="none"/>
              </w:rPr>
              <w:t>投标总报价（小写）</w:t>
            </w:r>
          </w:p>
        </w:tc>
        <w:tc>
          <w:tcPr>
            <w:tcW w:w="6976" w:type="dxa"/>
            <w:vAlign w:val="center"/>
          </w:tcPr>
          <w:p>
            <w:pPr>
              <w:pStyle w:val="27"/>
              <w:spacing w:before="43" w:line="360" w:lineRule="auto"/>
              <w:jc w:val="center"/>
              <w:rPr>
                <w:color w:val="auto"/>
                <w:highlight w:val="none"/>
              </w:rPr>
            </w:pPr>
            <w:r>
              <w:rPr>
                <w:rFonts w:hint="eastAsia"/>
                <w:color w:val="auto"/>
                <w:highlight w:val="none"/>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trPr>
        <w:tc>
          <w:tcPr>
            <w:tcW w:w="2043" w:type="dxa"/>
            <w:vAlign w:val="center"/>
          </w:tcPr>
          <w:p>
            <w:pPr>
              <w:pStyle w:val="27"/>
              <w:spacing w:before="43" w:line="360" w:lineRule="auto"/>
              <w:ind w:left="106"/>
              <w:jc w:val="center"/>
              <w:rPr>
                <w:color w:val="auto"/>
                <w:highlight w:val="none"/>
              </w:rPr>
            </w:pPr>
            <w:r>
              <w:rPr>
                <w:rFonts w:hint="eastAsia"/>
                <w:color w:val="auto"/>
                <w:highlight w:val="none"/>
              </w:rPr>
              <w:t>交货期</w:t>
            </w:r>
          </w:p>
        </w:tc>
        <w:tc>
          <w:tcPr>
            <w:tcW w:w="6976" w:type="dxa"/>
            <w:vAlign w:val="center"/>
          </w:tcPr>
          <w:p>
            <w:pPr>
              <w:pStyle w:val="27"/>
              <w:spacing w:before="43" w:line="360" w:lineRule="auto"/>
              <w:jc w:val="center"/>
              <w:rPr>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2043" w:type="dxa"/>
          </w:tcPr>
          <w:p>
            <w:pPr>
              <w:pStyle w:val="27"/>
              <w:spacing w:before="1" w:line="360" w:lineRule="auto"/>
              <w:ind w:left="106"/>
              <w:jc w:val="center"/>
              <w:rPr>
                <w:color w:val="auto"/>
                <w:highlight w:val="none"/>
              </w:rPr>
            </w:pPr>
            <w:r>
              <w:rPr>
                <w:rFonts w:hint="eastAsia"/>
                <w:color w:val="auto"/>
                <w:highlight w:val="none"/>
              </w:rPr>
              <w:t>质量保证期</w:t>
            </w:r>
          </w:p>
        </w:tc>
        <w:tc>
          <w:tcPr>
            <w:tcW w:w="6976" w:type="dxa"/>
          </w:tcPr>
          <w:p>
            <w:pPr>
              <w:pStyle w:val="27"/>
              <w:spacing w:before="43" w:line="360" w:lineRule="auto"/>
              <w:jc w:val="center"/>
              <w:rPr>
                <w:rFonts w:hint="default" w:eastAsia="宋体"/>
                <w:color w:val="auto"/>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2043" w:type="dxa"/>
          </w:tcPr>
          <w:p>
            <w:pPr>
              <w:pStyle w:val="27"/>
              <w:spacing w:before="17" w:line="360" w:lineRule="auto"/>
              <w:ind w:left="106"/>
              <w:jc w:val="center"/>
              <w:rPr>
                <w:color w:val="auto"/>
                <w:highlight w:val="none"/>
              </w:rPr>
            </w:pPr>
            <w:r>
              <w:rPr>
                <w:rFonts w:hint="eastAsia"/>
                <w:color w:val="auto"/>
                <w:highlight w:val="none"/>
              </w:rPr>
              <w:t>投标有效期</w:t>
            </w:r>
          </w:p>
        </w:tc>
        <w:tc>
          <w:tcPr>
            <w:tcW w:w="6976" w:type="dxa"/>
          </w:tcPr>
          <w:p>
            <w:pPr>
              <w:pStyle w:val="27"/>
              <w:spacing w:before="43" w:line="360" w:lineRule="auto"/>
              <w:jc w:val="center"/>
              <w:rPr>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2043" w:type="dxa"/>
            <w:vAlign w:val="top"/>
          </w:tcPr>
          <w:p>
            <w:pPr>
              <w:pStyle w:val="27"/>
              <w:spacing w:before="18" w:line="360" w:lineRule="auto"/>
              <w:ind w:left="106" w:leftChars="0"/>
              <w:jc w:val="center"/>
              <w:rPr>
                <w:color w:val="auto"/>
                <w:highlight w:val="none"/>
              </w:rPr>
            </w:pPr>
            <w:r>
              <w:rPr>
                <w:rFonts w:hint="eastAsia"/>
                <w:color w:val="auto"/>
                <w:highlight w:val="none"/>
              </w:rPr>
              <w:t>质量要求</w:t>
            </w:r>
          </w:p>
        </w:tc>
        <w:tc>
          <w:tcPr>
            <w:tcW w:w="6976" w:type="dxa"/>
            <w:vAlign w:val="top"/>
          </w:tcPr>
          <w:p>
            <w:pPr>
              <w:pStyle w:val="27"/>
              <w:spacing w:before="43" w:line="360" w:lineRule="auto"/>
              <w:jc w:val="center"/>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2043" w:type="dxa"/>
            <w:vAlign w:val="top"/>
          </w:tcPr>
          <w:p>
            <w:pPr>
              <w:pStyle w:val="27"/>
              <w:spacing w:before="43" w:line="360" w:lineRule="auto"/>
              <w:jc w:val="center"/>
              <w:rPr>
                <w:color w:val="auto"/>
                <w:highlight w:val="none"/>
              </w:rPr>
            </w:pPr>
            <w:r>
              <w:rPr>
                <w:rFonts w:hint="eastAsia" w:ascii="宋体" w:hAnsi="宋体" w:cs="宋体"/>
                <w:b w:val="0"/>
                <w:bCs w:val="0"/>
                <w:color w:val="auto"/>
                <w:sz w:val="24"/>
                <w:highlight w:val="none"/>
              </w:rPr>
              <w:t>交货地点</w:t>
            </w:r>
          </w:p>
        </w:tc>
        <w:tc>
          <w:tcPr>
            <w:tcW w:w="6976" w:type="dxa"/>
            <w:vAlign w:val="top"/>
          </w:tcPr>
          <w:p>
            <w:pPr>
              <w:pStyle w:val="27"/>
              <w:spacing w:before="43" w:line="360" w:lineRule="auto"/>
              <w:jc w:val="center"/>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2043" w:type="dxa"/>
            <w:vAlign w:val="top"/>
          </w:tcPr>
          <w:p>
            <w:pPr>
              <w:pStyle w:val="27"/>
              <w:spacing w:before="12" w:line="360" w:lineRule="auto"/>
              <w:ind w:left="106" w:leftChars="0"/>
              <w:jc w:val="center"/>
              <w:rPr>
                <w:rFonts w:hint="eastAsia" w:ascii="宋体" w:hAnsi="宋体" w:cs="宋体"/>
                <w:b w:val="0"/>
                <w:bCs w:val="0"/>
                <w:color w:val="auto"/>
                <w:sz w:val="24"/>
                <w:highlight w:val="none"/>
              </w:rPr>
            </w:pPr>
            <w:r>
              <w:rPr>
                <w:rFonts w:hint="eastAsia"/>
                <w:color w:val="auto"/>
                <w:highlight w:val="none"/>
              </w:rPr>
              <w:t>投标内容</w:t>
            </w:r>
          </w:p>
        </w:tc>
        <w:tc>
          <w:tcPr>
            <w:tcW w:w="6976" w:type="dxa"/>
            <w:vAlign w:val="top"/>
          </w:tcPr>
          <w:p>
            <w:pPr>
              <w:pStyle w:val="27"/>
              <w:spacing w:before="12" w:line="360" w:lineRule="auto"/>
              <w:ind w:left="107" w:leftChars="0"/>
              <w:jc w:val="center"/>
              <w:rPr>
                <w:rFonts w:hint="eastAsia" w:ascii="宋体" w:hAnsi="宋体" w:cs="宋体"/>
                <w:b w:val="0"/>
                <w:bCs w:val="0"/>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jc w:val="center"/>
        </w:trPr>
        <w:tc>
          <w:tcPr>
            <w:tcW w:w="2043" w:type="dxa"/>
          </w:tcPr>
          <w:p>
            <w:pPr>
              <w:spacing w:before="12" w:line="360" w:lineRule="auto"/>
              <w:ind w:left="106"/>
              <w:jc w:val="center"/>
              <w:rPr>
                <w:color w:val="auto"/>
                <w:highlight w:val="none"/>
              </w:rPr>
            </w:pPr>
            <w:r>
              <w:rPr>
                <w:rFonts w:hint="eastAsia" w:ascii="Times New Roman" w:hAnsi="Times New Roman" w:eastAsia="宋体" w:cs="Times New Roman"/>
                <w:color w:val="auto"/>
                <w:kern w:val="2"/>
                <w:sz w:val="24"/>
                <w:szCs w:val="24"/>
                <w:highlight w:val="none"/>
                <w:lang w:val="en-US" w:eastAsia="zh-CN" w:bidi="ar-SA"/>
              </w:rPr>
              <w:t>如属所列情形，请在括号内打“√”</w:t>
            </w:r>
          </w:p>
        </w:tc>
        <w:tc>
          <w:tcPr>
            <w:tcW w:w="6976" w:type="dxa"/>
          </w:tcPr>
          <w:p>
            <w:pPr>
              <w:spacing w:before="12" w:line="360" w:lineRule="auto"/>
              <w:ind w:left="107"/>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 xml:space="preserve">（）投标产品是否为小微企业生产 </w:t>
            </w:r>
          </w:p>
          <w:p>
            <w:pPr>
              <w:spacing w:before="12" w:line="360" w:lineRule="auto"/>
              <w:ind w:left="107"/>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（）是否为监狱企业</w:t>
            </w:r>
          </w:p>
          <w:p>
            <w:pPr>
              <w:spacing w:before="12" w:line="360" w:lineRule="auto"/>
              <w:ind w:left="107"/>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 xml:space="preserve">（）是否为残疾人福利性单位 </w:t>
            </w:r>
          </w:p>
          <w:p>
            <w:pPr>
              <w:spacing w:before="12" w:line="360" w:lineRule="auto"/>
              <w:ind w:left="107"/>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（）是否为节能产品</w:t>
            </w:r>
          </w:p>
          <w:p>
            <w:pPr>
              <w:spacing w:before="12" w:line="360" w:lineRule="auto"/>
              <w:ind w:left="107"/>
              <w:jc w:val="left"/>
              <w:rPr>
                <w:color w:val="auto"/>
                <w:highlight w:val="none"/>
              </w:rPr>
            </w:pPr>
            <w:r>
              <w:rPr>
                <w:rFonts w:hint="eastAsia" w:ascii="Times New Roman" w:hAnsi="Times New Roman" w:eastAsia="宋体" w:cs="Times New Roman"/>
                <w:color w:val="auto"/>
                <w:kern w:val="2"/>
                <w:sz w:val="24"/>
                <w:szCs w:val="24"/>
                <w:highlight w:val="none"/>
                <w:lang w:val="en-US" w:eastAsia="zh-CN" w:bidi="ar-SA"/>
              </w:rPr>
              <w:t>（）是否为环境标志产品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jc w:val="center"/>
        </w:trPr>
        <w:tc>
          <w:tcPr>
            <w:tcW w:w="2043" w:type="dxa"/>
          </w:tcPr>
          <w:p>
            <w:pPr>
              <w:pStyle w:val="27"/>
              <w:spacing w:before="12" w:line="360" w:lineRule="auto"/>
              <w:ind w:left="106"/>
              <w:jc w:val="center"/>
              <w:rPr>
                <w:rFonts w:hint="eastAsia"/>
                <w:color w:val="auto"/>
                <w:highlight w:val="none"/>
              </w:rPr>
            </w:pPr>
            <w:r>
              <w:rPr>
                <w:rFonts w:hint="eastAsia"/>
                <w:color w:val="auto"/>
                <w:highlight w:val="none"/>
              </w:rPr>
              <w:t>其他声明</w:t>
            </w:r>
          </w:p>
        </w:tc>
        <w:tc>
          <w:tcPr>
            <w:tcW w:w="6976" w:type="dxa"/>
          </w:tcPr>
          <w:p>
            <w:pPr>
              <w:pStyle w:val="27"/>
              <w:spacing w:before="12" w:line="360" w:lineRule="auto"/>
              <w:ind w:left="107"/>
              <w:jc w:val="center"/>
              <w:rPr>
                <w:rFonts w:hint="eastAsia"/>
                <w:color w:val="auto"/>
                <w:highlight w:val="none"/>
              </w:rPr>
            </w:pPr>
          </w:p>
        </w:tc>
      </w:tr>
    </w:tbl>
    <w:p>
      <w:pPr>
        <w:pStyle w:val="7"/>
        <w:spacing w:line="360" w:lineRule="auto"/>
        <w:rPr>
          <w:b/>
          <w:color w:val="auto"/>
          <w:sz w:val="20"/>
          <w:highlight w:val="none"/>
        </w:rPr>
      </w:pPr>
    </w:p>
    <w:p>
      <w:pPr>
        <w:pStyle w:val="8"/>
        <w:rPr>
          <w:color w:val="auto"/>
          <w:highlight w:val="none"/>
        </w:rPr>
      </w:pPr>
    </w:p>
    <w:p>
      <w:pPr>
        <w:rPr>
          <w:color w:val="auto"/>
          <w:highlight w:val="none"/>
        </w:rPr>
      </w:pPr>
    </w:p>
    <w:p>
      <w:pPr>
        <w:rPr>
          <w:color w:val="auto"/>
          <w:highlight w:val="none"/>
        </w:rPr>
      </w:pPr>
    </w:p>
    <w:p>
      <w:pPr>
        <w:rPr>
          <w:color w:val="auto"/>
          <w:highlight w:val="none"/>
        </w:rPr>
      </w:pPr>
    </w:p>
    <w:p>
      <w:pPr>
        <w:spacing w:line="360" w:lineRule="auto"/>
        <w:ind w:firstLine="2880" w:firstLineChars="1200"/>
        <w:jc w:val="left"/>
        <w:rPr>
          <w:rFonts w:ascii="宋体" w:cs="宋体"/>
          <w:color w:val="auto"/>
          <w:sz w:val="24"/>
          <w:highlight w:val="none"/>
        </w:rPr>
      </w:pPr>
      <w:r>
        <w:rPr>
          <w:rFonts w:hint="eastAsia" w:ascii="宋体" w:hAnsi="宋体" w:cs="宋体"/>
          <w:color w:val="auto"/>
          <w:sz w:val="24"/>
          <w:highlight w:val="none"/>
          <w:lang w:eastAsia="zh-CN"/>
        </w:rPr>
        <w:t>投标人</w:t>
      </w:r>
      <w:r>
        <w:rPr>
          <w:rFonts w:hint="eastAsia" w:ascii="宋体" w:hAnsi="宋体" w:cs="宋体"/>
          <w:color w:val="auto"/>
          <w:sz w:val="24"/>
          <w:highlight w:val="none"/>
        </w:rPr>
        <w:t>：</w:t>
      </w:r>
      <w:r>
        <w:rPr>
          <w:rFonts w:ascii="宋体" w:hAnsi="宋体" w:cs="宋体"/>
          <w:color w:val="auto"/>
          <w:sz w:val="24"/>
          <w:highlight w:val="none"/>
          <w:u w:val="single"/>
        </w:rPr>
        <w:t xml:space="preserve">                          </w:t>
      </w:r>
      <w:r>
        <w:rPr>
          <w:rFonts w:hint="eastAsia" w:ascii="宋体" w:hAnsi="宋体" w:cs="宋体"/>
          <w:color w:val="auto"/>
          <w:sz w:val="24"/>
          <w:highlight w:val="none"/>
        </w:rPr>
        <w:t>（电子签章）</w:t>
      </w:r>
    </w:p>
    <w:p>
      <w:pPr>
        <w:spacing w:line="360" w:lineRule="auto"/>
        <w:ind w:firstLine="2880" w:firstLineChars="1200"/>
        <w:jc w:val="left"/>
        <w:rPr>
          <w:rFonts w:ascii="宋体" w:cs="宋体"/>
          <w:color w:val="auto"/>
          <w:sz w:val="24"/>
          <w:highlight w:val="non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（电子签章</w:t>
      </w:r>
      <w:r>
        <w:rPr>
          <w:rFonts w:hint="eastAsia" w:ascii="宋体" w:hAnsi="宋体" w:cs="宋体"/>
          <w:color w:val="auto"/>
          <w:kern w:val="0"/>
          <w:sz w:val="24"/>
          <w:highlight w:val="none"/>
        </w:rPr>
        <w:t>或签字</w:t>
      </w:r>
      <w:r>
        <w:rPr>
          <w:rFonts w:hint="eastAsia" w:ascii="宋体" w:hAnsi="宋体" w:cs="宋体"/>
          <w:color w:val="auto"/>
          <w:sz w:val="24"/>
          <w:highlight w:val="none"/>
        </w:rPr>
        <w:t>）</w:t>
      </w:r>
    </w:p>
    <w:p>
      <w:pPr>
        <w:wordWrap w:val="0"/>
        <w:spacing w:line="360" w:lineRule="auto"/>
        <w:ind w:firstLine="3120" w:firstLineChars="1300"/>
        <w:rPr>
          <w:b/>
          <w:color w:val="auto"/>
          <w:sz w:val="32"/>
          <w:highlight w:val="none"/>
        </w:rPr>
      </w:pPr>
      <w:r>
        <w:rPr>
          <w:rFonts w:hint="eastAsia" w:ascii="宋体" w:hAnsi="宋体" w:cs="宋体"/>
          <w:color w:val="auto"/>
          <w:sz w:val="24"/>
          <w:highlight w:val="none"/>
        </w:rPr>
        <w:t>日</w:t>
      </w:r>
      <w:r>
        <w:rPr>
          <w:rFonts w:ascii="宋体" w:hAnsi="宋体" w:cs="宋体"/>
          <w:color w:val="auto"/>
          <w:sz w:val="24"/>
          <w:highlight w:val="none"/>
        </w:rPr>
        <w:t xml:space="preserve">  </w:t>
      </w:r>
      <w:r>
        <w:rPr>
          <w:rFonts w:hint="eastAsia" w:ascii="宋体" w:hAnsi="宋体" w:cs="宋体"/>
          <w:color w:val="auto"/>
          <w:sz w:val="24"/>
          <w:highlight w:val="none"/>
        </w:rPr>
        <w:t>期：</w:t>
      </w:r>
      <w:r>
        <w:rPr>
          <w:rFonts w:ascii="宋体" w:hAnsi="宋体" w:cs="宋体"/>
          <w:color w:val="auto"/>
          <w:sz w:val="24"/>
          <w:highlight w:val="none"/>
        </w:rPr>
        <w:t xml:space="preserve">     </w:t>
      </w:r>
      <w:r>
        <w:rPr>
          <w:rFonts w:hint="eastAsia" w:ascii="宋体" w:hAnsi="宋体" w:cs="宋体"/>
          <w:color w:val="auto"/>
          <w:sz w:val="24"/>
          <w:highlight w:val="none"/>
        </w:rPr>
        <w:t>年</w:t>
      </w:r>
      <w:r>
        <w:rPr>
          <w:rFonts w:ascii="宋体" w:hAnsi="宋体" w:cs="宋体"/>
          <w:color w:val="auto"/>
          <w:sz w:val="24"/>
          <w:highlight w:val="none"/>
        </w:rPr>
        <w:t xml:space="preserve">     </w:t>
      </w:r>
      <w:r>
        <w:rPr>
          <w:rFonts w:hint="eastAsia" w:ascii="宋体" w:hAnsi="宋体" w:cs="宋体"/>
          <w:color w:val="auto"/>
          <w:sz w:val="24"/>
          <w:highlight w:val="none"/>
        </w:rPr>
        <w:t>月</w:t>
      </w:r>
      <w:r>
        <w:rPr>
          <w:rFonts w:ascii="宋体" w:hAnsi="宋体" w:cs="宋体"/>
          <w:color w:val="auto"/>
          <w:sz w:val="24"/>
          <w:highlight w:val="none"/>
        </w:rPr>
        <w:t xml:space="preserve">     </w:t>
      </w:r>
      <w:r>
        <w:rPr>
          <w:rFonts w:hint="eastAsia" w:ascii="宋体" w:hAnsi="宋体" w:cs="宋体"/>
          <w:color w:val="auto"/>
          <w:sz w:val="24"/>
          <w:highlight w:val="none"/>
        </w:rPr>
        <w:t>日</w:t>
      </w:r>
    </w:p>
    <w:p>
      <w:pPr>
        <w:keepNext w:val="0"/>
        <w:keepLines w:val="0"/>
        <w:pageBreakBefore w:val="0"/>
        <w:widowControl w:val="0"/>
        <w:kinsoku/>
        <w:wordWrap/>
        <w:overflowPunct/>
        <w:topLinePunct w:val="0"/>
        <w:autoSpaceDE/>
        <w:autoSpaceDN/>
        <w:bidi w:val="0"/>
        <w:adjustRightInd/>
        <w:snapToGrid/>
        <w:spacing w:before="216" w:line="240" w:lineRule="auto"/>
        <w:jc w:val="center"/>
        <w:textAlignment w:val="auto"/>
        <w:rPr>
          <w:b/>
          <w:color w:val="auto"/>
          <w:sz w:val="28"/>
          <w:highlight w:val="none"/>
        </w:rPr>
      </w:pPr>
      <w:bookmarkStart w:id="490" w:name="报价明细表"/>
      <w:bookmarkEnd w:id="490"/>
      <w:r>
        <w:rPr>
          <w:b/>
          <w:color w:val="auto"/>
          <w:sz w:val="28"/>
          <w:highlight w:val="none"/>
        </w:rPr>
        <w:t>2.</w:t>
      </w:r>
      <w:r>
        <w:rPr>
          <w:rFonts w:hint="eastAsia"/>
          <w:b/>
          <w:color w:val="auto"/>
          <w:sz w:val="28"/>
          <w:highlight w:val="none"/>
        </w:rPr>
        <w:t>报价明细表</w:t>
      </w:r>
    </w:p>
    <w:p>
      <w:pPr>
        <w:pStyle w:val="7"/>
        <w:keepNext w:val="0"/>
        <w:keepLines w:val="0"/>
        <w:pageBreakBefore w:val="0"/>
        <w:widowControl w:val="0"/>
        <w:kinsoku/>
        <w:wordWrap/>
        <w:overflowPunct/>
        <w:topLinePunct w:val="0"/>
        <w:autoSpaceDE/>
        <w:autoSpaceDN/>
        <w:bidi w:val="0"/>
        <w:adjustRightInd/>
        <w:snapToGrid/>
        <w:spacing w:before="4" w:line="240" w:lineRule="auto"/>
        <w:textAlignment w:val="auto"/>
        <w:rPr>
          <w:b/>
          <w:color w:val="auto"/>
          <w:sz w:val="9"/>
          <w:highlight w:val="none"/>
        </w:rPr>
      </w:pPr>
    </w:p>
    <w:p>
      <w:pPr>
        <w:pStyle w:val="7"/>
        <w:keepNext w:val="0"/>
        <w:keepLines w:val="0"/>
        <w:pageBreakBefore w:val="0"/>
        <w:widowControl w:val="0"/>
        <w:kinsoku/>
        <w:wordWrap/>
        <w:overflowPunct/>
        <w:topLinePunct w:val="0"/>
        <w:autoSpaceDE/>
        <w:autoSpaceDN/>
        <w:bidi w:val="0"/>
        <w:adjustRightInd/>
        <w:snapToGrid/>
        <w:spacing w:before="66" w:line="240" w:lineRule="auto"/>
        <w:ind w:right="333"/>
        <w:jc w:val="center"/>
        <w:textAlignment w:val="auto"/>
        <w:rPr>
          <w:rFonts w:hint="default" w:ascii="Calibri" w:hAnsi="Calibri" w:eastAsia="Calibri" w:cs="Times New Roman"/>
          <w:b/>
          <w:color w:val="000000"/>
          <w:kern w:val="2"/>
          <w:sz w:val="28"/>
          <w:szCs w:val="24"/>
          <w:highlight w:val="none"/>
          <w:lang w:val="en-US" w:eastAsia="zh-CN" w:bidi="ar-SA"/>
        </w:rPr>
      </w:pPr>
      <w:r>
        <w:rPr>
          <w:rFonts w:hint="eastAsia" w:ascii="Calibri" w:hAnsi="Calibri" w:eastAsia="Calibri" w:cs="Times New Roman"/>
          <w:b/>
          <w:color w:val="000000"/>
          <w:kern w:val="2"/>
          <w:sz w:val="28"/>
          <w:szCs w:val="24"/>
          <w:highlight w:val="none"/>
          <w:lang w:val="en-US" w:eastAsia="zh-CN" w:bidi="ar-SA"/>
        </w:rPr>
        <w:t>2.1车辆报价表</w:t>
      </w:r>
    </w:p>
    <w:tbl>
      <w:tblPr>
        <w:tblStyle w:val="23"/>
        <w:tblW w:w="100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9"/>
        <w:gridCol w:w="661"/>
        <w:gridCol w:w="1"/>
        <w:gridCol w:w="1116"/>
        <w:gridCol w:w="632"/>
        <w:gridCol w:w="662"/>
        <w:gridCol w:w="662"/>
        <w:gridCol w:w="950"/>
        <w:gridCol w:w="775"/>
        <w:gridCol w:w="712"/>
        <w:gridCol w:w="750"/>
        <w:gridCol w:w="711"/>
        <w:gridCol w:w="1149"/>
        <w:gridCol w:w="6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8" w:hRule="atLeast"/>
          <w:jc w:val="center"/>
        </w:trPr>
        <w:tc>
          <w:tcPr>
            <w:tcW w:w="599" w:type="dxa"/>
            <w:vAlign w:val="center"/>
          </w:tcPr>
          <w:p>
            <w:pPr>
              <w:pStyle w:val="27"/>
              <w:spacing w:line="240" w:lineRule="auto"/>
              <w:ind w:left="179" w:right="167"/>
              <w:jc w:val="center"/>
              <w:rPr>
                <w:b w:val="0"/>
                <w:bCs w:val="0"/>
                <w:color w:val="auto"/>
                <w:highlight w:val="none"/>
              </w:rPr>
            </w:pPr>
            <w:r>
              <w:rPr>
                <w:rFonts w:hint="eastAsia"/>
                <w:b w:val="0"/>
                <w:bCs w:val="0"/>
                <w:color w:val="auto"/>
                <w:highlight w:val="none"/>
              </w:rPr>
              <w:t>序号</w:t>
            </w:r>
          </w:p>
        </w:tc>
        <w:tc>
          <w:tcPr>
            <w:tcW w:w="661" w:type="dxa"/>
            <w:vAlign w:val="center"/>
          </w:tcPr>
          <w:p>
            <w:pPr>
              <w:pStyle w:val="27"/>
              <w:spacing w:line="240" w:lineRule="auto"/>
              <w:ind w:left="199" w:right="187"/>
              <w:jc w:val="center"/>
              <w:rPr>
                <w:b w:val="0"/>
                <w:bCs w:val="0"/>
                <w:color w:val="auto"/>
                <w:highlight w:val="none"/>
              </w:rPr>
            </w:pPr>
            <w:r>
              <w:rPr>
                <w:rFonts w:hint="eastAsia"/>
                <w:b w:val="0"/>
                <w:bCs w:val="0"/>
                <w:color w:val="auto"/>
                <w:highlight w:val="none"/>
              </w:rPr>
              <w:t>货物名称</w:t>
            </w:r>
          </w:p>
        </w:tc>
        <w:tc>
          <w:tcPr>
            <w:tcW w:w="1117" w:type="dxa"/>
            <w:gridSpan w:val="2"/>
            <w:vAlign w:val="center"/>
          </w:tcPr>
          <w:p>
            <w:pPr>
              <w:pStyle w:val="27"/>
              <w:spacing w:before="160" w:line="240" w:lineRule="auto"/>
              <w:ind w:left="150" w:right="137"/>
              <w:jc w:val="center"/>
              <w:rPr>
                <w:rFonts w:hint="eastAsia" w:eastAsia="宋体"/>
                <w:b w:val="0"/>
                <w:bCs w:val="0"/>
                <w:color w:val="auto"/>
                <w:highlight w:val="none"/>
                <w:lang w:eastAsia="zh-CN"/>
              </w:rPr>
            </w:pPr>
            <w:r>
              <w:rPr>
                <w:rFonts w:hint="eastAsia"/>
                <w:b w:val="0"/>
                <w:bCs w:val="0"/>
                <w:color w:val="auto"/>
                <w:highlight w:val="none"/>
              </w:rPr>
              <w:t>质保期</w:t>
            </w:r>
            <w:r>
              <w:rPr>
                <w:rFonts w:hint="eastAsia"/>
                <w:b w:val="0"/>
                <w:bCs w:val="0"/>
                <w:color w:val="auto"/>
                <w:highlight w:val="none"/>
                <w:lang w:eastAsia="zh-CN"/>
              </w:rPr>
              <w:t>（</w:t>
            </w:r>
            <w:r>
              <w:rPr>
                <w:rFonts w:hint="eastAsia"/>
                <w:b w:val="0"/>
                <w:bCs w:val="0"/>
                <w:color w:val="auto"/>
                <w:highlight w:val="none"/>
                <w:lang w:val="en-US" w:eastAsia="zh-CN"/>
              </w:rPr>
              <w:t>年</w:t>
            </w:r>
            <w:r>
              <w:rPr>
                <w:rFonts w:hint="eastAsia"/>
                <w:b w:val="0"/>
                <w:bCs w:val="0"/>
                <w:color w:val="auto"/>
                <w:highlight w:val="none"/>
                <w:lang w:eastAsia="zh-CN"/>
              </w:rPr>
              <w:t>，自验收合格之日算起）</w:t>
            </w:r>
          </w:p>
        </w:tc>
        <w:tc>
          <w:tcPr>
            <w:tcW w:w="632" w:type="dxa"/>
            <w:vAlign w:val="center"/>
          </w:tcPr>
          <w:p>
            <w:pPr>
              <w:pStyle w:val="27"/>
              <w:spacing w:line="240" w:lineRule="auto"/>
              <w:ind w:left="133" w:right="124"/>
              <w:jc w:val="center"/>
              <w:rPr>
                <w:b w:val="0"/>
                <w:bCs w:val="0"/>
                <w:color w:val="auto"/>
                <w:highlight w:val="none"/>
              </w:rPr>
            </w:pPr>
            <w:r>
              <w:rPr>
                <w:rFonts w:hint="eastAsia"/>
                <w:b w:val="0"/>
                <w:bCs w:val="0"/>
                <w:color w:val="auto"/>
                <w:spacing w:val="-3"/>
                <w:highlight w:val="none"/>
              </w:rPr>
              <w:t>品牌</w:t>
            </w:r>
          </w:p>
        </w:tc>
        <w:tc>
          <w:tcPr>
            <w:tcW w:w="662" w:type="dxa"/>
            <w:vAlign w:val="center"/>
          </w:tcPr>
          <w:p>
            <w:pPr>
              <w:pStyle w:val="27"/>
              <w:spacing w:line="240" w:lineRule="auto"/>
              <w:ind w:left="180" w:right="167"/>
              <w:jc w:val="center"/>
              <w:rPr>
                <w:rFonts w:hint="eastAsia" w:eastAsia="宋体"/>
                <w:b w:val="0"/>
                <w:bCs w:val="0"/>
                <w:color w:val="auto"/>
                <w:highlight w:val="none"/>
                <w:lang w:val="en-US" w:eastAsia="zh-CN"/>
              </w:rPr>
            </w:pPr>
            <w:r>
              <w:rPr>
                <w:rFonts w:hint="eastAsia"/>
                <w:b w:val="0"/>
                <w:bCs w:val="0"/>
                <w:color w:val="auto"/>
                <w:highlight w:val="none"/>
                <w:lang w:val="en-US" w:eastAsia="zh-CN"/>
              </w:rPr>
              <w:t>规格型号</w:t>
            </w:r>
          </w:p>
        </w:tc>
        <w:tc>
          <w:tcPr>
            <w:tcW w:w="662" w:type="dxa"/>
            <w:vAlign w:val="center"/>
          </w:tcPr>
          <w:p>
            <w:pPr>
              <w:pStyle w:val="27"/>
              <w:spacing w:line="240" w:lineRule="auto"/>
              <w:ind w:left="180" w:right="167"/>
              <w:jc w:val="center"/>
              <w:rPr>
                <w:b w:val="0"/>
                <w:bCs w:val="0"/>
                <w:color w:val="auto"/>
                <w:highlight w:val="none"/>
              </w:rPr>
            </w:pPr>
            <w:r>
              <w:rPr>
                <w:rFonts w:hint="eastAsia"/>
                <w:b w:val="0"/>
                <w:bCs w:val="0"/>
                <w:color w:val="auto"/>
                <w:highlight w:val="none"/>
              </w:rPr>
              <w:t>产地</w:t>
            </w:r>
          </w:p>
        </w:tc>
        <w:tc>
          <w:tcPr>
            <w:tcW w:w="950" w:type="dxa"/>
            <w:vAlign w:val="center"/>
          </w:tcPr>
          <w:p>
            <w:pPr>
              <w:pStyle w:val="27"/>
              <w:spacing w:line="240" w:lineRule="auto"/>
              <w:ind w:left="231" w:right="99" w:hanging="120"/>
              <w:jc w:val="center"/>
              <w:rPr>
                <w:rFonts w:hint="default" w:eastAsia="宋体"/>
                <w:b w:val="0"/>
                <w:bCs w:val="0"/>
                <w:color w:val="auto"/>
                <w:highlight w:val="none"/>
                <w:lang w:val="en-US" w:eastAsia="zh-CN"/>
              </w:rPr>
            </w:pPr>
            <w:r>
              <w:rPr>
                <w:rFonts w:hint="eastAsia"/>
                <w:b w:val="0"/>
                <w:bCs w:val="0"/>
                <w:color w:val="auto"/>
                <w:spacing w:val="-2"/>
                <w:highlight w:val="none"/>
                <w:lang w:val="en-US" w:eastAsia="zh-CN"/>
              </w:rPr>
              <w:t>生产厂家</w:t>
            </w:r>
          </w:p>
        </w:tc>
        <w:tc>
          <w:tcPr>
            <w:tcW w:w="775" w:type="dxa"/>
            <w:vAlign w:val="center"/>
          </w:tcPr>
          <w:p>
            <w:pPr>
              <w:pStyle w:val="27"/>
              <w:spacing w:line="240" w:lineRule="auto"/>
              <w:ind w:left="186"/>
              <w:jc w:val="center"/>
              <w:rPr>
                <w:b w:val="0"/>
                <w:bCs w:val="0"/>
                <w:color w:val="auto"/>
                <w:highlight w:val="none"/>
              </w:rPr>
            </w:pPr>
            <w:r>
              <w:rPr>
                <w:rFonts w:hint="eastAsia"/>
                <w:b w:val="0"/>
                <w:bCs w:val="0"/>
                <w:color w:val="auto"/>
                <w:highlight w:val="none"/>
              </w:rPr>
              <w:t>单位</w:t>
            </w:r>
          </w:p>
        </w:tc>
        <w:tc>
          <w:tcPr>
            <w:tcW w:w="712" w:type="dxa"/>
            <w:vAlign w:val="center"/>
          </w:tcPr>
          <w:p>
            <w:pPr>
              <w:pStyle w:val="27"/>
              <w:spacing w:line="240" w:lineRule="auto"/>
              <w:ind w:left="149"/>
              <w:jc w:val="center"/>
              <w:rPr>
                <w:b w:val="0"/>
                <w:bCs w:val="0"/>
                <w:color w:val="auto"/>
                <w:highlight w:val="none"/>
              </w:rPr>
            </w:pPr>
            <w:r>
              <w:rPr>
                <w:rFonts w:hint="eastAsia"/>
                <w:b w:val="0"/>
                <w:bCs w:val="0"/>
                <w:color w:val="auto"/>
                <w:highlight w:val="none"/>
              </w:rPr>
              <w:t>数量</w:t>
            </w:r>
          </w:p>
        </w:tc>
        <w:tc>
          <w:tcPr>
            <w:tcW w:w="750" w:type="dxa"/>
            <w:vAlign w:val="center"/>
          </w:tcPr>
          <w:p>
            <w:pPr>
              <w:pStyle w:val="27"/>
              <w:spacing w:line="240" w:lineRule="auto"/>
              <w:ind w:left="171"/>
              <w:jc w:val="center"/>
              <w:rPr>
                <w:rFonts w:hint="eastAsia" w:eastAsia="宋体"/>
                <w:b w:val="0"/>
                <w:bCs w:val="0"/>
                <w:color w:val="auto"/>
                <w:highlight w:val="none"/>
                <w:lang w:eastAsia="zh-CN"/>
              </w:rPr>
            </w:pPr>
            <w:r>
              <w:rPr>
                <w:rFonts w:hint="eastAsia"/>
                <w:b w:val="0"/>
                <w:bCs w:val="0"/>
                <w:color w:val="auto"/>
                <w:highlight w:val="none"/>
              </w:rPr>
              <w:t>单价</w:t>
            </w:r>
            <w:r>
              <w:rPr>
                <w:rFonts w:hint="eastAsia"/>
                <w:b w:val="0"/>
                <w:bCs w:val="0"/>
                <w:color w:val="auto"/>
                <w:highlight w:val="none"/>
                <w:lang w:eastAsia="zh-CN"/>
              </w:rPr>
              <w:t>（元）</w:t>
            </w:r>
          </w:p>
        </w:tc>
        <w:tc>
          <w:tcPr>
            <w:tcW w:w="711" w:type="dxa"/>
            <w:vAlign w:val="center"/>
          </w:tcPr>
          <w:p>
            <w:pPr>
              <w:pStyle w:val="27"/>
              <w:spacing w:line="240" w:lineRule="auto"/>
              <w:ind w:left="171"/>
              <w:jc w:val="center"/>
              <w:rPr>
                <w:rFonts w:hint="eastAsia" w:eastAsia="宋体"/>
                <w:b w:val="0"/>
                <w:bCs w:val="0"/>
                <w:color w:val="auto"/>
                <w:highlight w:val="none"/>
                <w:lang w:eastAsia="zh-CN"/>
              </w:rPr>
            </w:pPr>
            <w:r>
              <w:rPr>
                <w:rFonts w:hint="eastAsia"/>
                <w:b w:val="0"/>
                <w:bCs w:val="0"/>
                <w:color w:val="auto"/>
                <w:highlight w:val="none"/>
              </w:rPr>
              <w:t>总价</w:t>
            </w:r>
            <w:r>
              <w:rPr>
                <w:rFonts w:hint="eastAsia"/>
                <w:b w:val="0"/>
                <w:bCs w:val="0"/>
                <w:color w:val="auto"/>
                <w:highlight w:val="none"/>
                <w:lang w:eastAsia="zh-CN"/>
              </w:rPr>
              <w:t>（元）</w:t>
            </w:r>
          </w:p>
        </w:tc>
        <w:tc>
          <w:tcPr>
            <w:tcW w:w="1149" w:type="dxa"/>
            <w:vAlign w:val="center"/>
          </w:tcPr>
          <w:p>
            <w:pPr>
              <w:pStyle w:val="27"/>
              <w:spacing w:line="240" w:lineRule="auto"/>
              <w:ind w:left="150" w:right="134"/>
              <w:jc w:val="center"/>
              <w:rPr>
                <w:b w:val="0"/>
                <w:bCs w:val="0"/>
                <w:color w:val="auto"/>
                <w:highlight w:val="none"/>
              </w:rPr>
            </w:pPr>
            <w:r>
              <w:rPr>
                <w:rFonts w:hint="eastAsia"/>
                <w:b w:val="0"/>
                <w:bCs w:val="0"/>
                <w:color w:val="auto"/>
                <w:spacing w:val="-2"/>
                <w:highlight w:val="none"/>
              </w:rPr>
              <w:t>是否属</w:t>
            </w:r>
            <w:r>
              <w:rPr>
                <w:rFonts w:hint="eastAsia"/>
                <w:b w:val="0"/>
                <w:bCs w:val="0"/>
                <w:color w:val="auto"/>
                <w:highlight w:val="none"/>
              </w:rPr>
              <w:t>于中型、小</w:t>
            </w:r>
            <w:r>
              <w:rPr>
                <w:rFonts w:hint="eastAsia"/>
                <w:b w:val="0"/>
                <w:bCs w:val="0"/>
                <w:color w:val="auto"/>
                <w:spacing w:val="-2"/>
                <w:highlight w:val="none"/>
              </w:rPr>
              <w:t>型、微</w:t>
            </w:r>
            <w:r>
              <w:rPr>
                <w:rFonts w:hint="eastAsia"/>
                <w:b w:val="0"/>
                <w:bCs w:val="0"/>
                <w:color w:val="auto"/>
                <w:highlight w:val="none"/>
              </w:rPr>
              <w:t>型（填</w:t>
            </w:r>
          </w:p>
          <w:p>
            <w:pPr>
              <w:pStyle w:val="27"/>
              <w:spacing w:line="240" w:lineRule="auto"/>
              <w:ind w:left="107" w:right="60"/>
              <w:jc w:val="center"/>
              <w:rPr>
                <w:b w:val="0"/>
                <w:bCs w:val="0"/>
                <w:color w:val="auto"/>
                <w:highlight w:val="none"/>
              </w:rPr>
            </w:pPr>
            <w:r>
              <w:rPr>
                <w:rFonts w:hint="eastAsia"/>
                <w:b w:val="0"/>
                <w:bCs w:val="0"/>
                <w:color w:val="auto"/>
                <w:highlight w:val="none"/>
              </w:rPr>
              <w:t>中型或小型或微型）</w:t>
            </w:r>
          </w:p>
        </w:tc>
        <w:tc>
          <w:tcPr>
            <w:tcW w:w="634" w:type="dxa"/>
            <w:vAlign w:val="center"/>
          </w:tcPr>
          <w:p>
            <w:pPr>
              <w:pStyle w:val="27"/>
              <w:spacing w:line="240" w:lineRule="auto"/>
              <w:ind w:left="246"/>
              <w:jc w:val="center"/>
              <w:rPr>
                <w:b w:val="0"/>
                <w:bCs w:val="0"/>
                <w:color w:val="auto"/>
                <w:highlight w:val="none"/>
              </w:rPr>
            </w:pPr>
            <w:r>
              <w:rPr>
                <w:rFonts w:hint="eastAsia"/>
                <w:b w:val="0"/>
                <w:bCs w:val="0"/>
                <w:color w:val="auto"/>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jc w:val="center"/>
        </w:trPr>
        <w:tc>
          <w:tcPr>
            <w:tcW w:w="599" w:type="dxa"/>
          </w:tcPr>
          <w:p>
            <w:pPr>
              <w:pStyle w:val="27"/>
              <w:spacing w:before="6" w:line="360" w:lineRule="auto"/>
              <w:rPr>
                <w:b w:val="0"/>
                <w:bCs w:val="0"/>
                <w:color w:val="auto"/>
                <w:sz w:val="26"/>
                <w:highlight w:val="none"/>
              </w:rPr>
            </w:pPr>
          </w:p>
          <w:p>
            <w:pPr>
              <w:pStyle w:val="27"/>
              <w:spacing w:line="360" w:lineRule="auto"/>
              <w:ind w:left="9"/>
              <w:jc w:val="center"/>
              <w:rPr>
                <w:b w:val="0"/>
                <w:bCs w:val="0"/>
                <w:color w:val="auto"/>
                <w:highlight w:val="none"/>
              </w:rPr>
            </w:pPr>
            <w:r>
              <w:rPr>
                <w:b w:val="0"/>
                <w:bCs w:val="0"/>
                <w:color w:val="auto"/>
                <w:highlight w:val="none"/>
              </w:rPr>
              <w:t>1</w:t>
            </w:r>
          </w:p>
        </w:tc>
        <w:tc>
          <w:tcPr>
            <w:tcW w:w="661" w:type="dxa"/>
          </w:tcPr>
          <w:p>
            <w:pPr>
              <w:pStyle w:val="27"/>
              <w:spacing w:line="360" w:lineRule="auto"/>
              <w:rPr>
                <w:b w:val="0"/>
                <w:bCs w:val="0"/>
                <w:color w:val="auto"/>
                <w:sz w:val="22"/>
                <w:highlight w:val="none"/>
              </w:rPr>
            </w:pPr>
          </w:p>
        </w:tc>
        <w:tc>
          <w:tcPr>
            <w:tcW w:w="1117" w:type="dxa"/>
            <w:gridSpan w:val="2"/>
          </w:tcPr>
          <w:p>
            <w:pPr>
              <w:pStyle w:val="27"/>
              <w:spacing w:line="360" w:lineRule="auto"/>
              <w:rPr>
                <w:b w:val="0"/>
                <w:bCs w:val="0"/>
                <w:color w:val="auto"/>
                <w:sz w:val="22"/>
                <w:highlight w:val="none"/>
              </w:rPr>
            </w:pPr>
          </w:p>
        </w:tc>
        <w:tc>
          <w:tcPr>
            <w:tcW w:w="632" w:type="dxa"/>
          </w:tcPr>
          <w:p>
            <w:pPr>
              <w:pStyle w:val="27"/>
              <w:spacing w:line="360" w:lineRule="auto"/>
              <w:rPr>
                <w:b w:val="0"/>
                <w:bCs w:val="0"/>
                <w:color w:val="auto"/>
                <w:sz w:val="22"/>
                <w:highlight w:val="none"/>
              </w:rPr>
            </w:pPr>
          </w:p>
        </w:tc>
        <w:tc>
          <w:tcPr>
            <w:tcW w:w="662" w:type="dxa"/>
          </w:tcPr>
          <w:p>
            <w:pPr>
              <w:pStyle w:val="27"/>
              <w:spacing w:line="360" w:lineRule="auto"/>
              <w:rPr>
                <w:b w:val="0"/>
                <w:bCs w:val="0"/>
                <w:color w:val="auto"/>
                <w:sz w:val="22"/>
                <w:highlight w:val="none"/>
              </w:rPr>
            </w:pPr>
          </w:p>
        </w:tc>
        <w:tc>
          <w:tcPr>
            <w:tcW w:w="662" w:type="dxa"/>
          </w:tcPr>
          <w:p>
            <w:pPr>
              <w:pStyle w:val="27"/>
              <w:spacing w:line="360" w:lineRule="auto"/>
              <w:rPr>
                <w:b w:val="0"/>
                <w:bCs w:val="0"/>
                <w:color w:val="auto"/>
                <w:sz w:val="22"/>
                <w:highlight w:val="none"/>
              </w:rPr>
            </w:pPr>
          </w:p>
        </w:tc>
        <w:tc>
          <w:tcPr>
            <w:tcW w:w="950" w:type="dxa"/>
          </w:tcPr>
          <w:p>
            <w:pPr>
              <w:pStyle w:val="27"/>
              <w:spacing w:line="360" w:lineRule="auto"/>
              <w:rPr>
                <w:b w:val="0"/>
                <w:bCs w:val="0"/>
                <w:color w:val="auto"/>
                <w:sz w:val="22"/>
                <w:highlight w:val="none"/>
              </w:rPr>
            </w:pPr>
          </w:p>
        </w:tc>
        <w:tc>
          <w:tcPr>
            <w:tcW w:w="775" w:type="dxa"/>
          </w:tcPr>
          <w:p>
            <w:pPr>
              <w:pStyle w:val="27"/>
              <w:spacing w:line="360" w:lineRule="auto"/>
              <w:rPr>
                <w:b w:val="0"/>
                <w:bCs w:val="0"/>
                <w:color w:val="auto"/>
                <w:sz w:val="22"/>
                <w:highlight w:val="none"/>
              </w:rPr>
            </w:pPr>
          </w:p>
        </w:tc>
        <w:tc>
          <w:tcPr>
            <w:tcW w:w="712" w:type="dxa"/>
          </w:tcPr>
          <w:p>
            <w:pPr>
              <w:pStyle w:val="27"/>
              <w:spacing w:line="360" w:lineRule="auto"/>
              <w:rPr>
                <w:b w:val="0"/>
                <w:bCs w:val="0"/>
                <w:color w:val="auto"/>
                <w:sz w:val="22"/>
                <w:highlight w:val="none"/>
              </w:rPr>
            </w:pPr>
          </w:p>
        </w:tc>
        <w:tc>
          <w:tcPr>
            <w:tcW w:w="750" w:type="dxa"/>
          </w:tcPr>
          <w:p>
            <w:pPr>
              <w:pStyle w:val="27"/>
              <w:spacing w:line="360" w:lineRule="auto"/>
              <w:rPr>
                <w:b w:val="0"/>
                <w:bCs w:val="0"/>
                <w:color w:val="auto"/>
                <w:sz w:val="22"/>
                <w:highlight w:val="none"/>
              </w:rPr>
            </w:pPr>
          </w:p>
        </w:tc>
        <w:tc>
          <w:tcPr>
            <w:tcW w:w="711" w:type="dxa"/>
          </w:tcPr>
          <w:p>
            <w:pPr>
              <w:pStyle w:val="27"/>
              <w:spacing w:line="360" w:lineRule="auto"/>
              <w:rPr>
                <w:b w:val="0"/>
                <w:bCs w:val="0"/>
                <w:color w:val="auto"/>
                <w:sz w:val="22"/>
                <w:highlight w:val="none"/>
              </w:rPr>
            </w:pPr>
          </w:p>
        </w:tc>
        <w:tc>
          <w:tcPr>
            <w:tcW w:w="1149" w:type="dxa"/>
          </w:tcPr>
          <w:p>
            <w:pPr>
              <w:pStyle w:val="27"/>
              <w:spacing w:line="360" w:lineRule="auto"/>
              <w:rPr>
                <w:b w:val="0"/>
                <w:bCs w:val="0"/>
                <w:color w:val="auto"/>
                <w:sz w:val="22"/>
                <w:highlight w:val="none"/>
              </w:rPr>
            </w:pPr>
          </w:p>
        </w:tc>
        <w:tc>
          <w:tcPr>
            <w:tcW w:w="634" w:type="dxa"/>
          </w:tcPr>
          <w:p>
            <w:pPr>
              <w:pStyle w:val="27"/>
              <w:spacing w:line="360" w:lineRule="auto"/>
              <w:rPr>
                <w:b w:val="0"/>
                <w:bCs w:val="0"/>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jc w:val="center"/>
        </w:trPr>
        <w:tc>
          <w:tcPr>
            <w:tcW w:w="599" w:type="dxa"/>
          </w:tcPr>
          <w:p>
            <w:pPr>
              <w:pStyle w:val="27"/>
              <w:spacing w:before="3" w:line="360" w:lineRule="auto"/>
              <w:rPr>
                <w:b w:val="0"/>
                <w:bCs w:val="0"/>
                <w:color w:val="auto"/>
                <w:sz w:val="21"/>
                <w:highlight w:val="none"/>
              </w:rPr>
            </w:pPr>
          </w:p>
          <w:p>
            <w:pPr>
              <w:pStyle w:val="27"/>
              <w:spacing w:before="1" w:line="360" w:lineRule="auto"/>
              <w:ind w:left="99" w:right="90"/>
              <w:jc w:val="center"/>
              <w:rPr>
                <w:b w:val="0"/>
                <w:bCs w:val="0"/>
                <w:color w:val="auto"/>
                <w:highlight w:val="none"/>
              </w:rPr>
            </w:pPr>
            <w:r>
              <w:rPr>
                <w:b w:val="0"/>
                <w:bCs w:val="0"/>
                <w:color w:val="auto"/>
                <w:highlight w:val="none"/>
              </w:rPr>
              <w:t>...</w:t>
            </w:r>
          </w:p>
        </w:tc>
        <w:tc>
          <w:tcPr>
            <w:tcW w:w="661" w:type="dxa"/>
          </w:tcPr>
          <w:p>
            <w:pPr>
              <w:pStyle w:val="27"/>
              <w:spacing w:line="360" w:lineRule="auto"/>
              <w:rPr>
                <w:b w:val="0"/>
                <w:bCs w:val="0"/>
                <w:color w:val="auto"/>
                <w:sz w:val="22"/>
                <w:highlight w:val="none"/>
              </w:rPr>
            </w:pPr>
          </w:p>
        </w:tc>
        <w:tc>
          <w:tcPr>
            <w:tcW w:w="1117" w:type="dxa"/>
            <w:gridSpan w:val="2"/>
          </w:tcPr>
          <w:p>
            <w:pPr>
              <w:pStyle w:val="27"/>
              <w:spacing w:line="360" w:lineRule="auto"/>
              <w:rPr>
                <w:b w:val="0"/>
                <w:bCs w:val="0"/>
                <w:color w:val="auto"/>
                <w:sz w:val="22"/>
                <w:highlight w:val="none"/>
              </w:rPr>
            </w:pPr>
          </w:p>
        </w:tc>
        <w:tc>
          <w:tcPr>
            <w:tcW w:w="632" w:type="dxa"/>
          </w:tcPr>
          <w:p>
            <w:pPr>
              <w:pStyle w:val="27"/>
              <w:spacing w:line="360" w:lineRule="auto"/>
              <w:rPr>
                <w:b w:val="0"/>
                <w:bCs w:val="0"/>
                <w:color w:val="auto"/>
                <w:sz w:val="22"/>
                <w:highlight w:val="none"/>
              </w:rPr>
            </w:pPr>
          </w:p>
        </w:tc>
        <w:tc>
          <w:tcPr>
            <w:tcW w:w="662" w:type="dxa"/>
          </w:tcPr>
          <w:p>
            <w:pPr>
              <w:pStyle w:val="27"/>
              <w:spacing w:line="360" w:lineRule="auto"/>
              <w:rPr>
                <w:b w:val="0"/>
                <w:bCs w:val="0"/>
                <w:color w:val="auto"/>
                <w:sz w:val="22"/>
                <w:highlight w:val="none"/>
              </w:rPr>
            </w:pPr>
          </w:p>
        </w:tc>
        <w:tc>
          <w:tcPr>
            <w:tcW w:w="662" w:type="dxa"/>
          </w:tcPr>
          <w:p>
            <w:pPr>
              <w:pStyle w:val="27"/>
              <w:spacing w:line="360" w:lineRule="auto"/>
              <w:rPr>
                <w:b w:val="0"/>
                <w:bCs w:val="0"/>
                <w:color w:val="auto"/>
                <w:sz w:val="22"/>
                <w:highlight w:val="none"/>
              </w:rPr>
            </w:pPr>
          </w:p>
        </w:tc>
        <w:tc>
          <w:tcPr>
            <w:tcW w:w="950" w:type="dxa"/>
          </w:tcPr>
          <w:p>
            <w:pPr>
              <w:pStyle w:val="27"/>
              <w:spacing w:line="360" w:lineRule="auto"/>
              <w:rPr>
                <w:b w:val="0"/>
                <w:bCs w:val="0"/>
                <w:color w:val="auto"/>
                <w:sz w:val="22"/>
                <w:highlight w:val="none"/>
              </w:rPr>
            </w:pPr>
          </w:p>
        </w:tc>
        <w:tc>
          <w:tcPr>
            <w:tcW w:w="775" w:type="dxa"/>
          </w:tcPr>
          <w:p>
            <w:pPr>
              <w:pStyle w:val="27"/>
              <w:spacing w:line="360" w:lineRule="auto"/>
              <w:rPr>
                <w:b w:val="0"/>
                <w:bCs w:val="0"/>
                <w:color w:val="auto"/>
                <w:sz w:val="22"/>
                <w:highlight w:val="none"/>
              </w:rPr>
            </w:pPr>
          </w:p>
        </w:tc>
        <w:tc>
          <w:tcPr>
            <w:tcW w:w="712" w:type="dxa"/>
          </w:tcPr>
          <w:p>
            <w:pPr>
              <w:pStyle w:val="27"/>
              <w:spacing w:line="360" w:lineRule="auto"/>
              <w:rPr>
                <w:b w:val="0"/>
                <w:bCs w:val="0"/>
                <w:color w:val="auto"/>
                <w:sz w:val="22"/>
                <w:highlight w:val="none"/>
              </w:rPr>
            </w:pPr>
          </w:p>
        </w:tc>
        <w:tc>
          <w:tcPr>
            <w:tcW w:w="750" w:type="dxa"/>
          </w:tcPr>
          <w:p>
            <w:pPr>
              <w:pStyle w:val="27"/>
              <w:spacing w:line="360" w:lineRule="auto"/>
              <w:rPr>
                <w:b w:val="0"/>
                <w:bCs w:val="0"/>
                <w:color w:val="auto"/>
                <w:sz w:val="22"/>
                <w:highlight w:val="none"/>
              </w:rPr>
            </w:pPr>
          </w:p>
        </w:tc>
        <w:tc>
          <w:tcPr>
            <w:tcW w:w="711" w:type="dxa"/>
          </w:tcPr>
          <w:p>
            <w:pPr>
              <w:pStyle w:val="27"/>
              <w:spacing w:line="360" w:lineRule="auto"/>
              <w:rPr>
                <w:b w:val="0"/>
                <w:bCs w:val="0"/>
                <w:color w:val="auto"/>
                <w:sz w:val="22"/>
                <w:highlight w:val="none"/>
              </w:rPr>
            </w:pPr>
          </w:p>
        </w:tc>
        <w:tc>
          <w:tcPr>
            <w:tcW w:w="1149" w:type="dxa"/>
          </w:tcPr>
          <w:p>
            <w:pPr>
              <w:pStyle w:val="27"/>
              <w:spacing w:line="360" w:lineRule="auto"/>
              <w:rPr>
                <w:b w:val="0"/>
                <w:bCs w:val="0"/>
                <w:color w:val="auto"/>
                <w:sz w:val="22"/>
                <w:highlight w:val="none"/>
              </w:rPr>
            </w:pPr>
          </w:p>
        </w:tc>
        <w:tc>
          <w:tcPr>
            <w:tcW w:w="634" w:type="dxa"/>
          </w:tcPr>
          <w:p>
            <w:pPr>
              <w:pStyle w:val="27"/>
              <w:spacing w:line="360" w:lineRule="auto"/>
              <w:rPr>
                <w:b w:val="0"/>
                <w:bCs w:val="0"/>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jc w:val="center"/>
        </w:trPr>
        <w:tc>
          <w:tcPr>
            <w:tcW w:w="599" w:type="dxa"/>
          </w:tcPr>
          <w:p>
            <w:pPr>
              <w:pStyle w:val="27"/>
              <w:spacing w:before="1" w:line="360" w:lineRule="auto"/>
              <w:ind w:left="179"/>
              <w:rPr>
                <w:b w:val="0"/>
                <w:bCs w:val="0"/>
                <w:color w:val="auto"/>
                <w:highlight w:val="none"/>
              </w:rPr>
            </w:pPr>
            <w:r>
              <w:rPr>
                <w:rFonts w:hint="eastAsia"/>
                <w:b w:val="0"/>
                <w:bCs w:val="0"/>
                <w:color w:val="auto"/>
                <w:highlight w:val="none"/>
              </w:rPr>
              <w:t>合</w:t>
            </w:r>
          </w:p>
          <w:p>
            <w:pPr>
              <w:pStyle w:val="27"/>
              <w:spacing w:before="158" w:line="360" w:lineRule="auto"/>
              <w:ind w:left="179"/>
              <w:rPr>
                <w:b w:val="0"/>
                <w:bCs w:val="0"/>
                <w:color w:val="auto"/>
                <w:highlight w:val="none"/>
              </w:rPr>
            </w:pPr>
            <w:r>
              <w:rPr>
                <w:rFonts w:hint="eastAsia"/>
                <w:b w:val="0"/>
                <w:bCs w:val="0"/>
                <w:color w:val="auto"/>
                <w:highlight w:val="none"/>
              </w:rPr>
              <w:t>计</w:t>
            </w:r>
          </w:p>
        </w:tc>
        <w:tc>
          <w:tcPr>
            <w:tcW w:w="662" w:type="dxa"/>
            <w:gridSpan w:val="2"/>
          </w:tcPr>
          <w:p>
            <w:pPr>
              <w:pStyle w:val="27"/>
              <w:spacing w:line="360" w:lineRule="auto"/>
              <w:rPr>
                <w:b w:val="0"/>
                <w:bCs w:val="0"/>
                <w:color w:val="auto"/>
                <w:sz w:val="22"/>
                <w:highlight w:val="none"/>
              </w:rPr>
            </w:pPr>
          </w:p>
        </w:tc>
        <w:tc>
          <w:tcPr>
            <w:tcW w:w="8753" w:type="dxa"/>
            <w:gridSpan w:val="11"/>
          </w:tcPr>
          <w:p>
            <w:pPr>
              <w:pStyle w:val="27"/>
              <w:spacing w:line="360" w:lineRule="auto"/>
              <w:rPr>
                <w:b w:val="0"/>
                <w:bCs w:val="0"/>
                <w:color w:val="auto"/>
                <w:sz w:val="22"/>
                <w:highlight w:val="none"/>
              </w:rPr>
            </w:pPr>
          </w:p>
        </w:tc>
      </w:tr>
    </w:tbl>
    <w:p>
      <w:pPr>
        <w:pStyle w:val="7"/>
        <w:spacing w:line="360" w:lineRule="auto"/>
        <w:rPr>
          <w:color w:val="auto"/>
          <w:highlight w:val="none"/>
        </w:rPr>
      </w:pPr>
    </w:p>
    <w:p>
      <w:pPr>
        <w:pStyle w:val="8"/>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spacing w:line="288" w:lineRule="auto"/>
        <w:ind w:firstLine="2660"/>
        <w:jc w:val="both"/>
        <w:rPr>
          <w:rFonts w:hint="eastAsia" w:eastAsia="宋体"/>
          <w:sz w:val="28"/>
          <w:highlight w:val="none"/>
          <w:lang w:eastAsia="zh-CN"/>
        </w:rPr>
      </w:pPr>
      <w:r>
        <w:rPr>
          <w:rFonts w:hint="eastAsia" w:ascii="Calibri" w:hAnsi="Calibri" w:eastAsia="Calibri"/>
          <w:b/>
          <w:color w:val="000000"/>
          <w:sz w:val="28"/>
          <w:highlight w:val="none"/>
        </w:rPr>
        <w:t>2</w:t>
      </w:r>
      <w:r>
        <w:rPr>
          <w:rFonts w:hint="eastAsia" w:ascii="宋体" w:hAnsi="宋体" w:eastAsia="宋体"/>
          <w:b/>
          <w:color w:val="000000"/>
          <w:sz w:val="28"/>
          <w:highlight w:val="none"/>
        </w:rPr>
        <w:t>.</w:t>
      </w:r>
      <w:r>
        <w:rPr>
          <w:rFonts w:hint="eastAsia" w:ascii="Calibri" w:hAnsi="Calibri" w:eastAsia="Calibri"/>
          <w:b/>
          <w:color w:val="000000"/>
          <w:sz w:val="28"/>
          <w:highlight w:val="none"/>
        </w:rPr>
        <w:t>2</w:t>
      </w:r>
      <w:r>
        <w:rPr>
          <w:rFonts w:hint="eastAsia" w:ascii="宋体" w:hAnsi="宋体" w:eastAsia="宋体"/>
          <w:b/>
          <w:color w:val="000000"/>
          <w:sz w:val="28"/>
          <w:highlight w:val="none"/>
        </w:rPr>
        <w:t xml:space="preserve"> 报价分析</w:t>
      </w:r>
      <w:r>
        <w:rPr>
          <w:rFonts w:hint="eastAsia" w:ascii="宋体" w:hAnsi="宋体" w:eastAsia="宋体"/>
          <w:b/>
          <w:color w:val="000000"/>
          <w:sz w:val="28"/>
          <w:highlight w:val="none"/>
          <w:lang w:eastAsia="zh-CN"/>
        </w:rPr>
        <w:t>表</w:t>
      </w:r>
    </w:p>
    <w:p>
      <w:pPr>
        <w:spacing w:line="360" w:lineRule="auto"/>
        <w:ind w:firstLine="0"/>
        <w:jc w:val="both"/>
        <w:rPr>
          <w:sz w:val="27"/>
          <w:highlight w:val="none"/>
        </w:rPr>
      </w:pPr>
      <w:r>
        <w:rPr>
          <w:rFonts w:hint="eastAsia" w:ascii="宋体" w:hAnsi="宋体" w:eastAsia="宋体"/>
          <w:color w:val="000000"/>
          <w:sz w:val="27"/>
          <w:highlight w:val="none"/>
        </w:rPr>
        <w:t>投标车辆名称：</w:t>
      </w:r>
    </w:p>
    <w:tbl>
      <w:tblPr>
        <w:tblStyle w:val="23"/>
        <w:tblW w:w="10460"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1130"/>
        <w:gridCol w:w="3090"/>
        <w:gridCol w:w="2161"/>
        <w:gridCol w:w="1575"/>
        <w:gridCol w:w="1454"/>
        <w:gridCol w:w="105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jc w:val="center"/>
        </w:trPr>
        <w:tc>
          <w:tcPr>
            <w:tcW w:w="1120" w:type="dxa"/>
            <w:tcBorders>
              <w:top w:val="single" w:color="000000" w:sz="4" w:space="0"/>
              <w:left w:val="single" w:color="000000" w:sz="4" w:space="0"/>
              <w:bottom w:val="single" w:color="000000" w:sz="4" w:space="0"/>
              <w:right w:val="single" w:color="000000" w:sz="4" w:space="0"/>
            </w:tcBorders>
            <w:vAlign w:val="center"/>
          </w:tcPr>
          <w:p>
            <w:pPr>
              <w:spacing w:line="288" w:lineRule="auto"/>
              <w:jc w:val="center"/>
              <w:rPr>
                <w:sz w:val="27"/>
                <w:highlight w:val="none"/>
              </w:rPr>
            </w:pPr>
            <w:r>
              <w:rPr>
                <w:rFonts w:hint="eastAsia" w:ascii="宋体" w:hAnsi="宋体" w:eastAsia="宋体"/>
                <w:color w:val="000000"/>
                <w:sz w:val="27"/>
                <w:highlight w:val="none"/>
              </w:rPr>
              <w:t>序号</w:t>
            </w:r>
          </w:p>
        </w:tc>
        <w:tc>
          <w:tcPr>
            <w:tcW w:w="3060" w:type="dxa"/>
            <w:tcBorders>
              <w:top w:val="single" w:color="000000" w:sz="4" w:space="0"/>
              <w:left w:val="single" w:color="000000" w:sz="4" w:space="0"/>
              <w:bottom w:val="single" w:color="000000" w:sz="4" w:space="0"/>
              <w:right w:val="single" w:color="000000" w:sz="4" w:space="0"/>
            </w:tcBorders>
            <w:vAlign w:val="center"/>
          </w:tcPr>
          <w:p>
            <w:pPr>
              <w:spacing w:line="288" w:lineRule="auto"/>
              <w:ind w:firstLine="0"/>
              <w:jc w:val="both"/>
              <w:rPr>
                <w:sz w:val="27"/>
                <w:highlight w:val="none"/>
              </w:rPr>
            </w:pPr>
            <w:r>
              <w:rPr>
                <w:rFonts w:hint="eastAsia" w:ascii="宋体" w:hAnsi="宋体" w:eastAsia="宋体"/>
                <w:color w:val="000000"/>
                <w:sz w:val="27"/>
                <w:highlight w:val="none"/>
              </w:rPr>
              <w:t>分项内容</w:t>
            </w:r>
          </w:p>
        </w:tc>
        <w:tc>
          <w:tcPr>
            <w:tcW w:w="2140" w:type="dxa"/>
            <w:tcBorders>
              <w:top w:val="single" w:color="000000" w:sz="4" w:space="0"/>
              <w:left w:val="single" w:color="000000" w:sz="4" w:space="0"/>
              <w:bottom w:val="single" w:color="000000" w:sz="4" w:space="0"/>
              <w:right w:val="single" w:color="000000" w:sz="4" w:space="0"/>
            </w:tcBorders>
            <w:vAlign w:val="center"/>
          </w:tcPr>
          <w:p>
            <w:pPr>
              <w:spacing w:line="288" w:lineRule="auto"/>
              <w:jc w:val="center"/>
              <w:rPr>
                <w:sz w:val="27"/>
                <w:highlight w:val="none"/>
              </w:rPr>
            </w:pPr>
            <w:r>
              <w:rPr>
                <w:rFonts w:hint="eastAsia" w:ascii="宋体" w:hAnsi="宋体" w:eastAsia="宋体"/>
                <w:color w:val="000000"/>
                <w:sz w:val="27"/>
                <w:highlight w:val="none"/>
              </w:rPr>
              <w:t>报价（元）</w:t>
            </w:r>
          </w:p>
        </w:tc>
        <w:tc>
          <w:tcPr>
            <w:tcW w:w="1560" w:type="dxa"/>
            <w:tcBorders>
              <w:top w:val="single" w:color="000000" w:sz="4" w:space="0"/>
              <w:left w:val="single" w:color="000000" w:sz="4" w:space="0"/>
              <w:bottom w:val="single" w:color="000000" w:sz="4" w:space="0"/>
              <w:right w:val="single" w:color="000000" w:sz="4" w:space="0"/>
            </w:tcBorders>
            <w:vAlign w:val="center"/>
          </w:tcPr>
          <w:p>
            <w:pPr>
              <w:spacing w:line="288" w:lineRule="auto"/>
              <w:jc w:val="center"/>
              <w:rPr>
                <w:sz w:val="27"/>
                <w:highlight w:val="none"/>
              </w:rPr>
            </w:pPr>
            <w:r>
              <w:rPr>
                <w:rFonts w:hint="eastAsia" w:ascii="宋体" w:hAnsi="宋体" w:eastAsia="宋体"/>
                <w:color w:val="000000"/>
                <w:sz w:val="27"/>
                <w:highlight w:val="none"/>
              </w:rPr>
              <w:t>产地及品牌</w:t>
            </w:r>
          </w:p>
        </w:tc>
        <w:tc>
          <w:tcPr>
            <w:tcW w:w="1440" w:type="dxa"/>
            <w:tcBorders>
              <w:top w:val="single" w:color="000000" w:sz="4" w:space="0"/>
              <w:left w:val="single" w:color="000000" w:sz="4" w:space="0"/>
              <w:bottom w:val="single" w:color="000000" w:sz="4" w:space="0"/>
              <w:right w:val="single" w:color="000000" w:sz="4" w:space="0"/>
            </w:tcBorders>
            <w:vAlign w:val="center"/>
          </w:tcPr>
          <w:p>
            <w:pPr>
              <w:spacing w:line="288" w:lineRule="auto"/>
              <w:jc w:val="center"/>
              <w:rPr>
                <w:sz w:val="27"/>
                <w:highlight w:val="none"/>
              </w:rPr>
            </w:pPr>
            <w:r>
              <w:rPr>
                <w:rFonts w:hint="eastAsia" w:ascii="宋体" w:hAnsi="宋体" w:eastAsia="宋体"/>
                <w:color w:val="000000"/>
                <w:sz w:val="27"/>
                <w:highlight w:val="none"/>
              </w:rPr>
              <w:t>型号规格</w:t>
            </w:r>
          </w:p>
        </w:tc>
        <w:tc>
          <w:tcPr>
            <w:tcW w:w="1040" w:type="dxa"/>
            <w:tcBorders>
              <w:top w:val="single" w:color="000000" w:sz="4" w:space="0"/>
              <w:left w:val="single" w:color="000000" w:sz="4" w:space="0"/>
              <w:bottom w:val="single" w:color="000000" w:sz="4" w:space="0"/>
              <w:right w:val="single" w:color="000000" w:sz="4" w:space="0"/>
            </w:tcBorders>
            <w:vAlign w:val="center"/>
          </w:tcPr>
          <w:p>
            <w:pPr>
              <w:spacing w:line="288" w:lineRule="auto"/>
              <w:jc w:val="center"/>
              <w:rPr>
                <w:sz w:val="27"/>
                <w:highlight w:val="none"/>
              </w:rPr>
            </w:pPr>
            <w:r>
              <w:rPr>
                <w:rFonts w:hint="eastAsia" w:ascii="宋体" w:hAnsi="宋体" w:eastAsia="宋体"/>
                <w:color w:val="000000"/>
                <w:sz w:val="27"/>
                <w:highlight w:val="none"/>
              </w:rPr>
              <w:t>备注</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jc w:val="center"/>
        </w:trPr>
        <w:tc>
          <w:tcPr>
            <w:tcW w:w="1120" w:type="dxa"/>
            <w:tcBorders>
              <w:top w:val="single" w:color="000000" w:sz="4" w:space="0"/>
              <w:left w:val="single" w:color="000000" w:sz="4" w:space="0"/>
              <w:bottom w:val="single" w:color="000000" w:sz="4" w:space="0"/>
              <w:right w:val="single" w:color="000000" w:sz="4" w:space="0"/>
            </w:tcBorders>
            <w:vAlign w:val="center"/>
          </w:tcPr>
          <w:p>
            <w:pPr>
              <w:spacing w:line="288" w:lineRule="auto"/>
              <w:jc w:val="center"/>
              <w:rPr>
                <w:sz w:val="27"/>
                <w:highlight w:val="none"/>
              </w:rPr>
            </w:pPr>
            <w:r>
              <w:rPr>
                <w:rFonts w:hint="eastAsia" w:ascii="Calibri" w:hAnsi="Calibri" w:eastAsia="Calibri"/>
                <w:color w:val="000000"/>
                <w:sz w:val="27"/>
                <w:highlight w:val="none"/>
              </w:rPr>
              <w:t>1</w:t>
            </w:r>
          </w:p>
        </w:tc>
        <w:tc>
          <w:tcPr>
            <w:tcW w:w="3060" w:type="dxa"/>
            <w:tcBorders>
              <w:top w:val="single" w:color="000000" w:sz="4" w:space="0"/>
              <w:left w:val="single" w:color="000000" w:sz="4" w:space="0"/>
              <w:bottom w:val="single" w:color="000000" w:sz="4" w:space="0"/>
              <w:right w:val="single" w:color="000000" w:sz="4" w:space="0"/>
            </w:tcBorders>
            <w:vAlign w:val="center"/>
          </w:tcPr>
          <w:p>
            <w:pPr>
              <w:spacing w:line="288" w:lineRule="auto"/>
              <w:ind w:firstLine="0"/>
              <w:jc w:val="both"/>
              <w:rPr>
                <w:sz w:val="27"/>
                <w:highlight w:val="none"/>
              </w:rPr>
            </w:pPr>
            <w:r>
              <w:rPr>
                <w:rFonts w:hint="eastAsia" w:ascii="宋体" w:hAnsi="宋体" w:eastAsia="宋体"/>
                <w:color w:val="000000"/>
                <w:sz w:val="27"/>
                <w:highlight w:val="none"/>
              </w:rPr>
              <w:t>车辆配件</w:t>
            </w:r>
          </w:p>
        </w:tc>
        <w:tc>
          <w:tcPr>
            <w:tcW w:w="21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6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jc w:val="center"/>
        </w:trPr>
        <w:tc>
          <w:tcPr>
            <w:tcW w:w="1120" w:type="dxa"/>
            <w:tcBorders>
              <w:top w:val="single" w:color="000000" w:sz="4" w:space="0"/>
              <w:left w:val="single" w:color="000000" w:sz="4" w:space="0"/>
              <w:bottom w:val="single" w:color="000000" w:sz="4" w:space="0"/>
              <w:right w:val="single" w:color="000000" w:sz="4" w:space="0"/>
            </w:tcBorders>
            <w:vAlign w:val="center"/>
          </w:tcPr>
          <w:p>
            <w:pPr>
              <w:spacing w:line="288" w:lineRule="auto"/>
              <w:jc w:val="center"/>
              <w:rPr>
                <w:sz w:val="27"/>
                <w:highlight w:val="none"/>
              </w:rPr>
            </w:pPr>
            <w:r>
              <w:rPr>
                <w:rFonts w:hint="eastAsia" w:ascii="Calibri" w:hAnsi="Calibri" w:eastAsia="Calibri"/>
                <w:color w:val="000000"/>
                <w:sz w:val="27"/>
                <w:highlight w:val="none"/>
              </w:rPr>
              <w:t>1.1</w:t>
            </w:r>
          </w:p>
        </w:tc>
        <w:tc>
          <w:tcPr>
            <w:tcW w:w="306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1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6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jc w:val="center"/>
        </w:trPr>
        <w:tc>
          <w:tcPr>
            <w:tcW w:w="1120" w:type="dxa"/>
            <w:tcBorders>
              <w:top w:val="single" w:color="000000" w:sz="4" w:space="0"/>
              <w:left w:val="single" w:color="000000" w:sz="4" w:space="0"/>
              <w:bottom w:val="single" w:color="000000" w:sz="4" w:space="0"/>
              <w:right w:val="single" w:color="000000" w:sz="4" w:space="0"/>
            </w:tcBorders>
            <w:vAlign w:val="center"/>
          </w:tcPr>
          <w:p>
            <w:pPr>
              <w:spacing w:line="288" w:lineRule="auto"/>
              <w:jc w:val="center"/>
              <w:rPr>
                <w:sz w:val="27"/>
                <w:highlight w:val="none"/>
              </w:rPr>
            </w:pPr>
            <w:r>
              <w:rPr>
                <w:rFonts w:hint="eastAsia" w:ascii="Calibri" w:hAnsi="Calibri" w:eastAsia="Calibri"/>
                <w:color w:val="000000"/>
                <w:sz w:val="27"/>
                <w:highlight w:val="none"/>
              </w:rPr>
              <w:t>1.2</w:t>
            </w:r>
          </w:p>
        </w:tc>
        <w:tc>
          <w:tcPr>
            <w:tcW w:w="306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1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6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jc w:val="center"/>
        </w:trPr>
        <w:tc>
          <w:tcPr>
            <w:tcW w:w="1120" w:type="dxa"/>
            <w:tcBorders>
              <w:top w:val="single" w:color="000000" w:sz="4" w:space="0"/>
              <w:left w:val="single" w:color="000000" w:sz="4" w:space="0"/>
              <w:bottom w:val="single" w:color="000000" w:sz="4" w:space="0"/>
              <w:right w:val="single" w:color="000000" w:sz="4" w:space="0"/>
            </w:tcBorders>
            <w:vAlign w:val="center"/>
          </w:tcPr>
          <w:p>
            <w:pPr>
              <w:jc w:val="center"/>
              <w:rPr>
                <w:highlight w:val="none"/>
              </w:rPr>
            </w:pPr>
            <w:r>
              <w:rPr>
                <w:b w:val="0"/>
                <w:bCs w:val="0"/>
                <w:color w:val="auto"/>
                <w:highlight w:val="none"/>
              </w:rPr>
              <w:t>...</w:t>
            </w:r>
          </w:p>
        </w:tc>
        <w:tc>
          <w:tcPr>
            <w:tcW w:w="306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21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6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jc w:val="center"/>
        </w:trPr>
        <w:tc>
          <w:tcPr>
            <w:tcW w:w="1120" w:type="dxa"/>
            <w:tcBorders>
              <w:top w:val="single" w:color="000000" w:sz="4" w:space="0"/>
              <w:left w:val="single" w:color="000000" w:sz="4" w:space="0"/>
              <w:bottom w:val="single" w:color="000000" w:sz="4" w:space="0"/>
              <w:right w:val="single" w:color="000000" w:sz="4" w:space="0"/>
            </w:tcBorders>
            <w:vAlign w:val="center"/>
          </w:tcPr>
          <w:p>
            <w:pPr>
              <w:spacing w:line="288" w:lineRule="auto"/>
              <w:jc w:val="center"/>
              <w:rPr>
                <w:sz w:val="27"/>
                <w:highlight w:val="none"/>
              </w:rPr>
            </w:pPr>
            <w:r>
              <w:rPr>
                <w:rFonts w:hint="eastAsia" w:ascii="Calibri" w:hAnsi="Calibri" w:eastAsia="Calibri"/>
                <w:color w:val="000000"/>
                <w:sz w:val="27"/>
                <w:highlight w:val="none"/>
              </w:rPr>
              <w:t>2</w:t>
            </w:r>
          </w:p>
        </w:tc>
        <w:tc>
          <w:tcPr>
            <w:tcW w:w="3060" w:type="dxa"/>
            <w:tcBorders>
              <w:top w:val="single" w:color="000000" w:sz="4" w:space="0"/>
              <w:left w:val="single" w:color="000000" w:sz="4" w:space="0"/>
              <w:bottom w:val="single" w:color="000000" w:sz="4" w:space="0"/>
              <w:right w:val="single" w:color="000000" w:sz="4" w:space="0"/>
            </w:tcBorders>
            <w:vAlign w:val="center"/>
          </w:tcPr>
          <w:p>
            <w:pPr>
              <w:spacing w:line="288" w:lineRule="auto"/>
              <w:ind w:firstLine="0"/>
              <w:jc w:val="both"/>
              <w:rPr>
                <w:sz w:val="27"/>
                <w:highlight w:val="none"/>
              </w:rPr>
            </w:pPr>
            <w:r>
              <w:rPr>
                <w:rFonts w:hint="eastAsia" w:ascii="宋体" w:hAnsi="宋体" w:eastAsia="宋体"/>
                <w:color w:val="000000"/>
                <w:sz w:val="27"/>
                <w:highlight w:val="none"/>
              </w:rPr>
              <w:t>安装调试费</w:t>
            </w:r>
          </w:p>
        </w:tc>
        <w:tc>
          <w:tcPr>
            <w:tcW w:w="21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6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jc w:val="center"/>
        </w:trPr>
        <w:tc>
          <w:tcPr>
            <w:tcW w:w="1120" w:type="dxa"/>
            <w:tcBorders>
              <w:top w:val="single" w:color="000000" w:sz="4" w:space="0"/>
              <w:left w:val="single" w:color="000000" w:sz="4" w:space="0"/>
              <w:bottom w:val="single" w:color="000000" w:sz="4" w:space="0"/>
              <w:right w:val="single" w:color="000000" w:sz="4" w:space="0"/>
            </w:tcBorders>
            <w:vAlign w:val="center"/>
          </w:tcPr>
          <w:p>
            <w:pPr>
              <w:spacing w:line="288" w:lineRule="auto"/>
              <w:jc w:val="center"/>
              <w:rPr>
                <w:sz w:val="27"/>
                <w:highlight w:val="none"/>
              </w:rPr>
            </w:pPr>
            <w:r>
              <w:rPr>
                <w:rFonts w:hint="eastAsia" w:ascii="Calibri" w:hAnsi="Calibri" w:eastAsia="Calibri"/>
                <w:color w:val="000000"/>
                <w:sz w:val="27"/>
                <w:highlight w:val="none"/>
              </w:rPr>
              <w:t>3</w:t>
            </w:r>
          </w:p>
        </w:tc>
        <w:tc>
          <w:tcPr>
            <w:tcW w:w="3060" w:type="dxa"/>
            <w:tcBorders>
              <w:top w:val="single" w:color="000000" w:sz="4" w:space="0"/>
              <w:left w:val="single" w:color="000000" w:sz="4" w:space="0"/>
              <w:bottom w:val="single" w:color="000000" w:sz="4" w:space="0"/>
              <w:right w:val="single" w:color="000000" w:sz="4" w:space="0"/>
            </w:tcBorders>
            <w:vAlign w:val="center"/>
          </w:tcPr>
          <w:p>
            <w:pPr>
              <w:spacing w:line="288" w:lineRule="auto"/>
              <w:ind w:firstLine="0"/>
              <w:jc w:val="both"/>
              <w:rPr>
                <w:sz w:val="27"/>
                <w:highlight w:val="none"/>
              </w:rPr>
            </w:pPr>
            <w:r>
              <w:rPr>
                <w:rFonts w:hint="eastAsia" w:ascii="宋体" w:hAnsi="宋体" w:eastAsia="宋体"/>
                <w:color w:val="000000"/>
                <w:sz w:val="27"/>
                <w:highlight w:val="none"/>
              </w:rPr>
              <w:t>首次保养</w:t>
            </w:r>
          </w:p>
        </w:tc>
        <w:tc>
          <w:tcPr>
            <w:tcW w:w="21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6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20" w:hRule="atLeast"/>
          <w:jc w:val="center"/>
        </w:trPr>
        <w:tc>
          <w:tcPr>
            <w:tcW w:w="1120" w:type="dxa"/>
            <w:tcBorders>
              <w:top w:val="single" w:color="000000" w:sz="4" w:space="0"/>
              <w:left w:val="single" w:color="000000" w:sz="4" w:space="0"/>
              <w:bottom w:val="single" w:color="000000" w:sz="4" w:space="0"/>
              <w:right w:val="single" w:color="000000" w:sz="4" w:space="0"/>
            </w:tcBorders>
            <w:vAlign w:val="center"/>
          </w:tcPr>
          <w:p>
            <w:pPr>
              <w:spacing w:line="288" w:lineRule="auto"/>
              <w:jc w:val="center"/>
              <w:rPr>
                <w:sz w:val="27"/>
                <w:highlight w:val="none"/>
              </w:rPr>
            </w:pPr>
            <w:r>
              <w:rPr>
                <w:rFonts w:hint="eastAsia" w:ascii="Calibri" w:hAnsi="Calibri" w:eastAsia="Calibri"/>
                <w:color w:val="000000"/>
                <w:sz w:val="27"/>
                <w:highlight w:val="none"/>
              </w:rPr>
              <w:t>1</w:t>
            </w:r>
          </w:p>
        </w:tc>
        <w:tc>
          <w:tcPr>
            <w:tcW w:w="3060" w:type="dxa"/>
            <w:tcBorders>
              <w:top w:val="single" w:color="000000" w:sz="4" w:space="0"/>
              <w:left w:val="single" w:color="000000" w:sz="4" w:space="0"/>
              <w:bottom w:val="single" w:color="000000" w:sz="4" w:space="0"/>
              <w:right w:val="single" w:color="000000" w:sz="4" w:space="0"/>
            </w:tcBorders>
            <w:vAlign w:val="center"/>
          </w:tcPr>
          <w:p>
            <w:pPr>
              <w:spacing w:line="288" w:lineRule="auto"/>
              <w:ind w:firstLine="0"/>
              <w:jc w:val="both"/>
              <w:rPr>
                <w:sz w:val="27"/>
                <w:highlight w:val="none"/>
              </w:rPr>
            </w:pPr>
            <w:r>
              <w:rPr>
                <w:rFonts w:hint="eastAsia" w:ascii="宋体" w:hAnsi="宋体" w:eastAsia="宋体"/>
                <w:color w:val="000000"/>
                <w:sz w:val="27"/>
                <w:highlight w:val="none"/>
              </w:rPr>
              <w:t>其它费用</w:t>
            </w:r>
          </w:p>
        </w:tc>
        <w:tc>
          <w:tcPr>
            <w:tcW w:w="21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6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00" w:hRule="atLeast"/>
          <w:jc w:val="center"/>
        </w:trPr>
        <w:tc>
          <w:tcPr>
            <w:tcW w:w="1120" w:type="dxa"/>
            <w:tcBorders>
              <w:top w:val="single" w:color="000000" w:sz="4" w:space="0"/>
              <w:left w:val="single" w:color="000000" w:sz="4" w:space="0"/>
              <w:bottom w:val="single" w:color="000000" w:sz="4" w:space="0"/>
              <w:right w:val="single" w:color="000000" w:sz="4" w:space="0"/>
            </w:tcBorders>
            <w:vAlign w:val="center"/>
          </w:tcPr>
          <w:p>
            <w:pPr>
              <w:spacing w:line="288" w:lineRule="auto"/>
              <w:jc w:val="center"/>
              <w:rPr>
                <w:sz w:val="27"/>
                <w:highlight w:val="none"/>
              </w:rPr>
            </w:pPr>
            <w:r>
              <w:rPr>
                <w:rFonts w:hint="eastAsia" w:ascii="Calibri" w:hAnsi="Calibri" w:eastAsia="Calibri"/>
                <w:color w:val="000000"/>
                <w:sz w:val="27"/>
                <w:highlight w:val="none"/>
              </w:rPr>
              <w:t>5</w:t>
            </w:r>
          </w:p>
        </w:tc>
        <w:tc>
          <w:tcPr>
            <w:tcW w:w="3060" w:type="dxa"/>
            <w:tcBorders>
              <w:top w:val="single" w:color="000000" w:sz="4" w:space="0"/>
              <w:left w:val="single" w:color="000000" w:sz="4" w:space="0"/>
              <w:bottom w:val="single" w:color="000000" w:sz="4" w:space="0"/>
              <w:right w:val="single" w:color="000000" w:sz="4" w:space="0"/>
            </w:tcBorders>
            <w:vAlign w:val="center"/>
          </w:tcPr>
          <w:p>
            <w:pPr>
              <w:spacing w:line="288" w:lineRule="auto"/>
              <w:ind w:firstLine="0"/>
              <w:jc w:val="both"/>
              <w:rPr>
                <w:rFonts w:hint="eastAsia" w:eastAsia="宋体"/>
                <w:sz w:val="27"/>
                <w:highlight w:val="none"/>
                <w:lang w:val="en-US" w:eastAsia="zh-CN"/>
              </w:rPr>
            </w:pPr>
            <w:r>
              <w:rPr>
                <w:b w:val="0"/>
                <w:bCs w:val="0"/>
                <w:color w:val="auto"/>
                <w:highlight w:val="none"/>
              </w:rPr>
              <w:t>...</w:t>
            </w:r>
          </w:p>
        </w:tc>
        <w:tc>
          <w:tcPr>
            <w:tcW w:w="21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56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pPr>
              <w:rPr>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40" w:hRule="atLeast"/>
          <w:jc w:val="center"/>
        </w:trPr>
        <w:tc>
          <w:tcPr>
            <w:tcW w:w="4180" w:type="dxa"/>
            <w:gridSpan w:val="2"/>
            <w:tcBorders>
              <w:top w:val="single" w:color="000000" w:sz="4" w:space="0"/>
              <w:left w:val="single" w:color="000000" w:sz="4" w:space="0"/>
              <w:bottom w:val="single" w:color="000000" w:sz="4" w:space="0"/>
              <w:right w:val="single" w:color="000000" w:sz="4" w:space="0"/>
            </w:tcBorders>
            <w:vAlign w:val="center"/>
          </w:tcPr>
          <w:p>
            <w:pPr>
              <w:spacing w:line="288" w:lineRule="auto"/>
              <w:jc w:val="center"/>
              <w:rPr>
                <w:sz w:val="27"/>
                <w:highlight w:val="none"/>
              </w:rPr>
            </w:pPr>
            <w:r>
              <w:rPr>
                <w:rFonts w:hint="eastAsia" w:ascii="宋体" w:hAnsi="宋体" w:eastAsia="宋体"/>
                <w:color w:val="000000"/>
                <w:sz w:val="27"/>
                <w:highlight w:val="none"/>
              </w:rPr>
              <w:t>合计金额</w:t>
            </w:r>
          </w:p>
        </w:tc>
        <w:tc>
          <w:tcPr>
            <w:tcW w:w="6180" w:type="dxa"/>
            <w:gridSpan w:val="4"/>
            <w:tcBorders>
              <w:top w:val="single" w:color="000000" w:sz="4" w:space="0"/>
              <w:left w:val="single" w:color="000000" w:sz="4" w:space="0"/>
              <w:bottom w:val="single" w:color="000000" w:sz="4" w:space="0"/>
              <w:right w:val="single" w:color="000000" w:sz="4" w:space="0"/>
            </w:tcBorders>
            <w:vAlign w:val="center"/>
          </w:tcPr>
          <w:p>
            <w:pPr>
              <w:spacing w:line="288" w:lineRule="auto"/>
              <w:ind w:firstLine="0"/>
              <w:jc w:val="both"/>
              <w:rPr>
                <w:sz w:val="27"/>
                <w:highlight w:val="none"/>
              </w:rPr>
            </w:pPr>
            <w:r>
              <w:rPr>
                <w:rFonts w:hint="eastAsia" w:ascii="宋体" w:hAnsi="宋体" w:eastAsia="宋体"/>
                <w:color w:val="000000"/>
                <w:sz w:val="27"/>
                <w:highlight w:val="none"/>
              </w:rPr>
              <w:t>小写：    大写：</w:t>
            </w:r>
          </w:p>
        </w:tc>
      </w:tr>
    </w:tbl>
    <w:p>
      <w:pPr>
        <w:spacing w:line="360" w:lineRule="auto"/>
        <w:ind w:firstLine="620"/>
        <w:jc w:val="both"/>
        <w:rPr>
          <w:sz w:val="21"/>
          <w:szCs w:val="21"/>
          <w:highlight w:val="none"/>
        </w:rPr>
      </w:pPr>
      <w:r>
        <w:rPr>
          <w:rFonts w:hint="eastAsia" w:ascii="宋体" w:hAnsi="宋体" w:eastAsia="宋体"/>
          <w:color w:val="000000"/>
          <w:sz w:val="21"/>
          <w:szCs w:val="21"/>
          <w:highlight w:val="none"/>
        </w:rPr>
        <w:t>注：</w:t>
      </w:r>
      <w:r>
        <w:rPr>
          <w:rFonts w:hint="eastAsia" w:ascii="Calibri" w:hAnsi="Calibri" w:eastAsia="Calibri"/>
          <w:color w:val="000000"/>
          <w:sz w:val="21"/>
          <w:szCs w:val="21"/>
          <w:highlight w:val="none"/>
        </w:rPr>
        <w:t>1</w:t>
      </w:r>
      <w:r>
        <w:rPr>
          <w:rFonts w:hint="eastAsia" w:ascii="宋体" w:hAnsi="宋体" w:eastAsia="宋体"/>
          <w:color w:val="000000"/>
          <w:sz w:val="21"/>
          <w:szCs w:val="21"/>
          <w:highlight w:val="none"/>
        </w:rPr>
        <w:t>、请在左上角注明投标车辆型号；</w:t>
      </w:r>
    </w:p>
    <w:p>
      <w:pPr>
        <w:spacing w:line="360" w:lineRule="auto"/>
        <w:ind w:firstLine="620"/>
        <w:jc w:val="both"/>
        <w:rPr>
          <w:sz w:val="21"/>
          <w:szCs w:val="21"/>
          <w:highlight w:val="none"/>
        </w:rPr>
      </w:pPr>
      <w:r>
        <w:rPr>
          <w:rFonts w:hint="eastAsia" w:ascii="Calibri" w:hAnsi="Calibri" w:eastAsia="Calibri"/>
          <w:color w:val="000000"/>
          <w:sz w:val="21"/>
          <w:szCs w:val="21"/>
          <w:highlight w:val="none"/>
        </w:rPr>
        <w:t>2</w:t>
      </w:r>
      <w:r>
        <w:rPr>
          <w:rFonts w:hint="eastAsia" w:ascii="宋体" w:hAnsi="宋体" w:eastAsia="宋体"/>
          <w:color w:val="000000"/>
          <w:sz w:val="21"/>
          <w:szCs w:val="21"/>
          <w:highlight w:val="none"/>
        </w:rPr>
        <w:t>．表中根据所投货物类型分项列明底盘、其他主要设备和安装调试费、首次保养及其他费用等的分项报价，合计金额应当与</w:t>
      </w:r>
      <w:r>
        <w:rPr>
          <w:rFonts w:hint="eastAsia" w:ascii="Calibri" w:hAnsi="Calibri" w:eastAsia="Calibri"/>
          <w:color w:val="000000"/>
          <w:sz w:val="21"/>
          <w:szCs w:val="21"/>
          <w:highlight w:val="none"/>
        </w:rPr>
        <w:t>2</w:t>
      </w:r>
      <w:r>
        <w:rPr>
          <w:rFonts w:hint="eastAsia" w:ascii="宋体" w:hAnsi="宋体" w:eastAsia="宋体"/>
          <w:color w:val="000000"/>
          <w:sz w:val="21"/>
          <w:szCs w:val="21"/>
          <w:highlight w:val="none"/>
        </w:rPr>
        <w:t>.</w:t>
      </w:r>
      <w:r>
        <w:rPr>
          <w:rFonts w:hint="eastAsia" w:ascii="Calibri" w:hAnsi="Calibri" w:eastAsia="Calibri"/>
          <w:color w:val="000000"/>
          <w:sz w:val="21"/>
          <w:szCs w:val="21"/>
          <w:highlight w:val="none"/>
        </w:rPr>
        <w:t>1</w:t>
      </w:r>
      <w:r>
        <w:rPr>
          <w:rFonts w:hint="eastAsia" w:ascii="宋体" w:hAnsi="宋体" w:eastAsia="宋体"/>
          <w:color w:val="000000"/>
          <w:sz w:val="21"/>
          <w:szCs w:val="21"/>
          <w:highlight w:val="none"/>
        </w:rPr>
        <w:t>车辆报价表中同类型货物单价相同；</w:t>
      </w:r>
    </w:p>
    <w:p>
      <w:pPr>
        <w:spacing w:line="360" w:lineRule="auto"/>
        <w:ind w:firstLine="620"/>
        <w:jc w:val="both"/>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3．所有货物的价格应包含货物及配置产品的设计、采购、制造、检测、试验、包装、运输、保险、税费和原厂服务内容的检验、验收、技术服务（包括技术资料、图纸的提供）、全部的辅助材料费用、安装费、招标代理服务费、首保费、质保期保障等的全部费用。所有价格均应以人民币报价，金额单位为元；</w:t>
      </w:r>
    </w:p>
    <w:p>
      <w:pPr>
        <w:spacing w:line="360" w:lineRule="auto"/>
        <w:ind w:firstLine="620"/>
        <w:jc w:val="both"/>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4．投标人在编写投标文件时，如果遇到技术参数内的产品名称／设备名称与投标产品的商品名称不一致的，须在“备注”内写明商品名称。</w:t>
      </w:r>
    </w:p>
    <w:p>
      <w:pPr>
        <w:pStyle w:val="7"/>
        <w:spacing w:before="2" w:line="360" w:lineRule="auto"/>
        <w:rPr>
          <w:color w:val="auto"/>
          <w:sz w:val="19"/>
          <w:highlight w:val="none"/>
        </w:rPr>
      </w:pPr>
    </w:p>
    <w:p>
      <w:pPr>
        <w:spacing w:line="360" w:lineRule="auto"/>
        <w:ind w:firstLine="2880" w:firstLineChars="1200"/>
        <w:jc w:val="left"/>
        <w:rPr>
          <w:rFonts w:ascii="宋体" w:cs="宋体"/>
          <w:color w:val="auto"/>
          <w:sz w:val="24"/>
          <w:highlight w:val="none"/>
        </w:rPr>
      </w:pPr>
      <w:r>
        <w:rPr>
          <w:rFonts w:hint="eastAsia" w:ascii="宋体" w:hAnsi="宋体" w:cs="宋体"/>
          <w:color w:val="auto"/>
          <w:sz w:val="24"/>
          <w:highlight w:val="none"/>
          <w:lang w:eastAsia="zh-CN"/>
        </w:rPr>
        <w:t>投标人</w:t>
      </w:r>
      <w:r>
        <w:rPr>
          <w:rFonts w:hint="eastAsia" w:ascii="宋体" w:hAnsi="宋体" w:cs="宋体"/>
          <w:color w:val="auto"/>
          <w:sz w:val="24"/>
          <w:highlight w:val="none"/>
        </w:rPr>
        <w:t>：</w:t>
      </w:r>
      <w:r>
        <w:rPr>
          <w:rFonts w:ascii="宋体" w:hAnsi="宋体" w:cs="宋体"/>
          <w:color w:val="auto"/>
          <w:sz w:val="24"/>
          <w:highlight w:val="none"/>
          <w:u w:val="single"/>
        </w:rPr>
        <w:t xml:space="preserve">                       </w:t>
      </w:r>
      <w:r>
        <w:rPr>
          <w:rFonts w:hint="eastAsia" w:ascii="宋体" w:hAnsi="宋体" w:cs="宋体"/>
          <w:color w:val="auto"/>
          <w:sz w:val="24"/>
          <w:highlight w:val="none"/>
        </w:rPr>
        <w:t>（电子签章）</w:t>
      </w:r>
    </w:p>
    <w:p>
      <w:pPr>
        <w:spacing w:line="360" w:lineRule="auto"/>
        <w:ind w:firstLine="2880" w:firstLineChars="1200"/>
        <w:jc w:val="left"/>
        <w:rPr>
          <w:rFonts w:ascii="宋体" w:cs="宋体"/>
          <w:color w:val="auto"/>
          <w:sz w:val="24"/>
          <w:highlight w:val="non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（电子签章</w:t>
      </w:r>
      <w:r>
        <w:rPr>
          <w:rFonts w:hint="eastAsia" w:ascii="宋体" w:hAnsi="宋体" w:cs="宋体"/>
          <w:color w:val="auto"/>
          <w:kern w:val="0"/>
          <w:sz w:val="24"/>
          <w:highlight w:val="none"/>
        </w:rPr>
        <w:t>或签字</w:t>
      </w:r>
      <w:r>
        <w:rPr>
          <w:rFonts w:hint="eastAsia" w:ascii="宋体" w:hAnsi="宋体" w:cs="宋体"/>
          <w:color w:val="auto"/>
          <w:sz w:val="24"/>
          <w:highlight w:val="none"/>
        </w:rPr>
        <w:t>）</w:t>
      </w:r>
    </w:p>
    <w:p>
      <w:pPr>
        <w:wordWrap w:val="0"/>
        <w:spacing w:line="360" w:lineRule="auto"/>
        <w:ind w:firstLine="3120" w:firstLineChars="1300"/>
        <w:rPr>
          <w:rFonts w:ascii="宋体" w:cs="宋体"/>
          <w:color w:val="auto"/>
          <w:sz w:val="24"/>
          <w:highlight w:val="none"/>
        </w:rPr>
      </w:pPr>
      <w:r>
        <w:rPr>
          <w:rFonts w:hint="eastAsia" w:ascii="宋体" w:hAnsi="宋体" w:cs="宋体"/>
          <w:color w:val="auto"/>
          <w:sz w:val="24"/>
          <w:highlight w:val="none"/>
        </w:rPr>
        <w:t>日</w:t>
      </w:r>
      <w:r>
        <w:rPr>
          <w:rFonts w:ascii="宋体" w:hAnsi="宋体" w:cs="宋体"/>
          <w:color w:val="auto"/>
          <w:sz w:val="24"/>
          <w:highlight w:val="none"/>
        </w:rPr>
        <w:t xml:space="preserve">  </w:t>
      </w:r>
      <w:r>
        <w:rPr>
          <w:rFonts w:hint="eastAsia" w:ascii="宋体" w:hAnsi="宋体" w:cs="宋体"/>
          <w:color w:val="auto"/>
          <w:sz w:val="24"/>
          <w:highlight w:val="none"/>
        </w:rPr>
        <w:t>期：</w:t>
      </w:r>
      <w:r>
        <w:rPr>
          <w:rFonts w:ascii="宋体" w:hAnsi="宋体" w:cs="宋体"/>
          <w:color w:val="auto"/>
          <w:sz w:val="24"/>
          <w:highlight w:val="none"/>
        </w:rPr>
        <w:t xml:space="preserve">     </w:t>
      </w:r>
      <w:r>
        <w:rPr>
          <w:rFonts w:hint="eastAsia" w:ascii="宋体" w:hAnsi="宋体" w:cs="宋体"/>
          <w:color w:val="auto"/>
          <w:sz w:val="24"/>
          <w:highlight w:val="none"/>
        </w:rPr>
        <w:t>年</w:t>
      </w:r>
      <w:r>
        <w:rPr>
          <w:rFonts w:ascii="宋体" w:hAnsi="宋体" w:cs="宋体"/>
          <w:color w:val="auto"/>
          <w:sz w:val="24"/>
          <w:highlight w:val="none"/>
        </w:rPr>
        <w:t xml:space="preserve">     </w:t>
      </w:r>
      <w:r>
        <w:rPr>
          <w:rFonts w:hint="eastAsia" w:ascii="宋体" w:hAnsi="宋体" w:cs="宋体"/>
          <w:color w:val="auto"/>
          <w:sz w:val="24"/>
          <w:highlight w:val="none"/>
        </w:rPr>
        <w:t>月</w:t>
      </w:r>
      <w:r>
        <w:rPr>
          <w:rFonts w:ascii="宋体" w:hAnsi="宋体" w:cs="宋体"/>
          <w:color w:val="auto"/>
          <w:sz w:val="24"/>
          <w:highlight w:val="none"/>
        </w:rPr>
        <w:t xml:space="preserve">     </w:t>
      </w:r>
      <w:r>
        <w:rPr>
          <w:rFonts w:hint="eastAsia" w:ascii="宋体" w:hAnsi="宋体" w:cs="宋体"/>
          <w:color w:val="auto"/>
          <w:sz w:val="24"/>
          <w:highlight w:val="none"/>
        </w:rPr>
        <w:t>日</w:t>
      </w:r>
    </w:p>
    <w:p>
      <w:pPr>
        <w:rPr>
          <w:rFonts w:hint="eastAsia"/>
          <w:highlight w:val="none"/>
        </w:rPr>
      </w:pPr>
      <w:bookmarkStart w:id="491" w:name="_Toc75"/>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rPr>
          <w:rFonts w:hint="eastAsia"/>
          <w:highlight w:val="none"/>
        </w:rPr>
      </w:pPr>
    </w:p>
    <w:p>
      <w:pPr>
        <w:spacing w:before="54" w:line="360" w:lineRule="auto"/>
        <w:ind w:left="6"/>
        <w:jc w:val="center"/>
        <w:outlineLvl w:val="1"/>
        <w:rPr>
          <w:b/>
          <w:color w:val="auto"/>
          <w:w w:val="95"/>
          <w:sz w:val="32"/>
          <w:highlight w:val="none"/>
        </w:rPr>
      </w:pPr>
      <w:bookmarkStart w:id="492" w:name="_Toc9250"/>
      <w:bookmarkStart w:id="493" w:name="_Toc25454"/>
      <w:r>
        <w:rPr>
          <w:rFonts w:hint="eastAsia"/>
          <w:b/>
          <w:color w:val="auto"/>
          <w:w w:val="95"/>
          <w:sz w:val="32"/>
          <w:highlight w:val="none"/>
        </w:rPr>
        <w:t>二、法定代表人身份证明</w:t>
      </w:r>
      <w:bookmarkEnd w:id="491"/>
      <w:bookmarkEnd w:id="492"/>
      <w:bookmarkEnd w:id="493"/>
    </w:p>
    <w:p>
      <w:pPr>
        <w:pStyle w:val="7"/>
        <w:spacing w:line="360" w:lineRule="auto"/>
        <w:rPr>
          <w:b/>
          <w:color w:val="auto"/>
          <w:sz w:val="32"/>
          <w:highlight w:val="none"/>
        </w:rPr>
      </w:pPr>
    </w:p>
    <w:p>
      <w:pPr>
        <w:spacing w:line="360" w:lineRule="auto"/>
        <w:jc w:val="left"/>
        <w:rPr>
          <w:rFonts w:ascii="宋体" w:cs="宋体"/>
          <w:color w:val="auto"/>
          <w:sz w:val="24"/>
          <w:szCs w:val="32"/>
          <w:highlight w:val="none"/>
        </w:rPr>
      </w:pPr>
      <w:r>
        <w:rPr>
          <w:rFonts w:hint="eastAsia" w:ascii="宋体" w:hAnsi="宋体" w:cs="宋体"/>
          <w:color w:val="auto"/>
          <w:sz w:val="24"/>
          <w:szCs w:val="32"/>
          <w:highlight w:val="none"/>
          <w:lang w:eastAsia="zh-CN"/>
        </w:rPr>
        <w:t>投标人</w:t>
      </w:r>
      <w:r>
        <w:rPr>
          <w:rFonts w:hint="eastAsia" w:ascii="宋体" w:hAnsi="宋体" w:cs="宋体"/>
          <w:color w:val="auto"/>
          <w:sz w:val="24"/>
          <w:szCs w:val="32"/>
          <w:highlight w:val="none"/>
        </w:rPr>
        <w:t>名称：</w:t>
      </w:r>
      <w:r>
        <w:rPr>
          <w:rFonts w:ascii="宋体" w:hAnsi="宋体" w:cs="宋体"/>
          <w:color w:val="auto"/>
          <w:sz w:val="24"/>
          <w:szCs w:val="32"/>
          <w:highlight w:val="none"/>
          <w:u w:val="single"/>
        </w:rPr>
        <w:t xml:space="preserve">                         </w:t>
      </w:r>
    </w:p>
    <w:p>
      <w:pPr>
        <w:spacing w:line="360" w:lineRule="auto"/>
        <w:jc w:val="left"/>
        <w:rPr>
          <w:rFonts w:ascii="宋体" w:cs="宋体"/>
          <w:color w:val="auto"/>
          <w:sz w:val="24"/>
          <w:szCs w:val="32"/>
          <w:highlight w:val="none"/>
        </w:rPr>
      </w:pPr>
      <w:r>
        <w:rPr>
          <w:rFonts w:hint="eastAsia" w:ascii="宋体" w:hAnsi="宋体" w:cs="宋体"/>
          <w:color w:val="auto"/>
          <w:sz w:val="24"/>
          <w:szCs w:val="32"/>
          <w:highlight w:val="none"/>
        </w:rPr>
        <w:t>单位性质：</w:t>
      </w:r>
      <w:r>
        <w:rPr>
          <w:rFonts w:ascii="宋体" w:hAnsi="宋体" w:cs="宋体"/>
          <w:color w:val="auto"/>
          <w:sz w:val="24"/>
          <w:szCs w:val="32"/>
          <w:highlight w:val="none"/>
          <w:u w:val="single"/>
        </w:rPr>
        <w:t xml:space="preserve">                           </w:t>
      </w:r>
    </w:p>
    <w:p>
      <w:pPr>
        <w:spacing w:line="360" w:lineRule="auto"/>
        <w:jc w:val="left"/>
        <w:rPr>
          <w:rFonts w:ascii="宋体" w:cs="宋体"/>
          <w:color w:val="auto"/>
          <w:sz w:val="24"/>
          <w:szCs w:val="32"/>
          <w:highlight w:val="none"/>
        </w:rPr>
      </w:pPr>
      <w:r>
        <w:rPr>
          <w:rFonts w:hint="eastAsia" w:ascii="宋体" w:hAnsi="宋体" w:cs="宋体"/>
          <w:color w:val="auto"/>
          <w:sz w:val="24"/>
          <w:szCs w:val="32"/>
          <w:highlight w:val="none"/>
        </w:rPr>
        <w:t>地址：</w:t>
      </w:r>
      <w:r>
        <w:rPr>
          <w:rFonts w:ascii="宋体" w:hAnsi="宋体" w:cs="宋体"/>
          <w:color w:val="auto"/>
          <w:sz w:val="24"/>
          <w:szCs w:val="32"/>
          <w:highlight w:val="none"/>
          <w:u w:val="single"/>
        </w:rPr>
        <w:t xml:space="preserve">                               </w:t>
      </w:r>
    </w:p>
    <w:p>
      <w:pPr>
        <w:spacing w:line="360" w:lineRule="auto"/>
        <w:jc w:val="left"/>
        <w:rPr>
          <w:rFonts w:ascii="宋体" w:cs="宋体"/>
          <w:color w:val="auto"/>
          <w:sz w:val="24"/>
          <w:szCs w:val="32"/>
          <w:highlight w:val="none"/>
        </w:rPr>
      </w:pPr>
      <w:r>
        <w:rPr>
          <w:rFonts w:hint="eastAsia" w:ascii="宋体" w:hAnsi="宋体" w:cs="宋体"/>
          <w:color w:val="auto"/>
          <w:sz w:val="24"/>
          <w:szCs w:val="32"/>
          <w:highlight w:val="none"/>
        </w:rPr>
        <w:t>成立时间：</w:t>
      </w:r>
      <w:r>
        <w:rPr>
          <w:rFonts w:ascii="宋体" w:hAnsi="宋体" w:cs="宋体"/>
          <w:color w:val="auto"/>
          <w:sz w:val="24"/>
          <w:szCs w:val="32"/>
          <w:highlight w:val="none"/>
          <w:u w:val="single"/>
        </w:rPr>
        <w:t xml:space="preserve">     </w:t>
      </w:r>
      <w:r>
        <w:rPr>
          <w:rFonts w:hint="eastAsia" w:ascii="宋体" w:hAnsi="宋体" w:cs="宋体"/>
          <w:color w:val="auto"/>
          <w:sz w:val="24"/>
          <w:szCs w:val="32"/>
          <w:highlight w:val="none"/>
        </w:rPr>
        <w:t>年</w:t>
      </w:r>
      <w:r>
        <w:rPr>
          <w:rFonts w:ascii="宋体" w:hAnsi="宋体" w:cs="宋体"/>
          <w:color w:val="auto"/>
          <w:sz w:val="24"/>
          <w:szCs w:val="32"/>
          <w:highlight w:val="none"/>
          <w:u w:val="single"/>
        </w:rPr>
        <w:t xml:space="preserve">     </w:t>
      </w:r>
      <w:r>
        <w:rPr>
          <w:rFonts w:hint="eastAsia" w:ascii="宋体" w:hAnsi="宋体" w:cs="宋体"/>
          <w:color w:val="auto"/>
          <w:sz w:val="24"/>
          <w:szCs w:val="32"/>
          <w:highlight w:val="none"/>
        </w:rPr>
        <w:t>月</w:t>
      </w:r>
      <w:r>
        <w:rPr>
          <w:rFonts w:ascii="宋体" w:hAnsi="宋体" w:cs="宋体"/>
          <w:color w:val="auto"/>
          <w:sz w:val="24"/>
          <w:szCs w:val="32"/>
          <w:highlight w:val="none"/>
          <w:u w:val="single"/>
        </w:rPr>
        <w:t xml:space="preserve">     </w:t>
      </w:r>
      <w:r>
        <w:rPr>
          <w:rFonts w:hint="eastAsia" w:ascii="宋体" w:hAnsi="宋体" w:cs="宋体"/>
          <w:color w:val="auto"/>
          <w:sz w:val="24"/>
          <w:szCs w:val="32"/>
          <w:highlight w:val="none"/>
        </w:rPr>
        <w:t>日</w:t>
      </w:r>
    </w:p>
    <w:p>
      <w:pPr>
        <w:spacing w:line="360" w:lineRule="auto"/>
        <w:jc w:val="left"/>
        <w:rPr>
          <w:rFonts w:ascii="宋体" w:cs="宋体"/>
          <w:color w:val="auto"/>
          <w:sz w:val="24"/>
          <w:szCs w:val="32"/>
          <w:highlight w:val="none"/>
        </w:rPr>
      </w:pPr>
      <w:r>
        <w:rPr>
          <w:rFonts w:hint="eastAsia" w:ascii="宋体" w:hAnsi="宋体" w:cs="宋体"/>
          <w:color w:val="auto"/>
          <w:sz w:val="24"/>
          <w:szCs w:val="32"/>
          <w:highlight w:val="none"/>
        </w:rPr>
        <w:t>经营期限：</w:t>
      </w:r>
      <w:r>
        <w:rPr>
          <w:rFonts w:ascii="宋体" w:hAnsi="宋体" w:cs="宋体"/>
          <w:color w:val="auto"/>
          <w:sz w:val="24"/>
          <w:szCs w:val="32"/>
          <w:highlight w:val="none"/>
          <w:u w:val="single"/>
        </w:rPr>
        <w:t xml:space="preserve">                           </w:t>
      </w:r>
    </w:p>
    <w:p>
      <w:pPr>
        <w:spacing w:line="360" w:lineRule="auto"/>
        <w:jc w:val="left"/>
        <w:rPr>
          <w:rFonts w:ascii="宋体" w:cs="宋体"/>
          <w:color w:val="auto"/>
          <w:sz w:val="24"/>
          <w:szCs w:val="32"/>
          <w:highlight w:val="none"/>
        </w:rPr>
      </w:pPr>
      <w:r>
        <w:rPr>
          <w:rFonts w:hint="eastAsia" w:ascii="宋体" w:hAnsi="宋体" w:cs="宋体"/>
          <w:color w:val="auto"/>
          <w:sz w:val="24"/>
          <w:szCs w:val="32"/>
          <w:highlight w:val="none"/>
        </w:rPr>
        <w:t>姓名：</w:t>
      </w:r>
      <w:r>
        <w:rPr>
          <w:rFonts w:ascii="宋体" w:hAnsi="宋体" w:cs="宋体"/>
          <w:color w:val="auto"/>
          <w:sz w:val="24"/>
          <w:szCs w:val="32"/>
          <w:highlight w:val="none"/>
          <w:u w:val="single"/>
        </w:rPr>
        <w:t xml:space="preserve">          </w:t>
      </w:r>
      <w:r>
        <w:rPr>
          <w:rFonts w:hint="eastAsia" w:ascii="宋体" w:hAnsi="宋体" w:cs="宋体"/>
          <w:color w:val="auto"/>
          <w:sz w:val="24"/>
          <w:szCs w:val="32"/>
          <w:highlight w:val="none"/>
        </w:rPr>
        <w:t>性别：</w:t>
      </w:r>
      <w:r>
        <w:rPr>
          <w:rFonts w:ascii="宋体" w:hAnsi="宋体" w:cs="宋体"/>
          <w:color w:val="auto"/>
          <w:sz w:val="24"/>
          <w:szCs w:val="32"/>
          <w:highlight w:val="none"/>
          <w:u w:val="single"/>
        </w:rPr>
        <w:t xml:space="preserve">          </w:t>
      </w:r>
      <w:r>
        <w:rPr>
          <w:rFonts w:hint="eastAsia" w:ascii="宋体" w:hAnsi="宋体" w:cs="宋体"/>
          <w:color w:val="auto"/>
          <w:sz w:val="24"/>
          <w:szCs w:val="32"/>
          <w:highlight w:val="none"/>
        </w:rPr>
        <w:t>年龄：</w:t>
      </w:r>
      <w:r>
        <w:rPr>
          <w:rFonts w:ascii="宋体" w:hAnsi="宋体" w:cs="宋体"/>
          <w:color w:val="auto"/>
          <w:sz w:val="24"/>
          <w:szCs w:val="32"/>
          <w:highlight w:val="none"/>
          <w:u w:val="single"/>
        </w:rPr>
        <w:t xml:space="preserve">          </w:t>
      </w:r>
      <w:r>
        <w:rPr>
          <w:rFonts w:hint="eastAsia" w:ascii="宋体" w:hAnsi="宋体" w:cs="宋体"/>
          <w:color w:val="auto"/>
          <w:sz w:val="24"/>
          <w:szCs w:val="32"/>
          <w:highlight w:val="none"/>
        </w:rPr>
        <w:t>职务：</w:t>
      </w:r>
      <w:r>
        <w:rPr>
          <w:rFonts w:ascii="宋体" w:hAnsi="宋体" w:cs="宋体"/>
          <w:color w:val="auto"/>
          <w:sz w:val="24"/>
          <w:szCs w:val="32"/>
          <w:highlight w:val="none"/>
          <w:u w:val="single"/>
        </w:rPr>
        <w:t xml:space="preserve">          </w:t>
      </w:r>
    </w:p>
    <w:p>
      <w:pPr>
        <w:spacing w:line="360" w:lineRule="auto"/>
        <w:jc w:val="left"/>
        <w:rPr>
          <w:rFonts w:ascii="宋体" w:cs="宋体"/>
          <w:color w:val="auto"/>
          <w:sz w:val="24"/>
          <w:szCs w:val="32"/>
          <w:highlight w:val="none"/>
        </w:rPr>
      </w:pPr>
      <w:r>
        <w:rPr>
          <w:rFonts w:hint="eastAsia" w:ascii="宋体" w:hAnsi="宋体" w:cs="宋体"/>
          <w:color w:val="auto"/>
          <w:sz w:val="24"/>
          <w:szCs w:val="32"/>
          <w:highlight w:val="none"/>
        </w:rPr>
        <w:t>系</w:t>
      </w:r>
      <w:r>
        <w:rPr>
          <w:rFonts w:ascii="宋体" w:hAnsi="宋体" w:cs="宋体"/>
          <w:color w:val="auto"/>
          <w:sz w:val="24"/>
          <w:szCs w:val="32"/>
          <w:highlight w:val="none"/>
          <w:u w:val="single"/>
        </w:rPr>
        <w:t xml:space="preserve">                         </w:t>
      </w:r>
      <w:r>
        <w:rPr>
          <w:rFonts w:hint="eastAsia" w:ascii="宋体" w:hAnsi="宋体" w:cs="宋体"/>
          <w:color w:val="auto"/>
          <w:sz w:val="24"/>
          <w:szCs w:val="32"/>
          <w:highlight w:val="none"/>
        </w:rPr>
        <w:t>（</w:t>
      </w:r>
      <w:r>
        <w:rPr>
          <w:rFonts w:hint="eastAsia" w:ascii="宋体" w:hAnsi="宋体" w:cs="宋体"/>
          <w:color w:val="auto"/>
          <w:sz w:val="24"/>
          <w:szCs w:val="32"/>
          <w:highlight w:val="none"/>
          <w:lang w:eastAsia="zh-CN"/>
        </w:rPr>
        <w:t>投标人</w:t>
      </w:r>
      <w:r>
        <w:rPr>
          <w:rFonts w:hint="eastAsia" w:ascii="宋体" w:hAnsi="宋体" w:cs="宋体"/>
          <w:color w:val="auto"/>
          <w:sz w:val="24"/>
          <w:szCs w:val="32"/>
          <w:highlight w:val="none"/>
        </w:rPr>
        <w:t>名称）的法定代表人。</w:t>
      </w:r>
    </w:p>
    <w:p>
      <w:pPr>
        <w:spacing w:line="360" w:lineRule="auto"/>
        <w:jc w:val="left"/>
        <w:rPr>
          <w:rFonts w:ascii="宋体" w:cs="宋体"/>
          <w:color w:val="auto"/>
          <w:sz w:val="24"/>
          <w:szCs w:val="32"/>
          <w:highlight w:val="none"/>
        </w:rPr>
      </w:pPr>
      <w:r>
        <w:rPr>
          <w:rFonts w:hint="eastAsia" w:ascii="宋体" w:hAnsi="宋体" w:cs="宋体"/>
          <w:color w:val="auto"/>
          <w:sz w:val="24"/>
          <w:szCs w:val="32"/>
          <w:highlight w:val="none"/>
        </w:rPr>
        <w:t>特此证明。</w:t>
      </w:r>
    </w:p>
    <w:p>
      <w:pPr>
        <w:adjustRightInd w:val="0"/>
        <w:snapToGrid w:val="0"/>
        <w:spacing w:line="360" w:lineRule="auto"/>
        <w:ind w:right="-82" w:rightChars="-39"/>
        <w:jc w:val="left"/>
        <w:rPr>
          <w:rFonts w:ascii="宋体" w:cs="宋体"/>
          <w:color w:val="auto"/>
          <w:sz w:val="24"/>
          <w:highlight w:val="none"/>
        </w:rPr>
      </w:pPr>
    </w:p>
    <w:p>
      <w:pPr>
        <w:spacing w:line="360" w:lineRule="auto"/>
        <w:jc w:val="left"/>
        <w:rPr>
          <w:rFonts w:ascii="宋体" w:cs="宋体"/>
          <w:color w:val="auto"/>
          <w:sz w:val="24"/>
          <w:szCs w:val="32"/>
          <w:highlight w:val="none"/>
        </w:rPr>
      </w:pPr>
      <w:r>
        <w:rPr>
          <w:rFonts w:hint="eastAsia" w:ascii="宋体" w:hAnsi="宋体" w:cs="宋体"/>
          <w:color w:val="auto"/>
          <w:sz w:val="24"/>
          <w:szCs w:val="32"/>
          <w:highlight w:val="none"/>
        </w:rPr>
        <w:t>附：法定代表人身份证复印件（或扫描件），正反面。</w:t>
      </w:r>
    </w:p>
    <w:p>
      <w:pPr>
        <w:pStyle w:val="7"/>
        <w:spacing w:line="360" w:lineRule="auto"/>
        <w:rPr>
          <w:color w:val="auto"/>
          <w:highlight w:val="none"/>
        </w:rPr>
      </w:pPr>
    </w:p>
    <w:p>
      <w:pPr>
        <w:pStyle w:val="7"/>
        <w:spacing w:line="360" w:lineRule="auto"/>
        <w:rPr>
          <w:color w:val="auto"/>
          <w:highlight w:val="none"/>
        </w:rPr>
      </w:pPr>
    </w:p>
    <w:p>
      <w:pPr>
        <w:spacing w:line="360" w:lineRule="auto"/>
        <w:ind w:left="0" w:leftChars="0" w:firstLine="1898" w:firstLineChars="791"/>
        <w:jc w:val="left"/>
        <w:rPr>
          <w:rFonts w:ascii="宋体" w:cs="宋体"/>
          <w:color w:val="auto"/>
          <w:sz w:val="24"/>
          <w:highlight w:val="none"/>
        </w:rPr>
      </w:pPr>
      <w:r>
        <w:rPr>
          <w:rFonts w:hint="eastAsia" w:ascii="宋体" w:hAnsi="宋体" w:cs="宋体"/>
          <w:color w:val="auto"/>
          <w:sz w:val="24"/>
          <w:highlight w:val="none"/>
          <w:lang w:eastAsia="zh-CN"/>
        </w:rPr>
        <w:t>投标人</w:t>
      </w:r>
      <w:r>
        <w:rPr>
          <w:rFonts w:hint="eastAsia" w:ascii="宋体" w:hAnsi="宋体" w:cs="宋体"/>
          <w:color w:val="auto"/>
          <w:sz w:val="24"/>
          <w:highlight w:val="none"/>
        </w:rPr>
        <w:t>：</w:t>
      </w:r>
      <w:r>
        <w:rPr>
          <w:rFonts w:ascii="宋体" w:hAnsi="宋体" w:cs="宋体"/>
          <w:color w:val="auto"/>
          <w:sz w:val="24"/>
          <w:highlight w:val="none"/>
          <w:u w:val="single"/>
        </w:rPr>
        <w:t xml:space="preserve">                          </w:t>
      </w:r>
      <w:r>
        <w:rPr>
          <w:rFonts w:hint="eastAsia" w:ascii="宋体" w:hAnsi="宋体" w:cs="宋体"/>
          <w:color w:val="auto"/>
          <w:sz w:val="24"/>
          <w:highlight w:val="none"/>
        </w:rPr>
        <w:t>（电子签章）</w:t>
      </w:r>
    </w:p>
    <w:p>
      <w:pPr>
        <w:spacing w:line="360" w:lineRule="auto"/>
        <w:ind w:left="0" w:leftChars="0" w:firstLine="1898" w:firstLineChars="791"/>
        <w:jc w:val="left"/>
        <w:rPr>
          <w:rFonts w:ascii="宋体" w:cs="宋体"/>
          <w:color w:val="auto"/>
          <w:sz w:val="24"/>
          <w:highlight w:val="non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rPr>
        <w:t>（电子签章</w:t>
      </w:r>
      <w:r>
        <w:rPr>
          <w:rFonts w:hint="eastAsia" w:ascii="宋体" w:hAnsi="宋体" w:cs="宋体"/>
          <w:color w:val="auto"/>
          <w:kern w:val="0"/>
          <w:sz w:val="24"/>
          <w:highlight w:val="none"/>
        </w:rPr>
        <w:t>或签字</w:t>
      </w:r>
      <w:r>
        <w:rPr>
          <w:rFonts w:hint="eastAsia" w:ascii="宋体" w:hAnsi="宋体" w:cs="宋体"/>
          <w:color w:val="auto"/>
          <w:sz w:val="24"/>
          <w:highlight w:val="none"/>
        </w:rPr>
        <w:t>）</w:t>
      </w:r>
    </w:p>
    <w:p>
      <w:pPr>
        <w:wordWrap w:val="0"/>
        <w:spacing w:line="360" w:lineRule="auto"/>
        <w:ind w:firstLine="3120" w:firstLineChars="1300"/>
        <w:rPr>
          <w:rFonts w:ascii="宋体" w:cs="宋体"/>
          <w:color w:val="auto"/>
          <w:sz w:val="24"/>
          <w:highlight w:val="none"/>
        </w:rPr>
      </w:pPr>
      <w:r>
        <w:rPr>
          <w:rFonts w:hint="eastAsia" w:ascii="宋体" w:hAnsi="宋体" w:cs="宋体"/>
          <w:color w:val="auto"/>
          <w:sz w:val="24"/>
          <w:highlight w:val="none"/>
        </w:rPr>
        <w:t>日</w:t>
      </w:r>
      <w:r>
        <w:rPr>
          <w:rFonts w:ascii="宋体" w:hAnsi="宋体" w:cs="宋体"/>
          <w:color w:val="auto"/>
          <w:sz w:val="24"/>
          <w:highlight w:val="none"/>
        </w:rPr>
        <w:t xml:space="preserve">  </w:t>
      </w:r>
      <w:r>
        <w:rPr>
          <w:rFonts w:hint="eastAsia" w:ascii="宋体" w:hAnsi="宋体" w:cs="宋体"/>
          <w:color w:val="auto"/>
          <w:sz w:val="24"/>
          <w:highlight w:val="none"/>
        </w:rPr>
        <w:t>期：</w:t>
      </w:r>
      <w:r>
        <w:rPr>
          <w:rFonts w:ascii="宋体" w:hAnsi="宋体" w:cs="宋体"/>
          <w:color w:val="auto"/>
          <w:sz w:val="24"/>
          <w:highlight w:val="none"/>
        </w:rPr>
        <w:t xml:space="preserve">     </w:t>
      </w:r>
      <w:r>
        <w:rPr>
          <w:rFonts w:hint="eastAsia" w:ascii="宋体" w:hAnsi="宋体" w:cs="宋体"/>
          <w:color w:val="auto"/>
          <w:sz w:val="24"/>
          <w:highlight w:val="none"/>
        </w:rPr>
        <w:t>年</w:t>
      </w:r>
      <w:r>
        <w:rPr>
          <w:rFonts w:ascii="宋体" w:hAnsi="宋体" w:cs="宋体"/>
          <w:color w:val="auto"/>
          <w:sz w:val="24"/>
          <w:highlight w:val="none"/>
        </w:rPr>
        <w:t xml:space="preserve">     </w:t>
      </w:r>
      <w:r>
        <w:rPr>
          <w:rFonts w:hint="eastAsia" w:ascii="宋体" w:hAnsi="宋体" w:cs="宋体"/>
          <w:color w:val="auto"/>
          <w:sz w:val="24"/>
          <w:highlight w:val="none"/>
        </w:rPr>
        <w:t>月</w:t>
      </w:r>
      <w:r>
        <w:rPr>
          <w:rFonts w:ascii="宋体" w:hAnsi="宋体" w:cs="宋体"/>
          <w:color w:val="auto"/>
          <w:sz w:val="24"/>
          <w:highlight w:val="none"/>
        </w:rPr>
        <w:t xml:space="preserve">     </w:t>
      </w:r>
      <w:r>
        <w:rPr>
          <w:rFonts w:hint="eastAsia" w:ascii="宋体" w:hAnsi="宋体" w:cs="宋体"/>
          <w:color w:val="auto"/>
          <w:sz w:val="24"/>
          <w:highlight w:val="none"/>
        </w:rPr>
        <w:t>日</w:t>
      </w:r>
    </w:p>
    <w:p>
      <w:pPr>
        <w:pStyle w:val="12"/>
        <w:spacing w:line="360" w:lineRule="auto"/>
        <w:ind w:left="0" w:leftChars="0" w:right="31680" w:firstLine="0" w:firstLineChars="0"/>
        <w:rPr>
          <w:color w:val="auto"/>
          <w:highlight w:val="none"/>
        </w:rPr>
      </w:pPr>
    </w:p>
    <w:p>
      <w:pPr>
        <w:pStyle w:val="12"/>
        <w:spacing w:line="360" w:lineRule="auto"/>
        <w:ind w:left="0" w:leftChars="0" w:right="31680" w:firstLine="0" w:firstLineChars="0"/>
        <w:rPr>
          <w:color w:val="auto"/>
          <w:highlight w:val="none"/>
        </w:rPr>
      </w:pPr>
    </w:p>
    <w:p>
      <w:pPr>
        <w:pStyle w:val="12"/>
        <w:spacing w:line="360" w:lineRule="auto"/>
        <w:ind w:left="0" w:leftChars="0" w:right="31680" w:firstLine="0" w:firstLineChars="0"/>
        <w:rPr>
          <w:color w:val="auto"/>
          <w:highlight w:val="none"/>
        </w:rPr>
      </w:pPr>
    </w:p>
    <w:p>
      <w:pPr>
        <w:pStyle w:val="12"/>
        <w:spacing w:line="360" w:lineRule="auto"/>
        <w:ind w:left="0" w:leftChars="0" w:right="31680" w:firstLine="0" w:firstLineChars="0"/>
        <w:rPr>
          <w:color w:val="auto"/>
          <w:highlight w:val="none"/>
        </w:rPr>
      </w:pPr>
    </w:p>
    <w:p>
      <w:pPr>
        <w:pStyle w:val="12"/>
        <w:spacing w:line="360" w:lineRule="auto"/>
        <w:ind w:left="0" w:leftChars="0" w:right="31680" w:firstLine="0" w:firstLineChars="0"/>
        <w:rPr>
          <w:color w:val="auto"/>
          <w:highlight w:val="none"/>
        </w:rPr>
      </w:pPr>
    </w:p>
    <w:p>
      <w:pPr>
        <w:pStyle w:val="12"/>
        <w:spacing w:line="360" w:lineRule="auto"/>
        <w:ind w:left="0" w:leftChars="0" w:right="31680" w:firstLine="0" w:firstLineChars="0"/>
        <w:rPr>
          <w:color w:val="auto"/>
          <w:highlight w:val="none"/>
        </w:rPr>
      </w:pPr>
    </w:p>
    <w:p>
      <w:pPr>
        <w:pStyle w:val="12"/>
        <w:spacing w:line="360" w:lineRule="auto"/>
        <w:ind w:left="0" w:leftChars="0" w:right="31680" w:firstLine="0" w:firstLineChars="0"/>
        <w:rPr>
          <w:color w:val="auto"/>
          <w:highlight w:val="none"/>
        </w:rPr>
      </w:pPr>
    </w:p>
    <w:p>
      <w:pPr>
        <w:pStyle w:val="12"/>
        <w:spacing w:line="360" w:lineRule="auto"/>
        <w:ind w:left="0" w:leftChars="0" w:right="31680" w:firstLine="0" w:firstLineChars="0"/>
        <w:rPr>
          <w:color w:val="auto"/>
          <w:highlight w:val="none"/>
        </w:rPr>
      </w:pPr>
    </w:p>
    <w:p>
      <w:pPr>
        <w:pStyle w:val="12"/>
        <w:spacing w:line="360" w:lineRule="auto"/>
        <w:ind w:left="0" w:leftChars="0" w:right="31680" w:firstLine="0" w:firstLineChars="0"/>
        <w:rPr>
          <w:color w:val="auto"/>
          <w:highlight w:val="none"/>
        </w:rPr>
      </w:pPr>
    </w:p>
    <w:p>
      <w:pPr>
        <w:pStyle w:val="12"/>
        <w:spacing w:line="360" w:lineRule="auto"/>
        <w:ind w:left="0" w:leftChars="0" w:right="31680" w:firstLine="0" w:firstLineChars="0"/>
        <w:rPr>
          <w:color w:val="auto"/>
          <w:highlight w:val="none"/>
        </w:rPr>
      </w:pPr>
    </w:p>
    <w:p>
      <w:pPr>
        <w:pStyle w:val="12"/>
        <w:spacing w:line="360" w:lineRule="auto"/>
        <w:ind w:left="0" w:leftChars="0" w:right="31680" w:firstLine="0" w:firstLineChars="0"/>
        <w:rPr>
          <w:color w:val="auto"/>
          <w:highlight w:val="none"/>
        </w:rPr>
      </w:pPr>
    </w:p>
    <w:p>
      <w:pPr>
        <w:spacing w:before="54" w:line="360" w:lineRule="auto"/>
        <w:ind w:left="6"/>
        <w:jc w:val="center"/>
        <w:outlineLvl w:val="1"/>
        <w:rPr>
          <w:b/>
          <w:color w:val="auto"/>
          <w:w w:val="95"/>
          <w:sz w:val="32"/>
          <w:highlight w:val="none"/>
        </w:rPr>
      </w:pPr>
      <w:bookmarkStart w:id="494" w:name="_Toc27272"/>
      <w:bookmarkStart w:id="495" w:name="_Toc670"/>
      <w:bookmarkStart w:id="496" w:name="_Toc30731"/>
      <w:r>
        <w:rPr>
          <w:rFonts w:hint="eastAsia"/>
          <w:b/>
          <w:color w:val="auto"/>
          <w:w w:val="95"/>
          <w:sz w:val="32"/>
          <w:highlight w:val="none"/>
        </w:rPr>
        <w:t>三、授权委托书</w:t>
      </w:r>
      <w:bookmarkEnd w:id="494"/>
      <w:bookmarkEnd w:id="495"/>
      <w:bookmarkEnd w:id="496"/>
    </w:p>
    <w:p>
      <w:pPr>
        <w:snapToGrid w:val="0"/>
        <w:spacing w:line="360" w:lineRule="auto"/>
        <w:ind w:right="-1" w:firstLine="480" w:firstLineChars="200"/>
        <w:jc w:val="left"/>
        <w:rPr>
          <w:rFonts w:ascii="宋体" w:cs="宋体"/>
          <w:color w:val="auto"/>
          <w:sz w:val="24"/>
          <w:highlight w:val="none"/>
        </w:rPr>
      </w:pPr>
      <w:r>
        <w:rPr>
          <w:rFonts w:hint="eastAsia" w:ascii="宋体" w:hAnsi="宋体" w:cs="宋体"/>
          <w:color w:val="auto"/>
          <w:sz w:val="24"/>
          <w:highlight w:val="none"/>
        </w:rPr>
        <w:t>本人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（姓名、身份证号）</w:t>
      </w:r>
      <w:r>
        <w:rPr>
          <w:rFonts w:ascii="宋体" w:hAnsi="宋体" w:cs="宋体"/>
          <w:color w:val="auto"/>
          <w:sz w:val="24"/>
          <w:highlight w:val="none"/>
          <w:u w:val="single"/>
        </w:rPr>
        <w:t xml:space="preserve"> </w:t>
      </w:r>
      <w:r>
        <w:rPr>
          <w:rFonts w:hint="eastAsia" w:ascii="宋体" w:hAnsi="宋体" w:cs="宋体"/>
          <w:color w:val="auto"/>
          <w:sz w:val="24"/>
          <w:highlight w:val="none"/>
        </w:rPr>
        <w:t>系</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w:t>
      </w:r>
      <w:r>
        <w:rPr>
          <w:rFonts w:hint="eastAsia" w:ascii="宋体" w:hAnsi="宋体" w:cs="宋体"/>
          <w:color w:val="auto"/>
          <w:sz w:val="24"/>
          <w:highlight w:val="none"/>
          <w:u w:val="single"/>
          <w:lang w:eastAsia="zh-CN"/>
        </w:rPr>
        <w:t>投标人</w:t>
      </w:r>
      <w:r>
        <w:rPr>
          <w:rFonts w:hint="eastAsia" w:ascii="宋体" w:hAnsi="宋体" w:cs="宋体"/>
          <w:color w:val="auto"/>
          <w:sz w:val="24"/>
          <w:highlight w:val="none"/>
          <w:u w:val="single"/>
        </w:rPr>
        <w:t>名称）</w:t>
      </w:r>
      <w:r>
        <w:rPr>
          <w:rFonts w:ascii="宋体" w:hAnsi="宋体" w:cs="宋体"/>
          <w:color w:val="auto"/>
          <w:sz w:val="24"/>
          <w:highlight w:val="none"/>
          <w:u w:val="single"/>
        </w:rPr>
        <w:t xml:space="preserve"> </w:t>
      </w:r>
      <w:r>
        <w:rPr>
          <w:rFonts w:hint="eastAsia" w:ascii="宋体" w:hAnsi="宋体" w:cs="宋体"/>
          <w:color w:val="auto"/>
          <w:sz w:val="24"/>
          <w:highlight w:val="none"/>
        </w:rPr>
        <w:t>的法定代表人，现委托</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（姓名、身份证号）</w:t>
      </w:r>
      <w:r>
        <w:rPr>
          <w:rFonts w:ascii="宋体" w:hAnsi="宋体" w:cs="宋体"/>
          <w:color w:val="auto"/>
          <w:sz w:val="24"/>
          <w:highlight w:val="none"/>
          <w:u w:val="single"/>
        </w:rPr>
        <w:t xml:space="preserve"> </w:t>
      </w:r>
      <w:r>
        <w:rPr>
          <w:rFonts w:hint="eastAsia" w:ascii="宋体" w:hAnsi="宋体" w:cs="宋体"/>
          <w:color w:val="auto"/>
          <w:sz w:val="24"/>
          <w:highlight w:val="none"/>
        </w:rPr>
        <w:t>为我方代理人。代理人根据授权，以我方名义签署、澄清、说明、补正、递交、撤回、修改</w:t>
      </w:r>
      <w:r>
        <w:rPr>
          <w:rFonts w:ascii="宋体" w:hAnsi="宋体" w:cs="宋体"/>
          <w:color w:val="auto"/>
          <w:sz w:val="24"/>
          <w:highlight w:val="none"/>
          <w:u w:val="single"/>
        </w:rPr>
        <w:t xml:space="preserve"> </w:t>
      </w:r>
      <w:r>
        <w:rPr>
          <w:rFonts w:hint="eastAsia" w:ascii="宋体" w:hAnsi="宋体" w:cs="宋体"/>
          <w:color w:val="auto"/>
          <w:kern w:val="0"/>
          <w:sz w:val="24"/>
          <w:highlight w:val="none"/>
          <w:u w:val="single"/>
          <w:lang w:eastAsia="zh-CN"/>
        </w:rPr>
        <w:t>平顶山市消防救援支队河南省消防救援总队“自然灾害应急能力提升工程”平顶山支队装备建设项目</w:t>
      </w:r>
      <w:r>
        <w:rPr>
          <w:rFonts w:hint="eastAsia" w:ascii="宋体" w:hAnsi="宋体" w:cs="宋体"/>
          <w:color w:val="auto"/>
          <w:kern w:val="0"/>
          <w:sz w:val="24"/>
          <w:highlight w:val="none"/>
          <w:u w:val="single"/>
        </w:rPr>
        <w:t>（项目名称）</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（项目编号）（包</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w:t>
      </w:r>
      <w:r>
        <w:rPr>
          <w:rFonts w:hint="eastAsia" w:ascii="宋体" w:hAnsi="宋体" w:cs="宋体"/>
          <w:color w:val="auto"/>
          <w:sz w:val="24"/>
          <w:highlight w:val="none"/>
        </w:rPr>
        <w:t>投标文件、签订合同和处理有关事宜，其法律后果由我方承担。</w:t>
      </w:r>
    </w:p>
    <w:p>
      <w:pPr>
        <w:snapToGrid w:val="0"/>
        <w:spacing w:line="360" w:lineRule="auto"/>
        <w:ind w:firstLine="480" w:firstLineChars="200"/>
        <w:jc w:val="left"/>
        <w:rPr>
          <w:rFonts w:ascii="宋体" w:cs="宋体"/>
          <w:color w:val="auto"/>
          <w:sz w:val="24"/>
          <w:highlight w:val="none"/>
        </w:rPr>
      </w:pPr>
      <w:r>
        <w:rPr>
          <w:rFonts w:hint="eastAsia" w:ascii="宋体" w:hAnsi="宋体" w:cs="宋体"/>
          <w:color w:val="auto"/>
          <w:sz w:val="24"/>
          <w:highlight w:val="none"/>
        </w:rPr>
        <w:t>委托期限：</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自签署之日起至投标有效期结束。</w:t>
      </w:r>
      <w:r>
        <w:rPr>
          <w:rFonts w:ascii="宋体" w:hAnsi="宋体" w:cs="宋体"/>
          <w:color w:val="auto"/>
          <w:sz w:val="24"/>
          <w:highlight w:val="none"/>
          <w:u w:val="single"/>
        </w:rPr>
        <w:t xml:space="preserve"> </w:t>
      </w:r>
    </w:p>
    <w:p>
      <w:pPr>
        <w:snapToGrid w:val="0"/>
        <w:spacing w:line="360" w:lineRule="auto"/>
        <w:ind w:firstLine="480" w:firstLineChars="200"/>
        <w:jc w:val="left"/>
        <w:rPr>
          <w:rFonts w:ascii="宋体" w:cs="宋体"/>
          <w:color w:val="auto"/>
          <w:sz w:val="24"/>
          <w:highlight w:val="none"/>
        </w:rPr>
      </w:pPr>
      <w:r>
        <w:rPr>
          <w:rFonts w:hint="eastAsia" w:ascii="宋体" w:hAnsi="宋体" w:cs="宋体"/>
          <w:color w:val="auto"/>
          <w:sz w:val="24"/>
          <w:highlight w:val="none"/>
        </w:rPr>
        <w:t>代理人无转委托权。</w:t>
      </w:r>
    </w:p>
    <w:p>
      <w:pPr>
        <w:snapToGrid w:val="0"/>
        <w:spacing w:line="360" w:lineRule="auto"/>
        <w:ind w:firstLine="480" w:firstLineChars="200"/>
        <w:jc w:val="left"/>
        <w:rPr>
          <w:rFonts w:ascii="宋体" w:cs="宋体"/>
          <w:color w:val="auto"/>
          <w:sz w:val="24"/>
          <w:highlight w:val="none"/>
        </w:rPr>
      </w:pPr>
    </w:p>
    <w:p>
      <w:pPr>
        <w:snapToGrid w:val="0"/>
        <w:spacing w:line="360" w:lineRule="auto"/>
        <w:ind w:firstLine="480" w:firstLineChars="200"/>
        <w:jc w:val="left"/>
        <w:rPr>
          <w:rFonts w:ascii="宋体" w:cs="宋体"/>
          <w:color w:val="auto"/>
          <w:sz w:val="24"/>
          <w:highlight w:val="none"/>
        </w:rPr>
      </w:pPr>
      <w:r>
        <w:rPr>
          <w:rFonts w:hint="eastAsia" w:ascii="宋体" w:hAnsi="宋体" w:cs="宋体"/>
          <w:color w:val="auto"/>
          <w:sz w:val="24"/>
          <w:highlight w:val="none"/>
        </w:rPr>
        <w:t>附：</w:t>
      </w:r>
      <w:r>
        <w:rPr>
          <w:rFonts w:hint="eastAsia" w:ascii="宋体" w:hAnsi="宋体" w:cs="宋体"/>
          <w:color w:val="auto"/>
          <w:sz w:val="24"/>
          <w:szCs w:val="32"/>
          <w:highlight w:val="none"/>
        </w:rPr>
        <w:t>法定代表人及委托代理人身份证复印件（或扫描件），正反面。</w:t>
      </w:r>
    </w:p>
    <w:p>
      <w:pPr>
        <w:snapToGrid w:val="0"/>
        <w:spacing w:line="360" w:lineRule="auto"/>
        <w:jc w:val="left"/>
        <w:rPr>
          <w:rFonts w:ascii="宋体" w:cs="宋体"/>
          <w:color w:val="auto"/>
          <w:sz w:val="24"/>
          <w:highlight w:val="none"/>
        </w:rPr>
      </w:pPr>
    </w:p>
    <w:p>
      <w:pPr>
        <w:snapToGrid w:val="0"/>
        <w:spacing w:line="360" w:lineRule="auto"/>
        <w:jc w:val="left"/>
        <w:rPr>
          <w:rFonts w:ascii="宋体" w:cs="宋体"/>
          <w:color w:val="auto"/>
          <w:sz w:val="24"/>
          <w:highlight w:val="none"/>
        </w:rPr>
      </w:pPr>
    </w:p>
    <w:p>
      <w:pPr>
        <w:snapToGrid w:val="0"/>
        <w:spacing w:line="360" w:lineRule="auto"/>
        <w:jc w:val="left"/>
        <w:rPr>
          <w:rFonts w:ascii="宋体" w:cs="宋体"/>
          <w:color w:val="auto"/>
          <w:sz w:val="24"/>
          <w:highlight w:val="none"/>
        </w:rPr>
      </w:pPr>
    </w:p>
    <w:p>
      <w:pPr>
        <w:snapToGrid w:val="0"/>
        <w:spacing w:line="360" w:lineRule="auto"/>
        <w:jc w:val="left"/>
        <w:rPr>
          <w:rFonts w:ascii="宋体" w:cs="宋体"/>
          <w:color w:val="auto"/>
          <w:sz w:val="24"/>
          <w:highlight w:val="none"/>
        </w:rPr>
      </w:pPr>
    </w:p>
    <w:p>
      <w:pPr>
        <w:snapToGrid w:val="0"/>
        <w:spacing w:line="360" w:lineRule="auto"/>
        <w:jc w:val="left"/>
        <w:rPr>
          <w:rFonts w:ascii="宋体" w:cs="宋体"/>
          <w:color w:val="auto"/>
          <w:sz w:val="24"/>
          <w:highlight w:val="none"/>
        </w:rPr>
      </w:pPr>
    </w:p>
    <w:p>
      <w:pPr>
        <w:snapToGrid w:val="0"/>
        <w:spacing w:line="360" w:lineRule="auto"/>
        <w:jc w:val="left"/>
        <w:rPr>
          <w:rFonts w:ascii="宋体" w:cs="宋体"/>
          <w:color w:val="auto"/>
          <w:sz w:val="24"/>
          <w:highlight w:val="none"/>
        </w:rPr>
      </w:pPr>
    </w:p>
    <w:p>
      <w:pPr>
        <w:snapToGrid w:val="0"/>
        <w:spacing w:line="360" w:lineRule="auto"/>
        <w:jc w:val="left"/>
        <w:rPr>
          <w:rFonts w:ascii="宋体" w:cs="宋体"/>
          <w:color w:val="auto"/>
          <w:sz w:val="24"/>
          <w:highlight w:val="none"/>
        </w:rPr>
      </w:pPr>
      <w:r>
        <w:rPr>
          <w:rFonts w:hint="eastAsia" w:ascii="宋体" w:hAnsi="宋体" w:cs="宋体"/>
          <w:color w:val="auto"/>
          <w:sz w:val="24"/>
          <w:highlight w:val="none"/>
          <w:lang w:eastAsia="zh-CN"/>
        </w:rPr>
        <w:t>投标人</w:t>
      </w:r>
      <w:r>
        <w:rPr>
          <w:rFonts w:hint="eastAsia" w:ascii="宋体" w:hAnsi="宋体" w:cs="宋体"/>
          <w:color w:val="auto"/>
          <w:sz w:val="24"/>
          <w:highlight w:val="none"/>
        </w:rPr>
        <w:t>：</w:t>
      </w:r>
      <w:r>
        <w:rPr>
          <w:rFonts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rPr>
        <w:t>电子签章</w:t>
      </w:r>
      <w:r>
        <w:rPr>
          <w:rFonts w:hint="eastAsia" w:ascii="宋体" w:hAnsi="宋体" w:cs="宋体"/>
          <w:color w:val="auto"/>
          <w:sz w:val="24"/>
          <w:highlight w:val="none"/>
        </w:rPr>
        <w:t>）</w:t>
      </w:r>
    </w:p>
    <w:p>
      <w:pPr>
        <w:snapToGrid w:val="0"/>
        <w:spacing w:line="360" w:lineRule="auto"/>
        <w:jc w:val="left"/>
        <w:rPr>
          <w:rFonts w:ascii="宋体" w:cs="宋体"/>
          <w:color w:val="auto"/>
          <w:sz w:val="24"/>
          <w:highlight w:val="none"/>
        </w:rPr>
      </w:pPr>
      <w:r>
        <w:rPr>
          <w:rFonts w:hint="eastAsia" w:ascii="宋体" w:hAnsi="宋体" w:cs="宋体"/>
          <w:color w:val="auto"/>
          <w:sz w:val="24"/>
          <w:highlight w:val="none"/>
        </w:rPr>
        <w:t>法定代表人：</w:t>
      </w:r>
      <w:r>
        <w:rPr>
          <w:rFonts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rPr>
        <w:t>电子签章或签字</w:t>
      </w:r>
      <w:r>
        <w:rPr>
          <w:rFonts w:hint="eastAsia" w:ascii="宋体" w:hAnsi="宋体" w:cs="宋体"/>
          <w:color w:val="auto"/>
          <w:sz w:val="24"/>
          <w:highlight w:val="none"/>
        </w:rPr>
        <w:t>）</w:t>
      </w:r>
    </w:p>
    <w:p>
      <w:pPr>
        <w:snapToGrid w:val="0"/>
        <w:spacing w:line="360" w:lineRule="auto"/>
        <w:jc w:val="left"/>
        <w:rPr>
          <w:rFonts w:ascii="宋体" w:cs="宋体"/>
          <w:color w:val="auto"/>
          <w:sz w:val="24"/>
          <w:highlight w:val="none"/>
          <w:u w:val="single"/>
        </w:rPr>
      </w:pPr>
      <w:r>
        <w:rPr>
          <w:rFonts w:hint="eastAsia" w:ascii="宋体" w:hAnsi="宋体" w:cs="宋体"/>
          <w:color w:val="auto"/>
          <w:sz w:val="24"/>
          <w:highlight w:val="none"/>
        </w:rPr>
        <w:t>身份证号码：</w:t>
      </w:r>
      <w:r>
        <w:rPr>
          <w:rFonts w:ascii="宋体" w:hAnsi="宋体" w:cs="宋体"/>
          <w:color w:val="auto"/>
          <w:sz w:val="24"/>
          <w:highlight w:val="none"/>
          <w:u w:val="single"/>
        </w:rPr>
        <w:t xml:space="preserve">                    </w:t>
      </w:r>
    </w:p>
    <w:p>
      <w:pPr>
        <w:snapToGrid w:val="0"/>
        <w:spacing w:line="360" w:lineRule="auto"/>
        <w:jc w:val="left"/>
        <w:rPr>
          <w:rFonts w:ascii="宋体" w:cs="宋体"/>
          <w:color w:val="auto"/>
          <w:sz w:val="24"/>
          <w:highlight w:val="none"/>
        </w:rPr>
      </w:pPr>
      <w:r>
        <w:rPr>
          <w:rFonts w:hint="eastAsia" w:ascii="宋体" w:hAnsi="宋体" w:cs="宋体"/>
          <w:color w:val="auto"/>
          <w:sz w:val="24"/>
          <w:highlight w:val="none"/>
        </w:rPr>
        <w:t>委托代理人：</w:t>
      </w:r>
      <w:r>
        <w:rPr>
          <w:rFonts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rPr>
        <w:t>电子签章或签字</w:t>
      </w:r>
      <w:r>
        <w:rPr>
          <w:rFonts w:hint="eastAsia" w:ascii="宋体" w:hAnsi="宋体" w:cs="宋体"/>
          <w:color w:val="auto"/>
          <w:sz w:val="24"/>
          <w:highlight w:val="none"/>
        </w:rPr>
        <w:t>）</w:t>
      </w:r>
    </w:p>
    <w:p>
      <w:pPr>
        <w:snapToGrid w:val="0"/>
        <w:spacing w:line="360" w:lineRule="auto"/>
        <w:jc w:val="left"/>
        <w:rPr>
          <w:rFonts w:ascii="宋体" w:cs="宋体"/>
          <w:color w:val="auto"/>
          <w:sz w:val="24"/>
          <w:highlight w:val="none"/>
          <w:u w:val="single"/>
        </w:rPr>
      </w:pPr>
      <w:r>
        <w:rPr>
          <w:rFonts w:hint="eastAsia" w:ascii="宋体" w:hAnsi="宋体" w:cs="宋体"/>
          <w:color w:val="auto"/>
          <w:sz w:val="24"/>
          <w:highlight w:val="none"/>
        </w:rPr>
        <w:t>身份证号码：</w:t>
      </w:r>
      <w:r>
        <w:rPr>
          <w:rFonts w:ascii="宋体" w:hAnsi="宋体" w:cs="宋体"/>
          <w:color w:val="auto"/>
          <w:sz w:val="24"/>
          <w:highlight w:val="none"/>
          <w:u w:val="single"/>
        </w:rPr>
        <w:t xml:space="preserve">                    </w:t>
      </w:r>
    </w:p>
    <w:p>
      <w:pPr>
        <w:pStyle w:val="21"/>
        <w:spacing w:line="360" w:lineRule="auto"/>
        <w:ind w:firstLine="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手机号码：</w:t>
      </w:r>
      <w:r>
        <w:rPr>
          <w:rFonts w:ascii="宋体" w:hAnsi="宋体" w:cs="宋体"/>
          <w:color w:val="auto"/>
          <w:sz w:val="24"/>
          <w:highlight w:val="none"/>
          <w:u w:val="single"/>
        </w:rPr>
        <w:t xml:space="preserve">                    </w:t>
      </w:r>
    </w:p>
    <w:p>
      <w:pPr>
        <w:snapToGrid w:val="0"/>
        <w:spacing w:line="360" w:lineRule="auto"/>
        <w:jc w:val="left"/>
        <w:rPr>
          <w:rFonts w:ascii="宋体" w:cs="宋体"/>
          <w:color w:val="auto"/>
          <w:sz w:val="24"/>
          <w:highlight w:val="none"/>
        </w:rPr>
      </w:pPr>
      <w:r>
        <w:rPr>
          <w:rFonts w:hint="eastAsia" w:ascii="宋体" w:hAnsi="宋体" w:cs="宋体"/>
          <w:color w:val="auto"/>
          <w:sz w:val="24"/>
          <w:highlight w:val="none"/>
        </w:rPr>
        <w:t>日</w:t>
      </w:r>
      <w:r>
        <w:rPr>
          <w:rFonts w:ascii="宋体" w:hAnsi="宋体" w:cs="宋体"/>
          <w:color w:val="auto"/>
          <w:sz w:val="24"/>
          <w:highlight w:val="none"/>
        </w:rPr>
        <w:t xml:space="preserve">  </w:t>
      </w:r>
      <w:r>
        <w:rPr>
          <w:rFonts w:hint="eastAsia" w:ascii="宋体" w:hAnsi="宋体" w:cs="宋体"/>
          <w:color w:val="auto"/>
          <w:sz w:val="24"/>
          <w:highlight w:val="none"/>
        </w:rPr>
        <w:t>期：</w:t>
      </w:r>
      <w:r>
        <w:rPr>
          <w:rFonts w:ascii="宋体" w:hAnsi="宋体" w:cs="宋体"/>
          <w:color w:val="auto"/>
          <w:sz w:val="24"/>
          <w:highlight w:val="none"/>
        </w:rPr>
        <w:t xml:space="preserve">     </w:t>
      </w:r>
      <w:r>
        <w:rPr>
          <w:rFonts w:hint="eastAsia" w:ascii="宋体" w:hAnsi="宋体" w:cs="宋体"/>
          <w:color w:val="auto"/>
          <w:sz w:val="24"/>
          <w:highlight w:val="none"/>
        </w:rPr>
        <w:t>年</w:t>
      </w:r>
      <w:r>
        <w:rPr>
          <w:rFonts w:ascii="宋体" w:hAnsi="宋体" w:cs="宋体"/>
          <w:color w:val="auto"/>
          <w:sz w:val="24"/>
          <w:highlight w:val="none"/>
        </w:rPr>
        <w:t xml:space="preserve">     </w:t>
      </w:r>
      <w:r>
        <w:rPr>
          <w:rFonts w:hint="eastAsia" w:ascii="宋体" w:hAnsi="宋体" w:cs="宋体"/>
          <w:color w:val="auto"/>
          <w:sz w:val="24"/>
          <w:highlight w:val="none"/>
        </w:rPr>
        <w:t>月</w:t>
      </w:r>
      <w:r>
        <w:rPr>
          <w:rFonts w:ascii="宋体" w:hAnsi="宋体" w:cs="宋体"/>
          <w:color w:val="auto"/>
          <w:sz w:val="24"/>
          <w:highlight w:val="none"/>
        </w:rPr>
        <w:t xml:space="preserve">     </w:t>
      </w:r>
      <w:r>
        <w:rPr>
          <w:rFonts w:hint="eastAsia" w:ascii="宋体" w:hAnsi="宋体" w:cs="宋体"/>
          <w:color w:val="auto"/>
          <w:sz w:val="24"/>
          <w:highlight w:val="none"/>
        </w:rPr>
        <w:t>日</w:t>
      </w:r>
    </w:p>
    <w:p>
      <w:pPr>
        <w:spacing w:before="54" w:line="360" w:lineRule="auto"/>
        <w:ind w:left="1"/>
        <w:jc w:val="center"/>
        <w:rPr>
          <w:b/>
          <w:color w:val="auto"/>
          <w:w w:val="95"/>
          <w:sz w:val="32"/>
          <w:highlight w:val="none"/>
        </w:rPr>
      </w:pPr>
    </w:p>
    <w:p>
      <w:pPr>
        <w:pStyle w:val="12"/>
        <w:spacing w:line="360" w:lineRule="auto"/>
        <w:ind w:left="31680" w:right="31680"/>
        <w:rPr>
          <w:b/>
          <w:color w:val="auto"/>
          <w:w w:val="95"/>
          <w:sz w:val="32"/>
          <w:highlight w:val="none"/>
        </w:rPr>
      </w:pPr>
    </w:p>
    <w:p>
      <w:pPr>
        <w:pStyle w:val="12"/>
        <w:spacing w:line="360" w:lineRule="auto"/>
        <w:ind w:left="31680" w:right="31680"/>
        <w:rPr>
          <w:b/>
          <w:color w:val="auto"/>
          <w:w w:val="95"/>
          <w:sz w:val="32"/>
          <w:highlight w:val="none"/>
        </w:rPr>
      </w:pPr>
    </w:p>
    <w:p>
      <w:pPr>
        <w:rPr>
          <w:highlight w:val="none"/>
        </w:rPr>
      </w:pPr>
    </w:p>
    <w:p>
      <w:pPr>
        <w:rPr>
          <w:highlight w:val="none"/>
        </w:rPr>
      </w:pPr>
    </w:p>
    <w:p>
      <w:pPr>
        <w:spacing w:before="54" w:line="360" w:lineRule="auto"/>
        <w:ind w:left="6"/>
        <w:jc w:val="center"/>
        <w:outlineLvl w:val="1"/>
        <w:rPr>
          <w:b/>
          <w:color w:val="auto"/>
          <w:w w:val="95"/>
          <w:sz w:val="32"/>
          <w:highlight w:val="none"/>
        </w:rPr>
      </w:pPr>
      <w:bookmarkStart w:id="497" w:name="_Toc15621"/>
      <w:bookmarkStart w:id="498" w:name="_Toc30345"/>
      <w:bookmarkStart w:id="499" w:name="_Toc15380"/>
      <w:r>
        <w:rPr>
          <w:rFonts w:hint="eastAsia"/>
          <w:b/>
          <w:color w:val="auto"/>
          <w:w w:val="95"/>
          <w:sz w:val="32"/>
          <w:highlight w:val="none"/>
        </w:rPr>
        <w:t>四、投标承诺书</w:t>
      </w:r>
      <w:bookmarkEnd w:id="497"/>
      <w:bookmarkEnd w:id="498"/>
      <w:bookmarkEnd w:id="499"/>
    </w:p>
    <w:p>
      <w:pPr>
        <w:pStyle w:val="7"/>
        <w:spacing w:after="0" w:line="360" w:lineRule="auto"/>
        <w:ind w:firstLine="480" w:firstLineChars="200"/>
        <w:rPr>
          <w:color w:val="auto"/>
          <w:highlight w:val="none"/>
        </w:rPr>
      </w:pPr>
      <w:r>
        <w:rPr>
          <w:rFonts w:hint="eastAsia"/>
          <w:color w:val="auto"/>
          <w:highlight w:val="none"/>
        </w:rPr>
        <w:t>致</w:t>
      </w:r>
      <w:r>
        <w:rPr>
          <w:color w:val="auto"/>
          <w:highlight w:val="none"/>
          <w:u w:val="single"/>
        </w:rPr>
        <w:t xml:space="preserve"> </w:t>
      </w:r>
      <w:r>
        <w:rPr>
          <w:rFonts w:hint="eastAsia"/>
          <w:color w:val="auto"/>
          <w:highlight w:val="none"/>
          <w:u w:val="single"/>
        </w:rPr>
        <w:t>（采购代理机构）</w:t>
      </w:r>
      <w:r>
        <w:rPr>
          <w:color w:val="auto"/>
          <w:highlight w:val="none"/>
          <w:u w:val="single"/>
        </w:rPr>
        <w:t xml:space="preserve"> </w:t>
      </w:r>
      <w:r>
        <w:rPr>
          <w:rFonts w:hint="eastAsia"/>
          <w:color w:val="auto"/>
          <w:highlight w:val="none"/>
        </w:rPr>
        <w:t>：</w:t>
      </w:r>
    </w:p>
    <w:p>
      <w:pPr>
        <w:pStyle w:val="7"/>
        <w:spacing w:after="0" w:line="360" w:lineRule="auto"/>
        <w:ind w:right="333" w:firstLine="476" w:firstLineChars="200"/>
        <w:rPr>
          <w:color w:val="auto"/>
          <w:spacing w:val="-1"/>
          <w:highlight w:val="none"/>
        </w:rPr>
      </w:pPr>
      <w:r>
        <w:rPr>
          <w:rFonts w:hint="eastAsia"/>
          <w:color w:val="auto"/>
          <w:spacing w:val="-1"/>
          <w:highlight w:val="none"/>
        </w:rPr>
        <w:t>我公司作为本次采购项目的</w:t>
      </w:r>
      <w:r>
        <w:rPr>
          <w:rFonts w:hint="eastAsia"/>
          <w:color w:val="auto"/>
          <w:spacing w:val="-1"/>
          <w:highlight w:val="none"/>
          <w:lang w:eastAsia="zh-CN"/>
        </w:rPr>
        <w:t>投标人</w:t>
      </w:r>
      <w:r>
        <w:rPr>
          <w:rFonts w:hint="eastAsia"/>
          <w:color w:val="auto"/>
          <w:spacing w:val="-1"/>
          <w:highlight w:val="none"/>
        </w:rPr>
        <w:t>，根据招标文件要求，现郑重承诺如下：</w:t>
      </w:r>
    </w:p>
    <w:p>
      <w:pPr>
        <w:pStyle w:val="7"/>
        <w:spacing w:after="0" w:line="360" w:lineRule="auto"/>
        <w:ind w:right="333" w:firstLine="476" w:firstLineChars="200"/>
        <w:rPr>
          <w:color w:val="auto"/>
          <w:spacing w:val="-1"/>
          <w:highlight w:val="none"/>
        </w:rPr>
      </w:pPr>
      <w:r>
        <w:rPr>
          <w:rFonts w:hint="eastAsia"/>
          <w:color w:val="auto"/>
          <w:spacing w:val="-1"/>
          <w:highlight w:val="none"/>
        </w:rPr>
        <w:t>一、具备《中华人民共和国政府采购法》第二十二条第一款和本项目规定的条件：</w:t>
      </w:r>
    </w:p>
    <w:p>
      <w:pPr>
        <w:pStyle w:val="7"/>
        <w:spacing w:after="0" w:line="360" w:lineRule="auto"/>
        <w:ind w:right="333" w:firstLine="476" w:firstLineChars="200"/>
        <w:rPr>
          <w:color w:val="auto"/>
          <w:spacing w:val="-1"/>
          <w:highlight w:val="none"/>
        </w:rPr>
      </w:pPr>
      <w:r>
        <w:rPr>
          <w:rFonts w:hint="eastAsia"/>
          <w:color w:val="auto"/>
          <w:spacing w:val="-1"/>
          <w:highlight w:val="none"/>
        </w:rPr>
        <w:t>（一）具有独立承担民事责任的能力；</w:t>
      </w:r>
    </w:p>
    <w:p>
      <w:pPr>
        <w:pStyle w:val="7"/>
        <w:spacing w:after="0" w:line="360" w:lineRule="auto"/>
        <w:ind w:right="333" w:firstLine="476" w:firstLineChars="200"/>
        <w:rPr>
          <w:color w:val="auto"/>
          <w:spacing w:val="-1"/>
          <w:highlight w:val="none"/>
        </w:rPr>
      </w:pPr>
      <w:r>
        <w:rPr>
          <w:rFonts w:hint="eastAsia"/>
          <w:color w:val="auto"/>
          <w:spacing w:val="-1"/>
          <w:highlight w:val="none"/>
        </w:rPr>
        <w:t>（二）具有良好的商业信誉和健全的财务会计制度；</w:t>
      </w:r>
    </w:p>
    <w:p>
      <w:pPr>
        <w:pStyle w:val="7"/>
        <w:spacing w:after="0" w:line="360" w:lineRule="auto"/>
        <w:ind w:right="333" w:firstLine="476" w:firstLineChars="200"/>
        <w:rPr>
          <w:color w:val="auto"/>
          <w:spacing w:val="-1"/>
          <w:highlight w:val="none"/>
        </w:rPr>
      </w:pPr>
      <w:r>
        <w:rPr>
          <w:rFonts w:hint="eastAsia"/>
          <w:color w:val="auto"/>
          <w:spacing w:val="-1"/>
          <w:highlight w:val="none"/>
        </w:rPr>
        <w:t>（三）具有履行合同所必需的设备和专业技术能力；</w:t>
      </w:r>
    </w:p>
    <w:p>
      <w:pPr>
        <w:pStyle w:val="7"/>
        <w:spacing w:after="0" w:line="360" w:lineRule="auto"/>
        <w:ind w:right="333" w:firstLine="476" w:firstLineChars="200"/>
        <w:rPr>
          <w:color w:val="auto"/>
          <w:spacing w:val="-1"/>
          <w:highlight w:val="none"/>
        </w:rPr>
      </w:pPr>
      <w:r>
        <w:rPr>
          <w:rFonts w:hint="eastAsia"/>
          <w:color w:val="auto"/>
          <w:spacing w:val="-1"/>
          <w:highlight w:val="none"/>
        </w:rPr>
        <w:t>（四）有依法缴纳税收和社会保障资金的良好记录；</w:t>
      </w:r>
    </w:p>
    <w:p>
      <w:pPr>
        <w:pStyle w:val="7"/>
        <w:spacing w:after="0" w:line="360" w:lineRule="auto"/>
        <w:ind w:right="333" w:firstLine="476" w:firstLineChars="200"/>
        <w:rPr>
          <w:color w:val="auto"/>
          <w:spacing w:val="-1"/>
          <w:highlight w:val="none"/>
        </w:rPr>
      </w:pPr>
      <w:r>
        <w:rPr>
          <w:rFonts w:hint="eastAsia"/>
          <w:color w:val="auto"/>
          <w:spacing w:val="-1"/>
          <w:highlight w:val="none"/>
        </w:rPr>
        <w:t>（五）参加政府采购活动前三年内，在经营活动中没有重大违法记录；</w:t>
      </w:r>
    </w:p>
    <w:p>
      <w:pPr>
        <w:pStyle w:val="7"/>
        <w:spacing w:after="0" w:line="360" w:lineRule="auto"/>
        <w:ind w:right="333" w:firstLine="476" w:firstLineChars="200"/>
        <w:rPr>
          <w:color w:val="auto"/>
          <w:spacing w:val="-1"/>
          <w:highlight w:val="none"/>
        </w:rPr>
      </w:pPr>
      <w:r>
        <w:rPr>
          <w:rFonts w:hint="eastAsia"/>
          <w:color w:val="auto"/>
          <w:spacing w:val="-1"/>
          <w:highlight w:val="none"/>
        </w:rPr>
        <w:t>（六）法律、行政法规规定的其他条件；</w:t>
      </w:r>
    </w:p>
    <w:p>
      <w:pPr>
        <w:pStyle w:val="7"/>
        <w:spacing w:after="0" w:line="360" w:lineRule="auto"/>
        <w:ind w:right="333" w:firstLine="476" w:firstLineChars="200"/>
        <w:rPr>
          <w:color w:val="auto"/>
          <w:spacing w:val="-1"/>
          <w:highlight w:val="none"/>
        </w:rPr>
      </w:pPr>
      <w:r>
        <w:rPr>
          <w:rFonts w:hint="eastAsia"/>
          <w:color w:val="auto"/>
          <w:spacing w:val="-1"/>
          <w:highlight w:val="none"/>
        </w:rPr>
        <w:t>（七）根据采购项目提出的特殊条件。</w:t>
      </w:r>
    </w:p>
    <w:p>
      <w:pPr>
        <w:pStyle w:val="7"/>
        <w:spacing w:after="0" w:line="360" w:lineRule="auto"/>
        <w:ind w:right="333" w:firstLine="476" w:firstLineChars="200"/>
        <w:rPr>
          <w:color w:val="auto"/>
          <w:spacing w:val="-1"/>
          <w:highlight w:val="none"/>
        </w:rPr>
      </w:pPr>
      <w:r>
        <w:rPr>
          <w:rFonts w:hint="eastAsia"/>
          <w:color w:val="auto"/>
          <w:spacing w:val="-1"/>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pPr>
        <w:pStyle w:val="7"/>
        <w:spacing w:after="0" w:line="360" w:lineRule="auto"/>
        <w:ind w:right="333" w:firstLine="476" w:firstLineChars="200"/>
        <w:rPr>
          <w:color w:val="auto"/>
          <w:spacing w:val="-1"/>
          <w:highlight w:val="none"/>
        </w:rPr>
      </w:pPr>
      <w:r>
        <w:rPr>
          <w:rFonts w:hint="eastAsia"/>
          <w:color w:val="auto"/>
          <w:spacing w:val="-1"/>
          <w:highlight w:val="none"/>
        </w:rPr>
        <w:t>三、参加本次招标采购活动，不存在与单位负责人为同一人或者存在直接控股、管理关系的其他供应商参与同一合同项下的政府采购活动的行为。</w:t>
      </w:r>
    </w:p>
    <w:p>
      <w:pPr>
        <w:pStyle w:val="7"/>
        <w:spacing w:after="0" w:line="360" w:lineRule="auto"/>
        <w:ind w:right="333" w:firstLine="476" w:firstLineChars="200"/>
        <w:rPr>
          <w:color w:val="auto"/>
          <w:spacing w:val="-1"/>
          <w:highlight w:val="none"/>
        </w:rPr>
      </w:pPr>
      <w:r>
        <w:rPr>
          <w:rFonts w:hint="eastAsia"/>
          <w:color w:val="auto"/>
          <w:spacing w:val="-1"/>
          <w:highlight w:val="none"/>
        </w:rPr>
        <w:t>四、我们保证在中标公告发布后</w:t>
      </w:r>
      <w:r>
        <w:rPr>
          <w:color w:val="auto"/>
          <w:spacing w:val="-1"/>
          <w:highlight w:val="none"/>
        </w:rPr>
        <w:t xml:space="preserve"> 5 </w:t>
      </w:r>
      <w:r>
        <w:rPr>
          <w:rFonts w:hint="eastAsia"/>
          <w:color w:val="auto"/>
          <w:spacing w:val="-1"/>
          <w:highlight w:val="none"/>
        </w:rPr>
        <w:t>个工作日内，按招标文件的规定，以银行转账方式向贵公司一次性支付采购代理服务费用，并且按照规定和采购人签订合同。</w:t>
      </w:r>
    </w:p>
    <w:p>
      <w:pPr>
        <w:pStyle w:val="7"/>
        <w:spacing w:after="0" w:line="360" w:lineRule="auto"/>
        <w:ind w:right="333" w:firstLine="476" w:firstLineChars="200"/>
        <w:rPr>
          <w:color w:val="auto"/>
          <w:spacing w:val="-1"/>
          <w:highlight w:val="none"/>
        </w:rPr>
      </w:pPr>
      <w:r>
        <w:rPr>
          <w:rFonts w:hint="eastAsia"/>
          <w:color w:val="auto"/>
          <w:spacing w:val="-1"/>
          <w:highlight w:val="none"/>
        </w:rPr>
        <w:t>五、参加本次招标采购活动，不存在和其他</w:t>
      </w:r>
      <w:r>
        <w:rPr>
          <w:rFonts w:hint="eastAsia"/>
          <w:color w:val="auto"/>
          <w:spacing w:val="-1"/>
          <w:highlight w:val="none"/>
          <w:lang w:eastAsia="zh-CN"/>
        </w:rPr>
        <w:t>投标人</w:t>
      </w:r>
      <w:r>
        <w:rPr>
          <w:rFonts w:hint="eastAsia"/>
          <w:color w:val="auto"/>
          <w:spacing w:val="-1"/>
          <w:highlight w:val="none"/>
        </w:rPr>
        <w:t>在同一合同项下的采购项目中，同时委托同一个自然人、同一家庭的人员、同一单位的人员作为代理人的行为。</w:t>
      </w:r>
    </w:p>
    <w:p>
      <w:pPr>
        <w:pStyle w:val="7"/>
        <w:spacing w:after="0" w:line="360" w:lineRule="auto"/>
        <w:ind w:right="333" w:firstLine="476" w:firstLineChars="200"/>
        <w:rPr>
          <w:color w:val="auto"/>
          <w:spacing w:val="-1"/>
          <w:highlight w:val="none"/>
        </w:rPr>
      </w:pPr>
      <w:r>
        <w:rPr>
          <w:rFonts w:hint="eastAsia"/>
          <w:color w:val="auto"/>
          <w:spacing w:val="-1"/>
          <w:highlight w:val="none"/>
        </w:rPr>
        <w:t>六、</w:t>
      </w:r>
      <w:r>
        <w:rPr>
          <w:rFonts w:hint="eastAsia"/>
          <w:color w:val="auto"/>
          <w:spacing w:val="-1"/>
          <w:highlight w:val="none"/>
          <w:lang w:eastAsia="zh-CN"/>
        </w:rPr>
        <w:t>投标人</w:t>
      </w:r>
      <w:r>
        <w:rPr>
          <w:rFonts w:hint="eastAsia"/>
          <w:color w:val="auto"/>
          <w:spacing w:val="-1"/>
          <w:highlight w:val="none"/>
        </w:rPr>
        <w:t>参加本次政府采购活动要求在近三年内</w:t>
      </w:r>
      <w:r>
        <w:rPr>
          <w:rFonts w:hint="eastAsia"/>
          <w:color w:val="auto"/>
          <w:spacing w:val="-1"/>
          <w:highlight w:val="none"/>
          <w:lang w:eastAsia="zh-CN"/>
        </w:rPr>
        <w:t>投标人</w:t>
      </w:r>
      <w:r>
        <w:rPr>
          <w:rFonts w:hint="eastAsia"/>
          <w:color w:val="auto"/>
          <w:spacing w:val="-1"/>
          <w:highlight w:val="none"/>
        </w:rPr>
        <w:t>和其法定代表人没有行贿犯罪行为。</w:t>
      </w:r>
    </w:p>
    <w:p>
      <w:pPr>
        <w:pStyle w:val="7"/>
        <w:spacing w:after="0" w:line="360" w:lineRule="auto"/>
        <w:ind w:right="333" w:firstLine="476" w:firstLineChars="200"/>
        <w:rPr>
          <w:color w:val="auto"/>
          <w:spacing w:val="-1"/>
          <w:highlight w:val="none"/>
        </w:rPr>
      </w:pPr>
      <w:r>
        <w:rPr>
          <w:rFonts w:hint="eastAsia"/>
          <w:color w:val="auto"/>
          <w:spacing w:val="-1"/>
          <w:highlight w:val="none"/>
        </w:rPr>
        <w:t>七、参加本次招标采购活动，不存在联合体投标。</w:t>
      </w:r>
    </w:p>
    <w:p>
      <w:pPr>
        <w:pStyle w:val="7"/>
        <w:spacing w:after="0" w:line="360" w:lineRule="auto"/>
        <w:ind w:right="333" w:firstLine="476" w:firstLineChars="200"/>
        <w:rPr>
          <w:color w:val="auto"/>
          <w:spacing w:val="-1"/>
          <w:highlight w:val="none"/>
        </w:rPr>
      </w:pPr>
      <w:r>
        <w:rPr>
          <w:rFonts w:hint="eastAsia"/>
          <w:color w:val="auto"/>
          <w:spacing w:val="-1"/>
          <w:highlight w:val="none"/>
        </w:rPr>
        <w:t>八、投标文件中提供的能够给予我公司带来优惠、好处的任何材料资料和技术、服务、商务等响应承诺情况都是真实的、有效的、合法的。</w:t>
      </w:r>
    </w:p>
    <w:p>
      <w:pPr>
        <w:pStyle w:val="7"/>
        <w:spacing w:after="0" w:line="360" w:lineRule="auto"/>
        <w:ind w:right="333" w:firstLine="476" w:firstLineChars="200"/>
        <w:rPr>
          <w:color w:val="auto"/>
          <w:spacing w:val="-1"/>
          <w:highlight w:val="none"/>
        </w:rPr>
      </w:pPr>
      <w:r>
        <w:rPr>
          <w:rFonts w:hint="eastAsia"/>
          <w:color w:val="auto"/>
          <w:spacing w:val="-1"/>
          <w:highlight w:val="none"/>
        </w:rPr>
        <w:t>九、存在以下行为之一的愿意接受相关部门的处理：</w:t>
      </w:r>
    </w:p>
    <w:p>
      <w:pPr>
        <w:pStyle w:val="7"/>
        <w:spacing w:after="0" w:line="360" w:lineRule="auto"/>
        <w:ind w:right="333" w:firstLine="476" w:firstLineChars="200"/>
        <w:rPr>
          <w:color w:val="auto"/>
          <w:spacing w:val="-1"/>
          <w:highlight w:val="none"/>
        </w:rPr>
      </w:pPr>
      <w:r>
        <w:rPr>
          <w:rFonts w:hint="eastAsia"/>
          <w:color w:val="auto"/>
          <w:spacing w:val="-1"/>
          <w:highlight w:val="none"/>
        </w:rPr>
        <w:t>（一）投标有效期内撤销投标文件的；</w:t>
      </w:r>
    </w:p>
    <w:p>
      <w:pPr>
        <w:pStyle w:val="7"/>
        <w:spacing w:after="0" w:line="360" w:lineRule="auto"/>
        <w:ind w:right="333" w:firstLine="476" w:firstLineChars="200"/>
        <w:rPr>
          <w:color w:val="auto"/>
          <w:spacing w:val="-1"/>
          <w:highlight w:val="none"/>
        </w:rPr>
      </w:pPr>
      <w:r>
        <w:rPr>
          <w:rFonts w:hint="eastAsia"/>
          <w:color w:val="auto"/>
          <w:spacing w:val="-1"/>
          <w:highlight w:val="none"/>
        </w:rPr>
        <w:t>（二）在采购人确定中标人以前放弃中标候选资格的；</w:t>
      </w:r>
    </w:p>
    <w:p>
      <w:pPr>
        <w:pStyle w:val="7"/>
        <w:spacing w:after="0" w:line="360" w:lineRule="auto"/>
        <w:ind w:right="333" w:firstLine="476" w:firstLineChars="200"/>
        <w:rPr>
          <w:color w:val="auto"/>
          <w:spacing w:val="-1"/>
          <w:highlight w:val="none"/>
        </w:rPr>
      </w:pPr>
      <w:r>
        <w:rPr>
          <w:rFonts w:hint="eastAsia"/>
          <w:color w:val="auto"/>
          <w:spacing w:val="-1"/>
          <w:highlight w:val="none"/>
        </w:rPr>
        <w:t>（三）由于中标人的原因未能按照招标文件的规定与采购人签订合同；</w:t>
      </w:r>
    </w:p>
    <w:p>
      <w:pPr>
        <w:pStyle w:val="7"/>
        <w:spacing w:after="0" w:line="360" w:lineRule="auto"/>
        <w:ind w:right="333" w:firstLine="476" w:firstLineChars="200"/>
        <w:rPr>
          <w:color w:val="auto"/>
          <w:spacing w:val="-1"/>
          <w:highlight w:val="none"/>
        </w:rPr>
      </w:pPr>
      <w:r>
        <w:rPr>
          <w:rFonts w:hint="eastAsia"/>
          <w:color w:val="auto"/>
          <w:spacing w:val="-1"/>
          <w:highlight w:val="none"/>
        </w:rPr>
        <w:t>（四）由于中标人的原因未能按照招标文件的规定交纳履约保证金；</w:t>
      </w:r>
    </w:p>
    <w:p>
      <w:pPr>
        <w:pStyle w:val="7"/>
        <w:spacing w:after="0" w:line="360" w:lineRule="auto"/>
        <w:ind w:right="333" w:firstLine="476" w:firstLineChars="200"/>
        <w:rPr>
          <w:color w:val="auto"/>
          <w:spacing w:val="-1"/>
          <w:highlight w:val="none"/>
        </w:rPr>
      </w:pPr>
      <w:r>
        <w:rPr>
          <w:rFonts w:hint="eastAsia"/>
          <w:color w:val="auto"/>
          <w:spacing w:val="-1"/>
          <w:highlight w:val="none"/>
        </w:rPr>
        <w:t>（五）在投标文件中提供虚假材料谋取中标；</w:t>
      </w:r>
    </w:p>
    <w:p>
      <w:pPr>
        <w:pStyle w:val="7"/>
        <w:spacing w:after="0" w:line="360" w:lineRule="auto"/>
        <w:ind w:right="333" w:firstLine="476" w:firstLineChars="200"/>
        <w:rPr>
          <w:color w:val="auto"/>
          <w:spacing w:val="-1"/>
          <w:highlight w:val="none"/>
        </w:rPr>
      </w:pPr>
      <w:r>
        <w:rPr>
          <w:rFonts w:hint="eastAsia"/>
          <w:color w:val="auto"/>
          <w:spacing w:val="-1"/>
          <w:highlight w:val="none"/>
        </w:rPr>
        <w:t>（六）与采购人、其他</w:t>
      </w:r>
      <w:r>
        <w:rPr>
          <w:rFonts w:hint="eastAsia"/>
          <w:color w:val="auto"/>
          <w:spacing w:val="-1"/>
          <w:highlight w:val="none"/>
          <w:lang w:eastAsia="zh-CN"/>
        </w:rPr>
        <w:t>投标人</w:t>
      </w:r>
      <w:r>
        <w:rPr>
          <w:rFonts w:hint="eastAsia"/>
          <w:color w:val="auto"/>
          <w:spacing w:val="-1"/>
          <w:highlight w:val="none"/>
        </w:rPr>
        <w:t>或者采购代理机构恶意串通的；</w:t>
      </w:r>
    </w:p>
    <w:p>
      <w:pPr>
        <w:pStyle w:val="7"/>
        <w:spacing w:after="0" w:line="360" w:lineRule="auto"/>
        <w:ind w:right="333" w:firstLine="476" w:firstLineChars="200"/>
        <w:rPr>
          <w:color w:val="auto"/>
          <w:spacing w:val="-1"/>
          <w:highlight w:val="none"/>
        </w:rPr>
      </w:pPr>
      <w:r>
        <w:rPr>
          <w:rFonts w:hint="eastAsia"/>
          <w:color w:val="auto"/>
          <w:spacing w:val="-1"/>
          <w:highlight w:val="none"/>
        </w:rPr>
        <w:t>（七）投标有效期内，</w:t>
      </w:r>
      <w:r>
        <w:rPr>
          <w:rFonts w:hint="eastAsia"/>
          <w:color w:val="auto"/>
          <w:spacing w:val="-1"/>
          <w:highlight w:val="none"/>
          <w:lang w:eastAsia="zh-CN"/>
        </w:rPr>
        <w:t>投标人</w:t>
      </w:r>
      <w:r>
        <w:rPr>
          <w:rFonts w:hint="eastAsia"/>
          <w:color w:val="auto"/>
          <w:spacing w:val="-1"/>
          <w:highlight w:val="none"/>
        </w:rPr>
        <w:t>在政府采购活动中有违法、违规、违纪行为。</w:t>
      </w:r>
    </w:p>
    <w:p>
      <w:pPr>
        <w:pStyle w:val="7"/>
        <w:spacing w:after="0" w:line="360" w:lineRule="auto"/>
        <w:ind w:right="333" w:firstLine="476" w:firstLineChars="200"/>
        <w:rPr>
          <w:color w:val="auto"/>
          <w:spacing w:val="-1"/>
          <w:highlight w:val="none"/>
        </w:rPr>
      </w:pPr>
      <w:r>
        <w:rPr>
          <w:rFonts w:hint="eastAsia"/>
          <w:color w:val="auto"/>
          <w:spacing w:val="-1"/>
          <w:highlight w:val="none"/>
        </w:rPr>
        <w:t>由此产生的一切法律后果和责任由我公司承担。我公司声明放弃对此提出任何异议和追索的权利。</w:t>
      </w:r>
    </w:p>
    <w:p>
      <w:pPr>
        <w:pStyle w:val="7"/>
        <w:spacing w:after="0" w:line="360" w:lineRule="auto"/>
        <w:ind w:right="333" w:firstLine="476" w:firstLineChars="200"/>
        <w:rPr>
          <w:color w:val="auto"/>
          <w:spacing w:val="-1"/>
          <w:highlight w:val="none"/>
        </w:rPr>
      </w:pPr>
      <w:r>
        <w:rPr>
          <w:rFonts w:hint="eastAsia"/>
          <w:color w:val="auto"/>
          <w:spacing w:val="-1"/>
          <w:highlight w:val="none"/>
        </w:rPr>
        <w:t>本公司对上述承诺的内容事项真实性负责。如经查实上述承诺的内容事项存在虚假，</w:t>
      </w:r>
      <w:r>
        <w:rPr>
          <w:color w:val="auto"/>
          <w:spacing w:val="-1"/>
          <w:highlight w:val="none"/>
        </w:rPr>
        <w:t xml:space="preserve"> </w:t>
      </w:r>
      <w:r>
        <w:rPr>
          <w:rFonts w:hint="eastAsia"/>
          <w:color w:val="auto"/>
          <w:spacing w:val="-1"/>
          <w:highlight w:val="none"/>
        </w:rPr>
        <w:t>我公司愿意接受以提供虚假材料谋取中标而承担法律责任。</w:t>
      </w:r>
    </w:p>
    <w:p>
      <w:pPr>
        <w:pStyle w:val="7"/>
        <w:spacing w:line="360" w:lineRule="auto"/>
        <w:rPr>
          <w:color w:val="auto"/>
          <w:highlight w:val="none"/>
        </w:rPr>
      </w:pPr>
    </w:p>
    <w:p>
      <w:pPr>
        <w:pStyle w:val="7"/>
        <w:spacing w:line="360" w:lineRule="auto"/>
        <w:rPr>
          <w:color w:val="auto"/>
          <w:highlight w:val="none"/>
        </w:rPr>
      </w:pPr>
    </w:p>
    <w:p>
      <w:pPr>
        <w:pStyle w:val="7"/>
        <w:spacing w:line="360" w:lineRule="auto"/>
        <w:rPr>
          <w:color w:val="auto"/>
          <w:highlight w:val="none"/>
        </w:rPr>
      </w:pPr>
    </w:p>
    <w:p>
      <w:pPr>
        <w:pStyle w:val="7"/>
        <w:spacing w:line="360" w:lineRule="auto"/>
        <w:rPr>
          <w:color w:val="auto"/>
          <w:highlight w:val="none"/>
        </w:rPr>
      </w:pPr>
    </w:p>
    <w:p>
      <w:pPr>
        <w:spacing w:line="360" w:lineRule="auto"/>
        <w:ind w:left="0" w:leftChars="0" w:firstLine="2100" w:firstLineChars="875"/>
        <w:jc w:val="left"/>
        <w:rPr>
          <w:rFonts w:ascii="宋体" w:cs="宋体"/>
          <w:color w:val="auto"/>
          <w:sz w:val="24"/>
          <w:highlight w:val="none"/>
        </w:rPr>
      </w:pPr>
      <w:r>
        <w:rPr>
          <w:rFonts w:hint="eastAsia" w:ascii="宋体" w:hAnsi="宋体" w:cs="宋体"/>
          <w:color w:val="auto"/>
          <w:sz w:val="24"/>
          <w:highlight w:val="none"/>
          <w:lang w:eastAsia="zh-CN"/>
        </w:rPr>
        <w:t>投标人</w:t>
      </w:r>
      <w:r>
        <w:rPr>
          <w:rFonts w:hint="eastAsia" w:ascii="宋体" w:hAnsi="宋体" w:cs="宋体"/>
          <w:color w:val="auto"/>
          <w:sz w:val="24"/>
          <w:highlight w:val="none"/>
        </w:rPr>
        <w:t>：</w:t>
      </w:r>
      <w:r>
        <w:rPr>
          <w:rFonts w:ascii="宋体" w:hAnsi="宋体" w:cs="宋体"/>
          <w:color w:val="auto"/>
          <w:sz w:val="24"/>
          <w:highlight w:val="none"/>
          <w:u w:val="single"/>
        </w:rPr>
        <w:t xml:space="preserve">                          </w:t>
      </w:r>
      <w:r>
        <w:rPr>
          <w:rFonts w:hint="eastAsia" w:ascii="宋体" w:hAnsi="宋体" w:cs="宋体"/>
          <w:color w:val="auto"/>
          <w:sz w:val="24"/>
          <w:highlight w:val="none"/>
        </w:rPr>
        <w:t>（电子签章）</w:t>
      </w:r>
    </w:p>
    <w:p>
      <w:pPr>
        <w:spacing w:line="360" w:lineRule="auto"/>
        <w:ind w:left="0" w:leftChars="0" w:firstLine="2100" w:firstLineChars="875"/>
        <w:jc w:val="left"/>
        <w:rPr>
          <w:rFonts w:ascii="宋体" w:cs="宋体"/>
          <w:color w:val="auto"/>
          <w:sz w:val="24"/>
          <w:highlight w:val="non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rPr>
        <w:t>（电子签章</w:t>
      </w:r>
      <w:r>
        <w:rPr>
          <w:rFonts w:hint="eastAsia" w:ascii="宋体" w:hAnsi="宋体" w:cs="宋体"/>
          <w:color w:val="auto"/>
          <w:kern w:val="0"/>
          <w:sz w:val="24"/>
          <w:highlight w:val="none"/>
        </w:rPr>
        <w:t>或签字</w:t>
      </w:r>
      <w:r>
        <w:rPr>
          <w:rFonts w:hint="eastAsia" w:ascii="宋体" w:hAnsi="宋体" w:cs="宋体"/>
          <w:color w:val="auto"/>
          <w:sz w:val="24"/>
          <w:highlight w:val="none"/>
        </w:rPr>
        <w:t>）</w:t>
      </w:r>
    </w:p>
    <w:p>
      <w:pPr>
        <w:wordWrap w:val="0"/>
        <w:spacing w:line="360" w:lineRule="auto"/>
        <w:ind w:firstLine="3120" w:firstLineChars="1300"/>
        <w:rPr>
          <w:rFonts w:ascii="宋体" w:cs="宋体"/>
          <w:color w:val="auto"/>
          <w:sz w:val="24"/>
          <w:highlight w:val="none"/>
        </w:rPr>
      </w:pPr>
      <w:r>
        <w:rPr>
          <w:rFonts w:hint="eastAsia" w:ascii="宋体" w:hAnsi="宋体" w:cs="宋体"/>
          <w:color w:val="auto"/>
          <w:sz w:val="24"/>
          <w:highlight w:val="none"/>
        </w:rPr>
        <w:t>日</w:t>
      </w:r>
      <w:r>
        <w:rPr>
          <w:rFonts w:ascii="宋体" w:hAnsi="宋体" w:cs="宋体"/>
          <w:color w:val="auto"/>
          <w:sz w:val="24"/>
          <w:highlight w:val="none"/>
        </w:rPr>
        <w:t xml:space="preserve">  </w:t>
      </w:r>
      <w:r>
        <w:rPr>
          <w:rFonts w:hint="eastAsia" w:ascii="宋体" w:hAnsi="宋体" w:cs="宋体"/>
          <w:color w:val="auto"/>
          <w:sz w:val="24"/>
          <w:highlight w:val="none"/>
        </w:rPr>
        <w:t>期：</w:t>
      </w:r>
      <w:r>
        <w:rPr>
          <w:rFonts w:ascii="宋体" w:hAnsi="宋体" w:cs="宋体"/>
          <w:color w:val="auto"/>
          <w:sz w:val="24"/>
          <w:highlight w:val="none"/>
        </w:rPr>
        <w:t xml:space="preserve">     </w:t>
      </w:r>
      <w:r>
        <w:rPr>
          <w:rFonts w:hint="eastAsia" w:ascii="宋体" w:hAnsi="宋体" w:cs="宋体"/>
          <w:color w:val="auto"/>
          <w:sz w:val="24"/>
          <w:highlight w:val="none"/>
        </w:rPr>
        <w:t>年</w:t>
      </w:r>
      <w:r>
        <w:rPr>
          <w:rFonts w:ascii="宋体" w:hAnsi="宋体" w:cs="宋体"/>
          <w:color w:val="auto"/>
          <w:sz w:val="24"/>
          <w:highlight w:val="none"/>
        </w:rPr>
        <w:t xml:space="preserve">     </w:t>
      </w:r>
      <w:r>
        <w:rPr>
          <w:rFonts w:hint="eastAsia" w:ascii="宋体" w:hAnsi="宋体" w:cs="宋体"/>
          <w:color w:val="auto"/>
          <w:sz w:val="24"/>
          <w:highlight w:val="none"/>
        </w:rPr>
        <w:t>月</w:t>
      </w:r>
      <w:r>
        <w:rPr>
          <w:rFonts w:ascii="宋体" w:hAnsi="宋体" w:cs="宋体"/>
          <w:color w:val="auto"/>
          <w:sz w:val="24"/>
          <w:highlight w:val="none"/>
        </w:rPr>
        <w:t xml:space="preserve">     </w:t>
      </w:r>
      <w:r>
        <w:rPr>
          <w:rFonts w:hint="eastAsia" w:ascii="宋体" w:hAnsi="宋体" w:cs="宋体"/>
          <w:color w:val="auto"/>
          <w:sz w:val="24"/>
          <w:highlight w:val="none"/>
        </w:rPr>
        <w:t>日</w:t>
      </w:r>
    </w:p>
    <w:p>
      <w:pPr>
        <w:spacing w:before="54" w:line="360" w:lineRule="auto"/>
        <w:ind w:left="6"/>
        <w:jc w:val="center"/>
        <w:outlineLvl w:val="1"/>
        <w:rPr>
          <w:b/>
          <w:color w:val="auto"/>
          <w:w w:val="95"/>
          <w:sz w:val="32"/>
          <w:highlight w:val="none"/>
        </w:rPr>
      </w:pPr>
      <w:r>
        <w:rPr>
          <w:rFonts w:ascii="宋体" w:cs="宋体"/>
          <w:color w:val="auto"/>
          <w:kern w:val="0"/>
          <w:sz w:val="24"/>
          <w:highlight w:val="none"/>
        </w:rPr>
        <w:br w:type="page"/>
      </w:r>
      <w:bookmarkStart w:id="500" w:name="_Toc32164"/>
      <w:bookmarkStart w:id="501" w:name="_Toc4122"/>
      <w:bookmarkStart w:id="502" w:name="_Toc14405"/>
      <w:r>
        <w:rPr>
          <w:rFonts w:hint="eastAsia"/>
          <w:b/>
          <w:color w:val="auto"/>
          <w:w w:val="95"/>
          <w:sz w:val="32"/>
          <w:highlight w:val="none"/>
        </w:rPr>
        <w:t>五、技术部分</w:t>
      </w:r>
      <w:bookmarkEnd w:id="500"/>
      <w:bookmarkEnd w:id="501"/>
      <w:bookmarkEnd w:id="502"/>
    </w:p>
    <w:p>
      <w:pPr>
        <w:spacing w:before="212" w:line="360" w:lineRule="auto"/>
        <w:ind w:left="1"/>
        <w:jc w:val="center"/>
        <w:rPr>
          <w:b/>
          <w:color w:val="auto"/>
          <w:sz w:val="32"/>
          <w:highlight w:val="none"/>
        </w:rPr>
      </w:pPr>
      <w:bookmarkStart w:id="503" w:name="（一）技术参数偏差表"/>
      <w:bookmarkEnd w:id="503"/>
      <w:r>
        <w:rPr>
          <w:rFonts w:hint="eastAsia"/>
          <w:b/>
          <w:color w:val="auto"/>
          <w:w w:val="95"/>
          <w:sz w:val="32"/>
          <w:highlight w:val="none"/>
        </w:rPr>
        <w:t>（一）技术参数偏差表</w:t>
      </w:r>
    </w:p>
    <w:p>
      <w:pPr>
        <w:pStyle w:val="30"/>
        <w:numPr>
          <w:ilvl w:val="0"/>
          <w:numId w:val="15"/>
        </w:numPr>
        <w:tabs>
          <w:tab w:val="left" w:pos="580"/>
        </w:tabs>
        <w:spacing w:line="360" w:lineRule="auto"/>
        <w:ind w:firstLine="31680"/>
        <w:jc w:val="left"/>
        <w:rPr>
          <w:b/>
          <w:color w:val="auto"/>
          <w:sz w:val="12"/>
          <w:highlight w:val="none"/>
        </w:rPr>
      </w:pPr>
      <w:r>
        <w:rPr>
          <w:rFonts w:hint="eastAsia"/>
          <w:b/>
          <w:color w:val="auto"/>
          <w:sz w:val="24"/>
          <w:highlight w:val="none"/>
        </w:rPr>
        <w:t>标注</w:t>
      </w:r>
      <w:r>
        <w:rPr>
          <w:b/>
          <w:color w:val="auto"/>
          <w:sz w:val="24"/>
          <w:highlight w:val="none"/>
        </w:rPr>
        <w:t>“</w:t>
      </w:r>
      <w:r>
        <w:rPr>
          <w:rFonts w:hint="eastAsia" w:ascii="宋体" w:hAnsi="宋体" w:cs="宋体"/>
          <w:sz w:val="24"/>
          <w:szCs w:val="24"/>
          <w:highlight w:val="none"/>
          <w:lang w:eastAsia="zh-CN"/>
        </w:rPr>
        <w:t>★</w:t>
      </w:r>
      <w:r>
        <w:rPr>
          <w:b/>
          <w:color w:val="auto"/>
          <w:sz w:val="24"/>
          <w:highlight w:val="none"/>
        </w:rPr>
        <w:t>”</w:t>
      </w:r>
      <w:r>
        <w:rPr>
          <w:rFonts w:hint="eastAsia"/>
          <w:b/>
          <w:color w:val="auto"/>
          <w:sz w:val="24"/>
          <w:highlight w:val="none"/>
        </w:rPr>
        <w:t>号项技术参数偏差表</w:t>
      </w:r>
    </w:p>
    <w:tbl>
      <w:tblPr>
        <w:tblStyle w:val="23"/>
        <w:tblW w:w="94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0"/>
        <w:gridCol w:w="852"/>
        <w:gridCol w:w="2148"/>
        <w:gridCol w:w="1635"/>
        <w:gridCol w:w="2320"/>
        <w:gridCol w:w="15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980" w:type="dxa"/>
            <w:vAlign w:val="center"/>
          </w:tcPr>
          <w:p>
            <w:pPr>
              <w:pStyle w:val="27"/>
              <w:spacing w:before="4" w:line="360" w:lineRule="auto"/>
              <w:jc w:val="center"/>
              <w:rPr>
                <w:b/>
                <w:color w:val="auto"/>
                <w:sz w:val="18"/>
                <w:highlight w:val="none"/>
              </w:rPr>
            </w:pPr>
          </w:p>
          <w:p>
            <w:pPr>
              <w:pStyle w:val="27"/>
              <w:spacing w:line="360" w:lineRule="auto"/>
              <w:ind w:left="246" w:right="226"/>
              <w:jc w:val="center"/>
              <w:rPr>
                <w:b/>
                <w:color w:val="auto"/>
                <w:highlight w:val="none"/>
              </w:rPr>
            </w:pPr>
            <w:r>
              <w:rPr>
                <w:rFonts w:hint="eastAsia"/>
                <w:b/>
                <w:color w:val="auto"/>
                <w:w w:val="95"/>
                <w:highlight w:val="none"/>
              </w:rPr>
              <w:t>序号</w:t>
            </w:r>
          </w:p>
        </w:tc>
        <w:tc>
          <w:tcPr>
            <w:tcW w:w="852" w:type="dxa"/>
            <w:vAlign w:val="center"/>
          </w:tcPr>
          <w:p>
            <w:pPr>
              <w:pStyle w:val="27"/>
              <w:spacing w:before="2" w:line="360" w:lineRule="auto"/>
              <w:ind w:left="22"/>
              <w:jc w:val="center"/>
              <w:rPr>
                <w:b/>
                <w:color w:val="auto"/>
                <w:highlight w:val="none"/>
              </w:rPr>
            </w:pPr>
            <w:r>
              <w:rPr>
                <w:rFonts w:hint="eastAsia"/>
                <w:b/>
                <w:color w:val="auto"/>
                <w:w w:val="99"/>
                <w:highlight w:val="none"/>
              </w:rPr>
              <w:t>名</w:t>
            </w:r>
          </w:p>
          <w:p>
            <w:pPr>
              <w:pStyle w:val="27"/>
              <w:spacing w:before="158" w:line="360" w:lineRule="auto"/>
              <w:ind w:left="22"/>
              <w:jc w:val="center"/>
              <w:rPr>
                <w:b/>
                <w:color w:val="auto"/>
                <w:highlight w:val="none"/>
              </w:rPr>
            </w:pPr>
            <w:r>
              <w:rPr>
                <w:rFonts w:hint="eastAsia"/>
                <w:b/>
                <w:color w:val="auto"/>
                <w:w w:val="99"/>
                <w:highlight w:val="none"/>
              </w:rPr>
              <w:t>称</w:t>
            </w:r>
          </w:p>
        </w:tc>
        <w:tc>
          <w:tcPr>
            <w:tcW w:w="2148" w:type="dxa"/>
            <w:vAlign w:val="center"/>
          </w:tcPr>
          <w:p>
            <w:pPr>
              <w:pStyle w:val="27"/>
              <w:spacing w:before="2" w:line="360" w:lineRule="auto"/>
              <w:ind w:left="219" w:right="192"/>
              <w:jc w:val="center"/>
              <w:rPr>
                <w:b/>
                <w:color w:val="auto"/>
                <w:highlight w:val="none"/>
              </w:rPr>
            </w:pPr>
            <w:r>
              <w:rPr>
                <w:rFonts w:hint="eastAsia"/>
                <w:b/>
                <w:color w:val="auto"/>
                <w:highlight w:val="none"/>
              </w:rPr>
              <w:t>招标文件要求的</w:t>
            </w:r>
          </w:p>
          <w:p>
            <w:pPr>
              <w:pStyle w:val="27"/>
              <w:spacing w:before="158" w:line="360" w:lineRule="auto"/>
              <w:ind w:left="216" w:right="192"/>
              <w:jc w:val="center"/>
              <w:rPr>
                <w:b/>
                <w:color w:val="auto"/>
                <w:highlight w:val="none"/>
              </w:rPr>
            </w:pPr>
            <w:r>
              <w:rPr>
                <w:rFonts w:hint="eastAsia"/>
                <w:b/>
                <w:color w:val="auto"/>
                <w:highlight w:val="none"/>
              </w:rPr>
              <w:t>技术参数</w:t>
            </w:r>
          </w:p>
        </w:tc>
        <w:tc>
          <w:tcPr>
            <w:tcW w:w="1635" w:type="dxa"/>
            <w:vAlign w:val="center"/>
          </w:tcPr>
          <w:p>
            <w:pPr>
              <w:pStyle w:val="27"/>
              <w:spacing w:before="2" w:line="360" w:lineRule="auto"/>
              <w:ind w:left="14"/>
              <w:jc w:val="center"/>
              <w:rPr>
                <w:b/>
                <w:color w:val="auto"/>
                <w:highlight w:val="none"/>
              </w:rPr>
            </w:pPr>
            <w:r>
              <w:rPr>
                <w:rFonts w:hint="eastAsia"/>
                <w:b/>
                <w:color w:val="auto"/>
                <w:highlight w:val="none"/>
              </w:rPr>
              <w:t>投标文件所附</w:t>
            </w:r>
          </w:p>
          <w:p>
            <w:pPr>
              <w:pStyle w:val="27"/>
              <w:spacing w:before="158" w:line="360" w:lineRule="auto"/>
              <w:ind w:left="134"/>
              <w:jc w:val="center"/>
              <w:rPr>
                <w:b/>
                <w:color w:val="auto"/>
                <w:highlight w:val="none"/>
              </w:rPr>
            </w:pPr>
            <w:r>
              <w:rPr>
                <w:rFonts w:hint="eastAsia"/>
                <w:b/>
                <w:color w:val="auto"/>
                <w:highlight w:val="none"/>
              </w:rPr>
              <w:t>的技术参数</w:t>
            </w:r>
          </w:p>
        </w:tc>
        <w:tc>
          <w:tcPr>
            <w:tcW w:w="2320" w:type="dxa"/>
            <w:vAlign w:val="center"/>
          </w:tcPr>
          <w:p>
            <w:pPr>
              <w:pStyle w:val="27"/>
              <w:spacing w:before="158" w:line="360" w:lineRule="auto"/>
              <w:ind w:right="147"/>
              <w:jc w:val="center"/>
              <w:rPr>
                <w:b/>
                <w:color w:val="auto"/>
                <w:highlight w:val="none"/>
              </w:rPr>
            </w:pPr>
            <w:r>
              <w:rPr>
                <w:rFonts w:hint="eastAsia"/>
                <w:b/>
                <w:color w:val="auto"/>
                <w:highlight w:val="none"/>
              </w:rPr>
              <w:t>偏差情况</w:t>
            </w:r>
          </w:p>
        </w:tc>
        <w:tc>
          <w:tcPr>
            <w:tcW w:w="1500" w:type="dxa"/>
            <w:vAlign w:val="center"/>
          </w:tcPr>
          <w:p>
            <w:pPr>
              <w:pStyle w:val="27"/>
              <w:spacing w:before="4" w:line="360" w:lineRule="auto"/>
              <w:jc w:val="center"/>
              <w:rPr>
                <w:b/>
                <w:color w:val="auto"/>
                <w:sz w:val="18"/>
                <w:highlight w:val="none"/>
              </w:rPr>
            </w:pPr>
          </w:p>
          <w:p>
            <w:pPr>
              <w:pStyle w:val="27"/>
              <w:spacing w:line="360" w:lineRule="auto"/>
              <w:ind w:left="30"/>
              <w:jc w:val="center"/>
              <w:rPr>
                <w:b/>
                <w:color w:val="auto"/>
                <w:highlight w:val="none"/>
              </w:rPr>
            </w:pPr>
            <w:r>
              <w:rPr>
                <w:rFonts w:hint="eastAsia"/>
                <w:b/>
                <w:color w:val="auto"/>
                <w:highlight w:val="none"/>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980" w:type="dxa"/>
          </w:tcPr>
          <w:p>
            <w:pPr>
              <w:pStyle w:val="27"/>
              <w:spacing w:before="162" w:line="360" w:lineRule="auto"/>
              <w:ind w:left="15"/>
              <w:jc w:val="center"/>
              <w:rPr>
                <w:color w:val="auto"/>
                <w:highlight w:val="none"/>
              </w:rPr>
            </w:pPr>
            <w:r>
              <w:rPr>
                <w:color w:val="auto"/>
                <w:highlight w:val="none"/>
              </w:rPr>
              <w:t>1</w:t>
            </w:r>
          </w:p>
        </w:tc>
        <w:tc>
          <w:tcPr>
            <w:tcW w:w="852" w:type="dxa"/>
          </w:tcPr>
          <w:p>
            <w:pPr>
              <w:pStyle w:val="27"/>
              <w:spacing w:line="360" w:lineRule="auto"/>
              <w:rPr>
                <w:color w:val="auto"/>
                <w:sz w:val="22"/>
                <w:highlight w:val="none"/>
              </w:rPr>
            </w:pPr>
          </w:p>
        </w:tc>
        <w:tc>
          <w:tcPr>
            <w:tcW w:w="2148" w:type="dxa"/>
          </w:tcPr>
          <w:p>
            <w:pPr>
              <w:pStyle w:val="27"/>
              <w:spacing w:line="360" w:lineRule="auto"/>
              <w:rPr>
                <w:color w:val="auto"/>
                <w:sz w:val="22"/>
                <w:highlight w:val="none"/>
              </w:rPr>
            </w:pPr>
          </w:p>
        </w:tc>
        <w:tc>
          <w:tcPr>
            <w:tcW w:w="1635" w:type="dxa"/>
          </w:tcPr>
          <w:p>
            <w:pPr>
              <w:pStyle w:val="27"/>
              <w:spacing w:line="360" w:lineRule="auto"/>
              <w:rPr>
                <w:color w:val="auto"/>
                <w:sz w:val="22"/>
                <w:highlight w:val="none"/>
              </w:rPr>
            </w:pPr>
          </w:p>
        </w:tc>
        <w:tc>
          <w:tcPr>
            <w:tcW w:w="2320" w:type="dxa"/>
          </w:tcPr>
          <w:p>
            <w:pPr>
              <w:pStyle w:val="27"/>
              <w:spacing w:line="360" w:lineRule="auto"/>
              <w:rPr>
                <w:color w:val="auto"/>
                <w:sz w:val="22"/>
                <w:highlight w:val="none"/>
              </w:rPr>
            </w:pPr>
          </w:p>
        </w:tc>
        <w:tc>
          <w:tcPr>
            <w:tcW w:w="1500" w:type="dxa"/>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980" w:type="dxa"/>
          </w:tcPr>
          <w:p>
            <w:pPr>
              <w:pStyle w:val="27"/>
              <w:spacing w:before="160" w:line="360" w:lineRule="auto"/>
              <w:ind w:left="15"/>
              <w:jc w:val="center"/>
              <w:rPr>
                <w:color w:val="auto"/>
                <w:highlight w:val="none"/>
              </w:rPr>
            </w:pPr>
            <w:r>
              <w:rPr>
                <w:color w:val="auto"/>
                <w:highlight w:val="none"/>
              </w:rPr>
              <w:t>2</w:t>
            </w:r>
          </w:p>
        </w:tc>
        <w:tc>
          <w:tcPr>
            <w:tcW w:w="852" w:type="dxa"/>
          </w:tcPr>
          <w:p>
            <w:pPr>
              <w:pStyle w:val="27"/>
              <w:spacing w:line="360" w:lineRule="auto"/>
              <w:rPr>
                <w:color w:val="auto"/>
                <w:sz w:val="22"/>
                <w:highlight w:val="none"/>
              </w:rPr>
            </w:pPr>
          </w:p>
        </w:tc>
        <w:tc>
          <w:tcPr>
            <w:tcW w:w="2148" w:type="dxa"/>
          </w:tcPr>
          <w:p>
            <w:pPr>
              <w:pStyle w:val="27"/>
              <w:spacing w:line="360" w:lineRule="auto"/>
              <w:rPr>
                <w:color w:val="auto"/>
                <w:sz w:val="22"/>
                <w:highlight w:val="none"/>
              </w:rPr>
            </w:pPr>
          </w:p>
        </w:tc>
        <w:tc>
          <w:tcPr>
            <w:tcW w:w="1635" w:type="dxa"/>
          </w:tcPr>
          <w:p>
            <w:pPr>
              <w:pStyle w:val="27"/>
              <w:spacing w:line="360" w:lineRule="auto"/>
              <w:rPr>
                <w:color w:val="auto"/>
                <w:sz w:val="22"/>
                <w:highlight w:val="none"/>
              </w:rPr>
            </w:pPr>
          </w:p>
        </w:tc>
        <w:tc>
          <w:tcPr>
            <w:tcW w:w="2320" w:type="dxa"/>
          </w:tcPr>
          <w:p>
            <w:pPr>
              <w:pStyle w:val="27"/>
              <w:spacing w:line="360" w:lineRule="auto"/>
              <w:rPr>
                <w:color w:val="auto"/>
                <w:sz w:val="22"/>
                <w:highlight w:val="none"/>
              </w:rPr>
            </w:pPr>
          </w:p>
        </w:tc>
        <w:tc>
          <w:tcPr>
            <w:tcW w:w="1500" w:type="dxa"/>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980" w:type="dxa"/>
          </w:tcPr>
          <w:p>
            <w:pPr>
              <w:pStyle w:val="27"/>
              <w:spacing w:before="161" w:line="360" w:lineRule="auto"/>
              <w:ind w:left="15"/>
              <w:jc w:val="center"/>
              <w:rPr>
                <w:color w:val="auto"/>
                <w:highlight w:val="none"/>
              </w:rPr>
            </w:pPr>
            <w:r>
              <w:rPr>
                <w:color w:val="auto"/>
                <w:highlight w:val="none"/>
              </w:rPr>
              <w:t>3</w:t>
            </w:r>
          </w:p>
        </w:tc>
        <w:tc>
          <w:tcPr>
            <w:tcW w:w="852" w:type="dxa"/>
          </w:tcPr>
          <w:p>
            <w:pPr>
              <w:pStyle w:val="27"/>
              <w:spacing w:line="360" w:lineRule="auto"/>
              <w:rPr>
                <w:color w:val="auto"/>
                <w:sz w:val="22"/>
                <w:highlight w:val="none"/>
              </w:rPr>
            </w:pPr>
          </w:p>
        </w:tc>
        <w:tc>
          <w:tcPr>
            <w:tcW w:w="2148" w:type="dxa"/>
          </w:tcPr>
          <w:p>
            <w:pPr>
              <w:pStyle w:val="27"/>
              <w:spacing w:line="360" w:lineRule="auto"/>
              <w:rPr>
                <w:color w:val="auto"/>
                <w:sz w:val="22"/>
                <w:highlight w:val="none"/>
              </w:rPr>
            </w:pPr>
          </w:p>
        </w:tc>
        <w:tc>
          <w:tcPr>
            <w:tcW w:w="1635" w:type="dxa"/>
          </w:tcPr>
          <w:p>
            <w:pPr>
              <w:pStyle w:val="27"/>
              <w:spacing w:line="360" w:lineRule="auto"/>
              <w:rPr>
                <w:color w:val="auto"/>
                <w:sz w:val="22"/>
                <w:highlight w:val="none"/>
              </w:rPr>
            </w:pPr>
          </w:p>
        </w:tc>
        <w:tc>
          <w:tcPr>
            <w:tcW w:w="2320" w:type="dxa"/>
          </w:tcPr>
          <w:p>
            <w:pPr>
              <w:pStyle w:val="27"/>
              <w:spacing w:line="360" w:lineRule="auto"/>
              <w:rPr>
                <w:color w:val="auto"/>
                <w:sz w:val="22"/>
                <w:highlight w:val="none"/>
              </w:rPr>
            </w:pPr>
          </w:p>
        </w:tc>
        <w:tc>
          <w:tcPr>
            <w:tcW w:w="1500" w:type="dxa"/>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jc w:val="center"/>
        </w:trPr>
        <w:tc>
          <w:tcPr>
            <w:tcW w:w="980" w:type="dxa"/>
          </w:tcPr>
          <w:p>
            <w:pPr>
              <w:pStyle w:val="27"/>
              <w:spacing w:before="161" w:line="360" w:lineRule="auto"/>
              <w:ind w:left="15"/>
              <w:jc w:val="center"/>
              <w:rPr>
                <w:color w:val="auto"/>
                <w:highlight w:val="none"/>
              </w:rPr>
            </w:pPr>
            <w:r>
              <w:rPr>
                <w:color w:val="auto"/>
                <w:highlight w:val="none"/>
              </w:rPr>
              <w:t>4</w:t>
            </w:r>
          </w:p>
        </w:tc>
        <w:tc>
          <w:tcPr>
            <w:tcW w:w="852" w:type="dxa"/>
          </w:tcPr>
          <w:p>
            <w:pPr>
              <w:pStyle w:val="27"/>
              <w:spacing w:line="360" w:lineRule="auto"/>
              <w:rPr>
                <w:color w:val="auto"/>
                <w:sz w:val="22"/>
                <w:highlight w:val="none"/>
              </w:rPr>
            </w:pPr>
          </w:p>
        </w:tc>
        <w:tc>
          <w:tcPr>
            <w:tcW w:w="2148" w:type="dxa"/>
          </w:tcPr>
          <w:p>
            <w:pPr>
              <w:pStyle w:val="27"/>
              <w:spacing w:line="360" w:lineRule="auto"/>
              <w:rPr>
                <w:color w:val="auto"/>
                <w:sz w:val="22"/>
                <w:highlight w:val="none"/>
              </w:rPr>
            </w:pPr>
          </w:p>
        </w:tc>
        <w:tc>
          <w:tcPr>
            <w:tcW w:w="1635" w:type="dxa"/>
          </w:tcPr>
          <w:p>
            <w:pPr>
              <w:pStyle w:val="27"/>
              <w:spacing w:line="360" w:lineRule="auto"/>
              <w:rPr>
                <w:color w:val="auto"/>
                <w:sz w:val="22"/>
                <w:highlight w:val="none"/>
              </w:rPr>
            </w:pPr>
          </w:p>
        </w:tc>
        <w:tc>
          <w:tcPr>
            <w:tcW w:w="2320" w:type="dxa"/>
          </w:tcPr>
          <w:p>
            <w:pPr>
              <w:pStyle w:val="27"/>
              <w:spacing w:line="360" w:lineRule="auto"/>
              <w:rPr>
                <w:color w:val="auto"/>
                <w:sz w:val="22"/>
                <w:highlight w:val="none"/>
              </w:rPr>
            </w:pPr>
          </w:p>
        </w:tc>
        <w:tc>
          <w:tcPr>
            <w:tcW w:w="1500" w:type="dxa"/>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jc w:val="center"/>
        </w:trPr>
        <w:tc>
          <w:tcPr>
            <w:tcW w:w="980" w:type="dxa"/>
          </w:tcPr>
          <w:p>
            <w:pPr>
              <w:pStyle w:val="27"/>
              <w:spacing w:before="162" w:line="360" w:lineRule="auto"/>
              <w:ind w:left="15"/>
              <w:jc w:val="center"/>
              <w:rPr>
                <w:color w:val="auto"/>
                <w:highlight w:val="none"/>
              </w:rPr>
            </w:pPr>
            <w:r>
              <w:rPr>
                <w:color w:val="auto"/>
                <w:highlight w:val="none"/>
              </w:rPr>
              <w:t>5</w:t>
            </w:r>
          </w:p>
        </w:tc>
        <w:tc>
          <w:tcPr>
            <w:tcW w:w="852" w:type="dxa"/>
          </w:tcPr>
          <w:p>
            <w:pPr>
              <w:pStyle w:val="27"/>
              <w:spacing w:line="360" w:lineRule="auto"/>
              <w:rPr>
                <w:color w:val="auto"/>
                <w:sz w:val="22"/>
                <w:highlight w:val="none"/>
              </w:rPr>
            </w:pPr>
          </w:p>
        </w:tc>
        <w:tc>
          <w:tcPr>
            <w:tcW w:w="2148" w:type="dxa"/>
          </w:tcPr>
          <w:p>
            <w:pPr>
              <w:pStyle w:val="27"/>
              <w:spacing w:line="360" w:lineRule="auto"/>
              <w:rPr>
                <w:color w:val="auto"/>
                <w:sz w:val="22"/>
                <w:highlight w:val="none"/>
              </w:rPr>
            </w:pPr>
          </w:p>
        </w:tc>
        <w:tc>
          <w:tcPr>
            <w:tcW w:w="1635" w:type="dxa"/>
          </w:tcPr>
          <w:p>
            <w:pPr>
              <w:pStyle w:val="27"/>
              <w:spacing w:line="360" w:lineRule="auto"/>
              <w:rPr>
                <w:color w:val="auto"/>
                <w:sz w:val="22"/>
                <w:highlight w:val="none"/>
              </w:rPr>
            </w:pPr>
          </w:p>
        </w:tc>
        <w:tc>
          <w:tcPr>
            <w:tcW w:w="2320" w:type="dxa"/>
          </w:tcPr>
          <w:p>
            <w:pPr>
              <w:pStyle w:val="27"/>
              <w:spacing w:line="360" w:lineRule="auto"/>
              <w:rPr>
                <w:color w:val="auto"/>
                <w:sz w:val="22"/>
                <w:highlight w:val="none"/>
              </w:rPr>
            </w:pPr>
          </w:p>
        </w:tc>
        <w:tc>
          <w:tcPr>
            <w:tcW w:w="1500" w:type="dxa"/>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980" w:type="dxa"/>
          </w:tcPr>
          <w:p>
            <w:pPr>
              <w:pStyle w:val="27"/>
              <w:spacing w:before="162" w:line="360" w:lineRule="auto"/>
              <w:ind w:left="241" w:right="226"/>
              <w:jc w:val="center"/>
              <w:rPr>
                <w:color w:val="auto"/>
                <w:highlight w:val="none"/>
              </w:rPr>
            </w:pPr>
            <w:r>
              <w:rPr>
                <w:color w:val="auto"/>
                <w:highlight w:val="none"/>
              </w:rPr>
              <w:t>...</w:t>
            </w:r>
          </w:p>
        </w:tc>
        <w:tc>
          <w:tcPr>
            <w:tcW w:w="852" w:type="dxa"/>
          </w:tcPr>
          <w:p>
            <w:pPr>
              <w:pStyle w:val="27"/>
              <w:spacing w:line="360" w:lineRule="auto"/>
              <w:rPr>
                <w:color w:val="auto"/>
                <w:sz w:val="22"/>
                <w:highlight w:val="none"/>
              </w:rPr>
            </w:pPr>
          </w:p>
        </w:tc>
        <w:tc>
          <w:tcPr>
            <w:tcW w:w="2148" w:type="dxa"/>
          </w:tcPr>
          <w:p>
            <w:pPr>
              <w:pStyle w:val="27"/>
              <w:spacing w:line="360" w:lineRule="auto"/>
              <w:rPr>
                <w:color w:val="auto"/>
                <w:sz w:val="22"/>
                <w:highlight w:val="none"/>
              </w:rPr>
            </w:pPr>
          </w:p>
        </w:tc>
        <w:tc>
          <w:tcPr>
            <w:tcW w:w="1635" w:type="dxa"/>
          </w:tcPr>
          <w:p>
            <w:pPr>
              <w:pStyle w:val="27"/>
              <w:spacing w:line="360" w:lineRule="auto"/>
              <w:rPr>
                <w:color w:val="auto"/>
                <w:sz w:val="22"/>
                <w:highlight w:val="none"/>
              </w:rPr>
            </w:pPr>
          </w:p>
        </w:tc>
        <w:tc>
          <w:tcPr>
            <w:tcW w:w="2320" w:type="dxa"/>
          </w:tcPr>
          <w:p>
            <w:pPr>
              <w:pStyle w:val="27"/>
              <w:spacing w:line="360" w:lineRule="auto"/>
              <w:rPr>
                <w:color w:val="auto"/>
                <w:sz w:val="22"/>
                <w:highlight w:val="none"/>
              </w:rPr>
            </w:pPr>
          </w:p>
        </w:tc>
        <w:tc>
          <w:tcPr>
            <w:tcW w:w="1500" w:type="dxa"/>
          </w:tcPr>
          <w:p>
            <w:pPr>
              <w:pStyle w:val="27"/>
              <w:spacing w:line="360" w:lineRule="auto"/>
              <w:rPr>
                <w:color w:val="auto"/>
                <w:sz w:val="22"/>
                <w:highlight w:val="none"/>
              </w:rPr>
            </w:pPr>
          </w:p>
        </w:tc>
      </w:tr>
    </w:tbl>
    <w:p>
      <w:pPr>
        <w:pStyle w:val="7"/>
        <w:spacing w:line="360" w:lineRule="auto"/>
        <w:rPr>
          <w:b/>
          <w:color w:val="auto"/>
          <w:highlight w:val="none"/>
        </w:rPr>
      </w:pPr>
    </w:p>
    <w:p>
      <w:pPr>
        <w:spacing w:line="360" w:lineRule="auto"/>
        <w:ind w:right="-1"/>
        <w:rPr>
          <w:rFonts w:ascii="宋体" w:cs="宋体"/>
          <w:color w:val="auto"/>
          <w:sz w:val="24"/>
          <w:szCs w:val="21"/>
          <w:highlight w:val="none"/>
        </w:rPr>
      </w:pPr>
      <w:r>
        <w:rPr>
          <w:rFonts w:hint="eastAsia" w:ascii="宋体" w:hAnsi="宋体" w:cs="宋体"/>
          <w:color w:val="auto"/>
          <w:sz w:val="24"/>
          <w:szCs w:val="21"/>
          <w:highlight w:val="none"/>
        </w:rPr>
        <w:t>说明：</w:t>
      </w:r>
    </w:p>
    <w:p>
      <w:pPr>
        <w:spacing w:line="360" w:lineRule="auto"/>
        <w:ind w:right="-1"/>
        <w:rPr>
          <w:rFonts w:ascii="宋体" w:cs="宋体"/>
          <w:color w:val="auto"/>
          <w:sz w:val="24"/>
          <w:szCs w:val="21"/>
          <w:highlight w:val="none"/>
        </w:rPr>
      </w:pPr>
      <w:r>
        <w:rPr>
          <w:rFonts w:ascii="宋体" w:hAnsi="宋体" w:cs="宋体"/>
          <w:color w:val="auto"/>
          <w:sz w:val="24"/>
          <w:szCs w:val="21"/>
          <w:highlight w:val="none"/>
        </w:rPr>
        <w:t>1</w:t>
      </w:r>
      <w:r>
        <w:rPr>
          <w:rFonts w:hint="eastAsia" w:ascii="宋体" w:hAnsi="宋体" w:cs="宋体"/>
          <w:color w:val="auto"/>
          <w:sz w:val="24"/>
          <w:szCs w:val="21"/>
          <w:highlight w:val="none"/>
        </w:rPr>
        <w:t>、投标人应根据招标要求逐条逐项表述说明投标响应情况。</w:t>
      </w:r>
      <w:r>
        <w:rPr>
          <w:rFonts w:ascii="宋体" w:hAnsi="宋体" w:cs="宋体"/>
          <w:color w:val="auto"/>
          <w:sz w:val="24"/>
          <w:szCs w:val="21"/>
          <w:highlight w:val="none"/>
        </w:rPr>
        <w:t xml:space="preserve"> </w:t>
      </w:r>
    </w:p>
    <w:p>
      <w:pPr>
        <w:spacing w:line="360" w:lineRule="auto"/>
        <w:ind w:right="-1"/>
        <w:rPr>
          <w:rFonts w:ascii="宋体" w:cs="宋体"/>
          <w:color w:val="auto"/>
          <w:sz w:val="24"/>
          <w:szCs w:val="21"/>
          <w:highlight w:val="none"/>
        </w:rPr>
      </w:pPr>
      <w:r>
        <w:rPr>
          <w:rFonts w:ascii="宋体" w:hAnsi="宋体" w:cs="宋体"/>
          <w:color w:val="auto"/>
          <w:sz w:val="24"/>
          <w:szCs w:val="21"/>
          <w:highlight w:val="none"/>
        </w:rPr>
        <w:t>2</w:t>
      </w:r>
      <w:r>
        <w:rPr>
          <w:rFonts w:hint="eastAsia" w:ascii="宋体" w:hAnsi="宋体" w:cs="宋体"/>
          <w:color w:val="auto"/>
          <w:sz w:val="24"/>
          <w:szCs w:val="21"/>
          <w:highlight w:val="none"/>
        </w:rPr>
        <w:t>、投标人提交的投标文件中的技术参数与招标文件的技术要求、技术参数不同时，应逐条逐项如实填列在偏离表中。投标人不如实填写偏离情况、存在弄虚作假行为的，将依法承担相应的法律责任。“偏差情况”是指“正偏离”、“负偏离”</w:t>
      </w:r>
      <w:r>
        <w:rPr>
          <w:rFonts w:ascii="宋体" w:hAnsi="宋体" w:cs="宋体"/>
          <w:color w:val="auto"/>
          <w:sz w:val="24"/>
          <w:szCs w:val="21"/>
          <w:highlight w:val="none"/>
        </w:rPr>
        <w:t xml:space="preserve"> </w:t>
      </w:r>
      <w:r>
        <w:rPr>
          <w:rFonts w:hint="eastAsia" w:ascii="宋体" w:hAnsi="宋体" w:cs="宋体"/>
          <w:color w:val="auto"/>
          <w:sz w:val="24"/>
          <w:szCs w:val="21"/>
          <w:highlight w:val="none"/>
        </w:rPr>
        <w:t>或“无偏离”</w:t>
      </w:r>
    </w:p>
    <w:p>
      <w:pPr>
        <w:pStyle w:val="7"/>
        <w:spacing w:line="360" w:lineRule="auto"/>
        <w:rPr>
          <w:color w:val="auto"/>
          <w:sz w:val="20"/>
          <w:highlight w:val="none"/>
        </w:rPr>
      </w:pPr>
    </w:p>
    <w:p>
      <w:pPr>
        <w:pStyle w:val="8"/>
        <w:spacing w:line="360" w:lineRule="auto"/>
        <w:rPr>
          <w:color w:val="auto"/>
          <w:sz w:val="20"/>
          <w:highlight w:val="none"/>
        </w:rPr>
      </w:pPr>
    </w:p>
    <w:p>
      <w:pPr>
        <w:spacing w:line="360" w:lineRule="auto"/>
        <w:rPr>
          <w:color w:val="auto"/>
          <w:sz w:val="20"/>
          <w:highlight w:val="none"/>
        </w:rPr>
      </w:pPr>
    </w:p>
    <w:p>
      <w:pPr>
        <w:pStyle w:val="21"/>
        <w:spacing w:line="360" w:lineRule="auto"/>
        <w:ind w:firstLine="0"/>
        <w:rPr>
          <w:color w:val="auto"/>
          <w:sz w:val="20"/>
          <w:highlight w:val="none"/>
        </w:rPr>
      </w:pPr>
    </w:p>
    <w:p>
      <w:pPr>
        <w:pStyle w:val="30"/>
        <w:tabs>
          <w:tab w:val="left" w:pos="580"/>
        </w:tabs>
        <w:spacing w:before="215" w:line="360" w:lineRule="auto"/>
        <w:ind w:left="335" w:firstLine="0" w:firstLineChars="0"/>
        <w:jc w:val="left"/>
        <w:rPr>
          <w:b/>
          <w:color w:val="auto"/>
          <w:sz w:val="24"/>
          <w:highlight w:val="none"/>
        </w:rPr>
      </w:pPr>
    </w:p>
    <w:p>
      <w:pPr>
        <w:pStyle w:val="30"/>
        <w:tabs>
          <w:tab w:val="left" w:pos="580"/>
        </w:tabs>
        <w:spacing w:before="215" w:line="360" w:lineRule="auto"/>
        <w:ind w:left="335" w:firstLine="0" w:firstLineChars="0"/>
        <w:jc w:val="left"/>
        <w:rPr>
          <w:b/>
          <w:color w:val="auto"/>
          <w:sz w:val="24"/>
          <w:highlight w:val="none"/>
        </w:rPr>
      </w:pPr>
    </w:p>
    <w:p>
      <w:pPr>
        <w:pStyle w:val="30"/>
        <w:numPr>
          <w:ilvl w:val="0"/>
          <w:numId w:val="15"/>
        </w:numPr>
        <w:tabs>
          <w:tab w:val="left" w:pos="580"/>
        </w:tabs>
        <w:spacing w:line="360" w:lineRule="auto"/>
        <w:ind w:firstLine="31680"/>
        <w:jc w:val="left"/>
        <w:rPr>
          <w:b/>
          <w:color w:val="auto"/>
          <w:sz w:val="12"/>
          <w:highlight w:val="none"/>
        </w:rPr>
      </w:pPr>
      <w:r>
        <w:rPr>
          <w:rFonts w:hint="eastAsia"/>
          <w:b/>
          <w:color w:val="auto"/>
          <w:sz w:val="24"/>
          <w:highlight w:val="none"/>
        </w:rPr>
        <w:t>标注</w:t>
      </w:r>
      <w:r>
        <w:rPr>
          <w:b/>
          <w:color w:val="auto"/>
          <w:sz w:val="24"/>
          <w:highlight w:val="none"/>
        </w:rPr>
        <w:t>“</w:t>
      </w:r>
      <w:r>
        <w:rPr>
          <w:rFonts w:hint="eastAsia" w:ascii="宋体" w:hAnsi="宋体" w:cs="宋体"/>
          <w:sz w:val="24"/>
          <w:szCs w:val="24"/>
          <w:highlight w:val="none"/>
          <w:lang w:eastAsia="zh-CN"/>
        </w:rPr>
        <w:t>☆</w:t>
      </w:r>
      <w:r>
        <w:rPr>
          <w:b/>
          <w:color w:val="auto"/>
          <w:sz w:val="24"/>
          <w:highlight w:val="none"/>
        </w:rPr>
        <w:t>”</w:t>
      </w:r>
      <w:r>
        <w:rPr>
          <w:rFonts w:hint="eastAsia"/>
          <w:b/>
          <w:color w:val="auto"/>
          <w:sz w:val="24"/>
          <w:highlight w:val="none"/>
        </w:rPr>
        <w:t>号项技术参数偏差表</w:t>
      </w:r>
    </w:p>
    <w:tbl>
      <w:tblPr>
        <w:tblStyle w:val="23"/>
        <w:tblW w:w="94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0"/>
        <w:gridCol w:w="852"/>
        <w:gridCol w:w="2148"/>
        <w:gridCol w:w="1635"/>
        <w:gridCol w:w="2320"/>
        <w:gridCol w:w="15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980" w:type="dxa"/>
            <w:vAlign w:val="center"/>
          </w:tcPr>
          <w:p>
            <w:pPr>
              <w:pStyle w:val="27"/>
              <w:spacing w:before="4" w:line="360" w:lineRule="auto"/>
              <w:jc w:val="center"/>
              <w:rPr>
                <w:b/>
                <w:color w:val="auto"/>
                <w:sz w:val="18"/>
                <w:highlight w:val="none"/>
              </w:rPr>
            </w:pPr>
          </w:p>
          <w:p>
            <w:pPr>
              <w:pStyle w:val="27"/>
              <w:spacing w:line="360" w:lineRule="auto"/>
              <w:ind w:left="246" w:right="226"/>
              <w:jc w:val="center"/>
              <w:rPr>
                <w:b/>
                <w:color w:val="auto"/>
                <w:highlight w:val="none"/>
              </w:rPr>
            </w:pPr>
            <w:r>
              <w:rPr>
                <w:rFonts w:hint="eastAsia"/>
                <w:b/>
                <w:color w:val="auto"/>
                <w:w w:val="95"/>
                <w:highlight w:val="none"/>
              </w:rPr>
              <w:t>序号</w:t>
            </w:r>
          </w:p>
        </w:tc>
        <w:tc>
          <w:tcPr>
            <w:tcW w:w="852" w:type="dxa"/>
            <w:vAlign w:val="center"/>
          </w:tcPr>
          <w:p>
            <w:pPr>
              <w:pStyle w:val="27"/>
              <w:spacing w:before="2" w:line="360" w:lineRule="auto"/>
              <w:ind w:left="22"/>
              <w:jc w:val="center"/>
              <w:rPr>
                <w:b/>
                <w:color w:val="auto"/>
                <w:highlight w:val="none"/>
              </w:rPr>
            </w:pPr>
            <w:r>
              <w:rPr>
                <w:rFonts w:hint="eastAsia"/>
                <w:b/>
                <w:color w:val="auto"/>
                <w:w w:val="99"/>
                <w:highlight w:val="none"/>
              </w:rPr>
              <w:t>名</w:t>
            </w:r>
          </w:p>
          <w:p>
            <w:pPr>
              <w:pStyle w:val="27"/>
              <w:spacing w:before="158" w:line="360" w:lineRule="auto"/>
              <w:ind w:left="22"/>
              <w:jc w:val="center"/>
              <w:rPr>
                <w:b/>
                <w:color w:val="auto"/>
                <w:highlight w:val="none"/>
              </w:rPr>
            </w:pPr>
            <w:r>
              <w:rPr>
                <w:rFonts w:hint="eastAsia"/>
                <w:b/>
                <w:color w:val="auto"/>
                <w:w w:val="99"/>
                <w:highlight w:val="none"/>
              </w:rPr>
              <w:t>称</w:t>
            </w:r>
          </w:p>
        </w:tc>
        <w:tc>
          <w:tcPr>
            <w:tcW w:w="2148" w:type="dxa"/>
            <w:vAlign w:val="center"/>
          </w:tcPr>
          <w:p>
            <w:pPr>
              <w:pStyle w:val="27"/>
              <w:spacing w:before="2" w:line="360" w:lineRule="auto"/>
              <w:ind w:left="219" w:right="192"/>
              <w:jc w:val="center"/>
              <w:rPr>
                <w:b/>
                <w:color w:val="auto"/>
                <w:highlight w:val="none"/>
              </w:rPr>
            </w:pPr>
            <w:r>
              <w:rPr>
                <w:rFonts w:hint="eastAsia"/>
                <w:b/>
                <w:color w:val="auto"/>
                <w:highlight w:val="none"/>
              </w:rPr>
              <w:t>招标文件要求的</w:t>
            </w:r>
          </w:p>
          <w:p>
            <w:pPr>
              <w:pStyle w:val="27"/>
              <w:spacing w:before="158" w:line="360" w:lineRule="auto"/>
              <w:ind w:left="216" w:right="192"/>
              <w:jc w:val="center"/>
              <w:rPr>
                <w:b/>
                <w:color w:val="auto"/>
                <w:highlight w:val="none"/>
              </w:rPr>
            </w:pPr>
            <w:r>
              <w:rPr>
                <w:rFonts w:hint="eastAsia"/>
                <w:b/>
                <w:color w:val="auto"/>
                <w:highlight w:val="none"/>
              </w:rPr>
              <w:t>技术参数</w:t>
            </w:r>
          </w:p>
        </w:tc>
        <w:tc>
          <w:tcPr>
            <w:tcW w:w="1635" w:type="dxa"/>
            <w:vAlign w:val="center"/>
          </w:tcPr>
          <w:p>
            <w:pPr>
              <w:pStyle w:val="27"/>
              <w:spacing w:before="2" w:line="360" w:lineRule="auto"/>
              <w:ind w:left="14"/>
              <w:jc w:val="center"/>
              <w:rPr>
                <w:b/>
                <w:color w:val="auto"/>
                <w:highlight w:val="none"/>
              </w:rPr>
            </w:pPr>
            <w:r>
              <w:rPr>
                <w:rFonts w:hint="eastAsia"/>
                <w:b/>
                <w:color w:val="auto"/>
                <w:highlight w:val="none"/>
              </w:rPr>
              <w:t>投标文件所附</w:t>
            </w:r>
          </w:p>
          <w:p>
            <w:pPr>
              <w:pStyle w:val="27"/>
              <w:spacing w:before="158" w:line="360" w:lineRule="auto"/>
              <w:ind w:left="134"/>
              <w:jc w:val="center"/>
              <w:rPr>
                <w:b/>
                <w:color w:val="auto"/>
                <w:highlight w:val="none"/>
              </w:rPr>
            </w:pPr>
            <w:r>
              <w:rPr>
                <w:rFonts w:hint="eastAsia"/>
                <w:b/>
                <w:color w:val="auto"/>
                <w:highlight w:val="none"/>
              </w:rPr>
              <w:t>的技术参数</w:t>
            </w:r>
          </w:p>
        </w:tc>
        <w:tc>
          <w:tcPr>
            <w:tcW w:w="2320" w:type="dxa"/>
            <w:vAlign w:val="center"/>
          </w:tcPr>
          <w:p>
            <w:pPr>
              <w:pStyle w:val="27"/>
              <w:spacing w:before="158" w:line="360" w:lineRule="auto"/>
              <w:ind w:right="147"/>
              <w:jc w:val="center"/>
              <w:rPr>
                <w:b/>
                <w:color w:val="auto"/>
                <w:highlight w:val="none"/>
              </w:rPr>
            </w:pPr>
            <w:r>
              <w:rPr>
                <w:rFonts w:hint="eastAsia"/>
                <w:b/>
                <w:color w:val="auto"/>
                <w:highlight w:val="none"/>
              </w:rPr>
              <w:t>偏差情况</w:t>
            </w:r>
          </w:p>
        </w:tc>
        <w:tc>
          <w:tcPr>
            <w:tcW w:w="1500" w:type="dxa"/>
            <w:vAlign w:val="center"/>
          </w:tcPr>
          <w:p>
            <w:pPr>
              <w:pStyle w:val="27"/>
              <w:spacing w:before="4" w:line="360" w:lineRule="auto"/>
              <w:jc w:val="center"/>
              <w:rPr>
                <w:b/>
                <w:color w:val="auto"/>
                <w:sz w:val="18"/>
                <w:highlight w:val="none"/>
              </w:rPr>
            </w:pPr>
          </w:p>
          <w:p>
            <w:pPr>
              <w:pStyle w:val="27"/>
              <w:spacing w:line="360" w:lineRule="auto"/>
              <w:ind w:left="30"/>
              <w:jc w:val="center"/>
              <w:rPr>
                <w:b/>
                <w:color w:val="auto"/>
                <w:highlight w:val="none"/>
              </w:rPr>
            </w:pPr>
            <w:r>
              <w:rPr>
                <w:rFonts w:hint="eastAsia"/>
                <w:b/>
                <w:color w:val="auto"/>
                <w:highlight w:val="none"/>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980" w:type="dxa"/>
          </w:tcPr>
          <w:p>
            <w:pPr>
              <w:pStyle w:val="27"/>
              <w:spacing w:before="162" w:line="360" w:lineRule="auto"/>
              <w:ind w:left="15"/>
              <w:jc w:val="center"/>
              <w:rPr>
                <w:color w:val="auto"/>
                <w:highlight w:val="none"/>
              </w:rPr>
            </w:pPr>
            <w:r>
              <w:rPr>
                <w:color w:val="auto"/>
                <w:highlight w:val="none"/>
              </w:rPr>
              <w:t>1</w:t>
            </w:r>
          </w:p>
        </w:tc>
        <w:tc>
          <w:tcPr>
            <w:tcW w:w="852" w:type="dxa"/>
          </w:tcPr>
          <w:p>
            <w:pPr>
              <w:pStyle w:val="27"/>
              <w:spacing w:line="360" w:lineRule="auto"/>
              <w:rPr>
                <w:color w:val="auto"/>
                <w:sz w:val="22"/>
                <w:highlight w:val="none"/>
              </w:rPr>
            </w:pPr>
          </w:p>
        </w:tc>
        <w:tc>
          <w:tcPr>
            <w:tcW w:w="2148" w:type="dxa"/>
          </w:tcPr>
          <w:p>
            <w:pPr>
              <w:pStyle w:val="27"/>
              <w:spacing w:line="360" w:lineRule="auto"/>
              <w:rPr>
                <w:color w:val="auto"/>
                <w:sz w:val="22"/>
                <w:highlight w:val="none"/>
              </w:rPr>
            </w:pPr>
          </w:p>
        </w:tc>
        <w:tc>
          <w:tcPr>
            <w:tcW w:w="1635" w:type="dxa"/>
          </w:tcPr>
          <w:p>
            <w:pPr>
              <w:pStyle w:val="27"/>
              <w:spacing w:line="360" w:lineRule="auto"/>
              <w:rPr>
                <w:color w:val="auto"/>
                <w:sz w:val="22"/>
                <w:highlight w:val="none"/>
              </w:rPr>
            </w:pPr>
          </w:p>
        </w:tc>
        <w:tc>
          <w:tcPr>
            <w:tcW w:w="2320" w:type="dxa"/>
          </w:tcPr>
          <w:p>
            <w:pPr>
              <w:pStyle w:val="27"/>
              <w:spacing w:line="360" w:lineRule="auto"/>
              <w:rPr>
                <w:color w:val="auto"/>
                <w:sz w:val="22"/>
                <w:highlight w:val="none"/>
              </w:rPr>
            </w:pPr>
          </w:p>
        </w:tc>
        <w:tc>
          <w:tcPr>
            <w:tcW w:w="1500" w:type="dxa"/>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980" w:type="dxa"/>
          </w:tcPr>
          <w:p>
            <w:pPr>
              <w:pStyle w:val="27"/>
              <w:spacing w:before="160" w:line="360" w:lineRule="auto"/>
              <w:ind w:left="15"/>
              <w:jc w:val="center"/>
              <w:rPr>
                <w:color w:val="auto"/>
                <w:highlight w:val="none"/>
              </w:rPr>
            </w:pPr>
            <w:r>
              <w:rPr>
                <w:color w:val="auto"/>
                <w:highlight w:val="none"/>
              </w:rPr>
              <w:t>2</w:t>
            </w:r>
          </w:p>
        </w:tc>
        <w:tc>
          <w:tcPr>
            <w:tcW w:w="852" w:type="dxa"/>
          </w:tcPr>
          <w:p>
            <w:pPr>
              <w:pStyle w:val="27"/>
              <w:spacing w:line="360" w:lineRule="auto"/>
              <w:rPr>
                <w:color w:val="auto"/>
                <w:sz w:val="22"/>
                <w:highlight w:val="none"/>
              </w:rPr>
            </w:pPr>
          </w:p>
        </w:tc>
        <w:tc>
          <w:tcPr>
            <w:tcW w:w="2148" w:type="dxa"/>
          </w:tcPr>
          <w:p>
            <w:pPr>
              <w:pStyle w:val="27"/>
              <w:spacing w:line="360" w:lineRule="auto"/>
              <w:rPr>
                <w:color w:val="auto"/>
                <w:sz w:val="22"/>
                <w:highlight w:val="none"/>
              </w:rPr>
            </w:pPr>
          </w:p>
        </w:tc>
        <w:tc>
          <w:tcPr>
            <w:tcW w:w="1635" w:type="dxa"/>
          </w:tcPr>
          <w:p>
            <w:pPr>
              <w:pStyle w:val="27"/>
              <w:spacing w:line="360" w:lineRule="auto"/>
              <w:rPr>
                <w:color w:val="auto"/>
                <w:sz w:val="22"/>
                <w:highlight w:val="none"/>
              </w:rPr>
            </w:pPr>
          </w:p>
        </w:tc>
        <w:tc>
          <w:tcPr>
            <w:tcW w:w="2320" w:type="dxa"/>
          </w:tcPr>
          <w:p>
            <w:pPr>
              <w:pStyle w:val="27"/>
              <w:spacing w:line="360" w:lineRule="auto"/>
              <w:rPr>
                <w:color w:val="auto"/>
                <w:sz w:val="22"/>
                <w:highlight w:val="none"/>
              </w:rPr>
            </w:pPr>
          </w:p>
        </w:tc>
        <w:tc>
          <w:tcPr>
            <w:tcW w:w="1500" w:type="dxa"/>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980" w:type="dxa"/>
          </w:tcPr>
          <w:p>
            <w:pPr>
              <w:pStyle w:val="27"/>
              <w:spacing w:before="161" w:line="360" w:lineRule="auto"/>
              <w:ind w:left="15"/>
              <w:jc w:val="center"/>
              <w:rPr>
                <w:color w:val="auto"/>
                <w:highlight w:val="none"/>
              </w:rPr>
            </w:pPr>
            <w:r>
              <w:rPr>
                <w:color w:val="auto"/>
                <w:highlight w:val="none"/>
              </w:rPr>
              <w:t>3</w:t>
            </w:r>
          </w:p>
        </w:tc>
        <w:tc>
          <w:tcPr>
            <w:tcW w:w="852" w:type="dxa"/>
          </w:tcPr>
          <w:p>
            <w:pPr>
              <w:pStyle w:val="27"/>
              <w:spacing w:line="360" w:lineRule="auto"/>
              <w:rPr>
                <w:color w:val="auto"/>
                <w:sz w:val="22"/>
                <w:highlight w:val="none"/>
              </w:rPr>
            </w:pPr>
          </w:p>
        </w:tc>
        <w:tc>
          <w:tcPr>
            <w:tcW w:w="2148" w:type="dxa"/>
          </w:tcPr>
          <w:p>
            <w:pPr>
              <w:pStyle w:val="27"/>
              <w:spacing w:line="360" w:lineRule="auto"/>
              <w:rPr>
                <w:color w:val="auto"/>
                <w:sz w:val="22"/>
                <w:highlight w:val="none"/>
              </w:rPr>
            </w:pPr>
          </w:p>
        </w:tc>
        <w:tc>
          <w:tcPr>
            <w:tcW w:w="1635" w:type="dxa"/>
          </w:tcPr>
          <w:p>
            <w:pPr>
              <w:pStyle w:val="27"/>
              <w:spacing w:line="360" w:lineRule="auto"/>
              <w:rPr>
                <w:color w:val="auto"/>
                <w:sz w:val="22"/>
                <w:highlight w:val="none"/>
              </w:rPr>
            </w:pPr>
          </w:p>
        </w:tc>
        <w:tc>
          <w:tcPr>
            <w:tcW w:w="2320" w:type="dxa"/>
          </w:tcPr>
          <w:p>
            <w:pPr>
              <w:pStyle w:val="27"/>
              <w:spacing w:line="360" w:lineRule="auto"/>
              <w:rPr>
                <w:color w:val="auto"/>
                <w:sz w:val="22"/>
                <w:highlight w:val="none"/>
              </w:rPr>
            </w:pPr>
          </w:p>
        </w:tc>
        <w:tc>
          <w:tcPr>
            <w:tcW w:w="1500" w:type="dxa"/>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jc w:val="center"/>
        </w:trPr>
        <w:tc>
          <w:tcPr>
            <w:tcW w:w="980" w:type="dxa"/>
          </w:tcPr>
          <w:p>
            <w:pPr>
              <w:pStyle w:val="27"/>
              <w:spacing w:before="161" w:line="360" w:lineRule="auto"/>
              <w:ind w:left="15"/>
              <w:jc w:val="center"/>
              <w:rPr>
                <w:color w:val="auto"/>
                <w:highlight w:val="none"/>
              </w:rPr>
            </w:pPr>
            <w:r>
              <w:rPr>
                <w:color w:val="auto"/>
                <w:highlight w:val="none"/>
              </w:rPr>
              <w:t>4</w:t>
            </w:r>
          </w:p>
        </w:tc>
        <w:tc>
          <w:tcPr>
            <w:tcW w:w="852" w:type="dxa"/>
          </w:tcPr>
          <w:p>
            <w:pPr>
              <w:pStyle w:val="27"/>
              <w:spacing w:line="360" w:lineRule="auto"/>
              <w:rPr>
                <w:color w:val="auto"/>
                <w:sz w:val="22"/>
                <w:highlight w:val="none"/>
              </w:rPr>
            </w:pPr>
          </w:p>
        </w:tc>
        <w:tc>
          <w:tcPr>
            <w:tcW w:w="2148" w:type="dxa"/>
          </w:tcPr>
          <w:p>
            <w:pPr>
              <w:pStyle w:val="27"/>
              <w:spacing w:line="360" w:lineRule="auto"/>
              <w:rPr>
                <w:color w:val="auto"/>
                <w:sz w:val="22"/>
                <w:highlight w:val="none"/>
              </w:rPr>
            </w:pPr>
          </w:p>
        </w:tc>
        <w:tc>
          <w:tcPr>
            <w:tcW w:w="1635" w:type="dxa"/>
          </w:tcPr>
          <w:p>
            <w:pPr>
              <w:pStyle w:val="27"/>
              <w:spacing w:line="360" w:lineRule="auto"/>
              <w:rPr>
                <w:color w:val="auto"/>
                <w:sz w:val="22"/>
                <w:highlight w:val="none"/>
              </w:rPr>
            </w:pPr>
          </w:p>
        </w:tc>
        <w:tc>
          <w:tcPr>
            <w:tcW w:w="2320" w:type="dxa"/>
          </w:tcPr>
          <w:p>
            <w:pPr>
              <w:pStyle w:val="27"/>
              <w:spacing w:line="360" w:lineRule="auto"/>
              <w:rPr>
                <w:color w:val="auto"/>
                <w:sz w:val="22"/>
                <w:highlight w:val="none"/>
              </w:rPr>
            </w:pPr>
          </w:p>
        </w:tc>
        <w:tc>
          <w:tcPr>
            <w:tcW w:w="1500" w:type="dxa"/>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jc w:val="center"/>
        </w:trPr>
        <w:tc>
          <w:tcPr>
            <w:tcW w:w="980" w:type="dxa"/>
          </w:tcPr>
          <w:p>
            <w:pPr>
              <w:pStyle w:val="27"/>
              <w:spacing w:before="162" w:line="360" w:lineRule="auto"/>
              <w:ind w:left="15"/>
              <w:jc w:val="center"/>
              <w:rPr>
                <w:color w:val="auto"/>
                <w:highlight w:val="none"/>
              </w:rPr>
            </w:pPr>
            <w:r>
              <w:rPr>
                <w:color w:val="auto"/>
                <w:highlight w:val="none"/>
              </w:rPr>
              <w:t>5</w:t>
            </w:r>
          </w:p>
        </w:tc>
        <w:tc>
          <w:tcPr>
            <w:tcW w:w="852" w:type="dxa"/>
          </w:tcPr>
          <w:p>
            <w:pPr>
              <w:pStyle w:val="27"/>
              <w:spacing w:line="360" w:lineRule="auto"/>
              <w:rPr>
                <w:color w:val="auto"/>
                <w:sz w:val="22"/>
                <w:highlight w:val="none"/>
              </w:rPr>
            </w:pPr>
          </w:p>
        </w:tc>
        <w:tc>
          <w:tcPr>
            <w:tcW w:w="2148" w:type="dxa"/>
          </w:tcPr>
          <w:p>
            <w:pPr>
              <w:pStyle w:val="27"/>
              <w:spacing w:line="360" w:lineRule="auto"/>
              <w:rPr>
                <w:color w:val="auto"/>
                <w:sz w:val="22"/>
                <w:highlight w:val="none"/>
              </w:rPr>
            </w:pPr>
          </w:p>
        </w:tc>
        <w:tc>
          <w:tcPr>
            <w:tcW w:w="1635" w:type="dxa"/>
          </w:tcPr>
          <w:p>
            <w:pPr>
              <w:pStyle w:val="27"/>
              <w:spacing w:line="360" w:lineRule="auto"/>
              <w:rPr>
                <w:color w:val="auto"/>
                <w:sz w:val="22"/>
                <w:highlight w:val="none"/>
              </w:rPr>
            </w:pPr>
          </w:p>
        </w:tc>
        <w:tc>
          <w:tcPr>
            <w:tcW w:w="2320" w:type="dxa"/>
          </w:tcPr>
          <w:p>
            <w:pPr>
              <w:pStyle w:val="27"/>
              <w:spacing w:line="360" w:lineRule="auto"/>
              <w:rPr>
                <w:color w:val="auto"/>
                <w:sz w:val="22"/>
                <w:highlight w:val="none"/>
              </w:rPr>
            </w:pPr>
          </w:p>
        </w:tc>
        <w:tc>
          <w:tcPr>
            <w:tcW w:w="1500" w:type="dxa"/>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980" w:type="dxa"/>
          </w:tcPr>
          <w:p>
            <w:pPr>
              <w:pStyle w:val="27"/>
              <w:spacing w:before="162" w:line="360" w:lineRule="auto"/>
              <w:ind w:left="241" w:right="226"/>
              <w:jc w:val="center"/>
              <w:rPr>
                <w:color w:val="auto"/>
                <w:highlight w:val="none"/>
              </w:rPr>
            </w:pPr>
            <w:r>
              <w:rPr>
                <w:color w:val="auto"/>
                <w:highlight w:val="none"/>
              </w:rPr>
              <w:t>...</w:t>
            </w:r>
          </w:p>
        </w:tc>
        <w:tc>
          <w:tcPr>
            <w:tcW w:w="852" w:type="dxa"/>
          </w:tcPr>
          <w:p>
            <w:pPr>
              <w:pStyle w:val="27"/>
              <w:spacing w:line="360" w:lineRule="auto"/>
              <w:rPr>
                <w:color w:val="auto"/>
                <w:sz w:val="22"/>
                <w:highlight w:val="none"/>
              </w:rPr>
            </w:pPr>
          </w:p>
        </w:tc>
        <w:tc>
          <w:tcPr>
            <w:tcW w:w="2148" w:type="dxa"/>
          </w:tcPr>
          <w:p>
            <w:pPr>
              <w:pStyle w:val="27"/>
              <w:spacing w:line="360" w:lineRule="auto"/>
              <w:rPr>
                <w:color w:val="auto"/>
                <w:sz w:val="22"/>
                <w:highlight w:val="none"/>
              </w:rPr>
            </w:pPr>
          </w:p>
        </w:tc>
        <w:tc>
          <w:tcPr>
            <w:tcW w:w="1635" w:type="dxa"/>
          </w:tcPr>
          <w:p>
            <w:pPr>
              <w:pStyle w:val="27"/>
              <w:spacing w:line="360" w:lineRule="auto"/>
              <w:rPr>
                <w:color w:val="auto"/>
                <w:sz w:val="22"/>
                <w:highlight w:val="none"/>
              </w:rPr>
            </w:pPr>
          </w:p>
        </w:tc>
        <w:tc>
          <w:tcPr>
            <w:tcW w:w="2320" w:type="dxa"/>
          </w:tcPr>
          <w:p>
            <w:pPr>
              <w:pStyle w:val="27"/>
              <w:spacing w:line="360" w:lineRule="auto"/>
              <w:rPr>
                <w:color w:val="auto"/>
                <w:sz w:val="22"/>
                <w:highlight w:val="none"/>
              </w:rPr>
            </w:pPr>
          </w:p>
        </w:tc>
        <w:tc>
          <w:tcPr>
            <w:tcW w:w="1500" w:type="dxa"/>
          </w:tcPr>
          <w:p>
            <w:pPr>
              <w:pStyle w:val="27"/>
              <w:spacing w:line="360" w:lineRule="auto"/>
              <w:rPr>
                <w:color w:val="auto"/>
                <w:sz w:val="22"/>
                <w:highlight w:val="none"/>
              </w:rPr>
            </w:pPr>
          </w:p>
        </w:tc>
      </w:tr>
    </w:tbl>
    <w:p>
      <w:pPr>
        <w:pStyle w:val="7"/>
        <w:spacing w:line="360" w:lineRule="auto"/>
        <w:rPr>
          <w:b/>
          <w:color w:val="auto"/>
          <w:highlight w:val="none"/>
        </w:rPr>
      </w:pPr>
    </w:p>
    <w:p>
      <w:pPr>
        <w:spacing w:line="360" w:lineRule="auto"/>
        <w:ind w:right="-1"/>
        <w:rPr>
          <w:rFonts w:ascii="宋体" w:cs="宋体"/>
          <w:color w:val="auto"/>
          <w:sz w:val="24"/>
          <w:szCs w:val="21"/>
          <w:highlight w:val="none"/>
        </w:rPr>
      </w:pPr>
      <w:r>
        <w:rPr>
          <w:rFonts w:hint="eastAsia" w:ascii="宋体" w:hAnsi="宋体" w:cs="宋体"/>
          <w:color w:val="auto"/>
          <w:sz w:val="24"/>
          <w:szCs w:val="21"/>
          <w:highlight w:val="none"/>
        </w:rPr>
        <w:t>说明：</w:t>
      </w:r>
    </w:p>
    <w:p>
      <w:pPr>
        <w:spacing w:line="360" w:lineRule="auto"/>
        <w:ind w:right="-1"/>
        <w:rPr>
          <w:rFonts w:ascii="宋体" w:cs="宋体"/>
          <w:color w:val="auto"/>
          <w:sz w:val="24"/>
          <w:szCs w:val="21"/>
          <w:highlight w:val="none"/>
        </w:rPr>
      </w:pPr>
      <w:r>
        <w:rPr>
          <w:rFonts w:ascii="宋体" w:hAnsi="宋体" w:cs="宋体"/>
          <w:color w:val="auto"/>
          <w:sz w:val="24"/>
          <w:szCs w:val="21"/>
          <w:highlight w:val="none"/>
        </w:rPr>
        <w:t>1</w:t>
      </w:r>
      <w:r>
        <w:rPr>
          <w:rFonts w:hint="eastAsia" w:ascii="宋体" w:hAnsi="宋体" w:cs="宋体"/>
          <w:color w:val="auto"/>
          <w:sz w:val="24"/>
          <w:szCs w:val="21"/>
          <w:highlight w:val="none"/>
        </w:rPr>
        <w:t>、投标人应根据招标要求逐条逐项表述说明投标响应情况。</w:t>
      </w:r>
      <w:r>
        <w:rPr>
          <w:rFonts w:ascii="宋体" w:hAnsi="宋体" w:cs="宋体"/>
          <w:color w:val="auto"/>
          <w:sz w:val="24"/>
          <w:szCs w:val="21"/>
          <w:highlight w:val="none"/>
        </w:rPr>
        <w:t xml:space="preserve"> </w:t>
      </w:r>
    </w:p>
    <w:p>
      <w:pPr>
        <w:spacing w:line="360" w:lineRule="auto"/>
        <w:ind w:right="-1"/>
        <w:rPr>
          <w:rFonts w:hint="eastAsia" w:ascii="宋体" w:hAnsi="宋体" w:cs="宋体"/>
          <w:color w:val="auto"/>
          <w:sz w:val="24"/>
          <w:szCs w:val="21"/>
          <w:highlight w:val="none"/>
        </w:rPr>
      </w:pPr>
      <w:r>
        <w:rPr>
          <w:rFonts w:ascii="宋体" w:hAnsi="宋体" w:cs="宋体"/>
          <w:color w:val="auto"/>
          <w:sz w:val="24"/>
          <w:szCs w:val="21"/>
          <w:highlight w:val="none"/>
        </w:rPr>
        <w:t>2</w:t>
      </w:r>
      <w:r>
        <w:rPr>
          <w:rFonts w:hint="eastAsia" w:ascii="宋体" w:hAnsi="宋体" w:cs="宋体"/>
          <w:color w:val="auto"/>
          <w:sz w:val="24"/>
          <w:szCs w:val="21"/>
          <w:highlight w:val="none"/>
        </w:rPr>
        <w:t>、投标人提交的投标文件中的技术参数与招标文件的技术要求、技术参数不同时，应逐条逐项如实填列在偏离表中。投标人不如实填写偏离情况、存在弄虚作假行为的，将依法承担相应的法律责任。“偏差情况”是指“正偏离”、“负偏离”</w:t>
      </w:r>
      <w:r>
        <w:rPr>
          <w:rFonts w:ascii="宋体" w:hAnsi="宋体" w:cs="宋体"/>
          <w:color w:val="auto"/>
          <w:sz w:val="24"/>
          <w:szCs w:val="21"/>
          <w:highlight w:val="none"/>
        </w:rPr>
        <w:t xml:space="preserve"> </w:t>
      </w:r>
      <w:r>
        <w:rPr>
          <w:rFonts w:hint="eastAsia" w:ascii="宋体" w:hAnsi="宋体" w:cs="宋体"/>
          <w:color w:val="auto"/>
          <w:sz w:val="24"/>
          <w:szCs w:val="21"/>
          <w:highlight w:val="none"/>
        </w:rPr>
        <w:t>或“无偏离”</w:t>
      </w:r>
    </w:p>
    <w:p>
      <w:pPr>
        <w:spacing w:line="360" w:lineRule="auto"/>
        <w:ind w:right="-1"/>
        <w:rPr>
          <w:rFonts w:hint="eastAsia" w:ascii="宋体" w:hAnsi="宋体" w:cs="宋体"/>
          <w:color w:val="auto"/>
          <w:sz w:val="24"/>
          <w:szCs w:val="21"/>
          <w:highlight w:val="none"/>
        </w:rPr>
      </w:pPr>
    </w:p>
    <w:p>
      <w:pPr>
        <w:spacing w:line="360" w:lineRule="auto"/>
        <w:ind w:right="-1"/>
        <w:rPr>
          <w:rFonts w:hint="eastAsia" w:ascii="宋体" w:hAnsi="宋体" w:cs="宋体"/>
          <w:color w:val="auto"/>
          <w:sz w:val="24"/>
          <w:szCs w:val="21"/>
          <w:highlight w:val="none"/>
        </w:rPr>
      </w:pPr>
    </w:p>
    <w:p>
      <w:pPr>
        <w:spacing w:line="360" w:lineRule="auto"/>
        <w:ind w:right="-1"/>
        <w:rPr>
          <w:rFonts w:hint="eastAsia" w:ascii="宋体" w:hAnsi="宋体" w:cs="宋体"/>
          <w:color w:val="auto"/>
          <w:sz w:val="24"/>
          <w:szCs w:val="21"/>
          <w:highlight w:val="none"/>
        </w:rPr>
      </w:pPr>
    </w:p>
    <w:p>
      <w:pPr>
        <w:spacing w:line="360" w:lineRule="auto"/>
        <w:ind w:right="-1"/>
        <w:rPr>
          <w:rFonts w:hint="eastAsia" w:ascii="宋体" w:hAnsi="宋体" w:cs="宋体"/>
          <w:color w:val="auto"/>
          <w:sz w:val="24"/>
          <w:szCs w:val="21"/>
          <w:highlight w:val="none"/>
        </w:rPr>
      </w:pPr>
    </w:p>
    <w:p>
      <w:pPr>
        <w:spacing w:line="360" w:lineRule="auto"/>
        <w:ind w:right="-1"/>
        <w:rPr>
          <w:rFonts w:hint="eastAsia" w:ascii="宋体" w:hAnsi="宋体" w:cs="宋体"/>
          <w:color w:val="auto"/>
          <w:sz w:val="24"/>
          <w:szCs w:val="21"/>
          <w:highlight w:val="none"/>
        </w:rPr>
      </w:pPr>
    </w:p>
    <w:p>
      <w:pPr>
        <w:spacing w:line="360" w:lineRule="auto"/>
        <w:ind w:right="-1"/>
        <w:rPr>
          <w:rFonts w:hint="eastAsia" w:ascii="宋体" w:hAnsi="宋体" w:cs="宋体"/>
          <w:color w:val="auto"/>
          <w:sz w:val="24"/>
          <w:szCs w:val="21"/>
          <w:highlight w:val="none"/>
        </w:rPr>
      </w:pPr>
    </w:p>
    <w:p>
      <w:pPr>
        <w:spacing w:line="360" w:lineRule="auto"/>
        <w:ind w:right="-1"/>
        <w:rPr>
          <w:rFonts w:hint="eastAsia" w:ascii="宋体" w:hAnsi="宋体" w:cs="宋体"/>
          <w:color w:val="auto"/>
          <w:sz w:val="24"/>
          <w:szCs w:val="21"/>
          <w:highlight w:val="none"/>
        </w:rPr>
      </w:pPr>
    </w:p>
    <w:p>
      <w:pPr>
        <w:pStyle w:val="30"/>
        <w:numPr>
          <w:ilvl w:val="0"/>
          <w:numId w:val="15"/>
        </w:numPr>
        <w:tabs>
          <w:tab w:val="left" w:pos="580"/>
        </w:tabs>
        <w:spacing w:before="215" w:line="360" w:lineRule="auto"/>
        <w:ind w:firstLineChars="0"/>
        <w:jc w:val="left"/>
        <w:rPr>
          <w:b/>
          <w:color w:val="auto"/>
          <w:sz w:val="24"/>
          <w:highlight w:val="none"/>
        </w:rPr>
      </w:pPr>
      <w:r>
        <w:rPr>
          <w:rFonts w:hint="eastAsia"/>
          <w:b/>
          <w:color w:val="auto"/>
          <w:sz w:val="24"/>
          <w:highlight w:val="none"/>
        </w:rPr>
        <w:t>不带标注符号项技术参数偏差表</w:t>
      </w:r>
    </w:p>
    <w:p>
      <w:pPr>
        <w:pStyle w:val="7"/>
        <w:spacing w:before="5" w:line="360" w:lineRule="auto"/>
        <w:rPr>
          <w:b/>
          <w:color w:val="auto"/>
          <w:sz w:val="12"/>
          <w:highlight w:val="none"/>
        </w:rPr>
      </w:pPr>
    </w:p>
    <w:tbl>
      <w:tblPr>
        <w:tblStyle w:val="23"/>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42"/>
        <w:gridCol w:w="991"/>
        <w:gridCol w:w="2478"/>
        <w:gridCol w:w="2231"/>
        <w:gridCol w:w="908"/>
        <w:gridCol w:w="9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jc w:val="center"/>
        </w:trPr>
        <w:tc>
          <w:tcPr>
            <w:tcW w:w="446" w:type="pct"/>
            <w:vAlign w:val="center"/>
          </w:tcPr>
          <w:p>
            <w:pPr>
              <w:pStyle w:val="27"/>
              <w:spacing w:before="4" w:line="360" w:lineRule="auto"/>
              <w:jc w:val="center"/>
              <w:rPr>
                <w:b/>
                <w:color w:val="auto"/>
                <w:sz w:val="18"/>
                <w:highlight w:val="none"/>
              </w:rPr>
            </w:pPr>
          </w:p>
          <w:p>
            <w:pPr>
              <w:pStyle w:val="27"/>
              <w:spacing w:line="360" w:lineRule="auto"/>
              <w:ind w:right="226" w:firstLine="114" w:firstLineChars="50"/>
              <w:jc w:val="center"/>
              <w:rPr>
                <w:b/>
                <w:color w:val="auto"/>
                <w:highlight w:val="none"/>
              </w:rPr>
            </w:pPr>
            <w:r>
              <w:rPr>
                <w:b/>
                <w:color w:val="auto"/>
                <w:w w:val="95"/>
                <w:highlight w:val="none"/>
              </w:rPr>
              <w:t xml:space="preserve"> </w:t>
            </w:r>
            <w:r>
              <w:rPr>
                <w:rFonts w:hint="eastAsia"/>
                <w:b/>
                <w:color w:val="auto"/>
                <w:w w:val="95"/>
                <w:highlight w:val="none"/>
              </w:rPr>
              <w:t>序号</w:t>
            </w:r>
          </w:p>
        </w:tc>
        <w:tc>
          <w:tcPr>
            <w:tcW w:w="596" w:type="pct"/>
            <w:vAlign w:val="center"/>
          </w:tcPr>
          <w:p>
            <w:pPr>
              <w:pStyle w:val="27"/>
              <w:spacing w:before="158" w:line="360" w:lineRule="auto"/>
              <w:ind w:left="22"/>
              <w:jc w:val="center"/>
              <w:rPr>
                <w:b/>
                <w:color w:val="auto"/>
                <w:highlight w:val="none"/>
              </w:rPr>
            </w:pPr>
            <w:r>
              <w:rPr>
                <w:rFonts w:hint="eastAsia"/>
                <w:b/>
                <w:color w:val="auto"/>
                <w:w w:val="99"/>
                <w:highlight w:val="none"/>
              </w:rPr>
              <w:t>货物名称</w:t>
            </w:r>
          </w:p>
        </w:tc>
        <w:tc>
          <w:tcPr>
            <w:tcW w:w="1490" w:type="pct"/>
            <w:vAlign w:val="center"/>
          </w:tcPr>
          <w:p>
            <w:pPr>
              <w:pStyle w:val="27"/>
              <w:spacing w:before="2" w:line="360" w:lineRule="auto"/>
              <w:ind w:left="219" w:right="192"/>
              <w:rPr>
                <w:b/>
                <w:color w:val="auto"/>
                <w:highlight w:val="none"/>
              </w:rPr>
            </w:pPr>
            <w:r>
              <w:rPr>
                <w:rFonts w:hint="eastAsia"/>
                <w:b/>
                <w:color w:val="auto"/>
                <w:highlight w:val="none"/>
              </w:rPr>
              <w:t>招标文件要求的技术参数</w:t>
            </w:r>
          </w:p>
        </w:tc>
        <w:tc>
          <w:tcPr>
            <w:tcW w:w="1341" w:type="pct"/>
            <w:vAlign w:val="center"/>
          </w:tcPr>
          <w:p>
            <w:pPr>
              <w:pStyle w:val="27"/>
              <w:spacing w:before="2" w:line="360" w:lineRule="auto"/>
              <w:ind w:left="14"/>
              <w:jc w:val="center"/>
              <w:rPr>
                <w:b/>
                <w:color w:val="auto"/>
                <w:highlight w:val="none"/>
              </w:rPr>
            </w:pPr>
            <w:r>
              <w:rPr>
                <w:rFonts w:hint="eastAsia"/>
                <w:b/>
                <w:color w:val="auto"/>
                <w:highlight w:val="none"/>
              </w:rPr>
              <w:t>投标文件所附的技术参数</w:t>
            </w:r>
          </w:p>
        </w:tc>
        <w:tc>
          <w:tcPr>
            <w:tcW w:w="546" w:type="pct"/>
            <w:vAlign w:val="center"/>
          </w:tcPr>
          <w:p>
            <w:pPr>
              <w:pStyle w:val="27"/>
              <w:spacing w:before="158" w:line="360" w:lineRule="auto"/>
              <w:ind w:right="147"/>
              <w:jc w:val="center"/>
              <w:rPr>
                <w:b/>
                <w:color w:val="auto"/>
                <w:highlight w:val="none"/>
              </w:rPr>
            </w:pPr>
            <w:r>
              <w:rPr>
                <w:rFonts w:hint="eastAsia"/>
                <w:b/>
                <w:color w:val="auto"/>
                <w:highlight w:val="none"/>
              </w:rPr>
              <w:t>偏差情况</w:t>
            </w:r>
          </w:p>
        </w:tc>
        <w:tc>
          <w:tcPr>
            <w:tcW w:w="578" w:type="pct"/>
            <w:vAlign w:val="center"/>
          </w:tcPr>
          <w:p>
            <w:pPr>
              <w:pStyle w:val="27"/>
              <w:spacing w:before="4" w:line="360" w:lineRule="auto"/>
              <w:jc w:val="center"/>
              <w:rPr>
                <w:b/>
                <w:color w:val="auto"/>
                <w:sz w:val="18"/>
                <w:highlight w:val="none"/>
              </w:rPr>
            </w:pPr>
          </w:p>
          <w:p>
            <w:pPr>
              <w:pStyle w:val="27"/>
              <w:spacing w:line="360" w:lineRule="auto"/>
              <w:ind w:left="30"/>
              <w:jc w:val="center"/>
              <w:rPr>
                <w:b/>
                <w:color w:val="auto"/>
                <w:highlight w:val="none"/>
              </w:rPr>
            </w:pPr>
            <w:r>
              <w:rPr>
                <w:rFonts w:hint="eastAsia"/>
                <w:b/>
                <w:color w:val="auto"/>
                <w:highlight w:val="none"/>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jc w:val="center"/>
        </w:trPr>
        <w:tc>
          <w:tcPr>
            <w:tcW w:w="446" w:type="pct"/>
          </w:tcPr>
          <w:p>
            <w:pPr>
              <w:pStyle w:val="27"/>
              <w:spacing w:before="162" w:line="360" w:lineRule="auto"/>
              <w:ind w:left="15"/>
              <w:jc w:val="center"/>
              <w:rPr>
                <w:color w:val="auto"/>
                <w:highlight w:val="none"/>
              </w:rPr>
            </w:pPr>
            <w:r>
              <w:rPr>
                <w:color w:val="auto"/>
                <w:highlight w:val="none"/>
              </w:rPr>
              <w:t>1</w:t>
            </w:r>
          </w:p>
        </w:tc>
        <w:tc>
          <w:tcPr>
            <w:tcW w:w="596" w:type="pct"/>
          </w:tcPr>
          <w:p>
            <w:pPr>
              <w:pStyle w:val="27"/>
              <w:spacing w:line="360" w:lineRule="auto"/>
              <w:rPr>
                <w:color w:val="auto"/>
                <w:sz w:val="22"/>
                <w:highlight w:val="none"/>
              </w:rPr>
            </w:pPr>
          </w:p>
        </w:tc>
        <w:tc>
          <w:tcPr>
            <w:tcW w:w="1490" w:type="pct"/>
          </w:tcPr>
          <w:p>
            <w:pPr>
              <w:pStyle w:val="27"/>
              <w:spacing w:line="360" w:lineRule="auto"/>
              <w:rPr>
                <w:color w:val="auto"/>
                <w:sz w:val="22"/>
                <w:highlight w:val="none"/>
              </w:rPr>
            </w:pPr>
          </w:p>
        </w:tc>
        <w:tc>
          <w:tcPr>
            <w:tcW w:w="1341" w:type="pct"/>
          </w:tcPr>
          <w:p>
            <w:pPr>
              <w:pStyle w:val="27"/>
              <w:spacing w:line="360" w:lineRule="auto"/>
              <w:rPr>
                <w:color w:val="auto"/>
                <w:sz w:val="22"/>
                <w:highlight w:val="none"/>
              </w:rPr>
            </w:pPr>
          </w:p>
        </w:tc>
        <w:tc>
          <w:tcPr>
            <w:tcW w:w="546" w:type="pct"/>
          </w:tcPr>
          <w:p>
            <w:pPr>
              <w:pStyle w:val="27"/>
              <w:spacing w:line="360" w:lineRule="auto"/>
              <w:rPr>
                <w:color w:val="auto"/>
                <w:sz w:val="22"/>
                <w:highlight w:val="none"/>
              </w:rPr>
            </w:pPr>
          </w:p>
        </w:tc>
        <w:tc>
          <w:tcPr>
            <w:tcW w:w="578" w:type="pct"/>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jc w:val="center"/>
        </w:trPr>
        <w:tc>
          <w:tcPr>
            <w:tcW w:w="446" w:type="pct"/>
          </w:tcPr>
          <w:p>
            <w:pPr>
              <w:pStyle w:val="27"/>
              <w:spacing w:before="162" w:line="360" w:lineRule="auto"/>
              <w:ind w:left="15"/>
              <w:jc w:val="center"/>
              <w:rPr>
                <w:color w:val="auto"/>
                <w:highlight w:val="none"/>
              </w:rPr>
            </w:pPr>
            <w:r>
              <w:rPr>
                <w:color w:val="auto"/>
                <w:highlight w:val="none"/>
              </w:rPr>
              <w:t>2</w:t>
            </w:r>
          </w:p>
        </w:tc>
        <w:tc>
          <w:tcPr>
            <w:tcW w:w="596" w:type="pct"/>
          </w:tcPr>
          <w:p>
            <w:pPr>
              <w:pStyle w:val="27"/>
              <w:spacing w:line="360" w:lineRule="auto"/>
              <w:rPr>
                <w:color w:val="auto"/>
                <w:sz w:val="22"/>
                <w:highlight w:val="none"/>
              </w:rPr>
            </w:pPr>
          </w:p>
        </w:tc>
        <w:tc>
          <w:tcPr>
            <w:tcW w:w="1490" w:type="pct"/>
          </w:tcPr>
          <w:p>
            <w:pPr>
              <w:pStyle w:val="27"/>
              <w:spacing w:line="360" w:lineRule="auto"/>
              <w:rPr>
                <w:color w:val="auto"/>
                <w:sz w:val="22"/>
                <w:highlight w:val="none"/>
              </w:rPr>
            </w:pPr>
          </w:p>
        </w:tc>
        <w:tc>
          <w:tcPr>
            <w:tcW w:w="1341" w:type="pct"/>
          </w:tcPr>
          <w:p>
            <w:pPr>
              <w:pStyle w:val="27"/>
              <w:spacing w:line="360" w:lineRule="auto"/>
              <w:rPr>
                <w:color w:val="auto"/>
                <w:sz w:val="22"/>
                <w:highlight w:val="none"/>
              </w:rPr>
            </w:pPr>
          </w:p>
        </w:tc>
        <w:tc>
          <w:tcPr>
            <w:tcW w:w="546" w:type="pct"/>
          </w:tcPr>
          <w:p>
            <w:pPr>
              <w:pStyle w:val="27"/>
              <w:spacing w:line="360" w:lineRule="auto"/>
              <w:rPr>
                <w:color w:val="auto"/>
                <w:sz w:val="22"/>
                <w:highlight w:val="none"/>
              </w:rPr>
            </w:pPr>
          </w:p>
        </w:tc>
        <w:tc>
          <w:tcPr>
            <w:tcW w:w="578" w:type="pct"/>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446" w:type="pct"/>
          </w:tcPr>
          <w:p>
            <w:pPr>
              <w:pStyle w:val="27"/>
              <w:spacing w:before="161" w:line="360" w:lineRule="auto"/>
              <w:ind w:left="15"/>
              <w:jc w:val="center"/>
              <w:rPr>
                <w:color w:val="auto"/>
                <w:highlight w:val="none"/>
              </w:rPr>
            </w:pPr>
            <w:r>
              <w:rPr>
                <w:color w:val="auto"/>
                <w:highlight w:val="none"/>
              </w:rPr>
              <w:t>3</w:t>
            </w:r>
          </w:p>
        </w:tc>
        <w:tc>
          <w:tcPr>
            <w:tcW w:w="596" w:type="pct"/>
          </w:tcPr>
          <w:p>
            <w:pPr>
              <w:pStyle w:val="27"/>
              <w:spacing w:line="360" w:lineRule="auto"/>
              <w:rPr>
                <w:color w:val="auto"/>
                <w:sz w:val="22"/>
                <w:highlight w:val="none"/>
              </w:rPr>
            </w:pPr>
          </w:p>
        </w:tc>
        <w:tc>
          <w:tcPr>
            <w:tcW w:w="1490" w:type="pct"/>
          </w:tcPr>
          <w:p>
            <w:pPr>
              <w:pStyle w:val="27"/>
              <w:spacing w:line="360" w:lineRule="auto"/>
              <w:rPr>
                <w:color w:val="auto"/>
                <w:sz w:val="22"/>
                <w:highlight w:val="none"/>
              </w:rPr>
            </w:pPr>
          </w:p>
        </w:tc>
        <w:tc>
          <w:tcPr>
            <w:tcW w:w="1341" w:type="pct"/>
          </w:tcPr>
          <w:p>
            <w:pPr>
              <w:pStyle w:val="27"/>
              <w:spacing w:line="360" w:lineRule="auto"/>
              <w:rPr>
                <w:color w:val="auto"/>
                <w:sz w:val="22"/>
                <w:highlight w:val="none"/>
              </w:rPr>
            </w:pPr>
          </w:p>
        </w:tc>
        <w:tc>
          <w:tcPr>
            <w:tcW w:w="546" w:type="pct"/>
          </w:tcPr>
          <w:p>
            <w:pPr>
              <w:pStyle w:val="27"/>
              <w:spacing w:line="360" w:lineRule="auto"/>
              <w:rPr>
                <w:color w:val="auto"/>
                <w:sz w:val="22"/>
                <w:highlight w:val="none"/>
              </w:rPr>
            </w:pPr>
          </w:p>
        </w:tc>
        <w:tc>
          <w:tcPr>
            <w:tcW w:w="578" w:type="pct"/>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446" w:type="pct"/>
          </w:tcPr>
          <w:p>
            <w:pPr>
              <w:pStyle w:val="27"/>
              <w:spacing w:before="161" w:line="360" w:lineRule="auto"/>
              <w:ind w:left="15"/>
              <w:jc w:val="center"/>
              <w:rPr>
                <w:color w:val="auto"/>
                <w:highlight w:val="none"/>
              </w:rPr>
            </w:pPr>
            <w:r>
              <w:rPr>
                <w:color w:val="auto"/>
                <w:highlight w:val="none"/>
              </w:rPr>
              <w:t>4</w:t>
            </w:r>
          </w:p>
        </w:tc>
        <w:tc>
          <w:tcPr>
            <w:tcW w:w="596" w:type="pct"/>
          </w:tcPr>
          <w:p>
            <w:pPr>
              <w:pStyle w:val="27"/>
              <w:spacing w:line="360" w:lineRule="auto"/>
              <w:rPr>
                <w:color w:val="auto"/>
                <w:sz w:val="22"/>
                <w:highlight w:val="none"/>
              </w:rPr>
            </w:pPr>
          </w:p>
        </w:tc>
        <w:tc>
          <w:tcPr>
            <w:tcW w:w="1490" w:type="pct"/>
          </w:tcPr>
          <w:p>
            <w:pPr>
              <w:pStyle w:val="27"/>
              <w:spacing w:line="360" w:lineRule="auto"/>
              <w:rPr>
                <w:color w:val="auto"/>
                <w:sz w:val="22"/>
                <w:highlight w:val="none"/>
              </w:rPr>
            </w:pPr>
          </w:p>
        </w:tc>
        <w:tc>
          <w:tcPr>
            <w:tcW w:w="1341" w:type="pct"/>
          </w:tcPr>
          <w:p>
            <w:pPr>
              <w:pStyle w:val="27"/>
              <w:spacing w:line="360" w:lineRule="auto"/>
              <w:rPr>
                <w:color w:val="auto"/>
                <w:sz w:val="22"/>
                <w:highlight w:val="none"/>
              </w:rPr>
            </w:pPr>
          </w:p>
        </w:tc>
        <w:tc>
          <w:tcPr>
            <w:tcW w:w="546" w:type="pct"/>
          </w:tcPr>
          <w:p>
            <w:pPr>
              <w:pStyle w:val="27"/>
              <w:spacing w:line="360" w:lineRule="auto"/>
              <w:rPr>
                <w:color w:val="auto"/>
                <w:sz w:val="22"/>
                <w:highlight w:val="none"/>
              </w:rPr>
            </w:pPr>
          </w:p>
        </w:tc>
        <w:tc>
          <w:tcPr>
            <w:tcW w:w="578" w:type="pct"/>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446" w:type="pct"/>
          </w:tcPr>
          <w:p>
            <w:pPr>
              <w:pStyle w:val="27"/>
              <w:spacing w:before="162" w:line="360" w:lineRule="auto"/>
              <w:ind w:left="15"/>
              <w:jc w:val="center"/>
              <w:rPr>
                <w:color w:val="auto"/>
                <w:highlight w:val="none"/>
              </w:rPr>
            </w:pPr>
            <w:r>
              <w:rPr>
                <w:color w:val="auto"/>
                <w:highlight w:val="none"/>
              </w:rPr>
              <w:t>5</w:t>
            </w:r>
          </w:p>
        </w:tc>
        <w:tc>
          <w:tcPr>
            <w:tcW w:w="596" w:type="pct"/>
          </w:tcPr>
          <w:p>
            <w:pPr>
              <w:pStyle w:val="27"/>
              <w:spacing w:line="360" w:lineRule="auto"/>
              <w:rPr>
                <w:color w:val="auto"/>
                <w:sz w:val="22"/>
                <w:highlight w:val="none"/>
              </w:rPr>
            </w:pPr>
          </w:p>
        </w:tc>
        <w:tc>
          <w:tcPr>
            <w:tcW w:w="1490" w:type="pct"/>
          </w:tcPr>
          <w:p>
            <w:pPr>
              <w:pStyle w:val="27"/>
              <w:spacing w:line="360" w:lineRule="auto"/>
              <w:rPr>
                <w:color w:val="auto"/>
                <w:sz w:val="22"/>
                <w:highlight w:val="none"/>
              </w:rPr>
            </w:pPr>
          </w:p>
        </w:tc>
        <w:tc>
          <w:tcPr>
            <w:tcW w:w="1341" w:type="pct"/>
          </w:tcPr>
          <w:p>
            <w:pPr>
              <w:pStyle w:val="27"/>
              <w:spacing w:line="360" w:lineRule="auto"/>
              <w:rPr>
                <w:color w:val="auto"/>
                <w:sz w:val="22"/>
                <w:highlight w:val="none"/>
              </w:rPr>
            </w:pPr>
          </w:p>
        </w:tc>
        <w:tc>
          <w:tcPr>
            <w:tcW w:w="546" w:type="pct"/>
          </w:tcPr>
          <w:p>
            <w:pPr>
              <w:pStyle w:val="27"/>
              <w:spacing w:line="360" w:lineRule="auto"/>
              <w:rPr>
                <w:color w:val="auto"/>
                <w:sz w:val="22"/>
                <w:highlight w:val="none"/>
              </w:rPr>
            </w:pPr>
          </w:p>
        </w:tc>
        <w:tc>
          <w:tcPr>
            <w:tcW w:w="578" w:type="pct"/>
          </w:tcPr>
          <w:p>
            <w:pPr>
              <w:pStyle w:val="27"/>
              <w:spacing w:line="360" w:lineRule="auto"/>
              <w:rPr>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446" w:type="pct"/>
          </w:tcPr>
          <w:p>
            <w:pPr>
              <w:pStyle w:val="27"/>
              <w:spacing w:before="162" w:line="360" w:lineRule="auto"/>
              <w:ind w:left="241" w:right="226"/>
              <w:jc w:val="center"/>
              <w:rPr>
                <w:color w:val="auto"/>
                <w:highlight w:val="none"/>
              </w:rPr>
            </w:pPr>
            <w:r>
              <w:rPr>
                <w:color w:val="auto"/>
                <w:highlight w:val="none"/>
              </w:rPr>
              <w:t>...</w:t>
            </w:r>
          </w:p>
        </w:tc>
        <w:tc>
          <w:tcPr>
            <w:tcW w:w="596" w:type="pct"/>
          </w:tcPr>
          <w:p>
            <w:pPr>
              <w:pStyle w:val="27"/>
              <w:spacing w:line="360" w:lineRule="auto"/>
              <w:rPr>
                <w:color w:val="auto"/>
                <w:sz w:val="22"/>
                <w:highlight w:val="none"/>
              </w:rPr>
            </w:pPr>
          </w:p>
        </w:tc>
        <w:tc>
          <w:tcPr>
            <w:tcW w:w="1490" w:type="pct"/>
          </w:tcPr>
          <w:p>
            <w:pPr>
              <w:pStyle w:val="27"/>
              <w:spacing w:line="360" w:lineRule="auto"/>
              <w:rPr>
                <w:color w:val="auto"/>
                <w:sz w:val="22"/>
                <w:highlight w:val="none"/>
              </w:rPr>
            </w:pPr>
          </w:p>
        </w:tc>
        <w:tc>
          <w:tcPr>
            <w:tcW w:w="1341" w:type="pct"/>
          </w:tcPr>
          <w:p>
            <w:pPr>
              <w:pStyle w:val="27"/>
              <w:spacing w:line="360" w:lineRule="auto"/>
              <w:rPr>
                <w:color w:val="auto"/>
                <w:sz w:val="22"/>
                <w:highlight w:val="none"/>
              </w:rPr>
            </w:pPr>
          </w:p>
        </w:tc>
        <w:tc>
          <w:tcPr>
            <w:tcW w:w="546" w:type="pct"/>
          </w:tcPr>
          <w:p>
            <w:pPr>
              <w:pStyle w:val="27"/>
              <w:spacing w:line="360" w:lineRule="auto"/>
              <w:rPr>
                <w:color w:val="auto"/>
                <w:sz w:val="22"/>
                <w:highlight w:val="none"/>
              </w:rPr>
            </w:pPr>
          </w:p>
        </w:tc>
        <w:tc>
          <w:tcPr>
            <w:tcW w:w="578" w:type="pct"/>
          </w:tcPr>
          <w:p>
            <w:pPr>
              <w:pStyle w:val="27"/>
              <w:spacing w:line="360" w:lineRule="auto"/>
              <w:rPr>
                <w:color w:val="auto"/>
                <w:sz w:val="22"/>
                <w:highlight w:val="none"/>
              </w:rPr>
            </w:pPr>
          </w:p>
        </w:tc>
      </w:tr>
    </w:tbl>
    <w:p>
      <w:pPr>
        <w:pStyle w:val="7"/>
        <w:spacing w:line="360" w:lineRule="auto"/>
        <w:rPr>
          <w:b/>
          <w:color w:val="auto"/>
          <w:highlight w:val="none"/>
        </w:rPr>
      </w:pPr>
    </w:p>
    <w:p>
      <w:pPr>
        <w:spacing w:line="360" w:lineRule="auto"/>
        <w:ind w:right="-1"/>
        <w:rPr>
          <w:rFonts w:ascii="宋体" w:cs="宋体"/>
          <w:color w:val="auto"/>
          <w:sz w:val="24"/>
          <w:szCs w:val="21"/>
          <w:highlight w:val="none"/>
        </w:rPr>
      </w:pPr>
      <w:r>
        <w:rPr>
          <w:rFonts w:hint="eastAsia" w:ascii="宋体" w:hAnsi="宋体" w:cs="宋体"/>
          <w:color w:val="auto"/>
          <w:sz w:val="24"/>
          <w:szCs w:val="21"/>
          <w:highlight w:val="none"/>
        </w:rPr>
        <w:t>说明：</w:t>
      </w:r>
    </w:p>
    <w:p>
      <w:pPr>
        <w:spacing w:line="360" w:lineRule="auto"/>
        <w:ind w:right="-1"/>
        <w:rPr>
          <w:rFonts w:ascii="宋体" w:cs="宋体"/>
          <w:color w:val="auto"/>
          <w:sz w:val="24"/>
          <w:szCs w:val="21"/>
          <w:highlight w:val="none"/>
        </w:rPr>
      </w:pPr>
      <w:r>
        <w:rPr>
          <w:rFonts w:ascii="宋体" w:hAnsi="宋体" w:cs="宋体"/>
          <w:color w:val="auto"/>
          <w:sz w:val="24"/>
          <w:szCs w:val="21"/>
          <w:highlight w:val="none"/>
        </w:rPr>
        <w:t>1</w:t>
      </w:r>
      <w:r>
        <w:rPr>
          <w:rFonts w:hint="eastAsia" w:ascii="宋体" w:hAnsi="宋体" w:cs="宋体"/>
          <w:color w:val="auto"/>
          <w:sz w:val="24"/>
          <w:szCs w:val="21"/>
          <w:highlight w:val="none"/>
        </w:rPr>
        <w:t>、投标人应根据招标要求逐条逐项表述说明投标响应情况。</w:t>
      </w:r>
      <w:r>
        <w:rPr>
          <w:rFonts w:ascii="宋体" w:hAnsi="宋体" w:cs="宋体"/>
          <w:color w:val="auto"/>
          <w:sz w:val="24"/>
          <w:szCs w:val="21"/>
          <w:highlight w:val="none"/>
        </w:rPr>
        <w:t xml:space="preserve"> </w:t>
      </w:r>
    </w:p>
    <w:p>
      <w:pPr>
        <w:spacing w:line="360" w:lineRule="auto"/>
        <w:ind w:right="-1"/>
        <w:rPr>
          <w:rFonts w:ascii="宋体" w:cs="宋体"/>
          <w:color w:val="auto"/>
          <w:sz w:val="24"/>
          <w:szCs w:val="21"/>
          <w:highlight w:val="none"/>
        </w:rPr>
      </w:pPr>
      <w:r>
        <w:rPr>
          <w:rFonts w:ascii="宋体" w:hAnsi="宋体" w:cs="宋体"/>
          <w:color w:val="auto"/>
          <w:sz w:val="24"/>
          <w:szCs w:val="21"/>
          <w:highlight w:val="none"/>
        </w:rPr>
        <w:t>2</w:t>
      </w:r>
      <w:r>
        <w:rPr>
          <w:rFonts w:hint="eastAsia" w:ascii="宋体" w:hAnsi="宋体" w:cs="宋体"/>
          <w:color w:val="auto"/>
          <w:sz w:val="24"/>
          <w:szCs w:val="21"/>
          <w:highlight w:val="none"/>
        </w:rPr>
        <w:t>、投标人提交的投标文件中的技术参数与招标文件的技术要求、技术参数不同时，应逐条逐项如实填列在偏离表中。投标人不如实填写偏离情况、存在弄虚作假行为的，将依法承担相应的法律责任。“偏差情况”是指“正偏离”、“负偏离”</w:t>
      </w:r>
      <w:r>
        <w:rPr>
          <w:rFonts w:ascii="宋体" w:hAnsi="宋体" w:cs="宋体"/>
          <w:color w:val="auto"/>
          <w:sz w:val="24"/>
          <w:szCs w:val="21"/>
          <w:highlight w:val="none"/>
        </w:rPr>
        <w:t xml:space="preserve"> </w:t>
      </w:r>
      <w:r>
        <w:rPr>
          <w:rFonts w:hint="eastAsia" w:ascii="宋体" w:hAnsi="宋体" w:cs="宋体"/>
          <w:color w:val="auto"/>
          <w:sz w:val="24"/>
          <w:szCs w:val="21"/>
          <w:highlight w:val="none"/>
        </w:rPr>
        <w:t>或“无偏离”。</w:t>
      </w:r>
    </w:p>
    <w:p>
      <w:pPr>
        <w:spacing w:line="360" w:lineRule="auto"/>
        <w:rPr>
          <w:color w:val="auto"/>
          <w:highlight w:val="none"/>
        </w:rPr>
      </w:pPr>
    </w:p>
    <w:p>
      <w:pPr>
        <w:pStyle w:val="12"/>
        <w:spacing w:line="360" w:lineRule="auto"/>
        <w:ind w:left="31680" w:right="31680"/>
        <w:rPr>
          <w:color w:val="auto"/>
          <w:highlight w:val="none"/>
        </w:rPr>
      </w:pPr>
    </w:p>
    <w:p>
      <w:pPr>
        <w:pStyle w:val="12"/>
        <w:spacing w:line="360" w:lineRule="auto"/>
        <w:ind w:left="31680" w:right="31680"/>
        <w:rPr>
          <w:color w:val="auto"/>
          <w:highlight w:val="none"/>
        </w:rPr>
      </w:pPr>
    </w:p>
    <w:p>
      <w:pPr>
        <w:pStyle w:val="12"/>
        <w:spacing w:line="360" w:lineRule="auto"/>
        <w:ind w:left="31680" w:right="31680"/>
        <w:rPr>
          <w:color w:val="auto"/>
          <w:highlight w:val="none"/>
        </w:rPr>
      </w:pPr>
    </w:p>
    <w:p>
      <w:pPr>
        <w:pStyle w:val="12"/>
        <w:spacing w:line="360" w:lineRule="auto"/>
        <w:ind w:left="31680" w:right="31680"/>
        <w:rPr>
          <w:color w:val="auto"/>
          <w:highlight w:val="none"/>
        </w:rPr>
      </w:pPr>
    </w:p>
    <w:p>
      <w:pPr>
        <w:pStyle w:val="12"/>
        <w:spacing w:line="360" w:lineRule="auto"/>
        <w:ind w:left="31680" w:right="31680"/>
        <w:rPr>
          <w:color w:val="auto"/>
          <w:highlight w:val="none"/>
        </w:rPr>
      </w:pPr>
    </w:p>
    <w:p>
      <w:pPr>
        <w:pStyle w:val="12"/>
        <w:spacing w:line="360" w:lineRule="auto"/>
        <w:ind w:left="31680" w:right="31680"/>
        <w:rPr>
          <w:color w:val="auto"/>
          <w:highlight w:val="none"/>
        </w:rPr>
      </w:pPr>
    </w:p>
    <w:p>
      <w:pPr>
        <w:spacing w:line="240" w:lineRule="auto"/>
        <w:jc w:val="center"/>
        <w:rPr>
          <w:sz w:val="24"/>
          <w:szCs w:val="24"/>
          <w:highlight w:val="none"/>
        </w:rPr>
      </w:pPr>
      <w:r>
        <w:rPr>
          <w:rFonts w:hint="eastAsia" w:ascii="宋体" w:hAnsi="宋体" w:eastAsia="宋体"/>
          <w:b/>
          <w:color w:val="000000"/>
          <w:sz w:val="24"/>
          <w:szCs w:val="24"/>
          <w:highlight w:val="none"/>
        </w:rPr>
        <w:t>（二）主要设备性能</w:t>
      </w:r>
    </w:p>
    <w:p>
      <w:pPr>
        <w:spacing w:line="288" w:lineRule="auto"/>
        <w:ind w:firstLine="0"/>
        <w:jc w:val="both"/>
        <w:rPr>
          <w:sz w:val="24"/>
          <w:szCs w:val="24"/>
          <w:highlight w:val="none"/>
        </w:rPr>
      </w:pPr>
    </w:p>
    <w:p>
      <w:pPr>
        <w:spacing w:line="288" w:lineRule="auto"/>
        <w:ind w:firstLine="0"/>
        <w:jc w:val="both"/>
        <w:rPr>
          <w:sz w:val="24"/>
          <w:szCs w:val="24"/>
          <w:highlight w:val="none"/>
        </w:rPr>
      </w:pPr>
    </w:p>
    <w:p>
      <w:pPr>
        <w:spacing w:line="360" w:lineRule="auto"/>
        <w:ind w:firstLine="0"/>
        <w:jc w:val="both"/>
        <w:rPr>
          <w:sz w:val="24"/>
          <w:szCs w:val="24"/>
          <w:highlight w:val="none"/>
        </w:rPr>
      </w:pPr>
      <w:r>
        <w:rPr>
          <w:rFonts w:hint="eastAsia" w:ascii="宋体" w:hAnsi="宋体" w:eastAsia="宋体"/>
          <w:color w:val="000000"/>
          <w:sz w:val="24"/>
          <w:szCs w:val="24"/>
          <w:highlight w:val="none"/>
        </w:rPr>
        <w:t>投标车辆名称</w:t>
      </w:r>
      <w:r>
        <w:rPr>
          <w:rFonts w:hint="eastAsia" w:ascii="宋体" w:hAnsi="宋体" w:eastAsia="宋体"/>
          <w:b/>
          <w:color w:val="000000"/>
          <w:sz w:val="24"/>
          <w:szCs w:val="24"/>
          <w:highlight w:val="none"/>
        </w:rPr>
        <w:t>：</w:t>
      </w:r>
      <w:r>
        <w:rPr>
          <w:rFonts w:hint="eastAsia" w:ascii="宋体" w:hAnsi="宋体" w:eastAsia="宋体"/>
          <w:color w:val="000000"/>
          <w:sz w:val="24"/>
          <w:szCs w:val="24"/>
          <w:highlight w:val="none"/>
          <w:u w:val="single"/>
        </w:rPr>
        <w:t xml:space="preserve">           </w:t>
      </w:r>
    </w:p>
    <w:p>
      <w:pPr>
        <w:spacing w:line="360" w:lineRule="auto"/>
        <w:ind w:firstLine="0"/>
        <w:jc w:val="both"/>
        <w:rPr>
          <w:sz w:val="24"/>
          <w:szCs w:val="24"/>
          <w:highlight w:val="none"/>
        </w:rPr>
      </w:pPr>
    </w:p>
    <w:tbl>
      <w:tblPr>
        <w:tblStyle w:val="23"/>
        <w:tblW w:w="10000"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791"/>
        <w:gridCol w:w="2130"/>
        <w:gridCol w:w="1095"/>
        <w:gridCol w:w="1055"/>
        <w:gridCol w:w="2596"/>
        <w:gridCol w:w="2333"/>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0"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序号</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名称</w:t>
            </w:r>
          </w:p>
        </w:tc>
        <w:tc>
          <w:tcPr>
            <w:tcW w:w="108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型号</w:t>
            </w:r>
          </w:p>
        </w:tc>
        <w:tc>
          <w:tcPr>
            <w:tcW w:w="104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品牌</w:t>
            </w:r>
          </w:p>
        </w:tc>
        <w:tc>
          <w:tcPr>
            <w:tcW w:w="256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性能描述</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备注</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20"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Calibri" w:hAnsi="Calibri" w:eastAsia="Calibri"/>
                <w:color w:val="000000"/>
                <w:sz w:val="24"/>
                <w:szCs w:val="24"/>
                <w:highlight w:val="none"/>
              </w:rPr>
              <w:t>1</w:t>
            </w:r>
          </w:p>
        </w:tc>
        <w:tc>
          <w:tcPr>
            <w:tcW w:w="210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底盘</w:t>
            </w:r>
          </w:p>
        </w:tc>
        <w:tc>
          <w:tcPr>
            <w:tcW w:w="108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256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见投标文件（）页</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0"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Calibri" w:hAnsi="Calibri" w:eastAsia="Calibri"/>
                <w:color w:val="000000"/>
                <w:sz w:val="24"/>
                <w:szCs w:val="24"/>
                <w:highlight w:val="none"/>
              </w:rPr>
              <w:t>2</w:t>
            </w:r>
          </w:p>
        </w:tc>
        <w:tc>
          <w:tcPr>
            <w:tcW w:w="210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256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见投标文件（）页</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20"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Calibri" w:hAnsi="Calibri" w:eastAsia="Calibri"/>
                <w:color w:val="000000"/>
                <w:sz w:val="24"/>
                <w:szCs w:val="24"/>
                <w:highlight w:val="none"/>
              </w:rPr>
              <w:t>3</w:t>
            </w:r>
          </w:p>
        </w:tc>
        <w:tc>
          <w:tcPr>
            <w:tcW w:w="210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256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见投标文件（）页</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40"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Calibri" w:hAnsi="Calibri" w:eastAsia="Calibri"/>
                <w:color w:val="000000"/>
                <w:sz w:val="24"/>
                <w:szCs w:val="24"/>
                <w:highlight w:val="none"/>
              </w:rPr>
              <w:t>4</w:t>
            </w:r>
          </w:p>
        </w:tc>
        <w:tc>
          <w:tcPr>
            <w:tcW w:w="210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256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408" w:lineRule="auto"/>
              <w:jc w:val="center"/>
              <w:rPr>
                <w:sz w:val="24"/>
                <w:szCs w:val="24"/>
                <w:highlight w:val="none"/>
              </w:rPr>
            </w:pPr>
            <w:r>
              <w:rPr>
                <w:rFonts w:hint="eastAsia" w:ascii="宋体" w:hAnsi="宋体" w:eastAsia="宋体"/>
                <w:color w:val="000000"/>
                <w:sz w:val="24"/>
                <w:szCs w:val="24"/>
                <w:highlight w:val="none"/>
              </w:rPr>
              <w:t>见投标文件（）页</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00"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Calibri" w:hAnsi="Calibri" w:eastAsia="Calibri"/>
                <w:color w:val="000000"/>
                <w:sz w:val="24"/>
                <w:szCs w:val="24"/>
                <w:highlight w:val="none"/>
              </w:rPr>
              <w:t>5</w:t>
            </w:r>
          </w:p>
        </w:tc>
        <w:tc>
          <w:tcPr>
            <w:tcW w:w="210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256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宋体" w:hAnsi="宋体" w:eastAsia="宋体"/>
                <w:color w:val="000000"/>
                <w:sz w:val="24"/>
                <w:szCs w:val="24"/>
                <w:highlight w:val="none"/>
              </w:rPr>
              <w:t>见投标文件（）页</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20"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spacing w:line="336" w:lineRule="auto"/>
              <w:jc w:val="center"/>
              <w:rPr>
                <w:sz w:val="24"/>
                <w:szCs w:val="24"/>
                <w:highlight w:val="none"/>
              </w:rPr>
            </w:pPr>
            <w:r>
              <w:rPr>
                <w:rFonts w:hint="eastAsia" w:ascii="Calibri" w:hAnsi="Calibri" w:eastAsia="Calibri"/>
                <w:color w:val="000000"/>
                <w:sz w:val="24"/>
                <w:szCs w:val="24"/>
                <w:highlight w:val="none"/>
              </w:rPr>
              <w:t>6</w:t>
            </w:r>
          </w:p>
        </w:tc>
        <w:tc>
          <w:tcPr>
            <w:tcW w:w="210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256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c>
          <w:tcPr>
            <w:tcW w:w="2300" w:type="dxa"/>
            <w:tcBorders>
              <w:top w:val="single" w:color="000000" w:sz="4" w:space="0"/>
              <w:left w:val="single" w:color="000000" w:sz="4" w:space="0"/>
              <w:bottom w:val="single" w:color="000000" w:sz="4" w:space="0"/>
              <w:right w:val="single" w:color="000000" w:sz="4" w:space="0"/>
            </w:tcBorders>
            <w:vAlign w:val="center"/>
          </w:tcPr>
          <w:p>
            <w:pPr>
              <w:rPr>
                <w:sz w:val="24"/>
                <w:szCs w:val="24"/>
                <w:highlight w:val="none"/>
              </w:rPr>
            </w:pPr>
          </w:p>
        </w:tc>
      </w:tr>
    </w:tbl>
    <w:p>
      <w:pPr>
        <w:spacing w:line="360" w:lineRule="auto"/>
        <w:ind w:firstLine="0"/>
        <w:jc w:val="both"/>
        <w:rPr>
          <w:sz w:val="24"/>
          <w:szCs w:val="24"/>
          <w:highlight w:val="none"/>
        </w:rPr>
      </w:pPr>
    </w:p>
    <w:p>
      <w:pPr>
        <w:spacing w:line="360" w:lineRule="auto"/>
        <w:ind w:firstLine="0"/>
        <w:jc w:val="both"/>
        <w:rPr>
          <w:sz w:val="24"/>
          <w:szCs w:val="24"/>
          <w:highlight w:val="none"/>
        </w:rPr>
      </w:pPr>
      <w:r>
        <w:rPr>
          <w:rFonts w:hint="eastAsia" w:ascii="宋体" w:hAnsi="宋体" w:eastAsia="宋体"/>
          <w:color w:val="000000"/>
          <w:sz w:val="24"/>
          <w:szCs w:val="24"/>
          <w:highlight w:val="none"/>
        </w:rPr>
        <w:t>注：</w:t>
      </w:r>
    </w:p>
    <w:p>
      <w:pPr>
        <w:spacing w:line="360" w:lineRule="auto"/>
        <w:ind w:firstLine="540"/>
        <w:jc w:val="both"/>
        <w:rPr>
          <w:sz w:val="24"/>
          <w:szCs w:val="24"/>
          <w:highlight w:val="none"/>
        </w:rPr>
      </w:pP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．本表所填内容应与招标文件第四章“评标办法”</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w:t>
      </w: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w:t>
      </w:r>
      <w:r>
        <w:rPr>
          <w:rFonts w:hint="eastAsia" w:ascii="Calibri" w:hAnsi="Calibri" w:eastAsia="宋体"/>
          <w:color w:val="000000"/>
          <w:sz w:val="24"/>
          <w:szCs w:val="24"/>
          <w:highlight w:val="none"/>
          <w:lang w:val="en-US" w:eastAsia="zh-CN"/>
        </w:rPr>
        <w:t>2</w:t>
      </w:r>
      <w:r>
        <w:rPr>
          <w:rFonts w:hint="eastAsia" w:ascii="宋体" w:hAnsi="宋体" w:eastAsia="宋体"/>
          <w:color w:val="000000"/>
          <w:sz w:val="24"/>
          <w:szCs w:val="24"/>
          <w:highlight w:val="none"/>
        </w:rPr>
        <w:t>）款中的评标内容相照应，为评标委员会方便评标使用。</w:t>
      </w:r>
    </w:p>
    <w:p>
      <w:pPr>
        <w:spacing w:line="360" w:lineRule="auto"/>
        <w:ind w:firstLine="540"/>
        <w:jc w:val="both"/>
        <w:rPr>
          <w:sz w:val="24"/>
          <w:szCs w:val="24"/>
          <w:highlight w:val="none"/>
        </w:rPr>
      </w:pP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．投标人应根据所投标包对应的评分标准进行填写，表中名称内容可根据投报设备情况自行增加（删减）调整。</w:t>
      </w:r>
    </w:p>
    <w:p>
      <w:pPr>
        <w:rPr>
          <w:rFonts w:hint="eastAsia"/>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color w:val="auto"/>
          <w:sz w:val="24"/>
          <w:szCs w:val="24"/>
          <w:highlight w:val="none"/>
        </w:rPr>
      </w:pPr>
    </w:p>
    <w:p>
      <w:pPr>
        <w:rPr>
          <w:rFonts w:hint="eastAsia"/>
          <w:highlight w:val="none"/>
        </w:rPr>
      </w:pPr>
    </w:p>
    <w:p>
      <w:pPr>
        <w:numPr>
          <w:ilvl w:val="0"/>
          <w:numId w:val="14"/>
        </w:numPr>
        <w:spacing w:line="240" w:lineRule="auto"/>
        <w:ind w:left="3" w:leftChars="0" w:firstLine="0" w:firstLineChars="0"/>
        <w:jc w:val="center"/>
        <w:rPr>
          <w:rFonts w:hint="eastAsia" w:ascii="宋体" w:hAnsi="宋体" w:eastAsia="宋体"/>
          <w:b/>
          <w:color w:val="000000"/>
          <w:sz w:val="24"/>
          <w:szCs w:val="24"/>
          <w:highlight w:val="none"/>
        </w:rPr>
      </w:pPr>
      <w:r>
        <w:rPr>
          <w:rFonts w:hint="eastAsia" w:ascii="宋体" w:hAnsi="宋体" w:eastAsia="宋体"/>
          <w:b/>
          <w:color w:val="000000"/>
          <w:sz w:val="24"/>
          <w:szCs w:val="24"/>
          <w:highlight w:val="none"/>
        </w:rPr>
        <w:t>技术参数证明材料</w:t>
      </w:r>
    </w:p>
    <w:p>
      <w:pPr>
        <w:numPr>
          <w:ilvl w:val="0"/>
          <w:numId w:val="0"/>
        </w:numPr>
        <w:spacing w:line="240" w:lineRule="auto"/>
        <w:ind w:left="3" w:leftChars="0"/>
        <w:jc w:val="both"/>
        <w:rPr>
          <w:rFonts w:hint="eastAsia" w:ascii="宋体" w:hAnsi="宋体" w:eastAsia="宋体"/>
          <w:b/>
          <w:color w:val="000000"/>
          <w:sz w:val="24"/>
          <w:szCs w:val="24"/>
          <w:highlight w:val="none"/>
        </w:rPr>
      </w:pPr>
    </w:p>
    <w:p>
      <w:pPr>
        <w:keepNext/>
        <w:keepLines/>
        <w:spacing w:line="360" w:lineRule="auto"/>
        <w:jc w:val="center"/>
        <w:rPr>
          <w:rFonts w:ascii="宋体" w:cs="宋体"/>
          <w:b/>
          <w:bCs/>
          <w:color w:val="auto"/>
          <w:kern w:val="0"/>
          <w:sz w:val="24"/>
          <w:highlight w:val="none"/>
        </w:rPr>
      </w:pPr>
    </w:p>
    <w:p>
      <w:pPr>
        <w:pStyle w:val="12"/>
        <w:spacing w:line="360" w:lineRule="auto"/>
        <w:ind w:left="31680" w:right="31680"/>
        <w:rPr>
          <w:color w:val="auto"/>
          <w:highlight w:val="none"/>
        </w:rPr>
        <w:sectPr>
          <w:footerReference r:id="rId9" w:type="default"/>
          <w:pgSz w:w="11911" w:h="16838"/>
          <w:pgMar w:top="1440" w:right="1803" w:bottom="1440" w:left="1803" w:header="884" w:footer="964" w:gutter="0"/>
          <w:pgBorders>
            <w:top w:val="none" w:sz="0" w:space="0"/>
            <w:left w:val="none" w:sz="0" w:space="0"/>
            <w:bottom w:val="none" w:sz="0" w:space="0"/>
            <w:right w:val="none" w:sz="0" w:space="0"/>
          </w:pgBorders>
          <w:pgNumType w:fmt="decimal"/>
          <w:cols w:space="0" w:num="1"/>
          <w:rtlGutter w:val="0"/>
          <w:docGrid w:linePitch="0" w:charSpace="0"/>
        </w:sectPr>
      </w:pPr>
    </w:p>
    <w:p>
      <w:pPr>
        <w:spacing w:before="54" w:line="360" w:lineRule="auto"/>
        <w:jc w:val="center"/>
        <w:outlineLvl w:val="1"/>
        <w:rPr>
          <w:b/>
          <w:color w:val="auto"/>
          <w:sz w:val="32"/>
          <w:highlight w:val="none"/>
        </w:rPr>
      </w:pPr>
      <w:bookmarkStart w:id="504" w:name="_Toc26886"/>
      <w:bookmarkStart w:id="505" w:name="_Toc31940"/>
      <w:bookmarkStart w:id="506" w:name="_Toc9417"/>
      <w:r>
        <w:rPr>
          <w:rFonts w:hint="eastAsia"/>
          <w:b/>
          <w:color w:val="auto"/>
          <w:w w:val="95"/>
          <w:sz w:val="32"/>
          <w:highlight w:val="none"/>
        </w:rPr>
        <w:t>六、</w:t>
      </w:r>
      <w:r>
        <w:rPr>
          <w:rFonts w:hint="eastAsia"/>
          <w:b/>
          <w:color w:val="auto"/>
          <w:w w:val="95"/>
          <w:sz w:val="32"/>
          <w:highlight w:val="none"/>
          <w:lang w:eastAsia="zh-CN"/>
        </w:rPr>
        <w:t>类似</w:t>
      </w:r>
      <w:r>
        <w:rPr>
          <w:rFonts w:hint="eastAsia"/>
          <w:b/>
          <w:color w:val="auto"/>
          <w:sz w:val="32"/>
          <w:highlight w:val="none"/>
        </w:rPr>
        <w:t>业绩</w:t>
      </w:r>
      <w:bookmarkEnd w:id="504"/>
      <w:bookmarkEnd w:id="505"/>
      <w:bookmarkEnd w:id="506"/>
    </w:p>
    <w:p>
      <w:pPr>
        <w:pStyle w:val="7"/>
        <w:spacing w:before="12" w:line="360" w:lineRule="auto"/>
        <w:rPr>
          <w:b/>
          <w:color w:val="auto"/>
          <w:sz w:val="19"/>
          <w:highlight w:val="none"/>
        </w:rPr>
      </w:pPr>
    </w:p>
    <w:p>
      <w:pPr>
        <w:pStyle w:val="7"/>
        <w:spacing w:before="66" w:line="360" w:lineRule="auto"/>
        <w:ind w:right="412"/>
        <w:jc w:val="right"/>
        <w:rPr>
          <w:color w:val="auto"/>
          <w:highlight w:val="none"/>
        </w:rPr>
      </w:pPr>
      <w:r>
        <w:rPr>
          <w:rFonts w:hint="eastAsia"/>
          <w:color w:val="auto"/>
          <w:highlight w:val="none"/>
        </w:rPr>
        <w:t>金额单位：元</w:t>
      </w:r>
    </w:p>
    <w:p>
      <w:pPr>
        <w:pStyle w:val="7"/>
        <w:spacing w:before="3" w:line="360" w:lineRule="auto"/>
        <w:rPr>
          <w:color w:val="auto"/>
          <w:sz w:val="12"/>
          <w:highlight w:val="none"/>
        </w:rPr>
      </w:pPr>
    </w:p>
    <w:tbl>
      <w:tblPr>
        <w:tblStyle w:val="23"/>
        <w:tblW w:w="516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59"/>
        <w:gridCol w:w="1214"/>
        <w:gridCol w:w="903"/>
        <w:gridCol w:w="937"/>
        <w:gridCol w:w="1158"/>
        <w:gridCol w:w="991"/>
        <w:gridCol w:w="946"/>
        <w:gridCol w:w="17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5" w:hRule="atLeast"/>
        </w:trPr>
        <w:tc>
          <w:tcPr>
            <w:tcW w:w="383" w:type="pct"/>
          </w:tcPr>
          <w:p>
            <w:pPr>
              <w:pStyle w:val="27"/>
              <w:spacing w:line="360" w:lineRule="auto"/>
              <w:jc w:val="center"/>
              <w:rPr>
                <w:color w:val="auto"/>
                <w:highlight w:val="none"/>
              </w:rPr>
            </w:pPr>
          </w:p>
          <w:p>
            <w:pPr>
              <w:pStyle w:val="27"/>
              <w:spacing w:before="161" w:line="360" w:lineRule="auto"/>
              <w:ind w:right="132"/>
              <w:jc w:val="center"/>
              <w:rPr>
                <w:color w:val="auto"/>
                <w:highlight w:val="none"/>
              </w:rPr>
            </w:pPr>
            <w:r>
              <w:rPr>
                <w:rFonts w:hint="eastAsia"/>
                <w:color w:val="auto"/>
                <w:highlight w:val="none"/>
              </w:rPr>
              <w:t>序号</w:t>
            </w:r>
          </w:p>
        </w:tc>
        <w:tc>
          <w:tcPr>
            <w:tcW w:w="706" w:type="pct"/>
          </w:tcPr>
          <w:p>
            <w:pPr>
              <w:pStyle w:val="27"/>
              <w:spacing w:before="3" w:line="360" w:lineRule="auto"/>
              <w:jc w:val="center"/>
              <w:rPr>
                <w:color w:val="auto"/>
                <w:sz w:val="18"/>
                <w:highlight w:val="none"/>
              </w:rPr>
            </w:pPr>
          </w:p>
          <w:p>
            <w:pPr>
              <w:pStyle w:val="27"/>
              <w:spacing w:line="360" w:lineRule="auto"/>
              <w:ind w:left="138" w:right="128"/>
              <w:jc w:val="center"/>
              <w:rPr>
                <w:color w:val="auto"/>
                <w:spacing w:val="-2"/>
                <w:highlight w:val="none"/>
              </w:rPr>
            </w:pPr>
            <w:r>
              <w:rPr>
                <w:rFonts w:hint="eastAsia"/>
                <w:color w:val="auto"/>
                <w:spacing w:val="-2"/>
                <w:highlight w:val="none"/>
              </w:rPr>
              <w:t>用户单位</w:t>
            </w:r>
          </w:p>
          <w:p>
            <w:pPr>
              <w:pStyle w:val="27"/>
              <w:spacing w:line="360" w:lineRule="auto"/>
              <w:ind w:left="138" w:right="128"/>
              <w:jc w:val="center"/>
              <w:rPr>
                <w:color w:val="auto"/>
                <w:highlight w:val="none"/>
              </w:rPr>
            </w:pPr>
            <w:r>
              <w:rPr>
                <w:rFonts w:hint="eastAsia"/>
                <w:color w:val="auto"/>
                <w:spacing w:val="-2"/>
                <w:highlight w:val="none"/>
              </w:rPr>
              <w:t>名称</w:t>
            </w:r>
          </w:p>
        </w:tc>
        <w:tc>
          <w:tcPr>
            <w:tcW w:w="525" w:type="pct"/>
          </w:tcPr>
          <w:p>
            <w:pPr>
              <w:pStyle w:val="27"/>
              <w:spacing w:before="3" w:line="360" w:lineRule="auto"/>
              <w:jc w:val="center"/>
              <w:rPr>
                <w:color w:val="auto"/>
                <w:sz w:val="18"/>
                <w:highlight w:val="none"/>
              </w:rPr>
            </w:pPr>
          </w:p>
          <w:p>
            <w:pPr>
              <w:pStyle w:val="27"/>
              <w:spacing w:line="360" w:lineRule="auto"/>
              <w:ind w:left="152" w:right="140"/>
              <w:jc w:val="center"/>
              <w:rPr>
                <w:color w:val="auto"/>
                <w:highlight w:val="none"/>
              </w:rPr>
            </w:pPr>
            <w:r>
              <w:rPr>
                <w:rFonts w:hint="eastAsia"/>
                <w:color w:val="auto"/>
                <w:spacing w:val="-2"/>
                <w:highlight w:val="none"/>
              </w:rPr>
              <w:t>项目内容</w:t>
            </w:r>
          </w:p>
        </w:tc>
        <w:tc>
          <w:tcPr>
            <w:tcW w:w="545" w:type="pct"/>
          </w:tcPr>
          <w:p>
            <w:pPr>
              <w:pStyle w:val="27"/>
              <w:spacing w:line="360" w:lineRule="auto"/>
              <w:jc w:val="center"/>
              <w:rPr>
                <w:color w:val="auto"/>
                <w:highlight w:val="none"/>
              </w:rPr>
            </w:pPr>
          </w:p>
          <w:p>
            <w:pPr>
              <w:pStyle w:val="27"/>
              <w:spacing w:before="161" w:line="360" w:lineRule="auto"/>
              <w:ind w:left="147"/>
              <w:jc w:val="center"/>
              <w:rPr>
                <w:color w:val="auto"/>
                <w:highlight w:val="none"/>
              </w:rPr>
            </w:pPr>
            <w:r>
              <w:rPr>
                <w:rFonts w:hint="eastAsia"/>
                <w:color w:val="auto"/>
                <w:highlight w:val="none"/>
              </w:rPr>
              <w:t>实施地点</w:t>
            </w:r>
          </w:p>
        </w:tc>
        <w:tc>
          <w:tcPr>
            <w:tcW w:w="673" w:type="pct"/>
          </w:tcPr>
          <w:p>
            <w:pPr>
              <w:pStyle w:val="27"/>
              <w:spacing w:before="3" w:line="360" w:lineRule="auto"/>
              <w:jc w:val="center"/>
              <w:rPr>
                <w:color w:val="auto"/>
                <w:sz w:val="18"/>
                <w:highlight w:val="none"/>
              </w:rPr>
            </w:pPr>
          </w:p>
          <w:p>
            <w:pPr>
              <w:pStyle w:val="27"/>
              <w:spacing w:line="360" w:lineRule="auto"/>
              <w:ind w:left="136" w:right="128"/>
              <w:jc w:val="center"/>
              <w:rPr>
                <w:color w:val="auto"/>
                <w:spacing w:val="-1"/>
                <w:highlight w:val="none"/>
              </w:rPr>
            </w:pPr>
            <w:r>
              <w:rPr>
                <w:rFonts w:hint="eastAsia"/>
                <w:color w:val="auto"/>
                <w:spacing w:val="-1"/>
                <w:highlight w:val="none"/>
              </w:rPr>
              <w:t>用户联系人</w:t>
            </w:r>
          </w:p>
          <w:p>
            <w:pPr>
              <w:pStyle w:val="27"/>
              <w:spacing w:line="360" w:lineRule="auto"/>
              <w:ind w:left="136" w:right="128"/>
              <w:jc w:val="center"/>
              <w:rPr>
                <w:color w:val="auto"/>
                <w:highlight w:val="none"/>
              </w:rPr>
            </w:pPr>
            <w:r>
              <w:rPr>
                <w:rFonts w:hint="eastAsia"/>
                <w:color w:val="auto"/>
                <w:spacing w:val="-1"/>
                <w:highlight w:val="none"/>
              </w:rPr>
              <w:t>及联系方式</w:t>
            </w:r>
          </w:p>
        </w:tc>
        <w:tc>
          <w:tcPr>
            <w:tcW w:w="576" w:type="pct"/>
          </w:tcPr>
          <w:p>
            <w:pPr>
              <w:pStyle w:val="27"/>
              <w:spacing w:before="3" w:line="360" w:lineRule="auto"/>
              <w:jc w:val="center"/>
              <w:rPr>
                <w:color w:val="auto"/>
                <w:sz w:val="18"/>
                <w:highlight w:val="none"/>
              </w:rPr>
            </w:pPr>
          </w:p>
          <w:p>
            <w:pPr>
              <w:pStyle w:val="27"/>
              <w:spacing w:line="360" w:lineRule="auto"/>
              <w:ind w:left="214" w:right="204"/>
              <w:jc w:val="center"/>
              <w:rPr>
                <w:color w:val="auto"/>
                <w:highlight w:val="none"/>
              </w:rPr>
            </w:pPr>
            <w:r>
              <w:rPr>
                <w:rFonts w:hint="eastAsia"/>
                <w:color w:val="auto"/>
                <w:spacing w:val="-2"/>
                <w:highlight w:val="none"/>
              </w:rPr>
              <w:t>项目起止时间</w:t>
            </w:r>
          </w:p>
        </w:tc>
        <w:tc>
          <w:tcPr>
            <w:tcW w:w="550" w:type="pct"/>
          </w:tcPr>
          <w:p>
            <w:pPr>
              <w:pStyle w:val="27"/>
              <w:spacing w:before="3" w:line="360" w:lineRule="auto"/>
              <w:jc w:val="center"/>
              <w:rPr>
                <w:color w:val="auto"/>
                <w:sz w:val="18"/>
                <w:highlight w:val="none"/>
              </w:rPr>
            </w:pPr>
          </w:p>
          <w:p>
            <w:pPr>
              <w:pStyle w:val="27"/>
              <w:spacing w:line="360" w:lineRule="auto"/>
              <w:ind w:left="148" w:right="140"/>
              <w:jc w:val="center"/>
              <w:rPr>
                <w:color w:val="auto"/>
                <w:spacing w:val="-2"/>
                <w:highlight w:val="none"/>
              </w:rPr>
            </w:pPr>
            <w:r>
              <w:rPr>
                <w:rFonts w:hint="eastAsia"/>
                <w:color w:val="auto"/>
                <w:spacing w:val="-2"/>
                <w:highlight w:val="none"/>
              </w:rPr>
              <w:t>合同</w:t>
            </w:r>
          </w:p>
          <w:p>
            <w:pPr>
              <w:pStyle w:val="27"/>
              <w:spacing w:line="360" w:lineRule="auto"/>
              <w:ind w:left="148" w:right="140"/>
              <w:jc w:val="center"/>
              <w:rPr>
                <w:color w:val="auto"/>
                <w:highlight w:val="none"/>
              </w:rPr>
            </w:pPr>
            <w:r>
              <w:rPr>
                <w:rFonts w:hint="eastAsia"/>
                <w:color w:val="auto"/>
                <w:spacing w:val="-2"/>
                <w:highlight w:val="none"/>
              </w:rPr>
              <w:t>金额</w:t>
            </w:r>
          </w:p>
        </w:tc>
        <w:tc>
          <w:tcPr>
            <w:tcW w:w="1038" w:type="pct"/>
          </w:tcPr>
          <w:p>
            <w:pPr>
              <w:pStyle w:val="27"/>
              <w:spacing w:before="8" w:line="360" w:lineRule="auto"/>
              <w:ind w:left="838" w:right="110" w:hanging="720"/>
              <w:jc w:val="center"/>
              <w:rPr>
                <w:rFonts w:ascii="宋体" w:cs="宋体"/>
                <w:color w:val="auto"/>
                <w:highlight w:val="none"/>
              </w:rPr>
            </w:pPr>
          </w:p>
          <w:p>
            <w:pPr>
              <w:pStyle w:val="27"/>
              <w:spacing w:before="8" w:line="360" w:lineRule="auto"/>
              <w:ind w:right="110" w:firstLine="240" w:firstLineChars="100"/>
              <w:jc w:val="center"/>
              <w:rPr>
                <w:color w:val="auto"/>
                <w:highlight w:val="none"/>
              </w:rPr>
            </w:pPr>
            <w:r>
              <w:rPr>
                <w:rFonts w:hint="eastAsia" w:ascii="宋体" w:hAnsi="宋体" w:cs="宋体"/>
                <w:color w:val="auto"/>
                <w:highlight w:val="none"/>
              </w:rPr>
              <w:t>相关证明材料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383" w:type="pct"/>
          </w:tcPr>
          <w:p>
            <w:pPr>
              <w:pStyle w:val="27"/>
              <w:spacing w:before="1" w:line="360" w:lineRule="auto"/>
              <w:ind w:left="9"/>
              <w:jc w:val="center"/>
              <w:rPr>
                <w:color w:val="auto"/>
                <w:highlight w:val="none"/>
              </w:rPr>
            </w:pPr>
            <w:r>
              <w:rPr>
                <w:color w:val="auto"/>
                <w:highlight w:val="none"/>
              </w:rPr>
              <w:t>1</w:t>
            </w:r>
          </w:p>
        </w:tc>
        <w:tc>
          <w:tcPr>
            <w:tcW w:w="706" w:type="pct"/>
          </w:tcPr>
          <w:p>
            <w:pPr>
              <w:pStyle w:val="27"/>
              <w:spacing w:line="360" w:lineRule="auto"/>
              <w:rPr>
                <w:color w:val="auto"/>
                <w:sz w:val="22"/>
                <w:highlight w:val="none"/>
              </w:rPr>
            </w:pPr>
          </w:p>
        </w:tc>
        <w:tc>
          <w:tcPr>
            <w:tcW w:w="525" w:type="pct"/>
          </w:tcPr>
          <w:p>
            <w:pPr>
              <w:pStyle w:val="27"/>
              <w:spacing w:line="360" w:lineRule="auto"/>
              <w:rPr>
                <w:color w:val="auto"/>
                <w:sz w:val="22"/>
                <w:highlight w:val="none"/>
              </w:rPr>
            </w:pPr>
          </w:p>
        </w:tc>
        <w:tc>
          <w:tcPr>
            <w:tcW w:w="545" w:type="pct"/>
          </w:tcPr>
          <w:p>
            <w:pPr>
              <w:pStyle w:val="27"/>
              <w:spacing w:line="360" w:lineRule="auto"/>
              <w:rPr>
                <w:color w:val="auto"/>
                <w:sz w:val="22"/>
                <w:highlight w:val="none"/>
              </w:rPr>
            </w:pPr>
          </w:p>
        </w:tc>
        <w:tc>
          <w:tcPr>
            <w:tcW w:w="673" w:type="pct"/>
          </w:tcPr>
          <w:p>
            <w:pPr>
              <w:pStyle w:val="27"/>
              <w:spacing w:line="360" w:lineRule="auto"/>
              <w:rPr>
                <w:color w:val="auto"/>
                <w:sz w:val="22"/>
                <w:highlight w:val="none"/>
              </w:rPr>
            </w:pPr>
          </w:p>
        </w:tc>
        <w:tc>
          <w:tcPr>
            <w:tcW w:w="576" w:type="pct"/>
          </w:tcPr>
          <w:p>
            <w:pPr>
              <w:pStyle w:val="27"/>
              <w:spacing w:line="360" w:lineRule="auto"/>
              <w:rPr>
                <w:color w:val="auto"/>
                <w:sz w:val="22"/>
                <w:highlight w:val="none"/>
              </w:rPr>
            </w:pPr>
          </w:p>
        </w:tc>
        <w:tc>
          <w:tcPr>
            <w:tcW w:w="550" w:type="pct"/>
          </w:tcPr>
          <w:p>
            <w:pPr>
              <w:pStyle w:val="27"/>
              <w:spacing w:line="360" w:lineRule="auto"/>
              <w:rPr>
                <w:color w:val="auto"/>
                <w:sz w:val="22"/>
                <w:highlight w:val="none"/>
              </w:rPr>
            </w:pPr>
          </w:p>
        </w:tc>
        <w:tc>
          <w:tcPr>
            <w:tcW w:w="1038" w:type="pct"/>
          </w:tcPr>
          <w:p>
            <w:pPr>
              <w:pStyle w:val="27"/>
              <w:spacing w:before="1" w:line="360" w:lineRule="auto"/>
              <w:ind w:left="118"/>
              <w:rPr>
                <w:color w:val="auto"/>
                <w:highlight w:val="none"/>
              </w:rPr>
            </w:pPr>
            <w:r>
              <w:rPr>
                <w:rFonts w:hint="eastAsia"/>
                <w:color w:val="auto"/>
                <w:highlight w:val="none"/>
              </w:rPr>
              <w:t>见投标文件（）页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383" w:type="pct"/>
          </w:tcPr>
          <w:p>
            <w:pPr>
              <w:pStyle w:val="27"/>
              <w:spacing w:before="2" w:line="360" w:lineRule="auto"/>
              <w:ind w:left="9"/>
              <w:jc w:val="center"/>
              <w:rPr>
                <w:color w:val="auto"/>
                <w:highlight w:val="none"/>
              </w:rPr>
            </w:pPr>
            <w:r>
              <w:rPr>
                <w:color w:val="auto"/>
                <w:highlight w:val="none"/>
              </w:rPr>
              <w:t>2</w:t>
            </w:r>
          </w:p>
        </w:tc>
        <w:tc>
          <w:tcPr>
            <w:tcW w:w="706" w:type="pct"/>
          </w:tcPr>
          <w:p>
            <w:pPr>
              <w:pStyle w:val="27"/>
              <w:spacing w:line="360" w:lineRule="auto"/>
              <w:rPr>
                <w:color w:val="auto"/>
                <w:sz w:val="22"/>
                <w:highlight w:val="none"/>
              </w:rPr>
            </w:pPr>
          </w:p>
        </w:tc>
        <w:tc>
          <w:tcPr>
            <w:tcW w:w="525" w:type="pct"/>
          </w:tcPr>
          <w:p>
            <w:pPr>
              <w:pStyle w:val="27"/>
              <w:spacing w:line="360" w:lineRule="auto"/>
              <w:rPr>
                <w:color w:val="auto"/>
                <w:sz w:val="22"/>
                <w:highlight w:val="none"/>
              </w:rPr>
            </w:pPr>
          </w:p>
        </w:tc>
        <w:tc>
          <w:tcPr>
            <w:tcW w:w="545" w:type="pct"/>
          </w:tcPr>
          <w:p>
            <w:pPr>
              <w:pStyle w:val="27"/>
              <w:spacing w:line="360" w:lineRule="auto"/>
              <w:rPr>
                <w:color w:val="auto"/>
                <w:sz w:val="22"/>
                <w:highlight w:val="none"/>
              </w:rPr>
            </w:pPr>
          </w:p>
        </w:tc>
        <w:tc>
          <w:tcPr>
            <w:tcW w:w="673" w:type="pct"/>
          </w:tcPr>
          <w:p>
            <w:pPr>
              <w:pStyle w:val="27"/>
              <w:spacing w:line="360" w:lineRule="auto"/>
              <w:rPr>
                <w:color w:val="auto"/>
                <w:sz w:val="22"/>
                <w:highlight w:val="none"/>
              </w:rPr>
            </w:pPr>
          </w:p>
        </w:tc>
        <w:tc>
          <w:tcPr>
            <w:tcW w:w="576" w:type="pct"/>
          </w:tcPr>
          <w:p>
            <w:pPr>
              <w:pStyle w:val="27"/>
              <w:spacing w:line="360" w:lineRule="auto"/>
              <w:rPr>
                <w:color w:val="auto"/>
                <w:sz w:val="22"/>
                <w:highlight w:val="none"/>
              </w:rPr>
            </w:pPr>
          </w:p>
        </w:tc>
        <w:tc>
          <w:tcPr>
            <w:tcW w:w="550" w:type="pct"/>
          </w:tcPr>
          <w:p>
            <w:pPr>
              <w:pStyle w:val="27"/>
              <w:spacing w:line="360" w:lineRule="auto"/>
              <w:rPr>
                <w:color w:val="auto"/>
                <w:sz w:val="22"/>
                <w:highlight w:val="none"/>
              </w:rPr>
            </w:pPr>
          </w:p>
        </w:tc>
        <w:tc>
          <w:tcPr>
            <w:tcW w:w="1038" w:type="pct"/>
          </w:tcPr>
          <w:p>
            <w:pPr>
              <w:pStyle w:val="27"/>
              <w:spacing w:before="2" w:line="360" w:lineRule="auto"/>
              <w:ind w:left="118"/>
              <w:rPr>
                <w:color w:val="auto"/>
                <w:highlight w:val="none"/>
              </w:rPr>
            </w:pPr>
            <w:r>
              <w:rPr>
                <w:rFonts w:hint="eastAsia"/>
                <w:color w:val="auto"/>
                <w:highlight w:val="none"/>
              </w:rPr>
              <w:t>见投标文件（）页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383" w:type="pct"/>
          </w:tcPr>
          <w:p>
            <w:pPr>
              <w:pStyle w:val="27"/>
              <w:spacing w:line="360" w:lineRule="auto"/>
              <w:ind w:left="9"/>
              <w:jc w:val="center"/>
              <w:rPr>
                <w:color w:val="auto"/>
                <w:highlight w:val="none"/>
              </w:rPr>
            </w:pPr>
            <w:r>
              <w:rPr>
                <w:color w:val="auto"/>
                <w:highlight w:val="none"/>
              </w:rPr>
              <w:t>3</w:t>
            </w:r>
          </w:p>
        </w:tc>
        <w:tc>
          <w:tcPr>
            <w:tcW w:w="706" w:type="pct"/>
          </w:tcPr>
          <w:p>
            <w:pPr>
              <w:pStyle w:val="27"/>
              <w:spacing w:line="360" w:lineRule="auto"/>
              <w:rPr>
                <w:color w:val="auto"/>
                <w:sz w:val="22"/>
                <w:highlight w:val="none"/>
              </w:rPr>
            </w:pPr>
          </w:p>
        </w:tc>
        <w:tc>
          <w:tcPr>
            <w:tcW w:w="525" w:type="pct"/>
          </w:tcPr>
          <w:p>
            <w:pPr>
              <w:pStyle w:val="27"/>
              <w:spacing w:line="360" w:lineRule="auto"/>
              <w:rPr>
                <w:color w:val="auto"/>
                <w:sz w:val="22"/>
                <w:highlight w:val="none"/>
              </w:rPr>
            </w:pPr>
          </w:p>
        </w:tc>
        <w:tc>
          <w:tcPr>
            <w:tcW w:w="545" w:type="pct"/>
          </w:tcPr>
          <w:p>
            <w:pPr>
              <w:pStyle w:val="27"/>
              <w:spacing w:line="360" w:lineRule="auto"/>
              <w:rPr>
                <w:color w:val="auto"/>
                <w:sz w:val="22"/>
                <w:highlight w:val="none"/>
              </w:rPr>
            </w:pPr>
          </w:p>
        </w:tc>
        <w:tc>
          <w:tcPr>
            <w:tcW w:w="673" w:type="pct"/>
          </w:tcPr>
          <w:p>
            <w:pPr>
              <w:pStyle w:val="27"/>
              <w:spacing w:line="360" w:lineRule="auto"/>
              <w:rPr>
                <w:color w:val="auto"/>
                <w:sz w:val="22"/>
                <w:highlight w:val="none"/>
              </w:rPr>
            </w:pPr>
          </w:p>
        </w:tc>
        <w:tc>
          <w:tcPr>
            <w:tcW w:w="576" w:type="pct"/>
          </w:tcPr>
          <w:p>
            <w:pPr>
              <w:pStyle w:val="27"/>
              <w:spacing w:line="360" w:lineRule="auto"/>
              <w:rPr>
                <w:color w:val="auto"/>
                <w:sz w:val="22"/>
                <w:highlight w:val="none"/>
              </w:rPr>
            </w:pPr>
          </w:p>
        </w:tc>
        <w:tc>
          <w:tcPr>
            <w:tcW w:w="550" w:type="pct"/>
          </w:tcPr>
          <w:p>
            <w:pPr>
              <w:pStyle w:val="27"/>
              <w:spacing w:line="360" w:lineRule="auto"/>
              <w:rPr>
                <w:color w:val="auto"/>
                <w:sz w:val="22"/>
                <w:highlight w:val="none"/>
              </w:rPr>
            </w:pPr>
          </w:p>
        </w:tc>
        <w:tc>
          <w:tcPr>
            <w:tcW w:w="1038" w:type="pct"/>
          </w:tcPr>
          <w:p>
            <w:pPr>
              <w:pStyle w:val="27"/>
              <w:spacing w:line="360" w:lineRule="auto"/>
              <w:ind w:left="118"/>
              <w:rPr>
                <w:color w:val="auto"/>
                <w:highlight w:val="none"/>
              </w:rPr>
            </w:pPr>
            <w:r>
              <w:rPr>
                <w:rFonts w:hint="eastAsia"/>
                <w:color w:val="auto"/>
                <w:highlight w:val="none"/>
              </w:rPr>
              <w:t>见投标文件（）页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383" w:type="pct"/>
          </w:tcPr>
          <w:p>
            <w:pPr>
              <w:pStyle w:val="27"/>
              <w:spacing w:line="360" w:lineRule="auto"/>
              <w:ind w:left="9"/>
              <w:jc w:val="center"/>
              <w:rPr>
                <w:color w:val="auto"/>
                <w:highlight w:val="none"/>
              </w:rPr>
            </w:pPr>
            <w:r>
              <w:rPr>
                <w:color w:val="auto"/>
                <w:highlight w:val="none"/>
              </w:rPr>
              <w:t>4</w:t>
            </w:r>
          </w:p>
        </w:tc>
        <w:tc>
          <w:tcPr>
            <w:tcW w:w="706" w:type="pct"/>
          </w:tcPr>
          <w:p>
            <w:pPr>
              <w:pStyle w:val="27"/>
              <w:spacing w:line="360" w:lineRule="auto"/>
              <w:rPr>
                <w:color w:val="auto"/>
                <w:sz w:val="22"/>
                <w:highlight w:val="none"/>
              </w:rPr>
            </w:pPr>
          </w:p>
        </w:tc>
        <w:tc>
          <w:tcPr>
            <w:tcW w:w="525" w:type="pct"/>
          </w:tcPr>
          <w:p>
            <w:pPr>
              <w:pStyle w:val="27"/>
              <w:spacing w:line="360" w:lineRule="auto"/>
              <w:rPr>
                <w:color w:val="auto"/>
                <w:sz w:val="22"/>
                <w:highlight w:val="none"/>
              </w:rPr>
            </w:pPr>
          </w:p>
        </w:tc>
        <w:tc>
          <w:tcPr>
            <w:tcW w:w="545" w:type="pct"/>
          </w:tcPr>
          <w:p>
            <w:pPr>
              <w:pStyle w:val="27"/>
              <w:spacing w:line="360" w:lineRule="auto"/>
              <w:rPr>
                <w:color w:val="auto"/>
                <w:sz w:val="22"/>
                <w:highlight w:val="none"/>
              </w:rPr>
            </w:pPr>
          </w:p>
        </w:tc>
        <w:tc>
          <w:tcPr>
            <w:tcW w:w="673" w:type="pct"/>
          </w:tcPr>
          <w:p>
            <w:pPr>
              <w:pStyle w:val="27"/>
              <w:spacing w:line="360" w:lineRule="auto"/>
              <w:rPr>
                <w:color w:val="auto"/>
                <w:sz w:val="22"/>
                <w:highlight w:val="none"/>
              </w:rPr>
            </w:pPr>
          </w:p>
        </w:tc>
        <w:tc>
          <w:tcPr>
            <w:tcW w:w="576" w:type="pct"/>
          </w:tcPr>
          <w:p>
            <w:pPr>
              <w:pStyle w:val="27"/>
              <w:spacing w:line="360" w:lineRule="auto"/>
              <w:rPr>
                <w:color w:val="auto"/>
                <w:sz w:val="22"/>
                <w:highlight w:val="none"/>
              </w:rPr>
            </w:pPr>
          </w:p>
        </w:tc>
        <w:tc>
          <w:tcPr>
            <w:tcW w:w="550" w:type="pct"/>
          </w:tcPr>
          <w:p>
            <w:pPr>
              <w:pStyle w:val="27"/>
              <w:spacing w:line="360" w:lineRule="auto"/>
              <w:rPr>
                <w:color w:val="auto"/>
                <w:sz w:val="22"/>
                <w:highlight w:val="none"/>
              </w:rPr>
            </w:pPr>
          </w:p>
        </w:tc>
        <w:tc>
          <w:tcPr>
            <w:tcW w:w="1038" w:type="pct"/>
          </w:tcPr>
          <w:p>
            <w:pPr>
              <w:pStyle w:val="27"/>
              <w:spacing w:line="360" w:lineRule="auto"/>
              <w:ind w:left="118"/>
              <w:rPr>
                <w:color w:val="auto"/>
                <w:highlight w:val="none"/>
              </w:rPr>
            </w:pPr>
            <w:r>
              <w:rPr>
                <w:rFonts w:hint="eastAsia"/>
                <w:color w:val="auto"/>
                <w:highlight w:val="none"/>
              </w:rPr>
              <w:t>见投标文件（）页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383" w:type="pct"/>
          </w:tcPr>
          <w:p>
            <w:pPr>
              <w:pStyle w:val="27"/>
              <w:spacing w:before="1" w:line="360" w:lineRule="auto"/>
              <w:ind w:left="9"/>
              <w:jc w:val="center"/>
              <w:rPr>
                <w:color w:val="auto"/>
                <w:highlight w:val="none"/>
              </w:rPr>
            </w:pPr>
            <w:r>
              <w:rPr>
                <w:color w:val="auto"/>
                <w:highlight w:val="none"/>
              </w:rPr>
              <w:t>5</w:t>
            </w:r>
          </w:p>
        </w:tc>
        <w:tc>
          <w:tcPr>
            <w:tcW w:w="706" w:type="pct"/>
          </w:tcPr>
          <w:p>
            <w:pPr>
              <w:pStyle w:val="27"/>
              <w:spacing w:line="360" w:lineRule="auto"/>
              <w:rPr>
                <w:color w:val="auto"/>
                <w:sz w:val="22"/>
                <w:highlight w:val="none"/>
              </w:rPr>
            </w:pPr>
          </w:p>
        </w:tc>
        <w:tc>
          <w:tcPr>
            <w:tcW w:w="525" w:type="pct"/>
          </w:tcPr>
          <w:p>
            <w:pPr>
              <w:pStyle w:val="27"/>
              <w:spacing w:line="360" w:lineRule="auto"/>
              <w:rPr>
                <w:color w:val="auto"/>
                <w:sz w:val="22"/>
                <w:highlight w:val="none"/>
              </w:rPr>
            </w:pPr>
          </w:p>
        </w:tc>
        <w:tc>
          <w:tcPr>
            <w:tcW w:w="545" w:type="pct"/>
          </w:tcPr>
          <w:p>
            <w:pPr>
              <w:pStyle w:val="27"/>
              <w:spacing w:line="360" w:lineRule="auto"/>
              <w:rPr>
                <w:color w:val="auto"/>
                <w:sz w:val="22"/>
                <w:highlight w:val="none"/>
              </w:rPr>
            </w:pPr>
          </w:p>
        </w:tc>
        <w:tc>
          <w:tcPr>
            <w:tcW w:w="673" w:type="pct"/>
          </w:tcPr>
          <w:p>
            <w:pPr>
              <w:pStyle w:val="27"/>
              <w:spacing w:line="360" w:lineRule="auto"/>
              <w:rPr>
                <w:color w:val="auto"/>
                <w:sz w:val="22"/>
                <w:highlight w:val="none"/>
              </w:rPr>
            </w:pPr>
          </w:p>
        </w:tc>
        <w:tc>
          <w:tcPr>
            <w:tcW w:w="576" w:type="pct"/>
          </w:tcPr>
          <w:p>
            <w:pPr>
              <w:pStyle w:val="27"/>
              <w:spacing w:line="360" w:lineRule="auto"/>
              <w:rPr>
                <w:color w:val="auto"/>
                <w:sz w:val="22"/>
                <w:highlight w:val="none"/>
              </w:rPr>
            </w:pPr>
          </w:p>
        </w:tc>
        <w:tc>
          <w:tcPr>
            <w:tcW w:w="550" w:type="pct"/>
          </w:tcPr>
          <w:p>
            <w:pPr>
              <w:pStyle w:val="27"/>
              <w:spacing w:line="360" w:lineRule="auto"/>
              <w:rPr>
                <w:color w:val="auto"/>
                <w:sz w:val="22"/>
                <w:highlight w:val="none"/>
              </w:rPr>
            </w:pPr>
          </w:p>
        </w:tc>
        <w:tc>
          <w:tcPr>
            <w:tcW w:w="1038" w:type="pct"/>
          </w:tcPr>
          <w:p>
            <w:pPr>
              <w:pStyle w:val="27"/>
              <w:spacing w:before="1" w:line="360" w:lineRule="auto"/>
              <w:ind w:left="118"/>
              <w:rPr>
                <w:color w:val="auto"/>
                <w:highlight w:val="none"/>
              </w:rPr>
            </w:pPr>
            <w:r>
              <w:rPr>
                <w:rFonts w:hint="eastAsia"/>
                <w:color w:val="auto"/>
                <w:highlight w:val="none"/>
              </w:rPr>
              <w:t>见投标文件（）页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383" w:type="pct"/>
          </w:tcPr>
          <w:p>
            <w:pPr>
              <w:pStyle w:val="27"/>
              <w:spacing w:before="3" w:line="360" w:lineRule="auto"/>
              <w:ind w:right="192"/>
              <w:jc w:val="right"/>
              <w:rPr>
                <w:color w:val="auto"/>
                <w:highlight w:val="none"/>
              </w:rPr>
            </w:pPr>
            <w:r>
              <w:rPr>
                <w:color w:val="auto"/>
                <w:highlight w:val="none"/>
              </w:rPr>
              <w:t>...</w:t>
            </w:r>
          </w:p>
        </w:tc>
        <w:tc>
          <w:tcPr>
            <w:tcW w:w="706" w:type="pct"/>
          </w:tcPr>
          <w:p>
            <w:pPr>
              <w:pStyle w:val="27"/>
              <w:spacing w:line="360" w:lineRule="auto"/>
              <w:rPr>
                <w:color w:val="auto"/>
                <w:sz w:val="22"/>
                <w:highlight w:val="none"/>
              </w:rPr>
            </w:pPr>
          </w:p>
        </w:tc>
        <w:tc>
          <w:tcPr>
            <w:tcW w:w="525" w:type="pct"/>
          </w:tcPr>
          <w:p>
            <w:pPr>
              <w:pStyle w:val="27"/>
              <w:spacing w:line="360" w:lineRule="auto"/>
              <w:rPr>
                <w:color w:val="auto"/>
                <w:sz w:val="22"/>
                <w:highlight w:val="none"/>
              </w:rPr>
            </w:pPr>
          </w:p>
        </w:tc>
        <w:tc>
          <w:tcPr>
            <w:tcW w:w="545" w:type="pct"/>
          </w:tcPr>
          <w:p>
            <w:pPr>
              <w:pStyle w:val="27"/>
              <w:spacing w:line="360" w:lineRule="auto"/>
              <w:rPr>
                <w:color w:val="auto"/>
                <w:sz w:val="22"/>
                <w:highlight w:val="none"/>
              </w:rPr>
            </w:pPr>
          </w:p>
        </w:tc>
        <w:tc>
          <w:tcPr>
            <w:tcW w:w="673" w:type="pct"/>
          </w:tcPr>
          <w:p>
            <w:pPr>
              <w:pStyle w:val="27"/>
              <w:spacing w:line="360" w:lineRule="auto"/>
              <w:rPr>
                <w:color w:val="auto"/>
                <w:sz w:val="22"/>
                <w:highlight w:val="none"/>
              </w:rPr>
            </w:pPr>
          </w:p>
        </w:tc>
        <w:tc>
          <w:tcPr>
            <w:tcW w:w="576" w:type="pct"/>
          </w:tcPr>
          <w:p>
            <w:pPr>
              <w:pStyle w:val="27"/>
              <w:spacing w:line="360" w:lineRule="auto"/>
              <w:rPr>
                <w:color w:val="auto"/>
                <w:sz w:val="22"/>
                <w:highlight w:val="none"/>
              </w:rPr>
            </w:pPr>
          </w:p>
        </w:tc>
        <w:tc>
          <w:tcPr>
            <w:tcW w:w="550" w:type="pct"/>
          </w:tcPr>
          <w:p>
            <w:pPr>
              <w:pStyle w:val="27"/>
              <w:spacing w:line="360" w:lineRule="auto"/>
              <w:rPr>
                <w:color w:val="auto"/>
                <w:sz w:val="22"/>
                <w:highlight w:val="none"/>
              </w:rPr>
            </w:pPr>
          </w:p>
        </w:tc>
        <w:tc>
          <w:tcPr>
            <w:tcW w:w="1038" w:type="pct"/>
          </w:tcPr>
          <w:p>
            <w:pPr>
              <w:pStyle w:val="27"/>
              <w:spacing w:line="360" w:lineRule="auto"/>
              <w:rPr>
                <w:color w:val="auto"/>
                <w:sz w:val="22"/>
                <w:highlight w:val="none"/>
              </w:rPr>
            </w:pPr>
          </w:p>
        </w:tc>
      </w:tr>
    </w:tbl>
    <w:p>
      <w:pPr>
        <w:pStyle w:val="7"/>
        <w:spacing w:line="360" w:lineRule="auto"/>
        <w:rPr>
          <w:color w:val="auto"/>
          <w:highlight w:val="none"/>
        </w:rPr>
      </w:pPr>
    </w:p>
    <w:p>
      <w:pPr>
        <w:spacing w:line="360" w:lineRule="auto"/>
        <w:jc w:val="left"/>
        <w:rPr>
          <w:rFonts w:ascii="宋体" w:cs="宋体"/>
          <w:color w:val="auto"/>
          <w:sz w:val="24"/>
          <w:highlight w:val="none"/>
        </w:rPr>
      </w:pPr>
      <w:r>
        <w:rPr>
          <w:rFonts w:hint="eastAsia" w:ascii="宋体" w:hAnsi="宋体" w:cs="宋体"/>
          <w:color w:val="auto"/>
          <w:sz w:val="24"/>
          <w:highlight w:val="none"/>
        </w:rPr>
        <w:t>备注：若招标文件评分因素及评标标准中要求提供业绩的，</w:t>
      </w:r>
      <w:r>
        <w:rPr>
          <w:rFonts w:hint="eastAsia" w:ascii="宋体" w:hAnsi="宋体" w:cs="宋体"/>
          <w:color w:val="auto"/>
          <w:sz w:val="24"/>
          <w:highlight w:val="none"/>
          <w:lang w:eastAsia="zh-CN"/>
        </w:rPr>
        <w:t>投标人</w:t>
      </w:r>
      <w:r>
        <w:rPr>
          <w:rFonts w:hint="eastAsia" w:ascii="宋体" w:hAnsi="宋体" w:cs="宋体"/>
          <w:color w:val="auto"/>
          <w:sz w:val="24"/>
          <w:highlight w:val="none"/>
        </w:rPr>
        <w:t>所列业绩应按其要求将证明材料按顺序附后。</w:t>
      </w:r>
    </w:p>
    <w:p>
      <w:pPr>
        <w:spacing w:line="360" w:lineRule="auto"/>
        <w:rPr>
          <w:color w:val="auto"/>
          <w:highlight w:val="none"/>
        </w:rPr>
        <w:sectPr>
          <w:pgSz w:w="11911" w:h="16838"/>
          <w:pgMar w:top="1440" w:right="1803" w:bottom="1440" w:left="1803" w:header="884" w:footer="964" w:gutter="0"/>
          <w:pgBorders>
            <w:top w:val="none" w:sz="0" w:space="0"/>
            <w:left w:val="none" w:sz="0" w:space="0"/>
            <w:bottom w:val="none" w:sz="0" w:space="0"/>
            <w:right w:val="none" w:sz="0" w:space="0"/>
          </w:pgBorders>
          <w:pgNumType w:fmt="decimal"/>
          <w:cols w:space="0" w:num="1"/>
          <w:rtlGutter w:val="0"/>
          <w:docGrid w:linePitch="0" w:charSpace="0"/>
        </w:sectPr>
      </w:pPr>
    </w:p>
    <w:p>
      <w:pPr>
        <w:spacing w:before="54" w:line="360" w:lineRule="auto"/>
        <w:jc w:val="center"/>
        <w:outlineLvl w:val="1"/>
        <w:rPr>
          <w:b/>
          <w:color w:val="auto"/>
          <w:sz w:val="32"/>
          <w:highlight w:val="none"/>
        </w:rPr>
      </w:pPr>
      <w:bookmarkStart w:id="507" w:name="七、售后服务及优惠条件"/>
      <w:bookmarkEnd w:id="507"/>
      <w:bookmarkStart w:id="508" w:name="_Toc24889"/>
      <w:bookmarkStart w:id="509" w:name="_Toc27520"/>
      <w:bookmarkStart w:id="510" w:name="_Toc8374"/>
      <w:bookmarkStart w:id="511" w:name="_Toc24222"/>
      <w:r>
        <w:rPr>
          <w:rFonts w:hint="eastAsia"/>
          <w:b/>
          <w:color w:val="auto"/>
          <w:sz w:val="32"/>
          <w:highlight w:val="none"/>
        </w:rPr>
        <w:t>七、实施方案</w:t>
      </w:r>
      <w:bookmarkEnd w:id="508"/>
      <w:bookmarkEnd w:id="509"/>
      <w:bookmarkEnd w:id="510"/>
      <w:bookmarkEnd w:id="511"/>
    </w:p>
    <w:p>
      <w:pPr>
        <w:jc w:val="center"/>
        <w:rPr>
          <w:highlight w:val="none"/>
        </w:rPr>
      </w:pPr>
      <w:bookmarkStart w:id="512" w:name="_Toc24813"/>
      <w:bookmarkStart w:id="513" w:name="_Toc16080"/>
      <w:bookmarkStart w:id="514" w:name="_Toc24558"/>
      <w:r>
        <w:rPr>
          <w:rFonts w:hint="eastAsia"/>
          <w:highlight w:val="none"/>
        </w:rPr>
        <w:t>（格式自拟）</w:t>
      </w:r>
      <w:bookmarkEnd w:id="512"/>
      <w:bookmarkEnd w:id="513"/>
      <w:bookmarkEnd w:id="514"/>
    </w:p>
    <w:p>
      <w:pPr>
        <w:pStyle w:val="21"/>
        <w:spacing w:line="360" w:lineRule="auto"/>
        <w:ind w:left="420" w:leftChars="200" w:firstLine="0"/>
        <w:rPr>
          <w:color w:val="auto"/>
          <w:highlight w:val="none"/>
        </w:rPr>
      </w:pPr>
    </w:p>
    <w:p>
      <w:pPr>
        <w:spacing w:line="360" w:lineRule="auto"/>
        <w:rPr>
          <w:color w:val="auto"/>
          <w:highlight w:val="none"/>
        </w:rPr>
      </w:pPr>
    </w:p>
    <w:p>
      <w:pPr>
        <w:pStyle w:val="21"/>
        <w:spacing w:line="360" w:lineRule="auto"/>
        <w:rPr>
          <w:color w:val="auto"/>
          <w:highlight w:val="none"/>
        </w:rPr>
      </w:pPr>
    </w:p>
    <w:p>
      <w:pPr>
        <w:spacing w:line="360" w:lineRule="auto"/>
        <w:rPr>
          <w:color w:val="auto"/>
          <w:highlight w:val="none"/>
        </w:rPr>
      </w:pPr>
    </w:p>
    <w:p>
      <w:pPr>
        <w:pStyle w:val="21"/>
        <w:spacing w:line="360" w:lineRule="auto"/>
        <w:rPr>
          <w:color w:val="auto"/>
          <w:highlight w:val="none"/>
        </w:rPr>
      </w:pPr>
    </w:p>
    <w:p>
      <w:pPr>
        <w:spacing w:line="360" w:lineRule="auto"/>
        <w:rPr>
          <w:color w:val="auto"/>
          <w:highlight w:val="none"/>
        </w:rPr>
      </w:pPr>
    </w:p>
    <w:p>
      <w:pPr>
        <w:pStyle w:val="21"/>
        <w:spacing w:line="360" w:lineRule="auto"/>
        <w:rPr>
          <w:color w:val="auto"/>
          <w:highlight w:val="none"/>
        </w:rPr>
      </w:pPr>
    </w:p>
    <w:p>
      <w:pPr>
        <w:spacing w:line="360" w:lineRule="auto"/>
        <w:rPr>
          <w:color w:val="auto"/>
          <w:highlight w:val="none"/>
        </w:rPr>
      </w:pPr>
    </w:p>
    <w:p>
      <w:pPr>
        <w:pStyle w:val="21"/>
        <w:spacing w:line="360" w:lineRule="auto"/>
        <w:rPr>
          <w:color w:val="auto"/>
          <w:highlight w:val="none"/>
        </w:rPr>
      </w:pPr>
    </w:p>
    <w:p>
      <w:pPr>
        <w:spacing w:line="360" w:lineRule="auto"/>
        <w:rPr>
          <w:color w:val="auto"/>
          <w:highlight w:val="none"/>
        </w:rPr>
      </w:pPr>
    </w:p>
    <w:p>
      <w:pPr>
        <w:pStyle w:val="21"/>
        <w:spacing w:line="360" w:lineRule="auto"/>
        <w:rPr>
          <w:color w:val="auto"/>
          <w:highlight w:val="none"/>
        </w:rPr>
      </w:pPr>
    </w:p>
    <w:p>
      <w:pPr>
        <w:spacing w:line="360" w:lineRule="auto"/>
        <w:rPr>
          <w:color w:val="auto"/>
          <w:highlight w:val="none"/>
        </w:rPr>
      </w:pPr>
    </w:p>
    <w:p>
      <w:pPr>
        <w:pStyle w:val="21"/>
        <w:spacing w:line="360" w:lineRule="auto"/>
        <w:rPr>
          <w:color w:val="auto"/>
          <w:highlight w:val="none"/>
        </w:rPr>
      </w:pPr>
    </w:p>
    <w:p>
      <w:pPr>
        <w:spacing w:line="360" w:lineRule="auto"/>
        <w:rPr>
          <w:color w:val="auto"/>
          <w:highlight w:val="none"/>
        </w:rPr>
      </w:pPr>
    </w:p>
    <w:p>
      <w:pPr>
        <w:pStyle w:val="21"/>
        <w:spacing w:line="360" w:lineRule="auto"/>
        <w:rPr>
          <w:color w:val="auto"/>
          <w:highlight w:val="none"/>
        </w:rPr>
      </w:pPr>
    </w:p>
    <w:p>
      <w:pPr>
        <w:spacing w:line="360" w:lineRule="auto"/>
        <w:rPr>
          <w:color w:val="auto"/>
          <w:highlight w:val="none"/>
        </w:rPr>
      </w:pPr>
    </w:p>
    <w:p>
      <w:pPr>
        <w:pStyle w:val="21"/>
        <w:spacing w:line="360" w:lineRule="auto"/>
        <w:rPr>
          <w:color w:val="auto"/>
          <w:highlight w:val="none"/>
        </w:rPr>
      </w:pPr>
    </w:p>
    <w:p>
      <w:pPr>
        <w:spacing w:line="360" w:lineRule="auto"/>
        <w:rPr>
          <w:color w:val="auto"/>
          <w:highlight w:val="none"/>
        </w:rPr>
      </w:pPr>
    </w:p>
    <w:p>
      <w:pPr>
        <w:pStyle w:val="21"/>
        <w:spacing w:line="360" w:lineRule="auto"/>
        <w:rPr>
          <w:color w:val="auto"/>
          <w:highlight w:val="none"/>
        </w:rPr>
      </w:pPr>
    </w:p>
    <w:p>
      <w:pPr>
        <w:spacing w:line="360" w:lineRule="auto"/>
        <w:rPr>
          <w:color w:val="auto"/>
          <w:highlight w:val="none"/>
        </w:rPr>
      </w:pPr>
    </w:p>
    <w:p>
      <w:pPr>
        <w:pStyle w:val="21"/>
        <w:spacing w:line="360" w:lineRule="auto"/>
        <w:rPr>
          <w:color w:val="auto"/>
          <w:highlight w:val="none"/>
        </w:rPr>
      </w:pPr>
    </w:p>
    <w:p>
      <w:pPr>
        <w:spacing w:line="360" w:lineRule="auto"/>
        <w:rPr>
          <w:color w:val="auto"/>
          <w:highlight w:val="none"/>
        </w:rPr>
      </w:pPr>
    </w:p>
    <w:p>
      <w:pPr>
        <w:pStyle w:val="21"/>
        <w:spacing w:line="360" w:lineRule="auto"/>
        <w:rPr>
          <w:color w:val="auto"/>
          <w:highlight w:val="none"/>
        </w:rPr>
      </w:pPr>
    </w:p>
    <w:p>
      <w:pPr>
        <w:spacing w:line="360" w:lineRule="auto"/>
        <w:rPr>
          <w:color w:val="auto"/>
          <w:highlight w:val="none"/>
        </w:rPr>
      </w:pPr>
    </w:p>
    <w:p>
      <w:pPr>
        <w:spacing w:line="360" w:lineRule="auto"/>
        <w:rPr>
          <w:color w:val="auto"/>
          <w:highlight w:val="none"/>
        </w:rPr>
      </w:pPr>
    </w:p>
    <w:p>
      <w:pPr>
        <w:spacing w:before="54" w:line="360" w:lineRule="auto"/>
        <w:ind w:left="6"/>
        <w:jc w:val="center"/>
        <w:outlineLvl w:val="1"/>
        <w:rPr>
          <w:b/>
          <w:color w:val="auto"/>
          <w:sz w:val="32"/>
          <w:highlight w:val="none"/>
        </w:rPr>
      </w:pPr>
      <w:bookmarkStart w:id="515" w:name="_Toc20033"/>
      <w:bookmarkStart w:id="516" w:name="_Toc7491"/>
      <w:bookmarkStart w:id="517" w:name="_Toc25273"/>
      <w:r>
        <w:rPr>
          <w:rFonts w:hint="eastAsia"/>
          <w:b/>
          <w:color w:val="auto"/>
          <w:sz w:val="32"/>
          <w:highlight w:val="none"/>
        </w:rPr>
        <w:t>八、履约能力</w:t>
      </w:r>
      <w:bookmarkEnd w:id="515"/>
      <w:bookmarkEnd w:id="516"/>
      <w:bookmarkEnd w:id="517"/>
    </w:p>
    <w:p>
      <w:pPr>
        <w:spacing w:before="54" w:line="360" w:lineRule="auto"/>
        <w:ind w:left="6"/>
        <w:jc w:val="center"/>
        <w:rPr>
          <w:bCs/>
          <w:color w:val="auto"/>
          <w:szCs w:val="21"/>
          <w:highlight w:val="none"/>
        </w:rPr>
      </w:pPr>
      <w:r>
        <w:rPr>
          <w:rFonts w:hint="eastAsia"/>
          <w:bCs/>
          <w:color w:val="auto"/>
          <w:szCs w:val="21"/>
          <w:highlight w:val="none"/>
        </w:rPr>
        <w:t>（格式自拟）</w:t>
      </w:r>
    </w:p>
    <w:p>
      <w:pPr>
        <w:jc w:val="left"/>
        <w:rPr>
          <w:b/>
          <w:color w:val="auto"/>
          <w:sz w:val="32"/>
          <w:highlight w:val="none"/>
        </w:rPr>
      </w:pPr>
      <w:r>
        <w:rPr>
          <w:b/>
          <w:color w:val="auto"/>
          <w:sz w:val="32"/>
          <w:highlight w:val="none"/>
        </w:rPr>
        <w:br w:type="page"/>
      </w:r>
    </w:p>
    <w:p>
      <w:pPr>
        <w:spacing w:before="54" w:line="360" w:lineRule="auto"/>
        <w:ind w:left="6"/>
        <w:jc w:val="center"/>
        <w:outlineLvl w:val="1"/>
        <w:rPr>
          <w:b/>
          <w:color w:val="auto"/>
          <w:sz w:val="32"/>
          <w:highlight w:val="none"/>
        </w:rPr>
      </w:pPr>
      <w:bookmarkStart w:id="518" w:name="_Toc11835"/>
      <w:bookmarkStart w:id="519" w:name="_Toc21298"/>
      <w:bookmarkStart w:id="520" w:name="_Toc16342"/>
      <w:r>
        <w:rPr>
          <w:rFonts w:hint="eastAsia"/>
          <w:b/>
          <w:color w:val="auto"/>
          <w:sz w:val="32"/>
          <w:highlight w:val="none"/>
        </w:rPr>
        <w:t>九、售后服务及培训方案</w:t>
      </w:r>
      <w:bookmarkEnd w:id="518"/>
      <w:bookmarkEnd w:id="519"/>
      <w:bookmarkEnd w:id="520"/>
    </w:p>
    <w:p>
      <w:pPr>
        <w:spacing w:before="54" w:line="360" w:lineRule="auto"/>
        <w:ind w:left="6"/>
        <w:jc w:val="center"/>
        <w:rPr>
          <w:b/>
          <w:color w:val="auto"/>
          <w:w w:val="95"/>
          <w:sz w:val="32"/>
          <w:highlight w:val="none"/>
        </w:rPr>
      </w:pPr>
    </w:p>
    <w:p>
      <w:pPr>
        <w:spacing w:line="360" w:lineRule="auto"/>
        <w:jc w:val="center"/>
        <w:rPr>
          <w:rFonts w:ascii="Arial" w:hAnsi="Arial"/>
          <w:bCs/>
          <w:color w:val="auto"/>
          <w:sz w:val="24"/>
          <w:szCs w:val="22"/>
          <w:highlight w:val="none"/>
        </w:rPr>
      </w:pPr>
      <w:r>
        <w:rPr>
          <w:rFonts w:hint="eastAsia" w:ascii="Arial" w:hAnsi="Arial"/>
          <w:bCs/>
          <w:color w:val="auto"/>
          <w:sz w:val="24"/>
          <w:szCs w:val="22"/>
          <w:highlight w:val="none"/>
        </w:rPr>
        <w:t>（格式自拟）</w:t>
      </w:r>
    </w:p>
    <w:p>
      <w:pPr>
        <w:pStyle w:val="12"/>
        <w:spacing w:line="360" w:lineRule="auto"/>
        <w:ind w:left="31680" w:right="31680"/>
        <w:rPr>
          <w:color w:val="auto"/>
          <w:highlight w:val="none"/>
        </w:rPr>
        <w:sectPr>
          <w:pgSz w:w="11911" w:h="16838"/>
          <w:pgMar w:top="1440" w:right="1803" w:bottom="1440" w:left="1803" w:header="884" w:footer="964" w:gutter="0"/>
          <w:pgBorders>
            <w:top w:val="none" w:sz="0" w:space="0"/>
            <w:left w:val="none" w:sz="0" w:space="0"/>
            <w:bottom w:val="none" w:sz="0" w:space="0"/>
            <w:right w:val="none" w:sz="0" w:space="0"/>
          </w:pgBorders>
          <w:pgNumType w:fmt="decimal"/>
          <w:cols w:space="0" w:num="1"/>
          <w:rtlGutter w:val="0"/>
          <w:docGrid w:linePitch="0" w:charSpace="0"/>
        </w:sectPr>
      </w:pPr>
    </w:p>
    <w:p>
      <w:pPr>
        <w:spacing w:before="54" w:line="360" w:lineRule="auto"/>
        <w:ind w:left="6"/>
        <w:jc w:val="center"/>
        <w:outlineLvl w:val="1"/>
        <w:rPr>
          <w:b/>
          <w:color w:val="auto"/>
          <w:sz w:val="32"/>
          <w:highlight w:val="none"/>
        </w:rPr>
      </w:pPr>
      <w:bookmarkStart w:id="521" w:name="_Toc29592"/>
      <w:bookmarkStart w:id="522" w:name="_Toc12316"/>
      <w:bookmarkStart w:id="523" w:name="_Toc11976"/>
      <w:r>
        <w:rPr>
          <w:rFonts w:hint="eastAsia"/>
          <w:b/>
          <w:color w:val="auto"/>
          <w:sz w:val="32"/>
          <w:highlight w:val="none"/>
        </w:rPr>
        <w:t>十、资格证明文件</w:t>
      </w:r>
      <w:bookmarkEnd w:id="521"/>
      <w:bookmarkEnd w:id="522"/>
      <w:bookmarkEnd w:id="523"/>
    </w:p>
    <w:p>
      <w:pPr>
        <w:spacing w:before="212" w:line="360" w:lineRule="auto"/>
        <w:ind w:left="628" w:right="408"/>
        <w:jc w:val="center"/>
        <w:rPr>
          <w:b/>
          <w:color w:val="auto"/>
          <w:w w:val="95"/>
          <w:sz w:val="32"/>
          <w:highlight w:val="none"/>
        </w:rPr>
      </w:pPr>
      <w:bookmarkStart w:id="524" w:name="（一）资格审查资料"/>
      <w:bookmarkEnd w:id="524"/>
      <w:bookmarkStart w:id="525" w:name="_Toc16240"/>
      <w:bookmarkStart w:id="526" w:name="_Toc100065839"/>
      <w:bookmarkStart w:id="527" w:name="_Toc25140"/>
      <w:bookmarkStart w:id="528" w:name="_Toc32080"/>
      <w:bookmarkStart w:id="529" w:name="_Toc12520"/>
      <w:r>
        <w:rPr>
          <w:rFonts w:hint="eastAsia"/>
          <w:b/>
          <w:color w:val="auto"/>
          <w:w w:val="95"/>
          <w:sz w:val="32"/>
          <w:highlight w:val="none"/>
        </w:rPr>
        <w:t>（一）</w:t>
      </w:r>
      <w:r>
        <w:rPr>
          <w:rFonts w:hint="eastAsia"/>
          <w:b/>
          <w:color w:val="auto"/>
          <w:w w:val="95"/>
          <w:sz w:val="32"/>
          <w:highlight w:val="none"/>
          <w:lang w:eastAsia="zh-CN"/>
        </w:rPr>
        <w:t>投标人</w:t>
      </w:r>
      <w:r>
        <w:rPr>
          <w:rFonts w:hint="eastAsia"/>
          <w:b/>
          <w:color w:val="auto"/>
          <w:w w:val="95"/>
          <w:sz w:val="32"/>
          <w:highlight w:val="none"/>
        </w:rPr>
        <w:t>基本情况表</w:t>
      </w:r>
      <w:bookmarkEnd w:id="525"/>
      <w:bookmarkEnd w:id="526"/>
      <w:bookmarkEnd w:id="527"/>
      <w:bookmarkEnd w:id="528"/>
      <w:bookmarkEnd w:id="529"/>
    </w:p>
    <w:tbl>
      <w:tblPr>
        <w:tblStyle w:val="23"/>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766"/>
        <w:gridCol w:w="873"/>
        <w:gridCol w:w="708"/>
        <w:gridCol w:w="818"/>
        <w:gridCol w:w="234"/>
        <w:gridCol w:w="166"/>
        <w:gridCol w:w="1028"/>
        <w:gridCol w:w="210"/>
        <w:gridCol w:w="584"/>
        <w:gridCol w:w="19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1062" w:type="pct"/>
          </w:tcPr>
          <w:p>
            <w:pPr>
              <w:autoSpaceDE w:val="0"/>
              <w:autoSpaceDN w:val="0"/>
              <w:spacing w:before="52"/>
              <w:ind w:left="120" w:right="114"/>
              <w:jc w:val="center"/>
              <w:rPr>
                <w:rFonts w:ascii="宋体" w:cs="宋体"/>
                <w:color w:val="auto"/>
                <w:szCs w:val="22"/>
                <w:highlight w:val="none"/>
                <w:lang w:eastAsia="en-US"/>
              </w:rPr>
            </w:pPr>
            <w:r>
              <w:rPr>
                <w:rFonts w:hint="eastAsia" w:ascii="宋体" w:hAnsi="宋体" w:cs="宋体"/>
                <w:color w:val="auto"/>
                <w:szCs w:val="22"/>
                <w:highlight w:val="none"/>
                <w:lang w:eastAsia="zh-CN"/>
              </w:rPr>
              <w:t>投标人</w:t>
            </w:r>
            <w:r>
              <w:rPr>
                <w:rFonts w:hint="eastAsia" w:ascii="宋体" w:hAnsi="宋体" w:cs="宋体"/>
                <w:color w:val="auto"/>
                <w:szCs w:val="22"/>
                <w:highlight w:val="none"/>
                <w:lang w:eastAsia="en-US"/>
              </w:rPr>
              <w:t>名称</w:t>
            </w:r>
          </w:p>
        </w:tc>
        <w:tc>
          <w:tcPr>
            <w:tcW w:w="3937" w:type="pct"/>
            <w:gridSpan w:val="9"/>
          </w:tcPr>
          <w:p>
            <w:pPr>
              <w:autoSpaceDE w:val="0"/>
              <w:autoSpaceDN w:val="0"/>
              <w:rPr>
                <w:rFonts w:ascii="宋体" w:cs="宋体"/>
                <w:color w:val="auto"/>
                <w:sz w:val="22"/>
                <w:szCs w:val="22"/>
                <w:highlight w:val="none"/>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062" w:type="pct"/>
          </w:tcPr>
          <w:p>
            <w:pPr>
              <w:autoSpaceDE w:val="0"/>
              <w:autoSpaceDN w:val="0"/>
              <w:spacing w:before="51"/>
              <w:ind w:left="120" w:right="114"/>
              <w:jc w:val="center"/>
              <w:rPr>
                <w:rFonts w:ascii="宋体" w:cs="宋体"/>
                <w:color w:val="auto"/>
                <w:sz w:val="24"/>
                <w:szCs w:val="22"/>
                <w:highlight w:val="none"/>
                <w:lang w:eastAsia="en-US"/>
              </w:rPr>
            </w:pPr>
            <w:r>
              <w:rPr>
                <w:rFonts w:hint="eastAsia" w:ascii="宋体" w:hAnsi="宋体" w:cs="宋体"/>
                <w:color w:val="auto"/>
                <w:szCs w:val="22"/>
                <w:highlight w:val="none"/>
                <w:lang w:eastAsia="en-US"/>
              </w:rPr>
              <w:t>注册地址</w:t>
            </w:r>
          </w:p>
        </w:tc>
        <w:tc>
          <w:tcPr>
            <w:tcW w:w="1684" w:type="pct"/>
            <w:gridSpan w:val="5"/>
          </w:tcPr>
          <w:p>
            <w:pPr>
              <w:autoSpaceDE w:val="0"/>
              <w:autoSpaceDN w:val="0"/>
              <w:rPr>
                <w:rFonts w:ascii="宋体" w:cs="宋体"/>
                <w:color w:val="auto"/>
                <w:sz w:val="22"/>
                <w:szCs w:val="22"/>
                <w:highlight w:val="none"/>
                <w:lang w:eastAsia="en-US"/>
              </w:rPr>
            </w:pPr>
          </w:p>
        </w:tc>
        <w:tc>
          <w:tcPr>
            <w:tcW w:w="618" w:type="pct"/>
          </w:tcPr>
          <w:p>
            <w:pPr>
              <w:autoSpaceDE w:val="0"/>
              <w:autoSpaceDN w:val="0"/>
              <w:spacing w:before="51"/>
              <w:ind w:left="11"/>
              <w:jc w:val="center"/>
              <w:rPr>
                <w:rFonts w:ascii="宋体" w:cs="宋体"/>
                <w:color w:val="auto"/>
                <w:sz w:val="24"/>
                <w:szCs w:val="22"/>
                <w:highlight w:val="none"/>
                <w:lang w:eastAsia="en-US"/>
              </w:rPr>
            </w:pPr>
            <w:r>
              <w:rPr>
                <w:rFonts w:hint="eastAsia" w:ascii="宋体" w:hAnsi="宋体" w:cs="宋体"/>
                <w:color w:val="auto"/>
                <w:szCs w:val="22"/>
                <w:highlight w:val="none"/>
                <w:lang w:eastAsia="en-US"/>
              </w:rPr>
              <w:t>邮政编码</w:t>
            </w:r>
          </w:p>
        </w:tc>
        <w:tc>
          <w:tcPr>
            <w:tcW w:w="1634" w:type="pct"/>
            <w:gridSpan w:val="3"/>
          </w:tcPr>
          <w:p>
            <w:pPr>
              <w:autoSpaceDE w:val="0"/>
              <w:autoSpaceDN w:val="0"/>
              <w:rPr>
                <w:rFonts w:ascii="宋体" w:cs="宋体"/>
                <w:color w:val="auto"/>
                <w:sz w:val="22"/>
                <w:szCs w:val="22"/>
                <w:highlight w:val="none"/>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1062" w:type="pct"/>
            <w:vMerge w:val="restart"/>
          </w:tcPr>
          <w:p>
            <w:pPr>
              <w:autoSpaceDE w:val="0"/>
              <w:autoSpaceDN w:val="0"/>
              <w:spacing w:before="4"/>
              <w:rPr>
                <w:rFonts w:ascii="宋体" w:cs="宋体"/>
                <w:b/>
                <w:color w:val="auto"/>
                <w:sz w:val="26"/>
                <w:szCs w:val="22"/>
                <w:highlight w:val="none"/>
                <w:lang w:eastAsia="en-US"/>
              </w:rPr>
            </w:pPr>
          </w:p>
          <w:p>
            <w:pPr>
              <w:autoSpaceDE w:val="0"/>
              <w:autoSpaceDN w:val="0"/>
              <w:spacing w:before="1"/>
              <w:ind w:left="260"/>
              <w:rPr>
                <w:rFonts w:ascii="宋体" w:cs="宋体"/>
                <w:color w:val="auto"/>
                <w:sz w:val="24"/>
                <w:szCs w:val="22"/>
                <w:highlight w:val="none"/>
                <w:lang w:eastAsia="en-US"/>
              </w:rPr>
            </w:pPr>
            <w:r>
              <w:rPr>
                <w:rFonts w:hint="eastAsia" w:ascii="宋体" w:hAnsi="宋体" w:cs="宋体"/>
                <w:color w:val="auto"/>
                <w:szCs w:val="22"/>
                <w:highlight w:val="none"/>
                <w:lang w:eastAsia="en-US"/>
              </w:rPr>
              <w:t>联系方式</w:t>
            </w:r>
          </w:p>
        </w:tc>
        <w:tc>
          <w:tcPr>
            <w:tcW w:w="525" w:type="pct"/>
          </w:tcPr>
          <w:p>
            <w:pPr>
              <w:autoSpaceDE w:val="0"/>
              <w:autoSpaceDN w:val="0"/>
              <w:spacing w:before="50"/>
              <w:ind w:left="7"/>
              <w:jc w:val="center"/>
              <w:rPr>
                <w:rFonts w:ascii="宋体" w:cs="宋体"/>
                <w:color w:val="auto"/>
                <w:szCs w:val="22"/>
                <w:highlight w:val="none"/>
                <w:lang w:eastAsia="en-US"/>
              </w:rPr>
            </w:pPr>
            <w:r>
              <w:rPr>
                <w:rFonts w:hint="eastAsia" w:ascii="宋体" w:hAnsi="宋体" w:cs="宋体"/>
                <w:color w:val="auto"/>
                <w:szCs w:val="22"/>
                <w:highlight w:val="none"/>
                <w:lang w:eastAsia="en-US"/>
              </w:rPr>
              <w:t>联系人</w:t>
            </w:r>
          </w:p>
        </w:tc>
        <w:tc>
          <w:tcPr>
            <w:tcW w:w="1159" w:type="pct"/>
            <w:gridSpan w:val="4"/>
          </w:tcPr>
          <w:p>
            <w:pPr>
              <w:autoSpaceDE w:val="0"/>
              <w:autoSpaceDN w:val="0"/>
              <w:rPr>
                <w:rFonts w:ascii="宋体" w:cs="宋体"/>
                <w:color w:val="auto"/>
                <w:sz w:val="22"/>
                <w:szCs w:val="22"/>
                <w:highlight w:val="none"/>
                <w:lang w:eastAsia="en-US"/>
              </w:rPr>
            </w:pPr>
          </w:p>
        </w:tc>
        <w:tc>
          <w:tcPr>
            <w:tcW w:w="618" w:type="pct"/>
          </w:tcPr>
          <w:p>
            <w:pPr>
              <w:tabs>
                <w:tab w:val="left" w:pos="491"/>
              </w:tabs>
              <w:autoSpaceDE w:val="0"/>
              <w:autoSpaceDN w:val="0"/>
              <w:spacing w:before="50"/>
              <w:ind w:left="11"/>
              <w:jc w:val="center"/>
              <w:rPr>
                <w:rFonts w:ascii="宋体" w:cs="宋体"/>
                <w:color w:val="auto"/>
                <w:sz w:val="24"/>
                <w:szCs w:val="22"/>
                <w:highlight w:val="none"/>
                <w:lang w:eastAsia="en-US"/>
              </w:rPr>
            </w:pPr>
            <w:r>
              <w:rPr>
                <w:rFonts w:hint="eastAsia" w:ascii="宋体" w:hAnsi="宋体" w:cs="宋体"/>
                <w:color w:val="auto"/>
                <w:szCs w:val="22"/>
                <w:highlight w:val="none"/>
                <w:lang w:eastAsia="en-US"/>
              </w:rPr>
              <w:t>电</w:t>
            </w:r>
            <w:r>
              <w:rPr>
                <w:rFonts w:ascii="宋体" w:cs="宋体"/>
                <w:color w:val="auto"/>
                <w:szCs w:val="22"/>
                <w:highlight w:val="none"/>
                <w:lang w:eastAsia="en-US"/>
              </w:rPr>
              <w:tab/>
            </w:r>
            <w:r>
              <w:rPr>
                <w:rFonts w:hint="eastAsia" w:ascii="宋体" w:hAnsi="宋体" w:cs="宋体"/>
                <w:color w:val="auto"/>
                <w:szCs w:val="22"/>
                <w:highlight w:val="none"/>
                <w:lang w:eastAsia="en-US"/>
              </w:rPr>
              <w:t>话</w:t>
            </w:r>
          </w:p>
        </w:tc>
        <w:tc>
          <w:tcPr>
            <w:tcW w:w="1634" w:type="pct"/>
            <w:gridSpan w:val="3"/>
          </w:tcPr>
          <w:p>
            <w:pPr>
              <w:autoSpaceDE w:val="0"/>
              <w:autoSpaceDN w:val="0"/>
              <w:rPr>
                <w:rFonts w:ascii="宋体" w:cs="宋体"/>
                <w:color w:val="auto"/>
                <w:sz w:val="22"/>
                <w:szCs w:val="22"/>
                <w:highlight w:val="none"/>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1062" w:type="pct"/>
            <w:vMerge w:val="continue"/>
            <w:vAlign w:val="center"/>
          </w:tcPr>
          <w:p>
            <w:pPr>
              <w:widowControl/>
              <w:jc w:val="left"/>
              <w:rPr>
                <w:rFonts w:ascii="宋体" w:cs="宋体"/>
                <w:color w:val="auto"/>
                <w:sz w:val="24"/>
                <w:szCs w:val="22"/>
                <w:highlight w:val="none"/>
                <w:lang w:eastAsia="en-US"/>
              </w:rPr>
            </w:pPr>
          </w:p>
        </w:tc>
        <w:tc>
          <w:tcPr>
            <w:tcW w:w="525" w:type="pct"/>
          </w:tcPr>
          <w:p>
            <w:pPr>
              <w:tabs>
                <w:tab w:val="left" w:pos="487"/>
              </w:tabs>
              <w:autoSpaceDE w:val="0"/>
              <w:autoSpaceDN w:val="0"/>
              <w:spacing w:before="51"/>
              <w:ind w:left="7"/>
              <w:jc w:val="center"/>
              <w:rPr>
                <w:rFonts w:ascii="宋体" w:cs="宋体"/>
                <w:color w:val="auto"/>
                <w:sz w:val="24"/>
                <w:szCs w:val="22"/>
                <w:highlight w:val="none"/>
                <w:lang w:eastAsia="en-US"/>
              </w:rPr>
            </w:pPr>
            <w:r>
              <w:rPr>
                <w:rFonts w:hint="eastAsia" w:ascii="宋体" w:hAnsi="宋体" w:cs="宋体"/>
                <w:color w:val="auto"/>
                <w:szCs w:val="22"/>
                <w:highlight w:val="none"/>
                <w:lang w:eastAsia="en-US"/>
              </w:rPr>
              <w:t>传</w:t>
            </w:r>
            <w:r>
              <w:rPr>
                <w:rFonts w:ascii="宋体" w:cs="宋体"/>
                <w:color w:val="auto"/>
                <w:szCs w:val="22"/>
                <w:highlight w:val="none"/>
                <w:lang w:eastAsia="en-US"/>
              </w:rPr>
              <w:tab/>
            </w:r>
            <w:r>
              <w:rPr>
                <w:rFonts w:hint="eastAsia" w:ascii="宋体" w:hAnsi="宋体" w:cs="宋体"/>
                <w:color w:val="auto"/>
                <w:szCs w:val="22"/>
                <w:highlight w:val="none"/>
                <w:lang w:eastAsia="en-US"/>
              </w:rPr>
              <w:t>真</w:t>
            </w:r>
          </w:p>
        </w:tc>
        <w:tc>
          <w:tcPr>
            <w:tcW w:w="1159" w:type="pct"/>
            <w:gridSpan w:val="4"/>
          </w:tcPr>
          <w:p>
            <w:pPr>
              <w:autoSpaceDE w:val="0"/>
              <w:autoSpaceDN w:val="0"/>
              <w:rPr>
                <w:rFonts w:ascii="宋体" w:cs="宋体"/>
                <w:color w:val="auto"/>
                <w:sz w:val="22"/>
                <w:szCs w:val="22"/>
                <w:highlight w:val="none"/>
                <w:lang w:eastAsia="en-US"/>
              </w:rPr>
            </w:pPr>
          </w:p>
        </w:tc>
        <w:tc>
          <w:tcPr>
            <w:tcW w:w="618" w:type="pct"/>
          </w:tcPr>
          <w:p>
            <w:pPr>
              <w:tabs>
                <w:tab w:val="left" w:pos="491"/>
              </w:tabs>
              <w:autoSpaceDE w:val="0"/>
              <w:autoSpaceDN w:val="0"/>
              <w:spacing w:before="51"/>
              <w:ind w:left="11"/>
              <w:jc w:val="center"/>
              <w:rPr>
                <w:rFonts w:ascii="宋体" w:cs="宋体"/>
                <w:color w:val="auto"/>
                <w:sz w:val="24"/>
                <w:szCs w:val="22"/>
                <w:highlight w:val="none"/>
                <w:lang w:eastAsia="en-US"/>
              </w:rPr>
            </w:pPr>
            <w:r>
              <w:rPr>
                <w:rFonts w:hint="eastAsia" w:ascii="宋体" w:hAnsi="宋体" w:cs="宋体"/>
                <w:color w:val="auto"/>
                <w:szCs w:val="22"/>
                <w:highlight w:val="none"/>
                <w:lang w:eastAsia="en-US"/>
              </w:rPr>
              <w:t>网</w:t>
            </w:r>
            <w:r>
              <w:rPr>
                <w:rFonts w:ascii="宋体" w:cs="宋体"/>
                <w:color w:val="auto"/>
                <w:szCs w:val="22"/>
                <w:highlight w:val="none"/>
                <w:lang w:eastAsia="en-US"/>
              </w:rPr>
              <w:tab/>
            </w:r>
            <w:r>
              <w:rPr>
                <w:rFonts w:hint="eastAsia" w:ascii="宋体" w:hAnsi="宋体" w:cs="宋体"/>
                <w:color w:val="auto"/>
                <w:szCs w:val="22"/>
                <w:highlight w:val="none"/>
                <w:lang w:eastAsia="en-US"/>
              </w:rPr>
              <w:t>址</w:t>
            </w:r>
          </w:p>
        </w:tc>
        <w:tc>
          <w:tcPr>
            <w:tcW w:w="1634" w:type="pct"/>
            <w:gridSpan w:val="3"/>
          </w:tcPr>
          <w:p>
            <w:pPr>
              <w:autoSpaceDE w:val="0"/>
              <w:autoSpaceDN w:val="0"/>
              <w:rPr>
                <w:rFonts w:ascii="宋体" w:cs="宋体"/>
                <w:color w:val="auto"/>
                <w:sz w:val="22"/>
                <w:szCs w:val="22"/>
                <w:highlight w:val="none"/>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1062" w:type="pct"/>
          </w:tcPr>
          <w:p>
            <w:pPr>
              <w:autoSpaceDE w:val="0"/>
              <w:autoSpaceDN w:val="0"/>
              <w:spacing w:before="50"/>
              <w:ind w:left="120" w:right="114"/>
              <w:jc w:val="center"/>
              <w:rPr>
                <w:rFonts w:ascii="宋体" w:cs="宋体"/>
                <w:color w:val="auto"/>
                <w:sz w:val="24"/>
                <w:szCs w:val="22"/>
                <w:highlight w:val="none"/>
                <w:lang w:eastAsia="en-US"/>
              </w:rPr>
            </w:pPr>
            <w:r>
              <w:rPr>
                <w:rFonts w:hint="eastAsia" w:ascii="宋体" w:hAnsi="宋体" w:cs="宋体"/>
                <w:color w:val="auto"/>
                <w:szCs w:val="22"/>
                <w:highlight w:val="none"/>
                <w:lang w:eastAsia="en-US"/>
              </w:rPr>
              <w:t>组织结构</w:t>
            </w:r>
          </w:p>
        </w:tc>
        <w:tc>
          <w:tcPr>
            <w:tcW w:w="3937" w:type="pct"/>
            <w:gridSpan w:val="9"/>
          </w:tcPr>
          <w:p>
            <w:pPr>
              <w:autoSpaceDE w:val="0"/>
              <w:autoSpaceDN w:val="0"/>
              <w:rPr>
                <w:rFonts w:ascii="宋体" w:cs="宋体"/>
                <w:color w:val="auto"/>
                <w:sz w:val="22"/>
                <w:szCs w:val="22"/>
                <w:highlight w:val="none"/>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1062" w:type="pct"/>
          </w:tcPr>
          <w:p>
            <w:pPr>
              <w:autoSpaceDE w:val="0"/>
              <w:autoSpaceDN w:val="0"/>
              <w:spacing w:before="51"/>
              <w:ind w:left="120" w:right="114"/>
              <w:jc w:val="center"/>
              <w:rPr>
                <w:rFonts w:ascii="宋体" w:cs="宋体"/>
                <w:color w:val="auto"/>
                <w:sz w:val="24"/>
                <w:szCs w:val="22"/>
                <w:highlight w:val="none"/>
                <w:lang w:eastAsia="en-US"/>
              </w:rPr>
            </w:pPr>
            <w:r>
              <w:rPr>
                <w:rFonts w:hint="eastAsia" w:ascii="宋体" w:hAnsi="宋体" w:cs="宋体"/>
                <w:color w:val="auto"/>
                <w:szCs w:val="22"/>
                <w:highlight w:val="none"/>
                <w:lang w:eastAsia="en-US"/>
              </w:rPr>
              <w:t>法定代表人</w:t>
            </w:r>
          </w:p>
        </w:tc>
        <w:tc>
          <w:tcPr>
            <w:tcW w:w="525" w:type="pct"/>
          </w:tcPr>
          <w:p>
            <w:pPr>
              <w:autoSpaceDE w:val="0"/>
              <w:autoSpaceDN w:val="0"/>
              <w:spacing w:before="51"/>
              <w:ind w:left="7"/>
              <w:jc w:val="center"/>
              <w:rPr>
                <w:rFonts w:ascii="宋体" w:cs="宋体"/>
                <w:color w:val="auto"/>
                <w:szCs w:val="22"/>
                <w:highlight w:val="none"/>
                <w:lang w:eastAsia="en-US"/>
              </w:rPr>
            </w:pPr>
            <w:r>
              <w:rPr>
                <w:rFonts w:hint="eastAsia" w:ascii="宋体" w:hAnsi="宋体" w:cs="宋体"/>
                <w:color w:val="auto"/>
                <w:szCs w:val="22"/>
                <w:highlight w:val="none"/>
                <w:lang w:eastAsia="en-US"/>
              </w:rPr>
              <w:t>姓名</w:t>
            </w:r>
          </w:p>
        </w:tc>
        <w:tc>
          <w:tcPr>
            <w:tcW w:w="426" w:type="pct"/>
          </w:tcPr>
          <w:p>
            <w:pPr>
              <w:autoSpaceDE w:val="0"/>
              <w:autoSpaceDN w:val="0"/>
              <w:rPr>
                <w:rFonts w:ascii="宋体" w:cs="宋体"/>
                <w:color w:val="auto"/>
                <w:sz w:val="22"/>
                <w:szCs w:val="22"/>
                <w:highlight w:val="none"/>
                <w:lang w:eastAsia="en-US"/>
              </w:rPr>
            </w:pPr>
          </w:p>
        </w:tc>
        <w:tc>
          <w:tcPr>
            <w:tcW w:w="633" w:type="pct"/>
            <w:gridSpan w:val="2"/>
          </w:tcPr>
          <w:p>
            <w:pPr>
              <w:autoSpaceDE w:val="0"/>
              <w:autoSpaceDN w:val="0"/>
              <w:spacing w:before="51"/>
              <w:ind w:left="157"/>
              <w:rPr>
                <w:rFonts w:ascii="宋体" w:cs="宋体"/>
                <w:color w:val="auto"/>
                <w:sz w:val="24"/>
                <w:szCs w:val="22"/>
                <w:highlight w:val="none"/>
                <w:lang w:eastAsia="en-US"/>
              </w:rPr>
            </w:pPr>
            <w:r>
              <w:rPr>
                <w:rFonts w:hint="eastAsia" w:ascii="宋体" w:hAnsi="宋体" w:cs="宋体"/>
                <w:color w:val="auto"/>
                <w:szCs w:val="22"/>
                <w:highlight w:val="none"/>
                <w:lang w:eastAsia="en-US"/>
              </w:rPr>
              <w:t>技术职称</w:t>
            </w:r>
          </w:p>
        </w:tc>
        <w:tc>
          <w:tcPr>
            <w:tcW w:w="844" w:type="pct"/>
            <w:gridSpan w:val="3"/>
          </w:tcPr>
          <w:p>
            <w:pPr>
              <w:autoSpaceDE w:val="0"/>
              <w:autoSpaceDN w:val="0"/>
              <w:rPr>
                <w:rFonts w:ascii="宋体" w:cs="宋体"/>
                <w:color w:val="auto"/>
                <w:sz w:val="22"/>
                <w:szCs w:val="22"/>
                <w:highlight w:val="none"/>
                <w:lang w:eastAsia="en-US"/>
              </w:rPr>
            </w:pPr>
          </w:p>
        </w:tc>
        <w:tc>
          <w:tcPr>
            <w:tcW w:w="351" w:type="pct"/>
          </w:tcPr>
          <w:p>
            <w:pPr>
              <w:autoSpaceDE w:val="0"/>
              <w:autoSpaceDN w:val="0"/>
              <w:spacing w:before="51"/>
              <w:ind w:right="103"/>
              <w:jc w:val="right"/>
              <w:rPr>
                <w:rFonts w:ascii="宋体" w:cs="宋体"/>
                <w:color w:val="auto"/>
                <w:sz w:val="24"/>
                <w:szCs w:val="22"/>
                <w:highlight w:val="none"/>
                <w:lang w:eastAsia="en-US"/>
              </w:rPr>
            </w:pPr>
            <w:r>
              <w:rPr>
                <w:rFonts w:hint="eastAsia" w:ascii="宋体" w:hAnsi="宋体" w:cs="宋体"/>
                <w:color w:val="auto"/>
                <w:szCs w:val="22"/>
                <w:highlight w:val="none"/>
                <w:lang w:eastAsia="en-US"/>
              </w:rPr>
              <w:t>电话</w:t>
            </w:r>
          </w:p>
        </w:tc>
        <w:tc>
          <w:tcPr>
            <w:tcW w:w="1155" w:type="pct"/>
          </w:tcPr>
          <w:p>
            <w:pPr>
              <w:autoSpaceDE w:val="0"/>
              <w:autoSpaceDN w:val="0"/>
              <w:rPr>
                <w:rFonts w:ascii="宋体" w:cs="宋体"/>
                <w:color w:val="auto"/>
                <w:sz w:val="22"/>
                <w:szCs w:val="22"/>
                <w:highlight w:val="none"/>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062" w:type="pct"/>
          </w:tcPr>
          <w:p>
            <w:pPr>
              <w:autoSpaceDE w:val="0"/>
              <w:autoSpaceDN w:val="0"/>
              <w:spacing w:before="51"/>
              <w:ind w:left="120" w:right="114"/>
              <w:jc w:val="center"/>
              <w:rPr>
                <w:rFonts w:ascii="宋体" w:cs="宋体"/>
                <w:color w:val="auto"/>
                <w:sz w:val="24"/>
                <w:szCs w:val="22"/>
                <w:highlight w:val="none"/>
                <w:lang w:eastAsia="en-US"/>
              </w:rPr>
            </w:pPr>
            <w:r>
              <w:rPr>
                <w:rFonts w:hint="eastAsia" w:ascii="宋体" w:hAnsi="宋体" w:cs="宋体"/>
                <w:color w:val="auto"/>
                <w:szCs w:val="22"/>
                <w:highlight w:val="none"/>
                <w:lang w:eastAsia="en-US"/>
              </w:rPr>
              <w:t>项目负责人</w:t>
            </w:r>
          </w:p>
        </w:tc>
        <w:tc>
          <w:tcPr>
            <w:tcW w:w="525" w:type="pct"/>
          </w:tcPr>
          <w:p>
            <w:pPr>
              <w:autoSpaceDE w:val="0"/>
              <w:autoSpaceDN w:val="0"/>
              <w:spacing w:before="51"/>
              <w:ind w:left="7"/>
              <w:jc w:val="center"/>
              <w:rPr>
                <w:rFonts w:ascii="宋体" w:cs="宋体"/>
                <w:color w:val="auto"/>
                <w:szCs w:val="22"/>
                <w:highlight w:val="none"/>
                <w:lang w:eastAsia="en-US"/>
              </w:rPr>
            </w:pPr>
            <w:r>
              <w:rPr>
                <w:rFonts w:hint="eastAsia" w:ascii="宋体" w:hAnsi="宋体" w:cs="宋体"/>
                <w:color w:val="auto"/>
                <w:szCs w:val="22"/>
                <w:highlight w:val="none"/>
                <w:lang w:eastAsia="en-US"/>
              </w:rPr>
              <w:t>姓名</w:t>
            </w:r>
          </w:p>
        </w:tc>
        <w:tc>
          <w:tcPr>
            <w:tcW w:w="426" w:type="pct"/>
          </w:tcPr>
          <w:p>
            <w:pPr>
              <w:autoSpaceDE w:val="0"/>
              <w:autoSpaceDN w:val="0"/>
              <w:rPr>
                <w:rFonts w:ascii="宋体" w:cs="宋体"/>
                <w:color w:val="auto"/>
                <w:sz w:val="22"/>
                <w:szCs w:val="22"/>
                <w:highlight w:val="none"/>
                <w:lang w:eastAsia="en-US"/>
              </w:rPr>
            </w:pPr>
          </w:p>
        </w:tc>
        <w:tc>
          <w:tcPr>
            <w:tcW w:w="633" w:type="pct"/>
            <w:gridSpan w:val="2"/>
          </w:tcPr>
          <w:p>
            <w:pPr>
              <w:autoSpaceDE w:val="0"/>
              <w:autoSpaceDN w:val="0"/>
              <w:spacing w:before="51"/>
              <w:ind w:left="157"/>
              <w:rPr>
                <w:rFonts w:ascii="宋体" w:cs="宋体"/>
                <w:color w:val="auto"/>
                <w:sz w:val="24"/>
                <w:szCs w:val="22"/>
                <w:highlight w:val="none"/>
                <w:lang w:eastAsia="en-US"/>
              </w:rPr>
            </w:pPr>
            <w:r>
              <w:rPr>
                <w:rFonts w:hint="eastAsia" w:ascii="宋体" w:hAnsi="宋体" w:cs="宋体"/>
                <w:color w:val="auto"/>
                <w:szCs w:val="22"/>
                <w:highlight w:val="none"/>
                <w:lang w:eastAsia="en-US"/>
              </w:rPr>
              <w:t>技术职称</w:t>
            </w:r>
          </w:p>
        </w:tc>
        <w:tc>
          <w:tcPr>
            <w:tcW w:w="844" w:type="pct"/>
            <w:gridSpan w:val="3"/>
          </w:tcPr>
          <w:p>
            <w:pPr>
              <w:autoSpaceDE w:val="0"/>
              <w:autoSpaceDN w:val="0"/>
              <w:rPr>
                <w:rFonts w:ascii="宋体" w:cs="宋体"/>
                <w:color w:val="auto"/>
                <w:sz w:val="22"/>
                <w:szCs w:val="22"/>
                <w:highlight w:val="none"/>
                <w:lang w:eastAsia="en-US"/>
              </w:rPr>
            </w:pPr>
          </w:p>
        </w:tc>
        <w:tc>
          <w:tcPr>
            <w:tcW w:w="351" w:type="pct"/>
          </w:tcPr>
          <w:p>
            <w:pPr>
              <w:autoSpaceDE w:val="0"/>
              <w:autoSpaceDN w:val="0"/>
              <w:spacing w:before="51"/>
              <w:ind w:right="103"/>
              <w:jc w:val="right"/>
              <w:rPr>
                <w:rFonts w:ascii="宋体" w:cs="宋体"/>
                <w:color w:val="auto"/>
                <w:sz w:val="24"/>
                <w:szCs w:val="22"/>
                <w:highlight w:val="none"/>
                <w:lang w:eastAsia="en-US"/>
              </w:rPr>
            </w:pPr>
            <w:r>
              <w:rPr>
                <w:rFonts w:hint="eastAsia" w:ascii="宋体" w:hAnsi="宋体" w:cs="宋体"/>
                <w:color w:val="auto"/>
                <w:szCs w:val="22"/>
                <w:highlight w:val="none"/>
                <w:lang w:eastAsia="en-US"/>
              </w:rPr>
              <w:t>电话</w:t>
            </w:r>
          </w:p>
        </w:tc>
        <w:tc>
          <w:tcPr>
            <w:tcW w:w="1155" w:type="pct"/>
          </w:tcPr>
          <w:p>
            <w:pPr>
              <w:autoSpaceDE w:val="0"/>
              <w:autoSpaceDN w:val="0"/>
              <w:rPr>
                <w:rFonts w:ascii="宋体" w:cs="宋体"/>
                <w:color w:val="auto"/>
                <w:sz w:val="22"/>
                <w:szCs w:val="22"/>
                <w:highlight w:val="none"/>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1062" w:type="pct"/>
          </w:tcPr>
          <w:p>
            <w:pPr>
              <w:autoSpaceDE w:val="0"/>
              <w:autoSpaceDN w:val="0"/>
              <w:spacing w:before="52"/>
              <w:ind w:left="120" w:right="114"/>
              <w:jc w:val="center"/>
              <w:rPr>
                <w:rFonts w:ascii="宋体" w:cs="宋体"/>
                <w:color w:val="auto"/>
                <w:sz w:val="24"/>
                <w:szCs w:val="22"/>
                <w:highlight w:val="none"/>
                <w:lang w:eastAsia="en-US"/>
              </w:rPr>
            </w:pPr>
            <w:r>
              <w:rPr>
                <w:rFonts w:hint="eastAsia" w:ascii="宋体" w:hAnsi="宋体" w:cs="宋体"/>
                <w:color w:val="auto"/>
                <w:szCs w:val="22"/>
                <w:highlight w:val="none"/>
                <w:lang w:eastAsia="en-US"/>
              </w:rPr>
              <w:t>成立时间</w:t>
            </w:r>
          </w:p>
        </w:tc>
        <w:tc>
          <w:tcPr>
            <w:tcW w:w="951" w:type="pct"/>
            <w:gridSpan w:val="2"/>
          </w:tcPr>
          <w:p>
            <w:pPr>
              <w:autoSpaceDE w:val="0"/>
              <w:autoSpaceDN w:val="0"/>
              <w:rPr>
                <w:rFonts w:ascii="宋体" w:cs="宋体"/>
                <w:color w:val="auto"/>
                <w:sz w:val="22"/>
                <w:szCs w:val="22"/>
                <w:highlight w:val="none"/>
                <w:lang w:eastAsia="en-US"/>
              </w:rPr>
            </w:pPr>
          </w:p>
        </w:tc>
        <w:tc>
          <w:tcPr>
            <w:tcW w:w="2985" w:type="pct"/>
            <w:gridSpan w:val="7"/>
          </w:tcPr>
          <w:p>
            <w:pPr>
              <w:autoSpaceDE w:val="0"/>
              <w:autoSpaceDN w:val="0"/>
              <w:spacing w:before="52"/>
              <w:ind w:left="107"/>
              <w:rPr>
                <w:rFonts w:ascii="宋体" w:cs="宋体"/>
                <w:color w:val="auto"/>
                <w:sz w:val="24"/>
                <w:szCs w:val="22"/>
                <w:highlight w:val="none"/>
              </w:rPr>
            </w:pPr>
            <w:r>
              <w:rPr>
                <w:rFonts w:hint="eastAsia" w:ascii="宋体" w:hAnsi="宋体" w:cs="宋体"/>
                <w:color w:val="auto"/>
                <w:szCs w:val="22"/>
                <w:highlight w:val="none"/>
                <w:lang w:eastAsia="en-US"/>
              </w:rPr>
              <w:t>员工总人数</w:t>
            </w:r>
            <w:r>
              <w:rPr>
                <w:rFonts w:hint="eastAsia" w:ascii="宋体" w:hAnsi="宋体" w:cs="宋体"/>
                <w:color w:val="auto"/>
                <w:szCs w:val="22"/>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062" w:type="pct"/>
          </w:tcPr>
          <w:p>
            <w:pPr>
              <w:autoSpaceDE w:val="0"/>
              <w:autoSpaceDN w:val="0"/>
              <w:spacing w:before="51"/>
              <w:ind w:left="120" w:right="114"/>
              <w:jc w:val="center"/>
              <w:rPr>
                <w:rFonts w:ascii="宋体" w:cs="宋体"/>
                <w:color w:val="auto"/>
                <w:szCs w:val="22"/>
                <w:highlight w:val="none"/>
                <w:lang w:eastAsia="en-US"/>
              </w:rPr>
            </w:pPr>
            <w:r>
              <w:rPr>
                <w:rFonts w:hint="eastAsia" w:ascii="宋体" w:hAnsi="宋体" w:cs="宋体"/>
                <w:color w:val="auto"/>
                <w:szCs w:val="22"/>
                <w:highlight w:val="none"/>
                <w:lang w:eastAsia="en-US"/>
              </w:rPr>
              <w:t>营业执照号</w:t>
            </w:r>
          </w:p>
        </w:tc>
        <w:tc>
          <w:tcPr>
            <w:tcW w:w="951" w:type="pct"/>
            <w:gridSpan w:val="2"/>
          </w:tcPr>
          <w:p>
            <w:pPr>
              <w:autoSpaceDE w:val="0"/>
              <w:autoSpaceDN w:val="0"/>
              <w:rPr>
                <w:rFonts w:ascii="宋体" w:cs="宋体"/>
                <w:color w:val="auto"/>
                <w:sz w:val="22"/>
                <w:szCs w:val="22"/>
                <w:highlight w:val="none"/>
                <w:lang w:eastAsia="en-US"/>
              </w:rPr>
            </w:pPr>
          </w:p>
        </w:tc>
        <w:tc>
          <w:tcPr>
            <w:tcW w:w="492" w:type="pct"/>
            <w:vMerge w:val="restart"/>
          </w:tcPr>
          <w:p>
            <w:pPr>
              <w:autoSpaceDE w:val="0"/>
              <w:autoSpaceDN w:val="0"/>
              <w:rPr>
                <w:rFonts w:ascii="宋体" w:cs="宋体"/>
                <w:color w:val="auto"/>
                <w:sz w:val="22"/>
                <w:szCs w:val="22"/>
                <w:highlight w:val="none"/>
                <w:lang w:eastAsia="en-US"/>
              </w:rPr>
            </w:pPr>
          </w:p>
        </w:tc>
        <w:tc>
          <w:tcPr>
            <w:tcW w:w="985" w:type="pct"/>
            <w:gridSpan w:val="4"/>
          </w:tcPr>
          <w:p>
            <w:pPr>
              <w:autoSpaceDE w:val="0"/>
              <w:autoSpaceDN w:val="0"/>
              <w:spacing w:before="51"/>
              <w:ind w:left="271"/>
              <w:rPr>
                <w:rFonts w:ascii="宋体" w:cs="宋体"/>
                <w:color w:val="auto"/>
                <w:sz w:val="24"/>
                <w:szCs w:val="22"/>
                <w:highlight w:val="none"/>
                <w:lang w:eastAsia="en-US"/>
              </w:rPr>
            </w:pPr>
            <w:r>
              <w:rPr>
                <w:rFonts w:hint="eastAsia" w:ascii="宋体" w:hAnsi="宋体" w:cs="宋体"/>
                <w:color w:val="auto"/>
                <w:szCs w:val="22"/>
                <w:highlight w:val="none"/>
                <w:lang w:eastAsia="en-US"/>
              </w:rPr>
              <w:t>高级职称人员</w:t>
            </w:r>
          </w:p>
        </w:tc>
        <w:tc>
          <w:tcPr>
            <w:tcW w:w="1507" w:type="pct"/>
            <w:gridSpan w:val="2"/>
          </w:tcPr>
          <w:p>
            <w:pPr>
              <w:autoSpaceDE w:val="0"/>
              <w:autoSpaceDN w:val="0"/>
              <w:rPr>
                <w:rFonts w:ascii="宋体" w:cs="宋体"/>
                <w:color w:val="auto"/>
                <w:sz w:val="22"/>
                <w:szCs w:val="22"/>
                <w:highlight w:val="none"/>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1062" w:type="pct"/>
          </w:tcPr>
          <w:p>
            <w:pPr>
              <w:autoSpaceDE w:val="0"/>
              <w:autoSpaceDN w:val="0"/>
              <w:spacing w:before="50"/>
              <w:ind w:left="120" w:right="114"/>
              <w:jc w:val="center"/>
              <w:rPr>
                <w:rFonts w:ascii="宋体" w:cs="宋体"/>
                <w:color w:val="auto"/>
                <w:sz w:val="24"/>
                <w:szCs w:val="22"/>
                <w:highlight w:val="none"/>
                <w:lang w:eastAsia="en-US"/>
              </w:rPr>
            </w:pPr>
            <w:r>
              <w:rPr>
                <w:rFonts w:hint="eastAsia" w:ascii="宋体" w:hAnsi="宋体" w:cs="宋体"/>
                <w:color w:val="auto"/>
                <w:szCs w:val="22"/>
                <w:highlight w:val="none"/>
                <w:lang w:eastAsia="en-US"/>
              </w:rPr>
              <w:t>注册资金</w:t>
            </w:r>
          </w:p>
        </w:tc>
        <w:tc>
          <w:tcPr>
            <w:tcW w:w="951" w:type="pct"/>
            <w:gridSpan w:val="2"/>
          </w:tcPr>
          <w:p>
            <w:pPr>
              <w:autoSpaceDE w:val="0"/>
              <w:autoSpaceDN w:val="0"/>
              <w:rPr>
                <w:rFonts w:ascii="宋体" w:cs="宋体"/>
                <w:color w:val="auto"/>
                <w:sz w:val="22"/>
                <w:szCs w:val="22"/>
                <w:highlight w:val="none"/>
                <w:lang w:eastAsia="en-US"/>
              </w:rPr>
            </w:pPr>
          </w:p>
        </w:tc>
        <w:tc>
          <w:tcPr>
            <w:tcW w:w="492" w:type="pct"/>
            <w:vMerge w:val="continue"/>
            <w:vAlign w:val="center"/>
          </w:tcPr>
          <w:p>
            <w:pPr>
              <w:widowControl/>
              <w:jc w:val="left"/>
              <w:rPr>
                <w:rFonts w:ascii="宋体" w:cs="宋体"/>
                <w:color w:val="auto"/>
                <w:sz w:val="22"/>
                <w:szCs w:val="22"/>
                <w:highlight w:val="none"/>
                <w:lang w:eastAsia="en-US"/>
              </w:rPr>
            </w:pPr>
          </w:p>
        </w:tc>
        <w:tc>
          <w:tcPr>
            <w:tcW w:w="985" w:type="pct"/>
            <w:gridSpan w:val="4"/>
          </w:tcPr>
          <w:p>
            <w:pPr>
              <w:autoSpaceDE w:val="0"/>
              <w:autoSpaceDN w:val="0"/>
              <w:spacing w:before="50"/>
              <w:ind w:left="271"/>
              <w:rPr>
                <w:rFonts w:ascii="宋体" w:cs="宋体"/>
                <w:color w:val="auto"/>
                <w:sz w:val="24"/>
                <w:szCs w:val="22"/>
                <w:highlight w:val="none"/>
                <w:lang w:eastAsia="en-US"/>
              </w:rPr>
            </w:pPr>
            <w:r>
              <w:rPr>
                <w:rFonts w:hint="eastAsia" w:ascii="宋体" w:hAnsi="宋体" w:cs="宋体"/>
                <w:color w:val="auto"/>
                <w:szCs w:val="22"/>
                <w:highlight w:val="none"/>
                <w:lang w:eastAsia="en-US"/>
              </w:rPr>
              <w:t>中级职称人员</w:t>
            </w:r>
          </w:p>
        </w:tc>
        <w:tc>
          <w:tcPr>
            <w:tcW w:w="1507" w:type="pct"/>
            <w:gridSpan w:val="2"/>
          </w:tcPr>
          <w:p>
            <w:pPr>
              <w:autoSpaceDE w:val="0"/>
              <w:autoSpaceDN w:val="0"/>
              <w:rPr>
                <w:rFonts w:ascii="宋体" w:cs="宋体"/>
                <w:color w:val="auto"/>
                <w:sz w:val="22"/>
                <w:szCs w:val="22"/>
                <w:highlight w:val="none"/>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062" w:type="pct"/>
          </w:tcPr>
          <w:p>
            <w:pPr>
              <w:autoSpaceDE w:val="0"/>
              <w:autoSpaceDN w:val="0"/>
              <w:spacing w:before="51"/>
              <w:ind w:left="120" w:right="114"/>
              <w:jc w:val="center"/>
              <w:rPr>
                <w:rFonts w:ascii="宋体" w:cs="宋体"/>
                <w:color w:val="auto"/>
                <w:sz w:val="24"/>
                <w:szCs w:val="22"/>
                <w:highlight w:val="none"/>
                <w:lang w:eastAsia="en-US"/>
              </w:rPr>
            </w:pPr>
            <w:r>
              <w:rPr>
                <w:rFonts w:hint="eastAsia" w:ascii="宋体" w:hAnsi="宋体" w:cs="宋体"/>
                <w:color w:val="auto"/>
                <w:szCs w:val="22"/>
                <w:highlight w:val="none"/>
                <w:lang w:eastAsia="en-US"/>
              </w:rPr>
              <w:t>开户银行</w:t>
            </w:r>
          </w:p>
        </w:tc>
        <w:tc>
          <w:tcPr>
            <w:tcW w:w="951" w:type="pct"/>
            <w:gridSpan w:val="2"/>
          </w:tcPr>
          <w:p>
            <w:pPr>
              <w:autoSpaceDE w:val="0"/>
              <w:autoSpaceDN w:val="0"/>
              <w:rPr>
                <w:rFonts w:ascii="宋体" w:cs="宋体"/>
                <w:color w:val="auto"/>
                <w:sz w:val="22"/>
                <w:szCs w:val="22"/>
                <w:highlight w:val="none"/>
                <w:lang w:eastAsia="en-US"/>
              </w:rPr>
            </w:pPr>
          </w:p>
        </w:tc>
        <w:tc>
          <w:tcPr>
            <w:tcW w:w="492" w:type="pct"/>
            <w:vMerge w:val="continue"/>
            <w:vAlign w:val="center"/>
          </w:tcPr>
          <w:p>
            <w:pPr>
              <w:widowControl/>
              <w:jc w:val="left"/>
              <w:rPr>
                <w:rFonts w:ascii="宋体" w:cs="宋体"/>
                <w:color w:val="auto"/>
                <w:sz w:val="22"/>
                <w:szCs w:val="22"/>
                <w:highlight w:val="none"/>
                <w:lang w:eastAsia="en-US"/>
              </w:rPr>
            </w:pPr>
          </w:p>
        </w:tc>
        <w:tc>
          <w:tcPr>
            <w:tcW w:w="985" w:type="pct"/>
            <w:gridSpan w:val="4"/>
          </w:tcPr>
          <w:p>
            <w:pPr>
              <w:autoSpaceDE w:val="0"/>
              <w:autoSpaceDN w:val="0"/>
              <w:spacing w:before="51"/>
              <w:ind w:left="511"/>
              <w:rPr>
                <w:rFonts w:ascii="宋体" w:cs="宋体"/>
                <w:color w:val="auto"/>
                <w:sz w:val="24"/>
                <w:szCs w:val="22"/>
                <w:highlight w:val="none"/>
                <w:lang w:eastAsia="en-US"/>
              </w:rPr>
            </w:pPr>
            <w:r>
              <w:rPr>
                <w:rFonts w:hint="eastAsia" w:ascii="宋体" w:hAnsi="宋体" w:cs="宋体"/>
                <w:color w:val="auto"/>
                <w:szCs w:val="22"/>
                <w:highlight w:val="none"/>
                <w:lang w:eastAsia="en-US"/>
              </w:rPr>
              <w:t>其他人员</w:t>
            </w:r>
          </w:p>
        </w:tc>
        <w:tc>
          <w:tcPr>
            <w:tcW w:w="1507" w:type="pct"/>
            <w:gridSpan w:val="2"/>
          </w:tcPr>
          <w:p>
            <w:pPr>
              <w:autoSpaceDE w:val="0"/>
              <w:autoSpaceDN w:val="0"/>
              <w:rPr>
                <w:rFonts w:ascii="宋体" w:cs="宋体"/>
                <w:color w:val="auto"/>
                <w:sz w:val="22"/>
                <w:szCs w:val="22"/>
                <w:highlight w:val="none"/>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1062" w:type="pct"/>
          </w:tcPr>
          <w:p>
            <w:pPr>
              <w:autoSpaceDE w:val="0"/>
              <w:autoSpaceDN w:val="0"/>
              <w:spacing w:before="50"/>
              <w:ind w:left="120" w:right="114"/>
              <w:jc w:val="center"/>
              <w:rPr>
                <w:rFonts w:ascii="宋体" w:cs="宋体"/>
                <w:color w:val="auto"/>
                <w:sz w:val="24"/>
                <w:szCs w:val="22"/>
                <w:highlight w:val="none"/>
                <w:lang w:eastAsia="en-US"/>
              </w:rPr>
            </w:pPr>
            <w:r>
              <w:rPr>
                <w:rFonts w:hint="eastAsia" w:ascii="宋体" w:hAnsi="宋体" w:cs="宋体"/>
                <w:color w:val="auto"/>
                <w:szCs w:val="22"/>
                <w:highlight w:val="none"/>
                <w:lang w:eastAsia="en-US"/>
              </w:rPr>
              <w:t>账号</w:t>
            </w:r>
          </w:p>
        </w:tc>
        <w:tc>
          <w:tcPr>
            <w:tcW w:w="951" w:type="pct"/>
            <w:gridSpan w:val="2"/>
          </w:tcPr>
          <w:p>
            <w:pPr>
              <w:autoSpaceDE w:val="0"/>
              <w:autoSpaceDN w:val="0"/>
              <w:rPr>
                <w:rFonts w:ascii="宋体" w:cs="宋体"/>
                <w:color w:val="auto"/>
                <w:sz w:val="22"/>
                <w:szCs w:val="22"/>
                <w:highlight w:val="none"/>
                <w:lang w:eastAsia="en-US"/>
              </w:rPr>
            </w:pPr>
          </w:p>
        </w:tc>
        <w:tc>
          <w:tcPr>
            <w:tcW w:w="492" w:type="pct"/>
            <w:vMerge w:val="continue"/>
            <w:vAlign w:val="center"/>
          </w:tcPr>
          <w:p>
            <w:pPr>
              <w:widowControl/>
              <w:jc w:val="left"/>
              <w:rPr>
                <w:rFonts w:ascii="宋体" w:cs="宋体"/>
                <w:color w:val="auto"/>
                <w:sz w:val="22"/>
                <w:szCs w:val="22"/>
                <w:highlight w:val="none"/>
                <w:lang w:eastAsia="en-US"/>
              </w:rPr>
            </w:pPr>
          </w:p>
        </w:tc>
        <w:tc>
          <w:tcPr>
            <w:tcW w:w="985" w:type="pct"/>
            <w:gridSpan w:val="4"/>
          </w:tcPr>
          <w:p>
            <w:pPr>
              <w:autoSpaceDE w:val="0"/>
              <w:autoSpaceDN w:val="0"/>
              <w:rPr>
                <w:rFonts w:ascii="宋体" w:cs="宋体"/>
                <w:color w:val="auto"/>
                <w:sz w:val="22"/>
                <w:szCs w:val="22"/>
                <w:highlight w:val="none"/>
                <w:lang w:eastAsia="en-US"/>
              </w:rPr>
            </w:pPr>
          </w:p>
        </w:tc>
        <w:tc>
          <w:tcPr>
            <w:tcW w:w="1507" w:type="pct"/>
            <w:gridSpan w:val="2"/>
          </w:tcPr>
          <w:p>
            <w:pPr>
              <w:autoSpaceDE w:val="0"/>
              <w:autoSpaceDN w:val="0"/>
              <w:rPr>
                <w:rFonts w:ascii="宋体" w:cs="宋体"/>
                <w:color w:val="auto"/>
                <w:sz w:val="22"/>
                <w:szCs w:val="22"/>
                <w:highlight w:val="none"/>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trPr>
        <w:tc>
          <w:tcPr>
            <w:tcW w:w="1062" w:type="pct"/>
          </w:tcPr>
          <w:p>
            <w:pPr>
              <w:autoSpaceDE w:val="0"/>
              <w:autoSpaceDN w:val="0"/>
              <w:spacing w:before="8"/>
              <w:rPr>
                <w:rFonts w:ascii="宋体" w:cs="宋体"/>
                <w:b/>
                <w:color w:val="auto"/>
                <w:sz w:val="33"/>
                <w:szCs w:val="22"/>
                <w:highlight w:val="none"/>
                <w:lang w:eastAsia="en-US"/>
              </w:rPr>
            </w:pPr>
          </w:p>
          <w:p>
            <w:pPr>
              <w:autoSpaceDE w:val="0"/>
              <w:autoSpaceDN w:val="0"/>
              <w:ind w:left="120" w:right="114"/>
              <w:jc w:val="center"/>
              <w:rPr>
                <w:rFonts w:ascii="宋体" w:cs="宋体"/>
                <w:color w:val="auto"/>
                <w:sz w:val="24"/>
                <w:szCs w:val="22"/>
                <w:highlight w:val="none"/>
                <w:lang w:eastAsia="en-US"/>
              </w:rPr>
            </w:pPr>
            <w:r>
              <w:rPr>
                <w:rFonts w:hint="eastAsia" w:ascii="宋体" w:hAnsi="宋体" w:cs="宋体"/>
                <w:color w:val="auto"/>
                <w:szCs w:val="22"/>
                <w:highlight w:val="none"/>
                <w:lang w:eastAsia="en-US"/>
              </w:rPr>
              <w:t>经营范围</w:t>
            </w:r>
          </w:p>
        </w:tc>
        <w:tc>
          <w:tcPr>
            <w:tcW w:w="3937" w:type="pct"/>
            <w:gridSpan w:val="9"/>
          </w:tcPr>
          <w:p>
            <w:pPr>
              <w:autoSpaceDE w:val="0"/>
              <w:autoSpaceDN w:val="0"/>
              <w:rPr>
                <w:rFonts w:ascii="宋体" w:cs="宋体"/>
                <w:color w:val="auto"/>
                <w:sz w:val="22"/>
                <w:szCs w:val="22"/>
                <w:highlight w:val="none"/>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062" w:type="pct"/>
          </w:tcPr>
          <w:p>
            <w:pPr>
              <w:autoSpaceDE w:val="0"/>
              <w:autoSpaceDN w:val="0"/>
              <w:spacing w:before="50"/>
              <w:ind w:left="120" w:right="114"/>
              <w:jc w:val="center"/>
              <w:rPr>
                <w:rFonts w:ascii="宋体" w:cs="宋体"/>
                <w:color w:val="auto"/>
                <w:sz w:val="24"/>
                <w:szCs w:val="22"/>
                <w:highlight w:val="none"/>
                <w:lang w:eastAsia="en-US"/>
              </w:rPr>
            </w:pPr>
            <w:r>
              <w:rPr>
                <w:rFonts w:hint="eastAsia" w:ascii="宋体" w:hAnsi="宋体" w:cs="宋体"/>
                <w:color w:val="auto"/>
                <w:szCs w:val="22"/>
                <w:highlight w:val="none"/>
                <w:lang w:eastAsia="en-US"/>
              </w:rPr>
              <w:t>备注</w:t>
            </w:r>
          </w:p>
        </w:tc>
        <w:tc>
          <w:tcPr>
            <w:tcW w:w="3937" w:type="pct"/>
            <w:gridSpan w:val="9"/>
          </w:tcPr>
          <w:p>
            <w:pPr>
              <w:autoSpaceDE w:val="0"/>
              <w:autoSpaceDN w:val="0"/>
              <w:rPr>
                <w:rFonts w:ascii="宋体" w:cs="宋体"/>
                <w:color w:val="auto"/>
                <w:sz w:val="22"/>
                <w:szCs w:val="22"/>
                <w:highlight w:val="none"/>
                <w:lang w:eastAsia="en-US"/>
              </w:rPr>
            </w:pPr>
          </w:p>
        </w:tc>
      </w:tr>
    </w:tbl>
    <w:p>
      <w:pPr>
        <w:spacing w:after="120"/>
        <w:rPr>
          <w:rFonts w:ascii="宋体" w:cs="宋体"/>
          <w:b/>
          <w:color w:val="auto"/>
          <w:sz w:val="20"/>
          <w:highlight w:val="none"/>
        </w:rPr>
      </w:pPr>
    </w:p>
    <w:p>
      <w:pPr>
        <w:spacing w:line="360" w:lineRule="auto"/>
        <w:ind w:firstLine="630" w:firstLineChars="300"/>
        <w:jc w:val="left"/>
        <w:rPr>
          <w:rFonts w:ascii="宋体" w:cs="宋体"/>
          <w:color w:val="auto"/>
          <w:highlight w:val="none"/>
        </w:rPr>
      </w:pPr>
      <w:r>
        <w:rPr>
          <w:rFonts w:hint="eastAsia" w:ascii="宋体" w:hAnsi="宋体" w:cs="宋体"/>
          <w:color w:val="auto"/>
          <w:highlight w:val="none"/>
        </w:rPr>
        <w:t>备注：后附营业执照</w:t>
      </w:r>
      <w:r>
        <w:rPr>
          <w:rFonts w:hint="eastAsia" w:ascii="宋体" w:hAnsi="宋体" w:cs="宋体"/>
          <w:color w:val="auto"/>
          <w:highlight w:val="none"/>
          <w:lang w:eastAsia="zh-CN"/>
        </w:rPr>
        <w:t>等材料</w:t>
      </w:r>
      <w:r>
        <w:rPr>
          <w:rFonts w:hint="eastAsia" w:ascii="宋体" w:hAnsi="宋体" w:cs="宋体"/>
          <w:color w:val="auto"/>
          <w:highlight w:val="none"/>
        </w:rPr>
        <w:t>。</w:t>
      </w:r>
    </w:p>
    <w:p>
      <w:pPr>
        <w:spacing w:line="360" w:lineRule="auto"/>
        <w:jc w:val="center"/>
        <w:rPr>
          <w:b/>
          <w:color w:val="auto"/>
          <w:sz w:val="32"/>
          <w:highlight w:val="none"/>
        </w:rPr>
      </w:pPr>
      <w:r>
        <w:rPr>
          <w:rFonts w:ascii="宋体" w:cs="宋体"/>
          <w:color w:val="auto"/>
          <w:highlight w:val="none"/>
        </w:rPr>
        <w:br w:type="page"/>
      </w:r>
      <w:r>
        <w:rPr>
          <w:rFonts w:hint="eastAsia"/>
          <w:b/>
          <w:color w:val="auto"/>
          <w:w w:val="95"/>
          <w:sz w:val="32"/>
          <w:highlight w:val="none"/>
        </w:rPr>
        <w:t>（二）资格审查资料</w:t>
      </w:r>
    </w:p>
    <w:p>
      <w:pPr>
        <w:rPr>
          <w:rFonts w:hint="eastAsia" w:ascii="宋体" w:hAnsi="宋体" w:eastAsia="宋体" w:cs="宋体"/>
          <w:b/>
          <w:bCs/>
          <w:color w:val="auto"/>
          <w:sz w:val="28"/>
          <w:szCs w:val="28"/>
          <w:highlight w:val="none"/>
          <w:shd w:val="clear" w:color="FFFFFF" w:fill="auto"/>
          <w:lang w:eastAsia="zh-CN"/>
        </w:rPr>
      </w:pPr>
      <w:bookmarkStart w:id="530" w:name="（二）供应商基本情况表"/>
      <w:bookmarkEnd w:id="530"/>
      <w:r>
        <w:rPr>
          <w:rFonts w:hint="eastAsia" w:ascii="宋体" w:hAnsi="宋体" w:eastAsia="宋体" w:cs="宋体"/>
          <w:b/>
          <w:bCs/>
          <w:color w:val="auto"/>
          <w:sz w:val="28"/>
          <w:szCs w:val="28"/>
          <w:highlight w:val="none"/>
          <w:shd w:val="clear" w:color="FFFFFF" w:fill="auto"/>
          <w:lang w:eastAsia="zh-CN"/>
        </w:rPr>
        <w:br w:type="page"/>
      </w:r>
    </w:p>
    <w:p>
      <w:pPr>
        <w:spacing w:line="360" w:lineRule="auto"/>
        <w:ind w:right="598" w:rightChars="285"/>
        <w:jc w:val="left"/>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28"/>
          <w:szCs w:val="28"/>
          <w:highlight w:val="none"/>
          <w:shd w:val="clear" w:color="FFFFFF" w:fill="auto"/>
          <w:lang w:eastAsia="zh-CN"/>
        </w:rPr>
        <w:t>附件</w:t>
      </w:r>
      <w:r>
        <w:rPr>
          <w:rFonts w:hint="eastAsia" w:ascii="宋体" w:hAnsi="宋体" w:cs="宋体"/>
          <w:b/>
          <w:bCs/>
          <w:color w:val="auto"/>
          <w:sz w:val="28"/>
          <w:szCs w:val="28"/>
          <w:highlight w:val="none"/>
          <w:shd w:val="clear" w:color="FFFFFF" w:fill="auto"/>
          <w:lang w:val="en-US" w:eastAsia="zh-CN"/>
        </w:rPr>
        <w:t>1</w:t>
      </w:r>
      <w:r>
        <w:rPr>
          <w:rFonts w:hint="eastAsia" w:ascii="宋体" w:hAnsi="宋体" w:eastAsia="宋体" w:cs="宋体"/>
          <w:b/>
          <w:bCs/>
          <w:color w:val="auto"/>
          <w:sz w:val="28"/>
          <w:szCs w:val="28"/>
          <w:highlight w:val="none"/>
          <w:shd w:val="clear" w:color="FFFFFF" w:fill="auto"/>
          <w:lang w:eastAsia="zh-CN"/>
        </w:rPr>
        <w:t>：</w:t>
      </w:r>
    </w:p>
    <w:p>
      <w:pPr>
        <w:spacing w:line="360" w:lineRule="auto"/>
        <w:ind w:right="598" w:rightChars="285"/>
        <w:jc w:val="center"/>
        <w:rPr>
          <w:rFonts w:hint="eastAsia"/>
          <w:b/>
          <w:bCs/>
          <w:color w:val="auto"/>
          <w:sz w:val="24"/>
          <w:szCs w:val="24"/>
          <w:highlight w:val="none"/>
          <w:lang w:eastAsia="zh-CN"/>
        </w:rPr>
      </w:pPr>
      <w:r>
        <w:rPr>
          <w:rFonts w:hint="eastAsia"/>
          <w:b/>
          <w:bCs/>
          <w:color w:val="auto"/>
          <w:sz w:val="28"/>
          <w:szCs w:val="28"/>
          <w:highlight w:val="none"/>
          <w:lang w:eastAsia="zh-CN"/>
        </w:rPr>
        <w:t>承诺函（固定格式）</w:t>
      </w:r>
    </w:p>
    <w:p>
      <w:pPr>
        <w:spacing w:line="360" w:lineRule="auto"/>
        <w:ind w:right="598" w:rightChars="285"/>
        <w:rPr>
          <w:b/>
          <w:bCs/>
          <w:color w:val="auto"/>
          <w:sz w:val="24"/>
          <w:szCs w:val="24"/>
          <w:highlight w:val="none"/>
          <w:lang w:eastAsia="zh-CN"/>
        </w:rPr>
      </w:pPr>
      <w:r>
        <w:rPr>
          <w:rFonts w:hint="eastAsia"/>
          <w:b/>
          <w:bCs/>
          <w:color w:val="auto"/>
          <w:sz w:val="24"/>
          <w:szCs w:val="24"/>
          <w:highlight w:val="none"/>
          <w:lang w:eastAsia="zh-CN"/>
        </w:rPr>
        <w:t>致：</w:t>
      </w:r>
      <w:r>
        <w:rPr>
          <w:rFonts w:hint="eastAsia"/>
          <w:b/>
          <w:bCs/>
          <w:color w:val="auto"/>
          <w:sz w:val="24"/>
          <w:szCs w:val="24"/>
          <w:highlight w:val="none"/>
          <w:u w:val="single"/>
          <w:lang w:eastAsia="zh-CN"/>
        </w:rPr>
        <w:t>平顶山市消防救援支队</w:t>
      </w:r>
    </w:p>
    <w:p>
      <w:pPr>
        <w:spacing w:line="360" w:lineRule="auto"/>
        <w:ind w:firstLine="560"/>
        <w:jc w:val="both"/>
        <w:rPr>
          <w:rFonts w:hint="eastAsia" w:ascii="宋体" w:hAnsi="宋体" w:eastAsia="宋体"/>
          <w:color w:val="000000"/>
          <w:sz w:val="24"/>
          <w:szCs w:val="24"/>
          <w:highlight w:val="none"/>
        </w:rPr>
      </w:pPr>
    </w:p>
    <w:p>
      <w:pPr>
        <w:spacing w:line="360" w:lineRule="auto"/>
        <w:ind w:firstLine="560"/>
        <w:jc w:val="both"/>
        <w:rPr>
          <w:sz w:val="24"/>
          <w:szCs w:val="24"/>
          <w:highlight w:val="none"/>
        </w:rPr>
      </w:pPr>
      <w:r>
        <w:rPr>
          <w:rFonts w:hint="eastAsia" w:ascii="宋体" w:hAnsi="宋体" w:eastAsia="宋体"/>
          <w:color w:val="000000"/>
          <w:sz w:val="24"/>
          <w:szCs w:val="24"/>
          <w:highlight w:val="none"/>
        </w:rPr>
        <w:t>我公司</w:t>
      </w:r>
      <w:r>
        <w:rPr>
          <w:rFonts w:hint="eastAsia" w:ascii="宋体" w:hAnsi="宋体" w:eastAsia="宋体"/>
          <w:color w:val="000000"/>
          <w:sz w:val="24"/>
          <w:szCs w:val="24"/>
          <w:highlight w:val="none"/>
          <w:u w:val="single"/>
        </w:rPr>
        <w:t>（投标人名称）</w:t>
      </w:r>
      <w:r>
        <w:rPr>
          <w:rFonts w:hint="eastAsia" w:ascii="宋体" w:hAnsi="宋体" w:eastAsia="宋体"/>
          <w:color w:val="000000"/>
          <w:sz w:val="24"/>
          <w:szCs w:val="24"/>
          <w:highlight w:val="none"/>
        </w:rPr>
        <w:t>参加（</w:t>
      </w:r>
      <w:r>
        <w:rPr>
          <w:rFonts w:hint="eastAsia" w:ascii="宋体" w:hAnsi="宋体" w:eastAsia="宋体"/>
          <w:color w:val="000000"/>
          <w:sz w:val="24"/>
          <w:szCs w:val="24"/>
          <w:highlight w:val="none"/>
          <w:u w:val="single"/>
        </w:rPr>
        <w:t>项目名称、项目编号、</w:t>
      </w:r>
      <w:r>
        <w:rPr>
          <w:rFonts w:hint="eastAsia" w:ascii="宋体" w:hAnsi="宋体"/>
          <w:color w:val="000000"/>
          <w:sz w:val="24"/>
          <w:szCs w:val="24"/>
          <w:highlight w:val="none"/>
          <w:u w:val="single"/>
          <w:lang w:val="en-US" w:eastAsia="zh-CN"/>
        </w:rPr>
        <w:t xml:space="preserve"> </w:t>
      </w:r>
      <w:r>
        <w:rPr>
          <w:rFonts w:hint="eastAsia" w:ascii="宋体" w:hAnsi="宋体" w:eastAsia="宋体"/>
          <w:color w:val="000000"/>
          <w:sz w:val="24"/>
          <w:szCs w:val="24"/>
          <w:highlight w:val="none"/>
          <w:u w:val="single"/>
        </w:rPr>
        <w:t>包</w:t>
      </w:r>
      <w:r>
        <w:rPr>
          <w:rFonts w:hint="eastAsia" w:ascii="宋体" w:hAnsi="宋体"/>
          <w:color w:val="000000"/>
          <w:sz w:val="24"/>
          <w:szCs w:val="24"/>
          <w:highlight w:val="none"/>
          <w:u w:val="single"/>
          <w:lang w:val="en-US" w:eastAsia="zh-CN"/>
        </w:rPr>
        <w:t xml:space="preserve">   </w:t>
      </w:r>
      <w:r>
        <w:rPr>
          <w:rFonts w:hint="eastAsia" w:ascii="宋体" w:hAnsi="宋体" w:eastAsia="宋体"/>
          <w:color w:val="000000"/>
          <w:sz w:val="24"/>
          <w:szCs w:val="24"/>
          <w:highlight w:val="none"/>
        </w:rPr>
        <w:t>）采购活动，现郑重承诺：</w:t>
      </w:r>
    </w:p>
    <w:p>
      <w:pPr>
        <w:spacing w:line="360" w:lineRule="auto"/>
        <w:ind w:firstLine="560"/>
        <w:jc w:val="both"/>
        <w:rPr>
          <w:sz w:val="24"/>
          <w:szCs w:val="24"/>
          <w:highlight w:val="none"/>
        </w:rPr>
      </w:pPr>
      <w:r>
        <w:rPr>
          <w:rFonts w:hint="eastAsia" w:ascii="Calibri" w:hAnsi="Calibri" w:eastAsia="Calibri"/>
          <w:color w:val="000000"/>
          <w:sz w:val="24"/>
          <w:szCs w:val="24"/>
          <w:highlight w:val="none"/>
        </w:rPr>
        <w:t>1</w:t>
      </w:r>
      <w:r>
        <w:rPr>
          <w:rFonts w:hint="eastAsia" w:ascii="宋体" w:hAnsi="宋体" w:eastAsia="宋体"/>
          <w:color w:val="000000"/>
          <w:sz w:val="24"/>
          <w:szCs w:val="24"/>
          <w:highlight w:val="none"/>
        </w:rPr>
        <w:t>．所投车辆交车时（整车）是已取得中华人民共和国工业和信息化部发布的对应车型《道路机动车辆生产企业及产品公告》的合格产品（须提供工信部官方查询平台查询截图和网址链接）。</w:t>
      </w:r>
    </w:p>
    <w:p>
      <w:pPr>
        <w:spacing w:line="360" w:lineRule="auto"/>
        <w:ind w:firstLine="560"/>
        <w:jc w:val="both"/>
        <w:rPr>
          <w:sz w:val="24"/>
          <w:szCs w:val="24"/>
          <w:highlight w:val="none"/>
        </w:rPr>
      </w:pPr>
      <w:r>
        <w:rPr>
          <w:rFonts w:hint="eastAsia" w:ascii="Calibri" w:hAnsi="Calibri" w:eastAsia="Calibri"/>
          <w:color w:val="000000"/>
          <w:sz w:val="24"/>
          <w:szCs w:val="24"/>
          <w:highlight w:val="none"/>
        </w:rPr>
        <w:t>2</w:t>
      </w:r>
      <w:r>
        <w:rPr>
          <w:rFonts w:hint="eastAsia" w:ascii="宋体" w:hAnsi="宋体" w:eastAsia="宋体"/>
          <w:color w:val="000000"/>
          <w:sz w:val="24"/>
          <w:szCs w:val="24"/>
          <w:highlight w:val="none"/>
        </w:rPr>
        <w:t>．我公司为所投车辆的生产企业。</w:t>
      </w:r>
    </w:p>
    <w:p>
      <w:pPr>
        <w:spacing w:line="360" w:lineRule="auto"/>
        <w:ind w:firstLine="560"/>
        <w:jc w:val="both"/>
        <w:rPr>
          <w:sz w:val="24"/>
          <w:szCs w:val="24"/>
          <w:highlight w:val="none"/>
        </w:rPr>
      </w:pPr>
      <w:r>
        <w:rPr>
          <w:rFonts w:hint="eastAsia" w:ascii="Calibri" w:hAnsi="Calibri" w:eastAsia="宋体"/>
          <w:color w:val="000000"/>
          <w:sz w:val="24"/>
          <w:szCs w:val="24"/>
          <w:highlight w:val="none"/>
          <w:lang w:val="en-US" w:eastAsia="zh-CN"/>
        </w:rPr>
        <w:t>3</w:t>
      </w:r>
      <w:r>
        <w:rPr>
          <w:rFonts w:hint="eastAsia" w:ascii="宋体" w:hAnsi="宋体" w:eastAsia="宋体"/>
          <w:color w:val="000000"/>
          <w:sz w:val="24"/>
          <w:szCs w:val="24"/>
          <w:highlight w:val="none"/>
        </w:rPr>
        <w:t>．所投车辆（整车）交车验收时需取得办理车辆产权（含上牌）所必需的一切其他手续资料、应符合现行国家专用汽车的相关要求。若不能按要求时限提供上述手续，采购人有权按照投标人</w:t>
      </w:r>
      <w:r>
        <w:rPr>
          <w:rFonts w:hint="eastAsia" w:ascii="宋体" w:hAnsi="宋体" w:eastAsia="宋体"/>
          <w:color w:val="000000"/>
          <w:sz w:val="24"/>
          <w:szCs w:val="24"/>
          <w:highlight w:val="none"/>
          <w:lang w:eastAsia="zh-CN"/>
        </w:rPr>
        <w:t>虚</w:t>
      </w:r>
      <w:r>
        <w:rPr>
          <w:rFonts w:hint="eastAsia" w:ascii="宋体" w:hAnsi="宋体" w:eastAsia="宋体"/>
          <w:color w:val="000000"/>
          <w:sz w:val="24"/>
          <w:szCs w:val="24"/>
          <w:highlight w:val="none"/>
        </w:rPr>
        <w:t>假投标处理，解除合同、扣除</w:t>
      </w:r>
      <w:r>
        <w:rPr>
          <w:rFonts w:hint="eastAsia" w:ascii="宋体" w:hAnsi="宋体" w:eastAsia="宋体"/>
          <w:color w:val="000000"/>
          <w:sz w:val="24"/>
          <w:szCs w:val="24"/>
          <w:highlight w:val="none"/>
          <w:lang w:eastAsia="zh-CN"/>
        </w:rPr>
        <w:t>履</w:t>
      </w:r>
      <w:r>
        <w:rPr>
          <w:rFonts w:hint="eastAsia" w:ascii="宋体" w:hAnsi="宋体" w:eastAsia="宋体"/>
          <w:color w:val="000000"/>
          <w:sz w:val="24"/>
          <w:szCs w:val="24"/>
          <w:highlight w:val="none"/>
        </w:rPr>
        <w:t>约保证金，拉入企业黑名单，并向上级部门上报相关情况。</w:t>
      </w:r>
    </w:p>
    <w:p>
      <w:pPr>
        <w:spacing w:line="360" w:lineRule="auto"/>
        <w:ind w:firstLine="560"/>
        <w:jc w:val="both"/>
        <w:rPr>
          <w:sz w:val="24"/>
          <w:szCs w:val="24"/>
          <w:highlight w:val="none"/>
        </w:rPr>
      </w:pPr>
      <w:r>
        <w:rPr>
          <w:rFonts w:hint="eastAsia" w:ascii="Calibri" w:hAnsi="Calibri" w:eastAsia="Calibri"/>
          <w:color w:val="000000"/>
          <w:sz w:val="24"/>
          <w:szCs w:val="24"/>
          <w:highlight w:val="none"/>
        </w:rPr>
        <w:t>4</w:t>
      </w:r>
      <w:r>
        <w:rPr>
          <w:rFonts w:hint="eastAsia" w:ascii="宋体" w:hAnsi="宋体" w:eastAsia="宋体"/>
          <w:color w:val="000000"/>
          <w:sz w:val="24"/>
          <w:szCs w:val="24"/>
          <w:highlight w:val="none"/>
        </w:rPr>
        <w:t>．限公司所提供的所有技术及商务证明材料真实有效，若提供虚假文件将愿意接受任何法律的制裁。</w:t>
      </w:r>
    </w:p>
    <w:p>
      <w:pPr>
        <w:spacing w:line="360" w:lineRule="auto"/>
        <w:ind w:firstLine="0"/>
        <w:jc w:val="both"/>
        <w:rPr>
          <w:sz w:val="24"/>
          <w:szCs w:val="24"/>
          <w:highlight w:val="none"/>
        </w:rPr>
      </w:pPr>
    </w:p>
    <w:p>
      <w:pPr>
        <w:spacing w:line="360" w:lineRule="auto"/>
        <w:ind w:firstLine="560"/>
        <w:jc w:val="both"/>
        <w:rPr>
          <w:sz w:val="24"/>
          <w:szCs w:val="24"/>
          <w:highlight w:val="none"/>
        </w:rPr>
      </w:pPr>
      <w:r>
        <w:rPr>
          <w:rFonts w:hint="eastAsia" w:ascii="宋体" w:hAnsi="宋体" w:eastAsia="宋体"/>
          <w:color w:val="000000"/>
          <w:sz w:val="24"/>
          <w:szCs w:val="24"/>
          <w:highlight w:val="none"/>
          <w:lang w:eastAsia="zh-CN"/>
        </w:rPr>
        <w:t>特</w:t>
      </w:r>
      <w:r>
        <w:rPr>
          <w:rFonts w:hint="eastAsia" w:ascii="宋体" w:hAnsi="宋体" w:eastAsia="宋体"/>
          <w:color w:val="000000"/>
          <w:sz w:val="24"/>
          <w:szCs w:val="24"/>
          <w:highlight w:val="none"/>
        </w:rPr>
        <w:t>此承诺</w:t>
      </w:r>
    </w:p>
    <w:p>
      <w:pPr>
        <w:spacing w:line="360" w:lineRule="auto"/>
        <w:ind w:firstLine="0"/>
        <w:jc w:val="both"/>
        <w:rPr>
          <w:sz w:val="24"/>
          <w:szCs w:val="24"/>
          <w:highlight w:val="none"/>
        </w:rPr>
      </w:pPr>
    </w:p>
    <w:p>
      <w:pPr>
        <w:spacing w:line="360" w:lineRule="auto"/>
        <w:ind w:firstLine="0"/>
        <w:jc w:val="both"/>
        <w:rPr>
          <w:sz w:val="24"/>
          <w:szCs w:val="24"/>
          <w:highlight w:val="none"/>
        </w:rPr>
      </w:pPr>
    </w:p>
    <w:p>
      <w:pPr>
        <w:spacing w:line="360" w:lineRule="auto"/>
        <w:ind w:firstLine="0"/>
        <w:jc w:val="both"/>
        <w:rPr>
          <w:sz w:val="24"/>
          <w:szCs w:val="24"/>
          <w:highlight w:val="none"/>
        </w:rPr>
      </w:pPr>
    </w:p>
    <w:p>
      <w:pPr>
        <w:spacing w:line="360" w:lineRule="auto"/>
        <w:ind w:firstLine="2720"/>
        <w:jc w:val="both"/>
        <w:rPr>
          <w:sz w:val="24"/>
          <w:szCs w:val="24"/>
          <w:highlight w:val="none"/>
        </w:rPr>
      </w:pPr>
      <w:r>
        <w:rPr>
          <w:rFonts w:hint="eastAsia" w:ascii="宋体" w:hAnsi="宋体" w:eastAsia="宋体"/>
          <w:color w:val="000000"/>
          <w:sz w:val="24"/>
          <w:szCs w:val="24"/>
          <w:highlight w:val="none"/>
        </w:rPr>
        <w:t xml:space="preserve"> </w:t>
      </w:r>
      <w:r>
        <w:rPr>
          <w:rFonts w:hint="eastAsia" w:ascii="宋体" w:hAnsi="宋体" w:eastAsia="宋体"/>
          <w:color w:val="000000"/>
          <w:sz w:val="24"/>
          <w:szCs w:val="24"/>
          <w:highlight w:val="none"/>
          <w:lang w:eastAsia="zh-CN"/>
        </w:rPr>
        <w:t>投</w:t>
      </w:r>
      <w:r>
        <w:rPr>
          <w:rFonts w:hint="eastAsia" w:ascii="宋体" w:hAnsi="宋体" w:eastAsia="宋体"/>
          <w:color w:val="000000"/>
          <w:sz w:val="24"/>
          <w:szCs w:val="24"/>
          <w:highlight w:val="none"/>
        </w:rPr>
        <w:t>标人：</w:t>
      </w:r>
      <w:r>
        <w:rPr>
          <w:rFonts w:hint="eastAsia"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（电子签章）</w:t>
      </w:r>
    </w:p>
    <w:p>
      <w:pPr>
        <w:spacing w:line="360" w:lineRule="auto"/>
        <w:ind w:firstLine="2720"/>
        <w:jc w:val="both"/>
        <w:rPr>
          <w:sz w:val="24"/>
          <w:szCs w:val="24"/>
          <w:highlight w:val="none"/>
        </w:rPr>
      </w:pPr>
      <w:r>
        <w:rPr>
          <w:rFonts w:hint="eastAsia" w:ascii="宋体" w:hAnsi="宋体" w:eastAsia="宋体"/>
          <w:color w:val="000000"/>
          <w:sz w:val="24"/>
          <w:szCs w:val="24"/>
          <w:highlight w:val="none"/>
        </w:rPr>
        <w:t>法定代表人或委托代理人：</w:t>
      </w:r>
      <w:r>
        <w:rPr>
          <w:rFonts w:hint="eastAsia"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（电子签章或签字）</w:t>
      </w:r>
    </w:p>
    <w:p>
      <w:pPr>
        <w:spacing w:line="360" w:lineRule="auto"/>
        <w:ind w:firstLine="0"/>
        <w:jc w:val="right"/>
        <w:rPr>
          <w:sz w:val="24"/>
          <w:szCs w:val="24"/>
          <w:highlight w:val="none"/>
        </w:rPr>
      </w:pPr>
      <w:r>
        <w:rPr>
          <w:rFonts w:hint="eastAsia" w:ascii="宋体" w:hAnsi="宋体" w:eastAsia="宋体"/>
          <w:color w:val="000000"/>
          <w:sz w:val="24"/>
          <w:szCs w:val="24"/>
          <w:highlight w:val="none"/>
        </w:rPr>
        <w:t>日 期： 年 月 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p>
    <w:p>
      <w:pPr>
        <w:pStyle w:val="21"/>
        <w:rPr>
          <w:color w:val="auto"/>
          <w:highlight w:val="none"/>
        </w:rPr>
      </w:pPr>
    </w:p>
    <w:p>
      <w:pPr>
        <w:spacing w:before="54" w:line="360" w:lineRule="auto"/>
        <w:ind w:left="6"/>
        <w:jc w:val="center"/>
        <w:outlineLvl w:val="1"/>
        <w:rPr>
          <w:rFonts w:ascii="宋体" w:cs="宋体"/>
          <w:b/>
          <w:bCs/>
          <w:color w:val="auto"/>
          <w:kern w:val="0"/>
          <w:sz w:val="32"/>
          <w:szCs w:val="32"/>
          <w:highlight w:val="none"/>
        </w:rPr>
      </w:pPr>
      <w:r>
        <w:rPr>
          <w:b/>
          <w:color w:val="auto"/>
          <w:w w:val="95"/>
          <w:sz w:val="32"/>
          <w:highlight w:val="none"/>
        </w:rPr>
        <w:br w:type="page"/>
      </w:r>
      <w:bookmarkStart w:id="531" w:name="_Toc16445"/>
      <w:bookmarkStart w:id="532" w:name="_Toc13247"/>
      <w:bookmarkStart w:id="533" w:name="_Toc29503"/>
      <w:bookmarkStart w:id="534" w:name="_Toc9291"/>
      <w:bookmarkStart w:id="535" w:name="_Toc1425"/>
      <w:bookmarkStart w:id="536" w:name="_Toc24610"/>
      <w:bookmarkStart w:id="537" w:name="_Toc30714"/>
      <w:bookmarkStart w:id="538" w:name="_Toc17484"/>
      <w:r>
        <w:rPr>
          <w:rFonts w:hint="eastAsia"/>
          <w:b/>
          <w:color w:val="auto"/>
          <w:sz w:val="32"/>
          <w:highlight w:val="none"/>
        </w:rPr>
        <w:t>十一、</w:t>
      </w:r>
      <w:bookmarkEnd w:id="531"/>
      <w:bookmarkEnd w:id="532"/>
      <w:bookmarkEnd w:id="533"/>
      <w:r>
        <w:rPr>
          <w:rFonts w:hint="eastAsia"/>
          <w:b/>
          <w:color w:val="auto"/>
          <w:sz w:val="32"/>
          <w:highlight w:val="none"/>
        </w:rPr>
        <w:t>其他资料</w:t>
      </w:r>
      <w:bookmarkEnd w:id="534"/>
      <w:bookmarkEnd w:id="535"/>
      <w:bookmarkEnd w:id="536"/>
      <w:bookmarkEnd w:id="537"/>
      <w:bookmarkEnd w:id="538"/>
    </w:p>
    <w:p>
      <w:pPr>
        <w:pStyle w:val="4"/>
        <w:jc w:val="center"/>
        <w:rPr>
          <w:color w:val="auto"/>
          <w:highlight w:val="none"/>
        </w:rPr>
      </w:pPr>
      <w:bookmarkStart w:id="539" w:name="_Toc31476"/>
      <w:bookmarkStart w:id="540" w:name="_Toc4468"/>
      <w:bookmarkStart w:id="541" w:name="_Toc14926"/>
      <w:bookmarkStart w:id="542" w:name="_Toc20383"/>
      <w:r>
        <w:rPr>
          <w:rFonts w:hint="eastAsia"/>
          <w:color w:val="auto"/>
          <w:highlight w:val="none"/>
        </w:rPr>
        <w:t>（一）</w:t>
      </w:r>
      <w:r>
        <w:rPr>
          <w:rFonts w:hint="eastAsia"/>
          <w:color w:val="auto"/>
          <w:highlight w:val="none"/>
          <w:lang w:eastAsia="zh-CN"/>
        </w:rPr>
        <w:t>投标人</w:t>
      </w:r>
      <w:r>
        <w:rPr>
          <w:rFonts w:hint="eastAsia"/>
          <w:color w:val="auto"/>
          <w:highlight w:val="none"/>
        </w:rPr>
        <w:t>诚信承诺书</w:t>
      </w:r>
      <w:bookmarkEnd w:id="539"/>
      <w:bookmarkEnd w:id="540"/>
      <w:bookmarkEnd w:id="541"/>
      <w:bookmarkEnd w:id="542"/>
    </w:p>
    <w:p>
      <w:pPr>
        <w:spacing w:line="360" w:lineRule="auto"/>
        <w:jc w:val="center"/>
        <w:rPr>
          <w:rFonts w:ascii="宋体" w:cs="宋体"/>
          <w:color w:val="auto"/>
          <w:sz w:val="32"/>
          <w:szCs w:val="32"/>
          <w:highlight w:val="none"/>
        </w:rPr>
      </w:pPr>
    </w:p>
    <w:p>
      <w:pPr>
        <w:spacing w:line="360" w:lineRule="auto"/>
        <w:jc w:val="left"/>
        <w:rPr>
          <w:rFonts w:hint="eastAsia" w:ascii="宋体" w:eastAsia="宋体" w:cs="宋体"/>
          <w:color w:val="auto"/>
          <w:sz w:val="24"/>
          <w:highlight w:val="none"/>
          <w:lang w:eastAsia="zh-CN"/>
        </w:rPr>
      </w:pPr>
      <w:r>
        <w:rPr>
          <w:rFonts w:hint="eastAsia" w:ascii="宋体" w:hAnsi="宋体" w:cs="宋体"/>
          <w:color w:val="auto"/>
          <w:sz w:val="24"/>
          <w:highlight w:val="none"/>
        </w:rPr>
        <w:t>致：</w:t>
      </w:r>
      <w:r>
        <w:rPr>
          <w:rFonts w:hint="eastAsia" w:ascii="宋体" w:hAnsi="宋体" w:cs="宋体"/>
          <w:color w:val="auto"/>
          <w:sz w:val="24"/>
          <w:highlight w:val="none"/>
          <w:u w:val="single"/>
          <w:lang w:eastAsia="zh-CN"/>
        </w:rPr>
        <w:t>平顶山市消防救援支队</w:t>
      </w:r>
    </w:p>
    <w:p>
      <w:pPr>
        <w:spacing w:line="360" w:lineRule="auto"/>
        <w:ind w:firstLine="480" w:firstLineChars="200"/>
        <w:jc w:val="left"/>
        <w:rPr>
          <w:rFonts w:ascii="宋体" w:cs="宋体"/>
          <w:color w:val="auto"/>
          <w:sz w:val="24"/>
          <w:highlight w:val="none"/>
        </w:rPr>
      </w:pPr>
      <w:r>
        <w:rPr>
          <w:rFonts w:hint="eastAsia" w:ascii="宋体" w:hAnsi="宋体" w:cs="宋体"/>
          <w:color w:val="auto"/>
          <w:sz w:val="24"/>
          <w:highlight w:val="none"/>
        </w:rPr>
        <w:t>我公司郑重声明：</w:t>
      </w:r>
    </w:p>
    <w:p>
      <w:pPr>
        <w:snapToGrid w:val="0"/>
        <w:spacing w:line="360" w:lineRule="auto"/>
        <w:ind w:right="62" w:firstLine="473"/>
        <w:jc w:val="left"/>
        <w:rPr>
          <w:rFonts w:ascii="宋体" w:cs="宋体"/>
          <w:color w:val="auto"/>
          <w:sz w:val="24"/>
          <w:highlight w:val="none"/>
        </w:rPr>
      </w:pPr>
      <w:r>
        <w:rPr>
          <w:rFonts w:ascii="宋体" w:hAnsi="宋体" w:cs="宋体"/>
          <w:bCs/>
          <w:color w:val="auto"/>
          <w:sz w:val="24"/>
          <w:highlight w:val="none"/>
        </w:rPr>
        <w:t>1.</w:t>
      </w:r>
      <w:r>
        <w:rPr>
          <w:rFonts w:hint="eastAsia" w:ascii="宋体" w:hAnsi="宋体" w:cs="宋体"/>
          <w:bCs/>
          <w:color w:val="auto"/>
          <w:sz w:val="24"/>
          <w:highlight w:val="none"/>
        </w:rPr>
        <w:t>我公司保证在</w:t>
      </w:r>
      <w:r>
        <w:rPr>
          <w:rFonts w:hint="eastAsia" w:ascii="宋体" w:hAnsi="宋体" w:cs="宋体"/>
          <w:color w:val="auto"/>
          <w:sz w:val="24"/>
          <w:highlight w:val="none"/>
        </w:rPr>
        <w:t>本次</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（采购人名称、项目名称、项目编号、</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包</w:t>
      </w:r>
      <w:r>
        <w:rPr>
          <w:rFonts w:hint="eastAsia" w:ascii="宋体" w:hAnsi="宋体" w:cs="宋体"/>
          <w:color w:val="auto"/>
          <w:sz w:val="24"/>
          <w:highlight w:val="none"/>
          <w:u w:val="single"/>
          <w:lang w:val="en-US" w:eastAsia="zh-CN"/>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w:t>
      </w:r>
      <w:r>
        <w:rPr>
          <w:rFonts w:ascii="宋体" w:hAnsi="宋体" w:cs="宋体"/>
          <w:color w:val="auto"/>
          <w:sz w:val="24"/>
          <w:highlight w:val="none"/>
          <w:u w:val="single"/>
        </w:rPr>
        <w:t xml:space="preserve"> </w:t>
      </w:r>
      <w:r>
        <w:rPr>
          <w:rFonts w:hint="eastAsia" w:ascii="宋体" w:hAnsi="宋体" w:cs="宋体"/>
          <w:color w:val="auto"/>
          <w:sz w:val="24"/>
          <w:highlight w:val="none"/>
        </w:rPr>
        <w:t>投标过程中</w:t>
      </w:r>
      <w:r>
        <w:rPr>
          <w:rFonts w:hint="eastAsia" w:ascii="宋体" w:hAnsi="宋体" w:cs="宋体"/>
          <w:bCs/>
          <w:color w:val="auto"/>
          <w:sz w:val="24"/>
          <w:highlight w:val="none"/>
        </w:rPr>
        <w:t>，完全按照本</w:t>
      </w:r>
      <w:r>
        <w:rPr>
          <w:rFonts w:hint="eastAsia" w:ascii="宋体" w:hAnsi="宋体" w:cs="宋体"/>
          <w:color w:val="auto"/>
          <w:sz w:val="24"/>
          <w:highlight w:val="none"/>
          <w:u w:val="single" w:color="FFFFFF"/>
        </w:rPr>
        <w:t>招标</w:t>
      </w:r>
      <w:r>
        <w:rPr>
          <w:rFonts w:hint="eastAsia" w:ascii="宋体" w:hAnsi="宋体" w:cs="宋体"/>
          <w:bCs/>
          <w:color w:val="auto"/>
          <w:sz w:val="24"/>
          <w:highlight w:val="none"/>
        </w:rPr>
        <w:t>文件要求，在投标中提供的货物均应为完整全新的，功能符合该本项目的要求，货物必须符合国家有关标准，保证均为正版，并承诺保证采购人在使用我方销售的货物时不承担涉及任何专利权、商标权、著作权或其他知识产权的法律责任，否则，由此引起的全部法律责任由我公司承担。</w:t>
      </w:r>
    </w:p>
    <w:p>
      <w:pPr>
        <w:spacing w:line="360" w:lineRule="auto"/>
        <w:ind w:firstLine="480" w:firstLineChars="200"/>
        <w:jc w:val="left"/>
        <w:rPr>
          <w:rFonts w:asci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我公司在本次</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（采购人名称、项目名称、项目编号、</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包</w:t>
      </w:r>
      <w:r>
        <w:rPr>
          <w:rFonts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w:t>
      </w:r>
      <w:r>
        <w:rPr>
          <w:rFonts w:ascii="宋体" w:hAnsi="宋体" w:cs="宋体"/>
          <w:color w:val="auto"/>
          <w:sz w:val="24"/>
          <w:highlight w:val="none"/>
          <w:u w:val="single"/>
        </w:rPr>
        <w:t xml:space="preserve"> </w:t>
      </w:r>
      <w:r>
        <w:rPr>
          <w:rFonts w:hint="eastAsia" w:ascii="宋体" w:hAnsi="宋体" w:cs="宋体"/>
          <w:color w:val="auto"/>
          <w:sz w:val="24"/>
          <w:highlight w:val="none"/>
        </w:rPr>
        <w:t>投标过程中，提供的所有文件材料，均是真实的。一旦发现有虚假材料，我公司承诺，取消中标资格，</w:t>
      </w:r>
      <w:r>
        <w:rPr>
          <w:rFonts w:ascii="宋体" w:hAnsi="宋体" w:cs="宋体"/>
          <w:color w:val="auto"/>
          <w:sz w:val="24"/>
          <w:highlight w:val="none"/>
        </w:rPr>
        <w:t>3</w:t>
      </w:r>
      <w:r>
        <w:rPr>
          <w:rFonts w:hint="eastAsia" w:ascii="宋体" w:hAnsi="宋体" w:cs="宋体"/>
          <w:color w:val="auto"/>
          <w:sz w:val="24"/>
          <w:highlight w:val="none"/>
        </w:rPr>
        <w:t>年之内不再参与</w:t>
      </w:r>
      <w:r>
        <w:rPr>
          <w:rFonts w:hint="eastAsia" w:ascii="宋体" w:hAnsi="宋体" w:cs="宋体"/>
          <w:color w:val="auto"/>
          <w:sz w:val="24"/>
          <w:highlight w:val="none"/>
          <w:lang w:eastAsia="zh-CN"/>
        </w:rPr>
        <w:t>平顶山市消防救援支队</w:t>
      </w:r>
      <w:r>
        <w:rPr>
          <w:rFonts w:hint="eastAsia" w:ascii="宋体" w:hAnsi="宋体" w:cs="宋体"/>
          <w:color w:val="auto"/>
          <w:sz w:val="24"/>
          <w:highlight w:val="none"/>
        </w:rPr>
        <w:t>组织的一切采购活动，并接受相关部门的处罚。</w:t>
      </w:r>
    </w:p>
    <w:p>
      <w:pPr>
        <w:spacing w:line="360" w:lineRule="auto"/>
        <w:ind w:firstLine="480" w:firstLineChars="200"/>
        <w:jc w:val="left"/>
        <w:rPr>
          <w:rFonts w:ascii="宋体" w:cs="宋体"/>
          <w:color w:val="auto"/>
          <w:sz w:val="24"/>
          <w:highlight w:val="none"/>
        </w:rPr>
      </w:pPr>
      <w:r>
        <w:rPr>
          <w:rFonts w:ascii="宋体" w:hAnsi="宋体" w:cs="宋体"/>
          <w:color w:val="auto"/>
          <w:sz w:val="24"/>
          <w:highlight w:val="none"/>
        </w:rPr>
        <w:t>3.</w:t>
      </w:r>
      <w:r>
        <w:rPr>
          <w:rFonts w:hint="eastAsia" w:ascii="宋体" w:hAnsi="宋体" w:cs="宋体"/>
          <w:color w:val="auto"/>
          <w:sz w:val="24"/>
          <w:highlight w:val="none"/>
        </w:rPr>
        <w:t>在本次</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（采购人名称、项目名称、项目编号、</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包</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w:t>
      </w:r>
      <w:r>
        <w:rPr>
          <w:rFonts w:ascii="宋体" w:hAnsi="宋体" w:cs="宋体"/>
          <w:color w:val="auto"/>
          <w:sz w:val="24"/>
          <w:highlight w:val="none"/>
          <w:u w:val="single"/>
        </w:rPr>
        <w:t xml:space="preserve"> </w:t>
      </w:r>
      <w:r>
        <w:rPr>
          <w:rFonts w:hint="eastAsia" w:ascii="宋体" w:hAnsi="宋体" w:cs="宋体"/>
          <w:color w:val="auto"/>
          <w:sz w:val="24"/>
          <w:highlight w:val="none"/>
        </w:rPr>
        <w:t>投标中如果我公司中标，我公司将严格按照招标文件和投标文件的要求签订合同并履行合同。一旦出现未按要求履行合同（如不按时签订合同、更换货物、推迟供货、售后服务不到位等非不可抗力因素而给采购人造成损失），我公司承诺，</w:t>
      </w:r>
      <w:r>
        <w:rPr>
          <w:rFonts w:ascii="宋体" w:hAnsi="宋体" w:cs="宋体"/>
          <w:color w:val="auto"/>
          <w:sz w:val="24"/>
          <w:highlight w:val="none"/>
        </w:rPr>
        <w:t>3</w:t>
      </w:r>
      <w:r>
        <w:rPr>
          <w:rFonts w:hint="eastAsia" w:ascii="宋体" w:hAnsi="宋体" w:cs="宋体"/>
          <w:color w:val="auto"/>
          <w:sz w:val="24"/>
          <w:highlight w:val="none"/>
        </w:rPr>
        <w:t>年之内不再参与</w:t>
      </w:r>
      <w:r>
        <w:rPr>
          <w:rFonts w:hint="eastAsia" w:ascii="宋体" w:hAnsi="宋体" w:cs="宋体"/>
          <w:color w:val="auto"/>
          <w:sz w:val="24"/>
          <w:highlight w:val="none"/>
          <w:lang w:eastAsia="zh-CN"/>
        </w:rPr>
        <w:t>平顶山市消防救援支队</w:t>
      </w:r>
      <w:r>
        <w:rPr>
          <w:rFonts w:hint="eastAsia" w:ascii="宋体" w:hAnsi="宋体" w:cs="宋体"/>
          <w:color w:val="auto"/>
          <w:sz w:val="24"/>
          <w:highlight w:val="none"/>
        </w:rPr>
        <w:t>组织的一切采购活动，并接受相关部门的处罚。</w:t>
      </w:r>
    </w:p>
    <w:p>
      <w:pPr>
        <w:spacing w:line="360" w:lineRule="auto"/>
        <w:jc w:val="left"/>
        <w:rPr>
          <w:rFonts w:ascii="宋体" w:cs="宋体"/>
          <w:color w:val="auto"/>
          <w:sz w:val="24"/>
          <w:highlight w:val="none"/>
        </w:rPr>
      </w:pPr>
    </w:p>
    <w:p>
      <w:pPr>
        <w:spacing w:line="360" w:lineRule="auto"/>
        <w:jc w:val="left"/>
        <w:rPr>
          <w:rFonts w:ascii="宋体" w:cs="宋体"/>
          <w:color w:val="auto"/>
          <w:sz w:val="24"/>
          <w:highlight w:val="none"/>
        </w:rPr>
      </w:pPr>
      <w:r>
        <w:rPr>
          <w:rFonts w:hint="eastAsia" w:ascii="宋体" w:hAnsi="宋体" w:cs="宋体"/>
          <w:color w:val="auto"/>
          <w:sz w:val="24"/>
          <w:highlight w:val="none"/>
        </w:rPr>
        <w:t>注：该项内容不得涂改，否则其投标有可能被拒绝。</w:t>
      </w:r>
    </w:p>
    <w:p>
      <w:pPr>
        <w:spacing w:line="360" w:lineRule="auto"/>
        <w:rPr>
          <w:rFonts w:ascii="宋体" w:cs="宋体"/>
          <w:color w:val="auto"/>
          <w:sz w:val="24"/>
          <w:highlight w:val="none"/>
        </w:rPr>
      </w:pPr>
    </w:p>
    <w:p>
      <w:pPr>
        <w:spacing w:line="360" w:lineRule="auto"/>
        <w:jc w:val="left"/>
        <w:rPr>
          <w:rFonts w:ascii="宋体" w:cs="宋体"/>
          <w:color w:val="auto"/>
          <w:sz w:val="24"/>
          <w:highlight w:val="none"/>
        </w:rPr>
      </w:pPr>
      <w:r>
        <w:rPr>
          <w:rFonts w:hint="eastAsia" w:ascii="宋体" w:hAnsi="宋体" w:cs="宋体"/>
          <w:color w:val="auto"/>
          <w:sz w:val="24"/>
          <w:highlight w:val="none"/>
          <w:lang w:eastAsia="zh-CN"/>
        </w:rPr>
        <w:t>投标人</w:t>
      </w:r>
      <w:r>
        <w:rPr>
          <w:rFonts w:hint="eastAsia" w:ascii="宋体" w:hAnsi="宋体" w:cs="宋体"/>
          <w:color w:val="auto"/>
          <w:sz w:val="24"/>
          <w:highlight w:val="none"/>
        </w:rPr>
        <w:t>：</w:t>
      </w:r>
      <w:r>
        <w:rPr>
          <w:rFonts w:ascii="宋体" w:hAnsi="宋体" w:cs="宋体"/>
          <w:color w:val="auto"/>
          <w:sz w:val="24"/>
          <w:highlight w:val="none"/>
          <w:u w:val="single"/>
        </w:rPr>
        <w:t xml:space="preserve">                          </w:t>
      </w:r>
      <w:r>
        <w:rPr>
          <w:rFonts w:hint="eastAsia" w:ascii="宋体" w:hAnsi="宋体" w:cs="宋体"/>
          <w:color w:val="auto"/>
          <w:sz w:val="24"/>
          <w:highlight w:val="none"/>
        </w:rPr>
        <w:t>（电子签章）</w:t>
      </w:r>
    </w:p>
    <w:p>
      <w:pPr>
        <w:spacing w:line="360" w:lineRule="auto"/>
        <w:jc w:val="left"/>
        <w:rPr>
          <w:rFonts w:ascii="宋体" w:cs="宋体"/>
          <w:color w:val="auto"/>
          <w:sz w:val="24"/>
          <w:highlight w:val="non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rPr>
        <w:t>（电子签章</w:t>
      </w:r>
      <w:r>
        <w:rPr>
          <w:rFonts w:hint="eastAsia" w:ascii="宋体" w:hAnsi="宋体" w:cs="宋体"/>
          <w:color w:val="auto"/>
          <w:kern w:val="0"/>
          <w:sz w:val="24"/>
          <w:highlight w:val="none"/>
        </w:rPr>
        <w:t>或签字</w:t>
      </w:r>
      <w:r>
        <w:rPr>
          <w:rFonts w:hint="eastAsia" w:ascii="宋体" w:hAnsi="宋体" w:cs="宋体"/>
          <w:color w:val="auto"/>
          <w:sz w:val="24"/>
          <w:highlight w:val="none"/>
        </w:rPr>
        <w:t>）</w:t>
      </w:r>
    </w:p>
    <w:p>
      <w:pPr>
        <w:wordWrap w:val="0"/>
        <w:spacing w:line="360" w:lineRule="auto"/>
        <w:rPr>
          <w:rFonts w:ascii="宋体" w:cs="宋体"/>
          <w:color w:val="auto"/>
          <w:sz w:val="24"/>
          <w:highlight w:val="none"/>
        </w:rPr>
      </w:pPr>
      <w:r>
        <w:rPr>
          <w:rFonts w:hint="eastAsia" w:ascii="宋体" w:hAnsi="宋体" w:cs="宋体"/>
          <w:color w:val="auto"/>
          <w:sz w:val="24"/>
          <w:highlight w:val="none"/>
        </w:rPr>
        <w:t>日</w:t>
      </w:r>
      <w:r>
        <w:rPr>
          <w:rFonts w:ascii="宋体" w:hAnsi="宋体" w:cs="宋体"/>
          <w:color w:val="auto"/>
          <w:sz w:val="24"/>
          <w:highlight w:val="none"/>
        </w:rPr>
        <w:t xml:space="preserve">  </w:t>
      </w:r>
      <w:r>
        <w:rPr>
          <w:rFonts w:hint="eastAsia" w:ascii="宋体" w:hAnsi="宋体" w:cs="宋体"/>
          <w:color w:val="auto"/>
          <w:sz w:val="24"/>
          <w:highlight w:val="none"/>
        </w:rPr>
        <w:t>期：</w:t>
      </w:r>
      <w:r>
        <w:rPr>
          <w:rFonts w:ascii="宋体" w:hAnsi="宋体" w:cs="宋体"/>
          <w:color w:val="auto"/>
          <w:sz w:val="24"/>
          <w:highlight w:val="none"/>
        </w:rPr>
        <w:t xml:space="preserve">     </w:t>
      </w:r>
      <w:r>
        <w:rPr>
          <w:rFonts w:hint="eastAsia" w:ascii="宋体" w:hAnsi="宋体" w:cs="宋体"/>
          <w:color w:val="auto"/>
          <w:sz w:val="24"/>
          <w:highlight w:val="none"/>
        </w:rPr>
        <w:t>年</w:t>
      </w:r>
      <w:r>
        <w:rPr>
          <w:rFonts w:ascii="宋体" w:hAnsi="宋体" w:cs="宋体"/>
          <w:color w:val="auto"/>
          <w:sz w:val="24"/>
          <w:highlight w:val="none"/>
        </w:rPr>
        <w:t xml:space="preserve">     </w:t>
      </w:r>
      <w:r>
        <w:rPr>
          <w:rFonts w:hint="eastAsia" w:ascii="宋体" w:hAnsi="宋体" w:cs="宋体"/>
          <w:color w:val="auto"/>
          <w:sz w:val="24"/>
          <w:highlight w:val="none"/>
        </w:rPr>
        <w:t>月</w:t>
      </w:r>
      <w:r>
        <w:rPr>
          <w:rFonts w:ascii="宋体" w:hAnsi="宋体" w:cs="宋体"/>
          <w:color w:val="auto"/>
          <w:sz w:val="24"/>
          <w:highlight w:val="none"/>
        </w:rPr>
        <w:t xml:space="preserve">     </w:t>
      </w:r>
      <w:r>
        <w:rPr>
          <w:rFonts w:hint="eastAsia" w:ascii="宋体" w:hAnsi="宋体" w:cs="宋体"/>
          <w:color w:val="auto"/>
          <w:sz w:val="24"/>
          <w:highlight w:val="none"/>
        </w:rPr>
        <w:t>日</w:t>
      </w:r>
    </w:p>
    <w:p>
      <w:pPr>
        <w:pStyle w:val="4"/>
        <w:jc w:val="center"/>
        <w:rPr>
          <w:color w:val="auto"/>
          <w:highlight w:val="none"/>
        </w:rPr>
      </w:pPr>
      <w:bookmarkStart w:id="543" w:name="_Toc13340"/>
      <w:bookmarkStart w:id="544" w:name="_Toc10731"/>
      <w:bookmarkStart w:id="545" w:name="_Toc10490"/>
      <w:r>
        <w:rPr>
          <w:color w:val="auto"/>
          <w:highlight w:val="none"/>
        </w:rPr>
        <w:br w:type="page"/>
      </w:r>
      <w:bookmarkStart w:id="546" w:name="_Toc28969"/>
      <w:r>
        <w:rPr>
          <w:rFonts w:hint="eastAsia"/>
          <w:color w:val="auto"/>
          <w:highlight w:val="none"/>
        </w:rPr>
        <w:t>（二）反商业贿赂承诺书</w:t>
      </w:r>
      <w:bookmarkEnd w:id="543"/>
      <w:bookmarkEnd w:id="544"/>
      <w:bookmarkEnd w:id="545"/>
      <w:bookmarkEnd w:id="546"/>
    </w:p>
    <w:p>
      <w:pPr>
        <w:spacing w:line="360" w:lineRule="auto"/>
        <w:jc w:val="center"/>
        <w:rPr>
          <w:rFonts w:ascii="宋体" w:cs="宋体"/>
          <w:color w:val="auto"/>
          <w:sz w:val="32"/>
          <w:szCs w:val="32"/>
          <w:highlight w:val="none"/>
        </w:rPr>
      </w:pPr>
    </w:p>
    <w:p>
      <w:pPr>
        <w:spacing w:line="360" w:lineRule="auto"/>
        <w:jc w:val="left"/>
        <w:rPr>
          <w:rFonts w:ascii="宋体" w:cs="宋体"/>
          <w:color w:val="auto"/>
          <w:sz w:val="24"/>
          <w:highlight w:val="none"/>
        </w:rPr>
      </w:pPr>
      <w:r>
        <w:rPr>
          <w:rFonts w:hint="eastAsia" w:ascii="宋体" w:hAnsi="宋体" w:cs="宋体"/>
          <w:color w:val="auto"/>
          <w:sz w:val="24"/>
          <w:highlight w:val="none"/>
        </w:rPr>
        <w:t>我公司承诺：</w:t>
      </w:r>
    </w:p>
    <w:p>
      <w:pPr>
        <w:spacing w:line="360" w:lineRule="auto"/>
        <w:ind w:firstLine="480" w:firstLineChars="200"/>
        <w:jc w:val="left"/>
        <w:rPr>
          <w:rFonts w:ascii="宋体" w:cs="宋体"/>
          <w:color w:val="auto"/>
          <w:sz w:val="24"/>
          <w:highlight w:val="none"/>
        </w:rPr>
      </w:pPr>
      <w:r>
        <w:rPr>
          <w:rFonts w:hint="eastAsia" w:ascii="宋体" w:hAnsi="宋体" w:cs="宋体"/>
          <w:color w:val="auto"/>
          <w:sz w:val="24"/>
          <w:highlight w:val="none"/>
        </w:rPr>
        <w:t>在</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（采购人名称、项目名称、项目编号、</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包</w:t>
      </w:r>
      <w:r>
        <w:rPr>
          <w:rFonts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w:t>
      </w:r>
      <w:r>
        <w:rPr>
          <w:rFonts w:ascii="宋体" w:hAnsi="宋体" w:cs="宋体"/>
          <w:color w:val="auto"/>
          <w:sz w:val="24"/>
          <w:highlight w:val="none"/>
          <w:u w:val="single"/>
        </w:rPr>
        <w:t xml:space="preserve"> </w:t>
      </w:r>
      <w:r>
        <w:rPr>
          <w:rFonts w:hint="eastAsia" w:ascii="宋体" w:hAnsi="宋体" w:cs="宋体"/>
          <w:color w:val="auto"/>
          <w:sz w:val="24"/>
          <w:highlight w:val="none"/>
        </w:rPr>
        <w:t>招标活动中，我公司保证做到：</w:t>
      </w:r>
    </w:p>
    <w:p>
      <w:pPr>
        <w:spacing w:line="360" w:lineRule="auto"/>
        <w:ind w:firstLine="480" w:firstLineChars="200"/>
        <w:jc w:val="left"/>
        <w:rPr>
          <w:rFonts w:ascii="宋体" w:cs="宋体"/>
          <w:color w:val="auto"/>
          <w:sz w:val="24"/>
          <w:highlight w:val="none"/>
        </w:rPr>
      </w:pPr>
      <w:r>
        <w:rPr>
          <w:rFonts w:hint="eastAsia" w:ascii="宋体" w:hAnsi="宋体" w:cs="宋体"/>
          <w:color w:val="auto"/>
          <w:sz w:val="24"/>
          <w:highlight w:val="none"/>
        </w:rPr>
        <w:t>一、公平竞争参加本次招标活动。</w:t>
      </w:r>
    </w:p>
    <w:p>
      <w:pPr>
        <w:spacing w:line="360" w:lineRule="auto"/>
        <w:ind w:firstLine="480" w:firstLineChars="200"/>
        <w:jc w:val="left"/>
        <w:rPr>
          <w:rFonts w:ascii="宋体" w:cs="宋体"/>
          <w:color w:val="auto"/>
          <w:sz w:val="24"/>
          <w:highlight w:val="none"/>
        </w:rPr>
      </w:pPr>
      <w:r>
        <w:rPr>
          <w:rFonts w:hint="eastAsia" w:ascii="宋体" w:hAnsi="宋体" w:cs="宋体"/>
          <w:color w:val="auto"/>
          <w:sz w:val="24"/>
          <w:highlight w:val="none"/>
        </w:rPr>
        <w:t>二、杜绝任何形式的商业贿赂行为。不向国家工作人员、政府采购代理机构工作人员、评标专家及其亲属提供礼品礼金、有价证券、购物券、回扣、佣金、咨询费、劳务费、赞助费、宣传费、宴请；不为其报销各种消费凭证，不支付其旅游、娱乐等费用。</w:t>
      </w:r>
    </w:p>
    <w:p>
      <w:pPr>
        <w:spacing w:line="360" w:lineRule="auto"/>
        <w:ind w:firstLine="480" w:firstLineChars="200"/>
        <w:jc w:val="left"/>
        <w:rPr>
          <w:rFonts w:ascii="宋体" w:cs="宋体"/>
          <w:color w:val="auto"/>
          <w:sz w:val="24"/>
          <w:highlight w:val="none"/>
        </w:rPr>
      </w:pPr>
      <w:r>
        <w:rPr>
          <w:rFonts w:hint="eastAsia" w:ascii="宋体" w:hAnsi="宋体" w:cs="宋体"/>
          <w:color w:val="auto"/>
          <w:sz w:val="24"/>
          <w:highlight w:val="none"/>
        </w:rPr>
        <w:t>三、若出现上述行为，我公司及参与投标的工作人员愿意接受按照国家法律法规等有关规定给予的处罚。</w:t>
      </w:r>
    </w:p>
    <w:p>
      <w:pPr>
        <w:spacing w:line="360" w:lineRule="auto"/>
        <w:ind w:firstLine="480" w:firstLineChars="200"/>
        <w:jc w:val="left"/>
        <w:rPr>
          <w:rFonts w:ascii="宋体" w:cs="宋体"/>
          <w:color w:val="auto"/>
          <w:sz w:val="24"/>
          <w:highlight w:val="none"/>
        </w:rPr>
      </w:pPr>
    </w:p>
    <w:p>
      <w:pPr>
        <w:adjustRightInd w:val="0"/>
        <w:snapToGrid w:val="0"/>
        <w:spacing w:line="360" w:lineRule="auto"/>
        <w:ind w:right="-82" w:rightChars="-39"/>
        <w:jc w:val="left"/>
        <w:rPr>
          <w:rFonts w:ascii="宋体" w:cs="宋体"/>
          <w:color w:val="auto"/>
          <w:sz w:val="24"/>
          <w:highlight w:val="none"/>
        </w:rPr>
      </w:pPr>
    </w:p>
    <w:p>
      <w:pPr>
        <w:spacing w:line="360" w:lineRule="auto"/>
        <w:rPr>
          <w:rFonts w:ascii="宋体" w:cs="宋体"/>
          <w:color w:val="auto"/>
          <w:sz w:val="24"/>
          <w:highlight w:val="none"/>
        </w:rPr>
      </w:pPr>
    </w:p>
    <w:p>
      <w:pPr>
        <w:spacing w:line="360" w:lineRule="auto"/>
        <w:jc w:val="left"/>
        <w:rPr>
          <w:rFonts w:ascii="宋体" w:cs="宋体"/>
          <w:color w:val="auto"/>
          <w:sz w:val="24"/>
          <w:highlight w:val="none"/>
        </w:rPr>
      </w:pPr>
      <w:r>
        <w:rPr>
          <w:rFonts w:hint="eastAsia" w:ascii="宋体" w:hAnsi="宋体" w:cs="宋体"/>
          <w:color w:val="auto"/>
          <w:sz w:val="24"/>
          <w:highlight w:val="none"/>
          <w:lang w:eastAsia="zh-CN"/>
        </w:rPr>
        <w:t>投标人</w:t>
      </w:r>
      <w:r>
        <w:rPr>
          <w:rFonts w:hint="eastAsia" w:ascii="宋体" w:hAnsi="宋体" w:cs="宋体"/>
          <w:color w:val="auto"/>
          <w:sz w:val="24"/>
          <w:highlight w:val="none"/>
        </w:rPr>
        <w:t>：</w:t>
      </w:r>
      <w:r>
        <w:rPr>
          <w:rFonts w:ascii="宋体" w:hAnsi="宋体" w:cs="宋体"/>
          <w:color w:val="auto"/>
          <w:sz w:val="24"/>
          <w:highlight w:val="none"/>
          <w:u w:val="single"/>
        </w:rPr>
        <w:t xml:space="preserve">                          </w:t>
      </w:r>
      <w:r>
        <w:rPr>
          <w:rFonts w:hint="eastAsia" w:ascii="宋体" w:hAnsi="宋体" w:cs="宋体"/>
          <w:color w:val="auto"/>
          <w:sz w:val="24"/>
          <w:highlight w:val="none"/>
        </w:rPr>
        <w:t>（电子签章）</w:t>
      </w:r>
    </w:p>
    <w:p>
      <w:pPr>
        <w:spacing w:line="360" w:lineRule="auto"/>
        <w:jc w:val="left"/>
        <w:rPr>
          <w:rFonts w:ascii="宋体" w:cs="宋体"/>
          <w:color w:val="auto"/>
          <w:sz w:val="24"/>
          <w:highlight w:val="non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rPr>
        <w:t>（电子签章</w:t>
      </w:r>
      <w:r>
        <w:rPr>
          <w:rFonts w:hint="eastAsia" w:ascii="宋体" w:hAnsi="宋体" w:cs="宋体"/>
          <w:color w:val="auto"/>
          <w:kern w:val="0"/>
          <w:sz w:val="24"/>
          <w:highlight w:val="none"/>
        </w:rPr>
        <w:t>或签字</w:t>
      </w:r>
      <w:r>
        <w:rPr>
          <w:rFonts w:hint="eastAsia" w:ascii="宋体" w:hAnsi="宋体" w:cs="宋体"/>
          <w:color w:val="auto"/>
          <w:sz w:val="24"/>
          <w:highlight w:val="none"/>
        </w:rPr>
        <w:t>）</w:t>
      </w:r>
    </w:p>
    <w:p>
      <w:pPr>
        <w:spacing w:line="360" w:lineRule="auto"/>
        <w:jc w:val="left"/>
        <w:rPr>
          <w:rFonts w:ascii="宋体" w:cs="宋体"/>
          <w:color w:val="auto"/>
          <w:szCs w:val="21"/>
          <w:highlight w:val="none"/>
        </w:rPr>
      </w:pPr>
      <w:r>
        <w:rPr>
          <w:rFonts w:hint="eastAsia" w:ascii="宋体" w:hAnsi="宋体" w:cs="宋体"/>
          <w:color w:val="auto"/>
          <w:sz w:val="24"/>
          <w:szCs w:val="21"/>
          <w:highlight w:val="none"/>
        </w:rPr>
        <w:t>日</w:t>
      </w:r>
      <w:r>
        <w:rPr>
          <w:rFonts w:ascii="宋体" w:hAnsi="宋体" w:cs="宋体"/>
          <w:color w:val="auto"/>
          <w:sz w:val="24"/>
          <w:szCs w:val="21"/>
          <w:highlight w:val="none"/>
        </w:rPr>
        <w:t xml:space="preserve">  </w:t>
      </w:r>
      <w:r>
        <w:rPr>
          <w:rFonts w:hint="eastAsia" w:ascii="宋体" w:hAnsi="宋体" w:cs="宋体"/>
          <w:color w:val="auto"/>
          <w:sz w:val="24"/>
          <w:szCs w:val="21"/>
          <w:highlight w:val="none"/>
        </w:rPr>
        <w:t>期：</w:t>
      </w:r>
      <w:r>
        <w:rPr>
          <w:rFonts w:ascii="宋体" w:hAnsi="宋体" w:cs="宋体"/>
          <w:color w:val="auto"/>
          <w:szCs w:val="21"/>
          <w:highlight w:val="none"/>
        </w:rPr>
        <w:t xml:space="preserve">     </w:t>
      </w:r>
      <w:r>
        <w:rPr>
          <w:rFonts w:hint="eastAsia" w:ascii="宋体" w:hAnsi="宋体" w:cs="宋体"/>
          <w:color w:val="auto"/>
          <w:szCs w:val="21"/>
          <w:highlight w:val="none"/>
        </w:rPr>
        <w:t>年</w:t>
      </w:r>
      <w:r>
        <w:rPr>
          <w:rFonts w:ascii="宋体" w:hAnsi="宋体" w:cs="宋体"/>
          <w:color w:val="auto"/>
          <w:szCs w:val="21"/>
          <w:highlight w:val="none"/>
        </w:rPr>
        <w:t xml:space="preserve">     </w:t>
      </w:r>
      <w:r>
        <w:rPr>
          <w:rFonts w:hint="eastAsia" w:ascii="宋体" w:hAnsi="宋体" w:cs="宋体"/>
          <w:color w:val="auto"/>
          <w:szCs w:val="21"/>
          <w:highlight w:val="none"/>
        </w:rPr>
        <w:t>月</w:t>
      </w:r>
      <w:r>
        <w:rPr>
          <w:rFonts w:ascii="宋体" w:hAnsi="宋体" w:cs="宋体"/>
          <w:color w:val="auto"/>
          <w:szCs w:val="21"/>
          <w:highlight w:val="none"/>
        </w:rPr>
        <w:t xml:space="preserve">     </w:t>
      </w:r>
      <w:r>
        <w:rPr>
          <w:rFonts w:hint="eastAsia" w:ascii="宋体" w:hAnsi="宋体" w:cs="宋体"/>
          <w:color w:val="auto"/>
          <w:szCs w:val="21"/>
          <w:highlight w:val="none"/>
        </w:rPr>
        <w:t>日</w:t>
      </w:r>
    </w:p>
    <w:p>
      <w:pPr>
        <w:jc w:val="center"/>
        <w:rPr>
          <w:rFonts w:ascii="宋体" w:cs="宋体"/>
          <w:color w:val="auto"/>
          <w:sz w:val="24"/>
          <w:highlight w:val="none"/>
        </w:rPr>
      </w:pPr>
      <w:bookmarkStart w:id="547" w:name="_Toc1453"/>
      <w:bookmarkStart w:id="548" w:name="_Toc7741"/>
      <w:bookmarkStart w:id="549" w:name="_Toc6109"/>
      <w:r>
        <w:rPr>
          <w:rFonts w:ascii="宋体" w:cs="宋体"/>
          <w:color w:val="auto"/>
          <w:sz w:val="24"/>
          <w:highlight w:val="none"/>
        </w:rPr>
        <w:br w:type="page"/>
      </w:r>
    </w:p>
    <w:p>
      <w:pPr>
        <w:jc w:val="center"/>
        <w:rPr>
          <w:rFonts w:ascii="宋体" w:cs="宋体"/>
          <w:color w:val="auto"/>
          <w:sz w:val="24"/>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eastAsia="宋体"/>
          <w:color w:val="auto"/>
          <w:highlight w:val="none"/>
        </w:rPr>
      </w:pPr>
      <w:r>
        <w:rPr>
          <w:rFonts w:hint="eastAsia" w:ascii="Times New Roman" w:hAnsi="Times New Roman" w:eastAsia="宋体" w:cs="Times New Roman"/>
          <w:b/>
          <w:color w:val="auto"/>
          <w:kern w:val="2"/>
          <w:sz w:val="21"/>
          <w:szCs w:val="20"/>
          <w:highlight w:val="none"/>
          <w:lang w:val="en-US" w:eastAsia="zh-CN" w:bidi="ar-SA"/>
        </w:rPr>
        <w:t>（三）投标人认为需提供的其他材料</w:t>
      </w:r>
      <w:bookmarkEnd w:id="547"/>
      <w:bookmarkEnd w:id="548"/>
      <w:bookmarkEnd w:id="549"/>
    </w:p>
    <w:p>
      <w:pPr>
        <w:spacing w:line="360" w:lineRule="auto"/>
        <w:rPr>
          <w:rFonts w:hint="eastAsia" w:ascii="宋体" w:cs="宋体"/>
          <w:color w:val="auto"/>
          <w:sz w:val="24"/>
          <w:szCs w:val="24"/>
          <w:highlight w:val="none"/>
          <w:lang w:val="en-US" w:eastAsia="zh-CN"/>
        </w:rPr>
      </w:pPr>
    </w:p>
    <w:p>
      <w:pPr>
        <w:spacing w:line="360" w:lineRule="auto"/>
        <w:rPr>
          <w:rFonts w:hint="eastAsia" w:ascii="宋体" w:cs="宋体"/>
          <w:color w:val="auto"/>
          <w:sz w:val="24"/>
          <w:szCs w:val="24"/>
          <w:highlight w:val="none"/>
          <w:lang w:val="en-US" w:eastAsia="zh-CN"/>
        </w:rPr>
      </w:pPr>
    </w:p>
    <w:p>
      <w:pPr>
        <w:spacing w:line="360" w:lineRule="auto"/>
        <w:rPr>
          <w:rFonts w:hint="eastAsia" w:ascii="宋体" w:cs="宋体"/>
          <w:color w:val="auto"/>
          <w:sz w:val="24"/>
          <w:szCs w:val="24"/>
          <w:highlight w:val="none"/>
          <w:lang w:val="en-US" w:eastAsia="zh-CN"/>
        </w:rPr>
      </w:pPr>
      <w:r>
        <w:rPr>
          <w:rFonts w:hint="eastAsia" w:ascii="宋体" w:cs="宋体"/>
          <w:color w:val="auto"/>
          <w:sz w:val="24"/>
          <w:szCs w:val="24"/>
          <w:highlight w:val="none"/>
          <w:lang w:val="en-US" w:eastAsia="zh-CN"/>
        </w:rPr>
        <w:t>1.优惠条款</w:t>
      </w:r>
    </w:p>
    <w:p>
      <w:pPr>
        <w:spacing w:line="360" w:lineRule="auto"/>
        <w:rPr>
          <w:rFonts w:hint="eastAsia" w:ascii="宋体" w:cs="宋体"/>
          <w:color w:val="auto"/>
          <w:sz w:val="24"/>
          <w:szCs w:val="24"/>
          <w:highlight w:val="none"/>
          <w:lang w:val="en-US" w:eastAsia="zh-CN"/>
        </w:rPr>
      </w:pPr>
    </w:p>
    <w:p>
      <w:pPr>
        <w:numPr>
          <w:ilvl w:val="0"/>
          <w:numId w:val="10"/>
        </w:numPr>
        <w:spacing w:line="360" w:lineRule="auto"/>
        <w:ind w:left="0" w:leftChars="0" w:firstLine="0" w:firstLineChars="0"/>
        <w:rPr>
          <w:rFonts w:hint="eastAsia" w:ascii="宋体" w:cs="宋体"/>
          <w:color w:val="auto"/>
          <w:sz w:val="24"/>
          <w:szCs w:val="24"/>
          <w:highlight w:val="none"/>
          <w:lang w:val="en-US" w:eastAsia="zh-CN"/>
        </w:rPr>
      </w:pPr>
      <w:r>
        <w:rPr>
          <w:rFonts w:hint="eastAsia" w:ascii="宋体" w:cs="宋体"/>
          <w:color w:val="auto"/>
          <w:sz w:val="24"/>
          <w:szCs w:val="24"/>
          <w:highlight w:val="none"/>
          <w:lang w:val="en-US" w:eastAsia="zh-CN"/>
        </w:rPr>
        <w:t>车辆选型（整体设计）</w:t>
      </w:r>
    </w:p>
    <w:p>
      <w:pPr>
        <w:numPr>
          <w:ilvl w:val="0"/>
          <w:numId w:val="0"/>
        </w:numPr>
        <w:spacing w:line="360" w:lineRule="auto"/>
        <w:ind w:leftChars="0"/>
        <w:rPr>
          <w:rFonts w:hint="eastAsia" w:ascii="宋体" w:cs="宋体"/>
          <w:color w:val="auto"/>
          <w:sz w:val="24"/>
          <w:szCs w:val="24"/>
          <w:highlight w:val="none"/>
          <w:lang w:val="en-US" w:eastAsia="zh-CN"/>
        </w:rPr>
      </w:pPr>
    </w:p>
    <w:p>
      <w:pPr>
        <w:numPr>
          <w:ilvl w:val="0"/>
          <w:numId w:val="10"/>
        </w:numPr>
        <w:spacing w:line="360" w:lineRule="auto"/>
        <w:ind w:left="0" w:leftChars="0" w:firstLine="0" w:firstLineChars="0"/>
        <w:rPr>
          <w:rFonts w:hint="eastAsia" w:ascii="宋体" w:cs="宋体"/>
          <w:color w:val="auto"/>
          <w:sz w:val="24"/>
          <w:szCs w:val="24"/>
          <w:highlight w:val="none"/>
          <w:lang w:val="en-US" w:eastAsia="zh-CN"/>
        </w:rPr>
      </w:pPr>
      <w:r>
        <w:rPr>
          <w:rFonts w:hint="eastAsia" w:ascii="宋体" w:cs="宋体"/>
          <w:color w:val="auto"/>
          <w:sz w:val="24"/>
          <w:szCs w:val="24"/>
          <w:highlight w:val="none"/>
          <w:lang w:val="en-US" w:eastAsia="zh-CN"/>
        </w:rPr>
        <w:t>车辆制造商专业技术生产能力</w:t>
      </w:r>
    </w:p>
    <w:p>
      <w:pPr>
        <w:numPr>
          <w:ilvl w:val="0"/>
          <w:numId w:val="0"/>
        </w:numPr>
        <w:spacing w:line="360" w:lineRule="auto"/>
        <w:ind w:leftChars="0"/>
        <w:rPr>
          <w:rFonts w:hint="eastAsia" w:ascii="宋体" w:cs="宋体"/>
          <w:color w:val="auto"/>
          <w:sz w:val="24"/>
          <w:szCs w:val="24"/>
          <w:highlight w:val="none"/>
          <w:lang w:val="en-US" w:eastAsia="zh-CN"/>
        </w:rPr>
      </w:pPr>
    </w:p>
    <w:p>
      <w:pPr>
        <w:numPr>
          <w:ilvl w:val="0"/>
          <w:numId w:val="0"/>
        </w:numPr>
        <w:spacing w:line="360" w:lineRule="auto"/>
        <w:ind w:leftChars="0"/>
        <w:rPr>
          <w:rFonts w:ascii="宋体" w:cs="宋体"/>
          <w:b/>
          <w:color w:val="auto"/>
          <w:sz w:val="28"/>
          <w:szCs w:val="28"/>
          <w:highlight w:val="none"/>
        </w:rPr>
      </w:pPr>
      <w:r>
        <w:rPr>
          <w:rFonts w:hint="eastAsia" w:ascii="宋体" w:cs="宋体"/>
          <w:color w:val="auto"/>
          <w:sz w:val="24"/>
          <w:szCs w:val="24"/>
          <w:highlight w:val="none"/>
          <w:lang w:val="en-US" w:eastAsia="zh-CN"/>
        </w:rPr>
        <w:t>4.投标人认为应附的其他材料</w:t>
      </w:r>
      <w:r>
        <w:rPr>
          <w:rFonts w:ascii="宋体" w:cs="宋体"/>
          <w:color w:val="auto"/>
          <w:sz w:val="24"/>
          <w:szCs w:val="24"/>
          <w:highlight w:val="none"/>
        </w:rPr>
        <w:br w:type="page"/>
      </w:r>
      <w:r>
        <w:rPr>
          <w:rFonts w:hint="eastAsia" w:ascii="宋体" w:hAnsi="宋体" w:cs="宋体"/>
          <w:b/>
          <w:color w:val="auto"/>
          <w:sz w:val="28"/>
          <w:szCs w:val="28"/>
          <w:highlight w:val="none"/>
        </w:rPr>
        <w:t>附</w:t>
      </w:r>
      <w:r>
        <w:rPr>
          <w:rFonts w:ascii="宋体" w:hAnsi="宋体" w:cs="宋体"/>
          <w:b/>
          <w:color w:val="auto"/>
          <w:sz w:val="28"/>
          <w:szCs w:val="28"/>
          <w:highlight w:val="none"/>
        </w:rPr>
        <w:t xml:space="preserve">  </w:t>
      </w:r>
      <w:r>
        <w:rPr>
          <w:rFonts w:hint="eastAsia" w:ascii="宋体" w:hAnsi="宋体" w:cs="宋体"/>
          <w:b/>
          <w:color w:val="auto"/>
          <w:sz w:val="28"/>
          <w:szCs w:val="28"/>
          <w:highlight w:val="none"/>
        </w:rPr>
        <w:t>件</w:t>
      </w:r>
    </w:p>
    <w:p>
      <w:pPr>
        <w:keepNext/>
        <w:keepLines/>
        <w:spacing w:line="360" w:lineRule="auto"/>
        <w:jc w:val="center"/>
        <w:outlineLvl w:val="2"/>
        <w:rPr>
          <w:rFonts w:ascii="宋体" w:cs="宋体"/>
          <w:b/>
          <w:bCs/>
          <w:color w:val="auto"/>
          <w:kern w:val="0"/>
          <w:sz w:val="32"/>
          <w:szCs w:val="32"/>
          <w:highlight w:val="none"/>
        </w:rPr>
      </w:pPr>
      <w:bookmarkStart w:id="550" w:name="_Toc15503"/>
      <w:bookmarkStart w:id="551" w:name="_Toc26116"/>
      <w:bookmarkStart w:id="552" w:name="_Toc131"/>
      <w:r>
        <w:rPr>
          <w:rFonts w:hint="eastAsia" w:ascii="宋体" w:hAnsi="宋体" w:cs="宋体"/>
          <w:b/>
          <w:bCs/>
          <w:color w:val="auto"/>
          <w:kern w:val="0"/>
          <w:sz w:val="32"/>
          <w:szCs w:val="32"/>
          <w:highlight w:val="none"/>
        </w:rPr>
        <w:t>中小企业声明函（货物）</w:t>
      </w:r>
      <w:bookmarkEnd w:id="550"/>
      <w:bookmarkEnd w:id="551"/>
      <w:bookmarkEnd w:id="552"/>
    </w:p>
    <w:p>
      <w:pPr>
        <w:widowControl/>
        <w:spacing w:line="360" w:lineRule="auto"/>
        <w:ind w:firstLine="480" w:firstLineChars="200"/>
        <w:jc w:val="left"/>
        <w:rPr>
          <w:rFonts w:ascii="宋体" w:cs="宋体"/>
          <w:color w:val="auto"/>
          <w:sz w:val="24"/>
          <w:highlight w:val="none"/>
        </w:rPr>
      </w:pPr>
      <w:r>
        <w:rPr>
          <w:rFonts w:hint="eastAsia" w:ascii="宋体" w:hAnsi="宋体" w:cs="宋体"/>
          <w:color w:val="auto"/>
          <w:kern w:val="0"/>
          <w:sz w:val="24"/>
          <w:highlight w:val="none"/>
        </w:rPr>
        <w:t>本公司（联合体）郑重声明，根据《政府采购促进中小企业发展管理办法》（财库﹝</w:t>
      </w:r>
      <w:r>
        <w:rPr>
          <w:rFonts w:ascii="宋体" w:hAnsi="宋体" w:cs="宋体"/>
          <w:color w:val="auto"/>
          <w:kern w:val="0"/>
          <w:sz w:val="24"/>
          <w:highlight w:val="none"/>
        </w:rPr>
        <w:t>2020</w:t>
      </w:r>
      <w:r>
        <w:rPr>
          <w:rFonts w:hint="eastAsia" w:ascii="宋体" w:hAnsi="宋体" w:cs="宋体"/>
          <w:color w:val="auto"/>
          <w:kern w:val="0"/>
          <w:sz w:val="24"/>
          <w:highlight w:val="none"/>
        </w:rPr>
        <w:t>﹞</w:t>
      </w:r>
      <w:r>
        <w:rPr>
          <w:rFonts w:ascii="宋体" w:hAnsi="宋体" w:cs="宋体"/>
          <w:color w:val="auto"/>
          <w:kern w:val="0"/>
          <w:sz w:val="24"/>
          <w:highlight w:val="none"/>
        </w:rPr>
        <w:t>46</w:t>
      </w:r>
      <w:r>
        <w:rPr>
          <w:rFonts w:hint="eastAsia" w:ascii="宋体" w:hAnsi="宋体" w:cs="宋体"/>
          <w:color w:val="auto"/>
          <w:kern w:val="0"/>
          <w:sz w:val="24"/>
          <w:highlight w:val="none"/>
        </w:rPr>
        <w:t>号）的规定，本公司（联合体）参加</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（单位名称）</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的</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（项目名称</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包号）</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采购活动，提供的货物全部由符合政策要求的中小企业制造。相关企业（含联合体中的中小企业、签订分包意向协议的中小企业）的具体情况如下：</w:t>
      </w:r>
    </w:p>
    <w:p>
      <w:pPr>
        <w:widowControl/>
        <w:spacing w:line="360" w:lineRule="auto"/>
        <w:ind w:firstLine="480" w:firstLineChars="200"/>
        <w:jc w:val="left"/>
        <w:rPr>
          <w:rFonts w:ascii="宋体" w:cs="宋体"/>
          <w:color w:val="auto"/>
          <w:kern w:val="0"/>
          <w:sz w:val="24"/>
          <w:highlight w:val="none"/>
        </w:rPr>
      </w:pPr>
      <w:r>
        <w:rPr>
          <w:rFonts w:ascii="宋体" w:hAnsi="宋体" w:cs="宋体"/>
          <w:color w:val="auto"/>
          <w:kern w:val="0"/>
          <w:sz w:val="24"/>
          <w:highlight w:val="none"/>
        </w:rPr>
        <w:t>1.</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（标的名称）</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，属于</w:t>
      </w:r>
      <w:r>
        <w:rPr>
          <w:rFonts w:ascii="宋体" w:hAnsi="宋体" w:cs="宋体"/>
          <w:color w:val="auto"/>
          <w:kern w:val="0"/>
          <w:sz w:val="24"/>
          <w:highlight w:val="none"/>
          <w:u w:val="single"/>
        </w:rPr>
        <w:t xml:space="preserve"> </w:t>
      </w:r>
      <w:r>
        <w:rPr>
          <w:rFonts w:hint="eastAsia" w:ascii="宋体" w:hAnsi="宋体" w:cs="宋体"/>
          <w:color w:val="auto"/>
          <w:kern w:val="0"/>
          <w:highlight w:val="none"/>
          <w:u w:val="single"/>
        </w:rPr>
        <w:t>（采购文件中明确的所属行业）</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行业；制造商为</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（企业名称）</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，从业人员</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人，营业收入为</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万元，资产总额为</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万元，属于</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（中型企业、小型企业、微型企业）</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pPr>
        <w:widowControl/>
        <w:spacing w:line="360" w:lineRule="auto"/>
        <w:ind w:firstLine="480" w:firstLineChars="200"/>
        <w:jc w:val="left"/>
        <w:rPr>
          <w:rFonts w:ascii="宋体" w:cs="宋体"/>
          <w:color w:val="auto"/>
          <w:sz w:val="24"/>
          <w:highlight w:val="none"/>
        </w:rPr>
      </w:pPr>
      <w:r>
        <w:rPr>
          <w:rFonts w:ascii="宋体" w:hAnsi="宋体" w:cs="宋体"/>
          <w:color w:val="auto"/>
          <w:kern w:val="0"/>
          <w:sz w:val="24"/>
          <w:highlight w:val="none"/>
        </w:rPr>
        <w:t>2.</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（标的名称）</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，属于</w:t>
      </w:r>
      <w:r>
        <w:rPr>
          <w:rFonts w:ascii="宋体" w:hAnsi="宋体" w:cs="宋体"/>
          <w:color w:val="auto"/>
          <w:kern w:val="0"/>
          <w:sz w:val="24"/>
          <w:highlight w:val="none"/>
          <w:u w:val="single"/>
        </w:rPr>
        <w:t xml:space="preserve"> </w:t>
      </w:r>
      <w:r>
        <w:rPr>
          <w:rFonts w:hint="eastAsia" w:ascii="宋体" w:hAnsi="宋体" w:cs="宋体"/>
          <w:color w:val="auto"/>
          <w:kern w:val="0"/>
          <w:highlight w:val="none"/>
          <w:u w:val="single"/>
        </w:rPr>
        <w:t>（采购文件中明确的所属行业）</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行业；制造商为</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（企业名称）</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，从业人员</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人，营业收入</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为</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万元，资产总额为</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万元，属于</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（中型企业、小型企业、微型企业）</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pPr>
        <w:widowControl/>
        <w:spacing w:line="360" w:lineRule="auto"/>
        <w:ind w:firstLine="480" w:firstLineChars="200"/>
        <w:jc w:val="left"/>
        <w:rPr>
          <w:rFonts w:ascii="宋体" w:cs="宋体"/>
          <w:color w:val="auto"/>
          <w:kern w:val="0"/>
          <w:sz w:val="24"/>
          <w:highlight w:val="none"/>
        </w:rPr>
      </w:pPr>
      <w:r>
        <w:rPr>
          <w:rFonts w:ascii="宋体" w:cs="宋体"/>
          <w:color w:val="auto"/>
          <w:kern w:val="0"/>
          <w:sz w:val="24"/>
          <w:highlight w:val="none"/>
        </w:rPr>
        <w:t>......</w:t>
      </w:r>
    </w:p>
    <w:p>
      <w:pPr>
        <w:widowControl/>
        <w:spacing w:line="360" w:lineRule="auto"/>
        <w:ind w:firstLine="480" w:firstLineChars="200"/>
        <w:jc w:val="left"/>
        <w:rPr>
          <w:rFonts w:ascii="宋体" w:cs="宋体"/>
          <w:color w:val="auto"/>
          <w:sz w:val="24"/>
          <w:highlight w:val="none"/>
        </w:rPr>
      </w:pPr>
      <w:r>
        <w:rPr>
          <w:rFonts w:hint="eastAsia" w:ascii="宋体" w:hAnsi="宋体" w:cs="宋体"/>
          <w:color w:val="auto"/>
          <w:kern w:val="0"/>
          <w:sz w:val="24"/>
          <w:highlight w:val="none"/>
        </w:rPr>
        <w:t>以上企业，不属于大企业的分支机构，不存在控股股东为大企业的情形，也不存在与大企业的负责人为同一人的情形。</w:t>
      </w:r>
    </w:p>
    <w:p>
      <w:pPr>
        <w:widowControl/>
        <w:spacing w:line="360" w:lineRule="auto"/>
        <w:ind w:firstLine="480" w:firstLineChars="200"/>
        <w:jc w:val="left"/>
        <w:rPr>
          <w:rFonts w:ascii="宋体" w:cs="宋体"/>
          <w:color w:val="auto"/>
          <w:sz w:val="24"/>
          <w:highlight w:val="none"/>
        </w:rPr>
      </w:pPr>
      <w:r>
        <w:rPr>
          <w:rFonts w:hint="eastAsia" w:ascii="宋体" w:hAnsi="宋体" w:cs="宋体"/>
          <w:color w:val="auto"/>
          <w:kern w:val="0"/>
          <w:sz w:val="24"/>
          <w:highlight w:val="none"/>
        </w:rPr>
        <w:t>本企业对上述声明内容的真实性负责。如有虚假，将依法承担相应责任。</w:t>
      </w:r>
    </w:p>
    <w:p>
      <w:pPr>
        <w:adjustRightInd w:val="0"/>
        <w:snapToGrid w:val="0"/>
        <w:spacing w:line="360" w:lineRule="auto"/>
        <w:ind w:right="-82" w:rightChars="-39"/>
        <w:jc w:val="left"/>
        <w:rPr>
          <w:rFonts w:ascii="宋体" w:cs="宋体"/>
          <w:color w:val="auto"/>
          <w:sz w:val="24"/>
          <w:highlight w:val="none"/>
        </w:rPr>
      </w:pPr>
    </w:p>
    <w:p>
      <w:pPr>
        <w:widowControl/>
        <w:wordWrap w:val="0"/>
        <w:spacing w:line="360" w:lineRule="auto"/>
        <w:jc w:val="right"/>
        <w:rPr>
          <w:rFonts w:ascii="宋体" w:cs="宋体"/>
          <w:color w:val="auto"/>
          <w:szCs w:val="21"/>
          <w:highlight w:val="none"/>
        </w:rPr>
      </w:pPr>
      <w:r>
        <w:rPr>
          <w:rFonts w:hint="eastAsia" w:ascii="宋体" w:hAnsi="宋体" w:cs="宋体"/>
          <w:color w:val="auto"/>
          <w:kern w:val="0"/>
          <w:szCs w:val="21"/>
          <w:highlight w:val="none"/>
        </w:rPr>
        <w:t>企业名称（电子签章）：</w:t>
      </w:r>
      <w:r>
        <w:rPr>
          <w:rFonts w:ascii="宋体" w:hAnsi="宋体" w:cs="宋体"/>
          <w:color w:val="auto"/>
          <w:sz w:val="24"/>
          <w:highlight w:val="none"/>
          <w:u w:val="single"/>
        </w:rPr>
        <w:t xml:space="preserve">                    </w:t>
      </w:r>
    </w:p>
    <w:p>
      <w:pPr>
        <w:wordWrap w:val="0"/>
        <w:spacing w:line="360" w:lineRule="auto"/>
        <w:jc w:val="right"/>
        <w:rPr>
          <w:rFonts w:ascii="宋体" w:cs="宋体"/>
          <w:color w:val="auto"/>
          <w:sz w:val="24"/>
          <w:highlight w:val="none"/>
        </w:rPr>
      </w:pPr>
      <w:r>
        <w:rPr>
          <w:rFonts w:hint="eastAsia" w:ascii="宋体" w:hAnsi="宋体" w:cs="宋体"/>
          <w:color w:val="auto"/>
          <w:sz w:val="24"/>
          <w:highlight w:val="none"/>
        </w:rPr>
        <w:t>日</w:t>
      </w:r>
      <w:r>
        <w:rPr>
          <w:rFonts w:ascii="宋体" w:hAnsi="宋体" w:cs="宋体"/>
          <w:color w:val="auto"/>
          <w:sz w:val="24"/>
          <w:highlight w:val="none"/>
        </w:rPr>
        <w:t xml:space="preserve">   </w:t>
      </w:r>
      <w:r>
        <w:rPr>
          <w:rFonts w:hint="eastAsia" w:ascii="宋体" w:hAnsi="宋体" w:cs="宋体"/>
          <w:color w:val="auto"/>
          <w:sz w:val="24"/>
          <w:highlight w:val="none"/>
        </w:rPr>
        <w:t>期：</w:t>
      </w:r>
      <w:r>
        <w:rPr>
          <w:rFonts w:ascii="宋体" w:hAnsi="宋体" w:cs="宋体"/>
          <w:color w:val="auto"/>
          <w:sz w:val="24"/>
          <w:highlight w:val="none"/>
          <w:u w:val="single"/>
        </w:rPr>
        <w:t xml:space="preserve">                    </w:t>
      </w:r>
    </w:p>
    <w:p>
      <w:pPr>
        <w:spacing w:line="360" w:lineRule="auto"/>
        <w:jc w:val="left"/>
        <w:rPr>
          <w:rFonts w:ascii="宋体" w:cs="宋体"/>
          <w:color w:val="auto"/>
          <w:sz w:val="24"/>
          <w:highlight w:val="none"/>
        </w:rPr>
      </w:pPr>
    </w:p>
    <w:p>
      <w:pPr>
        <w:spacing w:line="360" w:lineRule="auto"/>
        <w:ind w:firstLine="482" w:firstLineChars="200"/>
        <w:rPr>
          <w:rFonts w:ascii="宋体" w:cs="宋体"/>
          <w:b/>
          <w:bCs/>
          <w:color w:val="auto"/>
          <w:sz w:val="24"/>
          <w:highlight w:val="none"/>
        </w:rPr>
      </w:pPr>
      <w:r>
        <w:rPr>
          <w:rFonts w:hint="eastAsia" w:ascii="宋体" w:hAnsi="宋体" w:cs="宋体"/>
          <w:b/>
          <w:bCs/>
          <w:color w:val="auto"/>
          <w:sz w:val="24"/>
          <w:highlight w:val="none"/>
        </w:rPr>
        <w:t>从业人员、营业收入、资产总额填报上一年度数据，无上一年度数据的新成立企业可不填报。</w:t>
      </w:r>
    </w:p>
    <w:p>
      <w:pPr>
        <w:spacing w:line="360" w:lineRule="auto"/>
        <w:rPr>
          <w:rFonts w:ascii="宋体" w:cs="宋体"/>
          <w:color w:val="auto"/>
          <w:sz w:val="24"/>
          <w:highlight w:val="none"/>
        </w:rPr>
      </w:pPr>
      <w:r>
        <w:rPr>
          <w:rFonts w:hint="eastAsia" w:ascii="宋体" w:hAnsi="宋体" w:cs="宋体"/>
          <w:color w:val="auto"/>
          <w:sz w:val="24"/>
          <w:highlight w:val="none"/>
        </w:rPr>
        <w:t>注：</w:t>
      </w:r>
    </w:p>
    <w:p>
      <w:pPr>
        <w:spacing w:line="360" w:lineRule="auto"/>
        <w:ind w:firstLine="480" w:firstLineChars="200"/>
        <w:rPr>
          <w:rFonts w:asci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该声明函是针对中小微型企业的，非中小型、微型企业不用提供该声明。</w:t>
      </w:r>
    </w:p>
    <w:p>
      <w:pPr>
        <w:spacing w:line="360" w:lineRule="auto"/>
        <w:ind w:firstLine="480" w:firstLineChars="200"/>
        <w:rPr>
          <w:rFonts w:ascii="宋体" w:cs="宋体"/>
          <w:color w:val="auto"/>
          <w:sz w:val="24"/>
          <w:szCs w:val="24"/>
          <w:highlight w:val="none"/>
        </w:rPr>
      </w:pPr>
      <w:r>
        <w:rPr>
          <w:rFonts w:ascii="宋体" w:hAnsi="宋体" w:cs="宋体"/>
          <w:color w:val="auto"/>
          <w:sz w:val="24"/>
          <w:highlight w:val="none"/>
        </w:rPr>
        <w:t>2.</w:t>
      </w:r>
      <w:r>
        <w:rPr>
          <w:rFonts w:hint="eastAsia" w:ascii="宋体" w:hAnsi="宋体" w:cs="宋体"/>
          <w:color w:val="auto"/>
          <w:sz w:val="24"/>
          <w:highlight w:val="none"/>
        </w:rPr>
        <w:t>根据《关于印发《政府采购促进中小企业发展管理办法》的通知》（财库〔</w:t>
      </w:r>
      <w:r>
        <w:rPr>
          <w:rFonts w:ascii="宋体" w:hAnsi="宋体" w:cs="宋体"/>
          <w:color w:val="auto"/>
          <w:sz w:val="24"/>
          <w:highlight w:val="none"/>
        </w:rPr>
        <w:t>2020</w:t>
      </w:r>
      <w:r>
        <w:rPr>
          <w:rFonts w:hint="eastAsia" w:ascii="宋体" w:hAnsi="宋体" w:cs="宋体"/>
          <w:color w:val="auto"/>
          <w:sz w:val="24"/>
          <w:highlight w:val="none"/>
        </w:rPr>
        <w:t>〕</w:t>
      </w:r>
      <w:r>
        <w:rPr>
          <w:rFonts w:ascii="宋体" w:hAnsi="宋体" w:cs="宋体"/>
          <w:color w:val="auto"/>
          <w:sz w:val="24"/>
          <w:highlight w:val="none"/>
        </w:rPr>
        <w:t>46</w:t>
      </w:r>
      <w:r>
        <w:rPr>
          <w:rFonts w:hint="eastAsia" w:ascii="宋体" w:hAnsi="宋体" w:cs="宋体"/>
          <w:color w:val="auto"/>
          <w:sz w:val="24"/>
          <w:highlight w:val="none"/>
        </w:rPr>
        <w:t>号）、《关于进一步加大政府采购支持中小企业力度的通知》（财库〔</w:t>
      </w:r>
      <w:r>
        <w:rPr>
          <w:rFonts w:ascii="宋体" w:hAnsi="宋体" w:cs="宋体"/>
          <w:color w:val="auto"/>
          <w:sz w:val="24"/>
          <w:highlight w:val="none"/>
        </w:rPr>
        <w:t>2022</w:t>
      </w:r>
      <w:r>
        <w:rPr>
          <w:rFonts w:hint="eastAsia" w:ascii="宋体" w:hAnsi="宋体" w:cs="宋体"/>
          <w:color w:val="auto"/>
          <w:sz w:val="24"/>
          <w:highlight w:val="none"/>
        </w:rPr>
        <w:t>〕</w:t>
      </w:r>
      <w:r>
        <w:rPr>
          <w:rFonts w:ascii="宋体" w:hAnsi="宋体" w:cs="宋体"/>
          <w:color w:val="auto"/>
          <w:sz w:val="24"/>
          <w:highlight w:val="none"/>
        </w:rPr>
        <w:t>19</w:t>
      </w:r>
      <w:r>
        <w:rPr>
          <w:rFonts w:hint="eastAsia" w:ascii="宋体" w:hAnsi="宋体" w:cs="宋体"/>
          <w:color w:val="auto"/>
          <w:sz w:val="24"/>
          <w:highlight w:val="none"/>
        </w:rPr>
        <w:t>号）的规定，对于非专门面向中小企业预留采购份额的采购项目或者采购包，对小型和微型企业产品的价格给予</w:t>
      </w:r>
      <w:r>
        <w:rPr>
          <w:rFonts w:ascii="宋体" w:hAnsi="宋体" w:cs="宋体"/>
          <w:color w:val="auto"/>
          <w:sz w:val="24"/>
          <w:highlight w:val="none"/>
        </w:rPr>
        <w:t>10%</w:t>
      </w:r>
      <w:r>
        <w:rPr>
          <w:rFonts w:hint="eastAsia" w:ascii="宋体" w:hAnsi="宋体" w:cs="宋体"/>
          <w:color w:val="auto"/>
          <w:sz w:val="24"/>
          <w:highlight w:val="none"/>
        </w:rPr>
        <w:t>的扣除，用扣除后的价格参与评审，中小企业与大企业的负责人为同一人，或者与大企业存在直接控股、管理关系的除外。在货物采购项目中，投标人提供的货物既有小型和微型企业制造</w:t>
      </w:r>
      <w:r>
        <w:rPr>
          <w:rFonts w:hint="eastAsia" w:ascii="宋体" w:hAnsi="宋体" w:cs="宋体"/>
          <w:color w:val="auto"/>
          <w:sz w:val="24"/>
          <w:szCs w:val="24"/>
          <w:highlight w:val="none"/>
        </w:rPr>
        <w:t>的货物，也有大型企业和中型企业制造的货物，不享受价格比例扣除规定。监狱企业（制造商）视同小型、微型企业，残疾人福利性单位（制造商）视同小型、微型企业，小微企业产品和监狱企业产品及残疾人福利性单位产品只给予一次价格扣除，不重复给予价格扣除。中小企业的认定标准按《中小企业划型标准规定》工信部联企业〔</w:t>
      </w:r>
      <w:r>
        <w:rPr>
          <w:rFonts w:ascii="宋体" w:hAnsi="宋体" w:cs="宋体"/>
          <w:color w:val="auto"/>
          <w:sz w:val="24"/>
          <w:szCs w:val="24"/>
          <w:highlight w:val="none"/>
        </w:rPr>
        <w:t>2011</w:t>
      </w:r>
      <w:r>
        <w:rPr>
          <w:rFonts w:hint="eastAsia" w:ascii="宋体" w:hAnsi="宋体" w:cs="宋体"/>
          <w:color w:val="auto"/>
          <w:sz w:val="24"/>
          <w:szCs w:val="24"/>
          <w:highlight w:val="none"/>
        </w:rPr>
        <w:t>〕</w:t>
      </w:r>
      <w:r>
        <w:rPr>
          <w:rFonts w:ascii="宋体" w:hAnsi="宋体" w:cs="宋体"/>
          <w:color w:val="auto"/>
          <w:sz w:val="24"/>
          <w:szCs w:val="24"/>
          <w:highlight w:val="none"/>
        </w:rPr>
        <w:t>300</w:t>
      </w:r>
      <w:r>
        <w:rPr>
          <w:rFonts w:hint="eastAsia" w:ascii="宋体" w:hAnsi="宋体" w:cs="宋体"/>
          <w:color w:val="auto"/>
          <w:sz w:val="24"/>
          <w:szCs w:val="24"/>
          <w:highlight w:val="none"/>
        </w:rPr>
        <w:t>号文件执行，投标人应提供《中小企业声明函》。</w:t>
      </w:r>
    </w:p>
    <w:p>
      <w:pPr>
        <w:spacing w:line="360" w:lineRule="auto"/>
        <w:jc w:val="center"/>
        <w:rPr>
          <w:rFonts w:ascii="宋体" w:cs="宋体"/>
          <w:color w:val="auto"/>
          <w:sz w:val="32"/>
          <w:szCs w:val="32"/>
          <w:highlight w:val="none"/>
        </w:rPr>
      </w:pPr>
      <w:r>
        <w:rPr>
          <w:rFonts w:ascii="宋体" w:cs="宋体"/>
          <w:color w:val="auto"/>
          <w:szCs w:val="21"/>
          <w:highlight w:val="none"/>
        </w:rPr>
        <w:br w:type="page"/>
      </w:r>
    </w:p>
    <w:p>
      <w:pPr>
        <w:keepNext/>
        <w:keepLines/>
        <w:spacing w:line="360" w:lineRule="auto"/>
        <w:jc w:val="center"/>
        <w:outlineLvl w:val="2"/>
        <w:rPr>
          <w:rFonts w:ascii="宋体" w:cs="宋体"/>
          <w:b/>
          <w:bCs/>
          <w:color w:val="auto"/>
          <w:kern w:val="0"/>
          <w:sz w:val="32"/>
          <w:szCs w:val="32"/>
          <w:highlight w:val="none"/>
        </w:rPr>
      </w:pPr>
      <w:bookmarkStart w:id="553" w:name="_Toc16860"/>
      <w:bookmarkStart w:id="554" w:name="_Toc27929"/>
      <w:r>
        <w:rPr>
          <w:rFonts w:hint="eastAsia" w:ascii="宋体" w:hAnsi="宋体" w:cs="宋体"/>
          <w:b/>
          <w:bCs/>
          <w:color w:val="auto"/>
          <w:kern w:val="0"/>
          <w:sz w:val="32"/>
          <w:szCs w:val="32"/>
          <w:highlight w:val="none"/>
        </w:rPr>
        <w:t>监狱企业的证明文件</w:t>
      </w:r>
      <w:bookmarkEnd w:id="553"/>
      <w:bookmarkEnd w:id="554"/>
    </w:p>
    <w:p>
      <w:pPr>
        <w:spacing w:line="360" w:lineRule="auto"/>
        <w:jc w:val="center"/>
        <w:rPr>
          <w:rFonts w:ascii="宋体" w:cs="宋体"/>
          <w:color w:val="auto"/>
          <w:kern w:val="0"/>
          <w:sz w:val="32"/>
          <w:szCs w:val="32"/>
          <w:highlight w:val="none"/>
        </w:rPr>
      </w:pPr>
    </w:p>
    <w:p>
      <w:pPr>
        <w:widowControl/>
        <w:spacing w:line="360" w:lineRule="auto"/>
        <w:jc w:val="center"/>
        <w:textAlignment w:val="baseline"/>
        <w:rPr>
          <w:rFonts w:ascii="宋体" w:cs="宋体"/>
          <w:color w:val="auto"/>
          <w:sz w:val="24"/>
          <w:highlight w:val="none"/>
        </w:rPr>
      </w:pPr>
      <w:r>
        <w:rPr>
          <w:rFonts w:hint="eastAsia" w:ascii="宋体" w:hAnsi="宋体" w:cs="宋体"/>
          <w:color w:val="auto"/>
          <w:sz w:val="24"/>
          <w:highlight w:val="none"/>
        </w:rPr>
        <w:t>（制造商属于监狱企业的提供，不属于的不提供此项内容）</w:t>
      </w:r>
    </w:p>
    <w:p>
      <w:pPr>
        <w:widowControl/>
        <w:spacing w:line="360" w:lineRule="auto"/>
        <w:ind w:firstLine="480" w:firstLineChars="200"/>
        <w:jc w:val="left"/>
        <w:textAlignment w:val="baseline"/>
        <w:rPr>
          <w:rFonts w:ascii="宋体" w:cs="宋体"/>
          <w:color w:val="auto"/>
          <w:kern w:val="0"/>
          <w:sz w:val="32"/>
          <w:szCs w:val="32"/>
          <w:highlight w:val="none"/>
        </w:rPr>
      </w:pPr>
      <w:r>
        <w:rPr>
          <w:rFonts w:hint="eastAsia" w:ascii="宋体" w:hAnsi="宋体" w:cs="宋体"/>
          <w:color w:val="auto"/>
          <w:sz w:val="24"/>
          <w:highlight w:val="none"/>
        </w:rPr>
        <w:t>监狱企业（制造商）视同小型、微型企业，投标人应提供省级及以上监狱管理局、戒毒管理局（含新疆生产建设兵团）在招标文件发出时间至投标截止时间前出具的属于监狱企业（制造商）的证明文件。</w:t>
      </w:r>
      <w:r>
        <w:rPr>
          <w:rFonts w:ascii="宋体" w:cs="宋体"/>
          <w:color w:val="auto"/>
          <w:kern w:val="0"/>
          <w:sz w:val="24"/>
          <w:highlight w:val="none"/>
        </w:rPr>
        <w:br w:type="page"/>
      </w:r>
    </w:p>
    <w:p>
      <w:pPr>
        <w:keepNext/>
        <w:keepLines/>
        <w:spacing w:line="360" w:lineRule="auto"/>
        <w:jc w:val="center"/>
        <w:outlineLvl w:val="2"/>
        <w:rPr>
          <w:rFonts w:ascii="宋体" w:cs="宋体"/>
          <w:b/>
          <w:bCs/>
          <w:color w:val="auto"/>
          <w:kern w:val="0"/>
          <w:sz w:val="32"/>
          <w:szCs w:val="32"/>
          <w:highlight w:val="none"/>
        </w:rPr>
      </w:pPr>
      <w:bookmarkStart w:id="555" w:name="_Toc5950"/>
      <w:bookmarkStart w:id="556" w:name="_Toc5146"/>
      <w:r>
        <w:rPr>
          <w:rFonts w:hint="eastAsia" w:ascii="宋体" w:hAnsi="宋体" w:cs="宋体"/>
          <w:b/>
          <w:bCs/>
          <w:color w:val="auto"/>
          <w:kern w:val="0"/>
          <w:sz w:val="32"/>
          <w:szCs w:val="32"/>
          <w:highlight w:val="none"/>
        </w:rPr>
        <w:t>残疾人福利性单位声明函</w:t>
      </w:r>
      <w:bookmarkEnd w:id="555"/>
      <w:bookmarkEnd w:id="556"/>
    </w:p>
    <w:p>
      <w:pPr>
        <w:spacing w:line="360" w:lineRule="auto"/>
        <w:jc w:val="center"/>
        <w:rPr>
          <w:rFonts w:ascii="宋体" w:cs="宋体"/>
          <w:b/>
          <w:color w:val="auto"/>
          <w:spacing w:val="6"/>
          <w:sz w:val="32"/>
          <w:szCs w:val="32"/>
          <w:highlight w:val="none"/>
        </w:rPr>
      </w:pPr>
    </w:p>
    <w:p>
      <w:pPr>
        <w:spacing w:line="360" w:lineRule="auto"/>
        <w:ind w:firstLine="504" w:firstLineChars="200"/>
        <w:jc w:val="left"/>
        <w:rPr>
          <w:rFonts w:ascii="宋体" w:cs="宋体"/>
          <w:color w:val="auto"/>
          <w:spacing w:val="6"/>
          <w:sz w:val="24"/>
          <w:szCs w:val="21"/>
          <w:highlight w:val="none"/>
        </w:rPr>
      </w:pPr>
      <w:r>
        <w:rPr>
          <w:rFonts w:hint="eastAsia" w:ascii="宋体" w:hAnsi="宋体" w:cs="宋体"/>
          <w:color w:val="auto"/>
          <w:spacing w:val="6"/>
          <w:sz w:val="24"/>
          <w:szCs w:val="21"/>
          <w:highlight w:val="none"/>
        </w:rPr>
        <w:t>（制造商属于残疾人福利性单位的填写，不属于的无需填写或不提供此项内容）</w:t>
      </w:r>
    </w:p>
    <w:p>
      <w:pPr>
        <w:spacing w:line="360" w:lineRule="auto"/>
        <w:ind w:firstLine="504" w:firstLineChars="200"/>
        <w:jc w:val="left"/>
        <w:rPr>
          <w:rFonts w:ascii="宋体" w:cs="宋体"/>
          <w:color w:val="auto"/>
          <w:spacing w:val="6"/>
          <w:sz w:val="24"/>
          <w:szCs w:val="21"/>
          <w:highlight w:val="none"/>
        </w:rPr>
      </w:pPr>
      <w:r>
        <w:rPr>
          <w:rFonts w:hint="eastAsia" w:ascii="宋体" w:hAnsi="宋体" w:cs="宋体"/>
          <w:color w:val="auto"/>
          <w:spacing w:val="6"/>
          <w:sz w:val="24"/>
          <w:szCs w:val="21"/>
          <w:highlight w:val="none"/>
        </w:rPr>
        <w:t>本单位郑重声明，根据《财政部</w:t>
      </w:r>
      <w:r>
        <w:rPr>
          <w:rFonts w:ascii="宋体" w:cs="宋体"/>
          <w:color w:val="auto"/>
          <w:spacing w:val="6"/>
          <w:sz w:val="24"/>
          <w:szCs w:val="21"/>
          <w:highlight w:val="none"/>
        </w:rPr>
        <w:t> </w:t>
      </w:r>
      <w:r>
        <w:rPr>
          <w:rFonts w:hint="eastAsia" w:ascii="宋体" w:hAnsi="宋体" w:cs="宋体"/>
          <w:color w:val="auto"/>
          <w:spacing w:val="6"/>
          <w:sz w:val="24"/>
          <w:szCs w:val="21"/>
          <w:highlight w:val="none"/>
        </w:rPr>
        <w:t>民政部</w:t>
      </w:r>
      <w:r>
        <w:rPr>
          <w:rFonts w:ascii="宋体" w:cs="宋体"/>
          <w:color w:val="auto"/>
          <w:spacing w:val="6"/>
          <w:sz w:val="24"/>
          <w:szCs w:val="21"/>
          <w:highlight w:val="none"/>
        </w:rPr>
        <w:t> </w:t>
      </w:r>
      <w:r>
        <w:rPr>
          <w:rFonts w:hint="eastAsia" w:ascii="宋体" w:hAnsi="宋体" w:cs="宋体"/>
          <w:color w:val="auto"/>
          <w:spacing w:val="6"/>
          <w:sz w:val="24"/>
          <w:szCs w:val="21"/>
          <w:highlight w:val="none"/>
        </w:rPr>
        <w:t>中国残疾人联合会关于促进残疾人就业政府采购政策的通知》（财库〔</w:t>
      </w:r>
      <w:r>
        <w:rPr>
          <w:rFonts w:ascii="宋体" w:hAnsi="宋体" w:cs="宋体"/>
          <w:color w:val="auto"/>
          <w:spacing w:val="6"/>
          <w:sz w:val="24"/>
          <w:szCs w:val="21"/>
          <w:highlight w:val="none"/>
        </w:rPr>
        <w:t>2017</w:t>
      </w:r>
      <w:r>
        <w:rPr>
          <w:rFonts w:hint="eastAsia" w:ascii="宋体" w:hAnsi="宋体" w:cs="宋体"/>
          <w:color w:val="auto"/>
          <w:spacing w:val="6"/>
          <w:sz w:val="24"/>
          <w:szCs w:val="21"/>
          <w:highlight w:val="none"/>
        </w:rPr>
        <w:t>〕</w:t>
      </w:r>
      <w:r>
        <w:rPr>
          <w:rFonts w:ascii="宋体" w:hAnsi="宋体" w:cs="宋体"/>
          <w:color w:val="auto"/>
          <w:spacing w:val="6"/>
          <w:sz w:val="24"/>
          <w:szCs w:val="21"/>
          <w:highlight w:val="none"/>
        </w:rPr>
        <w:t xml:space="preserve"> 141</w:t>
      </w:r>
      <w:r>
        <w:rPr>
          <w:rFonts w:hint="eastAsia" w:ascii="宋体" w:hAnsi="宋体" w:cs="宋体"/>
          <w:color w:val="auto"/>
          <w:spacing w:val="6"/>
          <w:sz w:val="24"/>
          <w:szCs w:val="21"/>
          <w:highlight w:val="none"/>
        </w:rPr>
        <w:t>号）的规定，本单位为符合条件的残疾人福利性单位，为（单位名称）的（项目名称）采购活动提供本单位制造的货物。</w:t>
      </w:r>
    </w:p>
    <w:p>
      <w:pPr>
        <w:spacing w:line="360" w:lineRule="auto"/>
        <w:ind w:firstLine="504" w:firstLineChars="200"/>
        <w:jc w:val="left"/>
        <w:rPr>
          <w:rFonts w:ascii="宋体" w:cs="宋体"/>
          <w:color w:val="auto"/>
          <w:spacing w:val="6"/>
          <w:sz w:val="24"/>
          <w:szCs w:val="21"/>
          <w:highlight w:val="none"/>
        </w:rPr>
      </w:pPr>
      <w:r>
        <w:rPr>
          <w:rFonts w:hint="eastAsia" w:ascii="宋体" w:hAnsi="宋体" w:cs="宋体"/>
          <w:color w:val="auto"/>
          <w:spacing w:val="6"/>
          <w:sz w:val="24"/>
          <w:szCs w:val="21"/>
          <w:highlight w:val="none"/>
        </w:rPr>
        <w:t>本单位对上述声明的真实性负责。如有虚假，将依法承担相应责任。</w:t>
      </w:r>
    </w:p>
    <w:p>
      <w:pPr>
        <w:spacing w:line="360" w:lineRule="auto"/>
        <w:ind w:firstLine="504" w:firstLineChars="200"/>
        <w:jc w:val="left"/>
        <w:rPr>
          <w:rFonts w:ascii="宋体" w:cs="宋体"/>
          <w:color w:val="auto"/>
          <w:spacing w:val="6"/>
          <w:sz w:val="24"/>
          <w:szCs w:val="21"/>
          <w:highlight w:val="none"/>
        </w:rPr>
      </w:pPr>
    </w:p>
    <w:p>
      <w:pPr>
        <w:spacing w:line="360" w:lineRule="auto"/>
        <w:ind w:firstLine="504" w:firstLineChars="200"/>
        <w:jc w:val="left"/>
        <w:rPr>
          <w:rFonts w:ascii="宋体" w:cs="宋体"/>
          <w:color w:val="auto"/>
          <w:spacing w:val="6"/>
          <w:sz w:val="24"/>
          <w:szCs w:val="21"/>
          <w:highlight w:val="none"/>
        </w:rPr>
      </w:pPr>
    </w:p>
    <w:p>
      <w:pPr>
        <w:spacing w:line="360" w:lineRule="auto"/>
        <w:ind w:firstLine="4788" w:firstLineChars="1900"/>
        <w:jc w:val="left"/>
        <w:rPr>
          <w:rFonts w:ascii="宋体" w:cs="宋体"/>
          <w:color w:val="auto"/>
          <w:spacing w:val="6"/>
          <w:sz w:val="24"/>
          <w:szCs w:val="21"/>
          <w:highlight w:val="none"/>
        </w:rPr>
      </w:pPr>
      <w:r>
        <w:rPr>
          <w:rFonts w:hint="eastAsia" w:ascii="宋体" w:hAnsi="宋体" w:cs="宋体"/>
          <w:color w:val="auto"/>
          <w:spacing w:val="6"/>
          <w:sz w:val="24"/>
          <w:szCs w:val="21"/>
          <w:highlight w:val="none"/>
        </w:rPr>
        <w:t>制造商（企业电子签章或公章）：</w:t>
      </w:r>
      <w:r>
        <w:rPr>
          <w:rFonts w:ascii="宋体" w:hAnsi="宋体" w:cs="宋体"/>
          <w:color w:val="auto"/>
          <w:spacing w:val="6"/>
          <w:sz w:val="24"/>
          <w:szCs w:val="21"/>
          <w:highlight w:val="none"/>
        </w:rPr>
        <w:t xml:space="preserve">                     </w:t>
      </w:r>
    </w:p>
    <w:p>
      <w:pPr>
        <w:spacing w:line="360" w:lineRule="auto"/>
        <w:ind w:firstLine="4536" w:firstLineChars="1800"/>
        <w:jc w:val="left"/>
        <w:rPr>
          <w:rFonts w:ascii="宋体" w:cs="宋体"/>
          <w:color w:val="auto"/>
          <w:spacing w:val="6"/>
          <w:sz w:val="24"/>
          <w:szCs w:val="21"/>
          <w:highlight w:val="none"/>
        </w:rPr>
      </w:pPr>
      <w:r>
        <w:rPr>
          <w:rFonts w:hint="eastAsia" w:ascii="宋体" w:hAnsi="宋体" w:cs="宋体"/>
          <w:color w:val="auto"/>
          <w:spacing w:val="6"/>
          <w:sz w:val="24"/>
          <w:szCs w:val="21"/>
          <w:highlight w:val="none"/>
        </w:rPr>
        <w:t>日</w:t>
      </w:r>
      <w:r>
        <w:rPr>
          <w:rFonts w:ascii="宋体" w:hAnsi="宋体" w:cs="宋体"/>
          <w:color w:val="auto"/>
          <w:spacing w:val="6"/>
          <w:sz w:val="24"/>
          <w:szCs w:val="21"/>
          <w:highlight w:val="none"/>
        </w:rPr>
        <w:t xml:space="preserve">  </w:t>
      </w:r>
      <w:r>
        <w:rPr>
          <w:rFonts w:hint="eastAsia" w:ascii="宋体" w:hAnsi="宋体" w:cs="宋体"/>
          <w:color w:val="auto"/>
          <w:spacing w:val="6"/>
          <w:sz w:val="24"/>
          <w:szCs w:val="21"/>
          <w:highlight w:val="none"/>
        </w:rPr>
        <w:t>期：</w:t>
      </w:r>
      <w:r>
        <w:rPr>
          <w:rFonts w:ascii="宋体" w:hAnsi="宋体" w:cs="宋体"/>
          <w:color w:val="auto"/>
          <w:spacing w:val="6"/>
          <w:sz w:val="24"/>
          <w:szCs w:val="21"/>
          <w:highlight w:val="none"/>
        </w:rPr>
        <w:t xml:space="preserve">     </w:t>
      </w:r>
      <w:r>
        <w:rPr>
          <w:rFonts w:hint="eastAsia" w:ascii="宋体" w:hAnsi="宋体" w:cs="宋体"/>
          <w:color w:val="auto"/>
          <w:spacing w:val="6"/>
          <w:sz w:val="24"/>
          <w:szCs w:val="21"/>
          <w:highlight w:val="none"/>
        </w:rPr>
        <w:t>年</w:t>
      </w:r>
      <w:r>
        <w:rPr>
          <w:rFonts w:ascii="宋体" w:hAnsi="宋体" w:cs="宋体"/>
          <w:color w:val="auto"/>
          <w:spacing w:val="6"/>
          <w:sz w:val="24"/>
          <w:szCs w:val="21"/>
          <w:highlight w:val="none"/>
        </w:rPr>
        <w:t xml:space="preserve">     </w:t>
      </w:r>
      <w:r>
        <w:rPr>
          <w:rFonts w:hint="eastAsia" w:ascii="宋体" w:hAnsi="宋体" w:cs="宋体"/>
          <w:color w:val="auto"/>
          <w:spacing w:val="6"/>
          <w:sz w:val="24"/>
          <w:szCs w:val="21"/>
          <w:highlight w:val="none"/>
        </w:rPr>
        <w:t>月</w:t>
      </w:r>
      <w:r>
        <w:rPr>
          <w:rFonts w:ascii="宋体" w:hAnsi="宋体" w:cs="宋体"/>
          <w:color w:val="auto"/>
          <w:spacing w:val="6"/>
          <w:sz w:val="24"/>
          <w:szCs w:val="21"/>
          <w:highlight w:val="none"/>
        </w:rPr>
        <w:t xml:space="preserve">     </w:t>
      </w:r>
      <w:r>
        <w:rPr>
          <w:rFonts w:hint="eastAsia" w:ascii="宋体" w:hAnsi="宋体" w:cs="宋体"/>
          <w:color w:val="auto"/>
          <w:spacing w:val="6"/>
          <w:sz w:val="24"/>
          <w:szCs w:val="21"/>
          <w:highlight w:val="none"/>
        </w:rPr>
        <w:t>日</w:t>
      </w:r>
    </w:p>
    <w:p>
      <w:pPr>
        <w:spacing w:line="360" w:lineRule="auto"/>
        <w:ind w:firstLine="504" w:firstLineChars="200"/>
        <w:jc w:val="left"/>
        <w:rPr>
          <w:rFonts w:ascii="宋体" w:cs="宋体"/>
          <w:color w:val="auto"/>
          <w:spacing w:val="6"/>
          <w:sz w:val="24"/>
          <w:szCs w:val="21"/>
          <w:highlight w:val="none"/>
        </w:rPr>
      </w:pPr>
      <w:r>
        <w:rPr>
          <w:rFonts w:hint="eastAsia" w:ascii="宋体" w:hAnsi="宋体" w:cs="宋体"/>
          <w:color w:val="auto"/>
          <w:spacing w:val="6"/>
          <w:sz w:val="24"/>
          <w:szCs w:val="21"/>
          <w:highlight w:val="none"/>
        </w:rPr>
        <w:t>备注：</w:t>
      </w:r>
    </w:p>
    <w:p>
      <w:pPr>
        <w:spacing w:line="360" w:lineRule="auto"/>
        <w:ind w:firstLine="504" w:firstLineChars="200"/>
        <w:jc w:val="left"/>
        <w:rPr>
          <w:rFonts w:ascii="宋体" w:cs="宋体"/>
          <w:color w:val="auto"/>
          <w:spacing w:val="6"/>
          <w:sz w:val="24"/>
          <w:szCs w:val="21"/>
          <w:highlight w:val="none"/>
        </w:rPr>
      </w:pPr>
      <w:r>
        <w:rPr>
          <w:rFonts w:ascii="宋体" w:hAnsi="宋体" w:cs="宋体"/>
          <w:color w:val="auto"/>
          <w:spacing w:val="6"/>
          <w:sz w:val="24"/>
          <w:szCs w:val="21"/>
          <w:highlight w:val="none"/>
        </w:rPr>
        <w:t>1</w:t>
      </w:r>
      <w:r>
        <w:rPr>
          <w:rFonts w:hint="eastAsia" w:ascii="宋体" w:hAnsi="宋体" w:cs="宋体"/>
          <w:color w:val="auto"/>
          <w:spacing w:val="6"/>
          <w:sz w:val="24"/>
          <w:szCs w:val="21"/>
          <w:highlight w:val="none"/>
        </w:rPr>
        <w:t>、制造商为残疾人福利性单位的，随中标、成交结果同时公告《残疾人福利性单位声明函》，接受社会监督。</w:t>
      </w:r>
    </w:p>
    <w:p>
      <w:pPr>
        <w:spacing w:line="360" w:lineRule="auto"/>
        <w:ind w:firstLine="504" w:firstLineChars="200"/>
        <w:jc w:val="left"/>
        <w:rPr>
          <w:rFonts w:ascii="宋体" w:cs="宋体"/>
          <w:color w:val="auto"/>
          <w:spacing w:val="6"/>
          <w:sz w:val="24"/>
          <w:szCs w:val="21"/>
          <w:highlight w:val="none"/>
        </w:rPr>
      </w:pPr>
      <w:r>
        <w:rPr>
          <w:rFonts w:ascii="宋体" w:hAnsi="宋体" w:cs="宋体"/>
          <w:color w:val="auto"/>
          <w:spacing w:val="6"/>
          <w:sz w:val="24"/>
          <w:szCs w:val="21"/>
          <w:highlight w:val="none"/>
        </w:rPr>
        <w:t>2</w:t>
      </w:r>
      <w:r>
        <w:rPr>
          <w:rFonts w:hint="eastAsia" w:ascii="宋体" w:hAnsi="宋体" w:cs="宋体"/>
          <w:color w:val="auto"/>
          <w:spacing w:val="6"/>
          <w:sz w:val="24"/>
          <w:szCs w:val="21"/>
          <w:highlight w:val="none"/>
        </w:rPr>
        <w:t>、投标人提供的《残疾人福利性单位声明函》与事实不符的，依照《政府采购法》第七十七条第一款的规定追究法律责任。</w:t>
      </w:r>
    </w:p>
    <w:p>
      <w:pPr>
        <w:widowControl/>
        <w:spacing w:line="360" w:lineRule="auto"/>
        <w:ind w:firstLine="562" w:firstLineChars="200"/>
        <w:jc w:val="left"/>
        <w:rPr>
          <w:rFonts w:ascii="宋体" w:cs="宋体"/>
          <w:bCs/>
          <w:color w:val="auto"/>
          <w:sz w:val="24"/>
          <w:highlight w:val="none"/>
        </w:rPr>
      </w:pPr>
      <w:r>
        <w:rPr>
          <w:rFonts w:ascii="宋体" w:cs="宋体"/>
          <w:b/>
          <w:color w:val="auto"/>
          <w:sz w:val="28"/>
          <w:szCs w:val="28"/>
          <w:highlight w:val="none"/>
        </w:rPr>
        <w:br w:type="page"/>
      </w:r>
    </w:p>
    <w:p>
      <w:pPr>
        <w:widowControl/>
        <w:spacing w:line="360" w:lineRule="auto"/>
        <w:jc w:val="center"/>
        <w:outlineLvl w:val="2"/>
        <w:rPr>
          <w:rFonts w:ascii="微软雅黑" w:hAnsi="微软雅黑" w:eastAsia="微软雅黑" w:cs="宋体"/>
          <w:b/>
          <w:bCs/>
          <w:color w:val="auto"/>
          <w:kern w:val="36"/>
          <w:sz w:val="28"/>
          <w:szCs w:val="28"/>
          <w:highlight w:val="none"/>
        </w:rPr>
      </w:pPr>
      <w:bookmarkStart w:id="557" w:name="_Toc5378"/>
      <w:r>
        <w:rPr>
          <w:rFonts w:hint="eastAsia" w:ascii="宋体" w:hAnsi="宋体" w:cs="宋体"/>
          <w:b/>
          <w:bCs/>
          <w:color w:val="auto"/>
          <w:sz w:val="24"/>
          <w:szCs w:val="21"/>
          <w:highlight w:val="none"/>
        </w:rPr>
        <w:t>关于印发节能产品政府采购品目清单的通知</w:t>
      </w:r>
      <w:bookmarkEnd w:id="557"/>
    </w:p>
    <w:p>
      <w:pPr>
        <w:snapToGrid w:val="0"/>
        <w:spacing w:line="360" w:lineRule="auto"/>
        <w:ind w:firstLine="480" w:firstLineChars="200"/>
        <w:jc w:val="center"/>
        <w:rPr>
          <w:rFonts w:ascii="宋体" w:cs="宋体"/>
          <w:color w:val="auto"/>
          <w:sz w:val="24"/>
          <w:szCs w:val="21"/>
          <w:highlight w:val="none"/>
        </w:rPr>
      </w:pPr>
      <w:r>
        <w:rPr>
          <w:rFonts w:hint="eastAsia" w:ascii="宋体" w:hAnsi="宋体" w:cs="宋体"/>
          <w:color w:val="auto"/>
          <w:sz w:val="24"/>
          <w:szCs w:val="21"/>
          <w:highlight w:val="none"/>
        </w:rPr>
        <w:t>财库〔</w:t>
      </w:r>
      <w:r>
        <w:rPr>
          <w:rFonts w:ascii="宋体" w:hAnsi="宋体" w:cs="宋体"/>
          <w:color w:val="auto"/>
          <w:sz w:val="24"/>
          <w:szCs w:val="21"/>
          <w:highlight w:val="none"/>
        </w:rPr>
        <w:t>2019</w:t>
      </w:r>
      <w:r>
        <w:rPr>
          <w:rFonts w:hint="eastAsia" w:ascii="宋体" w:hAnsi="宋体" w:cs="宋体"/>
          <w:color w:val="auto"/>
          <w:sz w:val="24"/>
          <w:szCs w:val="21"/>
          <w:highlight w:val="none"/>
        </w:rPr>
        <w:t>〕</w:t>
      </w:r>
      <w:r>
        <w:rPr>
          <w:rFonts w:ascii="宋体" w:hAnsi="宋体" w:cs="宋体"/>
          <w:color w:val="auto"/>
          <w:sz w:val="24"/>
          <w:szCs w:val="21"/>
          <w:highlight w:val="none"/>
        </w:rPr>
        <w:t>19</w:t>
      </w:r>
      <w:r>
        <w:rPr>
          <w:rFonts w:hint="eastAsia" w:ascii="宋体" w:hAnsi="宋体" w:cs="宋体"/>
          <w:color w:val="auto"/>
          <w:sz w:val="24"/>
          <w:szCs w:val="21"/>
          <w:highlight w:val="none"/>
        </w:rPr>
        <w:t>号</w:t>
      </w:r>
    </w:p>
    <w:p>
      <w:pPr>
        <w:autoSpaceDE w:val="0"/>
        <w:autoSpaceDN w:val="0"/>
        <w:adjustRightInd w:val="0"/>
        <w:spacing w:line="360" w:lineRule="auto"/>
        <w:jc w:val="left"/>
        <w:rPr>
          <w:rFonts w:ascii="宋体" w:cs="宋体"/>
          <w:color w:val="auto"/>
          <w:kern w:val="0"/>
          <w:sz w:val="24"/>
          <w:highlight w:val="none"/>
        </w:rPr>
      </w:pPr>
    </w:p>
    <w:p>
      <w:pPr>
        <w:snapToGrid w:val="0"/>
        <w:spacing w:line="360" w:lineRule="auto"/>
        <w:ind w:firstLine="480" w:firstLineChars="200"/>
        <w:jc w:val="left"/>
        <w:rPr>
          <w:rFonts w:ascii="宋体" w:cs="宋体"/>
          <w:color w:val="auto"/>
          <w:sz w:val="24"/>
          <w:szCs w:val="21"/>
          <w:highlight w:val="none"/>
        </w:rPr>
      </w:pPr>
      <w:r>
        <w:rPr>
          <w:rFonts w:hint="eastAsia" w:ascii="宋体" w:hAnsi="宋体" w:cs="宋体"/>
          <w:color w:val="auto"/>
          <w:sz w:val="24"/>
          <w:szCs w:val="21"/>
          <w:highlight w:val="none"/>
        </w:rPr>
        <w:t>有关中央预算单位，各省、自治区、直辖市、计划单列市财政厅（局）、发展改革委（经信委、工信委、工信厅、经信局），新疆生产建设兵团财政局、发展改革委：</w:t>
      </w:r>
    </w:p>
    <w:p>
      <w:pPr>
        <w:snapToGrid w:val="0"/>
        <w:spacing w:line="360" w:lineRule="auto"/>
        <w:ind w:firstLine="480" w:firstLineChars="200"/>
        <w:jc w:val="left"/>
        <w:rPr>
          <w:rFonts w:ascii="宋体" w:cs="宋体"/>
          <w:color w:val="auto"/>
          <w:sz w:val="24"/>
          <w:szCs w:val="21"/>
          <w:highlight w:val="none"/>
        </w:rPr>
      </w:pPr>
      <w:r>
        <w:rPr>
          <w:rFonts w:hint="eastAsia" w:ascii="宋体" w:hAnsi="宋体" w:cs="宋体"/>
          <w:color w:val="auto"/>
          <w:sz w:val="24"/>
          <w:szCs w:val="21"/>
          <w:highlight w:val="none"/>
        </w:rPr>
        <w:t>根据《财政部</w:t>
      </w:r>
      <w:r>
        <w:rPr>
          <w:rFonts w:ascii="宋体" w:hAnsi="宋体" w:cs="宋体"/>
          <w:color w:val="auto"/>
          <w:sz w:val="24"/>
          <w:szCs w:val="21"/>
          <w:highlight w:val="none"/>
        </w:rPr>
        <w:t xml:space="preserve"> </w:t>
      </w:r>
      <w:r>
        <w:rPr>
          <w:rFonts w:hint="eastAsia" w:ascii="宋体" w:hAnsi="宋体" w:cs="宋体"/>
          <w:color w:val="auto"/>
          <w:sz w:val="24"/>
          <w:szCs w:val="21"/>
          <w:highlight w:val="none"/>
        </w:rPr>
        <w:t>发展改革委</w:t>
      </w:r>
      <w:r>
        <w:rPr>
          <w:rFonts w:ascii="宋体" w:hAnsi="宋体" w:cs="宋体"/>
          <w:color w:val="auto"/>
          <w:sz w:val="24"/>
          <w:szCs w:val="21"/>
          <w:highlight w:val="none"/>
        </w:rPr>
        <w:t xml:space="preserve"> </w:t>
      </w:r>
      <w:r>
        <w:rPr>
          <w:rFonts w:hint="eastAsia" w:ascii="宋体" w:hAnsi="宋体" w:cs="宋体"/>
          <w:color w:val="auto"/>
          <w:sz w:val="24"/>
          <w:szCs w:val="21"/>
          <w:highlight w:val="none"/>
        </w:rPr>
        <w:t>生态环境部</w:t>
      </w:r>
      <w:r>
        <w:rPr>
          <w:rFonts w:ascii="宋体" w:hAnsi="宋体" w:cs="宋体"/>
          <w:color w:val="auto"/>
          <w:sz w:val="24"/>
          <w:szCs w:val="21"/>
          <w:highlight w:val="none"/>
        </w:rPr>
        <w:t xml:space="preserve"> </w:t>
      </w:r>
      <w:r>
        <w:rPr>
          <w:rFonts w:hint="eastAsia" w:ascii="宋体" w:hAnsi="宋体" w:cs="宋体"/>
          <w:color w:val="auto"/>
          <w:sz w:val="24"/>
          <w:szCs w:val="21"/>
          <w:highlight w:val="none"/>
        </w:rPr>
        <w:t>市场监管总局关于调整优化节能产品</w:t>
      </w:r>
      <w:r>
        <w:rPr>
          <w:rFonts w:ascii="宋体" w:hAnsi="宋体" w:cs="宋体"/>
          <w:color w:val="auto"/>
          <w:sz w:val="24"/>
          <w:szCs w:val="21"/>
          <w:highlight w:val="none"/>
        </w:rPr>
        <w:t xml:space="preserve"> </w:t>
      </w:r>
      <w:r>
        <w:rPr>
          <w:rFonts w:hint="eastAsia" w:ascii="宋体" w:hAnsi="宋体" w:cs="宋体"/>
          <w:color w:val="auto"/>
          <w:sz w:val="24"/>
          <w:szCs w:val="21"/>
          <w:highlight w:val="none"/>
        </w:rPr>
        <w:t>环境标志产品政府采购执行机制的通知》（财库〔</w:t>
      </w:r>
      <w:r>
        <w:rPr>
          <w:rFonts w:ascii="宋体" w:hAnsi="宋体" w:cs="宋体"/>
          <w:color w:val="auto"/>
          <w:sz w:val="24"/>
          <w:szCs w:val="21"/>
          <w:highlight w:val="none"/>
        </w:rPr>
        <w:t>2019</w:t>
      </w:r>
      <w:r>
        <w:rPr>
          <w:rFonts w:hint="eastAsia" w:ascii="宋体" w:hAnsi="宋体" w:cs="宋体"/>
          <w:color w:val="auto"/>
          <w:sz w:val="24"/>
          <w:szCs w:val="21"/>
          <w:highlight w:val="none"/>
        </w:rPr>
        <w:t>〕</w:t>
      </w:r>
      <w:r>
        <w:rPr>
          <w:rFonts w:ascii="宋体" w:hAnsi="宋体" w:cs="宋体"/>
          <w:color w:val="auto"/>
          <w:sz w:val="24"/>
          <w:szCs w:val="21"/>
          <w:highlight w:val="none"/>
        </w:rPr>
        <w:t>9</w:t>
      </w:r>
      <w:r>
        <w:rPr>
          <w:rFonts w:hint="eastAsia" w:ascii="宋体" w:hAnsi="宋体" w:cs="宋体"/>
          <w:color w:val="auto"/>
          <w:sz w:val="24"/>
          <w:szCs w:val="21"/>
          <w:highlight w:val="none"/>
        </w:rPr>
        <w:t>号），我们研究制定节能产品政府采购品目清单，现印发给你们，请遵照执行。</w:t>
      </w:r>
    </w:p>
    <w:p>
      <w:pPr>
        <w:snapToGrid w:val="0"/>
        <w:spacing w:line="360" w:lineRule="auto"/>
        <w:ind w:firstLine="480" w:firstLineChars="200"/>
        <w:jc w:val="left"/>
        <w:rPr>
          <w:rFonts w:ascii="宋体" w:cs="宋体"/>
          <w:color w:val="auto"/>
          <w:sz w:val="24"/>
          <w:szCs w:val="21"/>
          <w:highlight w:val="none"/>
        </w:rPr>
      </w:pPr>
      <w:r>
        <w:rPr>
          <w:rFonts w:hint="eastAsia" w:ascii="宋体" w:hAnsi="宋体" w:cs="宋体"/>
          <w:color w:val="auto"/>
          <w:sz w:val="24"/>
          <w:szCs w:val="21"/>
          <w:highlight w:val="none"/>
        </w:rPr>
        <w:t>附件：节能产品政府采购品目清单</w:t>
      </w:r>
    </w:p>
    <w:p>
      <w:pPr>
        <w:snapToGrid w:val="0"/>
        <w:spacing w:line="360" w:lineRule="auto"/>
        <w:ind w:firstLine="480" w:firstLineChars="200"/>
        <w:jc w:val="right"/>
        <w:rPr>
          <w:rFonts w:ascii="宋体" w:cs="宋体"/>
          <w:color w:val="auto"/>
          <w:sz w:val="24"/>
          <w:szCs w:val="21"/>
          <w:highlight w:val="none"/>
        </w:rPr>
      </w:pPr>
      <w:r>
        <w:rPr>
          <w:rFonts w:hint="eastAsia" w:ascii="宋体" w:hAnsi="宋体" w:cs="宋体"/>
          <w:color w:val="auto"/>
          <w:sz w:val="24"/>
          <w:szCs w:val="21"/>
          <w:highlight w:val="none"/>
        </w:rPr>
        <w:t>财政部</w:t>
      </w:r>
      <w:r>
        <w:rPr>
          <w:rFonts w:ascii="宋体" w:hAnsi="宋体" w:cs="宋体"/>
          <w:color w:val="auto"/>
          <w:sz w:val="24"/>
          <w:szCs w:val="21"/>
          <w:highlight w:val="none"/>
        </w:rPr>
        <w:t xml:space="preserve"> </w:t>
      </w:r>
      <w:r>
        <w:rPr>
          <w:rFonts w:hint="eastAsia" w:ascii="宋体" w:hAnsi="宋体" w:cs="宋体"/>
          <w:color w:val="auto"/>
          <w:sz w:val="24"/>
          <w:szCs w:val="21"/>
          <w:highlight w:val="none"/>
        </w:rPr>
        <w:t>发展改革委</w:t>
      </w:r>
    </w:p>
    <w:p>
      <w:pPr>
        <w:snapToGrid w:val="0"/>
        <w:spacing w:line="360" w:lineRule="auto"/>
        <w:ind w:firstLine="480" w:firstLineChars="200"/>
        <w:jc w:val="right"/>
        <w:rPr>
          <w:rFonts w:ascii="宋体" w:cs="宋体"/>
          <w:color w:val="auto"/>
          <w:sz w:val="24"/>
          <w:szCs w:val="21"/>
          <w:highlight w:val="none"/>
        </w:rPr>
      </w:pPr>
      <w:r>
        <w:rPr>
          <w:rFonts w:ascii="宋体" w:hAnsi="宋体" w:cs="宋体"/>
          <w:color w:val="auto"/>
          <w:sz w:val="24"/>
          <w:szCs w:val="21"/>
          <w:highlight w:val="none"/>
        </w:rPr>
        <w:t>2019</w:t>
      </w:r>
      <w:r>
        <w:rPr>
          <w:rFonts w:hint="eastAsia" w:ascii="宋体" w:hAnsi="宋体" w:cs="宋体"/>
          <w:color w:val="auto"/>
          <w:sz w:val="24"/>
          <w:szCs w:val="21"/>
          <w:highlight w:val="none"/>
        </w:rPr>
        <w:t>年</w:t>
      </w:r>
      <w:r>
        <w:rPr>
          <w:rFonts w:ascii="宋体" w:hAnsi="宋体" w:cs="宋体"/>
          <w:color w:val="auto"/>
          <w:sz w:val="24"/>
          <w:szCs w:val="21"/>
          <w:highlight w:val="none"/>
        </w:rPr>
        <w:t>4</w:t>
      </w:r>
      <w:r>
        <w:rPr>
          <w:rFonts w:hint="eastAsia" w:ascii="宋体" w:hAnsi="宋体" w:cs="宋体"/>
          <w:color w:val="auto"/>
          <w:sz w:val="24"/>
          <w:szCs w:val="21"/>
          <w:highlight w:val="none"/>
        </w:rPr>
        <w:t>月</w:t>
      </w:r>
      <w:r>
        <w:rPr>
          <w:rFonts w:ascii="宋体" w:hAnsi="宋体" w:cs="宋体"/>
          <w:color w:val="auto"/>
          <w:sz w:val="24"/>
          <w:szCs w:val="21"/>
          <w:highlight w:val="none"/>
        </w:rPr>
        <w:t>2</w:t>
      </w:r>
      <w:r>
        <w:rPr>
          <w:rFonts w:hint="eastAsia" w:ascii="宋体" w:hAnsi="宋体" w:cs="宋体"/>
          <w:color w:val="auto"/>
          <w:sz w:val="24"/>
          <w:szCs w:val="21"/>
          <w:highlight w:val="none"/>
        </w:rPr>
        <w:t>日</w:t>
      </w:r>
    </w:p>
    <w:p>
      <w:pPr>
        <w:spacing w:line="360" w:lineRule="auto"/>
        <w:jc w:val="right"/>
        <w:rPr>
          <w:color w:val="auto"/>
          <w:sz w:val="24"/>
          <w:highlight w:val="none"/>
        </w:rPr>
      </w:pPr>
    </w:p>
    <w:p>
      <w:pPr>
        <w:autoSpaceDE w:val="0"/>
        <w:autoSpaceDN w:val="0"/>
        <w:adjustRightInd w:val="0"/>
        <w:spacing w:line="360" w:lineRule="auto"/>
        <w:jc w:val="left"/>
        <w:rPr>
          <w:rFonts w:ascii="宋体" w:cs="宋体"/>
          <w:color w:val="auto"/>
          <w:kern w:val="0"/>
          <w:sz w:val="24"/>
          <w:highlight w:val="none"/>
        </w:rPr>
      </w:pPr>
    </w:p>
    <w:p>
      <w:pPr>
        <w:spacing w:line="360" w:lineRule="auto"/>
        <w:jc w:val="left"/>
        <w:rPr>
          <w:color w:val="auto"/>
          <w:sz w:val="24"/>
          <w:highlight w:val="none"/>
        </w:rPr>
      </w:pPr>
    </w:p>
    <w:p>
      <w:pPr>
        <w:autoSpaceDE w:val="0"/>
        <w:autoSpaceDN w:val="0"/>
        <w:adjustRightInd w:val="0"/>
        <w:spacing w:line="360" w:lineRule="auto"/>
        <w:jc w:val="left"/>
        <w:rPr>
          <w:rFonts w:ascii="宋体" w:cs="宋体"/>
          <w:color w:val="auto"/>
          <w:kern w:val="0"/>
          <w:sz w:val="24"/>
          <w:highlight w:val="none"/>
        </w:rPr>
      </w:pPr>
    </w:p>
    <w:p>
      <w:pPr>
        <w:spacing w:line="360" w:lineRule="auto"/>
        <w:jc w:val="left"/>
        <w:rPr>
          <w:color w:val="auto"/>
          <w:sz w:val="24"/>
          <w:highlight w:val="none"/>
        </w:rPr>
      </w:pPr>
    </w:p>
    <w:p>
      <w:pPr>
        <w:autoSpaceDE w:val="0"/>
        <w:autoSpaceDN w:val="0"/>
        <w:adjustRightInd w:val="0"/>
        <w:spacing w:line="360" w:lineRule="auto"/>
        <w:jc w:val="left"/>
        <w:rPr>
          <w:rFonts w:ascii="宋体" w:cs="宋体"/>
          <w:color w:val="auto"/>
          <w:kern w:val="0"/>
          <w:sz w:val="24"/>
          <w:highlight w:val="none"/>
        </w:rPr>
      </w:pPr>
    </w:p>
    <w:p>
      <w:pPr>
        <w:spacing w:line="360" w:lineRule="auto"/>
        <w:jc w:val="left"/>
        <w:rPr>
          <w:color w:val="auto"/>
          <w:sz w:val="24"/>
          <w:highlight w:val="none"/>
        </w:rPr>
      </w:pPr>
    </w:p>
    <w:p>
      <w:pPr>
        <w:autoSpaceDE w:val="0"/>
        <w:autoSpaceDN w:val="0"/>
        <w:adjustRightInd w:val="0"/>
        <w:spacing w:line="360" w:lineRule="auto"/>
        <w:jc w:val="left"/>
        <w:rPr>
          <w:rFonts w:ascii="宋体" w:cs="宋体"/>
          <w:color w:val="auto"/>
          <w:kern w:val="0"/>
          <w:sz w:val="24"/>
          <w:highlight w:val="none"/>
        </w:rPr>
      </w:pPr>
    </w:p>
    <w:p>
      <w:pPr>
        <w:spacing w:line="360" w:lineRule="auto"/>
        <w:jc w:val="left"/>
        <w:rPr>
          <w:color w:val="auto"/>
          <w:sz w:val="24"/>
          <w:highlight w:val="none"/>
        </w:rPr>
      </w:pPr>
    </w:p>
    <w:p>
      <w:pPr>
        <w:autoSpaceDE w:val="0"/>
        <w:autoSpaceDN w:val="0"/>
        <w:adjustRightInd w:val="0"/>
        <w:spacing w:line="360" w:lineRule="auto"/>
        <w:jc w:val="left"/>
        <w:rPr>
          <w:rFonts w:ascii="宋体" w:cs="宋体"/>
          <w:color w:val="auto"/>
          <w:kern w:val="0"/>
          <w:sz w:val="24"/>
          <w:highlight w:val="none"/>
        </w:rPr>
      </w:pPr>
    </w:p>
    <w:p>
      <w:pPr>
        <w:spacing w:line="360" w:lineRule="auto"/>
        <w:jc w:val="left"/>
        <w:rPr>
          <w:color w:val="auto"/>
          <w:sz w:val="24"/>
          <w:highlight w:val="none"/>
        </w:rPr>
      </w:pPr>
    </w:p>
    <w:p>
      <w:pPr>
        <w:spacing w:line="360" w:lineRule="auto"/>
        <w:jc w:val="left"/>
        <w:rPr>
          <w:color w:val="auto"/>
          <w:sz w:val="24"/>
          <w:highlight w:val="none"/>
        </w:rPr>
      </w:pPr>
    </w:p>
    <w:p>
      <w:pPr>
        <w:autoSpaceDE w:val="0"/>
        <w:autoSpaceDN w:val="0"/>
        <w:adjustRightInd w:val="0"/>
        <w:spacing w:line="360" w:lineRule="auto"/>
        <w:jc w:val="left"/>
        <w:rPr>
          <w:rFonts w:ascii="宋体" w:cs="宋体"/>
          <w:color w:val="auto"/>
          <w:kern w:val="0"/>
          <w:sz w:val="24"/>
          <w:highlight w:val="none"/>
        </w:rPr>
      </w:pPr>
    </w:p>
    <w:p>
      <w:pPr>
        <w:pStyle w:val="21"/>
        <w:spacing w:line="360" w:lineRule="auto"/>
        <w:rPr>
          <w:color w:val="auto"/>
          <w:highlight w:val="none"/>
        </w:rPr>
      </w:pPr>
    </w:p>
    <w:p>
      <w:pPr>
        <w:spacing w:line="360" w:lineRule="auto"/>
        <w:jc w:val="left"/>
        <w:rPr>
          <w:color w:val="auto"/>
          <w:sz w:val="24"/>
          <w:highlight w:val="none"/>
        </w:rPr>
      </w:pPr>
    </w:p>
    <w:p>
      <w:pPr>
        <w:autoSpaceDE w:val="0"/>
        <w:autoSpaceDN w:val="0"/>
        <w:adjustRightInd w:val="0"/>
        <w:spacing w:line="360" w:lineRule="auto"/>
        <w:jc w:val="left"/>
        <w:rPr>
          <w:rFonts w:ascii="宋体" w:cs="宋体"/>
          <w:color w:val="auto"/>
          <w:kern w:val="0"/>
          <w:sz w:val="24"/>
          <w:highlight w:val="none"/>
        </w:rPr>
      </w:pPr>
    </w:p>
    <w:p>
      <w:pPr>
        <w:spacing w:line="360" w:lineRule="auto"/>
        <w:jc w:val="left"/>
        <w:rPr>
          <w:color w:val="auto"/>
          <w:sz w:val="24"/>
          <w:highlight w:val="none"/>
        </w:rPr>
      </w:pPr>
    </w:p>
    <w:p>
      <w:pPr>
        <w:autoSpaceDE w:val="0"/>
        <w:autoSpaceDN w:val="0"/>
        <w:adjustRightInd w:val="0"/>
        <w:spacing w:line="360" w:lineRule="auto"/>
        <w:jc w:val="left"/>
        <w:rPr>
          <w:rFonts w:ascii="宋体" w:cs="宋体"/>
          <w:color w:val="auto"/>
          <w:kern w:val="0"/>
          <w:sz w:val="24"/>
          <w:highlight w:val="none"/>
        </w:rPr>
      </w:pPr>
    </w:p>
    <w:p>
      <w:pPr>
        <w:widowControl/>
        <w:spacing w:line="360" w:lineRule="auto"/>
        <w:jc w:val="center"/>
        <w:outlineLvl w:val="2"/>
        <w:rPr>
          <w:rFonts w:ascii="宋体" w:cs="宋体"/>
          <w:b/>
          <w:bCs/>
          <w:color w:val="auto"/>
          <w:sz w:val="24"/>
          <w:szCs w:val="21"/>
          <w:highlight w:val="none"/>
        </w:rPr>
      </w:pPr>
      <w:bookmarkStart w:id="558" w:name="_Toc873"/>
      <w:r>
        <w:rPr>
          <w:rFonts w:hint="eastAsia" w:ascii="宋体" w:hAnsi="宋体" w:cs="宋体"/>
          <w:b/>
          <w:bCs/>
          <w:color w:val="auto"/>
          <w:sz w:val="24"/>
          <w:szCs w:val="21"/>
          <w:highlight w:val="none"/>
        </w:rPr>
        <w:t>节能产品政府采购品目清单</w:t>
      </w:r>
      <w:bookmarkEnd w:id="558"/>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386"/>
        <w:gridCol w:w="1825"/>
        <w:gridCol w:w="1599"/>
        <w:gridCol w:w="2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Pr>
          <w:p>
            <w:pPr>
              <w:spacing w:line="360" w:lineRule="auto"/>
              <w:jc w:val="center"/>
              <w:rPr>
                <w:rFonts w:ascii="宋体" w:cs="宋体"/>
                <w:color w:val="auto"/>
                <w:szCs w:val="21"/>
                <w:highlight w:val="none"/>
              </w:rPr>
            </w:pPr>
            <w:r>
              <w:rPr>
                <w:rFonts w:hint="eastAsia" w:ascii="宋体" w:hAnsi="宋体" w:cs="宋体"/>
                <w:color w:val="auto"/>
                <w:szCs w:val="21"/>
                <w:highlight w:val="none"/>
              </w:rPr>
              <w:t>品目序号</w:t>
            </w:r>
          </w:p>
        </w:tc>
        <w:tc>
          <w:tcPr>
            <w:tcW w:w="2822" w:type="pct"/>
            <w:gridSpan w:val="3"/>
          </w:tcPr>
          <w:p>
            <w:pPr>
              <w:spacing w:line="360" w:lineRule="auto"/>
              <w:jc w:val="center"/>
              <w:rPr>
                <w:rFonts w:ascii="宋体" w:cs="宋体"/>
                <w:color w:val="auto"/>
                <w:szCs w:val="21"/>
                <w:highlight w:val="none"/>
              </w:rPr>
            </w:pPr>
            <w:r>
              <w:rPr>
                <w:rFonts w:hint="eastAsia" w:ascii="宋体" w:hAnsi="宋体" w:cs="宋体"/>
                <w:color w:val="auto"/>
                <w:szCs w:val="21"/>
                <w:highlight w:val="none"/>
              </w:rPr>
              <w:t>名称</w:t>
            </w:r>
          </w:p>
        </w:tc>
        <w:tc>
          <w:tcPr>
            <w:tcW w:w="1743" w:type="pct"/>
          </w:tcPr>
          <w:p>
            <w:pPr>
              <w:spacing w:line="360" w:lineRule="auto"/>
              <w:jc w:val="center"/>
              <w:rPr>
                <w:rFonts w:ascii="宋体" w:cs="宋体"/>
                <w:color w:val="auto"/>
                <w:szCs w:val="21"/>
                <w:highlight w:val="none"/>
              </w:rPr>
            </w:pPr>
            <w:r>
              <w:rPr>
                <w:rFonts w:hint="eastAsia" w:ascii="宋体" w:hAnsi="宋体" w:cs="宋体"/>
                <w:color w:val="auto"/>
                <w:szCs w:val="21"/>
                <w:highlight w:val="none"/>
              </w:rPr>
              <w:t>依据的标准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restar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1</w:t>
            </w:r>
          </w:p>
        </w:tc>
        <w:tc>
          <w:tcPr>
            <w:tcW w:w="813" w:type="pct"/>
            <w:vMerge w:val="restar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A020101</w:t>
            </w:r>
            <w:r>
              <w:rPr>
                <w:rFonts w:hint="eastAsia" w:ascii="宋体" w:hAnsi="宋体" w:cs="宋体"/>
                <w:color w:val="auto"/>
                <w:szCs w:val="21"/>
                <w:highlight w:val="none"/>
              </w:rPr>
              <w:t>计算机设备</w:t>
            </w: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tc>
        <w:tc>
          <w:tcPr>
            <w:tcW w:w="1071" w:type="pct"/>
          </w:tcPr>
          <w:p>
            <w:pPr>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A02010104</w:t>
            </w:r>
            <w:r>
              <w:rPr>
                <w:rFonts w:hint="eastAsia" w:ascii="宋体" w:hAnsi="宋体" w:cs="宋体"/>
                <w:color w:val="auto"/>
                <w:szCs w:val="21"/>
                <w:highlight w:val="none"/>
              </w:rPr>
              <w:t>台式计算机</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《微型计算机能效限定值及能效等级》</w:t>
            </w:r>
            <w:r>
              <w:rPr>
                <w:rFonts w:ascii="宋体" w:hAnsi="宋体" w:cs="宋体"/>
                <w:color w:val="auto"/>
                <w:szCs w:val="21"/>
                <w:highlight w:val="none"/>
              </w:rPr>
              <w:t xml:space="preserve"> (GB 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tcPr>
          <w:p>
            <w:pPr>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A02010105</w:t>
            </w:r>
            <w:r>
              <w:rPr>
                <w:rFonts w:hint="eastAsia" w:ascii="宋体" w:hAnsi="宋体" w:cs="宋体"/>
                <w:color w:val="auto"/>
                <w:szCs w:val="21"/>
                <w:highlight w:val="none"/>
              </w:rPr>
              <w:t>便携式计算机</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《微型计算机能效限定值及能效等级》</w:t>
            </w:r>
            <w:r>
              <w:rPr>
                <w:rFonts w:ascii="宋体" w:hAnsi="宋体" w:cs="宋体"/>
                <w:color w:val="auto"/>
                <w:szCs w:val="21"/>
                <w:highlight w:val="none"/>
              </w:rPr>
              <w:t xml:space="preserve"> (GB 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tcPr>
          <w:p>
            <w:pPr>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A02010107</w:t>
            </w:r>
            <w:r>
              <w:rPr>
                <w:rFonts w:hint="eastAsia" w:ascii="宋体" w:hAnsi="宋体" w:cs="宋体"/>
                <w:color w:val="auto"/>
                <w:szCs w:val="21"/>
                <w:highlight w:val="none"/>
              </w:rPr>
              <w:t>平板式微型计算机</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《微型计算机能效限定值及能效等级》</w:t>
            </w:r>
            <w:r>
              <w:rPr>
                <w:rFonts w:ascii="宋体" w:hAnsi="宋体" w:cs="宋体"/>
                <w:color w:val="auto"/>
                <w:szCs w:val="21"/>
                <w:highlight w:val="none"/>
              </w:rPr>
              <w:t xml:space="preserve"> (GB 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3" w:type="pct"/>
            <w:vMerge w:val="restar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2</w:t>
            </w:r>
          </w:p>
        </w:tc>
        <w:tc>
          <w:tcPr>
            <w:tcW w:w="813" w:type="pct"/>
            <w:vMerge w:val="restar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A020106</w:t>
            </w:r>
            <w:r>
              <w:rPr>
                <w:rFonts w:hint="eastAsia" w:ascii="宋体" w:hAnsi="宋体" w:cs="宋体"/>
                <w:color w:val="auto"/>
                <w:szCs w:val="21"/>
                <w:highlight w:val="none"/>
              </w:rPr>
              <w:t>输入输出设备</w:t>
            </w:r>
          </w:p>
          <w:p>
            <w:pPr>
              <w:spacing w:line="360" w:lineRule="auto"/>
              <w:rPr>
                <w:rFonts w:ascii="宋体" w:cs="宋体"/>
                <w:color w:val="auto"/>
                <w:szCs w:val="21"/>
                <w:highlight w:val="none"/>
              </w:rPr>
            </w:pPr>
          </w:p>
        </w:tc>
        <w:tc>
          <w:tcPr>
            <w:tcW w:w="1071" w:type="pct"/>
            <w:vMerge w:val="restar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A02010601</w:t>
            </w:r>
            <w:r>
              <w:rPr>
                <w:rFonts w:hint="eastAsia" w:ascii="宋体" w:hAnsi="宋体" w:cs="宋体"/>
                <w:color w:val="auto"/>
                <w:szCs w:val="21"/>
                <w:highlight w:val="none"/>
              </w:rPr>
              <w:t>打印设备</w:t>
            </w:r>
          </w:p>
        </w:tc>
        <w:tc>
          <w:tcPr>
            <w:tcW w:w="937" w:type="pct"/>
          </w:tcPr>
          <w:p>
            <w:pPr>
              <w:spacing w:line="360" w:lineRule="auto"/>
              <w:rPr>
                <w:rFonts w:ascii="宋体" w:cs="宋体"/>
                <w:color w:val="auto"/>
                <w:szCs w:val="21"/>
                <w:highlight w:val="none"/>
              </w:rPr>
            </w:pPr>
            <w:r>
              <w:rPr>
                <w:rFonts w:ascii="宋体" w:hAnsi="宋体" w:cs="宋体"/>
                <w:color w:val="auto"/>
                <w:szCs w:val="21"/>
                <w:highlight w:val="none"/>
              </w:rPr>
              <w:t xml:space="preserve">A0201060101 </w:t>
            </w:r>
            <w:r>
              <w:rPr>
                <w:rFonts w:hint="eastAsia" w:ascii="宋体" w:hAnsi="宋体" w:cs="宋体"/>
                <w:color w:val="auto"/>
                <w:szCs w:val="21"/>
                <w:highlight w:val="none"/>
              </w:rPr>
              <w:t>喷墨打印机</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《复印机、打印机和传真机能效限定值及能效等级》</w:t>
            </w:r>
            <w:r>
              <w:rPr>
                <w:rFonts w:ascii="宋体" w:hAnsi="宋体" w:cs="宋体"/>
                <w:color w:val="auto"/>
                <w:szCs w:val="21"/>
                <w:highlight w:val="none"/>
              </w:rPr>
              <w:t xml:space="preserve"> (GB 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continue"/>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 xml:space="preserve">A0201060102 </w:t>
            </w:r>
            <w:r>
              <w:rPr>
                <w:rFonts w:hint="eastAsia" w:ascii="宋体" w:hAnsi="宋体" w:cs="宋体"/>
                <w:color w:val="auto"/>
                <w:szCs w:val="21"/>
                <w:highlight w:val="none"/>
              </w:rPr>
              <w:t>激光打印机</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《复印机、打印机和传真机能效限定值及能效等级》</w:t>
            </w:r>
            <w:r>
              <w:rPr>
                <w:rFonts w:ascii="宋体" w:hAnsi="宋体" w:cs="宋体"/>
                <w:color w:val="auto"/>
                <w:szCs w:val="21"/>
                <w:highlight w:val="none"/>
              </w:rPr>
              <w:t xml:space="preserve"> (GB 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continue"/>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 xml:space="preserve">A0201060104 </w:t>
            </w:r>
            <w:r>
              <w:rPr>
                <w:rFonts w:hint="eastAsia" w:ascii="宋体" w:hAnsi="宋体" w:cs="宋体"/>
                <w:color w:val="auto"/>
                <w:szCs w:val="21"/>
                <w:highlight w:val="none"/>
              </w:rPr>
              <w:t>针式打印机</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《复印机、打印机和传真机能效限定值及能效等级》</w:t>
            </w:r>
            <w:r>
              <w:rPr>
                <w:rFonts w:ascii="宋体" w:hAnsi="宋体" w:cs="宋体"/>
                <w:color w:val="auto"/>
                <w:szCs w:val="21"/>
                <w:highlight w:val="none"/>
              </w:rPr>
              <w:t xml:space="preserve"> (GB 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tcPr>
          <w:p>
            <w:pPr>
              <w:spacing w:line="360" w:lineRule="auto"/>
              <w:rPr>
                <w:rFonts w:ascii="宋体" w:cs="宋体"/>
                <w:color w:val="auto"/>
                <w:szCs w:val="21"/>
                <w:highlight w:val="none"/>
              </w:rPr>
            </w:pPr>
            <w:r>
              <w:rPr>
                <w:rFonts w:ascii="宋体" w:hAnsi="宋体" w:cs="宋体"/>
                <w:color w:val="auto"/>
                <w:szCs w:val="21"/>
                <w:highlight w:val="none"/>
              </w:rPr>
              <w:t>A02010604</w:t>
            </w:r>
            <w:r>
              <w:rPr>
                <w:rFonts w:hint="eastAsia" w:ascii="宋体" w:hAnsi="宋体" w:cs="宋体"/>
                <w:color w:val="auto"/>
                <w:szCs w:val="21"/>
                <w:highlight w:val="none"/>
              </w:rPr>
              <w:t>显示设备</w:t>
            </w:r>
          </w:p>
        </w:tc>
        <w:tc>
          <w:tcPr>
            <w:tcW w:w="937" w:type="pct"/>
          </w:tcPr>
          <w:p>
            <w:pPr>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 xml:space="preserve">A0201060401 </w:t>
            </w:r>
            <w:r>
              <w:rPr>
                <w:rFonts w:hint="eastAsia" w:ascii="宋体" w:hAnsi="宋体" w:cs="宋体"/>
                <w:color w:val="auto"/>
                <w:szCs w:val="21"/>
                <w:highlight w:val="none"/>
              </w:rPr>
              <w:t>液晶显示器</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《计算机显示器能效限定值及能效等级》</w:t>
            </w:r>
            <w:r>
              <w:rPr>
                <w:rFonts w:ascii="宋体" w:hAnsi="宋体" w:cs="宋体"/>
                <w:color w:val="auto"/>
                <w:szCs w:val="21"/>
                <w:highlight w:val="none"/>
              </w:rPr>
              <w:t xml:space="preserve"> (GB 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02010609</w:t>
            </w:r>
            <w:r>
              <w:rPr>
                <w:rFonts w:hint="eastAsia" w:ascii="宋体" w:hAnsi="宋体" w:cs="宋体"/>
                <w:color w:val="auto"/>
                <w:szCs w:val="21"/>
                <w:highlight w:val="none"/>
              </w:rPr>
              <w:t>图形图像输入设备</w:t>
            </w:r>
          </w:p>
        </w:tc>
        <w:tc>
          <w:tcPr>
            <w:tcW w:w="937" w:type="pc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A0201060901</w:t>
            </w:r>
            <w:r>
              <w:rPr>
                <w:rFonts w:hint="eastAsia" w:ascii="宋体" w:hAnsi="宋体" w:cs="宋体"/>
                <w:color w:val="auto"/>
                <w:szCs w:val="21"/>
                <w:highlight w:val="none"/>
              </w:rPr>
              <w:t>扫描仪</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参照</w:t>
            </w:r>
            <w:r>
              <w:rPr>
                <w:rFonts w:ascii="宋体" w:hAnsi="宋体" w:cs="宋体"/>
                <w:color w:val="auto"/>
                <w:szCs w:val="21"/>
                <w:highlight w:val="none"/>
              </w:rPr>
              <w:t>(</w:t>
            </w:r>
            <w:r>
              <w:rPr>
                <w:rFonts w:hint="eastAsia" w:ascii="宋体" w:hAnsi="宋体" w:cs="宋体"/>
                <w:color w:val="auto"/>
                <w:szCs w:val="21"/>
                <w:highlight w:val="none"/>
              </w:rPr>
              <w:t>复印机、打印机和传真机能效限定值及能效等级》</w:t>
            </w:r>
            <w:r>
              <w:rPr>
                <w:rFonts w:ascii="宋体" w:hAnsi="宋体" w:cs="宋体"/>
                <w:color w:val="auto"/>
                <w:szCs w:val="21"/>
                <w:highlight w:val="none"/>
              </w:rPr>
              <w:t xml:space="preserve">(GB 21521) </w:t>
            </w:r>
            <w:r>
              <w:rPr>
                <w:rFonts w:hint="eastAsia" w:ascii="宋体" w:hAnsi="宋体" w:cs="宋体"/>
                <w:color w:val="auto"/>
                <w:szCs w:val="21"/>
                <w:highlight w:val="none"/>
              </w:rPr>
              <w:t>中打印速度为</w:t>
            </w:r>
            <w:r>
              <w:rPr>
                <w:rFonts w:ascii="宋体" w:hAnsi="宋体" w:cs="宋体"/>
                <w:color w:val="auto"/>
                <w:szCs w:val="21"/>
                <w:highlight w:val="none"/>
              </w:rPr>
              <w:t xml:space="preserve">15 </w:t>
            </w:r>
            <w:r>
              <w:rPr>
                <w:rFonts w:hint="eastAsia" w:ascii="宋体" w:hAnsi="宋体" w:cs="宋体"/>
                <w:color w:val="auto"/>
                <w:szCs w:val="21"/>
                <w:highlight w:val="none"/>
              </w:rPr>
              <w:t>页</w:t>
            </w:r>
            <w:r>
              <w:rPr>
                <w:rFonts w:ascii="宋体" w:hAnsi="宋体" w:cs="宋体"/>
                <w:color w:val="auto"/>
                <w:szCs w:val="21"/>
                <w:highlight w:val="none"/>
              </w:rPr>
              <w:t>/</w:t>
            </w:r>
            <w:r>
              <w:rPr>
                <w:rFonts w:hint="eastAsia" w:ascii="宋体" w:hAnsi="宋体" w:cs="宋体"/>
                <w:color w:val="auto"/>
                <w:szCs w:val="21"/>
                <w:highlight w:val="none"/>
              </w:rPr>
              <w:t>分的针式打印机相关要求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33" w:type="pct"/>
          </w:tcPr>
          <w:p>
            <w:pPr>
              <w:spacing w:line="360" w:lineRule="auto"/>
              <w:rPr>
                <w:rFonts w:ascii="宋体" w:cs="宋体"/>
                <w:color w:val="auto"/>
                <w:szCs w:val="21"/>
                <w:highlight w:val="none"/>
              </w:rPr>
            </w:pPr>
            <w:r>
              <w:rPr>
                <w:rFonts w:ascii="宋体" w:hAnsi="宋体" w:cs="宋体"/>
                <w:color w:val="auto"/>
                <w:szCs w:val="21"/>
                <w:highlight w:val="none"/>
              </w:rPr>
              <w:t>3</w:t>
            </w:r>
          </w:p>
        </w:tc>
        <w:tc>
          <w:tcPr>
            <w:tcW w:w="813" w:type="pct"/>
            <w:vMerge w:val="restart"/>
          </w:tcPr>
          <w:p>
            <w:pPr>
              <w:spacing w:line="360" w:lineRule="auto"/>
              <w:rPr>
                <w:rFonts w:ascii="宋体" w:cs="宋体"/>
                <w:color w:val="auto"/>
                <w:szCs w:val="21"/>
                <w:highlight w:val="none"/>
              </w:rPr>
            </w:pPr>
            <w:r>
              <w:rPr>
                <w:rFonts w:ascii="宋体" w:hAnsi="宋体" w:cs="宋体"/>
                <w:color w:val="auto"/>
                <w:szCs w:val="21"/>
                <w:highlight w:val="none"/>
              </w:rPr>
              <w:t>4020202</w:t>
            </w:r>
            <w:r>
              <w:rPr>
                <w:rFonts w:hint="eastAsia" w:ascii="宋体" w:hAnsi="宋体" w:cs="宋体"/>
                <w:color w:val="auto"/>
                <w:szCs w:val="21"/>
                <w:highlight w:val="none"/>
              </w:rPr>
              <w:t>投影仪</w:t>
            </w:r>
          </w:p>
          <w:p>
            <w:pPr>
              <w:spacing w:line="360" w:lineRule="auto"/>
              <w:rPr>
                <w:rFonts w:ascii="宋体" w:cs="宋体"/>
                <w:color w:val="auto"/>
                <w:szCs w:val="21"/>
                <w:highlight w:val="none"/>
              </w:rPr>
            </w:pPr>
            <w:r>
              <w:rPr>
                <w:rFonts w:ascii="宋体" w:hAnsi="宋体" w:cs="宋体"/>
                <w:color w:val="auto"/>
                <w:szCs w:val="21"/>
                <w:highlight w:val="none"/>
              </w:rPr>
              <w:t>4020204</w:t>
            </w:r>
            <w:r>
              <w:rPr>
                <w:rFonts w:hint="eastAsia" w:ascii="宋体" w:hAnsi="宋体" w:cs="宋体"/>
                <w:color w:val="auto"/>
                <w:szCs w:val="21"/>
                <w:highlight w:val="none"/>
              </w:rPr>
              <w:t>多功能一体机</w:t>
            </w:r>
          </w:p>
        </w:tc>
        <w:tc>
          <w:tcPr>
            <w:tcW w:w="1071" w:type="pct"/>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《投影机能效限定值及能效等级》</w:t>
            </w:r>
            <w:r>
              <w:rPr>
                <w:rFonts w:ascii="宋体" w:hAnsi="宋体" w:cs="宋体"/>
                <w:color w:val="auto"/>
                <w:szCs w:val="21"/>
                <w:highlight w:val="none"/>
              </w:rPr>
              <w:t xml:space="preserve">      (CB 32028)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433" w:type="pct"/>
          </w:tcPr>
          <w:p>
            <w:pPr>
              <w:spacing w:line="360" w:lineRule="auto"/>
              <w:rPr>
                <w:rFonts w:ascii="宋体" w:cs="宋体"/>
                <w:color w:val="auto"/>
                <w:szCs w:val="21"/>
                <w:highlight w:val="none"/>
              </w:rPr>
            </w:pPr>
            <w:r>
              <w:rPr>
                <w:rFonts w:ascii="宋体" w:hAnsi="宋体" w:cs="宋体"/>
                <w:color w:val="auto"/>
                <w:szCs w:val="21"/>
                <w:highlight w:val="none"/>
              </w:rPr>
              <w:t>4</w:t>
            </w:r>
          </w:p>
        </w:tc>
        <w:tc>
          <w:tcPr>
            <w:tcW w:w="813" w:type="pct"/>
            <w:vMerge w:val="continue"/>
          </w:tcPr>
          <w:p>
            <w:pPr>
              <w:spacing w:line="360" w:lineRule="auto"/>
              <w:rPr>
                <w:rFonts w:ascii="宋体" w:cs="宋体"/>
                <w:color w:val="auto"/>
                <w:szCs w:val="21"/>
                <w:highlight w:val="none"/>
              </w:rPr>
            </w:pPr>
          </w:p>
        </w:tc>
        <w:tc>
          <w:tcPr>
            <w:tcW w:w="1071" w:type="pct"/>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《复印机、打印机和传真机能效限</w:t>
            </w:r>
            <w:r>
              <w:rPr>
                <w:rFonts w:ascii="宋体" w:hAnsi="宋体" w:cs="宋体"/>
                <w:color w:val="auto"/>
                <w:szCs w:val="21"/>
                <w:highlight w:val="none"/>
              </w:rPr>
              <w:t xml:space="preserve"> </w:t>
            </w:r>
            <w:r>
              <w:rPr>
                <w:rFonts w:hint="eastAsia" w:ascii="宋体" w:hAnsi="宋体" w:cs="宋体"/>
                <w:color w:val="auto"/>
                <w:szCs w:val="21"/>
                <w:highlight w:val="none"/>
              </w:rPr>
              <w:t>定值及能效等级》</w:t>
            </w:r>
            <w:r>
              <w:rPr>
                <w:rFonts w:ascii="宋体" w:hAnsi="宋体" w:cs="宋体"/>
                <w:color w:val="auto"/>
                <w:szCs w:val="21"/>
                <w:highlight w:val="none"/>
              </w:rPr>
              <w:t xml:space="preserve"> (GB 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Pr>
          <w:p>
            <w:pPr>
              <w:spacing w:line="360" w:lineRule="auto"/>
              <w:rPr>
                <w:rFonts w:ascii="宋体" w:cs="宋体"/>
                <w:color w:val="auto"/>
                <w:szCs w:val="21"/>
                <w:highlight w:val="none"/>
              </w:rPr>
            </w:pPr>
            <w:r>
              <w:rPr>
                <w:rFonts w:ascii="宋体" w:hAnsi="宋体" w:cs="宋体"/>
                <w:color w:val="auto"/>
                <w:szCs w:val="21"/>
                <w:highlight w:val="none"/>
              </w:rPr>
              <w:t>5</w:t>
            </w:r>
          </w:p>
        </w:tc>
        <w:tc>
          <w:tcPr>
            <w:tcW w:w="813" w:type="pct"/>
          </w:tcPr>
          <w:p>
            <w:pPr>
              <w:spacing w:line="360" w:lineRule="auto"/>
              <w:rPr>
                <w:rFonts w:ascii="宋体" w:cs="宋体"/>
                <w:color w:val="auto"/>
                <w:szCs w:val="21"/>
                <w:highlight w:val="none"/>
              </w:rPr>
            </w:pPr>
            <w:r>
              <w:rPr>
                <w:rFonts w:ascii="宋体" w:hAnsi="宋体" w:cs="宋体"/>
                <w:color w:val="auto"/>
                <w:szCs w:val="21"/>
                <w:highlight w:val="none"/>
              </w:rPr>
              <w:t>24020519</w:t>
            </w:r>
            <w:r>
              <w:rPr>
                <w:rFonts w:hint="eastAsia" w:ascii="宋体" w:hAnsi="宋体" w:cs="宋体"/>
                <w:color w:val="auto"/>
                <w:szCs w:val="21"/>
                <w:highlight w:val="none"/>
              </w:rPr>
              <w:t>泵</w:t>
            </w:r>
          </w:p>
        </w:tc>
        <w:tc>
          <w:tcPr>
            <w:tcW w:w="1071" w:type="pct"/>
          </w:tcPr>
          <w:p>
            <w:pPr>
              <w:spacing w:line="360" w:lineRule="auto"/>
              <w:rPr>
                <w:rFonts w:ascii="宋体" w:cs="宋体"/>
                <w:color w:val="auto"/>
                <w:szCs w:val="21"/>
                <w:highlight w:val="none"/>
              </w:rPr>
            </w:pPr>
            <w:r>
              <w:rPr>
                <w:rFonts w:ascii="宋体" w:hAnsi="宋体" w:cs="宋体"/>
                <w:color w:val="auto"/>
                <w:szCs w:val="21"/>
                <w:highlight w:val="none"/>
              </w:rPr>
              <w:t xml:space="preserve">A02051901 </w:t>
            </w:r>
            <w:r>
              <w:rPr>
                <w:rFonts w:hint="eastAsia" w:ascii="宋体" w:hAnsi="宋体" w:cs="宋体"/>
                <w:color w:val="auto"/>
                <w:szCs w:val="21"/>
                <w:highlight w:val="none"/>
              </w:rPr>
              <w:t>离心泵</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《清水离心泵能效限定值及节能评价值》</w:t>
            </w:r>
            <w:r>
              <w:rPr>
                <w:rFonts w:ascii="宋体" w:hAnsi="宋体" w:cs="宋体"/>
                <w:color w:val="auto"/>
                <w:szCs w:val="21"/>
                <w:highlight w:val="none"/>
              </w:rPr>
              <w:t xml:space="preserve"> (GB 19762)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restart"/>
          </w:tcPr>
          <w:p>
            <w:pPr>
              <w:spacing w:line="360" w:lineRule="auto"/>
              <w:rPr>
                <w:rFonts w:ascii="宋体" w:cs="宋体"/>
                <w:color w:val="auto"/>
                <w:szCs w:val="21"/>
                <w:highlight w:val="none"/>
              </w:rPr>
            </w:pPr>
            <w:r>
              <w:rPr>
                <w:rFonts w:ascii="宋体" w:hAnsi="宋体" w:cs="宋体"/>
                <w:color w:val="auto"/>
                <w:szCs w:val="21"/>
                <w:highlight w:val="none"/>
              </w:rPr>
              <w:t>6</w:t>
            </w:r>
          </w:p>
        </w:tc>
        <w:tc>
          <w:tcPr>
            <w:tcW w:w="813" w:type="pct"/>
            <w:vMerge w:val="restart"/>
          </w:tcPr>
          <w:p>
            <w:pPr>
              <w:spacing w:line="360" w:lineRule="auto"/>
              <w:rPr>
                <w:rFonts w:ascii="宋体" w:cs="宋体"/>
                <w:color w:val="auto"/>
                <w:szCs w:val="21"/>
                <w:highlight w:val="none"/>
              </w:rPr>
            </w:pPr>
            <w:r>
              <w:rPr>
                <w:rFonts w:ascii="宋体" w:hAnsi="宋体" w:cs="宋体"/>
                <w:color w:val="auto"/>
                <w:szCs w:val="21"/>
                <w:highlight w:val="none"/>
              </w:rPr>
              <w:t>A020523</w:t>
            </w:r>
            <w:r>
              <w:rPr>
                <w:rFonts w:hint="eastAsia" w:ascii="宋体" w:hAnsi="宋体" w:cs="宋体"/>
                <w:color w:val="auto"/>
                <w:szCs w:val="21"/>
                <w:highlight w:val="none"/>
              </w:rPr>
              <w:t>制冷空调设备</w:t>
            </w: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tc>
        <w:tc>
          <w:tcPr>
            <w:tcW w:w="1071" w:type="pct"/>
            <w:vMerge w:val="restart"/>
          </w:tcPr>
          <w:p>
            <w:pPr>
              <w:spacing w:line="360" w:lineRule="auto"/>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 xml:space="preserve">A02052301 </w:t>
            </w:r>
            <w:r>
              <w:rPr>
                <w:rFonts w:hint="eastAsia" w:ascii="宋体" w:hAnsi="宋体" w:cs="宋体"/>
                <w:color w:val="auto"/>
                <w:szCs w:val="21"/>
                <w:highlight w:val="none"/>
              </w:rPr>
              <w:t>制冷压缩机</w:t>
            </w:r>
          </w:p>
        </w:tc>
        <w:tc>
          <w:tcPr>
            <w:tcW w:w="937" w:type="pc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hint="eastAsia" w:ascii="宋体" w:hAnsi="宋体" w:cs="宋体"/>
                <w:color w:val="auto"/>
                <w:szCs w:val="21"/>
                <w:highlight w:val="none"/>
              </w:rPr>
              <w:t>冷水机组</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《冷水机组能效限定值及能效等级》</w:t>
            </w:r>
            <w:r>
              <w:rPr>
                <w:rFonts w:ascii="宋体" w:hAnsi="宋体" w:cs="宋体"/>
                <w:color w:val="auto"/>
                <w:szCs w:val="21"/>
                <w:highlight w:val="none"/>
              </w:rPr>
              <w:t>(GB19577)</w:t>
            </w:r>
            <w:r>
              <w:rPr>
                <w:rFonts w:hint="eastAsia" w:ascii="宋体" w:hAnsi="宋体" w:cs="宋体"/>
                <w:color w:val="auto"/>
                <w:szCs w:val="21"/>
                <w:highlight w:val="none"/>
              </w:rPr>
              <w:t>，《低环境温度空气源热泵</w:t>
            </w:r>
            <w:r>
              <w:rPr>
                <w:rFonts w:ascii="宋体" w:hAnsi="宋体" w:cs="宋体"/>
                <w:color w:val="auto"/>
                <w:szCs w:val="21"/>
                <w:highlight w:val="none"/>
              </w:rPr>
              <w:t>(</w:t>
            </w:r>
            <w:r>
              <w:rPr>
                <w:rFonts w:hint="eastAsia" w:ascii="宋体" w:hAnsi="宋体" w:cs="宋体"/>
                <w:color w:val="auto"/>
                <w:szCs w:val="21"/>
                <w:highlight w:val="none"/>
              </w:rPr>
              <w:t>冷水</w:t>
            </w:r>
            <w:r>
              <w:rPr>
                <w:rFonts w:ascii="宋体" w:hAnsi="宋体" w:cs="宋体"/>
                <w:color w:val="auto"/>
                <w:szCs w:val="21"/>
                <w:highlight w:val="none"/>
              </w:rPr>
              <w:t>)</w:t>
            </w:r>
            <w:r>
              <w:rPr>
                <w:rFonts w:hint="eastAsia" w:ascii="宋体" w:hAnsi="宋体" w:cs="宋体"/>
                <w:color w:val="auto"/>
                <w:szCs w:val="21"/>
                <w:highlight w:val="none"/>
              </w:rPr>
              <w:t>机组能效限定值及能效等级》</w:t>
            </w:r>
            <w:r>
              <w:rPr>
                <w:rFonts w:ascii="宋体" w:hAnsi="宋体" w:cs="宋体"/>
                <w:color w:val="auto"/>
                <w:szCs w:val="21"/>
                <w:highlight w:val="none"/>
              </w:rPr>
              <w:t>(GB 37 480)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continue"/>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hint="eastAsia" w:ascii="宋体" w:hAnsi="宋体" w:cs="宋体"/>
                <w:color w:val="auto"/>
                <w:szCs w:val="21"/>
                <w:highlight w:val="none"/>
              </w:rPr>
              <w:t>水源热泵机组</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《水</w:t>
            </w:r>
            <w:r>
              <w:rPr>
                <w:rFonts w:ascii="宋体" w:hAnsi="宋体" w:cs="宋体"/>
                <w:color w:val="auto"/>
                <w:szCs w:val="21"/>
                <w:highlight w:val="none"/>
              </w:rPr>
              <w:t>(</w:t>
            </w:r>
            <w:r>
              <w:rPr>
                <w:rFonts w:hint="eastAsia" w:ascii="宋体" w:hAnsi="宋体" w:cs="宋体"/>
                <w:color w:val="auto"/>
                <w:szCs w:val="21"/>
                <w:highlight w:val="none"/>
              </w:rPr>
              <w:t>地</w:t>
            </w:r>
            <w:r>
              <w:rPr>
                <w:rFonts w:ascii="宋体" w:hAnsi="宋体" w:cs="宋体"/>
                <w:color w:val="auto"/>
                <w:szCs w:val="21"/>
                <w:highlight w:val="none"/>
              </w:rPr>
              <w:t>)</w:t>
            </w:r>
            <w:r>
              <w:rPr>
                <w:rFonts w:hint="eastAsia" w:ascii="宋体" w:hAnsi="宋体" w:cs="宋体"/>
                <w:color w:val="auto"/>
                <w:szCs w:val="21"/>
                <w:highlight w:val="none"/>
              </w:rPr>
              <w:t>源热泵机组能效限定值及能效等级》</w:t>
            </w:r>
            <w:r>
              <w:rPr>
                <w:rFonts w:ascii="宋体" w:hAnsi="宋体" w:cs="宋体"/>
                <w:color w:val="auto"/>
                <w:szCs w:val="21"/>
                <w:highlight w:val="none"/>
              </w:rPr>
              <w:t xml:space="preserve"> (GB 30721)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restar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 xml:space="preserve">A02052305 </w:t>
            </w:r>
            <w:r>
              <w:rPr>
                <w:rFonts w:hint="eastAsia" w:ascii="宋体" w:hAnsi="宋体" w:cs="宋体"/>
                <w:color w:val="auto"/>
                <w:szCs w:val="21"/>
                <w:highlight w:val="none"/>
              </w:rPr>
              <w:t>空调机</w:t>
            </w:r>
          </w:p>
        </w:tc>
        <w:tc>
          <w:tcPr>
            <w:tcW w:w="937" w:type="pct"/>
          </w:tcPr>
          <w:p>
            <w:pPr>
              <w:spacing w:line="360" w:lineRule="auto"/>
              <w:rPr>
                <w:rFonts w:ascii="宋体" w:cs="宋体"/>
                <w:color w:val="auto"/>
                <w:szCs w:val="21"/>
                <w:highlight w:val="none"/>
              </w:rPr>
            </w:pPr>
            <w:r>
              <w:rPr>
                <w:rFonts w:hint="eastAsia" w:ascii="宋体" w:hAnsi="宋体" w:cs="宋体"/>
                <w:color w:val="auto"/>
                <w:szCs w:val="21"/>
                <w:highlight w:val="none"/>
              </w:rPr>
              <w:t>溴化锂吸收式冷水机</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《溴化锂吸收式冷水机组能效限定值及能效等级》</w:t>
            </w:r>
            <w:r>
              <w:rPr>
                <w:rFonts w:ascii="宋体" w:hAnsi="宋体" w:cs="宋体"/>
                <w:color w:val="auto"/>
                <w:szCs w:val="21"/>
                <w:highlight w:val="none"/>
              </w:rPr>
              <w:t xml:space="preserve"> (GB 29540)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continue"/>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r>
              <w:rPr>
                <w:rFonts w:hint="eastAsia" w:ascii="宋体" w:hAnsi="宋体" w:cs="宋体"/>
                <w:color w:val="auto"/>
                <w:szCs w:val="21"/>
                <w:highlight w:val="none"/>
              </w:rPr>
              <w:t>多联式空调</w:t>
            </w:r>
            <w:r>
              <w:rPr>
                <w:rFonts w:ascii="宋体" w:hAnsi="宋体" w:cs="宋体"/>
                <w:color w:val="auto"/>
                <w:szCs w:val="21"/>
                <w:highlight w:val="none"/>
              </w:rPr>
              <w:t>(</w:t>
            </w:r>
            <w:r>
              <w:rPr>
                <w:rFonts w:hint="eastAsia" w:ascii="宋体" w:hAnsi="宋体" w:cs="宋体"/>
                <w:color w:val="auto"/>
                <w:szCs w:val="21"/>
                <w:highlight w:val="none"/>
              </w:rPr>
              <w:t>热泵</w:t>
            </w:r>
            <w:r>
              <w:rPr>
                <w:rFonts w:ascii="宋体" w:hAnsi="宋体" w:cs="宋体"/>
                <w:color w:val="auto"/>
                <w:szCs w:val="21"/>
                <w:highlight w:val="none"/>
              </w:rPr>
              <w:t>)</w:t>
            </w:r>
            <w:r>
              <w:rPr>
                <w:rFonts w:hint="eastAsia" w:ascii="宋体" w:hAnsi="宋体" w:cs="宋体"/>
                <w:color w:val="auto"/>
                <w:szCs w:val="21"/>
                <w:highlight w:val="none"/>
              </w:rPr>
              <w:t>机组</w:t>
            </w:r>
            <w:r>
              <w:rPr>
                <w:rFonts w:ascii="宋体" w:hAnsi="宋体" w:cs="宋体"/>
                <w:color w:val="auto"/>
                <w:szCs w:val="21"/>
                <w:highlight w:val="none"/>
              </w:rPr>
              <w:t>(</w:t>
            </w:r>
            <w:r>
              <w:rPr>
                <w:rFonts w:hint="eastAsia" w:ascii="宋体" w:hAnsi="宋体" w:cs="宋体"/>
                <w:color w:val="auto"/>
                <w:szCs w:val="21"/>
                <w:highlight w:val="none"/>
              </w:rPr>
              <w:t>制量</w:t>
            </w:r>
            <w:r>
              <w:rPr>
                <w:rFonts w:ascii="宋体" w:hAnsi="宋体" w:cs="宋体"/>
                <w:color w:val="auto"/>
                <w:szCs w:val="21"/>
                <w:highlight w:val="none"/>
              </w:rPr>
              <w:t>&gt;14000W)</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《多联式空调</w:t>
            </w:r>
            <w:r>
              <w:rPr>
                <w:rFonts w:ascii="宋体" w:hAnsi="宋体" w:cs="宋体"/>
                <w:color w:val="auto"/>
                <w:szCs w:val="21"/>
                <w:highlight w:val="none"/>
              </w:rPr>
              <w:t>(</w:t>
            </w:r>
            <w:r>
              <w:rPr>
                <w:rFonts w:hint="eastAsia" w:ascii="宋体" w:hAnsi="宋体" w:cs="宋体"/>
                <w:color w:val="auto"/>
                <w:szCs w:val="21"/>
                <w:highlight w:val="none"/>
              </w:rPr>
              <w:t>热泵</w:t>
            </w:r>
            <w:r>
              <w:rPr>
                <w:rFonts w:ascii="宋体" w:hAnsi="宋体" w:cs="宋体"/>
                <w:color w:val="auto"/>
                <w:szCs w:val="21"/>
                <w:highlight w:val="none"/>
              </w:rPr>
              <w:t>)</w:t>
            </w:r>
            <w:r>
              <w:rPr>
                <w:rFonts w:hint="eastAsia" w:ascii="宋体" w:hAnsi="宋体" w:cs="宋体"/>
                <w:color w:val="auto"/>
                <w:szCs w:val="21"/>
                <w:highlight w:val="none"/>
              </w:rPr>
              <w:t>机组能效限定值及能源效率等级》</w:t>
            </w:r>
            <w:r>
              <w:rPr>
                <w:rFonts w:ascii="宋体" w:hAnsi="宋体" w:cs="宋体"/>
                <w:color w:val="auto"/>
                <w:szCs w:val="21"/>
                <w:highlight w:val="none"/>
              </w:rPr>
              <w:t>(GB 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continue"/>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r>
              <w:rPr>
                <w:rFonts w:hint="eastAsia" w:ascii="宋体" w:hAnsi="宋体" w:cs="宋体"/>
                <w:color w:val="auto"/>
                <w:szCs w:val="21"/>
                <w:highlight w:val="none"/>
              </w:rPr>
              <w:t>《单元式空气调节机</w:t>
            </w:r>
            <w:r>
              <w:rPr>
                <w:rFonts w:ascii="宋体" w:hAnsi="宋体" w:cs="宋体"/>
                <w:color w:val="auto"/>
                <w:szCs w:val="21"/>
                <w:highlight w:val="none"/>
              </w:rPr>
              <w:t>(</w:t>
            </w:r>
            <w:r>
              <w:rPr>
                <w:rFonts w:hint="eastAsia" w:ascii="宋体" w:hAnsi="宋体" w:cs="宋体"/>
                <w:color w:val="auto"/>
                <w:szCs w:val="21"/>
                <w:highlight w:val="none"/>
              </w:rPr>
              <w:t>制冷量</w:t>
            </w:r>
            <w:r>
              <w:rPr>
                <w:rFonts w:ascii="宋体" w:hAnsi="宋体" w:cs="宋体"/>
                <w:color w:val="auto"/>
                <w:szCs w:val="21"/>
                <w:highlight w:val="none"/>
              </w:rPr>
              <w:t>&gt;14000w)</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《单元式空气调节机能效限定值及能效等级》</w:t>
            </w:r>
            <w:r>
              <w:rPr>
                <w:rFonts w:ascii="宋体" w:hAnsi="宋体" w:cs="宋体"/>
                <w:color w:val="auto"/>
                <w:szCs w:val="21"/>
                <w:highlight w:val="none"/>
              </w:rPr>
              <w:t xml:space="preserve"> (GB 19576) </w:t>
            </w:r>
            <w:r>
              <w:rPr>
                <w:rFonts w:hint="eastAsia" w:ascii="宋体" w:hAnsi="宋体" w:cs="宋体"/>
                <w:color w:val="auto"/>
                <w:szCs w:val="21"/>
                <w:highlight w:val="none"/>
              </w:rPr>
              <w:t>《风管送风式空调机组能效限定值及能效等级》</w:t>
            </w:r>
            <w:r>
              <w:rPr>
                <w:rFonts w:ascii="宋体" w:hAnsi="宋体" w:cs="宋体"/>
                <w:color w:val="auto"/>
                <w:szCs w:val="21"/>
                <w:highlight w:val="none"/>
              </w:rPr>
              <w:t xml:space="preserve"> (GB 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restart"/>
          </w:tcPr>
          <w:p>
            <w:pPr>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A02052309</w:t>
            </w:r>
            <w:r>
              <w:rPr>
                <w:rFonts w:hint="eastAsia" w:ascii="宋体" w:hAnsi="宋体" w:cs="宋体"/>
                <w:color w:val="auto"/>
                <w:szCs w:val="21"/>
                <w:highlight w:val="none"/>
              </w:rPr>
              <w:t>专用制冷</w:t>
            </w:r>
            <w:r>
              <w:rPr>
                <w:rFonts w:ascii="宋体" w:cs="宋体"/>
                <w:color w:val="auto"/>
                <w:szCs w:val="21"/>
                <w:highlight w:val="none"/>
              </w:rPr>
              <w:t>.</w:t>
            </w:r>
            <w:r>
              <w:rPr>
                <w:rFonts w:hint="eastAsia" w:ascii="宋体" w:hAnsi="宋体" w:cs="宋体"/>
                <w:color w:val="auto"/>
                <w:szCs w:val="21"/>
                <w:highlight w:val="none"/>
              </w:rPr>
              <w:t>空调设备</w:t>
            </w:r>
          </w:p>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A02052399</w:t>
            </w:r>
            <w:r>
              <w:rPr>
                <w:rFonts w:hint="eastAsia" w:ascii="宋体" w:hAnsi="宋体" w:cs="宋体"/>
                <w:color w:val="auto"/>
                <w:szCs w:val="21"/>
                <w:highlight w:val="none"/>
              </w:rPr>
              <w:t>其他制冷空调设备</w:t>
            </w:r>
          </w:p>
        </w:tc>
        <w:tc>
          <w:tcPr>
            <w:tcW w:w="937" w:type="pc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hint="eastAsia" w:ascii="宋体" w:hAnsi="宋体" w:cs="宋体"/>
                <w:color w:val="auto"/>
                <w:szCs w:val="21"/>
                <w:highlight w:val="none"/>
              </w:rPr>
              <w:t>机房空调</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《单元式空气调节机能效限定值及能效等级》</w:t>
            </w:r>
            <w:r>
              <w:rPr>
                <w:rFonts w:ascii="宋体" w:hAnsi="宋体" w:cs="宋体"/>
                <w:color w:val="auto"/>
                <w:szCs w:val="21"/>
                <w:highlight w:val="none"/>
              </w:rPr>
              <w:t>(GB 19576)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continue"/>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hint="eastAsia" w:ascii="宋体" w:hAnsi="宋体" w:cs="宋体"/>
                <w:color w:val="auto"/>
                <w:szCs w:val="21"/>
                <w:highlight w:val="none"/>
              </w:rPr>
              <w:t>冷却塔</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《机械通风冷却塔第</w:t>
            </w:r>
            <w:r>
              <w:rPr>
                <w:rFonts w:ascii="宋体" w:hAnsi="宋体" w:cs="宋体"/>
                <w:color w:val="auto"/>
                <w:szCs w:val="21"/>
                <w:highlight w:val="none"/>
              </w:rPr>
              <w:t>1</w:t>
            </w:r>
            <w:r>
              <w:rPr>
                <w:rFonts w:hint="eastAsia" w:ascii="宋体" w:hAnsi="宋体" w:cs="宋体"/>
                <w:color w:val="auto"/>
                <w:szCs w:val="21"/>
                <w:highlight w:val="none"/>
              </w:rPr>
              <w:t>部分：中小型开式冷却塔</w:t>
            </w:r>
            <w:r>
              <w:rPr>
                <w:rFonts w:ascii="宋体" w:hAnsi="宋体" w:cs="宋体"/>
                <w:color w:val="auto"/>
                <w:szCs w:val="21"/>
                <w:highlight w:val="none"/>
              </w:rPr>
              <w:t>)(GB/T 7190.1)</w:t>
            </w:r>
            <w:r>
              <w:rPr>
                <w:rFonts w:hint="eastAsia" w:ascii="宋体" w:hAnsi="宋体" w:cs="宋体"/>
                <w:color w:val="auto"/>
                <w:szCs w:val="21"/>
                <w:highlight w:val="none"/>
              </w:rPr>
              <w:t>：《机械通风冷却塔</w:t>
            </w:r>
            <w:r>
              <w:rPr>
                <w:rFonts w:ascii="宋体" w:hAnsi="宋体" w:cs="宋体"/>
                <w:color w:val="auto"/>
                <w:szCs w:val="21"/>
                <w:highlight w:val="none"/>
              </w:rPr>
              <w:t xml:space="preserve"> </w:t>
            </w:r>
            <w:r>
              <w:rPr>
                <w:rFonts w:hint="eastAsia" w:ascii="宋体" w:hAnsi="宋体" w:cs="宋体"/>
                <w:color w:val="auto"/>
                <w:szCs w:val="21"/>
                <w:highlight w:val="none"/>
              </w:rPr>
              <w:t>第</w:t>
            </w:r>
            <w:r>
              <w:rPr>
                <w:rFonts w:ascii="宋体" w:hAnsi="宋体" w:cs="宋体"/>
                <w:color w:val="auto"/>
                <w:szCs w:val="21"/>
                <w:highlight w:val="none"/>
              </w:rPr>
              <w:t>2</w:t>
            </w:r>
            <w:r>
              <w:rPr>
                <w:rFonts w:hint="eastAsia" w:ascii="宋体" w:hAnsi="宋体" w:cs="宋体"/>
                <w:color w:val="auto"/>
                <w:szCs w:val="21"/>
                <w:highlight w:val="none"/>
              </w:rPr>
              <w:t>部分：</w:t>
            </w:r>
            <w:r>
              <w:rPr>
                <w:rFonts w:ascii="宋体" w:hAnsi="宋体" w:cs="宋体"/>
                <w:color w:val="auto"/>
                <w:szCs w:val="21"/>
                <w:highlight w:val="none"/>
              </w:rPr>
              <w:t xml:space="preserve"> </w:t>
            </w:r>
            <w:r>
              <w:rPr>
                <w:rFonts w:hint="eastAsia" w:ascii="宋体" w:hAnsi="宋体" w:cs="宋体"/>
                <w:color w:val="auto"/>
                <w:szCs w:val="21"/>
                <w:highlight w:val="none"/>
              </w:rPr>
              <w:t>大型开式冷却塔》</w:t>
            </w:r>
            <w:r>
              <w:rPr>
                <w:rFonts w:ascii="宋体" w:hAnsi="宋体" w:cs="宋体"/>
                <w:color w:val="auto"/>
                <w:szCs w:val="21"/>
                <w:highlight w:val="none"/>
              </w:rPr>
              <w:t xml:space="preserve"> (GB /T 7190.2)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433" w:type="pct"/>
          </w:tcPr>
          <w:p>
            <w:pPr>
              <w:spacing w:line="360" w:lineRule="auto"/>
              <w:rPr>
                <w:rFonts w:ascii="宋体" w:cs="宋体"/>
                <w:color w:val="auto"/>
                <w:szCs w:val="21"/>
                <w:highlight w:val="none"/>
              </w:rPr>
            </w:pPr>
            <w:r>
              <w:rPr>
                <w:rFonts w:ascii="宋体" w:hAnsi="宋体" w:cs="宋体"/>
                <w:color w:val="auto"/>
                <w:szCs w:val="21"/>
                <w:highlight w:val="none"/>
              </w:rPr>
              <w:t>7</w:t>
            </w:r>
          </w:p>
        </w:tc>
        <w:tc>
          <w:tcPr>
            <w:tcW w:w="813" w:type="pct"/>
          </w:tcPr>
          <w:p>
            <w:pPr>
              <w:spacing w:line="360" w:lineRule="auto"/>
              <w:rPr>
                <w:rFonts w:ascii="宋体" w:cs="宋体"/>
                <w:color w:val="auto"/>
                <w:szCs w:val="21"/>
                <w:highlight w:val="none"/>
              </w:rPr>
            </w:pPr>
            <w:r>
              <w:rPr>
                <w:rFonts w:ascii="宋体" w:hAnsi="宋体" w:cs="宋体"/>
                <w:color w:val="auto"/>
                <w:szCs w:val="21"/>
                <w:highlight w:val="none"/>
              </w:rPr>
              <w:t>A020601</w:t>
            </w:r>
            <w:r>
              <w:rPr>
                <w:rFonts w:hint="eastAsia" w:ascii="宋体" w:hAnsi="宋体" w:cs="宋体"/>
                <w:color w:val="auto"/>
                <w:szCs w:val="21"/>
                <w:highlight w:val="none"/>
              </w:rPr>
              <w:t>电机</w:t>
            </w:r>
          </w:p>
        </w:tc>
        <w:tc>
          <w:tcPr>
            <w:tcW w:w="1071" w:type="pct"/>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《中小型三相异步电动机能效限定值及能效等级》</w:t>
            </w:r>
            <w:r>
              <w:rPr>
                <w:rFonts w:ascii="宋体" w:hAnsi="宋体" w:cs="宋体"/>
                <w:color w:val="auto"/>
                <w:szCs w:val="21"/>
                <w:highlight w:val="none"/>
              </w:rPr>
              <w:t xml:space="preserve"> (GB 18613)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Pr>
          <w:p>
            <w:pPr>
              <w:spacing w:line="360" w:lineRule="auto"/>
              <w:rPr>
                <w:rFonts w:ascii="宋体" w:cs="宋体"/>
                <w:color w:val="auto"/>
                <w:szCs w:val="21"/>
                <w:highlight w:val="none"/>
              </w:rPr>
            </w:pPr>
            <w:r>
              <w:rPr>
                <w:rFonts w:ascii="宋体" w:hAnsi="宋体" w:cs="宋体"/>
                <w:color w:val="auto"/>
                <w:szCs w:val="21"/>
                <w:highlight w:val="none"/>
              </w:rPr>
              <w:t>8</w:t>
            </w:r>
          </w:p>
        </w:tc>
        <w:tc>
          <w:tcPr>
            <w:tcW w:w="813" w:type="pct"/>
          </w:tcPr>
          <w:p>
            <w:pPr>
              <w:spacing w:line="360" w:lineRule="auto"/>
              <w:rPr>
                <w:rFonts w:ascii="宋体" w:cs="宋体"/>
                <w:color w:val="auto"/>
                <w:szCs w:val="21"/>
                <w:highlight w:val="none"/>
              </w:rPr>
            </w:pPr>
            <w:r>
              <w:rPr>
                <w:rFonts w:ascii="宋体" w:hAnsi="宋体" w:cs="宋体"/>
                <w:color w:val="auto"/>
                <w:szCs w:val="21"/>
                <w:highlight w:val="none"/>
              </w:rPr>
              <w:t>A020602</w:t>
            </w:r>
            <w:r>
              <w:rPr>
                <w:rFonts w:hint="eastAsia" w:ascii="宋体" w:hAnsi="宋体" w:cs="宋体"/>
                <w:color w:val="auto"/>
                <w:szCs w:val="21"/>
                <w:highlight w:val="none"/>
              </w:rPr>
              <w:t>变压器</w:t>
            </w:r>
          </w:p>
        </w:tc>
        <w:tc>
          <w:tcPr>
            <w:tcW w:w="1071" w:type="pct"/>
          </w:tcPr>
          <w:p>
            <w:pPr>
              <w:spacing w:line="360" w:lineRule="auto"/>
              <w:rPr>
                <w:rFonts w:ascii="宋体" w:cs="宋体"/>
                <w:color w:val="auto"/>
                <w:szCs w:val="21"/>
                <w:highlight w:val="none"/>
              </w:rPr>
            </w:pPr>
            <w:r>
              <w:rPr>
                <w:rFonts w:hint="eastAsia" w:ascii="宋体" w:hAnsi="宋体" w:cs="宋体"/>
                <w:color w:val="auto"/>
                <w:szCs w:val="21"/>
                <w:highlight w:val="none"/>
              </w:rPr>
              <w:t>配电变压器</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《三相配电变压器能效限定值及能效等级》</w:t>
            </w:r>
            <w:r>
              <w:rPr>
                <w:rFonts w:ascii="宋体" w:hAnsi="宋体" w:cs="宋体"/>
                <w:color w:val="auto"/>
                <w:szCs w:val="21"/>
                <w:highlight w:val="none"/>
              </w:rPr>
              <w:t>(GB 20052)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Pr>
          <w:p>
            <w:pPr>
              <w:spacing w:line="360" w:lineRule="auto"/>
              <w:rPr>
                <w:rFonts w:ascii="宋体" w:cs="宋体"/>
                <w:color w:val="auto"/>
                <w:szCs w:val="21"/>
                <w:highlight w:val="none"/>
              </w:rPr>
            </w:pPr>
            <w:r>
              <w:rPr>
                <w:rFonts w:ascii="宋体" w:hAnsi="宋体" w:cs="宋体"/>
                <w:color w:val="auto"/>
                <w:szCs w:val="21"/>
                <w:highlight w:val="none"/>
              </w:rPr>
              <w:t>9</w:t>
            </w:r>
          </w:p>
        </w:tc>
        <w:tc>
          <w:tcPr>
            <w:tcW w:w="813" w:type="pct"/>
          </w:tcPr>
          <w:p>
            <w:pPr>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A020609</w:t>
            </w:r>
            <w:r>
              <w:rPr>
                <w:rFonts w:hint="eastAsia" w:ascii="宋体" w:hAnsi="宋体" w:cs="宋体"/>
                <w:color w:val="auto"/>
                <w:szCs w:val="21"/>
                <w:highlight w:val="none"/>
              </w:rPr>
              <w:t>镇流器</w:t>
            </w:r>
          </w:p>
        </w:tc>
        <w:tc>
          <w:tcPr>
            <w:tcW w:w="1071" w:type="pct"/>
          </w:tcPr>
          <w:p>
            <w:pPr>
              <w:spacing w:line="360" w:lineRule="auto"/>
              <w:rPr>
                <w:rFonts w:ascii="宋体" w:cs="宋体"/>
                <w:color w:val="auto"/>
                <w:szCs w:val="21"/>
                <w:highlight w:val="none"/>
              </w:rPr>
            </w:pPr>
            <w:r>
              <w:rPr>
                <w:rFonts w:hint="eastAsia" w:ascii="宋体" w:hAnsi="宋体" w:cs="宋体"/>
                <w:color w:val="auto"/>
                <w:szCs w:val="21"/>
                <w:highlight w:val="none"/>
              </w:rPr>
              <w:t>管型荧光灯镇流器</w:t>
            </w:r>
          </w:p>
        </w:tc>
        <w:tc>
          <w:tcPr>
            <w:tcW w:w="937" w:type="pct"/>
          </w:tcPr>
          <w:p>
            <w:pPr>
              <w:spacing w:line="360" w:lineRule="auto"/>
              <w:rPr>
                <w:rFonts w:ascii="宋体" w:cs="宋体"/>
                <w:color w:val="auto"/>
                <w:szCs w:val="21"/>
                <w:highlight w:val="none"/>
              </w:rPr>
            </w:pPr>
          </w:p>
        </w:tc>
        <w:tc>
          <w:tcPr>
            <w:tcW w:w="1743" w:type="pct"/>
          </w:tcPr>
          <w:p>
            <w:pPr>
              <w:tabs>
                <w:tab w:val="left" w:pos="628"/>
              </w:tabs>
              <w:spacing w:line="360" w:lineRule="auto"/>
              <w:jc w:val="left"/>
              <w:rPr>
                <w:rFonts w:ascii="宋体" w:cs="宋体"/>
                <w:color w:val="auto"/>
                <w:szCs w:val="21"/>
                <w:highlight w:val="none"/>
              </w:rPr>
            </w:pPr>
            <w:r>
              <w:rPr>
                <w:rFonts w:hint="eastAsia" w:ascii="宋体" w:hAnsi="宋体" w:cs="宋体"/>
                <w:color w:val="auto"/>
                <w:szCs w:val="21"/>
                <w:highlight w:val="none"/>
              </w:rPr>
              <w:t>《管形荧光灯镇流器能效限定值及能效等级》</w:t>
            </w:r>
            <w:r>
              <w:rPr>
                <w:rFonts w:ascii="宋体" w:hAnsi="宋体" w:cs="宋体"/>
                <w:color w:val="auto"/>
                <w:szCs w:val="21"/>
                <w:highlight w:val="none"/>
              </w:rPr>
              <w:t>(GB 17896)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restar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10</w:t>
            </w:r>
          </w:p>
        </w:tc>
        <w:tc>
          <w:tcPr>
            <w:tcW w:w="813" w:type="pct"/>
            <w:vMerge w:val="restar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A020618</w:t>
            </w:r>
            <w:r>
              <w:rPr>
                <w:rFonts w:hint="eastAsia" w:ascii="宋体" w:hAnsi="宋体" w:cs="宋体"/>
                <w:color w:val="auto"/>
                <w:szCs w:val="21"/>
                <w:highlight w:val="none"/>
              </w:rPr>
              <w:t>生活用电器</w:t>
            </w:r>
          </w:p>
        </w:tc>
        <w:tc>
          <w:tcPr>
            <w:tcW w:w="1071" w:type="pct"/>
          </w:tcPr>
          <w:p>
            <w:pPr>
              <w:spacing w:line="360" w:lineRule="auto"/>
              <w:rPr>
                <w:rFonts w:ascii="宋体" w:cs="宋体"/>
                <w:color w:val="auto"/>
                <w:szCs w:val="21"/>
                <w:highlight w:val="none"/>
              </w:rPr>
            </w:pPr>
            <w:r>
              <w:rPr>
                <w:rFonts w:ascii="宋体" w:hAnsi="宋体" w:cs="宋体"/>
                <w:color w:val="auto"/>
                <w:szCs w:val="21"/>
                <w:highlight w:val="none"/>
              </w:rPr>
              <w:t>A0206180101</w:t>
            </w:r>
            <w:r>
              <w:rPr>
                <w:rFonts w:hint="eastAsia" w:ascii="宋体" w:hAnsi="宋体" w:cs="宋体"/>
                <w:color w:val="auto"/>
                <w:szCs w:val="21"/>
                <w:highlight w:val="none"/>
              </w:rPr>
              <w:t>电冰箱</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《家用电冰箱耗电量限定值及能效等级》</w:t>
            </w:r>
            <w:r>
              <w:rPr>
                <w:rFonts w:ascii="宋体" w:hAnsi="宋体" w:cs="宋体"/>
                <w:color w:val="auto"/>
                <w:szCs w:val="21"/>
                <w:highlight w:val="none"/>
              </w:rPr>
              <w:t xml:space="preserve"> (GB 12021.2)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restar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autoSpaceDE w:val="0"/>
              <w:autoSpaceDN w:val="0"/>
              <w:adjustRightInd w:val="0"/>
              <w:spacing w:line="360" w:lineRule="auto"/>
              <w:rPr>
                <w:rFonts w:ascii="宋体" w:cs="宋体"/>
                <w:color w:val="auto"/>
                <w:kern w:val="0"/>
                <w:szCs w:val="21"/>
                <w:highlight w:val="none"/>
              </w:rPr>
            </w:pPr>
          </w:p>
          <w:p>
            <w:pPr>
              <w:spacing w:line="360" w:lineRule="auto"/>
              <w:rPr>
                <w:color w:val="auto"/>
                <w:sz w:val="24"/>
                <w:highlight w:val="none"/>
              </w:rPr>
            </w:pPr>
          </w:p>
          <w:p>
            <w:pPr>
              <w:autoSpaceDE w:val="0"/>
              <w:autoSpaceDN w:val="0"/>
              <w:adjustRightInd w:val="0"/>
              <w:spacing w:line="360" w:lineRule="auto"/>
              <w:rPr>
                <w:rFonts w:ascii="宋体" w:cs="宋体"/>
                <w:color w:val="auto"/>
                <w:kern w:val="0"/>
                <w:sz w:val="24"/>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A0206180203</w:t>
            </w:r>
            <w:r>
              <w:rPr>
                <w:rFonts w:hint="eastAsia" w:ascii="宋体" w:hAnsi="宋体" w:cs="宋体"/>
                <w:color w:val="auto"/>
                <w:szCs w:val="21"/>
                <w:highlight w:val="none"/>
              </w:rPr>
              <w:t>空调机</w:t>
            </w: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hint="eastAsia" w:ascii="宋体" w:hAnsi="宋体" w:cs="宋体"/>
                <w:color w:val="auto"/>
                <w:szCs w:val="21"/>
                <w:highlight w:val="none"/>
              </w:rPr>
              <w:t>房间空气调节器</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《转速可控型房间空气调节器能效限定值及能效等级》</w:t>
            </w:r>
            <w:r>
              <w:rPr>
                <w:rFonts w:ascii="宋体" w:hAnsi="宋体" w:cs="宋体"/>
                <w:color w:val="auto"/>
                <w:szCs w:val="21"/>
                <w:highlight w:val="none"/>
              </w:rPr>
              <w:t xml:space="preserve"> (GB21455-2013)</w:t>
            </w:r>
            <w:r>
              <w:rPr>
                <w:rFonts w:hint="eastAsia" w:ascii="宋体" w:hAnsi="宋体" w:cs="宋体"/>
                <w:color w:val="auto"/>
                <w:szCs w:val="21"/>
                <w:highlight w:val="none"/>
              </w:rPr>
              <w:t>，待</w:t>
            </w:r>
            <w:r>
              <w:rPr>
                <w:rFonts w:ascii="宋体" w:hAnsi="宋体" w:cs="宋体"/>
                <w:color w:val="auto"/>
                <w:szCs w:val="21"/>
                <w:highlight w:val="none"/>
              </w:rPr>
              <w:t>2019</w:t>
            </w:r>
            <w:r>
              <w:rPr>
                <w:rFonts w:hint="eastAsia" w:ascii="宋体" w:hAnsi="宋体" w:cs="宋体"/>
                <w:color w:val="auto"/>
                <w:szCs w:val="21"/>
                <w:highlight w:val="none"/>
              </w:rPr>
              <w:t>年修订发布后，按《房间空气调节器能效限定值及能效等级》</w:t>
            </w:r>
            <w:r>
              <w:rPr>
                <w:rFonts w:ascii="宋体" w:hAnsi="宋体" w:cs="宋体"/>
                <w:color w:val="auto"/>
                <w:szCs w:val="21"/>
                <w:highlight w:val="none"/>
              </w:rPr>
              <w:t>(GB2145-2019)</w:t>
            </w:r>
            <w:r>
              <w:rPr>
                <w:rFonts w:hint="eastAsia" w:ascii="宋体" w:hAnsi="宋体" w:cs="宋体"/>
                <w:color w:val="auto"/>
                <w:szCs w:val="21"/>
                <w:highlight w:val="none"/>
              </w:rPr>
              <w:t>实施</w:t>
            </w:r>
            <w:r>
              <w:rPr>
                <w:rFonts w:ascii="宋体" w:hAnsi="宋体" w:cs="宋体"/>
                <w:color w:val="auto"/>
                <w:szCs w:val="21"/>
                <w:highlight w:val="none"/>
              </w:rPr>
              <w:t xml:space="preserve"> </w:t>
            </w:r>
            <w:r>
              <w:rPr>
                <w:rFonts w:hint="eastAsia" w:ascii="宋体" w:hAnsi="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continue"/>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r>
              <w:rPr>
                <w:rFonts w:hint="eastAsia" w:ascii="宋体" w:hAnsi="宋体" w:cs="宋体"/>
                <w:color w:val="auto"/>
                <w:szCs w:val="21"/>
                <w:highlight w:val="none"/>
              </w:rPr>
              <w:t>多联式空调</w:t>
            </w:r>
            <w:r>
              <w:rPr>
                <w:rFonts w:ascii="宋体" w:hAnsi="宋体" w:cs="宋体"/>
                <w:color w:val="auto"/>
                <w:szCs w:val="21"/>
                <w:highlight w:val="none"/>
              </w:rPr>
              <w:t>(</w:t>
            </w:r>
            <w:r>
              <w:rPr>
                <w:rFonts w:hint="eastAsia" w:ascii="宋体" w:hAnsi="宋体" w:cs="宋体"/>
                <w:color w:val="auto"/>
                <w:szCs w:val="21"/>
                <w:highlight w:val="none"/>
              </w:rPr>
              <w:t>热泵</w:t>
            </w:r>
            <w:r>
              <w:rPr>
                <w:rFonts w:ascii="宋体" w:hAnsi="宋体" w:cs="宋体"/>
                <w:color w:val="auto"/>
                <w:szCs w:val="21"/>
                <w:highlight w:val="none"/>
              </w:rPr>
              <w:t>)</w:t>
            </w:r>
            <w:r>
              <w:rPr>
                <w:rFonts w:hint="eastAsia" w:ascii="宋体" w:hAnsi="宋体" w:cs="宋体"/>
                <w:color w:val="auto"/>
                <w:szCs w:val="21"/>
                <w:highlight w:val="none"/>
              </w:rPr>
              <w:t>组</w:t>
            </w:r>
            <w:r>
              <w:rPr>
                <w:rFonts w:ascii="宋体" w:hAnsi="宋体" w:cs="宋体"/>
                <w:color w:val="auto"/>
                <w:szCs w:val="21"/>
                <w:highlight w:val="none"/>
              </w:rPr>
              <w:t>(</w:t>
            </w:r>
            <w:r>
              <w:rPr>
                <w:rFonts w:hint="eastAsia" w:ascii="宋体" w:hAnsi="宋体" w:cs="宋体"/>
                <w:color w:val="auto"/>
                <w:szCs w:val="21"/>
                <w:highlight w:val="none"/>
              </w:rPr>
              <w:t>制冷量≤</w:t>
            </w:r>
            <w:r>
              <w:rPr>
                <w:rFonts w:ascii="宋体" w:hAnsi="宋体" w:cs="宋体"/>
                <w:color w:val="auto"/>
                <w:szCs w:val="21"/>
                <w:highlight w:val="none"/>
              </w:rPr>
              <w:t>14000w)</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《多联式空调</w:t>
            </w:r>
            <w:r>
              <w:rPr>
                <w:rFonts w:ascii="宋体" w:hAnsi="宋体" w:cs="宋体"/>
                <w:color w:val="auto"/>
                <w:szCs w:val="21"/>
                <w:highlight w:val="none"/>
              </w:rPr>
              <w:t>(</w:t>
            </w:r>
            <w:r>
              <w:rPr>
                <w:rFonts w:hint="eastAsia" w:ascii="宋体" w:hAnsi="宋体" w:cs="宋体"/>
                <w:color w:val="auto"/>
                <w:szCs w:val="21"/>
                <w:highlight w:val="none"/>
              </w:rPr>
              <w:t>热泵</w:t>
            </w:r>
            <w:r>
              <w:rPr>
                <w:rFonts w:ascii="宋体" w:hAnsi="宋体" w:cs="宋体"/>
                <w:color w:val="auto"/>
                <w:szCs w:val="21"/>
                <w:highlight w:val="none"/>
              </w:rPr>
              <w:t>)</w:t>
            </w:r>
            <w:r>
              <w:rPr>
                <w:rFonts w:hint="eastAsia" w:ascii="宋体" w:hAnsi="宋体" w:cs="宋体"/>
                <w:color w:val="auto"/>
                <w:szCs w:val="21"/>
                <w:highlight w:val="none"/>
              </w:rPr>
              <w:t>机组能效限</w:t>
            </w:r>
            <w:r>
              <w:rPr>
                <w:rFonts w:ascii="宋体" w:hAnsi="宋体" w:cs="宋体"/>
                <w:color w:val="auto"/>
                <w:szCs w:val="21"/>
                <w:highlight w:val="none"/>
              </w:rPr>
              <w:t xml:space="preserve"> </w:t>
            </w:r>
            <w:r>
              <w:rPr>
                <w:rFonts w:hint="eastAsia" w:ascii="宋体" w:hAnsi="宋体" w:cs="宋体"/>
                <w:color w:val="auto"/>
                <w:szCs w:val="21"/>
                <w:highlight w:val="none"/>
              </w:rPr>
              <w:t>定值及能源效率等级》</w:t>
            </w:r>
            <w:r>
              <w:rPr>
                <w:rFonts w:ascii="宋体" w:hAnsi="宋体" w:cs="宋体"/>
                <w:color w:val="auto"/>
                <w:szCs w:val="21"/>
                <w:highlight w:val="none"/>
              </w:rPr>
              <w:t>(GB 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continue"/>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r>
              <w:rPr>
                <w:rFonts w:hint="eastAsia" w:ascii="宋体" w:hAnsi="宋体" w:cs="宋体"/>
                <w:color w:val="auto"/>
                <w:szCs w:val="21"/>
                <w:highlight w:val="none"/>
              </w:rPr>
              <w:t>单元式空气调节</w:t>
            </w:r>
            <w:r>
              <w:rPr>
                <w:rFonts w:ascii="宋体" w:hAnsi="宋体" w:cs="宋体"/>
                <w:color w:val="auto"/>
                <w:szCs w:val="21"/>
                <w:highlight w:val="none"/>
              </w:rPr>
              <w:t>(</w:t>
            </w:r>
            <w:r>
              <w:rPr>
                <w:rFonts w:hint="eastAsia" w:ascii="宋体" w:hAnsi="宋体" w:cs="宋体"/>
                <w:color w:val="auto"/>
                <w:szCs w:val="21"/>
                <w:highlight w:val="none"/>
              </w:rPr>
              <w:t>制冷量≤</w:t>
            </w:r>
            <w:r>
              <w:rPr>
                <w:rFonts w:ascii="宋体" w:hAnsi="宋体" w:cs="宋体"/>
                <w:color w:val="auto"/>
                <w:szCs w:val="21"/>
                <w:highlight w:val="none"/>
              </w:rPr>
              <w:t>14000w)</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《单元式空气调节机能效限定值</w:t>
            </w:r>
            <w:r>
              <w:rPr>
                <w:rFonts w:ascii="宋体" w:hAnsi="宋体" w:cs="宋体"/>
                <w:color w:val="auto"/>
                <w:szCs w:val="21"/>
                <w:highlight w:val="none"/>
              </w:rPr>
              <w:t xml:space="preserve"> </w:t>
            </w:r>
            <w:r>
              <w:rPr>
                <w:rFonts w:hint="eastAsia" w:ascii="宋体" w:hAnsi="宋体" w:cs="宋体"/>
                <w:color w:val="auto"/>
                <w:szCs w:val="21"/>
                <w:highlight w:val="none"/>
              </w:rPr>
              <w:t>及能源效率等级》</w:t>
            </w:r>
            <w:r>
              <w:rPr>
                <w:rFonts w:ascii="宋体" w:hAnsi="宋体" w:cs="宋体"/>
                <w:color w:val="auto"/>
                <w:szCs w:val="21"/>
                <w:highlight w:val="none"/>
              </w:rPr>
              <w:t>(GB 19576)</w:t>
            </w:r>
            <w:r>
              <w:rPr>
                <w:rFonts w:hint="eastAsia" w:ascii="宋体" w:hAnsi="宋体" w:cs="宋体"/>
                <w:color w:val="auto"/>
                <w:szCs w:val="21"/>
                <w:highlight w:val="none"/>
              </w:rPr>
              <w:t>《风管送风式空调机组能效限定值及</w:t>
            </w:r>
            <w:r>
              <w:rPr>
                <w:rFonts w:ascii="宋体" w:hAnsi="宋体" w:cs="宋体"/>
                <w:color w:val="auto"/>
                <w:szCs w:val="21"/>
                <w:highlight w:val="none"/>
              </w:rPr>
              <w:t xml:space="preserve"> </w:t>
            </w:r>
            <w:r>
              <w:rPr>
                <w:rFonts w:hint="eastAsia" w:ascii="宋体" w:hAnsi="宋体" w:cs="宋体"/>
                <w:color w:val="auto"/>
                <w:szCs w:val="21"/>
                <w:highlight w:val="none"/>
              </w:rPr>
              <w:t>能效等级》</w:t>
            </w:r>
            <w:r>
              <w:rPr>
                <w:rFonts w:ascii="宋体" w:hAnsi="宋体" w:cs="宋体"/>
                <w:color w:val="auto"/>
                <w:szCs w:val="21"/>
                <w:highlight w:val="none"/>
              </w:rPr>
              <w:t xml:space="preserve"> (GB 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A020618301</w:t>
            </w:r>
            <w:r>
              <w:rPr>
                <w:rFonts w:hint="eastAsia" w:ascii="宋体" w:hAnsi="宋体" w:cs="宋体"/>
                <w:color w:val="auto"/>
                <w:szCs w:val="21"/>
                <w:highlight w:val="none"/>
              </w:rPr>
              <w:t>洗衣机</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《电动洗衣机能效水效限定值及等级》</w:t>
            </w:r>
            <w:r>
              <w:rPr>
                <w:rFonts w:ascii="宋体" w:hAnsi="宋体" w:cs="宋体"/>
                <w:color w:val="auto"/>
                <w:szCs w:val="21"/>
                <w:highlight w:val="none"/>
              </w:rPr>
              <w:t xml:space="preserve">  (GB 12021.4)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restar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A02061808</w:t>
            </w:r>
            <w:r>
              <w:rPr>
                <w:rFonts w:hint="eastAsia" w:ascii="宋体" w:hAnsi="宋体" w:cs="宋体"/>
                <w:color w:val="auto"/>
                <w:szCs w:val="21"/>
                <w:highlight w:val="none"/>
              </w:rPr>
              <w:t>热水器</w:t>
            </w:r>
          </w:p>
        </w:tc>
        <w:tc>
          <w:tcPr>
            <w:tcW w:w="937" w:type="pct"/>
          </w:tcPr>
          <w:p>
            <w:pPr>
              <w:spacing w:line="360" w:lineRule="auto"/>
              <w:rPr>
                <w:rFonts w:ascii="宋体" w:cs="宋体"/>
                <w:color w:val="auto"/>
                <w:szCs w:val="21"/>
                <w:highlight w:val="none"/>
              </w:rPr>
            </w:pPr>
            <w:r>
              <w:rPr>
                <w:rFonts w:hint="eastAsia" w:ascii="宋体" w:hAnsi="宋体" w:cs="宋体"/>
                <w:color w:val="auto"/>
                <w:szCs w:val="21"/>
                <w:highlight w:val="none"/>
              </w:rPr>
              <w:t>★电热水器</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《储水式电热水器能效限定值及能效等级》</w:t>
            </w:r>
            <w:r>
              <w:rPr>
                <w:rFonts w:ascii="宋体" w:hAnsi="宋体" w:cs="宋体"/>
                <w:color w:val="auto"/>
                <w:szCs w:val="21"/>
                <w:highlight w:val="none"/>
              </w:rPr>
              <w:t>(GB 21519)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continue"/>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r>
              <w:rPr>
                <w:rFonts w:hint="eastAsia" w:ascii="宋体" w:hAnsi="宋体" w:cs="宋体"/>
                <w:color w:val="auto"/>
                <w:szCs w:val="21"/>
                <w:highlight w:val="none"/>
              </w:rPr>
              <w:t>燃气热水器</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《家用燃气快速热水器和燃气采暖热水炉能效限定值及能效等级》</w:t>
            </w:r>
            <w:r>
              <w:rPr>
                <w:rFonts w:ascii="宋体" w:hAnsi="宋体" w:cs="宋体"/>
                <w:color w:val="auto"/>
                <w:szCs w:val="21"/>
                <w:highlight w:val="none"/>
              </w:rPr>
              <w:t xml:space="preserve"> (GB 20665)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continue"/>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r>
              <w:rPr>
                <w:rFonts w:hint="eastAsia" w:ascii="宋体" w:hAnsi="宋体" w:cs="宋体"/>
                <w:color w:val="auto"/>
                <w:szCs w:val="21"/>
                <w:highlight w:val="none"/>
              </w:rPr>
              <w:t>热泵热水器</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《热泵热水机</w:t>
            </w:r>
            <w:r>
              <w:rPr>
                <w:rFonts w:ascii="宋体" w:hAnsi="宋体" w:cs="宋体"/>
                <w:color w:val="auto"/>
                <w:szCs w:val="21"/>
                <w:highlight w:val="none"/>
              </w:rPr>
              <w:t>(</w:t>
            </w:r>
            <w:r>
              <w:rPr>
                <w:rFonts w:hint="eastAsia" w:ascii="宋体" w:hAnsi="宋体" w:cs="宋体"/>
                <w:color w:val="auto"/>
                <w:szCs w:val="21"/>
                <w:highlight w:val="none"/>
              </w:rPr>
              <w:t>器</w:t>
            </w:r>
            <w:r>
              <w:rPr>
                <w:rFonts w:ascii="宋体" w:hAnsi="宋体" w:cs="宋体"/>
                <w:color w:val="auto"/>
                <w:szCs w:val="21"/>
                <w:highlight w:val="none"/>
              </w:rPr>
              <w:t>)</w:t>
            </w:r>
            <w:r>
              <w:rPr>
                <w:rFonts w:hint="eastAsia" w:ascii="宋体" w:hAnsi="宋体" w:cs="宋体"/>
                <w:color w:val="auto"/>
                <w:szCs w:val="21"/>
                <w:highlight w:val="none"/>
              </w:rPr>
              <w:t>能效限定值及能效等级》</w:t>
            </w:r>
            <w:r>
              <w:rPr>
                <w:rFonts w:ascii="宋体" w:hAnsi="宋体" w:cs="宋体"/>
                <w:color w:val="auto"/>
                <w:szCs w:val="21"/>
                <w:highlight w:val="none"/>
              </w:rPr>
              <w:t xml:space="preserve"> (CB 29541)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continue"/>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r>
              <w:rPr>
                <w:rFonts w:hint="eastAsia" w:ascii="宋体" w:hAnsi="宋体" w:cs="宋体"/>
                <w:color w:val="auto"/>
                <w:szCs w:val="21"/>
                <w:highlight w:val="none"/>
              </w:rPr>
              <w:t>太阳能热水系统</w:t>
            </w: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《家用太阳能热水系统能效限定值及能效等级》</w:t>
            </w:r>
            <w:r>
              <w:rPr>
                <w:rFonts w:ascii="宋体" w:hAnsi="宋体" w:cs="宋体"/>
                <w:color w:val="auto"/>
                <w:szCs w:val="21"/>
                <w:highlight w:val="none"/>
              </w:rPr>
              <w:t xml:space="preserve"> (GB 26969)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33" w:type="pct"/>
            <w:vMerge w:val="restart"/>
          </w:tcPr>
          <w:p>
            <w:pPr>
              <w:spacing w:line="360" w:lineRule="auto"/>
              <w:rPr>
                <w:rFonts w:ascii="宋体" w:cs="宋体"/>
                <w:color w:val="auto"/>
                <w:szCs w:val="21"/>
                <w:highlight w:val="none"/>
              </w:rPr>
            </w:pPr>
            <w:r>
              <w:rPr>
                <w:rFonts w:ascii="宋体" w:hAnsi="宋体" w:cs="宋体"/>
                <w:color w:val="auto"/>
                <w:szCs w:val="21"/>
                <w:highlight w:val="none"/>
              </w:rPr>
              <w:t>11</w:t>
            </w:r>
          </w:p>
        </w:tc>
        <w:tc>
          <w:tcPr>
            <w:tcW w:w="813" w:type="pct"/>
            <w:vMerge w:val="restar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A020619</w:t>
            </w:r>
            <w:r>
              <w:rPr>
                <w:rFonts w:hint="eastAsia" w:ascii="宋体" w:hAnsi="宋体" w:cs="宋体"/>
                <w:color w:val="auto"/>
                <w:szCs w:val="21"/>
                <w:highlight w:val="none"/>
              </w:rPr>
              <w:t>照明设备</w:t>
            </w:r>
          </w:p>
        </w:tc>
        <w:tc>
          <w:tcPr>
            <w:tcW w:w="1071" w:type="pct"/>
          </w:tcPr>
          <w:p>
            <w:pPr>
              <w:spacing w:line="360" w:lineRule="auto"/>
              <w:rPr>
                <w:rFonts w:ascii="宋体" w:cs="宋体"/>
                <w:color w:val="auto"/>
                <w:szCs w:val="21"/>
                <w:highlight w:val="none"/>
              </w:rPr>
            </w:pPr>
            <w:r>
              <w:rPr>
                <w:rFonts w:hint="eastAsia" w:ascii="宋体" w:hAnsi="宋体" w:cs="宋体"/>
                <w:color w:val="auto"/>
                <w:szCs w:val="21"/>
                <w:highlight w:val="none"/>
              </w:rPr>
              <w:t>★普通照明用双瑞荧光灯</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《普通照明用双端荧光灯能效限定值及能效等级》</w:t>
            </w:r>
            <w:r>
              <w:rPr>
                <w:rFonts w:ascii="宋体" w:hAnsi="宋体" w:cs="宋体"/>
                <w:color w:val="auto"/>
                <w:szCs w:val="21"/>
                <w:highlight w:val="none"/>
              </w:rPr>
              <w:t>(GB 19043 )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tcPr>
          <w:p>
            <w:pPr>
              <w:spacing w:line="360" w:lineRule="auto"/>
              <w:rPr>
                <w:rFonts w:ascii="宋体" w:cs="宋体"/>
                <w:color w:val="auto"/>
                <w:szCs w:val="21"/>
                <w:highlight w:val="none"/>
              </w:rPr>
            </w:pPr>
            <w:r>
              <w:rPr>
                <w:rFonts w:ascii="宋体" w:hAnsi="宋体" w:cs="宋体"/>
                <w:color w:val="auto"/>
                <w:szCs w:val="21"/>
                <w:highlight w:val="none"/>
              </w:rPr>
              <w:t>LED</w:t>
            </w:r>
            <w:r>
              <w:rPr>
                <w:rFonts w:hint="eastAsia" w:ascii="宋体" w:hAnsi="宋体" w:cs="宋体"/>
                <w:color w:val="auto"/>
                <w:szCs w:val="21"/>
                <w:highlight w:val="none"/>
              </w:rPr>
              <w:t>道路</w:t>
            </w:r>
            <w:r>
              <w:rPr>
                <w:rFonts w:ascii="宋体" w:hAnsi="宋体" w:cs="宋体"/>
                <w:color w:val="auto"/>
                <w:szCs w:val="21"/>
                <w:highlight w:val="none"/>
              </w:rPr>
              <w:t>/</w:t>
            </w:r>
            <w:r>
              <w:rPr>
                <w:rFonts w:hint="eastAsia" w:ascii="宋体" w:hAnsi="宋体" w:cs="宋体"/>
                <w:color w:val="auto"/>
                <w:szCs w:val="21"/>
                <w:highlight w:val="none"/>
              </w:rPr>
              <w:t>隧道照明产品</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《道路和隧道照明用</w:t>
            </w:r>
            <w:r>
              <w:rPr>
                <w:rFonts w:ascii="宋体" w:hAnsi="宋体" w:cs="宋体"/>
                <w:color w:val="auto"/>
                <w:szCs w:val="21"/>
                <w:highlight w:val="none"/>
              </w:rPr>
              <w:t>LED</w:t>
            </w:r>
            <w:r>
              <w:rPr>
                <w:rFonts w:hint="eastAsia" w:ascii="宋体" w:hAnsi="宋体" w:cs="宋体"/>
                <w:color w:val="auto"/>
                <w:szCs w:val="21"/>
                <w:highlight w:val="none"/>
              </w:rPr>
              <w:t>灯具能效限定值及能效等级》</w:t>
            </w:r>
            <w:r>
              <w:rPr>
                <w:rFonts w:ascii="宋体" w:hAnsi="宋体" w:cs="宋体"/>
                <w:color w:val="auto"/>
                <w:szCs w:val="21"/>
                <w:highlight w:val="none"/>
              </w:rPr>
              <w:t>(GB37 478)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tcPr>
          <w:p>
            <w:pPr>
              <w:spacing w:line="360" w:lineRule="auto"/>
              <w:rPr>
                <w:rFonts w:ascii="宋体" w:cs="宋体"/>
                <w:color w:val="auto"/>
                <w:szCs w:val="21"/>
                <w:highlight w:val="none"/>
              </w:rPr>
            </w:pPr>
            <w:r>
              <w:rPr>
                <w:rFonts w:ascii="宋体" w:hAnsi="宋体" w:cs="宋体"/>
                <w:color w:val="auto"/>
                <w:szCs w:val="21"/>
                <w:highlight w:val="none"/>
              </w:rPr>
              <w:t>LED</w:t>
            </w:r>
            <w:r>
              <w:rPr>
                <w:rFonts w:hint="eastAsia" w:ascii="宋体" w:hAnsi="宋体" w:cs="宋体"/>
                <w:color w:val="auto"/>
                <w:szCs w:val="21"/>
                <w:highlight w:val="none"/>
              </w:rPr>
              <w:t>筒灯</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《室内照明用</w:t>
            </w:r>
            <w:r>
              <w:rPr>
                <w:rFonts w:ascii="宋体" w:hAnsi="宋体" w:cs="宋体"/>
                <w:color w:val="auto"/>
                <w:szCs w:val="21"/>
                <w:highlight w:val="none"/>
              </w:rPr>
              <w:t>LED</w:t>
            </w:r>
            <w:r>
              <w:rPr>
                <w:rFonts w:hint="eastAsia" w:ascii="宋体" w:hAnsi="宋体" w:cs="宋体"/>
                <w:color w:val="auto"/>
                <w:szCs w:val="21"/>
                <w:highlight w:val="none"/>
              </w:rPr>
              <w:t>产品能效限定值及能效等级》</w:t>
            </w:r>
            <w:r>
              <w:rPr>
                <w:rFonts w:ascii="宋体" w:hAnsi="宋体" w:cs="宋体"/>
                <w:color w:val="auto"/>
                <w:szCs w:val="21"/>
                <w:highlight w:val="none"/>
              </w:rPr>
              <w:t xml:space="preserve"> (GB 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vMerge w:val="restart"/>
          </w:tcPr>
          <w:p>
            <w:pPr>
              <w:spacing w:line="360" w:lineRule="auto"/>
              <w:rPr>
                <w:rFonts w:ascii="宋体" w:cs="宋体"/>
                <w:color w:val="auto"/>
                <w:szCs w:val="21"/>
                <w:highlight w:val="none"/>
              </w:rPr>
            </w:pPr>
            <w:r>
              <w:rPr>
                <w:rFonts w:hint="eastAsia" w:ascii="宋体" w:hAnsi="宋体" w:cs="宋体"/>
                <w:color w:val="auto"/>
                <w:szCs w:val="21"/>
                <w:highlight w:val="none"/>
              </w:rPr>
              <w:t>普通照明用非定向自镇流</w:t>
            </w:r>
            <w:r>
              <w:rPr>
                <w:rFonts w:ascii="宋体" w:hAnsi="宋体" w:cs="宋体"/>
                <w:color w:val="auto"/>
                <w:szCs w:val="21"/>
                <w:highlight w:val="none"/>
              </w:rPr>
              <w:t>LED</w:t>
            </w:r>
            <w:r>
              <w:rPr>
                <w:rFonts w:hint="eastAsia" w:ascii="宋体" w:hAnsi="宋体" w:cs="宋体"/>
                <w:color w:val="auto"/>
                <w:szCs w:val="21"/>
                <w:highlight w:val="none"/>
              </w:rPr>
              <w:t>灯</w:t>
            </w:r>
          </w:p>
          <w:p>
            <w:pPr>
              <w:spacing w:line="360" w:lineRule="auto"/>
              <w:rPr>
                <w:rFonts w:ascii="宋体" w:cs="宋体"/>
                <w:color w:val="auto"/>
                <w:szCs w:val="21"/>
                <w:highlight w:val="none"/>
              </w:rPr>
            </w:pPr>
            <w:r>
              <w:rPr>
                <w:rFonts w:ascii="宋体" w:hAnsi="宋体" w:cs="宋体"/>
                <w:color w:val="auto"/>
                <w:szCs w:val="21"/>
                <w:highlight w:val="none"/>
              </w:rPr>
              <w:t xml:space="preserve">A02091001 </w:t>
            </w:r>
            <w:r>
              <w:rPr>
                <w:rFonts w:hint="eastAsia" w:ascii="宋体" w:hAnsi="宋体" w:cs="宋体"/>
                <w:color w:val="auto"/>
                <w:szCs w:val="21"/>
                <w:highlight w:val="none"/>
              </w:rPr>
              <w:t>普通电视设备</w:t>
            </w:r>
            <w:r>
              <w:rPr>
                <w:rFonts w:ascii="宋体" w:hAnsi="宋体" w:cs="宋体"/>
                <w:color w:val="auto"/>
                <w:szCs w:val="21"/>
                <w:highlight w:val="none"/>
              </w:rPr>
              <w:t>(</w:t>
            </w:r>
            <w:r>
              <w:rPr>
                <w:rFonts w:hint="eastAsia" w:ascii="宋体" w:hAnsi="宋体" w:cs="宋体"/>
                <w:color w:val="auto"/>
                <w:szCs w:val="21"/>
                <w:highlight w:val="none"/>
              </w:rPr>
              <w:t>电视机</w:t>
            </w:r>
            <w:r>
              <w:rPr>
                <w:rFonts w:ascii="宋体" w:hAnsi="宋体" w:cs="宋体"/>
                <w:color w:val="auto"/>
                <w:szCs w:val="21"/>
                <w:highlight w:val="none"/>
              </w:rPr>
              <w:t>)</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《室内照明用</w:t>
            </w:r>
            <w:r>
              <w:rPr>
                <w:rFonts w:ascii="宋体" w:hAnsi="宋体" w:cs="宋体"/>
                <w:color w:val="auto"/>
                <w:szCs w:val="21"/>
                <w:highlight w:val="none"/>
              </w:rPr>
              <w:t>LED</w:t>
            </w:r>
            <w:r>
              <w:rPr>
                <w:rFonts w:hint="eastAsia" w:ascii="宋体" w:hAnsi="宋体" w:cs="宋体"/>
                <w:color w:val="auto"/>
                <w:szCs w:val="21"/>
                <w:highlight w:val="none"/>
              </w:rPr>
              <w:t>产品能效限定值及能效等级》</w:t>
            </w:r>
            <w:r>
              <w:rPr>
                <w:rFonts w:ascii="宋体" w:hAnsi="宋体" w:cs="宋体"/>
                <w:color w:val="auto"/>
                <w:szCs w:val="21"/>
                <w:highlight w:val="none"/>
              </w:rPr>
              <w:t>(GB 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Pr>
          <w:p>
            <w:pPr>
              <w:spacing w:line="360" w:lineRule="auto"/>
              <w:rPr>
                <w:rFonts w:ascii="宋体" w:cs="宋体"/>
                <w:color w:val="auto"/>
                <w:szCs w:val="21"/>
                <w:highlight w:val="none"/>
              </w:rPr>
            </w:pPr>
            <w:r>
              <w:rPr>
                <w:rFonts w:ascii="宋体" w:hAnsi="宋体" w:cs="宋体"/>
                <w:color w:val="auto"/>
                <w:szCs w:val="21"/>
                <w:highlight w:val="none"/>
              </w:rPr>
              <w:t>12</w:t>
            </w:r>
          </w:p>
        </w:tc>
        <w:tc>
          <w:tcPr>
            <w:tcW w:w="813" w:type="pct"/>
          </w:tcPr>
          <w:p>
            <w:pPr>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A020910</w:t>
            </w:r>
            <w:r>
              <w:rPr>
                <w:rFonts w:hint="eastAsia" w:ascii="宋体" w:hAnsi="宋体" w:cs="宋体"/>
                <w:color w:val="auto"/>
                <w:szCs w:val="21"/>
                <w:highlight w:val="none"/>
              </w:rPr>
              <w:t>电视设备</w:t>
            </w:r>
          </w:p>
        </w:tc>
        <w:tc>
          <w:tcPr>
            <w:tcW w:w="1071" w:type="pct"/>
            <w:vMerge w:val="continue"/>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《平板电视能效限定值及能效等级》</w:t>
            </w:r>
            <w:r>
              <w:rPr>
                <w:rFonts w:ascii="宋体" w:hAnsi="宋体" w:cs="宋体"/>
                <w:color w:val="auto"/>
                <w:szCs w:val="21"/>
                <w:highlight w:val="none"/>
              </w:rPr>
              <w:t>(GB 24850)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Pr>
          <w:p>
            <w:pPr>
              <w:spacing w:line="360" w:lineRule="auto"/>
              <w:rPr>
                <w:rFonts w:ascii="宋体" w:cs="宋体"/>
                <w:color w:val="auto"/>
                <w:szCs w:val="21"/>
                <w:highlight w:val="none"/>
              </w:rPr>
            </w:pPr>
            <w:r>
              <w:rPr>
                <w:rFonts w:ascii="宋体" w:hAnsi="宋体" w:cs="宋体"/>
                <w:color w:val="auto"/>
                <w:szCs w:val="21"/>
                <w:highlight w:val="none"/>
              </w:rPr>
              <w:t>13</w:t>
            </w:r>
          </w:p>
        </w:tc>
        <w:tc>
          <w:tcPr>
            <w:tcW w:w="813" w:type="pct"/>
            <w:vMerge w:val="restar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A020911</w:t>
            </w:r>
            <w:r>
              <w:rPr>
                <w:rFonts w:hint="eastAsia" w:ascii="宋体" w:hAnsi="宋体" w:cs="宋体"/>
                <w:color w:val="auto"/>
                <w:szCs w:val="21"/>
                <w:highlight w:val="none"/>
              </w:rPr>
              <w:t>视颇设备</w:t>
            </w:r>
          </w:p>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A031210</w:t>
            </w:r>
            <w:r>
              <w:rPr>
                <w:rFonts w:hint="eastAsia" w:ascii="宋体" w:hAnsi="宋体" w:cs="宋体"/>
                <w:color w:val="auto"/>
                <w:szCs w:val="21"/>
                <w:highlight w:val="none"/>
              </w:rPr>
              <w:t>饮食故事机械</w:t>
            </w:r>
          </w:p>
        </w:tc>
        <w:tc>
          <w:tcPr>
            <w:tcW w:w="1071" w:type="pc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ascii="宋体" w:hAnsi="宋体" w:cs="宋体"/>
                <w:color w:val="auto"/>
                <w:szCs w:val="21"/>
                <w:highlight w:val="none"/>
              </w:rPr>
              <w:t>A02091107</w:t>
            </w:r>
            <w:r>
              <w:rPr>
                <w:rFonts w:hint="eastAsia" w:ascii="宋体" w:hAnsi="宋体" w:cs="宋体"/>
                <w:color w:val="auto"/>
                <w:szCs w:val="21"/>
                <w:highlight w:val="none"/>
              </w:rPr>
              <w:t>视颊监控设备</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以射频信号为主要信号输入的监视器应符合《平板电视能效限定值及能效等级》</w:t>
            </w:r>
            <w:r>
              <w:rPr>
                <w:rFonts w:ascii="宋体" w:hAnsi="宋体" w:cs="宋体"/>
                <w:color w:val="auto"/>
                <w:szCs w:val="21"/>
                <w:highlight w:val="none"/>
              </w:rPr>
              <w:t xml:space="preserve"> (GB 24850) </w:t>
            </w:r>
            <w:r>
              <w:rPr>
                <w:rFonts w:hint="eastAsia" w:ascii="宋体" w:hAnsi="宋体" w:cs="宋体"/>
                <w:color w:val="auto"/>
                <w:szCs w:val="21"/>
                <w:highlight w:val="none"/>
              </w:rPr>
              <w:t>，</w:t>
            </w:r>
          </w:p>
          <w:p>
            <w:pPr>
              <w:spacing w:line="360" w:lineRule="auto"/>
              <w:rPr>
                <w:rFonts w:ascii="宋体" w:cs="宋体"/>
                <w:color w:val="auto"/>
                <w:szCs w:val="21"/>
                <w:highlight w:val="none"/>
              </w:rPr>
            </w:pPr>
            <w:r>
              <w:rPr>
                <w:rFonts w:hint="eastAsia" w:ascii="宋体" w:hAnsi="宋体" w:cs="宋体"/>
                <w:color w:val="auto"/>
                <w:szCs w:val="21"/>
                <w:highlight w:val="none"/>
              </w:rPr>
              <w:t>以数字信号为主要信号输入的监视器应符合《计算机显示器能效限定值及能效等级》</w:t>
            </w:r>
            <w:r>
              <w:rPr>
                <w:rFonts w:ascii="宋体" w:hAnsi="宋体" w:cs="宋体"/>
                <w:color w:val="auto"/>
                <w:szCs w:val="21"/>
                <w:highlight w:val="none"/>
              </w:rPr>
              <w:t>(GB 21520 )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Pr>
          <w:p>
            <w:pPr>
              <w:spacing w:line="360" w:lineRule="auto"/>
              <w:rPr>
                <w:rFonts w:ascii="宋体" w:cs="宋体"/>
                <w:color w:val="auto"/>
                <w:szCs w:val="21"/>
                <w:highlight w:val="none"/>
              </w:rPr>
            </w:pPr>
            <w:r>
              <w:rPr>
                <w:rFonts w:ascii="宋体" w:hAnsi="宋体" w:cs="宋体"/>
                <w:color w:val="auto"/>
                <w:szCs w:val="21"/>
                <w:highlight w:val="none"/>
              </w:rPr>
              <w:t>14</w:t>
            </w:r>
          </w:p>
        </w:tc>
        <w:tc>
          <w:tcPr>
            <w:tcW w:w="813" w:type="pct"/>
            <w:vMerge w:val="continue"/>
          </w:tcPr>
          <w:p>
            <w:pPr>
              <w:spacing w:line="360" w:lineRule="auto"/>
              <w:rPr>
                <w:rFonts w:ascii="宋体" w:cs="宋体"/>
                <w:color w:val="auto"/>
                <w:szCs w:val="21"/>
                <w:highlight w:val="none"/>
              </w:rPr>
            </w:pPr>
          </w:p>
        </w:tc>
        <w:tc>
          <w:tcPr>
            <w:tcW w:w="1071" w:type="pc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hint="eastAsia" w:ascii="宋体" w:hAnsi="宋体" w:cs="宋体"/>
                <w:color w:val="auto"/>
                <w:szCs w:val="21"/>
                <w:highlight w:val="none"/>
              </w:rPr>
              <w:t>商用燃气灶具</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《商用燃气灶具能效限定值及能</w:t>
            </w:r>
            <w:r>
              <w:rPr>
                <w:rFonts w:ascii="宋体" w:hAnsi="宋体" w:cs="宋体"/>
                <w:color w:val="auto"/>
                <w:szCs w:val="21"/>
                <w:highlight w:val="none"/>
              </w:rPr>
              <w:t xml:space="preserve"> </w:t>
            </w:r>
            <w:r>
              <w:rPr>
                <w:rFonts w:hint="eastAsia" w:ascii="宋体" w:hAnsi="宋体" w:cs="宋体"/>
                <w:color w:val="auto"/>
                <w:szCs w:val="21"/>
                <w:highlight w:val="none"/>
              </w:rPr>
              <w:t>效等级》</w:t>
            </w:r>
            <w:r>
              <w:rPr>
                <w:rFonts w:ascii="宋体" w:hAnsi="宋体" w:cs="宋体"/>
                <w:color w:val="auto"/>
                <w:szCs w:val="21"/>
                <w:highlight w:val="none"/>
              </w:rPr>
              <w:t>(GB 30531 )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433" w:type="pct"/>
            <w:vMerge w:val="restart"/>
          </w:tcPr>
          <w:p>
            <w:pPr>
              <w:spacing w:line="360" w:lineRule="auto"/>
              <w:rPr>
                <w:rFonts w:ascii="宋体" w:cs="宋体"/>
                <w:color w:val="auto"/>
                <w:szCs w:val="21"/>
                <w:highlight w:val="none"/>
              </w:rPr>
            </w:pPr>
            <w:r>
              <w:rPr>
                <w:rFonts w:ascii="宋体" w:hAnsi="宋体" w:cs="宋体"/>
                <w:color w:val="auto"/>
                <w:szCs w:val="21"/>
                <w:highlight w:val="none"/>
              </w:rPr>
              <w:t>15</w:t>
            </w:r>
          </w:p>
        </w:tc>
        <w:tc>
          <w:tcPr>
            <w:tcW w:w="813" w:type="pct"/>
            <w:vMerge w:val="restart"/>
          </w:tcPr>
          <w:p>
            <w:pPr>
              <w:spacing w:line="360" w:lineRule="auto"/>
              <w:rPr>
                <w:rFonts w:ascii="宋体" w:cs="宋体"/>
                <w:color w:val="auto"/>
                <w:szCs w:val="21"/>
                <w:highlight w:val="none"/>
              </w:rPr>
            </w:pPr>
          </w:p>
          <w:p>
            <w:pPr>
              <w:spacing w:line="360" w:lineRule="auto"/>
              <w:rPr>
                <w:rFonts w:ascii="宋体" w:cs="宋体"/>
                <w:color w:val="auto"/>
                <w:szCs w:val="21"/>
                <w:highlight w:val="none"/>
              </w:rPr>
            </w:pPr>
          </w:p>
          <w:p>
            <w:pPr>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A060805</w:t>
            </w:r>
            <w:r>
              <w:rPr>
                <w:rFonts w:hint="eastAsia" w:ascii="宋体" w:hAnsi="宋体" w:cs="宋体"/>
                <w:color w:val="auto"/>
                <w:szCs w:val="21"/>
                <w:highlight w:val="none"/>
              </w:rPr>
              <w:t>便器</w:t>
            </w:r>
          </w:p>
        </w:tc>
        <w:tc>
          <w:tcPr>
            <w:tcW w:w="1071" w:type="pct"/>
          </w:tcPr>
          <w:p>
            <w:pPr>
              <w:spacing w:line="360" w:lineRule="auto"/>
              <w:rPr>
                <w:rFonts w:ascii="宋体" w:cs="宋体"/>
                <w:color w:val="auto"/>
                <w:szCs w:val="21"/>
                <w:highlight w:val="none"/>
              </w:rPr>
            </w:pPr>
            <w:r>
              <w:rPr>
                <w:rFonts w:hint="eastAsia" w:ascii="宋体" w:hAnsi="宋体" w:cs="宋体"/>
                <w:color w:val="auto"/>
                <w:szCs w:val="21"/>
                <w:highlight w:val="none"/>
              </w:rPr>
              <w:t>坐便器</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《坐便器水效限定值及水效等级》</w:t>
            </w:r>
            <w:r>
              <w:rPr>
                <w:rFonts w:ascii="宋体" w:hAnsi="宋体" w:cs="宋体"/>
                <w:color w:val="auto"/>
                <w:szCs w:val="21"/>
                <w:highlight w:val="none"/>
              </w:rPr>
              <w:t xml:space="preserve">      (GB 25502)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tcPr>
          <w:p>
            <w:pPr>
              <w:spacing w:line="360" w:lineRule="auto"/>
              <w:rPr>
                <w:rFonts w:ascii="宋体" w:cs="宋体"/>
                <w:color w:val="auto"/>
                <w:szCs w:val="21"/>
                <w:highlight w:val="none"/>
              </w:rPr>
            </w:pPr>
            <w:r>
              <w:rPr>
                <w:rFonts w:hint="eastAsia" w:ascii="宋体" w:hAnsi="宋体" w:cs="宋体"/>
                <w:color w:val="auto"/>
                <w:szCs w:val="21"/>
                <w:highlight w:val="none"/>
              </w:rPr>
              <w:t>蹲便器</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《蹲便器用水效率限定值及用水效率等级》</w:t>
            </w:r>
            <w:r>
              <w:rPr>
                <w:rFonts w:ascii="宋体" w:hAnsi="宋体" w:cs="宋体"/>
                <w:color w:val="auto"/>
                <w:szCs w:val="21"/>
                <w:highlight w:val="none"/>
              </w:rPr>
              <w:t xml:space="preserve"> (GB 30717)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vMerge w:val="continue"/>
          </w:tcPr>
          <w:p>
            <w:pPr>
              <w:spacing w:line="360" w:lineRule="auto"/>
              <w:rPr>
                <w:rFonts w:ascii="宋体" w:cs="宋体"/>
                <w:color w:val="auto"/>
                <w:szCs w:val="21"/>
                <w:highlight w:val="none"/>
              </w:rPr>
            </w:pPr>
          </w:p>
        </w:tc>
        <w:tc>
          <w:tcPr>
            <w:tcW w:w="813" w:type="pct"/>
            <w:vMerge w:val="continue"/>
          </w:tcPr>
          <w:p>
            <w:pPr>
              <w:spacing w:line="360" w:lineRule="auto"/>
              <w:rPr>
                <w:rFonts w:ascii="宋体" w:cs="宋体"/>
                <w:color w:val="auto"/>
                <w:szCs w:val="21"/>
                <w:highlight w:val="none"/>
              </w:rPr>
            </w:pPr>
          </w:p>
        </w:tc>
        <w:tc>
          <w:tcPr>
            <w:tcW w:w="1071" w:type="pct"/>
          </w:tcPr>
          <w:p>
            <w:pPr>
              <w:spacing w:line="360" w:lineRule="auto"/>
              <w:rPr>
                <w:rFonts w:ascii="宋体" w:cs="宋体"/>
                <w:color w:val="auto"/>
                <w:szCs w:val="21"/>
                <w:highlight w:val="none"/>
              </w:rPr>
            </w:pPr>
            <w:r>
              <w:rPr>
                <w:rFonts w:hint="eastAsia" w:ascii="宋体" w:hAnsi="宋体" w:cs="宋体"/>
                <w:color w:val="auto"/>
                <w:szCs w:val="21"/>
                <w:highlight w:val="none"/>
              </w:rPr>
              <w:t>小便器</w:t>
            </w: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《小便器用水效率限定值及用水</w:t>
            </w:r>
            <w:r>
              <w:rPr>
                <w:rFonts w:ascii="宋体" w:hAnsi="宋体" w:cs="宋体"/>
                <w:color w:val="auto"/>
                <w:szCs w:val="21"/>
                <w:highlight w:val="none"/>
              </w:rPr>
              <w:t xml:space="preserve"> </w:t>
            </w:r>
            <w:r>
              <w:rPr>
                <w:rFonts w:hint="eastAsia" w:ascii="宋体" w:hAnsi="宋体" w:cs="宋体"/>
                <w:color w:val="auto"/>
                <w:szCs w:val="21"/>
                <w:highlight w:val="none"/>
              </w:rPr>
              <w:t>效率等级》</w:t>
            </w:r>
            <w:r>
              <w:rPr>
                <w:rFonts w:ascii="宋体" w:hAnsi="宋体" w:cs="宋体"/>
                <w:color w:val="auto"/>
                <w:szCs w:val="21"/>
                <w:highlight w:val="none"/>
              </w:rPr>
              <w:t xml:space="preserve">(GB 28377)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Pr>
          <w:p>
            <w:pPr>
              <w:spacing w:line="360" w:lineRule="auto"/>
              <w:rPr>
                <w:rFonts w:ascii="宋体" w:cs="宋体"/>
                <w:color w:val="auto"/>
                <w:szCs w:val="21"/>
                <w:highlight w:val="none"/>
              </w:rPr>
            </w:pPr>
            <w:r>
              <w:rPr>
                <w:rFonts w:ascii="宋体" w:hAnsi="宋体" w:cs="宋体"/>
                <w:color w:val="auto"/>
                <w:szCs w:val="21"/>
                <w:highlight w:val="none"/>
              </w:rPr>
              <w:t>16</w:t>
            </w:r>
          </w:p>
        </w:tc>
        <w:tc>
          <w:tcPr>
            <w:tcW w:w="813" w:type="pct"/>
          </w:tcPr>
          <w:p>
            <w:pPr>
              <w:spacing w:line="360" w:lineRule="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A060806</w:t>
            </w:r>
            <w:r>
              <w:rPr>
                <w:rFonts w:hint="eastAsia" w:ascii="宋体" w:hAnsi="宋体" w:cs="宋体"/>
                <w:color w:val="auto"/>
                <w:szCs w:val="21"/>
                <w:highlight w:val="none"/>
              </w:rPr>
              <w:t>水嘴</w:t>
            </w:r>
          </w:p>
        </w:tc>
        <w:tc>
          <w:tcPr>
            <w:tcW w:w="1071" w:type="pct"/>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《水嘴用水效率限定值及用水效率等级（</w:t>
            </w:r>
            <w:r>
              <w:rPr>
                <w:rFonts w:ascii="宋体" w:hAnsi="宋体" w:cs="宋体"/>
                <w:color w:val="auto"/>
                <w:szCs w:val="21"/>
                <w:highlight w:val="none"/>
              </w:rPr>
              <w:t>GB 25501)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Pr>
          <w:p>
            <w:pPr>
              <w:spacing w:line="360" w:lineRule="auto"/>
              <w:rPr>
                <w:rFonts w:ascii="宋体" w:cs="宋体"/>
                <w:color w:val="auto"/>
                <w:szCs w:val="21"/>
                <w:highlight w:val="none"/>
              </w:rPr>
            </w:pPr>
            <w:r>
              <w:rPr>
                <w:rFonts w:ascii="宋体" w:hAnsi="宋体" w:cs="宋体"/>
                <w:color w:val="auto"/>
                <w:szCs w:val="21"/>
                <w:highlight w:val="none"/>
              </w:rPr>
              <w:t>17</w:t>
            </w:r>
          </w:p>
        </w:tc>
        <w:tc>
          <w:tcPr>
            <w:tcW w:w="813" w:type="pct"/>
          </w:tcPr>
          <w:p>
            <w:pPr>
              <w:spacing w:line="360" w:lineRule="auto"/>
              <w:rPr>
                <w:rFonts w:ascii="宋体" w:cs="宋体"/>
                <w:color w:val="auto"/>
                <w:szCs w:val="21"/>
                <w:highlight w:val="none"/>
              </w:rPr>
            </w:pPr>
            <w:r>
              <w:rPr>
                <w:rFonts w:ascii="宋体" w:hAnsi="宋体" w:cs="宋体"/>
                <w:color w:val="auto"/>
                <w:szCs w:val="21"/>
                <w:highlight w:val="none"/>
              </w:rPr>
              <w:t>A060807</w:t>
            </w:r>
            <w:r>
              <w:rPr>
                <w:rFonts w:hint="eastAsia" w:ascii="宋体" w:hAnsi="宋体" w:cs="宋体"/>
                <w:color w:val="auto"/>
                <w:szCs w:val="21"/>
                <w:highlight w:val="none"/>
              </w:rPr>
              <w:t>便器冲洗阀嘴</w:t>
            </w:r>
          </w:p>
        </w:tc>
        <w:tc>
          <w:tcPr>
            <w:tcW w:w="1071" w:type="pct"/>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《便器冲洗阀用水效率限定值及用水效率等级（</w:t>
            </w:r>
            <w:r>
              <w:rPr>
                <w:rFonts w:ascii="宋体" w:hAnsi="宋体" w:cs="宋体"/>
                <w:color w:val="auto"/>
                <w:szCs w:val="21"/>
                <w:highlight w:val="none"/>
              </w:rPr>
              <w:t>GB 28379)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Pr>
          <w:p>
            <w:pPr>
              <w:spacing w:line="360" w:lineRule="auto"/>
              <w:rPr>
                <w:rFonts w:ascii="宋体" w:cs="宋体"/>
                <w:color w:val="auto"/>
                <w:szCs w:val="21"/>
                <w:highlight w:val="none"/>
              </w:rPr>
            </w:pPr>
            <w:r>
              <w:rPr>
                <w:rFonts w:ascii="宋体" w:hAnsi="宋体" w:cs="宋体"/>
                <w:color w:val="auto"/>
                <w:szCs w:val="21"/>
                <w:highlight w:val="none"/>
              </w:rPr>
              <w:t>18</w:t>
            </w:r>
          </w:p>
        </w:tc>
        <w:tc>
          <w:tcPr>
            <w:tcW w:w="813" w:type="pct"/>
          </w:tcPr>
          <w:p>
            <w:pPr>
              <w:spacing w:line="360" w:lineRule="auto"/>
              <w:rPr>
                <w:rFonts w:ascii="宋体" w:cs="宋体"/>
                <w:color w:val="auto"/>
                <w:szCs w:val="21"/>
                <w:highlight w:val="none"/>
              </w:rPr>
            </w:pPr>
            <w:r>
              <w:rPr>
                <w:rFonts w:ascii="宋体" w:hAnsi="宋体" w:cs="宋体"/>
                <w:color w:val="auto"/>
                <w:szCs w:val="21"/>
                <w:highlight w:val="none"/>
              </w:rPr>
              <w:t>A060810</w:t>
            </w:r>
            <w:r>
              <w:rPr>
                <w:rFonts w:hint="eastAsia" w:ascii="宋体" w:hAnsi="宋体" w:cs="宋体"/>
                <w:color w:val="auto"/>
                <w:szCs w:val="21"/>
                <w:highlight w:val="none"/>
              </w:rPr>
              <w:t>淋浴器</w:t>
            </w:r>
          </w:p>
        </w:tc>
        <w:tc>
          <w:tcPr>
            <w:tcW w:w="1071" w:type="pct"/>
          </w:tcPr>
          <w:p>
            <w:pPr>
              <w:spacing w:line="360" w:lineRule="auto"/>
              <w:rPr>
                <w:rFonts w:ascii="宋体" w:cs="宋体"/>
                <w:color w:val="auto"/>
                <w:szCs w:val="21"/>
                <w:highlight w:val="none"/>
              </w:rPr>
            </w:pPr>
          </w:p>
        </w:tc>
        <w:tc>
          <w:tcPr>
            <w:tcW w:w="937" w:type="pct"/>
          </w:tcPr>
          <w:p>
            <w:pPr>
              <w:spacing w:line="360" w:lineRule="auto"/>
              <w:rPr>
                <w:rFonts w:ascii="宋体" w:cs="宋体"/>
                <w:color w:val="auto"/>
                <w:szCs w:val="21"/>
                <w:highlight w:val="none"/>
              </w:rPr>
            </w:pPr>
          </w:p>
        </w:tc>
        <w:tc>
          <w:tcPr>
            <w:tcW w:w="1743" w:type="pct"/>
          </w:tcPr>
          <w:p>
            <w:pPr>
              <w:spacing w:line="360" w:lineRule="auto"/>
              <w:rPr>
                <w:rFonts w:ascii="宋体" w:cs="宋体"/>
                <w:color w:val="auto"/>
                <w:szCs w:val="21"/>
                <w:highlight w:val="none"/>
              </w:rPr>
            </w:pPr>
            <w:r>
              <w:rPr>
                <w:rFonts w:hint="eastAsia" w:ascii="宋体" w:hAnsi="宋体" w:cs="宋体"/>
                <w:color w:val="auto"/>
                <w:szCs w:val="21"/>
                <w:highlight w:val="none"/>
              </w:rPr>
              <w:t>《淋浴器用水效率限定值及用水效率等级》（</w:t>
            </w:r>
            <w:r>
              <w:rPr>
                <w:rFonts w:ascii="宋体" w:hAnsi="宋体" w:cs="宋体"/>
                <w:color w:val="auto"/>
                <w:szCs w:val="21"/>
                <w:highlight w:val="none"/>
              </w:rPr>
              <w:t>GB 28378)</w:t>
            </w:r>
          </w:p>
        </w:tc>
      </w:tr>
    </w:tbl>
    <w:p>
      <w:pPr>
        <w:spacing w:line="360" w:lineRule="auto"/>
        <w:jc w:val="left"/>
        <w:rPr>
          <w:rFonts w:ascii="宋体" w:cs="宋体"/>
          <w:color w:val="auto"/>
          <w:szCs w:val="21"/>
          <w:highlight w:val="none"/>
        </w:rPr>
      </w:pPr>
    </w:p>
    <w:p>
      <w:pPr>
        <w:spacing w:line="360" w:lineRule="auto"/>
        <w:jc w:val="left"/>
        <w:rPr>
          <w:rFonts w:ascii="宋体" w:cs="宋体"/>
          <w:color w:val="auto"/>
          <w:szCs w:val="21"/>
          <w:highlight w:val="none"/>
        </w:rPr>
      </w:pPr>
      <w:r>
        <w:rPr>
          <w:rFonts w:hint="eastAsia" w:ascii="宋体" w:hAnsi="宋体" w:cs="宋体"/>
          <w:color w:val="auto"/>
          <w:szCs w:val="21"/>
          <w:highlight w:val="none"/>
        </w:rPr>
        <w:t>注：</w:t>
      </w:r>
      <w:r>
        <w:rPr>
          <w:rFonts w:ascii="宋体" w:hAnsi="宋体" w:cs="宋体"/>
          <w:color w:val="auto"/>
          <w:szCs w:val="21"/>
          <w:highlight w:val="none"/>
        </w:rPr>
        <w:t>1.</w:t>
      </w:r>
      <w:r>
        <w:rPr>
          <w:rFonts w:hint="eastAsia" w:ascii="宋体" w:hAnsi="宋体" w:cs="宋体"/>
          <w:color w:val="auto"/>
          <w:szCs w:val="21"/>
          <w:highlight w:val="none"/>
        </w:rPr>
        <w:t>节能产品认证应依据相关国家标准的最新版本，依据国家标准中二级能效（水效</w:t>
      </w:r>
      <w:r>
        <w:rPr>
          <w:rFonts w:ascii="宋体" w:hAnsi="宋体" w:cs="宋体"/>
          <w:color w:val="auto"/>
          <w:szCs w:val="21"/>
          <w:highlight w:val="none"/>
        </w:rPr>
        <w:t>)</w:t>
      </w:r>
      <w:r>
        <w:rPr>
          <w:rFonts w:hint="eastAsia" w:ascii="宋体" w:hAnsi="宋体" w:cs="宋体"/>
          <w:color w:val="auto"/>
          <w:szCs w:val="21"/>
          <w:highlight w:val="none"/>
        </w:rPr>
        <w:t>指标。</w:t>
      </w:r>
    </w:p>
    <w:p>
      <w:pPr>
        <w:spacing w:line="360" w:lineRule="auto"/>
        <w:jc w:val="left"/>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上述产品中认证标准发生变更的，依据原认证标准获得的、仍在有效期内的认证证书可使用至</w:t>
      </w:r>
      <w:r>
        <w:rPr>
          <w:rFonts w:ascii="宋体" w:hAnsi="宋体" w:cs="宋体"/>
          <w:color w:val="auto"/>
          <w:szCs w:val="21"/>
          <w:highlight w:val="none"/>
        </w:rPr>
        <w:t>2019</w:t>
      </w:r>
      <w:r>
        <w:rPr>
          <w:rFonts w:hint="eastAsia" w:ascii="宋体" w:hAnsi="宋体" w:cs="宋体"/>
          <w:color w:val="auto"/>
          <w:szCs w:val="21"/>
          <w:highlight w:val="none"/>
        </w:rPr>
        <w:t>年</w:t>
      </w:r>
      <w:r>
        <w:rPr>
          <w:rFonts w:ascii="宋体" w:hAnsi="宋体" w:cs="宋体"/>
          <w:color w:val="auto"/>
          <w:szCs w:val="21"/>
          <w:highlight w:val="none"/>
        </w:rPr>
        <w:t>6</w:t>
      </w:r>
      <w:r>
        <w:rPr>
          <w:rFonts w:hint="eastAsia" w:ascii="宋体" w:hAnsi="宋体" w:cs="宋体"/>
          <w:color w:val="auto"/>
          <w:szCs w:val="21"/>
          <w:highlight w:val="none"/>
        </w:rPr>
        <w:t>月</w:t>
      </w:r>
      <w:r>
        <w:rPr>
          <w:rFonts w:ascii="宋体" w:hAnsi="宋体" w:cs="宋体"/>
          <w:color w:val="auto"/>
          <w:szCs w:val="21"/>
          <w:highlight w:val="none"/>
        </w:rPr>
        <w:t>1</w:t>
      </w:r>
      <w:r>
        <w:rPr>
          <w:rFonts w:hint="eastAsia" w:ascii="宋体" w:hAnsi="宋体" w:cs="宋体"/>
          <w:color w:val="auto"/>
          <w:szCs w:val="21"/>
          <w:highlight w:val="none"/>
        </w:rPr>
        <w:t>日。</w:t>
      </w:r>
    </w:p>
    <w:p>
      <w:pPr>
        <w:spacing w:line="360" w:lineRule="auto"/>
        <w:jc w:val="left"/>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以“★”标注的为政府强制采购产品。</w:t>
      </w:r>
    </w:p>
    <w:p>
      <w:pPr>
        <w:pStyle w:val="15"/>
        <w:spacing w:line="360" w:lineRule="auto"/>
        <w:ind w:left="0" w:leftChars="0"/>
        <w:jc w:val="center"/>
        <w:outlineLvl w:val="2"/>
        <w:rPr>
          <w:color w:val="auto"/>
          <w:highlight w:val="none"/>
        </w:rPr>
      </w:pPr>
      <w:r>
        <w:rPr>
          <w:color w:val="auto"/>
          <w:highlight w:val="none"/>
        </w:rPr>
        <w:br w:type="page"/>
      </w:r>
      <w:bookmarkStart w:id="559" w:name="_Toc7371"/>
      <w:r>
        <w:rPr>
          <w:rStyle w:val="31"/>
          <w:rFonts w:hint="eastAsia"/>
          <w:color w:val="auto"/>
          <w:highlight w:val="none"/>
        </w:rPr>
        <w:t>关于印发环境标志产品政府采购品目清单的通知</w:t>
      </w:r>
      <w:bookmarkEnd w:id="559"/>
    </w:p>
    <w:p>
      <w:pPr>
        <w:spacing w:line="360" w:lineRule="auto"/>
        <w:rPr>
          <w:color w:val="auto"/>
          <w:highlight w:val="none"/>
        </w:rPr>
      </w:pPr>
      <w:r>
        <w:rPr>
          <w:color w:val="auto"/>
          <w:highlight w:val="none"/>
        </w:rPr>
        <w:t xml:space="preserve">    </w:t>
      </w:r>
      <w:r>
        <w:rPr>
          <w:rFonts w:hint="eastAsia"/>
          <w:color w:val="auto"/>
          <w:highlight w:val="none"/>
        </w:rPr>
        <w:t>有关中央预算单位，各省、自治区、直辖市、计划单列市财政厅（局）、生态环境厅（局），新疆生产建设兵团财政局、环境保护局：</w:t>
      </w:r>
    </w:p>
    <w:p>
      <w:pPr>
        <w:spacing w:line="360" w:lineRule="auto"/>
        <w:rPr>
          <w:color w:val="auto"/>
          <w:highlight w:val="none"/>
        </w:rPr>
      </w:pPr>
    </w:p>
    <w:p>
      <w:pPr>
        <w:spacing w:line="360" w:lineRule="auto"/>
        <w:rPr>
          <w:color w:val="auto"/>
          <w:highlight w:val="none"/>
        </w:rPr>
      </w:pPr>
      <w:r>
        <w:rPr>
          <w:rFonts w:hint="eastAsia"/>
          <w:color w:val="auto"/>
          <w:highlight w:val="none"/>
        </w:rPr>
        <w:t>　　根据《财政部发展改革委</w:t>
      </w:r>
      <w:r>
        <w:rPr>
          <w:color w:val="auto"/>
          <w:highlight w:val="none"/>
        </w:rPr>
        <w:t xml:space="preserve"> </w:t>
      </w:r>
      <w:r>
        <w:rPr>
          <w:rFonts w:hint="eastAsia"/>
          <w:color w:val="auto"/>
          <w:highlight w:val="none"/>
        </w:rPr>
        <w:t>生态环境部</w:t>
      </w:r>
      <w:r>
        <w:rPr>
          <w:color w:val="auto"/>
          <w:highlight w:val="none"/>
        </w:rPr>
        <w:t xml:space="preserve"> </w:t>
      </w:r>
      <w:r>
        <w:rPr>
          <w:rFonts w:hint="eastAsia"/>
          <w:color w:val="auto"/>
          <w:highlight w:val="none"/>
        </w:rPr>
        <w:t>市场监管总局关于调整优化节能产品</w:t>
      </w:r>
      <w:r>
        <w:rPr>
          <w:color w:val="auto"/>
          <w:highlight w:val="none"/>
        </w:rPr>
        <w:t xml:space="preserve"> </w:t>
      </w:r>
      <w:r>
        <w:rPr>
          <w:rFonts w:hint="eastAsia"/>
          <w:color w:val="auto"/>
          <w:highlight w:val="none"/>
        </w:rPr>
        <w:t>环境标志产品政府采购执行机制的通知》（财库〔</w:t>
      </w:r>
      <w:r>
        <w:rPr>
          <w:color w:val="auto"/>
          <w:highlight w:val="none"/>
        </w:rPr>
        <w:t>2019</w:t>
      </w:r>
      <w:r>
        <w:rPr>
          <w:rFonts w:hint="eastAsia"/>
          <w:color w:val="auto"/>
          <w:highlight w:val="none"/>
        </w:rPr>
        <w:t>〕</w:t>
      </w:r>
      <w:r>
        <w:rPr>
          <w:color w:val="auto"/>
          <w:highlight w:val="none"/>
        </w:rPr>
        <w:t>9</w:t>
      </w:r>
      <w:r>
        <w:rPr>
          <w:rFonts w:hint="eastAsia"/>
          <w:color w:val="auto"/>
          <w:highlight w:val="none"/>
        </w:rPr>
        <w:t>号），</w:t>
      </w:r>
      <w:r>
        <w:rPr>
          <w:color w:val="auto"/>
          <w:highlight w:val="none"/>
        </w:rPr>
        <w:t xml:space="preserve"> </w:t>
      </w:r>
      <w:r>
        <w:rPr>
          <w:rFonts w:hint="eastAsia"/>
          <w:color w:val="auto"/>
          <w:highlight w:val="none"/>
        </w:rPr>
        <w:t>我们研究制定了环境标志产品政府采购品目清单，现印发给你们，请遵照执行。</w:t>
      </w:r>
    </w:p>
    <w:p>
      <w:pPr>
        <w:spacing w:line="360" w:lineRule="auto"/>
        <w:rPr>
          <w:color w:val="auto"/>
          <w:highlight w:val="none"/>
        </w:rPr>
      </w:pPr>
    </w:p>
    <w:p>
      <w:pPr>
        <w:spacing w:line="360" w:lineRule="auto"/>
        <w:rPr>
          <w:color w:val="auto"/>
          <w:highlight w:val="none"/>
        </w:rPr>
      </w:pPr>
      <w:r>
        <w:rPr>
          <w:rFonts w:hint="eastAsia"/>
          <w:color w:val="auto"/>
          <w:highlight w:val="none"/>
        </w:rPr>
        <w:t>　　附件：环境标志产品政府采购品目清单</w:t>
      </w:r>
    </w:p>
    <w:p>
      <w:pPr>
        <w:spacing w:line="360" w:lineRule="auto"/>
        <w:rPr>
          <w:color w:val="auto"/>
          <w:highlight w:val="none"/>
        </w:rPr>
      </w:pPr>
    </w:p>
    <w:p>
      <w:pPr>
        <w:spacing w:line="360" w:lineRule="auto"/>
        <w:jc w:val="right"/>
        <w:rPr>
          <w:color w:val="auto"/>
          <w:highlight w:val="none"/>
        </w:rPr>
      </w:pPr>
      <w:r>
        <w:rPr>
          <w:rFonts w:hint="eastAsia"/>
          <w:color w:val="auto"/>
          <w:highlight w:val="none"/>
        </w:rPr>
        <w:t>财政部</w:t>
      </w:r>
      <w:r>
        <w:rPr>
          <w:color w:val="auto"/>
          <w:highlight w:val="none"/>
        </w:rPr>
        <w:t xml:space="preserve"> </w:t>
      </w:r>
      <w:r>
        <w:rPr>
          <w:rFonts w:hint="eastAsia"/>
          <w:color w:val="auto"/>
          <w:highlight w:val="none"/>
        </w:rPr>
        <w:t>生态环境部</w:t>
      </w:r>
    </w:p>
    <w:p>
      <w:pPr>
        <w:spacing w:line="360" w:lineRule="auto"/>
        <w:jc w:val="right"/>
        <w:rPr>
          <w:color w:val="auto"/>
          <w:highlight w:val="none"/>
        </w:rPr>
      </w:pPr>
      <w:r>
        <w:rPr>
          <w:color w:val="auto"/>
          <w:highlight w:val="none"/>
        </w:rPr>
        <w:t>2019</w:t>
      </w:r>
      <w:r>
        <w:rPr>
          <w:rFonts w:hint="eastAsia"/>
          <w:color w:val="auto"/>
          <w:highlight w:val="none"/>
        </w:rPr>
        <w:t>年</w:t>
      </w:r>
      <w:r>
        <w:rPr>
          <w:color w:val="auto"/>
          <w:highlight w:val="none"/>
        </w:rPr>
        <w:t>3</w:t>
      </w:r>
      <w:r>
        <w:rPr>
          <w:rFonts w:hint="eastAsia"/>
          <w:color w:val="auto"/>
          <w:highlight w:val="none"/>
        </w:rPr>
        <w:t>月</w:t>
      </w:r>
      <w:r>
        <w:rPr>
          <w:color w:val="auto"/>
          <w:highlight w:val="none"/>
        </w:rPr>
        <w:t>29</w:t>
      </w:r>
      <w:r>
        <w:rPr>
          <w:rFonts w:hint="eastAsia"/>
          <w:color w:val="auto"/>
          <w:highlight w:val="none"/>
        </w:rPr>
        <w:t>日</w:t>
      </w:r>
    </w:p>
    <w:p>
      <w:pPr>
        <w:pStyle w:val="4"/>
        <w:jc w:val="center"/>
        <w:rPr>
          <w:color w:val="auto"/>
          <w:highlight w:val="none"/>
        </w:rPr>
      </w:pPr>
      <w:r>
        <w:rPr>
          <w:color w:val="auto"/>
          <w:highlight w:val="none"/>
        </w:rPr>
        <w:br w:type="page"/>
      </w:r>
      <w:bookmarkStart w:id="560" w:name="_Toc4050"/>
      <w:r>
        <w:rPr>
          <w:rFonts w:hint="eastAsia"/>
          <w:color w:val="auto"/>
          <w:highlight w:val="none"/>
        </w:rPr>
        <w:t>环境标志产品政府采购品目清单</w:t>
      </w:r>
      <w:bookmarkEnd w:id="560"/>
    </w:p>
    <w:tbl>
      <w:tblPr>
        <w:tblStyle w:val="23"/>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99"/>
        <w:gridCol w:w="1167"/>
        <w:gridCol w:w="2348"/>
        <w:gridCol w:w="1667"/>
        <w:gridCol w:w="24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421" w:type="pct"/>
            <w:vAlign w:val="center"/>
          </w:tcPr>
          <w:p>
            <w:pPr>
              <w:spacing w:line="360" w:lineRule="auto"/>
              <w:jc w:val="center"/>
              <w:rPr>
                <w:color w:val="auto"/>
                <w:highlight w:val="none"/>
              </w:rPr>
            </w:pPr>
            <w:r>
              <w:rPr>
                <w:rFonts w:hint="eastAsia"/>
                <w:color w:val="auto"/>
                <w:highlight w:val="none"/>
              </w:rPr>
              <w:t>品目</w:t>
            </w:r>
            <w:r>
              <w:rPr>
                <w:color w:val="auto"/>
                <w:highlight w:val="none"/>
              </w:rPr>
              <w:t xml:space="preserve"> </w:t>
            </w:r>
            <w:r>
              <w:rPr>
                <w:rFonts w:hint="eastAsia"/>
                <w:color w:val="auto"/>
                <w:highlight w:val="none"/>
              </w:rPr>
              <w:t>序号</w:t>
            </w:r>
          </w:p>
        </w:tc>
        <w:tc>
          <w:tcPr>
            <w:tcW w:w="3118" w:type="pct"/>
            <w:gridSpan w:val="3"/>
            <w:vAlign w:val="center"/>
          </w:tcPr>
          <w:p>
            <w:pPr>
              <w:spacing w:line="360" w:lineRule="auto"/>
              <w:jc w:val="center"/>
              <w:rPr>
                <w:color w:val="auto"/>
                <w:highlight w:val="none"/>
              </w:rPr>
            </w:pPr>
            <w:r>
              <w:rPr>
                <w:rFonts w:hint="eastAsia"/>
                <w:color w:val="auto"/>
                <w:highlight w:val="none"/>
              </w:rPr>
              <w:t>名称</w:t>
            </w:r>
          </w:p>
        </w:tc>
        <w:tc>
          <w:tcPr>
            <w:tcW w:w="1460" w:type="pct"/>
            <w:vAlign w:val="center"/>
          </w:tcPr>
          <w:p>
            <w:pPr>
              <w:spacing w:line="360" w:lineRule="auto"/>
              <w:jc w:val="center"/>
              <w:rPr>
                <w:color w:val="auto"/>
                <w:highlight w:val="none"/>
              </w:rPr>
            </w:pPr>
            <w:r>
              <w:rPr>
                <w:rFonts w:hint="eastAsia"/>
                <w:color w:val="auto"/>
                <w:highlight w:val="none"/>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421" w:type="pct"/>
            <w:vMerge w:val="restart"/>
            <w:tcBorders>
              <w:bottom w:val="nil"/>
            </w:tcBorders>
          </w:tcPr>
          <w:p>
            <w:pPr>
              <w:spacing w:line="360" w:lineRule="auto"/>
              <w:jc w:val="center"/>
              <w:rPr>
                <w:color w:val="auto"/>
                <w:highlight w:val="none"/>
              </w:rPr>
            </w:pPr>
            <w:r>
              <w:rPr>
                <w:color w:val="auto"/>
                <w:highlight w:val="none"/>
              </w:rPr>
              <w:t>1</w:t>
            </w:r>
          </w:p>
        </w:tc>
        <w:tc>
          <w:tcPr>
            <w:tcW w:w="702" w:type="pct"/>
            <w:vMerge w:val="restart"/>
            <w:tcBorders>
              <w:bottom w:val="nil"/>
            </w:tcBorders>
          </w:tcPr>
          <w:p>
            <w:pPr>
              <w:spacing w:line="360" w:lineRule="auto"/>
              <w:jc w:val="center"/>
              <w:rPr>
                <w:color w:val="auto"/>
                <w:highlight w:val="none"/>
              </w:rPr>
            </w:pPr>
            <w:r>
              <w:rPr>
                <w:color w:val="auto"/>
                <w:highlight w:val="none"/>
              </w:rPr>
              <w:t xml:space="preserve">A020101 </w:t>
            </w:r>
            <w:r>
              <w:rPr>
                <w:rFonts w:hint="eastAsia"/>
                <w:color w:val="auto"/>
                <w:highlight w:val="none"/>
              </w:rPr>
              <w:t>计算机</w:t>
            </w:r>
            <w:r>
              <w:rPr>
                <w:color w:val="auto"/>
                <w:highlight w:val="none"/>
              </w:rPr>
              <w:t xml:space="preserve"> </w:t>
            </w:r>
            <w:r>
              <w:rPr>
                <w:rFonts w:hint="eastAsia"/>
                <w:color w:val="auto"/>
                <w:highlight w:val="none"/>
              </w:rPr>
              <w:t>设备</w:t>
            </w:r>
          </w:p>
        </w:tc>
        <w:tc>
          <w:tcPr>
            <w:tcW w:w="1413" w:type="pct"/>
          </w:tcPr>
          <w:p>
            <w:pPr>
              <w:spacing w:line="360" w:lineRule="auto"/>
              <w:jc w:val="left"/>
              <w:rPr>
                <w:color w:val="auto"/>
                <w:highlight w:val="none"/>
              </w:rPr>
            </w:pPr>
            <w:r>
              <w:rPr>
                <w:color w:val="auto"/>
                <w:highlight w:val="none"/>
              </w:rPr>
              <w:t xml:space="preserve">A02010103 </w:t>
            </w:r>
            <w:r>
              <w:rPr>
                <w:rFonts w:hint="eastAsia"/>
                <w:color w:val="auto"/>
                <w:highlight w:val="none"/>
              </w:rPr>
              <w:t>服务器</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HJ2507 </w:t>
            </w:r>
            <w:r>
              <w:rPr>
                <w:rFonts w:hint="eastAsia"/>
                <w:color w:val="auto"/>
                <w:highlight w:val="none"/>
              </w:rPr>
              <w:t>网络服务器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bottom w:val="nil"/>
            </w:tcBorders>
          </w:tcPr>
          <w:p>
            <w:pPr>
              <w:spacing w:line="360" w:lineRule="auto"/>
              <w:jc w:val="center"/>
              <w:rPr>
                <w:color w:val="auto"/>
                <w:highlight w:val="none"/>
              </w:rPr>
            </w:pPr>
          </w:p>
        </w:tc>
        <w:tc>
          <w:tcPr>
            <w:tcW w:w="702" w:type="pct"/>
            <w:vMerge w:val="continue"/>
            <w:tcBorders>
              <w:top w:val="nil"/>
              <w:bottom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A02010104 </w:t>
            </w:r>
            <w:r>
              <w:rPr>
                <w:rFonts w:hint="eastAsia"/>
                <w:color w:val="auto"/>
                <w:highlight w:val="none"/>
              </w:rPr>
              <w:t>台式计算机</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HJ2536 </w:t>
            </w:r>
            <w:r>
              <w:rPr>
                <w:rFonts w:hint="eastAsia"/>
                <w:color w:val="auto"/>
                <w:highlight w:val="none"/>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bottom w:val="nil"/>
            </w:tcBorders>
          </w:tcPr>
          <w:p>
            <w:pPr>
              <w:spacing w:line="360" w:lineRule="auto"/>
              <w:jc w:val="center"/>
              <w:rPr>
                <w:color w:val="auto"/>
                <w:highlight w:val="none"/>
              </w:rPr>
            </w:pPr>
          </w:p>
        </w:tc>
        <w:tc>
          <w:tcPr>
            <w:tcW w:w="702" w:type="pct"/>
            <w:vMerge w:val="continue"/>
            <w:tcBorders>
              <w:top w:val="nil"/>
              <w:bottom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A02010105 </w:t>
            </w:r>
            <w:r>
              <w:rPr>
                <w:rFonts w:hint="eastAsia"/>
                <w:color w:val="auto"/>
                <w:highlight w:val="none"/>
              </w:rPr>
              <w:t>便携式计算机</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HJ2536 </w:t>
            </w:r>
            <w:r>
              <w:rPr>
                <w:rFonts w:hint="eastAsia"/>
                <w:color w:val="auto"/>
                <w:highlight w:val="none"/>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vMerge w:val="continue"/>
            <w:tcBorders>
              <w:top w:val="nil"/>
              <w:bottom w:val="nil"/>
            </w:tcBorders>
          </w:tcPr>
          <w:p>
            <w:pPr>
              <w:spacing w:line="360" w:lineRule="auto"/>
              <w:jc w:val="center"/>
              <w:rPr>
                <w:color w:val="auto"/>
                <w:highlight w:val="none"/>
              </w:rPr>
            </w:pPr>
          </w:p>
        </w:tc>
        <w:tc>
          <w:tcPr>
            <w:tcW w:w="702" w:type="pct"/>
            <w:vMerge w:val="continue"/>
            <w:tcBorders>
              <w:top w:val="nil"/>
              <w:bottom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A02010107 </w:t>
            </w:r>
            <w:r>
              <w:rPr>
                <w:rFonts w:hint="eastAsia"/>
                <w:color w:val="auto"/>
                <w:highlight w:val="none"/>
              </w:rPr>
              <w:t>平板式微型计算机</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HJ2536 </w:t>
            </w:r>
            <w:r>
              <w:rPr>
                <w:rFonts w:hint="eastAsia"/>
                <w:color w:val="auto"/>
                <w:highlight w:val="none"/>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bottom w:val="nil"/>
            </w:tcBorders>
          </w:tcPr>
          <w:p>
            <w:pPr>
              <w:spacing w:line="360" w:lineRule="auto"/>
              <w:jc w:val="center"/>
              <w:rPr>
                <w:color w:val="auto"/>
                <w:highlight w:val="none"/>
              </w:rPr>
            </w:pPr>
          </w:p>
        </w:tc>
        <w:tc>
          <w:tcPr>
            <w:tcW w:w="702" w:type="pct"/>
            <w:vMerge w:val="continue"/>
            <w:tcBorders>
              <w:top w:val="nil"/>
              <w:bottom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A02010108 </w:t>
            </w:r>
            <w:r>
              <w:rPr>
                <w:rFonts w:hint="eastAsia"/>
                <w:color w:val="auto"/>
                <w:highlight w:val="none"/>
              </w:rPr>
              <w:t>网络计算机</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HJ2536 </w:t>
            </w:r>
            <w:r>
              <w:rPr>
                <w:rFonts w:hint="eastAsia"/>
                <w:color w:val="auto"/>
                <w:highlight w:val="none"/>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bottom w:val="nil"/>
            </w:tcBorders>
          </w:tcPr>
          <w:p>
            <w:pPr>
              <w:spacing w:line="360" w:lineRule="auto"/>
              <w:jc w:val="center"/>
              <w:rPr>
                <w:color w:val="auto"/>
                <w:highlight w:val="none"/>
              </w:rPr>
            </w:pPr>
          </w:p>
        </w:tc>
        <w:tc>
          <w:tcPr>
            <w:tcW w:w="702" w:type="pct"/>
            <w:vMerge w:val="continue"/>
            <w:tcBorders>
              <w:top w:val="nil"/>
              <w:bottom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A02010109 </w:t>
            </w:r>
            <w:r>
              <w:rPr>
                <w:rFonts w:hint="eastAsia"/>
                <w:color w:val="auto"/>
                <w:highlight w:val="none"/>
              </w:rPr>
              <w:t>计算机工作站</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HJ2536 </w:t>
            </w:r>
            <w:r>
              <w:rPr>
                <w:rFonts w:hint="eastAsia"/>
                <w:color w:val="auto"/>
                <w:highlight w:val="none"/>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vMerge w:val="continue"/>
            <w:tcBorders>
              <w:top w:val="nil"/>
            </w:tcBorders>
          </w:tcPr>
          <w:p>
            <w:pPr>
              <w:spacing w:line="360" w:lineRule="auto"/>
              <w:jc w:val="center"/>
              <w:rPr>
                <w:color w:val="auto"/>
                <w:highlight w:val="none"/>
              </w:rPr>
            </w:pPr>
          </w:p>
        </w:tc>
        <w:tc>
          <w:tcPr>
            <w:tcW w:w="702" w:type="pct"/>
            <w:vMerge w:val="continue"/>
            <w:tcBorders>
              <w:top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A02010199 </w:t>
            </w:r>
            <w:r>
              <w:rPr>
                <w:rFonts w:hint="eastAsia"/>
                <w:color w:val="auto"/>
                <w:highlight w:val="none"/>
              </w:rPr>
              <w:t>其他计算机设备</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HJ2536 </w:t>
            </w:r>
            <w:r>
              <w:rPr>
                <w:rFonts w:hint="eastAsia"/>
                <w:color w:val="auto"/>
                <w:highlight w:val="none"/>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restart"/>
            <w:tcBorders>
              <w:bottom w:val="nil"/>
            </w:tcBorders>
          </w:tcPr>
          <w:p>
            <w:pPr>
              <w:spacing w:line="360" w:lineRule="auto"/>
              <w:jc w:val="center"/>
              <w:rPr>
                <w:color w:val="auto"/>
                <w:highlight w:val="none"/>
              </w:rPr>
            </w:pPr>
            <w:r>
              <w:rPr>
                <w:color w:val="auto"/>
                <w:highlight w:val="none"/>
              </w:rPr>
              <w:t>2</w:t>
            </w:r>
          </w:p>
        </w:tc>
        <w:tc>
          <w:tcPr>
            <w:tcW w:w="702" w:type="pct"/>
            <w:vMerge w:val="restart"/>
            <w:tcBorders>
              <w:bottom w:val="nil"/>
            </w:tcBorders>
          </w:tcPr>
          <w:p>
            <w:pPr>
              <w:spacing w:line="360" w:lineRule="auto"/>
              <w:jc w:val="center"/>
              <w:rPr>
                <w:color w:val="auto"/>
                <w:highlight w:val="none"/>
              </w:rPr>
            </w:pPr>
            <w:r>
              <w:rPr>
                <w:color w:val="auto"/>
                <w:highlight w:val="none"/>
              </w:rPr>
              <w:t xml:space="preserve">A020106 </w:t>
            </w:r>
            <w:r>
              <w:rPr>
                <w:rFonts w:hint="eastAsia"/>
                <w:color w:val="auto"/>
                <w:highlight w:val="none"/>
              </w:rPr>
              <w:t>输入输</w:t>
            </w:r>
            <w:r>
              <w:rPr>
                <w:color w:val="auto"/>
                <w:highlight w:val="none"/>
              </w:rPr>
              <w:t xml:space="preserve"> </w:t>
            </w:r>
            <w:r>
              <w:rPr>
                <w:rFonts w:hint="eastAsia"/>
                <w:color w:val="auto"/>
                <w:highlight w:val="none"/>
              </w:rPr>
              <w:t>出设备</w:t>
            </w:r>
          </w:p>
        </w:tc>
        <w:tc>
          <w:tcPr>
            <w:tcW w:w="1413" w:type="pct"/>
            <w:vMerge w:val="restart"/>
            <w:tcBorders>
              <w:bottom w:val="nil"/>
            </w:tcBorders>
          </w:tcPr>
          <w:p>
            <w:pPr>
              <w:spacing w:line="360" w:lineRule="auto"/>
              <w:jc w:val="left"/>
              <w:rPr>
                <w:color w:val="auto"/>
                <w:highlight w:val="none"/>
              </w:rPr>
            </w:pPr>
            <w:r>
              <w:rPr>
                <w:color w:val="auto"/>
                <w:highlight w:val="none"/>
              </w:rPr>
              <w:t xml:space="preserve">A02010601 </w:t>
            </w:r>
            <w:r>
              <w:rPr>
                <w:rFonts w:hint="eastAsia"/>
                <w:color w:val="auto"/>
                <w:highlight w:val="none"/>
              </w:rPr>
              <w:t>打印设备</w:t>
            </w:r>
          </w:p>
        </w:tc>
        <w:tc>
          <w:tcPr>
            <w:tcW w:w="1002" w:type="pct"/>
          </w:tcPr>
          <w:p>
            <w:pPr>
              <w:spacing w:line="360" w:lineRule="auto"/>
              <w:jc w:val="left"/>
              <w:rPr>
                <w:color w:val="auto"/>
                <w:highlight w:val="none"/>
              </w:rPr>
            </w:pPr>
            <w:r>
              <w:rPr>
                <w:color w:val="auto"/>
                <w:highlight w:val="none"/>
              </w:rPr>
              <w:t xml:space="preserve">A0201060101 </w:t>
            </w:r>
            <w:r>
              <w:rPr>
                <w:rFonts w:hint="eastAsia"/>
                <w:color w:val="auto"/>
                <w:highlight w:val="none"/>
              </w:rPr>
              <w:t>喷墨打印机</w:t>
            </w:r>
          </w:p>
        </w:tc>
        <w:tc>
          <w:tcPr>
            <w:tcW w:w="1460" w:type="pct"/>
          </w:tcPr>
          <w:p>
            <w:pPr>
              <w:spacing w:line="360" w:lineRule="auto"/>
              <w:jc w:val="left"/>
              <w:rPr>
                <w:color w:val="auto"/>
                <w:highlight w:val="none"/>
              </w:rPr>
            </w:pPr>
            <w:r>
              <w:rPr>
                <w:color w:val="auto"/>
                <w:highlight w:val="none"/>
              </w:rPr>
              <w:t xml:space="preserve">HJ2512 </w:t>
            </w:r>
            <w:r>
              <w:rPr>
                <w:rFonts w:hint="eastAsia"/>
                <w:color w:val="auto"/>
                <w:highlight w:val="none"/>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bottom w:val="nil"/>
            </w:tcBorders>
          </w:tcPr>
          <w:p>
            <w:pPr>
              <w:spacing w:line="360" w:lineRule="auto"/>
              <w:jc w:val="center"/>
              <w:rPr>
                <w:color w:val="auto"/>
                <w:highlight w:val="none"/>
              </w:rPr>
            </w:pPr>
          </w:p>
        </w:tc>
        <w:tc>
          <w:tcPr>
            <w:tcW w:w="702" w:type="pct"/>
            <w:vMerge w:val="continue"/>
            <w:tcBorders>
              <w:top w:val="nil"/>
              <w:bottom w:val="nil"/>
            </w:tcBorders>
          </w:tcPr>
          <w:p>
            <w:pPr>
              <w:spacing w:line="360" w:lineRule="auto"/>
              <w:jc w:val="center"/>
              <w:rPr>
                <w:color w:val="auto"/>
                <w:highlight w:val="none"/>
              </w:rPr>
            </w:pPr>
          </w:p>
        </w:tc>
        <w:tc>
          <w:tcPr>
            <w:tcW w:w="1413" w:type="pct"/>
            <w:vMerge w:val="continue"/>
            <w:tcBorders>
              <w:top w:val="nil"/>
              <w:bottom w:val="nil"/>
            </w:tcBorders>
          </w:tcPr>
          <w:p>
            <w:pPr>
              <w:spacing w:line="360" w:lineRule="auto"/>
              <w:jc w:val="left"/>
              <w:rPr>
                <w:color w:val="auto"/>
                <w:highlight w:val="none"/>
              </w:rPr>
            </w:pPr>
          </w:p>
        </w:tc>
        <w:tc>
          <w:tcPr>
            <w:tcW w:w="1002" w:type="pct"/>
          </w:tcPr>
          <w:p>
            <w:pPr>
              <w:spacing w:line="360" w:lineRule="auto"/>
              <w:jc w:val="left"/>
              <w:rPr>
                <w:color w:val="auto"/>
                <w:highlight w:val="none"/>
              </w:rPr>
            </w:pPr>
            <w:r>
              <w:rPr>
                <w:color w:val="auto"/>
                <w:highlight w:val="none"/>
              </w:rPr>
              <w:t xml:space="preserve">A0201060102 </w:t>
            </w:r>
            <w:r>
              <w:rPr>
                <w:rFonts w:hint="eastAsia"/>
                <w:color w:val="auto"/>
                <w:highlight w:val="none"/>
              </w:rPr>
              <w:t>激光打印机</w:t>
            </w:r>
          </w:p>
        </w:tc>
        <w:tc>
          <w:tcPr>
            <w:tcW w:w="1460" w:type="pct"/>
          </w:tcPr>
          <w:p>
            <w:pPr>
              <w:spacing w:line="360" w:lineRule="auto"/>
              <w:jc w:val="left"/>
              <w:rPr>
                <w:color w:val="auto"/>
                <w:highlight w:val="none"/>
              </w:rPr>
            </w:pPr>
            <w:r>
              <w:rPr>
                <w:color w:val="auto"/>
                <w:highlight w:val="none"/>
              </w:rPr>
              <w:t xml:space="preserve">HJ2512 </w:t>
            </w:r>
            <w:r>
              <w:rPr>
                <w:rFonts w:hint="eastAsia"/>
                <w:color w:val="auto"/>
                <w:highlight w:val="none"/>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vMerge w:val="continue"/>
            <w:tcBorders>
              <w:top w:val="nil"/>
              <w:bottom w:val="nil"/>
            </w:tcBorders>
          </w:tcPr>
          <w:p>
            <w:pPr>
              <w:spacing w:line="360" w:lineRule="auto"/>
              <w:jc w:val="center"/>
              <w:rPr>
                <w:color w:val="auto"/>
                <w:highlight w:val="none"/>
              </w:rPr>
            </w:pPr>
          </w:p>
        </w:tc>
        <w:tc>
          <w:tcPr>
            <w:tcW w:w="702" w:type="pct"/>
            <w:vMerge w:val="continue"/>
            <w:tcBorders>
              <w:top w:val="nil"/>
              <w:bottom w:val="nil"/>
            </w:tcBorders>
          </w:tcPr>
          <w:p>
            <w:pPr>
              <w:spacing w:line="360" w:lineRule="auto"/>
              <w:jc w:val="center"/>
              <w:rPr>
                <w:color w:val="auto"/>
                <w:highlight w:val="none"/>
              </w:rPr>
            </w:pPr>
          </w:p>
        </w:tc>
        <w:tc>
          <w:tcPr>
            <w:tcW w:w="1413" w:type="pct"/>
            <w:vMerge w:val="continue"/>
            <w:tcBorders>
              <w:top w:val="nil"/>
              <w:bottom w:val="nil"/>
            </w:tcBorders>
          </w:tcPr>
          <w:p>
            <w:pPr>
              <w:spacing w:line="360" w:lineRule="auto"/>
              <w:jc w:val="left"/>
              <w:rPr>
                <w:color w:val="auto"/>
                <w:highlight w:val="none"/>
              </w:rPr>
            </w:pPr>
          </w:p>
        </w:tc>
        <w:tc>
          <w:tcPr>
            <w:tcW w:w="1002" w:type="pct"/>
          </w:tcPr>
          <w:p>
            <w:pPr>
              <w:spacing w:line="360" w:lineRule="auto"/>
              <w:jc w:val="left"/>
              <w:rPr>
                <w:color w:val="auto"/>
                <w:highlight w:val="none"/>
              </w:rPr>
            </w:pPr>
            <w:r>
              <w:rPr>
                <w:color w:val="auto"/>
                <w:highlight w:val="none"/>
              </w:rPr>
              <w:t xml:space="preserve">A0201060103 </w:t>
            </w:r>
            <w:r>
              <w:rPr>
                <w:rFonts w:hint="eastAsia"/>
                <w:color w:val="auto"/>
                <w:highlight w:val="none"/>
              </w:rPr>
              <w:t>热式打印机</w:t>
            </w:r>
          </w:p>
        </w:tc>
        <w:tc>
          <w:tcPr>
            <w:tcW w:w="1460" w:type="pct"/>
          </w:tcPr>
          <w:p>
            <w:pPr>
              <w:spacing w:line="360" w:lineRule="auto"/>
              <w:jc w:val="left"/>
              <w:rPr>
                <w:color w:val="auto"/>
                <w:highlight w:val="none"/>
              </w:rPr>
            </w:pPr>
            <w:r>
              <w:rPr>
                <w:color w:val="auto"/>
                <w:highlight w:val="none"/>
              </w:rPr>
              <w:t xml:space="preserve">HJ2512 </w:t>
            </w:r>
            <w:r>
              <w:rPr>
                <w:rFonts w:hint="eastAsia"/>
                <w:color w:val="auto"/>
                <w:highlight w:val="none"/>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bottom w:val="nil"/>
            </w:tcBorders>
          </w:tcPr>
          <w:p>
            <w:pPr>
              <w:spacing w:line="360" w:lineRule="auto"/>
              <w:jc w:val="center"/>
              <w:rPr>
                <w:color w:val="auto"/>
                <w:highlight w:val="none"/>
              </w:rPr>
            </w:pPr>
          </w:p>
        </w:tc>
        <w:tc>
          <w:tcPr>
            <w:tcW w:w="702" w:type="pct"/>
            <w:vMerge w:val="continue"/>
            <w:tcBorders>
              <w:top w:val="nil"/>
              <w:bottom w:val="nil"/>
            </w:tcBorders>
          </w:tcPr>
          <w:p>
            <w:pPr>
              <w:spacing w:line="360" w:lineRule="auto"/>
              <w:jc w:val="center"/>
              <w:rPr>
                <w:color w:val="auto"/>
                <w:highlight w:val="none"/>
              </w:rPr>
            </w:pPr>
          </w:p>
        </w:tc>
        <w:tc>
          <w:tcPr>
            <w:tcW w:w="1413" w:type="pct"/>
            <w:vMerge w:val="continue"/>
            <w:tcBorders>
              <w:top w:val="nil"/>
            </w:tcBorders>
          </w:tcPr>
          <w:p>
            <w:pPr>
              <w:spacing w:line="360" w:lineRule="auto"/>
              <w:jc w:val="left"/>
              <w:rPr>
                <w:color w:val="auto"/>
                <w:highlight w:val="none"/>
              </w:rPr>
            </w:pPr>
          </w:p>
        </w:tc>
        <w:tc>
          <w:tcPr>
            <w:tcW w:w="1002" w:type="pct"/>
          </w:tcPr>
          <w:p>
            <w:pPr>
              <w:spacing w:line="360" w:lineRule="auto"/>
              <w:jc w:val="left"/>
              <w:rPr>
                <w:color w:val="auto"/>
                <w:highlight w:val="none"/>
              </w:rPr>
            </w:pPr>
            <w:r>
              <w:rPr>
                <w:color w:val="auto"/>
                <w:highlight w:val="none"/>
              </w:rPr>
              <w:t xml:space="preserve">A0201060104 </w:t>
            </w:r>
            <w:r>
              <w:rPr>
                <w:rFonts w:hint="eastAsia"/>
                <w:color w:val="auto"/>
                <w:highlight w:val="none"/>
              </w:rPr>
              <w:t>针式打印机</w:t>
            </w:r>
          </w:p>
        </w:tc>
        <w:tc>
          <w:tcPr>
            <w:tcW w:w="1460" w:type="pct"/>
          </w:tcPr>
          <w:p>
            <w:pPr>
              <w:spacing w:line="360" w:lineRule="auto"/>
              <w:jc w:val="left"/>
              <w:rPr>
                <w:color w:val="auto"/>
                <w:highlight w:val="none"/>
              </w:rPr>
            </w:pPr>
            <w:r>
              <w:rPr>
                <w:color w:val="auto"/>
                <w:highlight w:val="none"/>
              </w:rPr>
              <w:t xml:space="preserve">HJ2512 </w:t>
            </w:r>
            <w:r>
              <w:rPr>
                <w:rFonts w:hint="eastAsia"/>
                <w:color w:val="auto"/>
                <w:highlight w:val="none"/>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bottom w:val="nil"/>
            </w:tcBorders>
          </w:tcPr>
          <w:p>
            <w:pPr>
              <w:spacing w:line="360" w:lineRule="auto"/>
              <w:jc w:val="center"/>
              <w:rPr>
                <w:color w:val="auto"/>
                <w:highlight w:val="none"/>
              </w:rPr>
            </w:pPr>
          </w:p>
        </w:tc>
        <w:tc>
          <w:tcPr>
            <w:tcW w:w="702" w:type="pct"/>
            <w:vMerge w:val="continue"/>
            <w:tcBorders>
              <w:top w:val="nil"/>
              <w:bottom w:val="nil"/>
            </w:tcBorders>
          </w:tcPr>
          <w:p>
            <w:pPr>
              <w:spacing w:line="360" w:lineRule="auto"/>
              <w:jc w:val="center"/>
              <w:rPr>
                <w:color w:val="auto"/>
                <w:highlight w:val="none"/>
              </w:rPr>
            </w:pPr>
          </w:p>
        </w:tc>
        <w:tc>
          <w:tcPr>
            <w:tcW w:w="1413" w:type="pct"/>
            <w:vMerge w:val="restart"/>
            <w:tcBorders>
              <w:bottom w:val="nil"/>
            </w:tcBorders>
          </w:tcPr>
          <w:p>
            <w:pPr>
              <w:spacing w:line="360" w:lineRule="auto"/>
              <w:jc w:val="left"/>
              <w:rPr>
                <w:color w:val="auto"/>
                <w:highlight w:val="none"/>
              </w:rPr>
            </w:pPr>
            <w:r>
              <w:rPr>
                <w:color w:val="auto"/>
                <w:highlight w:val="none"/>
              </w:rPr>
              <w:t xml:space="preserve">A02010604 </w:t>
            </w:r>
            <w:r>
              <w:rPr>
                <w:rFonts w:hint="eastAsia"/>
                <w:color w:val="auto"/>
                <w:highlight w:val="none"/>
              </w:rPr>
              <w:t>显示设备</w:t>
            </w:r>
          </w:p>
        </w:tc>
        <w:tc>
          <w:tcPr>
            <w:tcW w:w="1002" w:type="pct"/>
          </w:tcPr>
          <w:p>
            <w:pPr>
              <w:spacing w:line="360" w:lineRule="auto"/>
              <w:jc w:val="left"/>
              <w:rPr>
                <w:color w:val="auto"/>
                <w:highlight w:val="none"/>
              </w:rPr>
            </w:pPr>
            <w:r>
              <w:rPr>
                <w:color w:val="auto"/>
                <w:highlight w:val="none"/>
              </w:rPr>
              <w:t xml:space="preserve">A0201060401 </w:t>
            </w:r>
            <w:r>
              <w:rPr>
                <w:rFonts w:hint="eastAsia"/>
                <w:color w:val="auto"/>
                <w:highlight w:val="none"/>
              </w:rPr>
              <w:t>液晶显示器</w:t>
            </w:r>
          </w:p>
        </w:tc>
        <w:tc>
          <w:tcPr>
            <w:tcW w:w="1460" w:type="pct"/>
          </w:tcPr>
          <w:p>
            <w:pPr>
              <w:spacing w:line="360" w:lineRule="auto"/>
              <w:jc w:val="left"/>
              <w:rPr>
                <w:color w:val="auto"/>
                <w:highlight w:val="none"/>
              </w:rPr>
            </w:pPr>
            <w:r>
              <w:rPr>
                <w:color w:val="auto"/>
                <w:highlight w:val="none"/>
              </w:rPr>
              <w:t xml:space="preserve">HJ2536 </w:t>
            </w:r>
            <w:r>
              <w:rPr>
                <w:rFonts w:hint="eastAsia"/>
                <w:color w:val="auto"/>
                <w:highlight w:val="none"/>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vMerge w:val="continue"/>
            <w:tcBorders>
              <w:top w:val="nil"/>
              <w:bottom w:val="nil"/>
            </w:tcBorders>
          </w:tcPr>
          <w:p>
            <w:pPr>
              <w:spacing w:line="360" w:lineRule="auto"/>
              <w:jc w:val="center"/>
              <w:rPr>
                <w:color w:val="auto"/>
                <w:highlight w:val="none"/>
              </w:rPr>
            </w:pPr>
          </w:p>
        </w:tc>
        <w:tc>
          <w:tcPr>
            <w:tcW w:w="702" w:type="pct"/>
            <w:vMerge w:val="continue"/>
            <w:tcBorders>
              <w:top w:val="nil"/>
              <w:bottom w:val="nil"/>
            </w:tcBorders>
          </w:tcPr>
          <w:p>
            <w:pPr>
              <w:spacing w:line="360" w:lineRule="auto"/>
              <w:jc w:val="center"/>
              <w:rPr>
                <w:color w:val="auto"/>
                <w:highlight w:val="none"/>
              </w:rPr>
            </w:pPr>
          </w:p>
        </w:tc>
        <w:tc>
          <w:tcPr>
            <w:tcW w:w="1413" w:type="pct"/>
            <w:vMerge w:val="continue"/>
            <w:tcBorders>
              <w:top w:val="nil"/>
            </w:tcBorders>
          </w:tcPr>
          <w:p>
            <w:pPr>
              <w:spacing w:line="360" w:lineRule="auto"/>
              <w:jc w:val="left"/>
              <w:rPr>
                <w:color w:val="auto"/>
                <w:highlight w:val="none"/>
              </w:rPr>
            </w:pPr>
          </w:p>
        </w:tc>
        <w:tc>
          <w:tcPr>
            <w:tcW w:w="1002" w:type="pct"/>
          </w:tcPr>
          <w:p>
            <w:pPr>
              <w:spacing w:line="360" w:lineRule="auto"/>
              <w:jc w:val="left"/>
              <w:rPr>
                <w:color w:val="auto"/>
                <w:highlight w:val="none"/>
              </w:rPr>
            </w:pPr>
            <w:r>
              <w:rPr>
                <w:color w:val="auto"/>
                <w:highlight w:val="none"/>
              </w:rPr>
              <w:t xml:space="preserve">A0201060499 </w:t>
            </w:r>
            <w:r>
              <w:rPr>
                <w:rFonts w:hint="eastAsia"/>
                <w:color w:val="auto"/>
                <w:highlight w:val="none"/>
              </w:rPr>
              <w:t>其他显示器</w:t>
            </w:r>
          </w:p>
        </w:tc>
        <w:tc>
          <w:tcPr>
            <w:tcW w:w="1460" w:type="pct"/>
          </w:tcPr>
          <w:p>
            <w:pPr>
              <w:spacing w:line="360" w:lineRule="auto"/>
              <w:jc w:val="left"/>
              <w:rPr>
                <w:color w:val="auto"/>
                <w:highlight w:val="none"/>
              </w:rPr>
            </w:pPr>
            <w:r>
              <w:rPr>
                <w:color w:val="auto"/>
                <w:highlight w:val="none"/>
              </w:rPr>
              <w:t xml:space="preserve">HJ2536 </w:t>
            </w:r>
            <w:r>
              <w:rPr>
                <w:rFonts w:hint="eastAsia"/>
                <w:color w:val="auto"/>
                <w:highlight w:val="none"/>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tcBorders>
          </w:tcPr>
          <w:p>
            <w:pPr>
              <w:spacing w:line="360" w:lineRule="auto"/>
              <w:jc w:val="center"/>
              <w:rPr>
                <w:color w:val="auto"/>
                <w:highlight w:val="none"/>
              </w:rPr>
            </w:pPr>
          </w:p>
        </w:tc>
        <w:tc>
          <w:tcPr>
            <w:tcW w:w="702" w:type="pct"/>
            <w:vMerge w:val="continue"/>
            <w:tcBorders>
              <w:top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A02010609 </w:t>
            </w:r>
            <w:r>
              <w:rPr>
                <w:rFonts w:hint="eastAsia"/>
                <w:color w:val="auto"/>
                <w:highlight w:val="none"/>
              </w:rPr>
              <w:t>图形图像输入设备</w:t>
            </w:r>
          </w:p>
        </w:tc>
        <w:tc>
          <w:tcPr>
            <w:tcW w:w="1002" w:type="pct"/>
          </w:tcPr>
          <w:p>
            <w:pPr>
              <w:spacing w:line="360" w:lineRule="auto"/>
              <w:jc w:val="left"/>
              <w:rPr>
                <w:color w:val="auto"/>
                <w:highlight w:val="none"/>
              </w:rPr>
            </w:pPr>
            <w:r>
              <w:rPr>
                <w:color w:val="auto"/>
                <w:highlight w:val="none"/>
              </w:rPr>
              <w:t xml:space="preserve">A0201060901 </w:t>
            </w:r>
            <w:r>
              <w:rPr>
                <w:rFonts w:hint="eastAsia"/>
                <w:color w:val="auto"/>
                <w:highlight w:val="none"/>
              </w:rPr>
              <w:t>扫描仪</w:t>
            </w:r>
          </w:p>
        </w:tc>
        <w:tc>
          <w:tcPr>
            <w:tcW w:w="1460" w:type="pct"/>
          </w:tcPr>
          <w:p>
            <w:pPr>
              <w:spacing w:line="360" w:lineRule="auto"/>
              <w:jc w:val="left"/>
              <w:rPr>
                <w:color w:val="auto"/>
                <w:highlight w:val="none"/>
              </w:rPr>
            </w:pPr>
            <w:r>
              <w:rPr>
                <w:color w:val="auto"/>
                <w:highlight w:val="none"/>
              </w:rPr>
              <w:t xml:space="preserve">HJ2517 </w:t>
            </w:r>
            <w:r>
              <w:rPr>
                <w:rFonts w:hint="eastAsia"/>
                <w:color w:val="auto"/>
                <w:highlight w:val="none"/>
              </w:rPr>
              <w:t>扫描仪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tcPr>
          <w:p>
            <w:pPr>
              <w:spacing w:line="360" w:lineRule="auto"/>
              <w:jc w:val="center"/>
              <w:rPr>
                <w:color w:val="auto"/>
                <w:highlight w:val="none"/>
              </w:rPr>
            </w:pPr>
            <w:r>
              <w:rPr>
                <w:color w:val="auto"/>
                <w:highlight w:val="none"/>
              </w:rPr>
              <w:t>3</w:t>
            </w:r>
          </w:p>
        </w:tc>
        <w:tc>
          <w:tcPr>
            <w:tcW w:w="702" w:type="pct"/>
          </w:tcPr>
          <w:p>
            <w:pPr>
              <w:spacing w:line="360" w:lineRule="auto"/>
              <w:jc w:val="center"/>
              <w:rPr>
                <w:color w:val="auto"/>
                <w:highlight w:val="none"/>
              </w:rPr>
            </w:pPr>
            <w:r>
              <w:rPr>
                <w:color w:val="auto"/>
                <w:highlight w:val="none"/>
              </w:rPr>
              <w:t xml:space="preserve">A020202 </w:t>
            </w:r>
            <w:r>
              <w:rPr>
                <w:rFonts w:hint="eastAsia"/>
                <w:color w:val="auto"/>
                <w:highlight w:val="none"/>
              </w:rPr>
              <w:t>投影仪</w:t>
            </w:r>
          </w:p>
        </w:tc>
        <w:tc>
          <w:tcPr>
            <w:tcW w:w="1413" w:type="pct"/>
          </w:tcPr>
          <w:p>
            <w:pPr>
              <w:spacing w:line="360" w:lineRule="auto"/>
              <w:jc w:val="left"/>
              <w:rPr>
                <w:color w:val="auto"/>
                <w:highlight w:val="none"/>
              </w:rPr>
            </w:pP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HJ2516 </w:t>
            </w:r>
            <w:r>
              <w:rPr>
                <w:rFonts w:hint="eastAsia"/>
                <w:color w:val="auto"/>
                <w:highlight w:val="none"/>
              </w:rPr>
              <w:t>投影仪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21" w:type="pct"/>
          </w:tcPr>
          <w:p>
            <w:pPr>
              <w:spacing w:line="360" w:lineRule="auto"/>
              <w:jc w:val="center"/>
              <w:rPr>
                <w:color w:val="auto"/>
                <w:highlight w:val="none"/>
              </w:rPr>
            </w:pPr>
            <w:r>
              <w:rPr>
                <w:color w:val="auto"/>
                <w:highlight w:val="none"/>
              </w:rPr>
              <w:t>4</w:t>
            </w:r>
          </w:p>
        </w:tc>
        <w:tc>
          <w:tcPr>
            <w:tcW w:w="702" w:type="pct"/>
          </w:tcPr>
          <w:p>
            <w:pPr>
              <w:spacing w:line="360" w:lineRule="auto"/>
              <w:jc w:val="center"/>
              <w:rPr>
                <w:color w:val="auto"/>
                <w:highlight w:val="none"/>
              </w:rPr>
            </w:pPr>
            <w:r>
              <w:rPr>
                <w:color w:val="auto"/>
                <w:highlight w:val="none"/>
              </w:rPr>
              <w:t xml:space="preserve">A020201 </w:t>
            </w:r>
            <w:r>
              <w:rPr>
                <w:rFonts w:hint="eastAsia"/>
                <w:color w:val="auto"/>
                <w:highlight w:val="none"/>
              </w:rPr>
              <w:t>复印机</w:t>
            </w:r>
          </w:p>
        </w:tc>
        <w:tc>
          <w:tcPr>
            <w:tcW w:w="1413" w:type="pct"/>
          </w:tcPr>
          <w:p>
            <w:pPr>
              <w:spacing w:line="360" w:lineRule="auto"/>
              <w:jc w:val="left"/>
              <w:rPr>
                <w:color w:val="auto"/>
                <w:highlight w:val="none"/>
              </w:rPr>
            </w:pP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HJ424 </w:t>
            </w:r>
            <w:r>
              <w:rPr>
                <w:rFonts w:hint="eastAsia"/>
                <w:color w:val="auto"/>
                <w:highlight w:val="none"/>
              </w:rPr>
              <w:t>数字式复印（包括多功能）</w:t>
            </w:r>
            <w:r>
              <w:rPr>
                <w:color w:val="auto"/>
                <w:highlight w:val="none"/>
              </w:rPr>
              <w:t xml:space="preserve"> </w:t>
            </w:r>
            <w:r>
              <w:rPr>
                <w:rFonts w:hint="eastAsia"/>
                <w:color w:val="auto"/>
                <w:highlight w:val="none"/>
              </w:rPr>
              <w:t>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21" w:type="pct"/>
          </w:tcPr>
          <w:p>
            <w:pPr>
              <w:spacing w:line="360" w:lineRule="auto"/>
              <w:jc w:val="center"/>
              <w:rPr>
                <w:color w:val="auto"/>
                <w:highlight w:val="none"/>
              </w:rPr>
            </w:pPr>
            <w:r>
              <w:rPr>
                <w:color w:val="auto"/>
                <w:highlight w:val="none"/>
              </w:rPr>
              <w:t>5</w:t>
            </w:r>
          </w:p>
        </w:tc>
        <w:tc>
          <w:tcPr>
            <w:tcW w:w="702" w:type="pct"/>
          </w:tcPr>
          <w:p>
            <w:pPr>
              <w:spacing w:line="360" w:lineRule="auto"/>
              <w:jc w:val="center"/>
              <w:rPr>
                <w:color w:val="auto"/>
                <w:highlight w:val="none"/>
              </w:rPr>
            </w:pPr>
            <w:r>
              <w:rPr>
                <w:color w:val="auto"/>
                <w:highlight w:val="none"/>
              </w:rPr>
              <w:t xml:space="preserve">A020204 </w:t>
            </w:r>
            <w:r>
              <w:rPr>
                <w:rFonts w:hint="eastAsia"/>
                <w:color w:val="auto"/>
                <w:highlight w:val="none"/>
              </w:rPr>
              <w:t>多功能</w:t>
            </w:r>
            <w:r>
              <w:rPr>
                <w:color w:val="auto"/>
                <w:highlight w:val="none"/>
              </w:rPr>
              <w:t xml:space="preserve"> </w:t>
            </w:r>
            <w:r>
              <w:rPr>
                <w:rFonts w:hint="eastAsia"/>
                <w:color w:val="auto"/>
                <w:highlight w:val="none"/>
              </w:rPr>
              <w:t>一体机</w:t>
            </w:r>
          </w:p>
        </w:tc>
        <w:tc>
          <w:tcPr>
            <w:tcW w:w="1413" w:type="pct"/>
          </w:tcPr>
          <w:p>
            <w:pPr>
              <w:spacing w:line="360" w:lineRule="auto"/>
              <w:jc w:val="left"/>
              <w:rPr>
                <w:color w:val="auto"/>
                <w:highlight w:val="none"/>
              </w:rPr>
            </w:pP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HJ424 </w:t>
            </w:r>
            <w:r>
              <w:rPr>
                <w:rFonts w:hint="eastAsia"/>
                <w:color w:val="auto"/>
                <w:highlight w:val="none"/>
              </w:rPr>
              <w:t>数字式复印（包括多功能）</w:t>
            </w:r>
            <w:r>
              <w:rPr>
                <w:color w:val="auto"/>
                <w:highlight w:val="none"/>
              </w:rPr>
              <w:t xml:space="preserve"> </w:t>
            </w:r>
            <w:r>
              <w:rPr>
                <w:rFonts w:hint="eastAsia"/>
                <w:color w:val="auto"/>
                <w:highlight w:val="none"/>
              </w:rPr>
              <w:t>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21" w:type="pct"/>
          </w:tcPr>
          <w:p>
            <w:pPr>
              <w:spacing w:line="360" w:lineRule="auto"/>
              <w:jc w:val="center"/>
              <w:rPr>
                <w:color w:val="auto"/>
                <w:highlight w:val="none"/>
              </w:rPr>
            </w:pPr>
            <w:r>
              <w:rPr>
                <w:color w:val="auto"/>
                <w:highlight w:val="none"/>
              </w:rPr>
              <w:t>6</w:t>
            </w:r>
          </w:p>
        </w:tc>
        <w:tc>
          <w:tcPr>
            <w:tcW w:w="702" w:type="pct"/>
          </w:tcPr>
          <w:p>
            <w:pPr>
              <w:spacing w:line="360" w:lineRule="auto"/>
              <w:jc w:val="center"/>
              <w:rPr>
                <w:color w:val="auto"/>
                <w:highlight w:val="none"/>
              </w:rPr>
            </w:pPr>
            <w:r>
              <w:rPr>
                <w:color w:val="auto"/>
                <w:highlight w:val="none"/>
              </w:rPr>
              <w:t xml:space="preserve">A020210 </w:t>
            </w:r>
            <w:r>
              <w:rPr>
                <w:rFonts w:hint="eastAsia"/>
                <w:color w:val="auto"/>
                <w:highlight w:val="none"/>
              </w:rPr>
              <w:t>文</w:t>
            </w:r>
            <w:r>
              <w:rPr>
                <w:color w:val="auto"/>
                <w:highlight w:val="none"/>
              </w:rPr>
              <w:t xml:space="preserve"> </w:t>
            </w:r>
            <w:r>
              <w:rPr>
                <w:rFonts w:hint="eastAsia"/>
                <w:color w:val="auto"/>
                <w:highlight w:val="none"/>
              </w:rPr>
              <w:t>印设</w:t>
            </w:r>
            <w:r>
              <w:rPr>
                <w:color w:val="auto"/>
                <w:highlight w:val="none"/>
              </w:rPr>
              <w:t xml:space="preserve"> </w:t>
            </w:r>
            <w:r>
              <w:rPr>
                <w:rFonts w:hint="eastAsia"/>
                <w:color w:val="auto"/>
                <w:highlight w:val="none"/>
              </w:rPr>
              <w:t>备</w:t>
            </w:r>
          </w:p>
        </w:tc>
        <w:tc>
          <w:tcPr>
            <w:tcW w:w="1413" w:type="pct"/>
          </w:tcPr>
          <w:p>
            <w:pPr>
              <w:spacing w:line="360" w:lineRule="auto"/>
              <w:jc w:val="left"/>
              <w:rPr>
                <w:color w:val="auto"/>
                <w:highlight w:val="none"/>
              </w:rPr>
            </w:pPr>
            <w:r>
              <w:rPr>
                <w:color w:val="auto"/>
                <w:highlight w:val="none"/>
              </w:rPr>
              <w:t xml:space="preserve">A02021001 </w:t>
            </w:r>
            <w:r>
              <w:rPr>
                <w:rFonts w:hint="eastAsia"/>
                <w:color w:val="auto"/>
                <w:highlight w:val="none"/>
              </w:rPr>
              <w:t>速印机</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HJ472 </w:t>
            </w:r>
            <w:r>
              <w:rPr>
                <w:rFonts w:hint="eastAsia"/>
                <w:color w:val="auto"/>
                <w:highlight w:val="none"/>
              </w:rPr>
              <w:t>数字式一体化速印机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421" w:type="pct"/>
          </w:tcPr>
          <w:p>
            <w:pPr>
              <w:spacing w:line="360" w:lineRule="auto"/>
              <w:jc w:val="center"/>
              <w:rPr>
                <w:color w:val="auto"/>
                <w:highlight w:val="none"/>
              </w:rPr>
            </w:pPr>
            <w:r>
              <w:rPr>
                <w:color w:val="auto"/>
                <w:highlight w:val="none"/>
              </w:rPr>
              <w:t>7</w:t>
            </w:r>
          </w:p>
        </w:tc>
        <w:tc>
          <w:tcPr>
            <w:tcW w:w="702" w:type="pct"/>
          </w:tcPr>
          <w:p>
            <w:pPr>
              <w:spacing w:line="360" w:lineRule="auto"/>
              <w:jc w:val="center"/>
              <w:rPr>
                <w:color w:val="auto"/>
                <w:highlight w:val="none"/>
              </w:rPr>
            </w:pPr>
            <w:r>
              <w:rPr>
                <w:color w:val="auto"/>
                <w:highlight w:val="none"/>
              </w:rPr>
              <w:t xml:space="preserve">A020301 </w:t>
            </w:r>
            <w:r>
              <w:rPr>
                <w:rFonts w:hint="eastAsia"/>
                <w:color w:val="auto"/>
                <w:highlight w:val="none"/>
              </w:rPr>
              <w:t>载货汽</w:t>
            </w:r>
            <w:r>
              <w:rPr>
                <w:color w:val="auto"/>
                <w:highlight w:val="none"/>
              </w:rPr>
              <w:t xml:space="preserve">  </w:t>
            </w:r>
            <w:r>
              <w:rPr>
                <w:rFonts w:hint="eastAsia"/>
                <w:color w:val="auto"/>
                <w:highlight w:val="none"/>
              </w:rPr>
              <w:t>车（含自卸汽车）</w:t>
            </w:r>
          </w:p>
        </w:tc>
        <w:tc>
          <w:tcPr>
            <w:tcW w:w="1413" w:type="pct"/>
          </w:tcPr>
          <w:p>
            <w:pPr>
              <w:spacing w:line="360" w:lineRule="auto"/>
              <w:jc w:val="left"/>
              <w:rPr>
                <w:color w:val="auto"/>
                <w:highlight w:val="none"/>
              </w:rPr>
            </w:pP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HJ2532 </w:t>
            </w:r>
            <w:r>
              <w:rPr>
                <w:rFonts w:hint="eastAsia"/>
                <w:color w:val="auto"/>
                <w:highlight w:val="none"/>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421" w:type="pct"/>
            <w:vMerge w:val="restart"/>
            <w:tcBorders>
              <w:bottom w:val="nil"/>
            </w:tcBorders>
          </w:tcPr>
          <w:p>
            <w:pPr>
              <w:spacing w:line="360" w:lineRule="auto"/>
              <w:jc w:val="center"/>
              <w:rPr>
                <w:color w:val="auto"/>
                <w:highlight w:val="none"/>
              </w:rPr>
            </w:pPr>
            <w:r>
              <w:rPr>
                <w:color w:val="auto"/>
                <w:highlight w:val="none"/>
              </w:rPr>
              <w:t>8</w:t>
            </w:r>
          </w:p>
        </w:tc>
        <w:tc>
          <w:tcPr>
            <w:tcW w:w="702" w:type="pct"/>
            <w:vMerge w:val="restart"/>
            <w:tcBorders>
              <w:bottom w:val="nil"/>
            </w:tcBorders>
          </w:tcPr>
          <w:p>
            <w:pPr>
              <w:spacing w:line="360" w:lineRule="auto"/>
              <w:jc w:val="center"/>
              <w:rPr>
                <w:color w:val="auto"/>
                <w:highlight w:val="none"/>
              </w:rPr>
            </w:pPr>
            <w:r>
              <w:rPr>
                <w:color w:val="auto"/>
                <w:highlight w:val="none"/>
              </w:rPr>
              <w:t xml:space="preserve">A020305 </w:t>
            </w:r>
            <w:r>
              <w:rPr>
                <w:rFonts w:hint="eastAsia"/>
                <w:color w:val="auto"/>
                <w:highlight w:val="none"/>
              </w:rPr>
              <w:t>乘用车</w:t>
            </w:r>
            <w:r>
              <w:rPr>
                <w:color w:val="auto"/>
                <w:highlight w:val="none"/>
              </w:rPr>
              <w:t xml:space="preserve"> </w:t>
            </w:r>
            <w:r>
              <w:rPr>
                <w:rFonts w:hint="eastAsia"/>
                <w:color w:val="auto"/>
                <w:highlight w:val="none"/>
              </w:rPr>
              <w:t>（轿车）</w:t>
            </w:r>
          </w:p>
        </w:tc>
        <w:tc>
          <w:tcPr>
            <w:tcW w:w="1413" w:type="pct"/>
          </w:tcPr>
          <w:p>
            <w:pPr>
              <w:spacing w:line="360" w:lineRule="auto"/>
              <w:jc w:val="left"/>
              <w:rPr>
                <w:color w:val="auto"/>
                <w:highlight w:val="none"/>
              </w:rPr>
            </w:pPr>
            <w:r>
              <w:rPr>
                <w:color w:val="auto"/>
                <w:highlight w:val="none"/>
              </w:rPr>
              <w:t xml:space="preserve">A02030501 </w:t>
            </w:r>
            <w:r>
              <w:rPr>
                <w:rFonts w:hint="eastAsia"/>
                <w:color w:val="auto"/>
                <w:highlight w:val="none"/>
              </w:rPr>
              <w:t>轿车</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HJ2532 </w:t>
            </w:r>
            <w:r>
              <w:rPr>
                <w:rFonts w:hint="eastAsia"/>
                <w:color w:val="auto"/>
                <w:highlight w:val="none"/>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tcBorders>
          </w:tcPr>
          <w:p>
            <w:pPr>
              <w:spacing w:line="360" w:lineRule="auto"/>
              <w:jc w:val="center"/>
              <w:rPr>
                <w:color w:val="auto"/>
                <w:highlight w:val="none"/>
              </w:rPr>
            </w:pPr>
          </w:p>
        </w:tc>
        <w:tc>
          <w:tcPr>
            <w:tcW w:w="702" w:type="pct"/>
            <w:vMerge w:val="continue"/>
            <w:tcBorders>
              <w:top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A02030599 </w:t>
            </w:r>
            <w:r>
              <w:rPr>
                <w:rFonts w:hint="eastAsia"/>
                <w:color w:val="auto"/>
                <w:highlight w:val="none"/>
              </w:rPr>
              <w:t>其他乘用车（轿车）</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HJ2532 </w:t>
            </w:r>
            <w:r>
              <w:rPr>
                <w:rFonts w:hint="eastAsia"/>
                <w:color w:val="auto"/>
                <w:highlight w:val="none"/>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tcPr>
          <w:p>
            <w:pPr>
              <w:spacing w:line="360" w:lineRule="auto"/>
              <w:jc w:val="center"/>
              <w:rPr>
                <w:color w:val="auto"/>
                <w:highlight w:val="none"/>
              </w:rPr>
            </w:pPr>
            <w:r>
              <w:rPr>
                <w:color w:val="auto"/>
                <w:highlight w:val="none"/>
              </w:rPr>
              <w:t>9</w:t>
            </w:r>
          </w:p>
        </w:tc>
        <w:tc>
          <w:tcPr>
            <w:tcW w:w="702" w:type="pct"/>
          </w:tcPr>
          <w:p>
            <w:pPr>
              <w:spacing w:line="360" w:lineRule="auto"/>
              <w:jc w:val="center"/>
              <w:rPr>
                <w:color w:val="auto"/>
                <w:highlight w:val="none"/>
              </w:rPr>
            </w:pPr>
            <w:r>
              <w:rPr>
                <w:color w:val="auto"/>
                <w:highlight w:val="none"/>
              </w:rPr>
              <w:t xml:space="preserve">A020306 </w:t>
            </w:r>
            <w:r>
              <w:rPr>
                <w:rFonts w:hint="eastAsia"/>
                <w:color w:val="auto"/>
                <w:highlight w:val="none"/>
              </w:rPr>
              <w:t>客车</w:t>
            </w:r>
          </w:p>
        </w:tc>
        <w:tc>
          <w:tcPr>
            <w:tcW w:w="1413" w:type="pct"/>
          </w:tcPr>
          <w:p>
            <w:pPr>
              <w:spacing w:line="360" w:lineRule="auto"/>
              <w:jc w:val="left"/>
              <w:rPr>
                <w:color w:val="auto"/>
                <w:highlight w:val="none"/>
              </w:rPr>
            </w:pPr>
            <w:r>
              <w:rPr>
                <w:color w:val="auto"/>
                <w:highlight w:val="none"/>
              </w:rPr>
              <w:t xml:space="preserve">A02030601 </w:t>
            </w:r>
            <w:r>
              <w:rPr>
                <w:rFonts w:hint="eastAsia"/>
                <w:color w:val="auto"/>
                <w:highlight w:val="none"/>
              </w:rPr>
              <w:t>小型客车</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HJ2532 </w:t>
            </w:r>
            <w:r>
              <w:rPr>
                <w:rFonts w:hint="eastAsia"/>
                <w:color w:val="auto"/>
                <w:highlight w:val="none"/>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21" w:type="pct"/>
          </w:tcPr>
          <w:p>
            <w:pPr>
              <w:spacing w:line="360" w:lineRule="auto"/>
              <w:jc w:val="center"/>
              <w:rPr>
                <w:color w:val="auto"/>
                <w:highlight w:val="none"/>
              </w:rPr>
            </w:pPr>
            <w:r>
              <w:rPr>
                <w:color w:val="auto"/>
                <w:highlight w:val="none"/>
              </w:rPr>
              <w:t>10</w:t>
            </w:r>
          </w:p>
        </w:tc>
        <w:tc>
          <w:tcPr>
            <w:tcW w:w="702" w:type="pct"/>
          </w:tcPr>
          <w:p>
            <w:pPr>
              <w:spacing w:line="360" w:lineRule="auto"/>
              <w:jc w:val="center"/>
              <w:rPr>
                <w:color w:val="auto"/>
                <w:highlight w:val="none"/>
              </w:rPr>
            </w:pPr>
            <w:r>
              <w:rPr>
                <w:color w:val="auto"/>
                <w:highlight w:val="none"/>
              </w:rPr>
              <w:t xml:space="preserve">A020307 </w:t>
            </w:r>
            <w:r>
              <w:rPr>
                <w:rFonts w:hint="eastAsia"/>
                <w:color w:val="auto"/>
                <w:highlight w:val="none"/>
              </w:rPr>
              <w:t>专用车</w:t>
            </w:r>
            <w:r>
              <w:rPr>
                <w:color w:val="auto"/>
                <w:highlight w:val="none"/>
              </w:rPr>
              <w:t xml:space="preserve"> </w:t>
            </w:r>
            <w:r>
              <w:rPr>
                <w:rFonts w:hint="eastAsia"/>
                <w:color w:val="auto"/>
                <w:highlight w:val="none"/>
              </w:rPr>
              <w:t>辆</w:t>
            </w:r>
          </w:p>
        </w:tc>
        <w:tc>
          <w:tcPr>
            <w:tcW w:w="1413" w:type="pct"/>
          </w:tcPr>
          <w:p>
            <w:pPr>
              <w:spacing w:line="360" w:lineRule="auto"/>
              <w:jc w:val="left"/>
              <w:rPr>
                <w:color w:val="auto"/>
                <w:highlight w:val="none"/>
              </w:rPr>
            </w:pPr>
            <w:r>
              <w:rPr>
                <w:color w:val="auto"/>
                <w:highlight w:val="none"/>
              </w:rPr>
              <w:t xml:space="preserve">A02030799 </w:t>
            </w:r>
            <w:r>
              <w:rPr>
                <w:rFonts w:hint="eastAsia"/>
                <w:color w:val="auto"/>
                <w:highlight w:val="none"/>
              </w:rPr>
              <w:t>其他专用汽车</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HJ2532 </w:t>
            </w:r>
            <w:r>
              <w:rPr>
                <w:rFonts w:hint="eastAsia"/>
                <w:color w:val="auto"/>
                <w:highlight w:val="none"/>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421" w:type="pct"/>
            <w:vMerge w:val="restart"/>
            <w:tcBorders>
              <w:bottom w:val="nil"/>
            </w:tcBorders>
          </w:tcPr>
          <w:p>
            <w:pPr>
              <w:spacing w:line="360" w:lineRule="auto"/>
              <w:jc w:val="center"/>
              <w:rPr>
                <w:color w:val="auto"/>
                <w:highlight w:val="none"/>
              </w:rPr>
            </w:pPr>
            <w:r>
              <w:rPr>
                <w:color w:val="auto"/>
                <w:highlight w:val="none"/>
              </w:rPr>
              <w:t>11</w:t>
            </w:r>
          </w:p>
        </w:tc>
        <w:tc>
          <w:tcPr>
            <w:tcW w:w="702" w:type="pct"/>
            <w:vMerge w:val="restart"/>
            <w:tcBorders>
              <w:bottom w:val="nil"/>
            </w:tcBorders>
          </w:tcPr>
          <w:p>
            <w:pPr>
              <w:spacing w:line="360" w:lineRule="auto"/>
              <w:jc w:val="center"/>
              <w:rPr>
                <w:color w:val="auto"/>
                <w:highlight w:val="none"/>
              </w:rPr>
            </w:pPr>
            <w:r>
              <w:rPr>
                <w:color w:val="auto"/>
                <w:highlight w:val="none"/>
              </w:rPr>
              <w:t xml:space="preserve">A020523 </w:t>
            </w:r>
            <w:r>
              <w:rPr>
                <w:rFonts w:hint="eastAsia"/>
                <w:color w:val="auto"/>
                <w:highlight w:val="none"/>
              </w:rPr>
              <w:t>制冷空</w:t>
            </w:r>
            <w:r>
              <w:rPr>
                <w:color w:val="auto"/>
                <w:highlight w:val="none"/>
              </w:rPr>
              <w:t xml:space="preserve"> </w:t>
            </w:r>
            <w:r>
              <w:rPr>
                <w:rFonts w:hint="eastAsia"/>
                <w:color w:val="auto"/>
                <w:highlight w:val="none"/>
              </w:rPr>
              <w:t>调设备</w:t>
            </w:r>
          </w:p>
        </w:tc>
        <w:tc>
          <w:tcPr>
            <w:tcW w:w="1413" w:type="pct"/>
          </w:tcPr>
          <w:p>
            <w:pPr>
              <w:spacing w:line="360" w:lineRule="auto"/>
              <w:jc w:val="left"/>
              <w:rPr>
                <w:color w:val="auto"/>
                <w:highlight w:val="none"/>
              </w:rPr>
            </w:pPr>
            <w:r>
              <w:rPr>
                <w:color w:val="auto"/>
                <w:highlight w:val="none"/>
              </w:rPr>
              <w:t xml:space="preserve">A02052301 </w:t>
            </w:r>
            <w:r>
              <w:rPr>
                <w:rFonts w:hint="eastAsia"/>
                <w:color w:val="auto"/>
                <w:highlight w:val="none"/>
              </w:rPr>
              <w:t>制冷压缩机</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HJ2531 </w:t>
            </w:r>
            <w:r>
              <w:rPr>
                <w:rFonts w:hint="eastAsia"/>
                <w:color w:val="auto"/>
                <w:highlight w:val="none"/>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21" w:type="pct"/>
            <w:vMerge w:val="continue"/>
            <w:tcBorders>
              <w:top w:val="nil"/>
              <w:bottom w:val="nil"/>
            </w:tcBorders>
          </w:tcPr>
          <w:p>
            <w:pPr>
              <w:spacing w:line="360" w:lineRule="auto"/>
              <w:jc w:val="center"/>
              <w:rPr>
                <w:color w:val="auto"/>
                <w:highlight w:val="none"/>
              </w:rPr>
            </w:pPr>
          </w:p>
        </w:tc>
        <w:tc>
          <w:tcPr>
            <w:tcW w:w="702" w:type="pct"/>
            <w:vMerge w:val="continue"/>
            <w:tcBorders>
              <w:top w:val="nil"/>
              <w:bottom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A02052305 </w:t>
            </w:r>
            <w:r>
              <w:rPr>
                <w:rFonts w:hint="eastAsia"/>
                <w:color w:val="auto"/>
                <w:highlight w:val="none"/>
              </w:rPr>
              <w:t>空调机组</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HJ2531 </w:t>
            </w:r>
            <w:r>
              <w:rPr>
                <w:rFonts w:hint="eastAsia"/>
                <w:color w:val="auto"/>
                <w:highlight w:val="none"/>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21" w:type="pct"/>
            <w:vMerge w:val="continue"/>
            <w:tcBorders>
              <w:top w:val="nil"/>
            </w:tcBorders>
          </w:tcPr>
          <w:p>
            <w:pPr>
              <w:spacing w:line="360" w:lineRule="auto"/>
              <w:jc w:val="center"/>
              <w:rPr>
                <w:color w:val="auto"/>
                <w:highlight w:val="none"/>
              </w:rPr>
            </w:pPr>
          </w:p>
        </w:tc>
        <w:tc>
          <w:tcPr>
            <w:tcW w:w="702" w:type="pct"/>
            <w:vMerge w:val="continue"/>
            <w:tcBorders>
              <w:top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A02052309 </w:t>
            </w:r>
            <w:r>
              <w:rPr>
                <w:rFonts w:hint="eastAsia"/>
                <w:color w:val="auto"/>
                <w:highlight w:val="none"/>
              </w:rPr>
              <w:t>专用制冷、空调设备</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HJ2531 </w:t>
            </w:r>
            <w:r>
              <w:rPr>
                <w:rFonts w:hint="eastAsia"/>
                <w:color w:val="auto"/>
                <w:highlight w:val="none"/>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restart"/>
            <w:tcBorders>
              <w:bottom w:val="nil"/>
            </w:tcBorders>
          </w:tcPr>
          <w:p>
            <w:pPr>
              <w:spacing w:line="360" w:lineRule="auto"/>
              <w:jc w:val="center"/>
              <w:rPr>
                <w:color w:val="auto"/>
                <w:highlight w:val="none"/>
              </w:rPr>
            </w:pPr>
            <w:r>
              <w:rPr>
                <w:color w:val="auto"/>
                <w:highlight w:val="none"/>
              </w:rPr>
              <w:t>12</w:t>
            </w:r>
          </w:p>
        </w:tc>
        <w:tc>
          <w:tcPr>
            <w:tcW w:w="702" w:type="pct"/>
            <w:vMerge w:val="restart"/>
            <w:tcBorders>
              <w:bottom w:val="nil"/>
            </w:tcBorders>
          </w:tcPr>
          <w:p>
            <w:pPr>
              <w:spacing w:line="360" w:lineRule="auto"/>
              <w:jc w:val="center"/>
              <w:rPr>
                <w:color w:val="auto"/>
                <w:highlight w:val="none"/>
              </w:rPr>
            </w:pPr>
            <w:r>
              <w:rPr>
                <w:color w:val="auto"/>
                <w:highlight w:val="none"/>
              </w:rPr>
              <w:t xml:space="preserve">A020618 </w:t>
            </w:r>
            <w:r>
              <w:rPr>
                <w:rFonts w:hint="eastAsia"/>
                <w:color w:val="auto"/>
                <w:highlight w:val="none"/>
              </w:rPr>
              <w:t>生活用</w:t>
            </w:r>
            <w:r>
              <w:rPr>
                <w:color w:val="auto"/>
                <w:highlight w:val="none"/>
              </w:rPr>
              <w:t xml:space="preserve"> </w:t>
            </w:r>
            <w:r>
              <w:rPr>
                <w:rFonts w:hint="eastAsia"/>
                <w:color w:val="auto"/>
                <w:highlight w:val="none"/>
              </w:rPr>
              <w:t>电器</w:t>
            </w:r>
          </w:p>
        </w:tc>
        <w:tc>
          <w:tcPr>
            <w:tcW w:w="1413" w:type="pct"/>
          </w:tcPr>
          <w:p>
            <w:pPr>
              <w:spacing w:line="360" w:lineRule="auto"/>
              <w:jc w:val="left"/>
              <w:rPr>
                <w:color w:val="auto"/>
                <w:highlight w:val="none"/>
              </w:rPr>
            </w:pPr>
            <w:r>
              <w:rPr>
                <w:color w:val="auto"/>
                <w:highlight w:val="none"/>
              </w:rPr>
              <w:t xml:space="preserve">A02061802 </w:t>
            </w:r>
            <w:r>
              <w:rPr>
                <w:rFonts w:hint="eastAsia"/>
                <w:color w:val="auto"/>
                <w:highlight w:val="none"/>
              </w:rPr>
              <w:t>空气调节电器</w:t>
            </w:r>
          </w:p>
        </w:tc>
        <w:tc>
          <w:tcPr>
            <w:tcW w:w="1002" w:type="pct"/>
          </w:tcPr>
          <w:p>
            <w:pPr>
              <w:spacing w:line="360" w:lineRule="auto"/>
              <w:jc w:val="left"/>
              <w:rPr>
                <w:color w:val="auto"/>
                <w:highlight w:val="none"/>
              </w:rPr>
            </w:pPr>
            <w:r>
              <w:rPr>
                <w:color w:val="auto"/>
                <w:highlight w:val="none"/>
              </w:rPr>
              <w:t xml:space="preserve">A0206180203 </w:t>
            </w:r>
            <w:r>
              <w:rPr>
                <w:rFonts w:hint="eastAsia"/>
                <w:color w:val="auto"/>
                <w:highlight w:val="none"/>
              </w:rPr>
              <w:t>空调机</w:t>
            </w:r>
          </w:p>
        </w:tc>
        <w:tc>
          <w:tcPr>
            <w:tcW w:w="1460" w:type="pct"/>
          </w:tcPr>
          <w:p>
            <w:pPr>
              <w:spacing w:line="360" w:lineRule="auto"/>
              <w:jc w:val="left"/>
              <w:rPr>
                <w:color w:val="auto"/>
                <w:highlight w:val="none"/>
              </w:rPr>
            </w:pPr>
            <w:r>
              <w:rPr>
                <w:color w:val="auto"/>
                <w:highlight w:val="none"/>
              </w:rPr>
              <w:t xml:space="preserve">HJ2535 </w:t>
            </w:r>
            <w:r>
              <w:rPr>
                <w:rFonts w:hint="eastAsia"/>
                <w:color w:val="auto"/>
                <w:highlight w:val="none"/>
              </w:rPr>
              <w:t>房间空气调节器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421" w:type="pct"/>
            <w:vMerge w:val="continue"/>
            <w:tcBorders>
              <w:top w:val="nil"/>
            </w:tcBorders>
          </w:tcPr>
          <w:p>
            <w:pPr>
              <w:spacing w:line="360" w:lineRule="auto"/>
              <w:jc w:val="center"/>
              <w:rPr>
                <w:color w:val="auto"/>
                <w:highlight w:val="none"/>
              </w:rPr>
            </w:pPr>
          </w:p>
        </w:tc>
        <w:tc>
          <w:tcPr>
            <w:tcW w:w="702" w:type="pct"/>
            <w:vMerge w:val="continue"/>
            <w:tcBorders>
              <w:top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A02061808 </w:t>
            </w:r>
            <w:r>
              <w:rPr>
                <w:rFonts w:hint="eastAsia"/>
                <w:color w:val="auto"/>
                <w:highlight w:val="none"/>
              </w:rPr>
              <w:t>热水器</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HJ/T362 </w:t>
            </w:r>
            <w:r>
              <w:rPr>
                <w:rFonts w:hint="eastAsia"/>
                <w:color w:val="auto"/>
                <w:highlight w:val="none"/>
              </w:rPr>
              <w:t>太阳能集热器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421" w:type="pct"/>
          </w:tcPr>
          <w:p>
            <w:pPr>
              <w:spacing w:line="360" w:lineRule="auto"/>
              <w:jc w:val="center"/>
              <w:rPr>
                <w:color w:val="auto"/>
                <w:highlight w:val="none"/>
              </w:rPr>
            </w:pPr>
            <w:r>
              <w:rPr>
                <w:color w:val="auto"/>
                <w:highlight w:val="none"/>
              </w:rPr>
              <w:t>13</w:t>
            </w:r>
          </w:p>
        </w:tc>
        <w:tc>
          <w:tcPr>
            <w:tcW w:w="702" w:type="pct"/>
          </w:tcPr>
          <w:p>
            <w:pPr>
              <w:spacing w:line="360" w:lineRule="auto"/>
              <w:jc w:val="center"/>
              <w:rPr>
                <w:color w:val="auto"/>
                <w:highlight w:val="none"/>
              </w:rPr>
            </w:pPr>
            <w:r>
              <w:rPr>
                <w:color w:val="auto"/>
                <w:highlight w:val="none"/>
              </w:rPr>
              <w:t xml:space="preserve">A020619 </w:t>
            </w:r>
            <w:r>
              <w:rPr>
                <w:rFonts w:hint="eastAsia"/>
                <w:color w:val="auto"/>
                <w:highlight w:val="none"/>
              </w:rPr>
              <w:t>照</w:t>
            </w:r>
            <w:r>
              <w:rPr>
                <w:color w:val="auto"/>
                <w:highlight w:val="none"/>
              </w:rPr>
              <w:t xml:space="preserve"> </w:t>
            </w:r>
            <w:r>
              <w:rPr>
                <w:rFonts w:hint="eastAsia"/>
                <w:color w:val="auto"/>
                <w:highlight w:val="none"/>
              </w:rPr>
              <w:t>明设</w:t>
            </w:r>
            <w:r>
              <w:rPr>
                <w:color w:val="auto"/>
                <w:highlight w:val="none"/>
              </w:rPr>
              <w:t xml:space="preserve"> </w:t>
            </w:r>
            <w:r>
              <w:rPr>
                <w:rFonts w:hint="eastAsia"/>
                <w:color w:val="auto"/>
                <w:highlight w:val="none"/>
              </w:rPr>
              <w:t>备</w:t>
            </w:r>
          </w:p>
        </w:tc>
        <w:tc>
          <w:tcPr>
            <w:tcW w:w="1413" w:type="pct"/>
          </w:tcPr>
          <w:p>
            <w:pPr>
              <w:spacing w:line="360" w:lineRule="auto"/>
              <w:jc w:val="left"/>
              <w:rPr>
                <w:color w:val="auto"/>
                <w:highlight w:val="none"/>
              </w:rPr>
            </w:pPr>
            <w:r>
              <w:rPr>
                <w:color w:val="auto"/>
                <w:highlight w:val="none"/>
              </w:rPr>
              <w:t xml:space="preserve">A02061908 </w:t>
            </w:r>
            <w:r>
              <w:rPr>
                <w:rFonts w:hint="eastAsia"/>
                <w:color w:val="auto"/>
                <w:highlight w:val="none"/>
              </w:rPr>
              <w:t>室内照明灯具</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HJ2518 </w:t>
            </w:r>
            <w:r>
              <w:rPr>
                <w:rFonts w:hint="eastAsia"/>
                <w:color w:val="auto"/>
                <w:highlight w:val="none"/>
              </w:rPr>
              <w:t>照明光源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421" w:type="pct"/>
          </w:tcPr>
          <w:p>
            <w:pPr>
              <w:spacing w:line="360" w:lineRule="auto"/>
              <w:jc w:val="center"/>
              <w:rPr>
                <w:color w:val="auto"/>
                <w:highlight w:val="none"/>
              </w:rPr>
            </w:pPr>
            <w:r>
              <w:rPr>
                <w:color w:val="auto"/>
                <w:highlight w:val="none"/>
              </w:rPr>
              <w:t>14</w:t>
            </w:r>
          </w:p>
        </w:tc>
        <w:tc>
          <w:tcPr>
            <w:tcW w:w="702" w:type="pct"/>
          </w:tcPr>
          <w:p>
            <w:pPr>
              <w:spacing w:line="360" w:lineRule="auto"/>
              <w:jc w:val="center"/>
              <w:rPr>
                <w:color w:val="auto"/>
                <w:highlight w:val="none"/>
              </w:rPr>
            </w:pPr>
            <w:r>
              <w:rPr>
                <w:color w:val="auto"/>
                <w:highlight w:val="none"/>
              </w:rPr>
              <w:t xml:space="preserve">A020810 </w:t>
            </w:r>
            <w:r>
              <w:rPr>
                <w:rFonts w:hint="eastAsia"/>
                <w:color w:val="auto"/>
                <w:highlight w:val="none"/>
              </w:rPr>
              <w:t>传真及</w:t>
            </w:r>
            <w:r>
              <w:rPr>
                <w:color w:val="auto"/>
                <w:highlight w:val="none"/>
              </w:rPr>
              <w:t xml:space="preserve"> </w:t>
            </w:r>
            <w:r>
              <w:rPr>
                <w:rFonts w:hint="eastAsia"/>
                <w:color w:val="auto"/>
                <w:highlight w:val="none"/>
              </w:rPr>
              <w:t>数据数字通信设</w:t>
            </w:r>
            <w:r>
              <w:rPr>
                <w:color w:val="auto"/>
                <w:highlight w:val="none"/>
              </w:rPr>
              <w:t xml:space="preserve"> </w:t>
            </w:r>
            <w:r>
              <w:rPr>
                <w:rFonts w:hint="eastAsia"/>
                <w:color w:val="auto"/>
                <w:highlight w:val="none"/>
              </w:rPr>
              <w:t>备</w:t>
            </w:r>
          </w:p>
        </w:tc>
        <w:tc>
          <w:tcPr>
            <w:tcW w:w="1413" w:type="pct"/>
          </w:tcPr>
          <w:p>
            <w:pPr>
              <w:spacing w:line="360" w:lineRule="auto"/>
              <w:jc w:val="left"/>
              <w:rPr>
                <w:color w:val="auto"/>
                <w:highlight w:val="none"/>
              </w:rPr>
            </w:pPr>
            <w:r>
              <w:rPr>
                <w:color w:val="auto"/>
                <w:highlight w:val="none"/>
              </w:rPr>
              <w:t xml:space="preserve">A02081001 </w:t>
            </w:r>
            <w:r>
              <w:rPr>
                <w:rFonts w:hint="eastAsia"/>
                <w:color w:val="auto"/>
                <w:highlight w:val="none"/>
              </w:rPr>
              <w:t>传真通信设备</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HJ2512 </w:t>
            </w:r>
            <w:r>
              <w:rPr>
                <w:rFonts w:hint="eastAsia"/>
                <w:color w:val="auto"/>
                <w:highlight w:val="none"/>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21" w:type="pct"/>
            <w:vMerge w:val="restart"/>
            <w:tcBorders>
              <w:bottom w:val="nil"/>
            </w:tcBorders>
          </w:tcPr>
          <w:p>
            <w:pPr>
              <w:spacing w:line="360" w:lineRule="auto"/>
              <w:jc w:val="center"/>
              <w:rPr>
                <w:color w:val="auto"/>
                <w:highlight w:val="none"/>
              </w:rPr>
            </w:pPr>
            <w:r>
              <w:rPr>
                <w:color w:val="auto"/>
                <w:highlight w:val="none"/>
              </w:rPr>
              <w:t>15</w:t>
            </w:r>
          </w:p>
        </w:tc>
        <w:tc>
          <w:tcPr>
            <w:tcW w:w="702" w:type="pct"/>
            <w:vMerge w:val="restart"/>
            <w:tcBorders>
              <w:bottom w:val="nil"/>
            </w:tcBorders>
          </w:tcPr>
          <w:p>
            <w:pPr>
              <w:spacing w:line="360" w:lineRule="auto"/>
              <w:jc w:val="center"/>
              <w:rPr>
                <w:color w:val="auto"/>
                <w:highlight w:val="none"/>
              </w:rPr>
            </w:pPr>
            <w:r>
              <w:rPr>
                <w:color w:val="auto"/>
                <w:highlight w:val="none"/>
              </w:rPr>
              <w:t xml:space="preserve">A020910 </w:t>
            </w:r>
            <w:r>
              <w:rPr>
                <w:rFonts w:hint="eastAsia"/>
                <w:color w:val="auto"/>
                <w:highlight w:val="none"/>
              </w:rPr>
              <w:t>电视设</w:t>
            </w:r>
            <w:r>
              <w:rPr>
                <w:color w:val="auto"/>
                <w:highlight w:val="none"/>
              </w:rPr>
              <w:t xml:space="preserve"> </w:t>
            </w:r>
            <w:r>
              <w:rPr>
                <w:rFonts w:hint="eastAsia"/>
                <w:color w:val="auto"/>
                <w:highlight w:val="none"/>
              </w:rPr>
              <w:t>备</w:t>
            </w:r>
          </w:p>
        </w:tc>
        <w:tc>
          <w:tcPr>
            <w:tcW w:w="1413" w:type="pct"/>
          </w:tcPr>
          <w:p>
            <w:pPr>
              <w:spacing w:line="360" w:lineRule="auto"/>
              <w:jc w:val="left"/>
              <w:rPr>
                <w:color w:val="auto"/>
                <w:highlight w:val="none"/>
              </w:rPr>
            </w:pPr>
            <w:r>
              <w:rPr>
                <w:color w:val="auto"/>
                <w:highlight w:val="none"/>
              </w:rPr>
              <w:t xml:space="preserve">A02091001 </w:t>
            </w:r>
            <w:r>
              <w:rPr>
                <w:rFonts w:hint="eastAsia"/>
                <w:color w:val="auto"/>
                <w:highlight w:val="none"/>
              </w:rPr>
              <w:t>普通电视设备（电视</w:t>
            </w:r>
            <w:r>
              <w:rPr>
                <w:color w:val="auto"/>
                <w:highlight w:val="none"/>
              </w:rPr>
              <w:t xml:space="preserve"> </w:t>
            </w:r>
            <w:r>
              <w:rPr>
                <w:rFonts w:hint="eastAsia"/>
                <w:color w:val="auto"/>
                <w:highlight w:val="none"/>
              </w:rPr>
              <w:t>机）</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HJ2506 </w:t>
            </w:r>
            <w:r>
              <w:rPr>
                <w:rFonts w:hint="eastAsia"/>
                <w:color w:val="auto"/>
                <w:highlight w:val="none"/>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421" w:type="pct"/>
            <w:vMerge w:val="continue"/>
            <w:tcBorders>
              <w:top w:val="nil"/>
            </w:tcBorders>
          </w:tcPr>
          <w:p>
            <w:pPr>
              <w:spacing w:line="360" w:lineRule="auto"/>
              <w:jc w:val="center"/>
              <w:rPr>
                <w:color w:val="auto"/>
                <w:highlight w:val="none"/>
              </w:rPr>
            </w:pPr>
          </w:p>
        </w:tc>
        <w:tc>
          <w:tcPr>
            <w:tcW w:w="702" w:type="pct"/>
            <w:vMerge w:val="continue"/>
            <w:tcBorders>
              <w:top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A02091003 </w:t>
            </w:r>
            <w:r>
              <w:rPr>
                <w:rFonts w:hint="eastAsia"/>
                <w:color w:val="auto"/>
                <w:highlight w:val="none"/>
              </w:rPr>
              <w:t>特殊功能应用电视</w:t>
            </w:r>
            <w:r>
              <w:rPr>
                <w:color w:val="auto"/>
                <w:highlight w:val="none"/>
              </w:rPr>
              <w:t xml:space="preserve"> </w:t>
            </w:r>
            <w:r>
              <w:rPr>
                <w:rFonts w:hint="eastAsia"/>
                <w:color w:val="auto"/>
                <w:highlight w:val="none"/>
              </w:rPr>
              <w:t>设备</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HJ2506 </w:t>
            </w:r>
            <w:r>
              <w:rPr>
                <w:rFonts w:hint="eastAsia"/>
                <w:color w:val="auto"/>
                <w:highlight w:val="none"/>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vMerge w:val="restart"/>
            <w:tcBorders>
              <w:bottom w:val="nil"/>
            </w:tcBorders>
          </w:tcPr>
          <w:p>
            <w:pPr>
              <w:spacing w:line="360" w:lineRule="auto"/>
              <w:jc w:val="center"/>
              <w:rPr>
                <w:color w:val="auto"/>
                <w:highlight w:val="none"/>
              </w:rPr>
            </w:pPr>
            <w:r>
              <w:rPr>
                <w:color w:val="auto"/>
                <w:highlight w:val="none"/>
              </w:rPr>
              <w:t>16</w:t>
            </w:r>
          </w:p>
        </w:tc>
        <w:tc>
          <w:tcPr>
            <w:tcW w:w="702" w:type="pct"/>
            <w:vMerge w:val="restart"/>
            <w:tcBorders>
              <w:bottom w:val="nil"/>
            </w:tcBorders>
          </w:tcPr>
          <w:p>
            <w:pPr>
              <w:spacing w:line="360" w:lineRule="auto"/>
              <w:jc w:val="center"/>
              <w:rPr>
                <w:color w:val="auto"/>
                <w:highlight w:val="none"/>
              </w:rPr>
            </w:pPr>
            <w:r>
              <w:rPr>
                <w:color w:val="auto"/>
                <w:highlight w:val="none"/>
              </w:rPr>
              <w:t xml:space="preserve">A0601 </w:t>
            </w:r>
            <w:r>
              <w:rPr>
                <w:rFonts w:hint="eastAsia"/>
                <w:color w:val="auto"/>
                <w:highlight w:val="none"/>
              </w:rPr>
              <w:t>床类</w:t>
            </w:r>
          </w:p>
        </w:tc>
        <w:tc>
          <w:tcPr>
            <w:tcW w:w="1413" w:type="pct"/>
          </w:tcPr>
          <w:p>
            <w:pPr>
              <w:spacing w:line="360" w:lineRule="auto"/>
              <w:jc w:val="left"/>
              <w:rPr>
                <w:color w:val="auto"/>
                <w:highlight w:val="none"/>
              </w:rPr>
            </w:pPr>
            <w:r>
              <w:rPr>
                <w:color w:val="auto"/>
                <w:highlight w:val="none"/>
              </w:rPr>
              <w:t xml:space="preserve">A060101 </w:t>
            </w:r>
            <w:r>
              <w:rPr>
                <w:rFonts w:hint="eastAsia"/>
                <w:color w:val="auto"/>
                <w:highlight w:val="none"/>
              </w:rPr>
              <w:t>钢木床类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421" w:type="pct"/>
            <w:vMerge w:val="continue"/>
            <w:tcBorders>
              <w:top w:val="nil"/>
              <w:bottom w:val="nil"/>
            </w:tcBorders>
          </w:tcPr>
          <w:p>
            <w:pPr>
              <w:spacing w:line="360" w:lineRule="auto"/>
              <w:jc w:val="center"/>
              <w:rPr>
                <w:color w:val="auto"/>
                <w:highlight w:val="none"/>
              </w:rPr>
            </w:pPr>
          </w:p>
        </w:tc>
        <w:tc>
          <w:tcPr>
            <w:tcW w:w="702" w:type="pct"/>
            <w:vMerge w:val="continue"/>
            <w:tcBorders>
              <w:top w:val="nil"/>
              <w:bottom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A060104 </w:t>
            </w:r>
            <w:r>
              <w:rPr>
                <w:rFonts w:hint="eastAsia"/>
                <w:color w:val="auto"/>
                <w:highlight w:val="none"/>
              </w:rPr>
              <w:t>木制床类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vMerge w:val="continue"/>
            <w:tcBorders>
              <w:top w:val="nil"/>
            </w:tcBorders>
          </w:tcPr>
          <w:p>
            <w:pPr>
              <w:spacing w:line="360" w:lineRule="auto"/>
              <w:jc w:val="center"/>
              <w:rPr>
                <w:color w:val="auto"/>
                <w:highlight w:val="none"/>
              </w:rPr>
            </w:pPr>
          </w:p>
        </w:tc>
        <w:tc>
          <w:tcPr>
            <w:tcW w:w="702" w:type="pct"/>
            <w:vMerge w:val="continue"/>
            <w:tcBorders>
              <w:top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A060199 </w:t>
            </w:r>
            <w:r>
              <w:rPr>
                <w:rFonts w:hint="eastAsia"/>
                <w:color w:val="auto"/>
                <w:highlight w:val="none"/>
              </w:rPr>
              <w:t>其他床类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restart"/>
            <w:tcBorders>
              <w:bottom w:val="nil"/>
            </w:tcBorders>
          </w:tcPr>
          <w:p>
            <w:pPr>
              <w:spacing w:line="360" w:lineRule="auto"/>
              <w:jc w:val="center"/>
              <w:rPr>
                <w:color w:val="auto"/>
                <w:highlight w:val="none"/>
              </w:rPr>
            </w:pPr>
            <w:r>
              <w:rPr>
                <w:color w:val="auto"/>
                <w:highlight w:val="none"/>
              </w:rPr>
              <w:t>17</w:t>
            </w:r>
          </w:p>
        </w:tc>
        <w:tc>
          <w:tcPr>
            <w:tcW w:w="702" w:type="pct"/>
            <w:vMerge w:val="restart"/>
            <w:tcBorders>
              <w:bottom w:val="nil"/>
            </w:tcBorders>
          </w:tcPr>
          <w:p>
            <w:pPr>
              <w:spacing w:line="360" w:lineRule="auto"/>
              <w:jc w:val="center"/>
              <w:rPr>
                <w:color w:val="auto"/>
                <w:highlight w:val="none"/>
              </w:rPr>
            </w:pPr>
            <w:r>
              <w:rPr>
                <w:color w:val="auto"/>
                <w:highlight w:val="none"/>
              </w:rPr>
              <w:t xml:space="preserve">A0602 </w:t>
            </w:r>
            <w:r>
              <w:rPr>
                <w:rFonts w:hint="eastAsia"/>
                <w:color w:val="auto"/>
                <w:highlight w:val="none"/>
              </w:rPr>
              <w:t>台、桌类</w:t>
            </w:r>
          </w:p>
        </w:tc>
        <w:tc>
          <w:tcPr>
            <w:tcW w:w="1413" w:type="pct"/>
          </w:tcPr>
          <w:p>
            <w:pPr>
              <w:spacing w:line="360" w:lineRule="auto"/>
              <w:jc w:val="left"/>
              <w:rPr>
                <w:color w:val="auto"/>
                <w:highlight w:val="none"/>
              </w:rPr>
            </w:pPr>
            <w:r>
              <w:rPr>
                <w:color w:val="auto"/>
                <w:highlight w:val="none"/>
              </w:rPr>
              <w:t xml:space="preserve">A060201 </w:t>
            </w:r>
            <w:r>
              <w:rPr>
                <w:rFonts w:hint="eastAsia"/>
                <w:color w:val="auto"/>
                <w:highlight w:val="none"/>
              </w:rPr>
              <w:t>钢木台、桌类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421" w:type="pct"/>
            <w:vMerge w:val="continue"/>
            <w:tcBorders>
              <w:top w:val="nil"/>
              <w:bottom w:val="nil"/>
            </w:tcBorders>
          </w:tcPr>
          <w:p>
            <w:pPr>
              <w:spacing w:line="360" w:lineRule="auto"/>
              <w:jc w:val="center"/>
              <w:rPr>
                <w:color w:val="auto"/>
                <w:highlight w:val="none"/>
              </w:rPr>
            </w:pPr>
          </w:p>
        </w:tc>
        <w:tc>
          <w:tcPr>
            <w:tcW w:w="702" w:type="pct"/>
            <w:vMerge w:val="continue"/>
            <w:tcBorders>
              <w:top w:val="nil"/>
              <w:bottom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A060205 </w:t>
            </w:r>
            <w:r>
              <w:rPr>
                <w:rFonts w:hint="eastAsia"/>
                <w:color w:val="auto"/>
                <w:highlight w:val="none"/>
              </w:rPr>
              <w:t>木制台、桌类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vMerge w:val="continue"/>
            <w:tcBorders>
              <w:top w:val="nil"/>
            </w:tcBorders>
          </w:tcPr>
          <w:p>
            <w:pPr>
              <w:spacing w:line="360" w:lineRule="auto"/>
              <w:jc w:val="center"/>
              <w:rPr>
                <w:color w:val="auto"/>
                <w:highlight w:val="none"/>
              </w:rPr>
            </w:pPr>
          </w:p>
        </w:tc>
        <w:tc>
          <w:tcPr>
            <w:tcW w:w="702" w:type="pct"/>
            <w:vMerge w:val="continue"/>
            <w:tcBorders>
              <w:top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A060299 </w:t>
            </w:r>
            <w:r>
              <w:rPr>
                <w:rFonts w:hint="eastAsia"/>
                <w:color w:val="auto"/>
                <w:highlight w:val="none"/>
              </w:rPr>
              <w:t>其他台、桌类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restart"/>
            <w:tcBorders>
              <w:bottom w:val="nil"/>
            </w:tcBorders>
          </w:tcPr>
          <w:p>
            <w:pPr>
              <w:spacing w:line="360" w:lineRule="auto"/>
              <w:jc w:val="center"/>
              <w:rPr>
                <w:color w:val="auto"/>
                <w:highlight w:val="none"/>
              </w:rPr>
            </w:pPr>
            <w:r>
              <w:rPr>
                <w:color w:val="auto"/>
                <w:highlight w:val="none"/>
              </w:rPr>
              <w:t>18</w:t>
            </w:r>
          </w:p>
        </w:tc>
        <w:tc>
          <w:tcPr>
            <w:tcW w:w="702" w:type="pct"/>
            <w:vMerge w:val="restart"/>
            <w:tcBorders>
              <w:bottom w:val="nil"/>
            </w:tcBorders>
          </w:tcPr>
          <w:p>
            <w:pPr>
              <w:spacing w:line="360" w:lineRule="auto"/>
              <w:jc w:val="center"/>
              <w:rPr>
                <w:color w:val="auto"/>
                <w:highlight w:val="none"/>
              </w:rPr>
            </w:pPr>
            <w:r>
              <w:rPr>
                <w:color w:val="auto"/>
                <w:highlight w:val="none"/>
              </w:rPr>
              <w:t xml:space="preserve">A0603 </w:t>
            </w:r>
            <w:r>
              <w:rPr>
                <w:rFonts w:hint="eastAsia"/>
                <w:color w:val="auto"/>
                <w:highlight w:val="none"/>
              </w:rPr>
              <w:t>椅凳类</w:t>
            </w:r>
          </w:p>
        </w:tc>
        <w:tc>
          <w:tcPr>
            <w:tcW w:w="1413" w:type="pct"/>
          </w:tcPr>
          <w:p>
            <w:pPr>
              <w:spacing w:line="360" w:lineRule="auto"/>
              <w:jc w:val="left"/>
              <w:rPr>
                <w:color w:val="auto"/>
                <w:highlight w:val="none"/>
              </w:rPr>
            </w:pPr>
            <w:r>
              <w:rPr>
                <w:color w:val="auto"/>
                <w:highlight w:val="none"/>
              </w:rPr>
              <w:t xml:space="preserve">A060301 </w:t>
            </w:r>
            <w:r>
              <w:rPr>
                <w:rFonts w:hint="eastAsia"/>
                <w:color w:val="auto"/>
                <w:highlight w:val="none"/>
              </w:rPr>
              <w:t>金属骨架为主的椅凳类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421" w:type="pct"/>
            <w:vMerge w:val="continue"/>
            <w:tcBorders>
              <w:top w:val="nil"/>
              <w:bottom w:val="nil"/>
            </w:tcBorders>
          </w:tcPr>
          <w:p>
            <w:pPr>
              <w:spacing w:line="360" w:lineRule="auto"/>
              <w:jc w:val="center"/>
              <w:rPr>
                <w:color w:val="auto"/>
                <w:highlight w:val="none"/>
              </w:rPr>
            </w:pPr>
          </w:p>
        </w:tc>
        <w:tc>
          <w:tcPr>
            <w:tcW w:w="702" w:type="pct"/>
            <w:vMerge w:val="continue"/>
            <w:tcBorders>
              <w:top w:val="nil"/>
              <w:bottom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A060302 </w:t>
            </w:r>
            <w:r>
              <w:rPr>
                <w:rFonts w:hint="eastAsia"/>
                <w:color w:val="auto"/>
                <w:highlight w:val="none"/>
              </w:rPr>
              <w:t>木骨架为主的椅凳类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vMerge w:val="continue"/>
            <w:tcBorders>
              <w:top w:val="nil"/>
            </w:tcBorders>
          </w:tcPr>
          <w:p>
            <w:pPr>
              <w:spacing w:line="360" w:lineRule="auto"/>
              <w:jc w:val="center"/>
              <w:rPr>
                <w:color w:val="auto"/>
                <w:highlight w:val="none"/>
              </w:rPr>
            </w:pPr>
          </w:p>
        </w:tc>
        <w:tc>
          <w:tcPr>
            <w:tcW w:w="702" w:type="pct"/>
            <w:vMerge w:val="continue"/>
            <w:tcBorders>
              <w:top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A060399 </w:t>
            </w:r>
            <w:r>
              <w:rPr>
                <w:rFonts w:hint="eastAsia"/>
                <w:color w:val="auto"/>
                <w:highlight w:val="none"/>
              </w:rPr>
              <w:t>其他椅凳类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tcPr>
          <w:p>
            <w:pPr>
              <w:spacing w:line="360" w:lineRule="auto"/>
              <w:jc w:val="center"/>
              <w:rPr>
                <w:color w:val="auto"/>
                <w:highlight w:val="none"/>
              </w:rPr>
            </w:pPr>
            <w:r>
              <w:rPr>
                <w:color w:val="auto"/>
                <w:highlight w:val="none"/>
              </w:rPr>
              <w:t>19</w:t>
            </w:r>
          </w:p>
        </w:tc>
        <w:tc>
          <w:tcPr>
            <w:tcW w:w="702" w:type="pct"/>
          </w:tcPr>
          <w:p>
            <w:pPr>
              <w:spacing w:line="360" w:lineRule="auto"/>
              <w:jc w:val="center"/>
              <w:rPr>
                <w:color w:val="auto"/>
                <w:highlight w:val="none"/>
              </w:rPr>
            </w:pPr>
            <w:r>
              <w:rPr>
                <w:color w:val="auto"/>
                <w:highlight w:val="none"/>
              </w:rPr>
              <w:t xml:space="preserve">A0604 </w:t>
            </w:r>
            <w:r>
              <w:rPr>
                <w:rFonts w:hint="eastAsia"/>
                <w:color w:val="auto"/>
                <w:highlight w:val="none"/>
              </w:rPr>
              <w:t>沙发类</w:t>
            </w:r>
          </w:p>
        </w:tc>
        <w:tc>
          <w:tcPr>
            <w:tcW w:w="1413" w:type="pct"/>
          </w:tcPr>
          <w:p>
            <w:pPr>
              <w:spacing w:line="360" w:lineRule="auto"/>
              <w:jc w:val="left"/>
              <w:rPr>
                <w:color w:val="auto"/>
                <w:highlight w:val="none"/>
              </w:rPr>
            </w:pPr>
            <w:r>
              <w:rPr>
                <w:color w:val="auto"/>
                <w:highlight w:val="none"/>
              </w:rPr>
              <w:t xml:space="preserve">A060499 </w:t>
            </w:r>
            <w:r>
              <w:rPr>
                <w:rFonts w:hint="eastAsia"/>
                <w:color w:val="auto"/>
                <w:highlight w:val="none"/>
              </w:rPr>
              <w:t>其他沙发类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restart"/>
            <w:tcBorders>
              <w:bottom w:val="nil"/>
            </w:tcBorders>
          </w:tcPr>
          <w:p>
            <w:pPr>
              <w:spacing w:line="360" w:lineRule="auto"/>
              <w:jc w:val="center"/>
              <w:rPr>
                <w:color w:val="auto"/>
                <w:highlight w:val="none"/>
              </w:rPr>
            </w:pPr>
            <w:r>
              <w:rPr>
                <w:color w:val="auto"/>
                <w:highlight w:val="none"/>
              </w:rPr>
              <w:t>20</w:t>
            </w:r>
          </w:p>
        </w:tc>
        <w:tc>
          <w:tcPr>
            <w:tcW w:w="702" w:type="pct"/>
            <w:vMerge w:val="restart"/>
            <w:tcBorders>
              <w:bottom w:val="nil"/>
            </w:tcBorders>
          </w:tcPr>
          <w:p>
            <w:pPr>
              <w:spacing w:line="360" w:lineRule="auto"/>
              <w:jc w:val="center"/>
              <w:rPr>
                <w:color w:val="auto"/>
                <w:highlight w:val="none"/>
              </w:rPr>
            </w:pPr>
            <w:r>
              <w:rPr>
                <w:color w:val="auto"/>
                <w:highlight w:val="none"/>
              </w:rPr>
              <w:t xml:space="preserve">A0605 </w:t>
            </w:r>
            <w:r>
              <w:rPr>
                <w:rFonts w:hint="eastAsia"/>
                <w:color w:val="auto"/>
                <w:highlight w:val="none"/>
              </w:rPr>
              <w:t>柜类</w:t>
            </w:r>
          </w:p>
        </w:tc>
        <w:tc>
          <w:tcPr>
            <w:tcW w:w="1413" w:type="pct"/>
          </w:tcPr>
          <w:p>
            <w:pPr>
              <w:spacing w:line="360" w:lineRule="auto"/>
              <w:jc w:val="left"/>
              <w:rPr>
                <w:color w:val="auto"/>
                <w:highlight w:val="none"/>
              </w:rPr>
            </w:pPr>
            <w:r>
              <w:rPr>
                <w:color w:val="auto"/>
                <w:highlight w:val="none"/>
              </w:rPr>
              <w:t xml:space="preserve">A060501 </w:t>
            </w:r>
            <w:r>
              <w:rPr>
                <w:rFonts w:hint="eastAsia"/>
                <w:color w:val="auto"/>
                <w:highlight w:val="none"/>
              </w:rPr>
              <w:t>木质柜类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vMerge w:val="continue"/>
            <w:tcBorders>
              <w:top w:val="nil"/>
              <w:bottom w:val="nil"/>
            </w:tcBorders>
          </w:tcPr>
          <w:p>
            <w:pPr>
              <w:spacing w:line="360" w:lineRule="auto"/>
              <w:jc w:val="center"/>
              <w:rPr>
                <w:color w:val="auto"/>
                <w:highlight w:val="none"/>
              </w:rPr>
            </w:pPr>
          </w:p>
        </w:tc>
        <w:tc>
          <w:tcPr>
            <w:tcW w:w="702" w:type="pct"/>
            <w:vMerge w:val="continue"/>
            <w:tcBorders>
              <w:top w:val="nil"/>
              <w:bottom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A060503 </w:t>
            </w:r>
            <w:r>
              <w:rPr>
                <w:rFonts w:hint="eastAsia"/>
                <w:color w:val="auto"/>
                <w:highlight w:val="none"/>
              </w:rPr>
              <w:t>金属质柜类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tcBorders>
          </w:tcPr>
          <w:p>
            <w:pPr>
              <w:spacing w:line="360" w:lineRule="auto"/>
              <w:jc w:val="center"/>
              <w:rPr>
                <w:color w:val="auto"/>
                <w:highlight w:val="none"/>
              </w:rPr>
            </w:pPr>
          </w:p>
        </w:tc>
        <w:tc>
          <w:tcPr>
            <w:tcW w:w="702" w:type="pct"/>
            <w:vMerge w:val="continue"/>
            <w:tcBorders>
              <w:top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A060599 </w:t>
            </w:r>
            <w:r>
              <w:rPr>
                <w:rFonts w:hint="eastAsia"/>
                <w:color w:val="auto"/>
                <w:highlight w:val="none"/>
              </w:rPr>
              <w:t>其他柜类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restart"/>
            <w:tcBorders>
              <w:bottom w:val="nil"/>
            </w:tcBorders>
          </w:tcPr>
          <w:p>
            <w:pPr>
              <w:spacing w:line="360" w:lineRule="auto"/>
              <w:jc w:val="center"/>
              <w:rPr>
                <w:color w:val="auto"/>
                <w:highlight w:val="none"/>
              </w:rPr>
            </w:pPr>
            <w:r>
              <w:rPr>
                <w:color w:val="auto"/>
                <w:highlight w:val="none"/>
              </w:rPr>
              <w:t>21</w:t>
            </w:r>
          </w:p>
        </w:tc>
        <w:tc>
          <w:tcPr>
            <w:tcW w:w="702" w:type="pct"/>
            <w:vMerge w:val="restart"/>
            <w:tcBorders>
              <w:bottom w:val="nil"/>
            </w:tcBorders>
          </w:tcPr>
          <w:p>
            <w:pPr>
              <w:spacing w:line="360" w:lineRule="auto"/>
              <w:jc w:val="center"/>
              <w:rPr>
                <w:color w:val="auto"/>
                <w:highlight w:val="none"/>
              </w:rPr>
            </w:pPr>
            <w:r>
              <w:rPr>
                <w:color w:val="auto"/>
                <w:highlight w:val="none"/>
              </w:rPr>
              <w:t xml:space="preserve">A0606 </w:t>
            </w:r>
            <w:r>
              <w:rPr>
                <w:rFonts w:hint="eastAsia"/>
                <w:color w:val="auto"/>
                <w:highlight w:val="none"/>
              </w:rPr>
              <w:t>架类</w:t>
            </w:r>
          </w:p>
        </w:tc>
        <w:tc>
          <w:tcPr>
            <w:tcW w:w="1413" w:type="pct"/>
          </w:tcPr>
          <w:p>
            <w:pPr>
              <w:spacing w:line="360" w:lineRule="auto"/>
              <w:jc w:val="left"/>
              <w:rPr>
                <w:color w:val="auto"/>
                <w:highlight w:val="none"/>
              </w:rPr>
            </w:pPr>
            <w:r>
              <w:rPr>
                <w:color w:val="auto"/>
                <w:highlight w:val="none"/>
              </w:rPr>
              <w:t xml:space="preserve">A060601 </w:t>
            </w:r>
            <w:r>
              <w:rPr>
                <w:rFonts w:hint="eastAsia"/>
                <w:color w:val="auto"/>
                <w:highlight w:val="none"/>
              </w:rPr>
              <w:t>木质架类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vMerge w:val="continue"/>
            <w:tcBorders>
              <w:top w:val="nil"/>
            </w:tcBorders>
          </w:tcPr>
          <w:p>
            <w:pPr>
              <w:spacing w:line="360" w:lineRule="auto"/>
              <w:jc w:val="center"/>
              <w:rPr>
                <w:color w:val="auto"/>
                <w:highlight w:val="none"/>
              </w:rPr>
            </w:pPr>
          </w:p>
        </w:tc>
        <w:tc>
          <w:tcPr>
            <w:tcW w:w="702" w:type="pct"/>
            <w:vMerge w:val="continue"/>
            <w:tcBorders>
              <w:top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A060602 </w:t>
            </w:r>
            <w:r>
              <w:rPr>
                <w:rFonts w:hint="eastAsia"/>
                <w:color w:val="auto"/>
                <w:highlight w:val="none"/>
              </w:rPr>
              <w:t>金属质架类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restart"/>
            <w:tcBorders>
              <w:bottom w:val="nil"/>
            </w:tcBorders>
          </w:tcPr>
          <w:p>
            <w:pPr>
              <w:spacing w:line="360" w:lineRule="auto"/>
              <w:jc w:val="center"/>
              <w:rPr>
                <w:color w:val="auto"/>
                <w:highlight w:val="none"/>
              </w:rPr>
            </w:pPr>
            <w:r>
              <w:rPr>
                <w:color w:val="auto"/>
                <w:highlight w:val="none"/>
              </w:rPr>
              <w:t>22</w:t>
            </w:r>
          </w:p>
        </w:tc>
        <w:tc>
          <w:tcPr>
            <w:tcW w:w="702" w:type="pct"/>
            <w:vMerge w:val="restart"/>
            <w:tcBorders>
              <w:bottom w:val="nil"/>
            </w:tcBorders>
          </w:tcPr>
          <w:p>
            <w:pPr>
              <w:spacing w:line="360" w:lineRule="auto"/>
              <w:jc w:val="center"/>
              <w:rPr>
                <w:color w:val="auto"/>
                <w:highlight w:val="none"/>
              </w:rPr>
            </w:pPr>
            <w:r>
              <w:rPr>
                <w:color w:val="auto"/>
                <w:highlight w:val="none"/>
              </w:rPr>
              <w:t xml:space="preserve">A0607 </w:t>
            </w:r>
            <w:r>
              <w:rPr>
                <w:rFonts w:hint="eastAsia"/>
                <w:color w:val="auto"/>
                <w:highlight w:val="none"/>
              </w:rPr>
              <w:t>屏风类</w:t>
            </w:r>
          </w:p>
        </w:tc>
        <w:tc>
          <w:tcPr>
            <w:tcW w:w="1413" w:type="pct"/>
          </w:tcPr>
          <w:p>
            <w:pPr>
              <w:spacing w:line="360" w:lineRule="auto"/>
              <w:jc w:val="left"/>
              <w:rPr>
                <w:color w:val="auto"/>
                <w:highlight w:val="none"/>
              </w:rPr>
            </w:pPr>
            <w:r>
              <w:rPr>
                <w:color w:val="auto"/>
                <w:highlight w:val="none"/>
              </w:rPr>
              <w:t xml:space="preserve">A060701 </w:t>
            </w:r>
            <w:r>
              <w:rPr>
                <w:rFonts w:hint="eastAsia"/>
                <w:color w:val="auto"/>
                <w:highlight w:val="none"/>
              </w:rPr>
              <w:t>木质屏风类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tcBorders>
          </w:tcPr>
          <w:p>
            <w:pPr>
              <w:spacing w:line="360" w:lineRule="auto"/>
              <w:jc w:val="center"/>
              <w:rPr>
                <w:color w:val="auto"/>
                <w:highlight w:val="none"/>
              </w:rPr>
            </w:pPr>
          </w:p>
        </w:tc>
        <w:tc>
          <w:tcPr>
            <w:tcW w:w="702" w:type="pct"/>
            <w:vMerge w:val="continue"/>
            <w:tcBorders>
              <w:top w:val="nil"/>
            </w:tcBorders>
          </w:tcPr>
          <w:p>
            <w:pPr>
              <w:spacing w:line="360" w:lineRule="auto"/>
              <w:jc w:val="center"/>
              <w:rPr>
                <w:color w:val="auto"/>
                <w:highlight w:val="none"/>
              </w:rPr>
            </w:pPr>
          </w:p>
        </w:tc>
        <w:tc>
          <w:tcPr>
            <w:tcW w:w="1413" w:type="pct"/>
          </w:tcPr>
          <w:p>
            <w:pPr>
              <w:spacing w:line="360" w:lineRule="auto"/>
              <w:jc w:val="left"/>
              <w:rPr>
                <w:color w:val="auto"/>
                <w:highlight w:val="none"/>
              </w:rPr>
            </w:pPr>
            <w:r>
              <w:rPr>
                <w:color w:val="auto"/>
                <w:highlight w:val="none"/>
              </w:rPr>
              <w:t xml:space="preserve">A060702 </w:t>
            </w:r>
            <w:r>
              <w:rPr>
                <w:rFonts w:hint="eastAsia"/>
                <w:color w:val="auto"/>
                <w:highlight w:val="none"/>
              </w:rPr>
              <w:t>金属质屏风类</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tcPr>
          <w:p>
            <w:pPr>
              <w:spacing w:line="360" w:lineRule="auto"/>
              <w:jc w:val="center"/>
              <w:rPr>
                <w:color w:val="auto"/>
                <w:highlight w:val="none"/>
              </w:rPr>
            </w:pPr>
            <w:r>
              <w:rPr>
                <w:color w:val="auto"/>
                <w:highlight w:val="none"/>
              </w:rPr>
              <w:t>23</w:t>
            </w:r>
          </w:p>
        </w:tc>
        <w:tc>
          <w:tcPr>
            <w:tcW w:w="702" w:type="pct"/>
          </w:tcPr>
          <w:p>
            <w:pPr>
              <w:spacing w:line="360" w:lineRule="auto"/>
              <w:jc w:val="center"/>
              <w:rPr>
                <w:color w:val="auto"/>
                <w:highlight w:val="none"/>
              </w:rPr>
            </w:pPr>
            <w:r>
              <w:rPr>
                <w:color w:val="auto"/>
                <w:highlight w:val="none"/>
              </w:rPr>
              <w:t xml:space="preserve">A060804 </w:t>
            </w:r>
            <w:r>
              <w:rPr>
                <w:rFonts w:hint="eastAsia"/>
                <w:color w:val="auto"/>
                <w:highlight w:val="none"/>
              </w:rPr>
              <w:t>水池</w:t>
            </w:r>
          </w:p>
        </w:tc>
        <w:tc>
          <w:tcPr>
            <w:tcW w:w="1413" w:type="pct"/>
          </w:tcPr>
          <w:p>
            <w:pPr>
              <w:spacing w:line="360" w:lineRule="auto"/>
              <w:jc w:val="left"/>
              <w:rPr>
                <w:color w:val="auto"/>
                <w:highlight w:val="none"/>
              </w:rPr>
            </w:pP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HJ/T296 </w:t>
            </w:r>
            <w:r>
              <w:rPr>
                <w:rFonts w:hint="eastAsia"/>
                <w:color w:val="auto"/>
                <w:highlight w:val="none"/>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tcPr>
          <w:p>
            <w:pPr>
              <w:spacing w:line="360" w:lineRule="auto"/>
              <w:jc w:val="center"/>
              <w:rPr>
                <w:color w:val="auto"/>
                <w:highlight w:val="none"/>
              </w:rPr>
            </w:pPr>
            <w:r>
              <w:rPr>
                <w:color w:val="auto"/>
                <w:highlight w:val="none"/>
              </w:rPr>
              <w:t>24</w:t>
            </w:r>
          </w:p>
        </w:tc>
        <w:tc>
          <w:tcPr>
            <w:tcW w:w="702" w:type="pct"/>
          </w:tcPr>
          <w:p>
            <w:pPr>
              <w:spacing w:line="360" w:lineRule="auto"/>
              <w:jc w:val="center"/>
              <w:rPr>
                <w:color w:val="auto"/>
                <w:highlight w:val="none"/>
              </w:rPr>
            </w:pPr>
            <w:r>
              <w:rPr>
                <w:color w:val="auto"/>
                <w:highlight w:val="none"/>
              </w:rPr>
              <w:t xml:space="preserve">A060805 </w:t>
            </w:r>
            <w:r>
              <w:rPr>
                <w:rFonts w:hint="eastAsia"/>
                <w:color w:val="auto"/>
                <w:highlight w:val="none"/>
              </w:rPr>
              <w:t>便器</w:t>
            </w:r>
          </w:p>
        </w:tc>
        <w:tc>
          <w:tcPr>
            <w:tcW w:w="1413" w:type="pct"/>
          </w:tcPr>
          <w:p>
            <w:pPr>
              <w:spacing w:line="360" w:lineRule="auto"/>
              <w:jc w:val="left"/>
              <w:rPr>
                <w:color w:val="auto"/>
                <w:highlight w:val="none"/>
              </w:rPr>
            </w:pP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HJ/T296 </w:t>
            </w:r>
            <w:r>
              <w:rPr>
                <w:rFonts w:hint="eastAsia"/>
                <w:color w:val="auto"/>
                <w:highlight w:val="none"/>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tcPr>
          <w:p>
            <w:pPr>
              <w:spacing w:line="360" w:lineRule="auto"/>
              <w:jc w:val="center"/>
              <w:rPr>
                <w:color w:val="auto"/>
                <w:highlight w:val="none"/>
              </w:rPr>
            </w:pPr>
            <w:r>
              <w:rPr>
                <w:color w:val="auto"/>
                <w:highlight w:val="none"/>
              </w:rPr>
              <w:t>25</w:t>
            </w:r>
          </w:p>
        </w:tc>
        <w:tc>
          <w:tcPr>
            <w:tcW w:w="702" w:type="pct"/>
          </w:tcPr>
          <w:p>
            <w:pPr>
              <w:spacing w:line="360" w:lineRule="auto"/>
              <w:jc w:val="center"/>
              <w:rPr>
                <w:color w:val="auto"/>
                <w:highlight w:val="none"/>
              </w:rPr>
            </w:pPr>
            <w:r>
              <w:rPr>
                <w:color w:val="auto"/>
                <w:highlight w:val="none"/>
              </w:rPr>
              <w:t xml:space="preserve">A060806 </w:t>
            </w:r>
            <w:r>
              <w:rPr>
                <w:rFonts w:hint="eastAsia"/>
                <w:color w:val="auto"/>
                <w:highlight w:val="none"/>
              </w:rPr>
              <w:t>水嘴</w:t>
            </w:r>
          </w:p>
        </w:tc>
        <w:tc>
          <w:tcPr>
            <w:tcW w:w="1413" w:type="pct"/>
          </w:tcPr>
          <w:p>
            <w:pPr>
              <w:spacing w:line="360" w:lineRule="auto"/>
              <w:jc w:val="left"/>
              <w:rPr>
                <w:color w:val="auto"/>
                <w:highlight w:val="none"/>
              </w:rPr>
            </w:pP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HJ/T411 </w:t>
            </w:r>
            <w:r>
              <w:rPr>
                <w:rFonts w:hint="eastAsia"/>
                <w:color w:val="auto"/>
                <w:highlight w:val="none"/>
              </w:rPr>
              <w:t>水嘴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tcPr>
          <w:p>
            <w:pPr>
              <w:spacing w:line="360" w:lineRule="auto"/>
              <w:jc w:val="center"/>
              <w:rPr>
                <w:color w:val="auto"/>
                <w:highlight w:val="none"/>
              </w:rPr>
            </w:pPr>
            <w:r>
              <w:rPr>
                <w:color w:val="auto"/>
                <w:highlight w:val="none"/>
              </w:rPr>
              <w:t>26</w:t>
            </w:r>
          </w:p>
        </w:tc>
        <w:tc>
          <w:tcPr>
            <w:tcW w:w="702" w:type="pct"/>
          </w:tcPr>
          <w:p>
            <w:pPr>
              <w:spacing w:line="360" w:lineRule="auto"/>
              <w:jc w:val="center"/>
              <w:rPr>
                <w:color w:val="auto"/>
                <w:highlight w:val="none"/>
              </w:rPr>
            </w:pPr>
            <w:r>
              <w:rPr>
                <w:color w:val="auto"/>
                <w:highlight w:val="none"/>
              </w:rPr>
              <w:t xml:space="preserve">A0609 </w:t>
            </w:r>
            <w:r>
              <w:rPr>
                <w:rFonts w:hint="eastAsia"/>
                <w:color w:val="auto"/>
                <w:highlight w:val="none"/>
              </w:rPr>
              <w:t>组合家具</w:t>
            </w:r>
          </w:p>
        </w:tc>
        <w:tc>
          <w:tcPr>
            <w:tcW w:w="1413" w:type="pct"/>
          </w:tcPr>
          <w:p>
            <w:pPr>
              <w:spacing w:line="360" w:lineRule="auto"/>
              <w:jc w:val="left"/>
              <w:rPr>
                <w:color w:val="auto"/>
                <w:highlight w:val="none"/>
              </w:rPr>
            </w:pP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21" w:type="pct"/>
          </w:tcPr>
          <w:p>
            <w:pPr>
              <w:spacing w:line="360" w:lineRule="auto"/>
              <w:jc w:val="center"/>
              <w:rPr>
                <w:color w:val="auto"/>
                <w:highlight w:val="none"/>
              </w:rPr>
            </w:pPr>
            <w:r>
              <w:rPr>
                <w:color w:val="auto"/>
                <w:highlight w:val="none"/>
              </w:rPr>
              <w:t>27</w:t>
            </w:r>
          </w:p>
        </w:tc>
        <w:tc>
          <w:tcPr>
            <w:tcW w:w="702" w:type="pct"/>
          </w:tcPr>
          <w:p>
            <w:pPr>
              <w:spacing w:line="360" w:lineRule="auto"/>
              <w:jc w:val="center"/>
              <w:rPr>
                <w:color w:val="auto"/>
                <w:highlight w:val="none"/>
              </w:rPr>
            </w:pPr>
            <w:r>
              <w:rPr>
                <w:color w:val="auto"/>
                <w:highlight w:val="none"/>
              </w:rPr>
              <w:t xml:space="preserve">A0610 </w:t>
            </w:r>
            <w:r>
              <w:rPr>
                <w:rFonts w:hint="eastAsia"/>
                <w:color w:val="auto"/>
                <w:highlight w:val="none"/>
              </w:rPr>
              <w:t>家用家具</w:t>
            </w:r>
            <w:r>
              <w:rPr>
                <w:color w:val="auto"/>
                <w:highlight w:val="none"/>
              </w:rPr>
              <w:t xml:space="preserve"> </w:t>
            </w:r>
            <w:r>
              <w:rPr>
                <w:rFonts w:hint="eastAsia"/>
                <w:color w:val="auto"/>
                <w:highlight w:val="none"/>
              </w:rPr>
              <w:t>零配件</w:t>
            </w:r>
          </w:p>
        </w:tc>
        <w:tc>
          <w:tcPr>
            <w:tcW w:w="1413" w:type="pct"/>
          </w:tcPr>
          <w:p>
            <w:pPr>
              <w:spacing w:line="360" w:lineRule="auto"/>
              <w:jc w:val="left"/>
              <w:rPr>
                <w:color w:val="auto"/>
                <w:highlight w:val="none"/>
              </w:rPr>
            </w:pP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421" w:type="pct"/>
          </w:tcPr>
          <w:p>
            <w:pPr>
              <w:spacing w:line="360" w:lineRule="auto"/>
              <w:jc w:val="center"/>
              <w:rPr>
                <w:color w:val="auto"/>
                <w:highlight w:val="none"/>
              </w:rPr>
            </w:pPr>
            <w:r>
              <w:rPr>
                <w:color w:val="auto"/>
                <w:highlight w:val="none"/>
              </w:rPr>
              <w:t>28</w:t>
            </w:r>
          </w:p>
        </w:tc>
        <w:tc>
          <w:tcPr>
            <w:tcW w:w="702" w:type="pct"/>
          </w:tcPr>
          <w:p>
            <w:pPr>
              <w:spacing w:line="360" w:lineRule="auto"/>
              <w:jc w:val="center"/>
              <w:rPr>
                <w:color w:val="auto"/>
                <w:highlight w:val="none"/>
              </w:rPr>
            </w:pPr>
            <w:r>
              <w:rPr>
                <w:color w:val="auto"/>
                <w:highlight w:val="none"/>
              </w:rPr>
              <w:t xml:space="preserve">A0699 </w:t>
            </w:r>
            <w:r>
              <w:rPr>
                <w:rFonts w:hint="eastAsia"/>
                <w:color w:val="auto"/>
                <w:highlight w:val="none"/>
              </w:rPr>
              <w:t>其他家具</w:t>
            </w:r>
            <w:r>
              <w:rPr>
                <w:color w:val="auto"/>
                <w:highlight w:val="none"/>
              </w:rPr>
              <w:t xml:space="preserve"> </w:t>
            </w:r>
            <w:r>
              <w:rPr>
                <w:rFonts w:hint="eastAsia"/>
                <w:color w:val="auto"/>
                <w:highlight w:val="none"/>
              </w:rPr>
              <w:t>用具</w:t>
            </w:r>
          </w:p>
        </w:tc>
        <w:tc>
          <w:tcPr>
            <w:tcW w:w="1413" w:type="pct"/>
          </w:tcPr>
          <w:p>
            <w:pPr>
              <w:spacing w:line="360" w:lineRule="auto"/>
              <w:jc w:val="left"/>
              <w:rPr>
                <w:color w:val="auto"/>
                <w:highlight w:val="none"/>
              </w:rPr>
            </w:pP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HJ2547 </w:t>
            </w:r>
            <w:r>
              <w:rPr>
                <w:rFonts w:hint="eastAsia"/>
                <w:color w:val="auto"/>
                <w:highlight w:val="none"/>
              </w:rPr>
              <w:t>家具</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421" w:type="pct"/>
          </w:tcPr>
          <w:p>
            <w:pPr>
              <w:spacing w:line="360" w:lineRule="auto"/>
              <w:jc w:val="center"/>
              <w:rPr>
                <w:color w:val="auto"/>
                <w:highlight w:val="none"/>
              </w:rPr>
            </w:pPr>
            <w:r>
              <w:rPr>
                <w:color w:val="auto"/>
                <w:highlight w:val="none"/>
              </w:rPr>
              <w:t>29</w:t>
            </w:r>
          </w:p>
        </w:tc>
        <w:tc>
          <w:tcPr>
            <w:tcW w:w="702" w:type="pct"/>
          </w:tcPr>
          <w:p>
            <w:pPr>
              <w:spacing w:line="360" w:lineRule="auto"/>
              <w:jc w:val="center"/>
              <w:rPr>
                <w:color w:val="auto"/>
                <w:highlight w:val="none"/>
              </w:rPr>
            </w:pPr>
            <w:r>
              <w:rPr>
                <w:color w:val="auto"/>
                <w:highlight w:val="none"/>
              </w:rPr>
              <w:t xml:space="preserve">A070101 </w:t>
            </w:r>
            <w:r>
              <w:rPr>
                <w:rFonts w:hint="eastAsia"/>
                <w:color w:val="auto"/>
                <w:highlight w:val="none"/>
              </w:rPr>
              <w:t>棉、化纤</w:t>
            </w:r>
            <w:r>
              <w:rPr>
                <w:color w:val="auto"/>
                <w:highlight w:val="none"/>
              </w:rPr>
              <w:t xml:space="preserve"> </w:t>
            </w:r>
            <w:r>
              <w:rPr>
                <w:rFonts w:hint="eastAsia"/>
                <w:color w:val="auto"/>
                <w:highlight w:val="none"/>
              </w:rPr>
              <w:t>纺织及印染原料</w:t>
            </w:r>
          </w:p>
        </w:tc>
        <w:tc>
          <w:tcPr>
            <w:tcW w:w="1413" w:type="pct"/>
          </w:tcPr>
          <w:p>
            <w:pPr>
              <w:spacing w:line="360" w:lineRule="auto"/>
              <w:jc w:val="left"/>
              <w:rPr>
                <w:color w:val="auto"/>
                <w:highlight w:val="none"/>
              </w:rPr>
            </w:pP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HJ2546 </w:t>
            </w:r>
            <w:r>
              <w:rPr>
                <w:rFonts w:hint="eastAsia"/>
                <w:color w:val="auto"/>
                <w:highlight w:val="none"/>
              </w:rPr>
              <w:t>纺织产品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421" w:type="pct"/>
          </w:tcPr>
          <w:p>
            <w:pPr>
              <w:spacing w:line="360" w:lineRule="auto"/>
              <w:jc w:val="left"/>
              <w:rPr>
                <w:color w:val="auto"/>
                <w:highlight w:val="none"/>
              </w:rPr>
            </w:pPr>
            <w:r>
              <w:rPr>
                <w:color w:val="auto"/>
                <w:highlight w:val="none"/>
              </w:rPr>
              <w:t>30</w:t>
            </w:r>
          </w:p>
        </w:tc>
        <w:tc>
          <w:tcPr>
            <w:tcW w:w="702" w:type="pct"/>
          </w:tcPr>
          <w:p>
            <w:pPr>
              <w:spacing w:line="360" w:lineRule="auto"/>
              <w:jc w:val="left"/>
              <w:rPr>
                <w:color w:val="auto"/>
                <w:highlight w:val="none"/>
              </w:rPr>
            </w:pPr>
            <w:r>
              <w:rPr>
                <w:color w:val="auto"/>
                <w:highlight w:val="none"/>
              </w:rPr>
              <w:t xml:space="preserve">A090101 </w:t>
            </w:r>
            <w:r>
              <w:rPr>
                <w:rFonts w:hint="eastAsia"/>
                <w:color w:val="auto"/>
                <w:highlight w:val="none"/>
              </w:rPr>
              <w:t>复</w:t>
            </w:r>
            <w:r>
              <w:rPr>
                <w:color w:val="auto"/>
                <w:highlight w:val="none"/>
              </w:rPr>
              <w:t xml:space="preserve"> </w:t>
            </w:r>
            <w:r>
              <w:rPr>
                <w:rFonts w:hint="eastAsia"/>
                <w:color w:val="auto"/>
                <w:highlight w:val="none"/>
              </w:rPr>
              <w:t>印纸</w:t>
            </w:r>
            <w:r>
              <w:rPr>
                <w:color w:val="auto"/>
                <w:highlight w:val="none"/>
              </w:rPr>
              <w:t xml:space="preserve"> </w:t>
            </w:r>
            <w:r>
              <w:rPr>
                <w:rFonts w:hint="eastAsia"/>
                <w:color w:val="auto"/>
                <w:highlight w:val="none"/>
              </w:rPr>
              <w:t>（包括再生复印</w:t>
            </w:r>
            <w:r>
              <w:rPr>
                <w:color w:val="auto"/>
                <w:highlight w:val="none"/>
              </w:rPr>
              <w:t xml:space="preserve"> </w:t>
            </w:r>
            <w:r>
              <w:rPr>
                <w:rFonts w:hint="eastAsia"/>
                <w:color w:val="auto"/>
                <w:highlight w:val="none"/>
              </w:rPr>
              <w:t>纸）</w:t>
            </w:r>
          </w:p>
        </w:tc>
        <w:tc>
          <w:tcPr>
            <w:tcW w:w="1413" w:type="pct"/>
          </w:tcPr>
          <w:p>
            <w:pPr>
              <w:spacing w:line="360" w:lineRule="auto"/>
              <w:jc w:val="left"/>
              <w:rPr>
                <w:color w:val="auto"/>
                <w:highlight w:val="none"/>
              </w:rPr>
            </w:pP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HJ410 </w:t>
            </w:r>
            <w:r>
              <w:rPr>
                <w:rFonts w:hint="eastAsia"/>
                <w:color w:val="auto"/>
                <w:highlight w:val="none"/>
              </w:rPr>
              <w:t>文化用纸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421" w:type="pct"/>
          </w:tcPr>
          <w:p>
            <w:pPr>
              <w:spacing w:line="360" w:lineRule="auto"/>
              <w:jc w:val="left"/>
              <w:rPr>
                <w:color w:val="auto"/>
                <w:highlight w:val="none"/>
              </w:rPr>
            </w:pPr>
            <w:r>
              <w:rPr>
                <w:color w:val="auto"/>
                <w:highlight w:val="none"/>
              </w:rPr>
              <w:t>31</w:t>
            </w:r>
          </w:p>
        </w:tc>
        <w:tc>
          <w:tcPr>
            <w:tcW w:w="702" w:type="pct"/>
          </w:tcPr>
          <w:p>
            <w:pPr>
              <w:spacing w:line="360" w:lineRule="auto"/>
              <w:jc w:val="left"/>
              <w:rPr>
                <w:color w:val="auto"/>
                <w:highlight w:val="none"/>
              </w:rPr>
            </w:pPr>
            <w:r>
              <w:rPr>
                <w:color w:val="auto"/>
                <w:highlight w:val="none"/>
              </w:rPr>
              <w:t xml:space="preserve">A090201 </w:t>
            </w:r>
            <w:r>
              <w:rPr>
                <w:rFonts w:hint="eastAsia"/>
                <w:color w:val="auto"/>
                <w:highlight w:val="none"/>
              </w:rPr>
              <w:t>鼓粉盒</w:t>
            </w:r>
            <w:r>
              <w:rPr>
                <w:color w:val="auto"/>
                <w:highlight w:val="none"/>
              </w:rPr>
              <w:t xml:space="preserve"> </w:t>
            </w:r>
            <w:r>
              <w:rPr>
                <w:rFonts w:hint="eastAsia"/>
                <w:color w:val="auto"/>
                <w:highlight w:val="none"/>
              </w:rPr>
              <w:t>（包括再生鼓粉</w:t>
            </w:r>
            <w:r>
              <w:rPr>
                <w:color w:val="auto"/>
                <w:highlight w:val="none"/>
              </w:rPr>
              <w:t xml:space="preserve"> </w:t>
            </w:r>
            <w:r>
              <w:rPr>
                <w:rFonts w:hint="eastAsia"/>
                <w:color w:val="auto"/>
                <w:highlight w:val="none"/>
              </w:rPr>
              <w:t>盒）</w:t>
            </w:r>
          </w:p>
        </w:tc>
        <w:tc>
          <w:tcPr>
            <w:tcW w:w="1413" w:type="pct"/>
          </w:tcPr>
          <w:p>
            <w:pPr>
              <w:spacing w:line="360" w:lineRule="auto"/>
              <w:jc w:val="left"/>
              <w:rPr>
                <w:color w:val="auto"/>
                <w:highlight w:val="none"/>
              </w:rPr>
            </w:pP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HJ/T413 </w:t>
            </w:r>
            <w:r>
              <w:rPr>
                <w:rFonts w:hint="eastAsia"/>
                <w:color w:val="auto"/>
                <w:highlight w:val="none"/>
              </w:rPr>
              <w:t>再生鼓粉盒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421" w:type="pct"/>
            <w:vMerge w:val="restart"/>
            <w:tcBorders>
              <w:bottom w:val="nil"/>
            </w:tcBorders>
          </w:tcPr>
          <w:p>
            <w:pPr>
              <w:spacing w:line="360" w:lineRule="auto"/>
              <w:jc w:val="left"/>
              <w:rPr>
                <w:color w:val="auto"/>
                <w:highlight w:val="none"/>
              </w:rPr>
            </w:pPr>
            <w:r>
              <w:rPr>
                <w:color w:val="auto"/>
                <w:highlight w:val="none"/>
              </w:rPr>
              <w:t>32</w:t>
            </w:r>
          </w:p>
        </w:tc>
        <w:tc>
          <w:tcPr>
            <w:tcW w:w="702" w:type="pct"/>
            <w:vMerge w:val="restart"/>
            <w:tcBorders>
              <w:bottom w:val="nil"/>
            </w:tcBorders>
          </w:tcPr>
          <w:p>
            <w:pPr>
              <w:spacing w:line="360" w:lineRule="auto"/>
              <w:jc w:val="left"/>
              <w:rPr>
                <w:color w:val="auto"/>
                <w:highlight w:val="none"/>
              </w:rPr>
            </w:pPr>
            <w:r>
              <w:rPr>
                <w:color w:val="auto"/>
                <w:highlight w:val="none"/>
              </w:rPr>
              <w:t xml:space="preserve">A100203 </w:t>
            </w:r>
            <w:r>
              <w:rPr>
                <w:rFonts w:hint="eastAsia"/>
                <w:color w:val="auto"/>
                <w:highlight w:val="none"/>
              </w:rPr>
              <w:t>人造板</w:t>
            </w:r>
          </w:p>
        </w:tc>
        <w:tc>
          <w:tcPr>
            <w:tcW w:w="1413" w:type="pct"/>
          </w:tcPr>
          <w:p>
            <w:pPr>
              <w:spacing w:line="360" w:lineRule="auto"/>
              <w:jc w:val="left"/>
              <w:rPr>
                <w:color w:val="auto"/>
                <w:highlight w:val="none"/>
              </w:rPr>
            </w:pPr>
            <w:r>
              <w:rPr>
                <w:color w:val="auto"/>
                <w:highlight w:val="none"/>
              </w:rPr>
              <w:t xml:space="preserve">A10020301 </w:t>
            </w:r>
            <w:r>
              <w:rPr>
                <w:rFonts w:hint="eastAsia"/>
                <w:color w:val="auto"/>
                <w:highlight w:val="none"/>
              </w:rPr>
              <w:t>胶合板</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HJ571 </w:t>
            </w:r>
            <w:r>
              <w:rPr>
                <w:rFonts w:hint="eastAsia"/>
                <w:color w:val="auto"/>
                <w:highlight w:val="none"/>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bottom w:val="nil"/>
            </w:tcBorders>
          </w:tcPr>
          <w:p>
            <w:pPr>
              <w:spacing w:line="360" w:lineRule="auto"/>
              <w:jc w:val="left"/>
              <w:rPr>
                <w:color w:val="auto"/>
                <w:highlight w:val="none"/>
              </w:rPr>
            </w:pPr>
          </w:p>
        </w:tc>
        <w:tc>
          <w:tcPr>
            <w:tcW w:w="702" w:type="pct"/>
            <w:vMerge w:val="continue"/>
            <w:tcBorders>
              <w:top w:val="nil"/>
              <w:bottom w:val="nil"/>
            </w:tcBorders>
          </w:tcPr>
          <w:p>
            <w:pPr>
              <w:spacing w:line="360" w:lineRule="auto"/>
              <w:jc w:val="left"/>
              <w:rPr>
                <w:color w:val="auto"/>
                <w:highlight w:val="none"/>
              </w:rPr>
            </w:pPr>
          </w:p>
        </w:tc>
        <w:tc>
          <w:tcPr>
            <w:tcW w:w="1413" w:type="pct"/>
          </w:tcPr>
          <w:p>
            <w:pPr>
              <w:spacing w:line="360" w:lineRule="auto"/>
              <w:jc w:val="left"/>
              <w:rPr>
                <w:color w:val="auto"/>
                <w:highlight w:val="none"/>
              </w:rPr>
            </w:pPr>
            <w:r>
              <w:rPr>
                <w:color w:val="auto"/>
                <w:highlight w:val="none"/>
              </w:rPr>
              <w:t xml:space="preserve">A10020302 </w:t>
            </w:r>
            <w:r>
              <w:rPr>
                <w:rFonts w:hint="eastAsia"/>
                <w:color w:val="auto"/>
                <w:highlight w:val="none"/>
              </w:rPr>
              <w:t>纤维板</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HJ571 </w:t>
            </w:r>
            <w:r>
              <w:rPr>
                <w:rFonts w:hint="eastAsia"/>
                <w:color w:val="auto"/>
                <w:highlight w:val="none"/>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vMerge w:val="continue"/>
            <w:tcBorders>
              <w:top w:val="nil"/>
              <w:bottom w:val="nil"/>
            </w:tcBorders>
          </w:tcPr>
          <w:p>
            <w:pPr>
              <w:spacing w:line="360" w:lineRule="auto"/>
              <w:jc w:val="left"/>
              <w:rPr>
                <w:color w:val="auto"/>
                <w:highlight w:val="none"/>
              </w:rPr>
            </w:pPr>
          </w:p>
        </w:tc>
        <w:tc>
          <w:tcPr>
            <w:tcW w:w="702" w:type="pct"/>
            <w:vMerge w:val="continue"/>
            <w:tcBorders>
              <w:top w:val="nil"/>
              <w:bottom w:val="nil"/>
            </w:tcBorders>
          </w:tcPr>
          <w:p>
            <w:pPr>
              <w:spacing w:line="360" w:lineRule="auto"/>
              <w:jc w:val="left"/>
              <w:rPr>
                <w:color w:val="auto"/>
                <w:highlight w:val="none"/>
              </w:rPr>
            </w:pPr>
          </w:p>
        </w:tc>
        <w:tc>
          <w:tcPr>
            <w:tcW w:w="1413" w:type="pct"/>
          </w:tcPr>
          <w:p>
            <w:pPr>
              <w:spacing w:line="360" w:lineRule="auto"/>
              <w:jc w:val="left"/>
              <w:rPr>
                <w:color w:val="auto"/>
                <w:highlight w:val="none"/>
              </w:rPr>
            </w:pPr>
            <w:r>
              <w:rPr>
                <w:color w:val="auto"/>
                <w:highlight w:val="none"/>
              </w:rPr>
              <w:t xml:space="preserve">A10020303 </w:t>
            </w:r>
            <w:r>
              <w:rPr>
                <w:rFonts w:hint="eastAsia"/>
                <w:color w:val="auto"/>
                <w:highlight w:val="none"/>
              </w:rPr>
              <w:t>刨花板</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HJ571 </w:t>
            </w:r>
            <w:r>
              <w:rPr>
                <w:rFonts w:hint="eastAsia"/>
                <w:color w:val="auto"/>
                <w:highlight w:val="none"/>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bottom w:val="nil"/>
            </w:tcBorders>
          </w:tcPr>
          <w:p>
            <w:pPr>
              <w:spacing w:line="360" w:lineRule="auto"/>
              <w:jc w:val="left"/>
              <w:rPr>
                <w:color w:val="auto"/>
                <w:highlight w:val="none"/>
              </w:rPr>
            </w:pPr>
          </w:p>
        </w:tc>
        <w:tc>
          <w:tcPr>
            <w:tcW w:w="702" w:type="pct"/>
            <w:vMerge w:val="continue"/>
            <w:tcBorders>
              <w:top w:val="nil"/>
              <w:bottom w:val="nil"/>
            </w:tcBorders>
          </w:tcPr>
          <w:p>
            <w:pPr>
              <w:spacing w:line="360" w:lineRule="auto"/>
              <w:jc w:val="left"/>
              <w:rPr>
                <w:color w:val="auto"/>
                <w:highlight w:val="none"/>
              </w:rPr>
            </w:pPr>
          </w:p>
        </w:tc>
        <w:tc>
          <w:tcPr>
            <w:tcW w:w="1413" w:type="pct"/>
          </w:tcPr>
          <w:p>
            <w:pPr>
              <w:spacing w:line="360" w:lineRule="auto"/>
              <w:jc w:val="left"/>
              <w:rPr>
                <w:color w:val="auto"/>
                <w:highlight w:val="none"/>
              </w:rPr>
            </w:pPr>
            <w:r>
              <w:rPr>
                <w:color w:val="auto"/>
                <w:highlight w:val="none"/>
              </w:rPr>
              <w:t xml:space="preserve">A10020304 </w:t>
            </w:r>
            <w:r>
              <w:rPr>
                <w:rFonts w:hint="eastAsia"/>
                <w:color w:val="auto"/>
                <w:highlight w:val="none"/>
              </w:rPr>
              <w:t>细木工板</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HJ571 </w:t>
            </w:r>
            <w:r>
              <w:rPr>
                <w:rFonts w:hint="eastAsia"/>
                <w:color w:val="auto"/>
                <w:highlight w:val="none"/>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1" w:hRule="atLeast"/>
        </w:trPr>
        <w:tc>
          <w:tcPr>
            <w:tcW w:w="421" w:type="pct"/>
            <w:vMerge w:val="continue"/>
            <w:tcBorders>
              <w:top w:val="nil"/>
            </w:tcBorders>
          </w:tcPr>
          <w:p>
            <w:pPr>
              <w:spacing w:line="360" w:lineRule="auto"/>
              <w:jc w:val="left"/>
              <w:rPr>
                <w:color w:val="auto"/>
                <w:highlight w:val="none"/>
              </w:rPr>
            </w:pPr>
          </w:p>
        </w:tc>
        <w:tc>
          <w:tcPr>
            <w:tcW w:w="702" w:type="pct"/>
            <w:vMerge w:val="continue"/>
            <w:tcBorders>
              <w:top w:val="nil"/>
            </w:tcBorders>
          </w:tcPr>
          <w:p>
            <w:pPr>
              <w:spacing w:line="360" w:lineRule="auto"/>
              <w:jc w:val="left"/>
              <w:rPr>
                <w:color w:val="auto"/>
                <w:highlight w:val="none"/>
              </w:rPr>
            </w:pPr>
          </w:p>
        </w:tc>
        <w:tc>
          <w:tcPr>
            <w:tcW w:w="1413" w:type="pct"/>
          </w:tcPr>
          <w:p>
            <w:pPr>
              <w:spacing w:line="360" w:lineRule="auto"/>
              <w:jc w:val="left"/>
              <w:rPr>
                <w:color w:val="auto"/>
                <w:highlight w:val="none"/>
              </w:rPr>
            </w:pPr>
            <w:r>
              <w:rPr>
                <w:color w:val="auto"/>
                <w:highlight w:val="none"/>
              </w:rPr>
              <w:t xml:space="preserve">A10020399 </w:t>
            </w:r>
            <w:r>
              <w:rPr>
                <w:rFonts w:hint="eastAsia"/>
                <w:color w:val="auto"/>
                <w:highlight w:val="none"/>
              </w:rPr>
              <w:t>其他人造板</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HJ571 </w:t>
            </w:r>
            <w:r>
              <w:rPr>
                <w:rFonts w:hint="eastAsia"/>
                <w:color w:val="auto"/>
                <w:highlight w:val="none"/>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421" w:type="pct"/>
            <w:vMerge w:val="restart"/>
            <w:tcBorders>
              <w:bottom w:val="nil"/>
            </w:tcBorders>
          </w:tcPr>
          <w:p>
            <w:pPr>
              <w:spacing w:line="360" w:lineRule="auto"/>
              <w:jc w:val="left"/>
              <w:rPr>
                <w:color w:val="auto"/>
                <w:highlight w:val="none"/>
              </w:rPr>
            </w:pPr>
            <w:r>
              <w:rPr>
                <w:color w:val="auto"/>
                <w:highlight w:val="none"/>
              </w:rPr>
              <w:t>33</w:t>
            </w:r>
          </w:p>
        </w:tc>
        <w:tc>
          <w:tcPr>
            <w:tcW w:w="702" w:type="pct"/>
            <w:vMerge w:val="restart"/>
            <w:tcBorders>
              <w:bottom w:val="nil"/>
            </w:tcBorders>
          </w:tcPr>
          <w:p>
            <w:pPr>
              <w:spacing w:line="360" w:lineRule="auto"/>
              <w:jc w:val="left"/>
              <w:rPr>
                <w:color w:val="auto"/>
                <w:highlight w:val="none"/>
              </w:rPr>
            </w:pPr>
            <w:r>
              <w:rPr>
                <w:color w:val="auto"/>
                <w:highlight w:val="none"/>
              </w:rPr>
              <w:t xml:space="preserve">A100204 </w:t>
            </w:r>
            <w:r>
              <w:rPr>
                <w:rFonts w:hint="eastAsia"/>
                <w:color w:val="auto"/>
                <w:highlight w:val="none"/>
              </w:rPr>
              <w:t>二次加</w:t>
            </w:r>
            <w:r>
              <w:rPr>
                <w:color w:val="auto"/>
                <w:highlight w:val="none"/>
              </w:rPr>
              <w:t xml:space="preserve"> </w:t>
            </w:r>
            <w:r>
              <w:rPr>
                <w:rFonts w:hint="eastAsia"/>
                <w:color w:val="auto"/>
                <w:highlight w:val="none"/>
              </w:rPr>
              <w:t>工材，相关板材</w:t>
            </w:r>
          </w:p>
        </w:tc>
        <w:tc>
          <w:tcPr>
            <w:tcW w:w="1413" w:type="pct"/>
          </w:tcPr>
          <w:p>
            <w:pPr>
              <w:spacing w:line="360" w:lineRule="auto"/>
              <w:jc w:val="left"/>
              <w:rPr>
                <w:color w:val="auto"/>
                <w:highlight w:val="none"/>
              </w:rPr>
            </w:pPr>
            <w:r>
              <w:rPr>
                <w:color w:val="auto"/>
                <w:highlight w:val="none"/>
              </w:rPr>
              <w:t xml:space="preserve">A10020404 </w:t>
            </w:r>
            <w:r>
              <w:rPr>
                <w:rFonts w:hint="eastAsia"/>
                <w:color w:val="auto"/>
                <w:highlight w:val="none"/>
              </w:rPr>
              <w:t>人造板表面装饰板</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HJ571 </w:t>
            </w:r>
            <w:r>
              <w:rPr>
                <w:rFonts w:hint="eastAsia"/>
                <w:color w:val="auto"/>
                <w:highlight w:val="none"/>
              </w:rPr>
              <w:t>人造板及其制品</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421" w:type="pct"/>
            <w:vMerge w:val="continue"/>
            <w:tcBorders>
              <w:top w:val="nil"/>
            </w:tcBorders>
          </w:tcPr>
          <w:p>
            <w:pPr>
              <w:spacing w:line="360" w:lineRule="auto"/>
              <w:jc w:val="left"/>
              <w:rPr>
                <w:color w:val="auto"/>
                <w:highlight w:val="none"/>
              </w:rPr>
            </w:pPr>
          </w:p>
        </w:tc>
        <w:tc>
          <w:tcPr>
            <w:tcW w:w="702" w:type="pct"/>
            <w:vMerge w:val="continue"/>
            <w:tcBorders>
              <w:top w:val="nil"/>
            </w:tcBorders>
          </w:tcPr>
          <w:p>
            <w:pPr>
              <w:spacing w:line="360" w:lineRule="auto"/>
              <w:jc w:val="left"/>
              <w:rPr>
                <w:color w:val="auto"/>
                <w:highlight w:val="none"/>
              </w:rPr>
            </w:pPr>
          </w:p>
        </w:tc>
        <w:tc>
          <w:tcPr>
            <w:tcW w:w="1413" w:type="pct"/>
          </w:tcPr>
          <w:p>
            <w:pPr>
              <w:spacing w:line="360" w:lineRule="auto"/>
              <w:jc w:val="left"/>
              <w:rPr>
                <w:color w:val="auto"/>
                <w:highlight w:val="none"/>
              </w:rPr>
            </w:pPr>
            <w:r>
              <w:rPr>
                <w:color w:val="auto"/>
                <w:highlight w:val="none"/>
              </w:rPr>
              <w:t xml:space="preserve">A10020404 </w:t>
            </w:r>
            <w:r>
              <w:rPr>
                <w:rFonts w:hint="eastAsia"/>
                <w:color w:val="auto"/>
                <w:highlight w:val="none"/>
              </w:rPr>
              <w:t>人造板表面装饰板</w:t>
            </w:r>
            <w:r>
              <w:rPr>
                <w:color w:val="auto"/>
                <w:highlight w:val="none"/>
              </w:rPr>
              <w:t xml:space="preserve"> </w:t>
            </w:r>
            <w:r>
              <w:rPr>
                <w:rFonts w:hint="eastAsia"/>
                <w:color w:val="auto"/>
                <w:highlight w:val="none"/>
              </w:rPr>
              <w:t>（地板）</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HJ571 </w:t>
            </w:r>
            <w:r>
              <w:rPr>
                <w:rFonts w:hint="eastAsia"/>
                <w:color w:val="auto"/>
                <w:highlight w:val="none"/>
              </w:rPr>
              <w:t>人造板及其制品</w:t>
            </w:r>
            <w:r>
              <w:rPr>
                <w:color w:val="auto"/>
                <w:highlight w:val="none"/>
              </w:rPr>
              <w:t xml:space="preserve">/HJ2540 </w:t>
            </w:r>
            <w:r>
              <w:rPr>
                <w:rFonts w:hint="eastAsia"/>
                <w:color w:val="auto"/>
                <w:highlight w:val="none"/>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21" w:type="pct"/>
          </w:tcPr>
          <w:p>
            <w:pPr>
              <w:spacing w:line="360" w:lineRule="auto"/>
              <w:jc w:val="left"/>
              <w:rPr>
                <w:color w:val="auto"/>
                <w:highlight w:val="none"/>
              </w:rPr>
            </w:pPr>
            <w:r>
              <w:rPr>
                <w:color w:val="auto"/>
                <w:highlight w:val="none"/>
              </w:rPr>
              <w:t>34</w:t>
            </w:r>
          </w:p>
        </w:tc>
        <w:tc>
          <w:tcPr>
            <w:tcW w:w="702" w:type="pct"/>
          </w:tcPr>
          <w:p>
            <w:pPr>
              <w:spacing w:line="360" w:lineRule="auto"/>
              <w:jc w:val="left"/>
              <w:rPr>
                <w:color w:val="auto"/>
                <w:highlight w:val="none"/>
              </w:rPr>
            </w:pPr>
            <w:r>
              <w:rPr>
                <w:color w:val="auto"/>
                <w:highlight w:val="none"/>
              </w:rPr>
              <w:t xml:space="preserve">A100301 </w:t>
            </w:r>
            <w:r>
              <w:rPr>
                <w:rFonts w:hint="eastAsia"/>
                <w:color w:val="auto"/>
                <w:highlight w:val="none"/>
              </w:rPr>
              <w:t>水泥熟</w:t>
            </w:r>
            <w:r>
              <w:rPr>
                <w:color w:val="auto"/>
                <w:highlight w:val="none"/>
              </w:rPr>
              <w:t xml:space="preserve"> </w:t>
            </w:r>
            <w:r>
              <w:rPr>
                <w:rFonts w:hint="eastAsia"/>
                <w:color w:val="auto"/>
                <w:highlight w:val="none"/>
              </w:rPr>
              <w:t>料及水泥</w:t>
            </w:r>
          </w:p>
        </w:tc>
        <w:tc>
          <w:tcPr>
            <w:tcW w:w="1413" w:type="pct"/>
          </w:tcPr>
          <w:p>
            <w:pPr>
              <w:spacing w:line="360" w:lineRule="auto"/>
              <w:jc w:val="left"/>
              <w:rPr>
                <w:color w:val="auto"/>
                <w:highlight w:val="none"/>
              </w:rPr>
            </w:pPr>
            <w:r>
              <w:rPr>
                <w:color w:val="auto"/>
                <w:highlight w:val="none"/>
              </w:rPr>
              <w:t xml:space="preserve">A10030102 </w:t>
            </w:r>
            <w:r>
              <w:rPr>
                <w:rFonts w:hint="eastAsia"/>
                <w:color w:val="auto"/>
                <w:highlight w:val="none"/>
              </w:rPr>
              <w:t>水泥</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HJ2519 </w:t>
            </w:r>
            <w:r>
              <w:rPr>
                <w:rFonts w:hint="eastAsia"/>
                <w:color w:val="auto"/>
                <w:highlight w:val="none"/>
              </w:rPr>
              <w:t>水泥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21" w:type="pct"/>
          </w:tcPr>
          <w:p>
            <w:pPr>
              <w:spacing w:line="360" w:lineRule="auto"/>
              <w:jc w:val="left"/>
              <w:rPr>
                <w:color w:val="auto"/>
                <w:highlight w:val="none"/>
              </w:rPr>
            </w:pPr>
            <w:r>
              <w:rPr>
                <w:color w:val="auto"/>
                <w:highlight w:val="none"/>
              </w:rPr>
              <w:t>35</w:t>
            </w:r>
          </w:p>
        </w:tc>
        <w:tc>
          <w:tcPr>
            <w:tcW w:w="702" w:type="pct"/>
          </w:tcPr>
          <w:p>
            <w:pPr>
              <w:spacing w:line="360" w:lineRule="auto"/>
              <w:jc w:val="left"/>
              <w:rPr>
                <w:color w:val="auto"/>
                <w:highlight w:val="none"/>
              </w:rPr>
            </w:pPr>
            <w:r>
              <w:rPr>
                <w:color w:val="auto"/>
                <w:highlight w:val="none"/>
              </w:rPr>
              <w:t xml:space="preserve">A100303 </w:t>
            </w:r>
            <w:r>
              <w:rPr>
                <w:rFonts w:hint="eastAsia"/>
                <w:color w:val="auto"/>
                <w:highlight w:val="none"/>
              </w:rPr>
              <w:t>水泥混</w:t>
            </w:r>
            <w:r>
              <w:rPr>
                <w:color w:val="auto"/>
                <w:highlight w:val="none"/>
              </w:rPr>
              <w:t xml:space="preserve"> </w:t>
            </w:r>
            <w:r>
              <w:rPr>
                <w:rFonts w:hint="eastAsia"/>
                <w:color w:val="auto"/>
                <w:highlight w:val="none"/>
              </w:rPr>
              <w:t>凝土制品</w:t>
            </w:r>
          </w:p>
        </w:tc>
        <w:tc>
          <w:tcPr>
            <w:tcW w:w="1413" w:type="pct"/>
          </w:tcPr>
          <w:p>
            <w:pPr>
              <w:spacing w:line="360" w:lineRule="auto"/>
              <w:jc w:val="left"/>
              <w:rPr>
                <w:color w:val="auto"/>
                <w:highlight w:val="none"/>
              </w:rPr>
            </w:pPr>
            <w:r>
              <w:rPr>
                <w:color w:val="auto"/>
                <w:highlight w:val="none"/>
              </w:rPr>
              <w:t xml:space="preserve">A10030301 </w:t>
            </w:r>
            <w:r>
              <w:rPr>
                <w:rFonts w:hint="eastAsia"/>
                <w:color w:val="auto"/>
                <w:highlight w:val="none"/>
              </w:rPr>
              <w:t>商品混凝土</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HJ/T412 </w:t>
            </w:r>
            <w:r>
              <w:rPr>
                <w:rFonts w:hint="eastAsia"/>
                <w:color w:val="auto"/>
                <w:highlight w:val="none"/>
              </w:rPr>
              <w:t>预拌混凝土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restart"/>
            <w:tcBorders>
              <w:bottom w:val="nil"/>
            </w:tcBorders>
          </w:tcPr>
          <w:p>
            <w:pPr>
              <w:spacing w:line="360" w:lineRule="auto"/>
              <w:jc w:val="left"/>
              <w:rPr>
                <w:color w:val="auto"/>
                <w:highlight w:val="none"/>
              </w:rPr>
            </w:pPr>
            <w:r>
              <w:rPr>
                <w:color w:val="auto"/>
                <w:highlight w:val="none"/>
              </w:rPr>
              <w:t>36</w:t>
            </w:r>
          </w:p>
        </w:tc>
        <w:tc>
          <w:tcPr>
            <w:tcW w:w="702" w:type="pct"/>
            <w:vMerge w:val="restart"/>
            <w:tcBorders>
              <w:bottom w:val="nil"/>
            </w:tcBorders>
          </w:tcPr>
          <w:p>
            <w:pPr>
              <w:spacing w:line="360" w:lineRule="auto"/>
              <w:jc w:val="left"/>
              <w:rPr>
                <w:color w:val="auto"/>
                <w:highlight w:val="none"/>
              </w:rPr>
            </w:pPr>
            <w:r>
              <w:rPr>
                <w:color w:val="auto"/>
                <w:highlight w:val="none"/>
              </w:rPr>
              <w:t xml:space="preserve">A100304 </w:t>
            </w:r>
            <w:r>
              <w:rPr>
                <w:rFonts w:hint="eastAsia"/>
                <w:color w:val="auto"/>
                <w:highlight w:val="none"/>
              </w:rPr>
              <w:t>纤维增</w:t>
            </w:r>
            <w:r>
              <w:rPr>
                <w:color w:val="auto"/>
                <w:highlight w:val="none"/>
              </w:rPr>
              <w:t xml:space="preserve"> </w:t>
            </w:r>
            <w:r>
              <w:rPr>
                <w:rFonts w:hint="eastAsia"/>
                <w:color w:val="auto"/>
                <w:highlight w:val="none"/>
              </w:rPr>
              <w:t>强水泥制品</w:t>
            </w:r>
          </w:p>
        </w:tc>
        <w:tc>
          <w:tcPr>
            <w:tcW w:w="1413" w:type="pct"/>
          </w:tcPr>
          <w:p>
            <w:pPr>
              <w:spacing w:line="360" w:lineRule="auto"/>
              <w:jc w:val="left"/>
              <w:rPr>
                <w:color w:val="auto"/>
                <w:highlight w:val="none"/>
              </w:rPr>
            </w:pPr>
            <w:r>
              <w:rPr>
                <w:color w:val="auto"/>
                <w:highlight w:val="none"/>
              </w:rPr>
              <w:t xml:space="preserve">A10030402 </w:t>
            </w:r>
            <w:r>
              <w:rPr>
                <w:rFonts w:hint="eastAsia"/>
                <w:color w:val="auto"/>
                <w:highlight w:val="none"/>
              </w:rPr>
              <w:t>纤维增强硅酸钙板</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HJ/T223 </w:t>
            </w:r>
            <w:r>
              <w:rPr>
                <w:rFonts w:hint="eastAsia"/>
                <w:color w:val="auto"/>
                <w:highlight w:val="none"/>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vMerge w:val="continue"/>
            <w:tcBorders>
              <w:top w:val="nil"/>
            </w:tcBorders>
          </w:tcPr>
          <w:p>
            <w:pPr>
              <w:spacing w:line="360" w:lineRule="auto"/>
              <w:jc w:val="left"/>
              <w:rPr>
                <w:color w:val="auto"/>
                <w:highlight w:val="none"/>
              </w:rPr>
            </w:pPr>
          </w:p>
        </w:tc>
        <w:tc>
          <w:tcPr>
            <w:tcW w:w="702" w:type="pct"/>
            <w:vMerge w:val="continue"/>
            <w:tcBorders>
              <w:top w:val="nil"/>
            </w:tcBorders>
          </w:tcPr>
          <w:p>
            <w:pPr>
              <w:spacing w:line="360" w:lineRule="auto"/>
              <w:jc w:val="left"/>
              <w:rPr>
                <w:color w:val="auto"/>
                <w:highlight w:val="none"/>
              </w:rPr>
            </w:pPr>
          </w:p>
        </w:tc>
        <w:tc>
          <w:tcPr>
            <w:tcW w:w="1413" w:type="pct"/>
          </w:tcPr>
          <w:p>
            <w:pPr>
              <w:spacing w:line="360" w:lineRule="auto"/>
              <w:jc w:val="left"/>
              <w:rPr>
                <w:color w:val="auto"/>
                <w:highlight w:val="none"/>
              </w:rPr>
            </w:pPr>
            <w:r>
              <w:rPr>
                <w:color w:val="auto"/>
                <w:highlight w:val="none"/>
              </w:rPr>
              <w:t xml:space="preserve">A10030403 </w:t>
            </w:r>
            <w:r>
              <w:rPr>
                <w:rFonts w:hint="eastAsia"/>
                <w:color w:val="auto"/>
                <w:highlight w:val="none"/>
              </w:rPr>
              <w:t>无石棉纤维水泥制品</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HJ/T223 </w:t>
            </w:r>
            <w:r>
              <w:rPr>
                <w:rFonts w:hint="eastAsia"/>
                <w:color w:val="auto"/>
                <w:highlight w:val="none"/>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restart"/>
            <w:tcBorders>
              <w:bottom w:val="nil"/>
            </w:tcBorders>
          </w:tcPr>
          <w:p>
            <w:pPr>
              <w:spacing w:line="360" w:lineRule="auto"/>
              <w:jc w:val="left"/>
              <w:rPr>
                <w:color w:val="auto"/>
                <w:highlight w:val="none"/>
              </w:rPr>
            </w:pPr>
            <w:r>
              <w:rPr>
                <w:color w:val="auto"/>
                <w:highlight w:val="none"/>
              </w:rPr>
              <w:t>37</w:t>
            </w:r>
          </w:p>
        </w:tc>
        <w:tc>
          <w:tcPr>
            <w:tcW w:w="702" w:type="pct"/>
            <w:vMerge w:val="restart"/>
            <w:tcBorders>
              <w:bottom w:val="nil"/>
            </w:tcBorders>
          </w:tcPr>
          <w:p>
            <w:pPr>
              <w:spacing w:line="360" w:lineRule="auto"/>
              <w:jc w:val="left"/>
              <w:rPr>
                <w:color w:val="auto"/>
                <w:highlight w:val="none"/>
              </w:rPr>
            </w:pPr>
            <w:r>
              <w:rPr>
                <w:color w:val="auto"/>
                <w:highlight w:val="none"/>
              </w:rPr>
              <w:t xml:space="preserve">A100305 </w:t>
            </w:r>
            <w:r>
              <w:rPr>
                <w:rFonts w:hint="eastAsia"/>
                <w:color w:val="auto"/>
                <w:highlight w:val="none"/>
              </w:rPr>
              <w:t>轻质建</w:t>
            </w:r>
            <w:r>
              <w:rPr>
                <w:color w:val="auto"/>
                <w:highlight w:val="none"/>
              </w:rPr>
              <w:t xml:space="preserve"> </w:t>
            </w:r>
            <w:r>
              <w:rPr>
                <w:rFonts w:hint="eastAsia"/>
                <w:color w:val="auto"/>
                <w:highlight w:val="none"/>
              </w:rPr>
              <w:t>筑材料及制品</w:t>
            </w:r>
          </w:p>
        </w:tc>
        <w:tc>
          <w:tcPr>
            <w:tcW w:w="1413" w:type="pct"/>
          </w:tcPr>
          <w:p>
            <w:pPr>
              <w:spacing w:line="360" w:lineRule="auto"/>
              <w:jc w:val="left"/>
              <w:rPr>
                <w:color w:val="auto"/>
                <w:highlight w:val="none"/>
              </w:rPr>
            </w:pPr>
            <w:r>
              <w:rPr>
                <w:color w:val="auto"/>
                <w:highlight w:val="none"/>
              </w:rPr>
              <w:t xml:space="preserve">A10030501 </w:t>
            </w:r>
            <w:r>
              <w:rPr>
                <w:rFonts w:hint="eastAsia"/>
                <w:color w:val="auto"/>
                <w:highlight w:val="none"/>
              </w:rPr>
              <w:t>石膏板</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HJ/T223 </w:t>
            </w:r>
            <w:r>
              <w:rPr>
                <w:rFonts w:hint="eastAsia"/>
                <w:color w:val="auto"/>
                <w:highlight w:val="none"/>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421" w:type="pct"/>
            <w:vMerge w:val="continue"/>
            <w:tcBorders>
              <w:top w:val="nil"/>
            </w:tcBorders>
          </w:tcPr>
          <w:p>
            <w:pPr>
              <w:spacing w:line="360" w:lineRule="auto"/>
              <w:jc w:val="left"/>
              <w:rPr>
                <w:color w:val="auto"/>
                <w:highlight w:val="none"/>
              </w:rPr>
            </w:pPr>
          </w:p>
        </w:tc>
        <w:tc>
          <w:tcPr>
            <w:tcW w:w="702" w:type="pct"/>
            <w:vMerge w:val="continue"/>
            <w:tcBorders>
              <w:top w:val="nil"/>
            </w:tcBorders>
          </w:tcPr>
          <w:p>
            <w:pPr>
              <w:spacing w:line="360" w:lineRule="auto"/>
              <w:jc w:val="left"/>
              <w:rPr>
                <w:color w:val="auto"/>
                <w:highlight w:val="none"/>
              </w:rPr>
            </w:pPr>
          </w:p>
        </w:tc>
        <w:tc>
          <w:tcPr>
            <w:tcW w:w="1413" w:type="pct"/>
          </w:tcPr>
          <w:p>
            <w:pPr>
              <w:spacing w:line="360" w:lineRule="auto"/>
              <w:jc w:val="left"/>
              <w:rPr>
                <w:color w:val="auto"/>
                <w:highlight w:val="none"/>
              </w:rPr>
            </w:pPr>
            <w:r>
              <w:rPr>
                <w:color w:val="auto"/>
                <w:highlight w:val="none"/>
              </w:rPr>
              <w:t xml:space="preserve">A10030503 </w:t>
            </w:r>
            <w:r>
              <w:rPr>
                <w:rFonts w:hint="eastAsia"/>
                <w:color w:val="auto"/>
                <w:highlight w:val="none"/>
              </w:rPr>
              <w:t>轻质隔墙条板</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HJ/T223 </w:t>
            </w:r>
            <w:r>
              <w:rPr>
                <w:rFonts w:hint="eastAsia"/>
                <w:color w:val="auto"/>
                <w:highlight w:val="none"/>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restart"/>
            <w:tcBorders>
              <w:bottom w:val="nil"/>
            </w:tcBorders>
          </w:tcPr>
          <w:p>
            <w:pPr>
              <w:spacing w:line="360" w:lineRule="auto"/>
              <w:jc w:val="left"/>
              <w:rPr>
                <w:color w:val="auto"/>
                <w:highlight w:val="none"/>
              </w:rPr>
            </w:pPr>
            <w:r>
              <w:rPr>
                <w:color w:val="auto"/>
                <w:highlight w:val="none"/>
              </w:rPr>
              <w:t>38</w:t>
            </w:r>
          </w:p>
        </w:tc>
        <w:tc>
          <w:tcPr>
            <w:tcW w:w="702" w:type="pct"/>
            <w:vMerge w:val="restart"/>
            <w:tcBorders>
              <w:bottom w:val="nil"/>
            </w:tcBorders>
          </w:tcPr>
          <w:p>
            <w:pPr>
              <w:spacing w:line="360" w:lineRule="auto"/>
              <w:jc w:val="left"/>
              <w:rPr>
                <w:color w:val="auto"/>
                <w:highlight w:val="none"/>
              </w:rPr>
            </w:pPr>
            <w:r>
              <w:rPr>
                <w:color w:val="auto"/>
                <w:highlight w:val="none"/>
              </w:rPr>
              <w:t xml:space="preserve">A100307 </w:t>
            </w:r>
            <w:r>
              <w:rPr>
                <w:rFonts w:hint="eastAsia"/>
                <w:color w:val="auto"/>
                <w:highlight w:val="none"/>
              </w:rPr>
              <w:t>建筑</w:t>
            </w:r>
            <w:r>
              <w:rPr>
                <w:color w:val="auto"/>
                <w:highlight w:val="none"/>
              </w:rPr>
              <w:t xml:space="preserve"> </w:t>
            </w:r>
            <w:r>
              <w:rPr>
                <w:rFonts w:hint="eastAsia"/>
                <w:color w:val="auto"/>
                <w:highlight w:val="none"/>
              </w:rPr>
              <w:t>陶</w:t>
            </w:r>
            <w:r>
              <w:rPr>
                <w:color w:val="auto"/>
                <w:highlight w:val="none"/>
              </w:rPr>
              <w:t xml:space="preserve"> </w:t>
            </w:r>
            <w:r>
              <w:rPr>
                <w:rFonts w:hint="eastAsia"/>
                <w:color w:val="auto"/>
                <w:highlight w:val="none"/>
              </w:rPr>
              <w:t>瓷制品</w:t>
            </w:r>
          </w:p>
        </w:tc>
        <w:tc>
          <w:tcPr>
            <w:tcW w:w="1413" w:type="pct"/>
          </w:tcPr>
          <w:p>
            <w:pPr>
              <w:spacing w:line="360" w:lineRule="auto"/>
              <w:jc w:val="left"/>
              <w:rPr>
                <w:color w:val="auto"/>
                <w:highlight w:val="none"/>
              </w:rPr>
            </w:pPr>
            <w:r>
              <w:rPr>
                <w:color w:val="auto"/>
                <w:highlight w:val="none"/>
              </w:rPr>
              <w:t xml:space="preserve">A10030701 </w:t>
            </w:r>
            <w:r>
              <w:rPr>
                <w:rFonts w:hint="eastAsia"/>
                <w:color w:val="auto"/>
                <w:highlight w:val="none"/>
              </w:rPr>
              <w:t>瓷质砖</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HJ/T297 </w:t>
            </w:r>
            <w:r>
              <w:rPr>
                <w:rFonts w:hint="eastAsia"/>
                <w:color w:val="auto"/>
                <w:highlight w:val="none"/>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bottom w:val="nil"/>
            </w:tcBorders>
          </w:tcPr>
          <w:p>
            <w:pPr>
              <w:spacing w:line="360" w:lineRule="auto"/>
              <w:jc w:val="left"/>
              <w:rPr>
                <w:color w:val="auto"/>
                <w:highlight w:val="none"/>
              </w:rPr>
            </w:pPr>
          </w:p>
        </w:tc>
        <w:tc>
          <w:tcPr>
            <w:tcW w:w="702" w:type="pct"/>
            <w:vMerge w:val="continue"/>
            <w:tcBorders>
              <w:top w:val="nil"/>
              <w:bottom w:val="nil"/>
            </w:tcBorders>
          </w:tcPr>
          <w:p>
            <w:pPr>
              <w:spacing w:line="360" w:lineRule="auto"/>
              <w:jc w:val="left"/>
              <w:rPr>
                <w:color w:val="auto"/>
                <w:highlight w:val="none"/>
              </w:rPr>
            </w:pPr>
          </w:p>
        </w:tc>
        <w:tc>
          <w:tcPr>
            <w:tcW w:w="1413" w:type="pct"/>
          </w:tcPr>
          <w:p>
            <w:pPr>
              <w:spacing w:line="360" w:lineRule="auto"/>
              <w:jc w:val="left"/>
              <w:rPr>
                <w:color w:val="auto"/>
                <w:highlight w:val="none"/>
              </w:rPr>
            </w:pPr>
            <w:r>
              <w:rPr>
                <w:color w:val="auto"/>
                <w:highlight w:val="none"/>
              </w:rPr>
              <w:t xml:space="preserve">A10030704 </w:t>
            </w:r>
            <w:r>
              <w:rPr>
                <w:rFonts w:hint="eastAsia"/>
                <w:color w:val="auto"/>
                <w:highlight w:val="none"/>
              </w:rPr>
              <w:t>炻质砖</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HJ/T297 </w:t>
            </w:r>
            <w:r>
              <w:rPr>
                <w:rFonts w:hint="eastAsia"/>
                <w:color w:val="auto"/>
                <w:highlight w:val="none"/>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1" w:type="pct"/>
            <w:vMerge w:val="continue"/>
            <w:tcBorders>
              <w:top w:val="nil"/>
              <w:bottom w:val="nil"/>
            </w:tcBorders>
          </w:tcPr>
          <w:p>
            <w:pPr>
              <w:spacing w:line="360" w:lineRule="auto"/>
              <w:jc w:val="left"/>
              <w:rPr>
                <w:color w:val="auto"/>
                <w:highlight w:val="none"/>
              </w:rPr>
            </w:pPr>
          </w:p>
        </w:tc>
        <w:tc>
          <w:tcPr>
            <w:tcW w:w="702" w:type="pct"/>
            <w:vMerge w:val="continue"/>
            <w:tcBorders>
              <w:top w:val="nil"/>
              <w:bottom w:val="nil"/>
            </w:tcBorders>
          </w:tcPr>
          <w:p>
            <w:pPr>
              <w:spacing w:line="360" w:lineRule="auto"/>
              <w:jc w:val="left"/>
              <w:rPr>
                <w:color w:val="auto"/>
                <w:highlight w:val="none"/>
              </w:rPr>
            </w:pPr>
          </w:p>
        </w:tc>
        <w:tc>
          <w:tcPr>
            <w:tcW w:w="1413" w:type="pct"/>
          </w:tcPr>
          <w:p>
            <w:pPr>
              <w:spacing w:line="360" w:lineRule="auto"/>
              <w:jc w:val="left"/>
              <w:rPr>
                <w:color w:val="auto"/>
                <w:highlight w:val="none"/>
              </w:rPr>
            </w:pPr>
            <w:r>
              <w:rPr>
                <w:color w:val="auto"/>
                <w:highlight w:val="none"/>
              </w:rPr>
              <w:t xml:space="preserve">A10030705 </w:t>
            </w:r>
            <w:r>
              <w:rPr>
                <w:rFonts w:hint="eastAsia"/>
                <w:color w:val="auto"/>
                <w:highlight w:val="none"/>
              </w:rPr>
              <w:t>陶质砖</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HJ/T297 </w:t>
            </w:r>
            <w:r>
              <w:rPr>
                <w:rFonts w:hint="eastAsia"/>
                <w:color w:val="auto"/>
                <w:highlight w:val="none"/>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tcBorders>
          </w:tcPr>
          <w:p>
            <w:pPr>
              <w:spacing w:line="360" w:lineRule="auto"/>
              <w:jc w:val="left"/>
              <w:rPr>
                <w:color w:val="auto"/>
                <w:highlight w:val="none"/>
              </w:rPr>
            </w:pPr>
          </w:p>
        </w:tc>
        <w:tc>
          <w:tcPr>
            <w:tcW w:w="702" w:type="pct"/>
            <w:vMerge w:val="continue"/>
            <w:tcBorders>
              <w:top w:val="nil"/>
            </w:tcBorders>
          </w:tcPr>
          <w:p>
            <w:pPr>
              <w:spacing w:line="360" w:lineRule="auto"/>
              <w:jc w:val="left"/>
              <w:rPr>
                <w:color w:val="auto"/>
                <w:highlight w:val="none"/>
              </w:rPr>
            </w:pPr>
          </w:p>
        </w:tc>
        <w:tc>
          <w:tcPr>
            <w:tcW w:w="1413" w:type="pct"/>
          </w:tcPr>
          <w:p>
            <w:pPr>
              <w:spacing w:line="360" w:lineRule="auto"/>
              <w:jc w:val="left"/>
              <w:rPr>
                <w:color w:val="auto"/>
                <w:highlight w:val="none"/>
              </w:rPr>
            </w:pPr>
            <w:r>
              <w:rPr>
                <w:color w:val="auto"/>
                <w:highlight w:val="none"/>
              </w:rPr>
              <w:t xml:space="preserve">A10030799 </w:t>
            </w:r>
            <w:r>
              <w:rPr>
                <w:rFonts w:hint="eastAsia"/>
                <w:color w:val="auto"/>
                <w:highlight w:val="none"/>
              </w:rPr>
              <w:t>其他建筑陶瓷制品</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HJ/T297 </w:t>
            </w:r>
            <w:r>
              <w:rPr>
                <w:rFonts w:hint="eastAsia"/>
                <w:color w:val="auto"/>
                <w:highlight w:val="none"/>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21" w:type="pct"/>
            <w:vMerge w:val="restart"/>
            <w:tcBorders>
              <w:bottom w:val="nil"/>
            </w:tcBorders>
          </w:tcPr>
          <w:p>
            <w:pPr>
              <w:spacing w:line="360" w:lineRule="auto"/>
              <w:jc w:val="left"/>
              <w:rPr>
                <w:color w:val="auto"/>
                <w:highlight w:val="none"/>
              </w:rPr>
            </w:pPr>
            <w:r>
              <w:rPr>
                <w:color w:val="auto"/>
                <w:highlight w:val="none"/>
              </w:rPr>
              <w:t>39</w:t>
            </w:r>
          </w:p>
        </w:tc>
        <w:tc>
          <w:tcPr>
            <w:tcW w:w="702" w:type="pct"/>
            <w:vMerge w:val="restart"/>
            <w:tcBorders>
              <w:bottom w:val="nil"/>
            </w:tcBorders>
          </w:tcPr>
          <w:p>
            <w:pPr>
              <w:spacing w:line="360" w:lineRule="auto"/>
              <w:jc w:val="left"/>
              <w:rPr>
                <w:color w:val="auto"/>
                <w:highlight w:val="none"/>
              </w:rPr>
            </w:pPr>
            <w:r>
              <w:rPr>
                <w:color w:val="auto"/>
                <w:highlight w:val="none"/>
              </w:rPr>
              <w:t xml:space="preserve">A100309 </w:t>
            </w:r>
            <w:r>
              <w:rPr>
                <w:rFonts w:hint="eastAsia"/>
                <w:color w:val="auto"/>
                <w:highlight w:val="none"/>
              </w:rPr>
              <w:t>建筑</w:t>
            </w:r>
            <w:r>
              <w:rPr>
                <w:color w:val="auto"/>
                <w:highlight w:val="none"/>
              </w:rPr>
              <w:t xml:space="preserve"> </w:t>
            </w:r>
            <w:r>
              <w:rPr>
                <w:rFonts w:hint="eastAsia"/>
                <w:color w:val="auto"/>
                <w:highlight w:val="none"/>
              </w:rPr>
              <w:t>防</w:t>
            </w:r>
            <w:r>
              <w:rPr>
                <w:color w:val="auto"/>
                <w:highlight w:val="none"/>
              </w:rPr>
              <w:t xml:space="preserve"> </w:t>
            </w:r>
            <w:r>
              <w:rPr>
                <w:rFonts w:hint="eastAsia"/>
                <w:color w:val="auto"/>
                <w:highlight w:val="none"/>
              </w:rPr>
              <w:t>水卷材及制品</w:t>
            </w:r>
          </w:p>
        </w:tc>
        <w:tc>
          <w:tcPr>
            <w:tcW w:w="1413" w:type="pct"/>
          </w:tcPr>
          <w:p>
            <w:pPr>
              <w:spacing w:line="360" w:lineRule="auto"/>
              <w:jc w:val="left"/>
              <w:rPr>
                <w:color w:val="auto"/>
                <w:highlight w:val="none"/>
              </w:rPr>
            </w:pPr>
            <w:r>
              <w:rPr>
                <w:color w:val="auto"/>
                <w:highlight w:val="none"/>
              </w:rPr>
              <w:t>A10030901</w:t>
            </w:r>
            <w:r>
              <w:rPr>
                <w:rFonts w:hint="eastAsia"/>
                <w:color w:val="auto"/>
                <w:highlight w:val="none"/>
              </w:rPr>
              <w:t>沥青和改性沥青防水</w:t>
            </w:r>
            <w:r>
              <w:rPr>
                <w:color w:val="auto"/>
                <w:highlight w:val="none"/>
              </w:rPr>
              <w:t xml:space="preserve"> </w:t>
            </w:r>
            <w:r>
              <w:rPr>
                <w:rFonts w:hint="eastAsia"/>
                <w:color w:val="auto"/>
                <w:highlight w:val="none"/>
              </w:rPr>
              <w:t>卷材</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HJ455 </w:t>
            </w:r>
            <w:r>
              <w:rPr>
                <w:rFonts w:hint="eastAsia"/>
                <w:color w:val="auto"/>
                <w:highlight w:val="none"/>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bottom w:val="nil"/>
            </w:tcBorders>
          </w:tcPr>
          <w:p>
            <w:pPr>
              <w:spacing w:line="360" w:lineRule="auto"/>
              <w:jc w:val="left"/>
              <w:rPr>
                <w:color w:val="auto"/>
                <w:highlight w:val="none"/>
              </w:rPr>
            </w:pPr>
          </w:p>
        </w:tc>
        <w:tc>
          <w:tcPr>
            <w:tcW w:w="702" w:type="pct"/>
            <w:vMerge w:val="continue"/>
            <w:tcBorders>
              <w:top w:val="nil"/>
              <w:bottom w:val="nil"/>
            </w:tcBorders>
          </w:tcPr>
          <w:p>
            <w:pPr>
              <w:spacing w:line="360" w:lineRule="auto"/>
              <w:jc w:val="left"/>
              <w:rPr>
                <w:color w:val="auto"/>
                <w:highlight w:val="none"/>
              </w:rPr>
            </w:pPr>
          </w:p>
        </w:tc>
        <w:tc>
          <w:tcPr>
            <w:tcW w:w="1413" w:type="pct"/>
          </w:tcPr>
          <w:p>
            <w:pPr>
              <w:spacing w:line="360" w:lineRule="auto"/>
              <w:jc w:val="left"/>
              <w:rPr>
                <w:color w:val="auto"/>
                <w:highlight w:val="none"/>
              </w:rPr>
            </w:pPr>
            <w:r>
              <w:rPr>
                <w:color w:val="auto"/>
                <w:highlight w:val="none"/>
              </w:rPr>
              <w:t xml:space="preserve">A10030903 </w:t>
            </w:r>
            <w:r>
              <w:rPr>
                <w:rFonts w:hint="eastAsia"/>
                <w:color w:val="auto"/>
                <w:highlight w:val="none"/>
              </w:rPr>
              <w:t>自粘防水卷材</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HJ455 </w:t>
            </w:r>
            <w:r>
              <w:rPr>
                <w:rFonts w:hint="eastAsia"/>
                <w:color w:val="auto"/>
                <w:highlight w:val="none"/>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21" w:type="pct"/>
            <w:vMerge w:val="continue"/>
            <w:tcBorders>
              <w:top w:val="nil"/>
            </w:tcBorders>
          </w:tcPr>
          <w:p>
            <w:pPr>
              <w:spacing w:line="360" w:lineRule="auto"/>
              <w:jc w:val="left"/>
              <w:rPr>
                <w:color w:val="auto"/>
                <w:highlight w:val="none"/>
              </w:rPr>
            </w:pPr>
          </w:p>
        </w:tc>
        <w:tc>
          <w:tcPr>
            <w:tcW w:w="702" w:type="pct"/>
            <w:vMerge w:val="continue"/>
            <w:tcBorders>
              <w:top w:val="nil"/>
            </w:tcBorders>
          </w:tcPr>
          <w:p>
            <w:pPr>
              <w:spacing w:line="360" w:lineRule="auto"/>
              <w:jc w:val="left"/>
              <w:rPr>
                <w:color w:val="auto"/>
                <w:highlight w:val="none"/>
              </w:rPr>
            </w:pPr>
          </w:p>
        </w:tc>
        <w:tc>
          <w:tcPr>
            <w:tcW w:w="1413" w:type="pct"/>
          </w:tcPr>
          <w:p>
            <w:pPr>
              <w:spacing w:line="360" w:lineRule="auto"/>
              <w:jc w:val="left"/>
              <w:rPr>
                <w:color w:val="auto"/>
                <w:highlight w:val="none"/>
              </w:rPr>
            </w:pPr>
            <w:r>
              <w:rPr>
                <w:color w:val="auto"/>
                <w:highlight w:val="none"/>
              </w:rPr>
              <w:t xml:space="preserve">A10030906 </w:t>
            </w:r>
            <w:r>
              <w:rPr>
                <w:rFonts w:hint="eastAsia"/>
                <w:color w:val="auto"/>
                <w:highlight w:val="none"/>
              </w:rPr>
              <w:t>高分子防水卷（片）</w:t>
            </w:r>
            <w:r>
              <w:rPr>
                <w:color w:val="auto"/>
                <w:highlight w:val="none"/>
              </w:rPr>
              <w:t xml:space="preserve"> </w:t>
            </w:r>
            <w:r>
              <w:rPr>
                <w:rFonts w:hint="eastAsia"/>
                <w:color w:val="auto"/>
                <w:highlight w:val="none"/>
              </w:rPr>
              <w:t>材</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HJ455 </w:t>
            </w:r>
            <w:r>
              <w:rPr>
                <w:rFonts w:hint="eastAsia"/>
                <w:color w:val="auto"/>
                <w:highlight w:val="none"/>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21" w:type="pct"/>
            <w:vMerge w:val="restart"/>
            <w:tcBorders>
              <w:bottom w:val="nil"/>
            </w:tcBorders>
          </w:tcPr>
          <w:p>
            <w:pPr>
              <w:spacing w:line="360" w:lineRule="auto"/>
              <w:jc w:val="left"/>
              <w:rPr>
                <w:color w:val="auto"/>
                <w:highlight w:val="none"/>
              </w:rPr>
            </w:pPr>
            <w:r>
              <w:rPr>
                <w:color w:val="auto"/>
                <w:highlight w:val="none"/>
              </w:rPr>
              <w:t>40</w:t>
            </w:r>
          </w:p>
        </w:tc>
        <w:tc>
          <w:tcPr>
            <w:tcW w:w="702" w:type="pct"/>
            <w:vMerge w:val="restart"/>
            <w:tcBorders>
              <w:bottom w:val="nil"/>
            </w:tcBorders>
          </w:tcPr>
          <w:p>
            <w:pPr>
              <w:spacing w:line="360" w:lineRule="auto"/>
              <w:jc w:val="left"/>
              <w:rPr>
                <w:color w:val="auto"/>
                <w:highlight w:val="none"/>
              </w:rPr>
            </w:pPr>
            <w:r>
              <w:rPr>
                <w:color w:val="auto"/>
                <w:highlight w:val="none"/>
              </w:rPr>
              <w:t xml:space="preserve">A100310 </w:t>
            </w:r>
            <w:r>
              <w:rPr>
                <w:rFonts w:hint="eastAsia"/>
                <w:color w:val="auto"/>
                <w:highlight w:val="none"/>
              </w:rPr>
              <w:t>隔热、隔</w:t>
            </w:r>
            <w:r>
              <w:rPr>
                <w:color w:val="auto"/>
                <w:highlight w:val="none"/>
              </w:rPr>
              <w:t xml:space="preserve"> </w:t>
            </w:r>
            <w:r>
              <w:rPr>
                <w:rFonts w:hint="eastAsia"/>
                <w:color w:val="auto"/>
                <w:highlight w:val="none"/>
              </w:rPr>
              <w:t>音人造矿物材料</w:t>
            </w:r>
            <w:r>
              <w:rPr>
                <w:color w:val="auto"/>
                <w:highlight w:val="none"/>
              </w:rPr>
              <w:t xml:space="preserve"> </w:t>
            </w:r>
            <w:r>
              <w:rPr>
                <w:rFonts w:hint="eastAsia"/>
                <w:color w:val="auto"/>
                <w:highlight w:val="none"/>
              </w:rPr>
              <w:t>及其制品</w:t>
            </w:r>
          </w:p>
        </w:tc>
        <w:tc>
          <w:tcPr>
            <w:tcW w:w="1413" w:type="pct"/>
          </w:tcPr>
          <w:p>
            <w:pPr>
              <w:spacing w:line="360" w:lineRule="auto"/>
              <w:jc w:val="left"/>
              <w:rPr>
                <w:color w:val="auto"/>
                <w:highlight w:val="none"/>
              </w:rPr>
            </w:pPr>
            <w:r>
              <w:rPr>
                <w:color w:val="auto"/>
                <w:highlight w:val="none"/>
              </w:rPr>
              <w:t xml:space="preserve">A10031001 </w:t>
            </w:r>
            <w:r>
              <w:rPr>
                <w:rFonts w:hint="eastAsia"/>
                <w:color w:val="auto"/>
                <w:highlight w:val="none"/>
              </w:rPr>
              <w:t>矿物绝热和吸声材</w:t>
            </w:r>
            <w:r>
              <w:rPr>
                <w:color w:val="auto"/>
                <w:highlight w:val="none"/>
              </w:rPr>
              <w:t xml:space="preserve"> </w:t>
            </w:r>
            <w:r>
              <w:rPr>
                <w:rFonts w:hint="eastAsia"/>
                <w:color w:val="auto"/>
                <w:highlight w:val="none"/>
              </w:rPr>
              <w:t>料</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HJ/T223 </w:t>
            </w:r>
            <w:r>
              <w:rPr>
                <w:rFonts w:hint="eastAsia"/>
                <w:color w:val="auto"/>
                <w:highlight w:val="none"/>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21" w:type="pct"/>
            <w:vMerge w:val="continue"/>
            <w:tcBorders>
              <w:top w:val="nil"/>
            </w:tcBorders>
          </w:tcPr>
          <w:p>
            <w:pPr>
              <w:spacing w:line="360" w:lineRule="auto"/>
              <w:jc w:val="left"/>
              <w:rPr>
                <w:color w:val="auto"/>
                <w:highlight w:val="none"/>
              </w:rPr>
            </w:pPr>
          </w:p>
        </w:tc>
        <w:tc>
          <w:tcPr>
            <w:tcW w:w="702" w:type="pct"/>
            <w:vMerge w:val="continue"/>
            <w:tcBorders>
              <w:top w:val="nil"/>
            </w:tcBorders>
          </w:tcPr>
          <w:p>
            <w:pPr>
              <w:spacing w:line="360" w:lineRule="auto"/>
              <w:jc w:val="left"/>
              <w:rPr>
                <w:color w:val="auto"/>
                <w:highlight w:val="none"/>
              </w:rPr>
            </w:pPr>
          </w:p>
        </w:tc>
        <w:tc>
          <w:tcPr>
            <w:tcW w:w="1413" w:type="pct"/>
          </w:tcPr>
          <w:p>
            <w:pPr>
              <w:spacing w:line="360" w:lineRule="auto"/>
              <w:jc w:val="left"/>
              <w:rPr>
                <w:color w:val="auto"/>
                <w:highlight w:val="none"/>
              </w:rPr>
            </w:pPr>
            <w:r>
              <w:rPr>
                <w:color w:val="auto"/>
                <w:highlight w:val="none"/>
              </w:rPr>
              <w:t xml:space="preserve">A10031002 </w:t>
            </w:r>
            <w:r>
              <w:rPr>
                <w:rFonts w:hint="eastAsia"/>
                <w:color w:val="auto"/>
                <w:highlight w:val="none"/>
              </w:rPr>
              <w:t>矿物材料制品</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HJ/T223 </w:t>
            </w:r>
            <w:r>
              <w:rPr>
                <w:rFonts w:hint="eastAsia"/>
                <w:color w:val="auto"/>
                <w:highlight w:val="none"/>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21" w:type="pct"/>
          </w:tcPr>
          <w:p>
            <w:pPr>
              <w:spacing w:line="360" w:lineRule="auto"/>
              <w:jc w:val="left"/>
              <w:rPr>
                <w:color w:val="auto"/>
                <w:highlight w:val="none"/>
              </w:rPr>
            </w:pPr>
            <w:r>
              <w:rPr>
                <w:color w:val="auto"/>
                <w:highlight w:val="none"/>
              </w:rPr>
              <w:t>41</w:t>
            </w:r>
          </w:p>
        </w:tc>
        <w:tc>
          <w:tcPr>
            <w:tcW w:w="702" w:type="pct"/>
          </w:tcPr>
          <w:p>
            <w:pPr>
              <w:spacing w:line="360" w:lineRule="auto"/>
              <w:jc w:val="left"/>
              <w:rPr>
                <w:color w:val="auto"/>
                <w:highlight w:val="none"/>
              </w:rPr>
            </w:pPr>
            <w:r>
              <w:rPr>
                <w:color w:val="auto"/>
                <w:highlight w:val="none"/>
              </w:rPr>
              <w:t xml:space="preserve">A100601 </w:t>
            </w:r>
            <w:r>
              <w:rPr>
                <w:rFonts w:hint="eastAsia"/>
                <w:color w:val="auto"/>
                <w:highlight w:val="none"/>
              </w:rPr>
              <w:t>功能性</w:t>
            </w:r>
            <w:r>
              <w:rPr>
                <w:color w:val="auto"/>
                <w:highlight w:val="none"/>
              </w:rPr>
              <w:t xml:space="preserve"> </w:t>
            </w:r>
            <w:r>
              <w:rPr>
                <w:rFonts w:hint="eastAsia"/>
                <w:color w:val="auto"/>
                <w:highlight w:val="none"/>
              </w:rPr>
              <w:t>建筑涂料</w:t>
            </w:r>
          </w:p>
        </w:tc>
        <w:tc>
          <w:tcPr>
            <w:tcW w:w="1413" w:type="pct"/>
          </w:tcPr>
          <w:p>
            <w:pPr>
              <w:spacing w:line="360" w:lineRule="auto"/>
              <w:jc w:val="left"/>
              <w:rPr>
                <w:color w:val="auto"/>
                <w:highlight w:val="none"/>
              </w:rPr>
            </w:pP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HJ2537 </w:t>
            </w:r>
            <w:r>
              <w:rPr>
                <w:rFonts w:hint="eastAsia"/>
                <w:color w:val="auto"/>
                <w:highlight w:val="none"/>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421" w:type="pct"/>
          </w:tcPr>
          <w:p>
            <w:pPr>
              <w:spacing w:line="360" w:lineRule="auto"/>
              <w:jc w:val="left"/>
              <w:rPr>
                <w:color w:val="auto"/>
                <w:highlight w:val="none"/>
              </w:rPr>
            </w:pPr>
            <w:r>
              <w:rPr>
                <w:color w:val="auto"/>
                <w:highlight w:val="none"/>
              </w:rPr>
              <w:t>42</w:t>
            </w:r>
          </w:p>
        </w:tc>
        <w:tc>
          <w:tcPr>
            <w:tcW w:w="702" w:type="pct"/>
          </w:tcPr>
          <w:p>
            <w:pPr>
              <w:spacing w:line="360" w:lineRule="auto"/>
              <w:jc w:val="left"/>
              <w:rPr>
                <w:color w:val="auto"/>
                <w:highlight w:val="none"/>
              </w:rPr>
            </w:pPr>
            <w:r>
              <w:rPr>
                <w:color w:val="auto"/>
                <w:highlight w:val="none"/>
              </w:rPr>
              <w:t xml:space="preserve">A100399 </w:t>
            </w:r>
            <w:r>
              <w:rPr>
                <w:rFonts w:hint="eastAsia"/>
                <w:color w:val="auto"/>
                <w:highlight w:val="none"/>
              </w:rPr>
              <w:t>其他非</w:t>
            </w:r>
            <w:r>
              <w:rPr>
                <w:color w:val="auto"/>
                <w:highlight w:val="none"/>
              </w:rPr>
              <w:t xml:space="preserve"> </w:t>
            </w:r>
            <w:r>
              <w:rPr>
                <w:rFonts w:hint="eastAsia"/>
                <w:color w:val="auto"/>
                <w:highlight w:val="none"/>
              </w:rPr>
              <w:t>金属矿物制品</w:t>
            </w:r>
          </w:p>
        </w:tc>
        <w:tc>
          <w:tcPr>
            <w:tcW w:w="1413" w:type="pct"/>
          </w:tcPr>
          <w:p>
            <w:pPr>
              <w:spacing w:line="360" w:lineRule="auto"/>
              <w:jc w:val="left"/>
              <w:rPr>
                <w:color w:val="auto"/>
                <w:highlight w:val="none"/>
              </w:rPr>
            </w:pPr>
            <w:r>
              <w:rPr>
                <w:color w:val="auto"/>
                <w:highlight w:val="none"/>
              </w:rPr>
              <w:t>A10039901</w:t>
            </w:r>
            <w:r>
              <w:rPr>
                <w:rFonts w:hint="eastAsia"/>
                <w:color w:val="auto"/>
                <w:highlight w:val="none"/>
              </w:rPr>
              <w:t>其他非金属建筑材料</w:t>
            </w:r>
          </w:p>
        </w:tc>
        <w:tc>
          <w:tcPr>
            <w:tcW w:w="1002" w:type="pct"/>
          </w:tcPr>
          <w:p>
            <w:pPr>
              <w:spacing w:line="360" w:lineRule="auto"/>
              <w:jc w:val="left"/>
              <w:rPr>
                <w:color w:val="auto"/>
                <w:highlight w:val="none"/>
              </w:rPr>
            </w:pPr>
          </w:p>
        </w:tc>
        <w:tc>
          <w:tcPr>
            <w:tcW w:w="1460" w:type="pct"/>
          </w:tcPr>
          <w:p>
            <w:pPr>
              <w:spacing w:line="360" w:lineRule="auto"/>
              <w:jc w:val="left"/>
              <w:rPr>
                <w:color w:val="auto"/>
                <w:highlight w:val="none"/>
              </w:rPr>
            </w:pPr>
            <w:r>
              <w:rPr>
                <w:color w:val="auto"/>
                <w:highlight w:val="none"/>
              </w:rPr>
              <w:t xml:space="preserve">HJ456 </w:t>
            </w:r>
            <w:r>
              <w:rPr>
                <w:rFonts w:hint="eastAsia"/>
                <w:color w:val="auto"/>
                <w:highlight w:val="none"/>
              </w:rPr>
              <w:t>刚性防水材料</w:t>
            </w:r>
          </w:p>
        </w:tc>
      </w:tr>
    </w:tbl>
    <w:p>
      <w:pPr>
        <w:spacing w:line="360" w:lineRule="auto"/>
        <w:jc w:val="left"/>
        <w:rPr>
          <w:color w:val="auto"/>
          <w:highlight w:val="none"/>
        </w:rPr>
      </w:pPr>
    </w:p>
    <w:tbl>
      <w:tblPr>
        <w:tblStyle w:val="23"/>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55"/>
        <w:gridCol w:w="1468"/>
        <w:gridCol w:w="2545"/>
        <w:gridCol w:w="1803"/>
        <w:gridCol w:w="19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34" w:type="pct"/>
            <w:vMerge w:val="restart"/>
            <w:tcBorders>
              <w:bottom w:val="nil"/>
            </w:tcBorders>
          </w:tcPr>
          <w:p>
            <w:pPr>
              <w:spacing w:line="360" w:lineRule="auto"/>
              <w:jc w:val="left"/>
              <w:rPr>
                <w:color w:val="auto"/>
                <w:highlight w:val="none"/>
              </w:rPr>
            </w:pPr>
            <w:r>
              <w:rPr>
                <w:color w:val="auto"/>
                <w:highlight w:val="none"/>
              </w:rPr>
              <w:t>43</w:t>
            </w:r>
          </w:p>
        </w:tc>
        <w:tc>
          <w:tcPr>
            <w:tcW w:w="883" w:type="pct"/>
            <w:vMerge w:val="restart"/>
            <w:tcBorders>
              <w:bottom w:val="nil"/>
            </w:tcBorders>
          </w:tcPr>
          <w:p>
            <w:pPr>
              <w:spacing w:line="360" w:lineRule="auto"/>
              <w:jc w:val="left"/>
              <w:rPr>
                <w:color w:val="auto"/>
                <w:highlight w:val="none"/>
              </w:rPr>
            </w:pPr>
            <w:r>
              <w:rPr>
                <w:color w:val="auto"/>
                <w:highlight w:val="none"/>
              </w:rPr>
              <w:t xml:space="preserve">A100602 </w:t>
            </w:r>
            <w:r>
              <w:rPr>
                <w:rFonts w:hint="eastAsia"/>
                <w:color w:val="auto"/>
                <w:highlight w:val="none"/>
              </w:rPr>
              <w:t>墙面涂</w:t>
            </w:r>
            <w:r>
              <w:rPr>
                <w:color w:val="auto"/>
                <w:highlight w:val="none"/>
              </w:rPr>
              <w:t xml:space="preserve"> </w:t>
            </w:r>
            <w:r>
              <w:rPr>
                <w:rFonts w:hint="eastAsia"/>
                <w:color w:val="auto"/>
                <w:highlight w:val="none"/>
              </w:rPr>
              <w:t>料</w:t>
            </w:r>
          </w:p>
        </w:tc>
        <w:tc>
          <w:tcPr>
            <w:tcW w:w="1531" w:type="pct"/>
          </w:tcPr>
          <w:p>
            <w:pPr>
              <w:spacing w:line="360" w:lineRule="auto"/>
              <w:jc w:val="left"/>
              <w:rPr>
                <w:color w:val="auto"/>
                <w:highlight w:val="none"/>
              </w:rPr>
            </w:pPr>
            <w:r>
              <w:rPr>
                <w:color w:val="auto"/>
                <w:highlight w:val="none"/>
              </w:rPr>
              <w:t>A10060202</w:t>
            </w:r>
            <w:r>
              <w:rPr>
                <w:rFonts w:hint="eastAsia"/>
                <w:color w:val="auto"/>
                <w:highlight w:val="none"/>
              </w:rPr>
              <w:t>合成树脂乳液内墙涂</w:t>
            </w:r>
            <w:r>
              <w:rPr>
                <w:color w:val="auto"/>
                <w:highlight w:val="none"/>
              </w:rPr>
              <w:t xml:space="preserve"> </w:t>
            </w:r>
            <w:r>
              <w:rPr>
                <w:rFonts w:hint="eastAsia"/>
                <w:color w:val="auto"/>
                <w:highlight w:val="none"/>
              </w:rPr>
              <w:t>料</w:t>
            </w:r>
          </w:p>
        </w:tc>
        <w:tc>
          <w:tcPr>
            <w:tcW w:w="1085" w:type="pct"/>
          </w:tcPr>
          <w:p>
            <w:pPr>
              <w:spacing w:line="360" w:lineRule="auto"/>
              <w:jc w:val="left"/>
              <w:rPr>
                <w:color w:val="auto"/>
                <w:highlight w:val="none"/>
              </w:rPr>
            </w:pPr>
          </w:p>
        </w:tc>
        <w:tc>
          <w:tcPr>
            <w:tcW w:w="1165" w:type="pct"/>
          </w:tcPr>
          <w:p>
            <w:pPr>
              <w:spacing w:line="360" w:lineRule="auto"/>
              <w:jc w:val="left"/>
              <w:rPr>
                <w:color w:val="auto"/>
                <w:highlight w:val="none"/>
              </w:rPr>
            </w:pPr>
            <w:r>
              <w:rPr>
                <w:color w:val="auto"/>
                <w:highlight w:val="none"/>
              </w:rPr>
              <w:t xml:space="preserve">HJ2537 </w:t>
            </w:r>
            <w:r>
              <w:rPr>
                <w:rFonts w:hint="eastAsia"/>
                <w:color w:val="auto"/>
                <w:highlight w:val="none"/>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34" w:type="pct"/>
            <w:vMerge w:val="continue"/>
            <w:tcBorders>
              <w:top w:val="nil"/>
              <w:bottom w:val="nil"/>
            </w:tcBorders>
          </w:tcPr>
          <w:p>
            <w:pPr>
              <w:spacing w:line="360" w:lineRule="auto"/>
              <w:jc w:val="left"/>
              <w:rPr>
                <w:color w:val="auto"/>
                <w:highlight w:val="none"/>
              </w:rPr>
            </w:pPr>
          </w:p>
        </w:tc>
        <w:tc>
          <w:tcPr>
            <w:tcW w:w="883" w:type="pct"/>
            <w:vMerge w:val="continue"/>
            <w:tcBorders>
              <w:top w:val="nil"/>
              <w:bottom w:val="nil"/>
            </w:tcBorders>
          </w:tcPr>
          <w:p>
            <w:pPr>
              <w:spacing w:line="360" w:lineRule="auto"/>
              <w:jc w:val="left"/>
              <w:rPr>
                <w:color w:val="auto"/>
                <w:highlight w:val="none"/>
              </w:rPr>
            </w:pPr>
          </w:p>
        </w:tc>
        <w:tc>
          <w:tcPr>
            <w:tcW w:w="1531" w:type="pct"/>
          </w:tcPr>
          <w:p>
            <w:pPr>
              <w:spacing w:line="360" w:lineRule="auto"/>
              <w:jc w:val="left"/>
              <w:rPr>
                <w:color w:val="auto"/>
                <w:highlight w:val="none"/>
              </w:rPr>
            </w:pPr>
            <w:r>
              <w:rPr>
                <w:color w:val="auto"/>
                <w:highlight w:val="none"/>
              </w:rPr>
              <w:t>A10060203</w:t>
            </w:r>
            <w:r>
              <w:rPr>
                <w:rFonts w:hint="eastAsia"/>
                <w:color w:val="auto"/>
                <w:highlight w:val="none"/>
              </w:rPr>
              <w:t>合成树脂乳液外墙涂</w:t>
            </w:r>
            <w:r>
              <w:rPr>
                <w:color w:val="auto"/>
                <w:highlight w:val="none"/>
              </w:rPr>
              <w:t xml:space="preserve"> </w:t>
            </w:r>
            <w:r>
              <w:rPr>
                <w:rFonts w:hint="eastAsia"/>
                <w:color w:val="auto"/>
                <w:highlight w:val="none"/>
              </w:rPr>
              <w:t>料</w:t>
            </w:r>
          </w:p>
        </w:tc>
        <w:tc>
          <w:tcPr>
            <w:tcW w:w="1085" w:type="pct"/>
          </w:tcPr>
          <w:p>
            <w:pPr>
              <w:spacing w:line="360" w:lineRule="auto"/>
              <w:jc w:val="left"/>
              <w:rPr>
                <w:color w:val="auto"/>
                <w:highlight w:val="none"/>
              </w:rPr>
            </w:pPr>
          </w:p>
        </w:tc>
        <w:tc>
          <w:tcPr>
            <w:tcW w:w="1165" w:type="pct"/>
          </w:tcPr>
          <w:p>
            <w:pPr>
              <w:spacing w:line="360" w:lineRule="auto"/>
              <w:jc w:val="left"/>
              <w:rPr>
                <w:color w:val="auto"/>
                <w:highlight w:val="none"/>
              </w:rPr>
            </w:pPr>
            <w:r>
              <w:rPr>
                <w:color w:val="auto"/>
                <w:highlight w:val="none"/>
              </w:rPr>
              <w:t xml:space="preserve">HJ2537 </w:t>
            </w:r>
            <w:r>
              <w:rPr>
                <w:rFonts w:hint="eastAsia"/>
                <w:color w:val="auto"/>
                <w:highlight w:val="none"/>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334" w:type="pct"/>
            <w:vMerge w:val="continue"/>
            <w:tcBorders>
              <w:top w:val="nil"/>
            </w:tcBorders>
          </w:tcPr>
          <w:p>
            <w:pPr>
              <w:spacing w:line="360" w:lineRule="auto"/>
              <w:jc w:val="left"/>
              <w:rPr>
                <w:color w:val="auto"/>
                <w:highlight w:val="none"/>
              </w:rPr>
            </w:pPr>
          </w:p>
        </w:tc>
        <w:tc>
          <w:tcPr>
            <w:tcW w:w="883" w:type="pct"/>
            <w:vMerge w:val="continue"/>
            <w:tcBorders>
              <w:top w:val="nil"/>
            </w:tcBorders>
          </w:tcPr>
          <w:p>
            <w:pPr>
              <w:spacing w:line="360" w:lineRule="auto"/>
              <w:jc w:val="left"/>
              <w:rPr>
                <w:color w:val="auto"/>
                <w:highlight w:val="none"/>
              </w:rPr>
            </w:pPr>
          </w:p>
        </w:tc>
        <w:tc>
          <w:tcPr>
            <w:tcW w:w="1531" w:type="pct"/>
          </w:tcPr>
          <w:p>
            <w:pPr>
              <w:spacing w:line="360" w:lineRule="auto"/>
              <w:jc w:val="left"/>
              <w:rPr>
                <w:color w:val="auto"/>
                <w:highlight w:val="none"/>
              </w:rPr>
            </w:pPr>
            <w:r>
              <w:rPr>
                <w:color w:val="auto"/>
                <w:highlight w:val="none"/>
              </w:rPr>
              <w:t xml:space="preserve">A10060299 </w:t>
            </w:r>
            <w:r>
              <w:rPr>
                <w:rFonts w:hint="eastAsia"/>
                <w:color w:val="auto"/>
                <w:highlight w:val="none"/>
              </w:rPr>
              <w:t>其他墙面涂料</w:t>
            </w:r>
          </w:p>
        </w:tc>
        <w:tc>
          <w:tcPr>
            <w:tcW w:w="1085" w:type="pct"/>
          </w:tcPr>
          <w:p>
            <w:pPr>
              <w:spacing w:line="360" w:lineRule="auto"/>
              <w:jc w:val="left"/>
              <w:rPr>
                <w:color w:val="auto"/>
                <w:highlight w:val="none"/>
              </w:rPr>
            </w:pPr>
          </w:p>
        </w:tc>
        <w:tc>
          <w:tcPr>
            <w:tcW w:w="1165" w:type="pct"/>
          </w:tcPr>
          <w:p>
            <w:pPr>
              <w:spacing w:line="360" w:lineRule="auto"/>
              <w:jc w:val="left"/>
              <w:rPr>
                <w:color w:val="auto"/>
                <w:highlight w:val="none"/>
              </w:rPr>
            </w:pPr>
            <w:r>
              <w:rPr>
                <w:color w:val="auto"/>
                <w:highlight w:val="none"/>
              </w:rPr>
              <w:t xml:space="preserve">HJ2537 </w:t>
            </w:r>
            <w:r>
              <w:rPr>
                <w:rFonts w:hint="eastAsia"/>
                <w:color w:val="auto"/>
                <w:highlight w:val="none"/>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34" w:type="pct"/>
          </w:tcPr>
          <w:p>
            <w:pPr>
              <w:spacing w:line="360" w:lineRule="auto"/>
              <w:jc w:val="left"/>
              <w:rPr>
                <w:color w:val="auto"/>
                <w:highlight w:val="none"/>
              </w:rPr>
            </w:pPr>
            <w:r>
              <w:rPr>
                <w:color w:val="auto"/>
                <w:highlight w:val="none"/>
              </w:rPr>
              <w:t>44</w:t>
            </w:r>
          </w:p>
        </w:tc>
        <w:tc>
          <w:tcPr>
            <w:tcW w:w="883" w:type="pct"/>
          </w:tcPr>
          <w:p>
            <w:pPr>
              <w:spacing w:line="360" w:lineRule="auto"/>
              <w:jc w:val="left"/>
              <w:rPr>
                <w:color w:val="auto"/>
                <w:highlight w:val="none"/>
              </w:rPr>
            </w:pPr>
            <w:r>
              <w:rPr>
                <w:color w:val="auto"/>
                <w:highlight w:val="none"/>
              </w:rPr>
              <w:t xml:space="preserve">A100604 </w:t>
            </w:r>
            <w:r>
              <w:rPr>
                <w:rFonts w:hint="eastAsia"/>
                <w:color w:val="auto"/>
                <w:highlight w:val="none"/>
              </w:rPr>
              <w:t>防水涂</w:t>
            </w:r>
            <w:r>
              <w:rPr>
                <w:color w:val="auto"/>
                <w:highlight w:val="none"/>
              </w:rPr>
              <w:t xml:space="preserve"> </w:t>
            </w:r>
            <w:r>
              <w:rPr>
                <w:rFonts w:hint="eastAsia"/>
                <w:color w:val="auto"/>
                <w:highlight w:val="none"/>
              </w:rPr>
              <w:t>料</w:t>
            </w:r>
          </w:p>
        </w:tc>
        <w:tc>
          <w:tcPr>
            <w:tcW w:w="1531" w:type="pct"/>
          </w:tcPr>
          <w:p>
            <w:pPr>
              <w:spacing w:line="360" w:lineRule="auto"/>
              <w:jc w:val="left"/>
              <w:rPr>
                <w:color w:val="auto"/>
                <w:highlight w:val="none"/>
              </w:rPr>
            </w:pPr>
            <w:r>
              <w:rPr>
                <w:color w:val="auto"/>
                <w:highlight w:val="none"/>
              </w:rPr>
              <w:t xml:space="preserve">A10060499 </w:t>
            </w:r>
            <w:r>
              <w:rPr>
                <w:rFonts w:hint="eastAsia"/>
                <w:color w:val="auto"/>
                <w:highlight w:val="none"/>
              </w:rPr>
              <w:t>其他防水涂料</w:t>
            </w:r>
          </w:p>
        </w:tc>
        <w:tc>
          <w:tcPr>
            <w:tcW w:w="1085" w:type="pct"/>
          </w:tcPr>
          <w:p>
            <w:pPr>
              <w:spacing w:line="360" w:lineRule="auto"/>
              <w:jc w:val="left"/>
              <w:rPr>
                <w:color w:val="auto"/>
                <w:highlight w:val="none"/>
              </w:rPr>
            </w:pPr>
          </w:p>
        </w:tc>
        <w:tc>
          <w:tcPr>
            <w:tcW w:w="1165" w:type="pct"/>
          </w:tcPr>
          <w:p>
            <w:pPr>
              <w:spacing w:line="360" w:lineRule="auto"/>
              <w:jc w:val="left"/>
              <w:rPr>
                <w:color w:val="auto"/>
                <w:highlight w:val="none"/>
              </w:rPr>
            </w:pPr>
            <w:r>
              <w:rPr>
                <w:color w:val="auto"/>
                <w:highlight w:val="none"/>
              </w:rPr>
              <w:t xml:space="preserve">HJ2537 </w:t>
            </w:r>
            <w:r>
              <w:rPr>
                <w:rFonts w:hint="eastAsia"/>
                <w:color w:val="auto"/>
                <w:highlight w:val="none"/>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334" w:type="pct"/>
          </w:tcPr>
          <w:p>
            <w:pPr>
              <w:spacing w:line="360" w:lineRule="auto"/>
              <w:jc w:val="left"/>
              <w:rPr>
                <w:color w:val="auto"/>
                <w:highlight w:val="none"/>
              </w:rPr>
            </w:pPr>
            <w:r>
              <w:rPr>
                <w:color w:val="auto"/>
                <w:highlight w:val="none"/>
              </w:rPr>
              <w:t>45</w:t>
            </w:r>
          </w:p>
        </w:tc>
        <w:tc>
          <w:tcPr>
            <w:tcW w:w="883" w:type="pct"/>
          </w:tcPr>
          <w:p>
            <w:pPr>
              <w:spacing w:line="360" w:lineRule="auto"/>
              <w:jc w:val="left"/>
              <w:rPr>
                <w:color w:val="auto"/>
                <w:highlight w:val="none"/>
              </w:rPr>
            </w:pPr>
            <w:r>
              <w:rPr>
                <w:color w:val="auto"/>
                <w:highlight w:val="none"/>
              </w:rPr>
              <w:t xml:space="preserve">A100699 </w:t>
            </w:r>
            <w:r>
              <w:rPr>
                <w:rFonts w:hint="eastAsia"/>
                <w:color w:val="auto"/>
                <w:highlight w:val="none"/>
              </w:rPr>
              <w:t>其他建</w:t>
            </w:r>
            <w:r>
              <w:rPr>
                <w:color w:val="auto"/>
                <w:highlight w:val="none"/>
              </w:rPr>
              <w:t xml:space="preserve"> </w:t>
            </w:r>
            <w:r>
              <w:rPr>
                <w:rFonts w:hint="eastAsia"/>
                <w:color w:val="auto"/>
                <w:highlight w:val="none"/>
              </w:rPr>
              <w:t>筑涂料</w:t>
            </w:r>
          </w:p>
        </w:tc>
        <w:tc>
          <w:tcPr>
            <w:tcW w:w="1531" w:type="pct"/>
          </w:tcPr>
          <w:p>
            <w:pPr>
              <w:spacing w:line="360" w:lineRule="auto"/>
              <w:jc w:val="left"/>
              <w:rPr>
                <w:color w:val="auto"/>
                <w:highlight w:val="none"/>
              </w:rPr>
            </w:pPr>
          </w:p>
        </w:tc>
        <w:tc>
          <w:tcPr>
            <w:tcW w:w="1085" w:type="pct"/>
          </w:tcPr>
          <w:p>
            <w:pPr>
              <w:spacing w:line="360" w:lineRule="auto"/>
              <w:jc w:val="left"/>
              <w:rPr>
                <w:color w:val="auto"/>
                <w:highlight w:val="none"/>
              </w:rPr>
            </w:pPr>
          </w:p>
        </w:tc>
        <w:tc>
          <w:tcPr>
            <w:tcW w:w="1165" w:type="pct"/>
          </w:tcPr>
          <w:p>
            <w:pPr>
              <w:spacing w:line="360" w:lineRule="auto"/>
              <w:jc w:val="left"/>
              <w:rPr>
                <w:color w:val="auto"/>
                <w:highlight w:val="none"/>
              </w:rPr>
            </w:pPr>
            <w:r>
              <w:rPr>
                <w:color w:val="auto"/>
                <w:highlight w:val="none"/>
              </w:rPr>
              <w:t xml:space="preserve">HJ2537 </w:t>
            </w:r>
            <w:r>
              <w:rPr>
                <w:rFonts w:hint="eastAsia"/>
                <w:color w:val="auto"/>
                <w:highlight w:val="none"/>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34" w:type="pct"/>
          </w:tcPr>
          <w:p>
            <w:pPr>
              <w:spacing w:line="360" w:lineRule="auto"/>
              <w:jc w:val="left"/>
              <w:rPr>
                <w:color w:val="auto"/>
                <w:highlight w:val="none"/>
              </w:rPr>
            </w:pPr>
            <w:r>
              <w:rPr>
                <w:color w:val="auto"/>
                <w:highlight w:val="none"/>
              </w:rPr>
              <w:t>46</w:t>
            </w:r>
          </w:p>
        </w:tc>
        <w:tc>
          <w:tcPr>
            <w:tcW w:w="883" w:type="pct"/>
          </w:tcPr>
          <w:p>
            <w:pPr>
              <w:spacing w:line="360" w:lineRule="auto"/>
              <w:jc w:val="left"/>
              <w:rPr>
                <w:color w:val="auto"/>
                <w:highlight w:val="none"/>
              </w:rPr>
            </w:pPr>
            <w:r>
              <w:rPr>
                <w:color w:val="auto"/>
                <w:highlight w:val="none"/>
              </w:rPr>
              <w:t xml:space="preserve">A100701 </w:t>
            </w:r>
            <w:r>
              <w:rPr>
                <w:rFonts w:hint="eastAsia"/>
                <w:color w:val="auto"/>
                <w:highlight w:val="none"/>
              </w:rPr>
              <w:t>门、门槛</w:t>
            </w:r>
          </w:p>
        </w:tc>
        <w:tc>
          <w:tcPr>
            <w:tcW w:w="1531" w:type="pct"/>
          </w:tcPr>
          <w:p>
            <w:pPr>
              <w:spacing w:line="360" w:lineRule="auto"/>
              <w:jc w:val="left"/>
              <w:rPr>
                <w:color w:val="auto"/>
                <w:highlight w:val="none"/>
              </w:rPr>
            </w:pPr>
          </w:p>
        </w:tc>
        <w:tc>
          <w:tcPr>
            <w:tcW w:w="1085" w:type="pct"/>
          </w:tcPr>
          <w:p>
            <w:pPr>
              <w:spacing w:line="360" w:lineRule="auto"/>
              <w:jc w:val="left"/>
              <w:rPr>
                <w:color w:val="auto"/>
                <w:highlight w:val="none"/>
              </w:rPr>
            </w:pPr>
          </w:p>
        </w:tc>
        <w:tc>
          <w:tcPr>
            <w:tcW w:w="1165" w:type="pct"/>
          </w:tcPr>
          <w:p>
            <w:pPr>
              <w:spacing w:line="360" w:lineRule="auto"/>
              <w:jc w:val="left"/>
              <w:rPr>
                <w:color w:val="auto"/>
                <w:highlight w:val="none"/>
              </w:rPr>
            </w:pPr>
            <w:r>
              <w:rPr>
                <w:color w:val="auto"/>
                <w:highlight w:val="none"/>
              </w:rPr>
              <w:t xml:space="preserve">HJ/T 237 </w:t>
            </w:r>
            <w:r>
              <w:rPr>
                <w:rFonts w:hint="eastAsia"/>
                <w:color w:val="auto"/>
                <w:highlight w:val="none"/>
              </w:rPr>
              <w:t>塑料门窗</w:t>
            </w:r>
            <w:r>
              <w:rPr>
                <w:color w:val="auto"/>
                <w:highlight w:val="none"/>
              </w:rPr>
              <w:t xml:space="preserve">/HJ459 </w:t>
            </w:r>
            <w:r>
              <w:rPr>
                <w:rFonts w:hint="eastAsia"/>
                <w:color w:val="auto"/>
                <w:highlight w:val="none"/>
              </w:rPr>
              <w:t>木质门和钢质门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334" w:type="pct"/>
          </w:tcPr>
          <w:p>
            <w:pPr>
              <w:spacing w:line="360" w:lineRule="auto"/>
              <w:jc w:val="left"/>
              <w:rPr>
                <w:color w:val="auto"/>
                <w:highlight w:val="none"/>
              </w:rPr>
            </w:pPr>
            <w:r>
              <w:rPr>
                <w:color w:val="auto"/>
                <w:highlight w:val="none"/>
              </w:rPr>
              <w:t>47</w:t>
            </w:r>
          </w:p>
        </w:tc>
        <w:tc>
          <w:tcPr>
            <w:tcW w:w="883" w:type="pct"/>
          </w:tcPr>
          <w:p>
            <w:pPr>
              <w:spacing w:line="360" w:lineRule="auto"/>
              <w:jc w:val="left"/>
              <w:rPr>
                <w:color w:val="auto"/>
                <w:highlight w:val="none"/>
              </w:rPr>
            </w:pPr>
            <w:r>
              <w:rPr>
                <w:color w:val="auto"/>
                <w:highlight w:val="none"/>
              </w:rPr>
              <w:t xml:space="preserve">A100702 </w:t>
            </w:r>
            <w:r>
              <w:rPr>
                <w:rFonts w:hint="eastAsia"/>
                <w:color w:val="auto"/>
                <w:highlight w:val="none"/>
              </w:rPr>
              <w:t>窗</w:t>
            </w:r>
          </w:p>
        </w:tc>
        <w:tc>
          <w:tcPr>
            <w:tcW w:w="1531" w:type="pct"/>
          </w:tcPr>
          <w:p>
            <w:pPr>
              <w:spacing w:line="360" w:lineRule="auto"/>
              <w:jc w:val="left"/>
              <w:rPr>
                <w:color w:val="auto"/>
                <w:highlight w:val="none"/>
              </w:rPr>
            </w:pPr>
          </w:p>
        </w:tc>
        <w:tc>
          <w:tcPr>
            <w:tcW w:w="1085" w:type="pct"/>
          </w:tcPr>
          <w:p>
            <w:pPr>
              <w:spacing w:line="360" w:lineRule="auto"/>
              <w:jc w:val="left"/>
              <w:rPr>
                <w:color w:val="auto"/>
                <w:highlight w:val="none"/>
              </w:rPr>
            </w:pPr>
          </w:p>
        </w:tc>
        <w:tc>
          <w:tcPr>
            <w:tcW w:w="1165" w:type="pct"/>
          </w:tcPr>
          <w:p>
            <w:pPr>
              <w:spacing w:line="360" w:lineRule="auto"/>
              <w:jc w:val="left"/>
              <w:rPr>
                <w:color w:val="auto"/>
                <w:highlight w:val="none"/>
              </w:rPr>
            </w:pPr>
            <w:r>
              <w:rPr>
                <w:color w:val="auto"/>
                <w:highlight w:val="none"/>
              </w:rPr>
              <w:t xml:space="preserve">HJ/T237 </w:t>
            </w:r>
            <w:r>
              <w:rPr>
                <w:rFonts w:hint="eastAsia"/>
                <w:color w:val="auto"/>
                <w:highlight w:val="none"/>
              </w:rPr>
              <w:t>塑料门窗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334" w:type="pct"/>
          </w:tcPr>
          <w:p>
            <w:pPr>
              <w:spacing w:line="360" w:lineRule="auto"/>
              <w:jc w:val="left"/>
              <w:rPr>
                <w:color w:val="auto"/>
                <w:highlight w:val="none"/>
              </w:rPr>
            </w:pPr>
            <w:r>
              <w:rPr>
                <w:color w:val="auto"/>
                <w:highlight w:val="none"/>
              </w:rPr>
              <w:t>48</w:t>
            </w:r>
          </w:p>
        </w:tc>
        <w:tc>
          <w:tcPr>
            <w:tcW w:w="883" w:type="pct"/>
          </w:tcPr>
          <w:p>
            <w:pPr>
              <w:spacing w:line="360" w:lineRule="auto"/>
              <w:jc w:val="left"/>
              <w:rPr>
                <w:color w:val="auto"/>
                <w:highlight w:val="none"/>
              </w:rPr>
            </w:pPr>
            <w:r>
              <w:rPr>
                <w:color w:val="auto"/>
                <w:highlight w:val="none"/>
              </w:rPr>
              <w:t xml:space="preserve">A170108 </w:t>
            </w:r>
            <w:r>
              <w:rPr>
                <w:rFonts w:hint="eastAsia"/>
                <w:color w:val="auto"/>
                <w:highlight w:val="none"/>
              </w:rPr>
              <w:t>涂料（建</w:t>
            </w:r>
            <w:r>
              <w:rPr>
                <w:color w:val="auto"/>
                <w:highlight w:val="none"/>
              </w:rPr>
              <w:t xml:space="preserve"> </w:t>
            </w:r>
            <w:r>
              <w:rPr>
                <w:rFonts w:hint="eastAsia"/>
                <w:color w:val="auto"/>
                <w:highlight w:val="none"/>
              </w:rPr>
              <w:t>筑涂料除外）</w:t>
            </w:r>
          </w:p>
        </w:tc>
        <w:tc>
          <w:tcPr>
            <w:tcW w:w="1531" w:type="pct"/>
          </w:tcPr>
          <w:p>
            <w:pPr>
              <w:spacing w:line="360" w:lineRule="auto"/>
              <w:jc w:val="left"/>
              <w:rPr>
                <w:color w:val="auto"/>
                <w:highlight w:val="none"/>
              </w:rPr>
            </w:pPr>
          </w:p>
        </w:tc>
        <w:tc>
          <w:tcPr>
            <w:tcW w:w="1085" w:type="pct"/>
          </w:tcPr>
          <w:p>
            <w:pPr>
              <w:spacing w:line="360" w:lineRule="auto"/>
              <w:jc w:val="left"/>
              <w:rPr>
                <w:color w:val="auto"/>
                <w:highlight w:val="none"/>
              </w:rPr>
            </w:pPr>
          </w:p>
        </w:tc>
        <w:tc>
          <w:tcPr>
            <w:tcW w:w="1165" w:type="pct"/>
          </w:tcPr>
          <w:p>
            <w:pPr>
              <w:spacing w:line="360" w:lineRule="auto"/>
              <w:jc w:val="left"/>
              <w:rPr>
                <w:color w:val="auto"/>
                <w:highlight w:val="none"/>
              </w:rPr>
            </w:pPr>
            <w:r>
              <w:rPr>
                <w:color w:val="auto"/>
                <w:highlight w:val="none"/>
              </w:rPr>
              <w:t xml:space="preserve">HJ2537 </w:t>
            </w:r>
            <w:r>
              <w:rPr>
                <w:rFonts w:hint="eastAsia"/>
                <w:color w:val="auto"/>
                <w:highlight w:val="none"/>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34" w:type="pct"/>
          </w:tcPr>
          <w:p>
            <w:pPr>
              <w:spacing w:line="360" w:lineRule="auto"/>
              <w:jc w:val="left"/>
              <w:rPr>
                <w:color w:val="auto"/>
                <w:highlight w:val="none"/>
              </w:rPr>
            </w:pPr>
            <w:r>
              <w:rPr>
                <w:color w:val="auto"/>
                <w:highlight w:val="none"/>
              </w:rPr>
              <w:t>49</w:t>
            </w:r>
          </w:p>
        </w:tc>
        <w:tc>
          <w:tcPr>
            <w:tcW w:w="883" w:type="pct"/>
          </w:tcPr>
          <w:p>
            <w:pPr>
              <w:spacing w:line="360" w:lineRule="auto"/>
              <w:jc w:val="left"/>
              <w:rPr>
                <w:color w:val="auto"/>
                <w:highlight w:val="none"/>
              </w:rPr>
            </w:pPr>
            <w:r>
              <w:rPr>
                <w:color w:val="auto"/>
                <w:highlight w:val="none"/>
              </w:rPr>
              <w:t xml:space="preserve">A170112 </w:t>
            </w:r>
            <w:r>
              <w:rPr>
                <w:rFonts w:hint="eastAsia"/>
                <w:color w:val="auto"/>
                <w:highlight w:val="none"/>
              </w:rPr>
              <w:t>密封用</w:t>
            </w:r>
            <w:r>
              <w:rPr>
                <w:color w:val="auto"/>
                <w:highlight w:val="none"/>
              </w:rPr>
              <w:t xml:space="preserve"> </w:t>
            </w:r>
            <w:r>
              <w:rPr>
                <w:rFonts w:hint="eastAsia"/>
                <w:color w:val="auto"/>
                <w:highlight w:val="none"/>
              </w:rPr>
              <w:t>填料及类似品</w:t>
            </w:r>
          </w:p>
        </w:tc>
        <w:tc>
          <w:tcPr>
            <w:tcW w:w="1531" w:type="pct"/>
          </w:tcPr>
          <w:p>
            <w:pPr>
              <w:spacing w:line="360" w:lineRule="auto"/>
              <w:jc w:val="left"/>
              <w:rPr>
                <w:color w:val="auto"/>
                <w:highlight w:val="none"/>
              </w:rPr>
            </w:pPr>
          </w:p>
        </w:tc>
        <w:tc>
          <w:tcPr>
            <w:tcW w:w="1085" w:type="pct"/>
          </w:tcPr>
          <w:p>
            <w:pPr>
              <w:spacing w:line="360" w:lineRule="auto"/>
              <w:jc w:val="left"/>
              <w:rPr>
                <w:color w:val="auto"/>
                <w:highlight w:val="none"/>
              </w:rPr>
            </w:pPr>
          </w:p>
        </w:tc>
        <w:tc>
          <w:tcPr>
            <w:tcW w:w="1165" w:type="pct"/>
          </w:tcPr>
          <w:p>
            <w:pPr>
              <w:spacing w:line="360" w:lineRule="auto"/>
              <w:jc w:val="left"/>
              <w:rPr>
                <w:color w:val="auto"/>
                <w:highlight w:val="none"/>
              </w:rPr>
            </w:pPr>
            <w:r>
              <w:rPr>
                <w:color w:val="auto"/>
                <w:highlight w:val="none"/>
              </w:rPr>
              <w:t xml:space="preserve">HJ2541 </w:t>
            </w:r>
            <w:r>
              <w:rPr>
                <w:rFonts w:hint="eastAsia"/>
                <w:color w:val="auto"/>
                <w:highlight w:val="none"/>
              </w:rPr>
              <w:t>胶粘剂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34" w:type="pct"/>
          </w:tcPr>
          <w:p>
            <w:pPr>
              <w:spacing w:line="360" w:lineRule="auto"/>
              <w:jc w:val="left"/>
              <w:rPr>
                <w:color w:val="auto"/>
                <w:highlight w:val="none"/>
              </w:rPr>
            </w:pPr>
            <w:r>
              <w:rPr>
                <w:color w:val="auto"/>
                <w:highlight w:val="none"/>
              </w:rPr>
              <w:t>50</w:t>
            </w:r>
          </w:p>
        </w:tc>
        <w:tc>
          <w:tcPr>
            <w:tcW w:w="883" w:type="pct"/>
          </w:tcPr>
          <w:p>
            <w:pPr>
              <w:spacing w:line="360" w:lineRule="auto"/>
              <w:jc w:val="left"/>
              <w:rPr>
                <w:color w:val="auto"/>
                <w:highlight w:val="none"/>
              </w:rPr>
            </w:pPr>
            <w:r>
              <w:rPr>
                <w:color w:val="auto"/>
                <w:highlight w:val="none"/>
              </w:rPr>
              <w:t xml:space="preserve">A180201 </w:t>
            </w:r>
            <w:r>
              <w:rPr>
                <w:rFonts w:hint="eastAsia"/>
                <w:color w:val="auto"/>
                <w:highlight w:val="none"/>
              </w:rPr>
              <w:t>塑料制</w:t>
            </w:r>
            <w:r>
              <w:rPr>
                <w:color w:val="auto"/>
                <w:highlight w:val="none"/>
              </w:rPr>
              <w:t xml:space="preserve"> </w:t>
            </w:r>
            <w:r>
              <w:rPr>
                <w:rFonts w:hint="eastAsia"/>
                <w:color w:val="auto"/>
                <w:highlight w:val="none"/>
              </w:rPr>
              <w:t>品</w:t>
            </w:r>
          </w:p>
        </w:tc>
        <w:tc>
          <w:tcPr>
            <w:tcW w:w="1531" w:type="pct"/>
          </w:tcPr>
          <w:p>
            <w:pPr>
              <w:spacing w:line="360" w:lineRule="auto"/>
              <w:jc w:val="left"/>
              <w:rPr>
                <w:color w:val="auto"/>
                <w:highlight w:val="none"/>
              </w:rPr>
            </w:pPr>
          </w:p>
        </w:tc>
        <w:tc>
          <w:tcPr>
            <w:tcW w:w="1085" w:type="pct"/>
          </w:tcPr>
          <w:p>
            <w:pPr>
              <w:spacing w:line="360" w:lineRule="auto"/>
              <w:jc w:val="left"/>
              <w:rPr>
                <w:color w:val="auto"/>
                <w:highlight w:val="none"/>
              </w:rPr>
            </w:pPr>
          </w:p>
        </w:tc>
        <w:tc>
          <w:tcPr>
            <w:tcW w:w="1165" w:type="pct"/>
          </w:tcPr>
          <w:p>
            <w:pPr>
              <w:spacing w:line="360" w:lineRule="auto"/>
              <w:jc w:val="left"/>
              <w:rPr>
                <w:color w:val="auto"/>
                <w:highlight w:val="none"/>
              </w:rPr>
            </w:pPr>
            <w:r>
              <w:rPr>
                <w:color w:val="auto"/>
                <w:highlight w:val="none"/>
              </w:rPr>
              <w:t xml:space="preserve">HJ/T226 </w:t>
            </w:r>
            <w:r>
              <w:rPr>
                <w:rFonts w:hint="eastAsia"/>
                <w:color w:val="auto"/>
                <w:highlight w:val="none"/>
              </w:rPr>
              <w:t>建筑用塑料管材</w:t>
            </w:r>
            <w:r>
              <w:rPr>
                <w:color w:val="auto"/>
                <w:highlight w:val="none"/>
              </w:rPr>
              <w:t xml:space="preserve">/HJ/T231 </w:t>
            </w:r>
            <w:r>
              <w:rPr>
                <w:rFonts w:hint="eastAsia"/>
                <w:color w:val="auto"/>
                <w:highlight w:val="none"/>
              </w:rPr>
              <w:t>再生塑</w:t>
            </w:r>
            <w:r>
              <w:rPr>
                <w:color w:val="auto"/>
                <w:highlight w:val="none"/>
              </w:rPr>
              <w:t xml:space="preserve"> </w:t>
            </w:r>
            <w:r>
              <w:rPr>
                <w:rFonts w:hint="eastAsia"/>
                <w:color w:val="auto"/>
                <w:highlight w:val="none"/>
              </w:rPr>
              <w:t>料制品</w:t>
            </w:r>
          </w:p>
        </w:tc>
      </w:tr>
    </w:tbl>
    <w:p>
      <w:pPr>
        <w:spacing w:line="360" w:lineRule="auto"/>
        <w:jc w:val="left"/>
        <w:rPr>
          <w:color w:val="auto"/>
          <w:highlight w:val="none"/>
        </w:rPr>
      </w:pPr>
      <w:r>
        <w:rPr>
          <w:rFonts w:hint="eastAsia"/>
          <w:color w:val="auto"/>
          <w:highlight w:val="none"/>
        </w:rPr>
        <w:t>注：</w:t>
      </w:r>
      <w:r>
        <w:rPr>
          <w:color w:val="auto"/>
          <w:highlight w:val="none"/>
        </w:rPr>
        <w:t xml:space="preserve"> </w:t>
      </w:r>
      <w:r>
        <w:rPr>
          <w:rFonts w:hint="eastAsia"/>
          <w:color w:val="auto"/>
          <w:highlight w:val="none"/>
        </w:rPr>
        <w:t>环境标志产品认证应依据相关标准的最新版本</w:t>
      </w:r>
    </w:p>
    <w:p>
      <w:pPr>
        <w:rPr>
          <w:color w:val="auto"/>
          <w:highlight w:val="none"/>
        </w:rPr>
      </w:pPr>
    </w:p>
    <w:p>
      <w:pPr>
        <w:rPr>
          <w:highlight w:val="none"/>
        </w:rPr>
      </w:pPr>
    </w:p>
    <w:sectPr>
      <w:headerReference r:id="rId10" w:type="default"/>
      <w:pgSz w:w="11911" w:h="16838"/>
      <w:pgMar w:top="1440" w:right="1803" w:bottom="1440" w:left="1803" w:header="884" w:footer="964" w:gutter="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none" w:color="auto" w:sz="0" w:space="1"/>
        <w:left w:val="none" w:color="auto" w:sz="0" w:space="0"/>
        <w:bottom w:val="none" w:color="auto" w:sz="0" w:space="0"/>
        <w:right w:val="none" w:color="auto" w:sz="0" w:space="0"/>
        <w:between w:val="none" w:color="auto" w:sz="0" w:space="0"/>
      </w:pBdr>
      <w:ind w:right="359" w:rightChars="171" w:firstLine="315" w:firstLineChars="150"/>
      <w:jc w:val="center"/>
      <w:rPr>
        <w:rFonts w:hint="default"/>
        <w:sz w:val="21"/>
        <w:szCs w:val="21"/>
        <w:lang w:val="en-US"/>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none" w:color="auto" w:sz="0" w:space="1"/>
        <w:left w:val="none" w:color="auto" w:sz="0" w:space="0"/>
        <w:bottom w:val="none" w:color="auto" w:sz="0" w:space="0"/>
        <w:right w:val="none" w:color="auto" w:sz="0" w:space="0"/>
        <w:between w:val="none" w:color="auto" w:sz="0" w:space="0"/>
      </w:pBdr>
      <w:tabs>
        <w:tab w:val="left" w:pos="2783"/>
        <w:tab w:val="center" w:pos="4191"/>
      </w:tabs>
      <w:ind w:right="359" w:rightChars="171" w:firstLine="315" w:firstLineChars="150"/>
      <w:jc w:val="left"/>
      <w:rPr>
        <w:rFonts w:hint="default"/>
        <w:sz w:val="21"/>
        <w:szCs w:val="21"/>
        <w:lang w:val="en-US"/>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21"/>
        <w:lang w:eastAsia="zh-CN"/>
      </w:rPr>
      <w:tab/>
    </w:r>
    <w:r>
      <w:rPr>
        <w:rFonts w:hint="eastAsia"/>
        <w:sz w:val="21"/>
        <w:szCs w:val="21"/>
        <w:lang w:val="en-US"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none" w:color="auto" w:sz="0" w:space="1"/>
        <w:left w:val="none" w:color="auto" w:sz="0" w:space="0"/>
        <w:bottom w:val="none" w:color="auto" w:sz="0" w:space="0"/>
        <w:right w:val="none" w:color="auto" w:sz="0" w:space="0"/>
        <w:between w:val="none" w:color="auto" w:sz="0" w:space="0"/>
      </w:pBdr>
      <w:ind w:right="359" w:rightChars="171" w:firstLine="315" w:firstLineChars="150"/>
      <w:jc w:val="center"/>
      <w:rPr>
        <w:rFonts w:hint="default"/>
        <w:sz w:val="21"/>
        <w:szCs w:val="21"/>
        <w:lang w:val="en-US"/>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62</w:t>
                    </w:r>
                    <w:r>
                      <w:fldChar w:fldCharType="end"/>
                    </w:r>
                  </w:p>
                </w:txbxContent>
              </v:textbox>
            </v:shape>
          </w:pict>
        </mc:Fallback>
      </mc:AlternateContent>
    </w:r>
    <w:r>
      <w:t xml:space="preserve"> </w:t>
    </w:r>
    <w:r>
      <w:rPr>
        <w:rFonts w:hint="eastAsia"/>
        <w:lang w:val="en-US" w:eastAsia="zh-CN"/>
      </w:rPr>
      <w:t xml:space="preserve">         </w:t>
    </w:r>
    <w:r>
      <w:t xml:space="preserve"> </w: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6"/>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6mDjrR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OOQy9wP/4RBxnDxl6jDCTo3x7TLPac/Scjz1c9Xjv7X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Cepg460QEAAKMDAAAOAAAAAAAAAAEAIAAAACIB&#10;AABkcnMvZTJvRG9jLnhtbFBLBQYAAAAABgAGAFkBAABlBQAAAAA=&#10;">
              <v:fill on="f" focussize="0,0"/>
              <v:stroke on="f" weight="1.25pt"/>
              <v:imagedata o:title=""/>
              <o:lock v:ext="edit" aspectratio="f"/>
              <v:textbox inset="0mm,0mm,0mm,0mm" style="mso-fit-shape-to-text:t;">
                <w:txbxContent>
                  <w:p>
                    <w:pPr>
                      <w:pStyle w:val="1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beforeLines="100" w:afterLines="100" w:line="360" w:lineRule="auto"/>
      <w:jc w:val="both"/>
      <w:rPr>
        <w:rFonts w:ascii="宋体" w:cs="宋体"/>
        <w:b/>
        <w:bCs/>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top w:val="none" w:color="auto" w:sz="0" w:space="0"/>
        <w:left w:val="none" w:color="auto" w:sz="0" w:space="0"/>
        <w:bottom w:val="none" w:color="auto" w:sz="0" w:space="1"/>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647C4F"/>
    <w:multiLevelType w:val="multilevel"/>
    <w:tmpl w:val="A0647C4F"/>
    <w:lvl w:ilvl="0" w:tentative="0">
      <w:start w:val="1"/>
      <w:numFmt w:val="decimal"/>
      <w:suff w:val="space"/>
      <w:lvlText w:val="%1"/>
      <w:lvlJc w:val="left"/>
      <w:rPr>
        <w:rFonts w:hint="default" w:cs="Times New Roman"/>
      </w:rPr>
    </w:lvl>
    <w:lvl w:ilvl="1" w:tentative="0">
      <w:start w:val="1"/>
      <w:numFmt w:val="decimal"/>
      <w:suff w:val="space"/>
      <w:lvlText w:val="%1.%2"/>
      <w:lvlJc w:val="left"/>
      <w:rPr>
        <w:rFonts w:hint="default" w:cs="Times New Roman"/>
      </w:rPr>
    </w:lvl>
    <w:lvl w:ilvl="2" w:tentative="0">
      <w:start w:val="1"/>
      <w:numFmt w:val="decimal"/>
      <w:suff w:val="space"/>
      <w:lvlText w:val="%1.%2.%3"/>
      <w:lvlJc w:val="left"/>
      <w:rPr>
        <w:rFonts w:hint="default" w:cs="Times New Roman"/>
      </w:rPr>
    </w:lvl>
    <w:lvl w:ilvl="3" w:tentative="0">
      <w:start w:val="1"/>
      <w:numFmt w:val="decimal"/>
      <w:suff w:val="space"/>
      <w:lvlText w:val="%1.%2.%3.%4"/>
      <w:lvlJc w:val="left"/>
      <w:rPr>
        <w:rFonts w:hint="default" w:cs="Times New Roman"/>
      </w:rPr>
    </w:lvl>
    <w:lvl w:ilvl="4" w:tentative="0">
      <w:start w:val="1"/>
      <w:numFmt w:val="decimal"/>
      <w:suff w:val="space"/>
      <w:lvlText w:val="%1.%2.%3.%4.%5"/>
      <w:lvlJc w:val="left"/>
      <w:rPr>
        <w:rFonts w:hint="default" w:cs="Times New Roman"/>
      </w:rPr>
    </w:lvl>
    <w:lvl w:ilvl="5" w:tentative="0">
      <w:start w:val="1"/>
      <w:numFmt w:val="decimal"/>
      <w:suff w:val="space"/>
      <w:lvlText w:val="%1.%2.%3.%4.%5.%6"/>
      <w:lvlJc w:val="left"/>
      <w:rPr>
        <w:rFonts w:hint="default" w:cs="Times New Roman"/>
      </w:rPr>
    </w:lvl>
    <w:lvl w:ilvl="6" w:tentative="0">
      <w:start w:val="1"/>
      <w:numFmt w:val="decimal"/>
      <w:suff w:val="space"/>
      <w:lvlText w:val="%1.%2.%3.%4.%5.%6.%7"/>
      <w:lvlJc w:val="left"/>
      <w:rPr>
        <w:rFonts w:hint="default" w:cs="Times New Roman"/>
      </w:rPr>
    </w:lvl>
    <w:lvl w:ilvl="7" w:tentative="0">
      <w:start w:val="1"/>
      <w:numFmt w:val="decimal"/>
      <w:suff w:val="space"/>
      <w:lvlText w:val="%1.%2.%3.%4.%5.%6.%7.%8"/>
      <w:lvlJc w:val="left"/>
      <w:rPr>
        <w:rFonts w:hint="default" w:cs="Times New Roman"/>
      </w:rPr>
    </w:lvl>
    <w:lvl w:ilvl="8" w:tentative="0">
      <w:start w:val="1"/>
      <w:numFmt w:val="decimal"/>
      <w:suff w:val="space"/>
      <w:lvlText w:val="%1.%2.%3.%4.%5.%6.%7.%8.%9"/>
      <w:lvlJc w:val="left"/>
      <w:rPr>
        <w:rFonts w:hint="default" w:cs="Times New Roman"/>
      </w:rPr>
    </w:lvl>
  </w:abstractNum>
  <w:abstractNum w:abstractNumId="1">
    <w:nsid w:val="A2C959E2"/>
    <w:multiLevelType w:val="multilevel"/>
    <w:tmpl w:val="A2C959E2"/>
    <w:lvl w:ilvl="0" w:tentative="0">
      <w:start w:val="1"/>
      <w:numFmt w:val="decimal"/>
      <w:suff w:val="space"/>
      <w:lvlText w:val="%1."/>
      <w:lvlJc w:val="left"/>
      <w:rPr>
        <w:rFonts w:cs="Times New Roman"/>
      </w:rPr>
    </w:lvl>
    <w:lvl w:ilvl="1" w:tentative="0">
      <w:start w:val="1"/>
      <w:numFmt w:val="decimal"/>
      <w:suff w:val="space"/>
      <w:lvlText w:val="%1.%2"/>
      <w:lvlJc w:val="left"/>
      <w:rPr>
        <w:rFonts w:hint="default" w:cs="Times New Roman"/>
      </w:rPr>
    </w:lvl>
    <w:lvl w:ilvl="2" w:tentative="0">
      <w:start w:val="1"/>
      <w:numFmt w:val="decimal"/>
      <w:suff w:val="space"/>
      <w:lvlText w:val="%1.%2.%3"/>
      <w:lvlJc w:val="left"/>
      <w:rPr>
        <w:rFonts w:hint="default" w:cs="Times New Roman"/>
      </w:rPr>
    </w:lvl>
    <w:lvl w:ilvl="3" w:tentative="0">
      <w:start w:val="1"/>
      <w:numFmt w:val="decimal"/>
      <w:suff w:val="space"/>
      <w:lvlText w:val="%1.%2.%3.%4"/>
      <w:lvlJc w:val="left"/>
      <w:rPr>
        <w:rFonts w:hint="default" w:cs="Times New Roman"/>
      </w:rPr>
    </w:lvl>
    <w:lvl w:ilvl="4" w:tentative="0">
      <w:start w:val="1"/>
      <w:numFmt w:val="decimal"/>
      <w:suff w:val="space"/>
      <w:lvlText w:val="%1.%2.%3.%4.%5"/>
      <w:lvlJc w:val="left"/>
      <w:rPr>
        <w:rFonts w:hint="default" w:cs="Times New Roman"/>
      </w:rPr>
    </w:lvl>
    <w:lvl w:ilvl="5" w:tentative="0">
      <w:start w:val="1"/>
      <w:numFmt w:val="decimal"/>
      <w:suff w:val="space"/>
      <w:lvlText w:val="%1.%2.%3.%4.%5.%6"/>
      <w:lvlJc w:val="left"/>
      <w:rPr>
        <w:rFonts w:hint="default" w:cs="Times New Roman"/>
      </w:rPr>
    </w:lvl>
    <w:lvl w:ilvl="6" w:tentative="0">
      <w:start w:val="1"/>
      <w:numFmt w:val="decimal"/>
      <w:suff w:val="space"/>
      <w:lvlText w:val="%1.%2.%3.%4.%5.%6.%7"/>
      <w:lvlJc w:val="left"/>
      <w:rPr>
        <w:rFonts w:hint="default" w:cs="Times New Roman"/>
      </w:rPr>
    </w:lvl>
    <w:lvl w:ilvl="7" w:tentative="0">
      <w:start w:val="1"/>
      <w:numFmt w:val="decimal"/>
      <w:suff w:val="space"/>
      <w:lvlText w:val="%1.%2.%3.%4.%5.%6.%7.%8"/>
      <w:lvlJc w:val="left"/>
      <w:rPr>
        <w:rFonts w:hint="default" w:cs="Times New Roman"/>
      </w:rPr>
    </w:lvl>
    <w:lvl w:ilvl="8" w:tentative="0">
      <w:start w:val="1"/>
      <w:numFmt w:val="decimal"/>
      <w:suff w:val="space"/>
      <w:lvlText w:val="%1.%2.%3.%4.%5.%6.%7.%8.%9"/>
      <w:lvlJc w:val="left"/>
      <w:rPr>
        <w:rFonts w:hint="default" w:cs="Times New Roman"/>
      </w:rPr>
    </w:lvl>
  </w:abstractNum>
  <w:abstractNum w:abstractNumId="2">
    <w:nsid w:val="ADB3A60C"/>
    <w:multiLevelType w:val="singleLevel"/>
    <w:tmpl w:val="ADB3A60C"/>
    <w:lvl w:ilvl="0" w:tentative="0">
      <w:start w:val="2"/>
      <w:numFmt w:val="chineseCounting"/>
      <w:suff w:val="nothing"/>
      <w:lvlText w:val="（%1）"/>
      <w:lvlJc w:val="left"/>
      <w:rPr>
        <w:rFonts w:hint="eastAsia" w:cs="Times New Roman"/>
      </w:rPr>
    </w:lvl>
  </w:abstractNum>
  <w:abstractNum w:abstractNumId="3">
    <w:nsid w:val="D8DFCB99"/>
    <w:multiLevelType w:val="singleLevel"/>
    <w:tmpl w:val="D8DFCB99"/>
    <w:lvl w:ilvl="0" w:tentative="0">
      <w:start w:val="1"/>
      <w:numFmt w:val="decimal"/>
      <w:lvlText w:val="%1."/>
      <w:lvlJc w:val="left"/>
      <w:pPr>
        <w:tabs>
          <w:tab w:val="left" w:pos="312"/>
        </w:tabs>
      </w:pPr>
    </w:lvl>
  </w:abstractNum>
  <w:abstractNum w:abstractNumId="4">
    <w:nsid w:val="DE9385D2"/>
    <w:multiLevelType w:val="multilevel"/>
    <w:tmpl w:val="DE9385D2"/>
    <w:lvl w:ilvl="0" w:tentative="0">
      <w:start w:val="1"/>
      <w:numFmt w:val="decimal"/>
      <w:lvlText w:val="%1."/>
      <w:lvlJc w:val="left"/>
      <w:pPr>
        <w:ind w:left="579" w:hanging="244"/>
      </w:pPr>
      <w:rPr>
        <w:rFonts w:hint="default" w:ascii="宋体" w:hAnsi="宋体" w:eastAsia="宋体" w:cs="宋体"/>
        <w:b/>
        <w:bCs/>
        <w:i w:val="0"/>
        <w:iCs w:val="0"/>
        <w:spacing w:val="0"/>
        <w:w w:val="99"/>
        <w:sz w:val="22"/>
        <w:szCs w:val="22"/>
      </w:rPr>
    </w:lvl>
    <w:lvl w:ilvl="1" w:tentative="0">
      <w:start w:val="1"/>
      <w:numFmt w:val="decimal"/>
      <w:lvlText w:val="%2."/>
      <w:lvlJc w:val="left"/>
      <w:pPr>
        <w:ind w:left="636" w:hanging="241"/>
      </w:pPr>
      <w:rPr>
        <w:rFonts w:hint="default" w:ascii="宋体" w:hAnsi="宋体" w:eastAsia="宋体" w:cs="宋体"/>
        <w:b w:val="0"/>
        <w:bCs w:val="0"/>
        <w:i w:val="0"/>
        <w:iCs w:val="0"/>
        <w:w w:val="100"/>
        <w:sz w:val="22"/>
        <w:szCs w:val="22"/>
      </w:rPr>
    </w:lvl>
    <w:lvl w:ilvl="2" w:tentative="0">
      <w:start w:val="0"/>
      <w:numFmt w:val="bullet"/>
      <w:lvlText w:val="•"/>
      <w:lvlJc w:val="left"/>
      <w:pPr>
        <w:ind w:left="1683" w:hanging="241"/>
      </w:pPr>
      <w:rPr>
        <w:rFonts w:hint="default"/>
      </w:rPr>
    </w:lvl>
    <w:lvl w:ilvl="3" w:tentative="0">
      <w:start w:val="0"/>
      <w:numFmt w:val="bullet"/>
      <w:lvlText w:val="•"/>
      <w:lvlJc w:val="left"/>
      <w:pPr>
        <w:ind w:left="2726" w:hanging="241"/>
      </w:pPr>
      <w:rPr>
        <w:rFonts w:hint="default"/>
      </w:rPr>
    </w:lvl>
    <w:lvl w:ilvl="4" w:tentative="0">
      <w:start w:val="0"/>
      <w:numFmt w:val="bullet"/>
      <w:lvlText w:val="•"/>
      <w:lvlJc w:val="left"/>
      <w:pPr>
        <w:ind w:left="3770" w:hanging="241"/>
      </w:pPr>
      <w:rPr>
        <w:rFonts w:hint="default"/>
      </w:rPr>
    </w:lvl>
    <w:lvl w:ilvl="5" w:tentative="0">
      <w:start w:val="0"/>
      <w:numFmt w:val="bullet"/>
      <w:lvlText w:val="•"/>
      <w:lvlJc w:val="left"/>
      <w:pPr>
        <w:ind w:left="4813" w:hanging="241"/>
      </w:pPr>
      <w:rPr>
        <w:rFonts w:hint="default"/>
      </w:rPr>
    </w:lvl>
    <w:lvl w:ilvl="6" w:tentative="0">
      <w:start w:val="0"/>
      <w:numFmt w:val="bullet"/>
      <w:lvlText w:val="•"/>
      <w:lvlJc w:val="left"/>
      <w:pPr>
        <w:ind w:left="5856" w:hanging="241"/>
      </w:pPr>
      <w:rPr>
        <w:rFonts w:hint="default"/>
      </w:rPr>
    </w:lvl>
    <w:lvl w:ilvl="7" w:tentative="0">
      <w:start w:val="0"/>
      <w:numFmt w:val="bullet"/>
      <w:lvlText w:val="•"/>
      <w:lvlJc w:val="left"/>
      <w:pPr>
        <w:ind w:left="6900" w:hanging="241"/>
      </w:pPr>
      <w:rPr>
        <w:rFonts w:hint="default"/>
      </w:rPr>
    </w:lvl>
    <w:lvl w:ilvl="8" w:tentative="0">
      <w:start w:val="0"/>
      <w:numFmt w:val="bullet"/>
      <w:lvlText w:val="•"/>
      <w:lvlJc w:val="left"/>
      <w:pPr>
        <w:ind w:left="7943" w:hanging="241"/>
      </w:pPr>
      <w:rPr>
        <w:rFonts w:hint="default"/>
      </w:rPr>
    </w:lvl>
  </w:abstractNum>
  <w:abstractNum w:abstractNumId="5">
    <w:nsid w:val="F365E3D1"/>
    <w:multiLevelType w:val="singleLevel"/>
    <w:tmpl w:val="F365E3D1"/>
    <w:lvl w:ilvl="0" w:tentative="0">
      <w:start w:val="2"/>
      <w:numFmt w:val="chineseCounting"/>
      <w:suff w:val="nothing"/>
      <w:lvlText w:val="%1、"/>
      <w:lvlJc w:val="left"/>
      <w:rPr>
        <w:rFonts w:hint="eastAsia"/>
      </w:rPr>
    </w:lvl>
  </w:abstractNum>
  <w:abstractNum w:abstractNumId="6">
    <w:nsid w:val="1068C811"/>
    <w:multiLevelType w:val="singleLevel"/>
    <w:tmpl w:val="1068C811"/>
    <w:lvl w:ilvl="0" w:tentative="0">
      <w:start w:val="1"/>
      <w:numFmt w:val="decimal"/>
      <w:suff w:val="space"/>
      <w:lvlText w:val="%1."/>
      <w:lvlJc w:val="left"/>
      <w:rPr>
        <w:rFonts w:cs="Times New Roman"/>
      </w:rPr>
    </w:lvl>
  </w:abstractNum>
  <w:abstractNum w:abstractNumId="7">
    <w:nsid w:val="24619331"/>
    <w:multiLevelType w:val="singleLevel"/>
    <w:tmpl w:val="24619331"/>
    <w:lvl w:ilvl="0" w:tentative="0">
      <w:start w:val="1"/>
      <w:numFmt w:val="decimal"/>
      <w:suff w:val="nothing"/>
      <w:lvlText w:val="（%1）"/>
      <w:lvlJc w:val="left"/>
    </w:lvl>
  </w:abstractNum>
  <w:abstractNum w:abstractNumId="8">
    <w:nsid w:val="2554A3B8"/>
    <w:multiLevelType w:val="singleLevel"/>
    <w:tmpl w:val="2554A3B8"/>
    <w:lvl w:ilvl="0" w:tentative="0">
      <w:start w:val="1"/>
      <w:numFmt w:val="decimal"/>
      <w:lvlText w:val="%1."/>
      <w:lvlJc w:val="left"/>
      <w:pPr>
        <w:tabs>
          <w:tab w:val="left" w:pos="312"/>
        </w:tabs>
      </w:pPr>
    </w:lvl>
  </w:abstractNum>
  <w:abstractNum w:abstractNumId="9">
    <w:nsid w:val="2F542411"/>
    <w:multiLevelType w:val="singleLevel"/>
    <w:tmpl w:val="2F542411"/>
    <w:lvl w:ilvl="0" w:tentative="0">
      <w:start w:val="1"/>
      <w:numFmt w:val="upperLetter"/>
      <w:suff w:val="nothing"/>
      <w:lvlText w:val="%1、"/>
      <w:lvlJc w:val="left"/>
    </w:lvl>
  </w:abstractNum>
  <w:abstractNum w:abstractNumId="10">
    <w:nsid w:val="3486C138"/>
    <w:multiLevelType w:val="singleLevel"/>
    <w:tmpl w:val="3486C138"/>
    <w:lvl w:ilvl="0" w:tentative="0">
      <w:start w:val="1"/>
      <w:numFmt w:val="decimal"/>
      <w:suff w:val="nothing"/>
      <w:lvlText w:val="（%1）"/>
      <w:lvlJc w:val="left"/>
      <w:rPr>
        <w:rFonts w:cs="Times New Roman"/>
      </w:rPr>
    </w:lvl>
  </w:abstractNum>
  <w:abstractNum w:abstractNumId="11">
    <w:nsid w:val="426AA2D1"/>
    <w:multiLevelType w:val="singleLevel"/>
    <w:tmpl w:val="426AA2D1"/>
    <w:lvl w:ilvl="0" w:tentative="0">
      <w:start w:val="1"/>
      <w:numFmt w:val="decimal"/>
      <w:lvlText w:val="%1."/>
      <w:lvlJc w:val="left"/>
      <w:pPr>
        <w:tabs>
          <w:tab w:val="left" w:pos="312"/>
        </w:tabs>
      </w:pPr>
    </w:lvl>
  </w:abstractNum>
  <w:abstractNum w:abstractNumId="12">
    <w:nsid w:val="53E1A08B"/>
    <w:multiLevelType w:val="singleLevel"/>
    <w:tmpl w:val="53E1A08B"/>
    <w:lvl w:ilvl="0" w:tentative="0">
      <w:start w:val="2"/>
      <w:numFmt w:val="chineseCounting"/>
      <w:suff w:val="space"/>
      <w:lvlText w:val="第%1章"/>
      <w:lvlJc w:val="left"/>
      <w:rPr>
        <w:rFonts w:hint="eastAsia" w:cs="Times New Roman"/>
      </w:rPr>
    </w:lvl>
  </w:abstractNum>
  <w:abstractNum w:abstractNumId="13">
    <w:nsid w:val="53F3EEF4"/>
    <w:multiLevelType w:val="singleLevel"/>
    <w:tmpl w:val="53F3EEF4"/>
    <w:lvl w:ilvl="0" w:tentative="0">
      <w:start w:val="1"/>
      <w:numFmt w:val="decimal"/>
      <w:suff w:val="nothing"/>
      <w:lvlText w:val="%1、"/>
      <w:lvlJc w:val="left"/>
    </w:lvl>
  </w:abstractNum>
  <w:abstractNum w:abstractNumId="14">
    <w:nsid w:val="5CFE3973"/>
    <w:multiLevelType w:val="multilevel"/>
    <w:tmpl w:val="5CFE3973"/>
    <w:lvl w:ilvl="0" w:tentative="0">
      <w:start w:val="11"/>
      <w:numFmt w:val="decimal"/>
      <w:lvlText w:val="%1"/>
      <w:lvlJc w:val="left"/>
      <w:pPr>
        <w:ind w:left="336" w:hanging="600"/>
      </w:pPr>
      <w:rPr>
        <w:rFonts w:hint="default" w:cs="Times New Roman"/>
      </w:rPr>
    </w:lvl>
    <w:lvl w:ilvl="1" w:tentative="0">
      <w:start w:val="1"/>
      <w:numFmt w:val="decimal"/>
      <w:lvlText w:val="%1.%2"/>
      <w:lvlJc w:val="left"/>
      <w:pPr>
        <w:ind w:left="336" w:hanging="600"/>
      </w:pPr>
      <w:rPr>
        <w:rFonts w:hint="default" w:ascii="宋体" w:hAnsi="宋体" w:eastAsia="宋体" w:cs="宋体"/>
        <w:b w:val="0"/>
        <w:bCs w:val="0"/>
        <w:i w:val="0"/>
        <w:iCs w:val="0"/>
        <w:w w:val="100"/>
        <w:sz w:val="24"/>
        <w:szCs w:val="24"/>
      </w:rPr>
    </w:lvl>
    <w:lvl w:ilvl="2" w:tentative="0">
      <w:start w:val="1"/>
      <w:numFmt w:val="decimal"/>
      <w:lvlText w:val="%3."/>
      <w:lvlJc w:val="left"/>
      <w:pPr>
        <w:ind w:left="816" w:hanging="241"/>
      </w:pPr>
      <w:rPr>
        <w:rFonts w:hint="default" w:ascii="宋体" w:hAnsi="宋体" w:eastAsia="宋体" w:cs="宋体"/>
        <w:b w:val="0"/>
        <w:bCs w:val="0"/>
        <w:i w:val="0"/>
        <w:iCs w:val="0"/>
        <w:w w:val="100"/>
        <w:sz w:val="22"/>
        <w:szCs w:val="22"/>
      </w:rPr>
    </w:lvl>
    <w:lvl w:ilvl="3" w:tentative="0">
      <w:start w:val="0"/>
      <w:numFmt w:val="bullet"/>
      <w:lvlText w:val="•"/>
      <w:lvlJc w:val="left"/>
      <w:pPr>
        <w:ind w:left="2866" w:hanging="241"/>
      </w:pPr>
      <w:rPr>
        <w:rFonts w:hint="default"/>
      </w:rPr>
    </w:lvl>
    <w:lvl w:ilvl="4" w:tentative="0">
      <w:start w:val="0"/>
      <w:numFmt w:val="bullet"/>
      <w:lvlText w:val="•"/>
      <w:lvlJc w:val="left"/>
      <w:pPr>
        <w:ind w:left="3890" w:hanging="241"/>
      </w:pPr>
      <w:rPr>
        <w:rFonts w:hint="default"/>
      </w:rPr>
    </w:lvl>
    <w:lvl w:ilvl="5" w:tentative="0">
      <w:start w:val="0"/>
      <w:numFmt w:val="bullet"/>
      <w:lvlText w:val="•"/>
      <w:lvlJc w:val="left"/>
      <w:pPr>
        <w:ind w:left="4913" w:hanging="241"/>
      </w:pPr>
      <w:rPr>
        <w:rFonts w:hint="default"/>
      </w:rPr>
    </w:lvl>
    <w:lvl w:ilvl="6" w:tentative="0">
      <w:start w:val="0"/>
      <w:numFmt w:val="bullet"/>
      <w:lvlText w:val="•"/>
      <w:lvlJc w:val="left"/>
      <w:pPr>
        <w:ind w:left="5936" w:hanging="241"/>
      </w:pPr>
      <w:rPr>
        <w:rFonts w:hint="default"/>
      </w:rPr>
    </w:lvl>
    <w:lvl w:ilvl="7" w:tentative="0">
      <w:start w:val="0"/>
      <w:numFmt w:val="bullet"/>
      <w:lvlText w:val="•"/>
      <w:lvlJc w:val="left"/>
      <w:pPr>
        <w:ind w:left="6960" w:hanging="241"/>
      </w:pPr>
      <w:rPr>
        <w:rFonts w:hint="default"/>
      </w:rPr>
    </w:lvl>
    <w:lvl w:ilvl="8" w:tentative="0">
      <w:start w:val="0"/>
      <w:numFmt w:val="bullet"/>
      <w:lvlText w:val="•"/>
      <w:lvlJc w:val="left"/>
      <w:pPr>
        <w:ind w:left="7983" w:hanging="241"/>
      </w:pPr>
      <w:rPr>
        <w:rFonts w:hint="default"/>
      </w:rPr>
    </w:lvl>
  </w:abstractNum>
  <w:num w:numId="1">
    <w:abstractNumId w:val="12"/>
  </w:num>
  <w:num w:numId="2">
    <w:abstractNumId w:val="3"/>
  </w:num>
  <w:num w:numId="3">
    <w:abstractNumId w:val="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1"/>
  </w:num>
  <w:num w:numId="9">
    <w:abstractNumId w:val="13"/>
  </w:num>
  <w:num w:numId="10">
    <w:abstractNumId w:val="8"/>
  </w:num>
  <w:num w:numId="11">
    <w:abstractNumId w:val="7"/>
  </w:num>
  <w:num w:numId="12">
    <w:abstractNumId w:val="5"/>
  </w:num>
  <w:num w:numId="13">
    <w:abstractNumId w:val="1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2"/>
  <w:embedSystem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2MDM1Zjk3MWYzYTc0ODE5NGMwMDFjMGQwOTU1ZDAifQ=="/>
  </w:docVars>
  <w:rsids>
    <w:rsidRoot w:val="6CCC1D1B"/>
    <w:rsid w:val="000B6281"/>
    <w:rsid w:val="00665BAD"/>
    <w:rsid w:val="01042CD0"/>
    <w:rsid w:val="01395070"/>
    <w:rsid w:val="0156352C"/>
    <w:rsid w:val="01F84816"/>
    <w:rsid w:val="02854DA6"/>
    <w:rsid w:val="02B56978"/>
    <w:rsid w:val="02CF7A3A"/>
    <w:rsid w:val="02DB65A7"/>
    <w:rsid w:val="02E5280C"/>
    <w:rsid w:val="034E1A4E"/>
    <w:rsid w:val="035E4919"/>
    <w:rsid w:val="03810CCF"/>
    <w:rsid w:val="03ED5FC9"/>
    <w:rsid w:val="03FB03BA"/>
    <w:rsid w:val="03FD2384"/>
    <w:rsid w:val="043D6C25"/>
    <w:rsid w:val="043F31AA"/>
    <w:rsid w:val="0488132A"/>
    <w:rsid w:val="04BA3DF1"/>
    <w:rsid w:val="057D0931"/>
    <w:rsid w:val="05D62E8D"/>
    <w:rsid w:val="05FB64DB"/>
    <w:rsid w:val="060024AE"/>
    <w:rsid w:val="06103112"/>
    <w:rsid w:val="067601CC"/>
    <w:rsid w:val="069D39AB"/>
    <w:rsid w:val="076A2FDB"/>
    <w:rsid w:val="07BF5EA8"/>
    <w:rsid w:val="07DA01B9"/>
    <w:rsid w:val="07F25F78"/>
    <w:rsid w:val="086A6259"/>
    <w:rsid w:val="0895702F"/>
    <w:rsid w:val="08F301FA"/>
    <w:rsid w:val="099E6AD6"/>
    <w:rsid w:val="09AC5DD3"/>
    <w:rsid w:val="0A0856C6"/>
    <w:rsid w:val="0A5F5B47"/>
    <w:rsid w:val="0A8530D4"/>
    <w:rsid w:val="0A856C30"/>
    <w:rsid w:val="0AA12D94"/>
    <w:rsid w:val="0AB17A25"/>
    <w:rsid w:val="0AD84D58"/>
    <w:rsid w:val="0AFF4C34"/>
    <w:rsid w:val="0B1137D4"/>
    <w:rsid w:val="0B2226D0"/>
    <w:rsid w:val="0B8D20D9"/>
    <w:rsid w:val="0BD63AB0"/>
    <w:rsid w:val="0BF978D5"/>
    <w:rsid w:val="0C2B1A59"/>
    <w:rsid w:val="0C73630C"/>
    <w:rsid w:val="0C7451AE"/>
    <w:rsid w:val="0CC673BF"/>
    <w:rsid w:val="0CE42333"/>
    <w:rsid w:val="0D066349"/>
    <w:rsid w:val="0D2564A8"/>
    <w:rsid w:val="0DA273CD"/>
    <w:rsid w:val="0DC23114"/>
    <w:rsid w:val="0DDB2286"/>
    <w:rsid w:val="0E016238"/>
    <w:rsid w:val="0EBB0830"/>
    <w:rsid w:val="0EC96337"/>
    <w:rsid w:val="0EDB7766"/>
    <w:rsid w:val="0F250FAA"/>
    <w:rsid w:val="10156CA8"/>
    <w:rsid w:val="101A42BE"/>
    <w:rsid w:val="10535D9C"/>
    <w:rsid w:val="10685029"/>
    <w:rsid w:val="10A926FD"/>
    <w:rsid w:val="1131366D"/>
    <w:rsid w:val="118C2F9A"/>
    <w:rsid w:val="11BF511D"/>
    <w:rsid w:val="11CD7AC2"/>
    <w:rsid w:val="120B0362"/>
    <w:rsid w:val="121723F3"/>
    <w:rsid w:val="121D0DB5"/>
    <w:rsid w:val="121E0096"/>
    <w:rsid w:val="12211934"/>
    <w:rsid w:val="12490E8B"/>
    <w:rsid w:val="124B075F"/>
    <w:rsid w:val="125E66E4"/>
    <w:rsid w:val="12E14A8F"/>
    <w:rsid w:val="132C6C0E"/>
    <w:rsid w:val="13561AB1"/>
    <w:rsid w:val="138403CC"/>
    <w:rsid w:val="138A62D2"/>
    <w:rsid w:val="13A730FF"/>
    <w:rsid w:val="1444682C"/>
    <w:rsid w:val="14847F58"/>
    <w:rsid w:val="149E563B"/>
    <w:rsid w:val="14DA34ED"/>
    <w:rsid w:val="14F055ED"/>
    <w:rsid w:val="150E0609"/>
    <w:rsid w:val="1534372C"/>
    <w:rsid w:val="15685C72"/>
    <w:rsid w:val="159E5049"/>
    <w:rsid w:val="15EC2259"/>
    <w:rsid w:val="164C6DAB"/>
    <w:rsid w:val="165513CD"/>
    <w:rsid w:val="16585B40"/>
    <w:rsid w:val="16610551"/>
    <w:rsid w:val="1662251B"/>
    <w:rsid w:val="168626AD"/>
    <w:rsid w:val="16BA5EB3"/>
    <w:rsid w:val="170B4961"/>
    <w:rsid w:val="174D31CB"/>
    <w:rsid w:val="17A30EF0"/>
    <w:rsid w:val="17B574AD"/>
    <w:rsid w:val="17B9616B"/>
    <w:rsid w:val="18025D64"/>
    <w:rsid w:val="180E66B2"/>
    <w:rsid w:val="182B52BA"/>
    <w:rsid w:val="18A1732B"/>
    <w:rsid w:val="18D47700"/>
    <w:rsid w:val="18ED3323"/>
    <w:rsid w:val="19053D5D"/>
    <w:rsid w:val="19434886"/>
    <w:rsid w:val="1977008B"/>
    <w:rsid w:val="19792055"/>
    <w:rsid w:val="199E06BE"/>
    <w:rsid w:val="19A560B8"/>
    <w:rsid w:val="19BD1B7A"/>
    <w:rsid w:val="19D83220"/>
    <w:rsid w:val="19F06A96"/>
    <w:rsid w:val="1B3D393E"/>
    <w:rsid w:val="1B994BDB"/>
    <w:rsid w:val="1BED2887"/>
    <w:rsid w:val="1C0323C0"/>
    <w:rsid w:val="1C1918CE"/>
    <w:rsid w:val="1C4E5A1B"/>
    <w:rsid w:val="1C9F1DD3"/>
    <w:rsid w:val="1CFB015B"/>
    <w:rsid w:val="1D6B6159"/>
    <w:rsid w:val="1D7E5E8C"/>
    <w:rsid w:val="1D9B6A3E"/>
    <w:rsid w:val="1DA33B45"/>
    <w:rsid w:val="1DB91C7D"/>
    <w:rsid w:val="1DCF0F79"/>
    <w:rsid w:val="1DFF039E"/>
    <w:rsid w:val="1E276524"/>
    <w:rsid w:val="1EA336D1"/>
    <w:rsid w:val="1EB55657"/>
    <w:rsid w:val="1ED558F8"/>
    <w:rsid w:val="1F433F10"/>
    <w:rsid w:val="1F95570F"/>
    <w:rsid w:val="1FDB2EE6"/>
    <w:rsid w:val="1FE10954"/>
    <w:rsid w:val="20065D2D"/>
    <w:rsid w:val="202820DF"/>
    <w:rsid w:val="204213F3"/>
    <w:rsid w:val="208F215E"/>
    <w:rsid w:val="20DF4E94"/>
    <w:rsid w:val="21331FC1"/>
    <w:rsid w:val="21C422DC"/>
    <w:rsid w:val="21E36C06"/>
    <w:rsid w:val="21FC6C72"/>
    <w:rsid w:val="22141307"/>
    <w:rsid w:val="22230DB0"/>
    <w:rsid w:val="22364F87"/>
    <w:rsid w:val="223E5BEA"/>
    <w:rsid w:val="225E628C"/>
    <w:rsid w:val="22851A6B"/>
    <w:rsid w:val="22A243CB"/>
    <w:rsid w:val="22B569E9"/>
    <w:rsid w:val="22BD7457"/>
    <w:rsid w:val="22C02AA3"/>
    <w:rsid w:val="22D20CB4"/>
    <w:rsid w:val="22D80C0E"/>
    <w:rsid w:val="23403BE4"/>
    <w:rsid w:val="235D4796"/>
    <w:rsid w:val="23C91E2B"/>
    <w:rsid w:val="24402A93"/>
    <w:rsid w:val="24D82326"/>
    <w:rsid w:val="250A75F6"/>
    <w:rsid w:val="255E0351"/>
    <w:rsid w:val="25A530AD"/>
    <w:rsid w:val="25D52D09"/>
    <w:rsid w:val="26153106"/>
    <w:rsid w:val="268C786C"/>
    <w:rsid w:val="26957503"/>
    <w:rsid w:val="26A821CC"/>
    <w:rsid w:val="26AB75C6"/>
    <w:rsid w:val="26E36D60"/>
    <w:rsid w:val="27677991"/>
    <w:rsid w:val="278542BB"/>
    <w:rsid w:val="27A84A9C"/>
    <w:rsid w:val="27BF77CD"/>
    <w:rsid w:val="27DA4607"/>
    <w:rsid w:val="280678EA"/>
    <w:rsid w:val="28096170"/>
    <w:rsid w:val="288F4F38"/>
    <w:rsid w:val="289742A6"/>
    <w:rsid w:val="28C055AB"/>
    <w:rsid w:val="28F434A6"/>
    <w:rsid w:val="29086F52"/>
    <w:rsid w:val="299D756B"/>
    <w:rsid w:val="29B8189D"/>
    <w:rsid w:val="29C349B7"/>
    <w:rsid w:val="2A3F4BF5"/>
    <w:rsid w:val="2A846AAC"/>
    <w:rsid w:val="2AB0164F"/>
    <w:rsid w:val="2ABC6246"/>
    <w:rsid w:val="2ACA0963"/>
    <w:rsid w:val="2AF76522"/>
    <w:rsid w:val="2B475E24"/>
    <w:rsid w:val="2B9F3B9D"/>
    <w:rsid w:val="2BAA2542"/>
    <w:rsid w:val="2BCA4992"/>
    <w:rsid w:val="2BF46A00"/>
    <w:rsid w:val="2C0E0D23"/>
    <w:rsid w:val="2C471B3F"/>
    <w:rsid w:val="2C646B95"/>
    <w:rsid w:val="2C901738"/>
    <w:rsid w:val="2CC31B0E"/>
    <w:rsid w:val="2CE7712B"/>
    <w:rsid w:val="2CF81446"/>
    <w:rsid w:val="2D0D0FDB"/>
    <w:rsid w:val="2DBB4593"/>
    <w:rsid w:val="2DEB6E74"/>
    <w:rsid w:val="2E1D524D"/>
    <w:rsid w:val="2EA119DB"/>
    <w:rsid w:val="2F0401BB"/>
    <w:rsid w:val="2F320885"/>
    <w:rsid w:val="2FB223BC"/>
    <w:rsid w:val="2FDD4C94"/>
    <w:rsid w:val="2FF131D4"/>
    <w:rsid w:val="30226B4B"/>
    <w:rsid w:val="30B637BB"/>
    <w:rsid w:val="30D836AE"/>
    <w:rsid w:val="30DB4CF6"/>
    <w:rsid w:val="313B316A"/>
    <w:rsid w:val="31456F95"/>
    <w:rsid w:val="31AE3364"/>
    <w:rsid w:val="31E00A6C"/>
    <w:rsid w:val="31ED1F65"/>
    <w:rsid w:val="320F1351"/>
    <w:rsid w:val="32110C25"/>
    <w:rsid w:val="321D3A6E"/>
    <w:rsid w:val="330445FA"/>
    <w:rsid w:val="334F40FB"/>
    <w:rsid w:val="339E5B16"/>
    <w:rsid w:val="33A61841"/>
    <w:rsid w:val="33BB6DF6"/>
    <w:rsid w:val="33D04B10"/>
    <w:rsid w:val="34403A44"/>
    <w:rsid w:val="34684A32"/>
    <w:rsid w:val="347656B7"/>
    <w:rsid w:val="34A264AC"/>
    <w:rsid w:val="34BE15C4"/>
    <w:rsid w:val="34E95E89"/>
    <w:rsid w:val="34F0546A"/>
    <w:rsid w:val="351D5B33"/>
    <w:rsid w:val="35E87EEF"/>
    <w:rsid w:val="360D3DFA"/>
    <w:rsid w:val="362C1AE2"/>
    <w:rsid w:val="362D1DA6"/>
    <w:rsid w:val="364D069A"/>
    <w:rsid w:val="36A007CA"/>
    <w:rsid w:val="36C56482"/>
    <w:rsid w:val="37716772"/>
    <w:rsid w:val="3772660A"/>
    <w:rsid w:val="37887BDC"/>
    <w:rsid w:val="37BE184F"/>
    <w:rsid w:val="38327B47"/>
    <w:rsid w:val="389425B0"/>
    <w:rsid w:val="38A5656B"/>
    <w:rsid w:val="38D155B2"/>
    <w:rsid w:val="391601B4"/>
    <w:rsid w:val="39643D30"/>
    <w:rsid w:val="399C796E"/>
    <w:rsid w:val="399F745E"/>
    <w:rsid w:val="39C944DB"/>
    <w:rsid w:val="39E84962"/>
    <w:rsid w:val="3A157778"/>
    <w:rsid w:val="3AAF722D"/>
    <w:rsid w:val="3AB111F7"/>
    <w:rsid w:val="3ACF5B21"/>
    <w:rsid w:val="3B0C4680"/>
    <w:rsid w:val="3B20637D"/>
    <w:rsid w:val="3B581673"/>
    <w:rsid w:val="3B702E61"/>
    <w:rsid w:val="3BC60CD2"/>
    <w:rsid w:val="3BD77022"/>
    <w:rsid w:val="3C29300F"/>
    <w:rsid w:val="3C96602F"/>
    <w:rsid w:val="3CDC62D4"/>
    <w:rsid w:val="3DBF59D9"/>
    <w:rsid w:val="3DD57B16"/>
    <w:rsid w:val="3DE82891"/>
    <w:rsid w:val="3DFA1607"/>
    <w:rsid w:val="3E156929"/>
    <w:rsid w:val="3E377C66"/>
    <w:rsid w:val="3E4D7A48"/>
    <w:rsid w:val="3E9230EE"/>
    <w:rsid w:val="3EAE5A4E"/>
    <w:rsid w:val="3F5860E5"/>
    <w:rsid w:val="3F7722E4"/>
    <w:rsid w:val="3F7B2E16"/>
    <w:rsid w:val="3F890995"/>
    <w:rsid w:val="3F9F4F42"/>
    <w:rsid w:val="40185875"/>
    <w:rsid w:val="40294FD0"/>
    <w:rsid w:val="402B1824"/>
    <w:rsid w:val="41097E97"/>
    <w:rsid w:val="41160006"/>
    <w:rsid w:val="415D5C35"/>
    <w:rsid w:val="41A04032"/>
    <w:rsid w:val="41D61543"/>
    <w:rsid w:val="41E12488"/>
    <w:rsid w:val="41EC0D67"/>
    <w:rsid w:val="41EF2605"/>
    <w:rsid w:val="42114C71"/>
    <w:rsid w:val="42273E61"/>
    <w:rsid w:val="423B3A9C"/>
    <w:rsid w:val="4249440B"/>
    <w:rsid w:val="426A2D2C"/>
    <w:rsid w:val="43525522"/>
    <w:rsid w:val="438077F3"/>
    <w:rsid w:val="43A318F9"/>
    <w:rsid w:val="43F3462F"/>
    <w:rsid w:val="44501A81"/>
    <w:rsid w:val="44AC2A30"/>
    <w:rsid w:val="44BD69EB"/>
    <w:rsid w:val="45120AE5"/>
    <w:rsid w:val="4517434D"/>
    <w:rsid w:val="45285849"/>
    <w:rsid w:val="4547215D"/>
    <w:rsid w:val="4580244D"/>
    <w:rsid w:val="458A4B1F"/>
    <w:rsid w:val="459D5567"/>
    <w:rsid w:val="45B85B30"/>
    <w:rsid w:val="46027B5A"/>
    <w:rsid w:val="4647558D"/>
    <w:rsid w:val="46D02A05"/>
    <w:rsid w:val="46E14C12"/>
    <w:rsid w:val="474B6530"/>
    <w:rsid w:val="476D46F8"/>
    <w:rsid w:val="47705F96"/>
    <w:rsid w:val="47A14939"/>
    <w:rsid w:val="47B562E3"/>
    <w:rsid w:val="47C36A0E"/>
    <w:rsid w:val="48541414"/>
    <w:rsid w:val="48BF2D31"/>
    <w:rsid w:val="48CE7418"/>
    <w:rsid w:val="48EC789E"/>
    <w:rsid w:val="491F5D08"/>
    <w:rsid w:val="49E14F29"/>
    <w:rsid w:val="49EF440A"/>
    <w:rsid w:val="49F20EE5"/>
    <w:rsid w:val="4A301A0D"/>
    <w:rsid w:val="4A3C3144"/>
    <w:rsid w:val="4A54710F"/>
    <w:rsid w:val="4A9C36AB"/>
    <w:rsid w:val="4B5E0F27"/>
    <w:rsid w:val="4C060CE1"/>
    <w:rsid w:val="4C247489"/>
    <w:rsid w:val="4C431ECB"/>
    <w:rsid w:val="4C433C79"/>
    <w:rsid w:val="4C5479B0"/>
    <w:rsid w:val="4CB16E35"/>
    <w:rsid w:val="4CC90623"/>
    <w:rsid w:val="4D115B26"/>
    <w:rsid w:val="4D3D4B6D"/>
    <w:rsid w:val="4D447DD6"/>
    <w:rsid w:val="4D4952BF"/>
    <w:rsid w:val="4D5D520F"/>
    <w:rsid w:val="4D9F3131"/>
    <w:rsid w:val="4DA64B6C"/>
    <w:rsid w:val="4DBB3B00"/>
    <w:rsid w:val="4DDF79D2"/>
    <w:rsid w:val="4E094A4F"/>
    <w:rsid w:val="4E165AE9"/>
    <w:rsid w:val="4E2F2C58"/>
    <w:rsid w:val="4E485577"/>
    <w:rsid w:val="4E48737C"/>
    <w:rsid w:val="4E6F6FA8"/>
    <w:rsid w:val="4EA75C5A"/>
    <w:rsid w:val="4EE259CC"/>
    <w:rsid w:val="4EE631A7"/>
    <w:rsid w:val="4F302BDB"/>
    <w:rsid w:val="4F6A1303"/>
    <w:rsid w:val="4F764366"/>
    <w:rsid w:val="4FBC621D"/>
    <w:rsid w:val="4FC11A85"/>
    <w:rsid w:val="4FC568A1"/>
    <w:rsid w:val="500E7CC5"/>
    <w:rsid w:val="501C315F"/>
    <w:rsid w:val="501E6ED7"/>
    <w:rsid w:val="502E3492"/>
    <w:rsid w:val="50350ED7"/>
    <w:rsid w:val="504E68E8"/>
    <w:rsid w:val="50AF5D81"/>
    <w:rsid w:val="50E83041"/>
    <w:rsid w:val="510760F2"/>
    <w:rsid w:val="51106C21"/>
    <w:rsid w:val="51263104"/>
    <w:rsid w:val="51B80C66"/>
    <w:rsid w:val="51BF1FF4"/>
    <w:rsid w:val="51FF0643"/>
    <w:rsid w:val="526F0D33"/>
    <w:rsid w:val="52C23008"/>
    <w:rsid w:val="52D03D8D"/>
    <w:rsid w:val="534E6397"/>
    <w:rsid w:val="541008E5"/>
    <w:rsid w:val="5414112F"/>
    <w:rsid w:val="54183C3E"/>
    <w:rsid w:val="543550AF"/>
    <w:rsid w:val="54574766"/>
    <w:rsid w:val="54D1276A"/>
    <w:rsid w:val="552A1E7F"/>
    <w:rsid w:val="5540047B"/>
    <w:rsid w:val="55826B5A"/>
    <w:rsid w:val="5583158B"/>
    <w:rsid w:val="5588094F"/>
    <w:rsid w:val="55CB0FAC"/>
    <w:rsid w:val="55CE45EF"/>
    <w:rsid w:val="56301712"/>
    <w:rsid w:val="566118CC"/>
    <w:rsid w:val="5717642E"/>
    <w:rsid w:val="575256B8"/>
    <w:rsid w:val="575D6537"/>
    <w:rsid w:val="576066BE"/>
    <w:rsid w:val="577675F9"/>
    <w:rsid w:val="577B69BD"/>
    <w:rsid w:val="57A579F3"/>
    <w:rsid w:val="57CE2EBC"/>
    <w:rsid w:val="57D31D9D"/>
    <w:rsid w:val="580E0C05"/>
    <w:rsid w:val="581C4403"/>
    <w:rsid w:val="58904F59"/>
    <w:rsid w:val="58C12AF6"/>
    <w:rsid w:val="592762E1"/>
    <w:rsid w:val="59305585"/>
    <w:rsid w:val="59510812"/>
    <w:rsid w:val="595353A2"/>
    <w:rsid w:val="5A042C75"/>
    <w:rsid w:val="5A137381"/>
    <w:rsid w:val="5A8262B5"/>
    <w:rsid w:val="5A900D5F"/>
    <w:rsid w:val="5AF730C2"/>
    <w:rsid w:val="5B5C6B06"/>
    <w:rsid w:val="5B946295"/>
    <w:rsid w:val="5BA26C0E"/>
    <w:rsid w:val="5BC72888"/>
    <w:rsid w:val="5C076A71"/>
    <w:rsid w:val="5C245875"/>
    <w:rsid w:val="5C294C3A"/>
    <w:rsid w:val="5C3163EC"/>
    <w:rsid w:val="5C447CC6"/>
    <w:rsid w:val="5C616DD3"/>
    <w:rsid w:val="5C78796F"/>
    <w:rsid w:val="5C790656"/>
    <w:rsid w:val="5D027239"/>
    <w:rsid w:val="5D573A29"/>
    <w:rsid w:val="5E272947"/>
    <w:rsid w:val="5E481638"/>
    <w:rsid w:val="5E7919F9"/>
    <w:rsid w:val="5E864BBA"/>
    <w:rsid w:val="5ED06A86"/>
    <w:rsid w:val="5EEC63F2"/>
    <w:rsid w:val="5F0B0F9E"/>
    <w:rsid w:val="5F13572D"/>
    <w:rsid w:val="5F296CFF"/>
    <w:rsid w:val="5F3C2ED6"/>
    <w:rsid w:val="5F772160"/>
    <w:rsid w:val="600A6B30"/>
    <w:rsid w:val="60234096"/>
    <w:rsid w:val="609B00D0"/>
    <w:rsid w:val="609C06B7"/>
    <w:rsid w:val="61646714"/>
    <w:rsid w:val="619458FD"/>
    <w:rsid w:val="61A60ADB"/>
    <w:rsid w:val="61E17D65"/>
    <w:rsid w:val="624F1172"/>
    <w:rsid w:val="62854B94"/>
    <w:rsid w:val="62D358FF"/>
    <w:rsid w:val="632653D9"/>
    <w:rsid w:val="634C47E8"/>
    <w:rsid w:val="637A3FCD"/>
    <w:rsid w:val="638D707F"/>
    <w:rsid w:val="63A332E7"/>
    <w:rsid w:val="63FE69AC"/>
    <w:rsid w:val="64195594"/>
    <w:rsid w:val="643E324C"/>
    <w:rsid w:val="64BB2AEF"/>
    <w:rsid w:val="64DE67DD"/>
    <w:rsid w:val="64EF2752"/>
    <w:rsid w:val="64F41B5D"/>
    <w:rsid w:val="6545060B"/>
    <w:rsid w:val="6582360D"/>
    <w:rsid w:val="65FF4C5D"/>
    <w:rsid w:val="665E57F4"/>
    <w:rsid w:val="67123833"/>
    <w:rsid w:val="67241AA7"/>
    <w:rsid w:val="67281F92"/>
    <w:rsid w:val="673144D8"/>
    <w:rsid w:val="674768BC"/>
    <w:rsid w:val="679F11A6"/>
    <w:rsid w:val="67C73559"/>
    <w:rsid w:val="67E4235D"/>
    <w:rsid w:val="68260593"/>
    <w:rsid w:val="6850354E"/>
    <w:rsid w:val="685F3791"/>
    <w:rsid w:val="686134C7"/>
    <w:rsid w:val="68882CE8"/>
    <w:rsid w:val="68E85E7D"/>
    <w:rsid w:val="6907076B"/>
    <w:rsid w:val="691A0A26"/>
    <w:rsid w:val="693D5649"/>
    <w:rsid w:val="696574CD"/>
    <w:rsid w:val="69AB38CC"/>
    <w:rsid w:val="6A1D3904"/>
    <w:rsid w:val="6A7B27A9"/>
    <w:rsid w:val="6ABA5FF7"/>
    <w:rsid w:val="6AD93CCF"/>
    <w:rsid w:val="6AEF704E"/>
    <w:rsid w:val="6B036F9E"/>
    <w:rsid w:val="6B20545A"/>
    <w:rsid w:val="6B264A3A"/>
    <w:rsid w:val="6B3B6738"/>
    <w:rsid w:val="6B68554D"/>
    <w:rsid w:val="6B8974A3"/>
    <w:rsid w:val="6BAE6F0A"/>
    <w:rsid w:val="6BE01F8A"/>
    <w:rsid w:val="6C25027B"/>
    <w:rsid w:val="6C44161C"/>
    <w:rsid w:val="6CCC1D1B"/>
    <w:rsid w:val="6D167479"/>
    <w:rsid w:val="6D2356D5"/>
    <w:rsid w:val="6D2646F7"/>
    <w:rsid w:val="6D5E670D"/>
    <w:rsid w:val="6DA560EA"/>
    <w:rsid w:val="6DE3690D"/>
    <w:rsid w:val="6DF36E56"/>
    <w:rsid w:val="6E0252EB"/>
    <w:rsid w:val="6E0A23F1"/>
    <w:rsid w:val="6E1D46BB"/>
    <w:rsid w:val="6EA37EDF"/>
    <w:rsid w:val="6EB760D5"/>
    <w:rsid w:val="6EB84D6F"/>
    <w:rsid w:val="6EBD1290"/>
    <w:rsid w:val="6EE45C9F"/>
    <w:rsid w:val="6EFC61DE"/>
    <w:rsid w:val="6F103A37"/>
    <w:rsid w:val="6F433AAD"/>
    <w:rsid w:val="6F4A6F49"/>
    <w:rsid w:val="6F5C6C7D"/>
    <w:rsid w:val="6FB865A9"/>
    <w:rsid w:val="6FCC795E"/>
    <w:rsid w:val="6FCF56A0"/>
    <w:rsid w:val="6FD827A7"/>
    <w:rsid w:val="7036571F"/>
    <w:rsid w:val="705F07D2"/>
    <w:rsid w:val="70B56644"/>
    <w:rsid w:val="70F52EE5"/>
    <w:rsid w:val="710E12C0"/>
    <w:rsid w:val="719324B2"/>
    <w:rsid w:val="71A52B5D"/>
    <w:rsid w:val="71BE3C1E"/>
    <w:rsid w:val="722F2426"/>
    <w:rsid w:val="725974A3"/>
    <w:rsid w:val="726E2F4F"/>
    <w:rsid w:val="73012015"/>
    <w:rsid w:val="731004AA"/>
    <w:rsid w:val="733B7C71"/>
    <w:rsid w:val="7342122D"/>
    <w:rsid w:val="73614861"/>
    <w:rsid w:val="7374041D"/>
    <w:rsid w:val="73942E89"/>
    <w:rsid w:val="739629B5"/>
    <w:rsid w:val="742D0BE7"/>
    <w:rsid w:val="7491469F"/>
    <w:rsid w:val="74956EB9"/>
    <w:rsid w:val="74A0585D"/>
    <w:rsid w:val="74CB28DA"/>
    <w:rsid w:val="759E1D9D"/>
    <w:rsid w:val="75A241B6"/>
    <w:rsid w:val="75F220E9"/>
    <w:rsid w:val="76893729"/>
    <w:rsid w:val="76CA730F"/>
    <w:rsid w:val="76DA5057"/>
    <w:rsid w:val="77626DFA"/>
    <w:rsid w:val="77732F67"/>
    <w:rsid w:val="77A45665"/>
    <w:rsid w:val="77B77146"/>
    <w:rsid w:val="77B80A62"/>
    <w:rsid w:val="77DE08BF"/>
    <w:rsid w:val="77E12415"/>
    <w:rsid w:val="781F7B88"/>
    <w:rsid w:val="78270C1F"/>
    <w:rsid w:val="784D3606"/>
    <w:rsid w:val="785227EC"/>
    <w:rsid w:val="7881167C"/>
    <w:rsid w:val="78A05E2C"/>
    <w:rsid w:val="78BF6934"/>
    <w:rsid w:val="78D02DFD"/>
    <w:rsid w:val="78D21D5D"/>
    <w:rsid w:val="790939D1"/>
    <w:rsid w:val="79B2253B"/>
    <w:rsid w:val="79B2594A"/>
    <w:rsid w:val="79B53B59"/>
    <w:rsid w:val="7A6A1F9F"/>
    <w:rsid w:val="7AE446F6"/>
    <w:rsid w:val="7B195B51"/>
    <w:rsid w:val="7B2C1BF9"/>
    <w:rsid w:val="7B42141C"/>
    <w:rsid w:val="7B7D06A6"/>
    <w:rsid w:val="7B937896"/>
    <w:rsid w:val="7BB56B01"/>
    <w:rsid w:val="7BB75966"/>
    <w:rsid w:val="7C0E12FE"/>
    <w:rsid w:val="7CA10D08"/>
    <w:rsid w:val="7CBC6FAC"/>
    <w:rsid w:val="7D3E3E65"/>
    <w:rsid w:val="7D4C20DE"/>
    <w:rsid w:val="7DB57F98"/>
    <w:rsid w:val="7DC51384"/>
    <w:rsid w:val="7DD93BCA"/>
    <w:rsid w:val="7DEB7B49"/>
    <w:rsid w:val="7E094473"/>
    <w:rsid w:val="7EB0669D"/>
    <w:rsid w:val="7F1E7AAB"/>
    <w:rsid w:val="7F270A21"/>
    <w:rsid w:val="7F2A72D7"/>
    <w:rsid w:val="7F2E23E3"/>
    <w:rsid w:val="7F736048"/>
    <w:rsid w:val="7F7E5CC6"/>
    <w:rsid w:val="7FEE1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qFormat="1" w:unhideWhenUsed="0" w:uiPriority="99"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9"/>
    <w:pPr>
      <w:keepNext/>
      <w:keepLines/>
      <w:spacing w:line="360" w:lineRule="auto"/>
      <w:jc w:val="center"/>
      <w:outlineLvl w:val="0"/>
    </w:pPr>
    <w:rPr>
      <w:b/>
      <w:kern w:val="44"/>
      <w:sz w:val="32"/>
      <w:szCs w:val="20"/>
    </w:rPr>
  </w:style>
  <w:style w:type="paragraph" w:styleId="3">
    <w:name w:val="heading 2"/>
    <w:basedOn w:val="1"/>
    <w:next w:val="1"/>
    <w:link w:val="28"/>
    <w:qFormat/>
    <w:uiPriority w:val="99"/>
    <w:pPr>
      <w:keepNext/>
      <w:keepLines/>
      <w:spacing w:line="360" w:lineRule="auto"/>
      <w:jc w:val="left"/>
      <w:outlineLvl w:val="1"/>
    </w:pPr>
    <w:rPr>
      <w:rFonts w:ascii="Arial" w:hAnsi="Arial"/>
      <w:b/>
      <w:sz w:val="24"/>
      <w:szCs w:val="20"/>
    </w:rPr>
  </w:style>
  <w:style w:type="paragraph" w:styleId="4">
    <w:name w:val="heading 3"/>
    <w:basedOn w:val="1"/>
    <w:next w:val="1"/>
    <w:qFormat/>
    <w:uiPriority w:val="99"/>
    <w:pPr>
      <w:keepNext/>
      <w:keepLines/>
      <w:spacing w:line="360" w:lineRule="auto"/>
      <w:jc w:val="left"/>
      <w:outlineLvl w:val="2"/>
    </w:pPr>
    <w:rPr>
      <w:b/>
      <w:szCs w:val="20"/>
    </w:rPr>
  </w:style>
  <w:style w:type="paragraph" w:styleId="5">
    <w:name w:val="heading 4"/>
    <w:basedOn w:val="1"/>
    <w:next w:val="1"/>
    <w:autoRedefine/>
    <w:qFormat/>
    <w:uiPriority w:val="0"/>
    <w:pPr>
      <w:keepNext/>
      <w:keepLines/>
      <w:ind w:firstLine="0" w:firstLineChars="0"/>
      <w:outlineLvl w:val="3"/>
    </w:pPr>
    <w:rPr>
      <w:rFonts w:ascii="Arial" w:hAnsi="Arial"/>
      <w:b/>
      <w:sz w:val="28"/>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6">
    <w:name w:val="Normal Indent"/>
    <w:basedOn w:val="1"/>
    <w:autoRedefine/>
    <w:qFormat/>
    <w:uiPriority w:val="99"/>
    <w:pPr>
      <w:ind w:firstLine="420"/>
    </w:pPr>
    <w:rPr>
      <w:szCs w:val="20"/>
    </w:rPr>
  </w:style>
  <w:style w:type="paragraph" w:styleId="7">
    <w:name w:val="Body Text"/>
    <w:basedOn w:val="1"/>
    <w:next w:val="8"/>
    <w:autoRedefine/>
    <w:qFormat/>
    <w:uiPriority w:val="99"/>
    <w:pPr>
      <w:spacing w:after="120"/>
    </w:pPr>
    <w:rPr>
      <w:sz w:val="24"/>
      <w:szCs w:val="20"/>
    </w:rPr>
  </w:style>
  <w:style w:type="paragraph" w:customStyle="1" w:styleId="8">
    <w:name w:val="Default"/>
    <w:next w:val="1"/>
    <w:autoRedefine/>
    <w:qFormat/>
    <w:uiPriority w:val="99"/>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styleId="9">
    <w:name w:val="Body Text Indent"/>
    <w:basedOn w:val="1"/>
    <w:next w:val="10"/>
    <w:autoRedefine/>
    <w:qFormat/>
    <w:uiPriority w:val="99"/>
    <w:pPr>
      <w:spacing w:after="120"/>
      <w:ind w:left="420" w:leftChars="200"/>
    </w:pPr>
    <w:rPr>
      <w:sz w:val="24"/>
      <w:szCs w:val="20"/>
    </w:rPr>
  </w:style>
  <w:style w:type="paragraph" w:styleId="10">
    <w:name w:val="envelope return"/>
    <w:basedOn w:val="1"/>
    <w:autoRedefine/>
    <w:qFormat/>
    <w:uiPriority w:val="99"/>
    <w:pPr>
      <w:snapToGrid w:val="0"/>
      <w:jc w:val="left"/>
    </w:pPr>
    <w:rPr>
      <w:rFonts w:ascii="Arial" w:hAnsi="Arial" w:cs="黑体"/>
      <w:kern w:val="0"/>
      <w:sz w:val="22"/>
      <w:szCs w:val="22"/>
      <w:lang w:eastAsia="en-US"/>
    </w:rPr>
  </w:style>
  <w:style w:type="paragraph" w:styleId="11">
    <w:name w:val="List 2"/>
    <w:basedOn w:val="1"/>
    <w:autoRedefine/>
    <w:qFormat/>
    <w:uiPriority w:val="99"/>
    <w:pPr>
      <w:ind w:left="100" w:leftChars="200" w:hanging="200" w:hangingChars="200"/>
    </w:pPr>
  </w:style>
  <w:style w:type="paragraph" w:styleId="12">
    <w:name w:val="Block Text"/>
    <w:basedOn w:val="1"/>
    <w:autoRedefine/>
    <w:qFormat/>
    <w:uiPriority w:val="99"/>
    <w:pPr>
      <w:spacing w:after="120"/>
      <w:ind w:left="1440" w:leftChars="700" w:right="1440" w:rightChars="700"/>
    </w:pPr>
  </w:style>
  <w:style w:type="paragraph" w:styleId="13">
    <w:name w:val="Plain Text"/>
    <w:basedOn w:val="1"/>
    <w:autoRedefine/>
    <w:qFormat/>
    <w:uiPriority w:val="99"/>
    <w:rPr>
      <w:rFonts w:ascii="宋体" w:hAnsi="Courier New"/>
      <w:szCs w:val="20"/>
    </w:rPr>
  </w:style>
  <w:style w:type="paragraph" w:styleId="14">
    <w:name w:val="Date"/>
    <w:basedOn w:val="1"/>
    <w:next w:val="1"/>
    <w:unhideWhenUsed/>
    <w:qFormat/>
    <w:uiPriority w:val="99"/>
    <w:pPr>
      <w:tabs>
        <w:tab w:val="left" w:pos="420"/>
      </w:tabs>
      <w:ind w:left="100" w:leftChars="2500"/>
    </w:pPr>
  </w:style>
  <w:style w:type="paragraph" w:styleId="15">
    <w:name w:val="Body Text Indent 2"/>
    <w:basedOn w:val="1"/>
    <w:next w:val="1"/>
    <w:autoRedefine/>
    <w:qFormat/>
    <w:uiPriority w:val="99"/>
    <w:pPr>
      <w:spacing w:after="120" w:line="480" w:lineRule="auto"/>
      <w:ind w:left="420" w:leftChars="200"/>
    </w:pPr>
    <w:rPr>
      <w:sz w:val="24"/>
      <w:szCs w:val="20"/>
    </w:rPr>
  </w:style>
  <w:style w:type="paragraph" w:styleId="16">
    <w:name w:val="footer"/>
    <w:basedOn w:val="1"/>
    <w:autoRedefine/>
    <w:qFormat/>
    <w:uiPriority w:val="99"/>
    <w:pPr>
      <w:tabs>
        <w:tab w:val="center" w:pos="4153"/>
        <w:tab w:val="right" w:pos="8306"/>
      </w:tabs>
      <w:snapToGrid w:val="0"/>
      <w:jc w:val="left"/>
    </w:pPr>
    <w:rPr>
      <w:sz w:val="18"/>
      <w:szCs w:val="20"/>
    </w:rPr>
  </w:style>
  <w:style w:type="paragraph" w:styleId="17">
    <w:name w:val="header"/>
    <w:basedOn w:val="1"/>
    <w:autoRedefine/>
    <w:qFormat/>
    <w:uiPriority w:val="99"/>
    <w:pPr>
      <w:pBdr>
        <w:bottom w:val="single" w:color="auto" w:sz="6" w:space="1"/>
      </w:pBdr>
      <w:tabs>
        <w:tab w:val="center" w:pos="4153"/>
        <w:tab w:val="right" w:pos="8306"/>
      </w:tabs>
      <w:snapToGrid w:val="0"/>
      <w:jc w:val="center"/>
    </w:pPr>
    <w:rPr>
      <w:sz w:val="18"/>
      <w:szCs w:val="20"/>
    </w:rPr>
  </w:style>
  <w:style w:type="paragraph" w:styleId="18">
    <w:name w:val="toc 1"/>
    <w:basedOn w:val="1"/>
    <w:next w:val="1"/>
    <w:autoRedefine/>
    <w:qFormat/>
    <w:uiPriority w:val="99"/>
    <w:pPr>
      <w:spacing w:line="360" w:lineRule="auto"/>
    </w:pPr>
    <w:rPr>
      <w:b/>
      <w:sz w:val="28"/>
    </w:rPr>
  </w:style>
  <w:style w:type="paragraph" w:styleId="19">
    <w:name w:val="List 5"/>
    <w:basedOn w:val="1"/>
    <w:autoRedefine/>
    <w:qFormat/>
    <w:uiPriority w:val="99"/>
    <w:pPr>
      <w:ind w:left="2100" w:hanging="420"/>
    </w:pPr>
    <w:rPr>
      <w:rFonts w:eastAsia="楷体_GB2312"/>
      <w:sz w:val="32"/>
      <w:szCs w:val="20"/>
    </w:rPr>
  </w:style>
  <w:style w:type="paragraph" w:styleId="20">
    <w:name w:val="toc 2"/>
    <w:basedOn w:val="1"/>
    <w:next w:val="1"/>
    <w:autoRedefine/>
    <w:qFormat/>
    <w:uiPriority w:val="99"/>
    <w:pPr>
      <w:spacing w:line="360" w:lineRule="auto"/>
    </w:pPr>
    <w:rPr>
      <w:sz w:val="28"/>
    </w:rPr>
  </w:style>
  <w:style w:type="paragraph" w:styleId="21">
    <w:name w:val="Body Text First Indent"/>
    <w:basedOn w:val="7"/>
    <w:next w:val="1"/>
    <w:autoRedefine/>
    <w:qFormat/>
    <w:uiPriority w:val="99"/>
    <w:pPr>
      <w:ind w:firstLine="420"/>
    </w:pPr>
    <w:rPr>
      <w:rFonts w:eastAsia="楷体_GB2312"/>
      <w:sz w:val="32"/>
    </w:rPr>
  </w:style>
  <w:style w:type="paragraph" w:styleId="22">
    <w:name w:val="Body Text First Indent 2"/>
    <w:basedOn w:val="9"/>
    <w:next w:val="6"/>
    <w:autoRedefine/>
    <w:qFormat/>
    <w:uiPriority w:val="99"/>
    <w:pPr>
      <w:ind w:firstLine="420" w:firstLineChars="200"/>
    </w:p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
    <w:name w:val="Heading 1 Char"/>
    <w:basedOn w:val="25"/>
    <w:link w:val="2"/>
    <w:autoRedefine/>
    <w:qFormat/>
    <w:locked/>
    <w:uiPriority w:val="99"/>
    <w:rPr>
      <w:b/>
      <w:kern w:val="44"/>
      <w:sz w:val="32"/>
      <w:szCs w:val="20"/>
    </w:rPr>
  </w:style>
  <w:style w:type="paragraph" w:customStyle="1" w:styleId="27">
    <w:name w:val="Table Paragraph"/>
    <w:basedOn w:val="1"/>
    <w:autoRedefine/>
    <w:qFormat/>
    <w:uiPriority w:val="99"/>
    <w:rPr>
      <w:sz w:val="24"/>
    </w:rPr>
  </w:style>
  <w:style w:type="character" w:customStyle="1" w:styleId="28">
    <w:name w:val="Heading 2 Char"/>
    <w:basedOn w:val="25"/>
    <w:link w:val="3"/>
    <w:autoRedefine/>
    <w:qFormat/>
    <w:locked/>
    <w:uiPriority w:val="99"/>
    <w:rPr>
      <w:rFonts w:ascii="Arial" w:hAnsi="Arial"/>
      <w:b/>
      <w:sz w:val="24"/>
      <w:szCs w:val="20"/>
    </w:rPr>
  </w:style>
  <w:style w:type="character" w:customStyle="1" w:styleId="29">
    <w:name w:val="Char Char11"/>
    <w:autoRedefine/>
    <w:qFormat/>
    <w:uiPriority w:val="99"/>
    <w:rPr>
      <w:kern w:val="2"/>
      <w:sz w:val="18"/>
    </w:rPr>
  </w:style>
  <w:style w:type="paragraph" w:styleId="30">
    <w:name w:val="List Paragraph"/>
    <w:basedOn w:val="1"/>
    <w:autoRedefine/>
    <w:qFormat/>
    <w:uiPriority w:val="99"/>
    <w:pPr>
      <w:ind w:firstLine="420" w:firstLineChars="200"/>
    </w:pPr>
    <w:rPr>
      <w:rFonts w:ascii="Calibri" w:hAnsi="Calibri"/>
      <w:szCs w:val="22"/>
    </w:rPr>
  </w:style>
  <w:style w:type="character" w:customStyle="1" w:styleId="31">
    <w:name w:val="标题 3 Char1"/>
    <w:autoRedefine/>
    <w:qFormat/>
    <w:locked/>
    <w:uiPriority w:val="99"/>
    <w:rPr>
      <w:rFonts w:ascii="Times New Roman" w:hAnsi="Times New Roman" w:eastAsia="宋体"/>
      <w:b/>
      <w:kern w:val="2"/>
      <w:sz w:val="28"/>
    </w:rPr>
  </w:style>
  <w:style w:type="paragraph" w:customStyle="1" w:styleId="32">
    <w:name w:val="Table Text"/>
    <w:basedOn w:val="1"/>
    <w:autoRedefine/>
    <w:semiHidden/>
    <w:qFormat/>
    <w:uiPriority w:val="0"/>
    <w:rPr>
      <w:rFonts w:ascii="宋体" w:hAnsi="宋体" w:eastAsia="宋体" w:cs="宋体"/>
      <w:sz w:val="24"/>
      <w:szCs w:val="24"/>
      <w:lang w:val="en-US" w:eastAsia="en-US" w:bidi="ar-SA"/>
    </w:rPr>
  </w:style>
  <w:style w:type="table" w:customStyle="1" w:styleId="33">
    <w:name w:val="Table Normal"/>
    <w:autoRedefine/>
    <w:semiHidden/>
    <w:unhideWhenUsed/>
    <w:qFormat/>
    <w:uiPriority w:val="0"/>
    <w:tblPr>
      <w:tblCellMar>
        <w:top w:w="0" w:type="dxa"/>
        <w:left w:w="0" w:type="dxa"/>
        <w:bottom w:w="0" w:type="dxa"/>
        <w:right w:w="0" w:type="dxa"/>
      </w:tblCellMar>
    </w:tblPr>
  </w:style>
  <w:style w:type="character" w:customStyle="1" w:styleId="34">
    <w:name w:val="font51"/>
    <w:basedOn w:val="25"/>
    <w:qFormat/>
    <w:uiPriority w:val="0"/>
    <w:rPr>
      <w:rFonts w:hint="eastAsia" w:ascii="宋体" w:hAnsi="宋体" w:eastAsia="宋体" w:cs="宋体"/>
      <w:b/>
      <w:bCs/>
      <w:color w:val="000000"/>
      <w:sz w:val="21"/>
      <w:szCs w:val="21"/>
      <w:u w:val="none"/>
    </w:rPr>
  </w:style>
  <w:style w:type="character" w:customStyle="1" w:styleId="35">
    <w:name w:val="font21"/>
    <w:basedOn w:val="25"/>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51417</Words>
  <Characters>56506</Characters>
  <Lines>0</Lines>
  <Paragraphs>0</Paragraphs>
  <TotalTime>75</TotalTime>
  <ScaleCrop>false</ScaleCrop>
  <LinksUpToDate>false</LinksUpToDate>
  <CharactersWithSpaces>58898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2024-05-21T08:24:00Z</dcterms:created>
  <dc:creator>暖云</dc:creator>
  <cp:lastModifiedBy>申连鹤</cp:lastModifiedBy>
  <cp:lastPrinted>2024-05-30T04:11:00Z</cp:lastPrinted>
  <dcterms:modified xsi:type="dcterms:W3CDTF">2024-05-30T06:08:57Z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EDEAEFAA2F6F4427930A4EE3FF609130_13</vt:lpwstr>
  </property>
</Properties>
</file>