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BC02A8">
      <w:pPr>
        <w:pStyle w:val="22"/>
        <w:wordWrap w:val="0"/>
        <w:spacing w:line="600" w:lineRule="auto"/>
        <w:ind w:firstLine="0" w:firstLineChars="0"/>
        <w:jc w:val="center"/>
        <w:rPr>
          <w:rFonts w:ascii="宋体" w:hAnsi="宋体" w:cs="仿宋"/>
          <w:b/>
          <w:bCs/>
          <w:sz w:val="52"/>
          <w:szCs w:val="52"/>
        </w:rPr>
      </w:pPr>
      <w:r>
        <w:rPr>
          <w:rFonts w:hint="eastAsia" w:ascii="宋体" w:hAnsi="宋体" w:cs="仿宋"/>
          <w:b/>
          <w:bCs/>
          <w:sz w:val="52"/>
          <w:szCs w:val="52"/>
        </w:rPr>
        <w:t>平顶山尼龙新材料开发区管理委员会</w:t>
      </w:r>
    </w:p>
    <w:p w14:paraId="10BEDD45">
      <w:pPr>
        <w:pStyle w:val="22"/>
        <w:wordWrap w:val="0"/>
        <w:spacing w:line="600" w:lineRule="auto"/>
        <w:ind w:firstLine="0" w:firstLineChars="0"/>
        <w:jc w:val="center"/>
        <w:rPr>
          <w:rFonts w:ascii="宋体" w:hAnsi="宋体" w:cs="仿宋"/>
          <w:b/>
          <w:bCs/>
          <w:sz w:val="52"/>
          <w:szCs w:val="52"/>
        </w:rPr>
      </w:pPr>
      <w:r>
        <w:rPr>
          <w:rFonts w:hint="eastAsia" w:ascii="宋体" w:hAnsi="宋体" w:cs="仿宋"/>
          <w:b/>
          <w:bCs/>
          <w:sz w:val="52"/>
          <w:szCs w:val="52"/>
        </w:rPr>
        <w:t>电子政务外网暨办公业务资源网系统</w:t>
      </w:r>
    </w:p>
    <w:p w14:paraId="053B6BAC">
      <w:pPr>
        <w:pStyle w:val="22"/>
        <w:wordWrap w:val="0"/>
        <w:spacing w:line="600" w:lineRule="auto"/>
        <w:ind w:left="1680" w:right="1470" w:firstLine="0" w:firstLineChars="0"/>
        <w:jc w:val="center"/>
        <w:rPr>
          <w:rFonts w:ascii="宋体" w:hAnsi="宋体" w:cs="仿宋"/>
          <w:b/>
          <w:bCs/>
          <w:sz w:val="52"/>
          <w:szCs w:val="52"/>
        </w:rPr>
      </w:pPr>
      <w:r>
        <w:rPr>
          <w:rFonts w:hint="eastAsia" w:ascii="宋体" w:hAnsi="宋体" w:cs="仿宋"/>
          <w:b/>
          <w:bCs/>
          <w:sz w:val="52"/>
          <w:szCs w:val="52"/>
        </w:rPr>
        <w:t>购买服务项目</w:t>
      </w:r>
    </w:p>
    <w:p w14:paraId="539E6386">
      <w:pPr>
        <w:ind w:firstLine="480"/>
        <w:rPr>
          <w:rFonts w:ascii="宋体" w:hAnsi="宋体" w:cs="仿宋"/>
        </w:rPr>
      </w:pPr>
    </w:p>
    <w:p w14:paraId="7E5CF4CD">
      <w:pPr>
        <w:ind w:firstLine="480"/>
        <w:rPr>
          <w:rFonts w:ascii="宋体" w:hAnsi="宋体" w:cs="仿宋"/>
        </w:rPr>
      </w:pPr>
    </w:p>
    <w:p w14:paraId="4F28569B">
      <w:pPr>
        <w:ind w:firstLine="480"/>
        <w:rPr>
          <w:rFonts w:ascii="宋体" w:hAnsi="宋体" w:cs="仿宋"/>
        </w:rPr>
      </w:pPr>
    </w:p>
    <w:p w14:paraId="598F5525">
      <w:pPr>
        <w:ind w:firstLine="480"/>
        <w:rPr>
          <w:rFonts w:ascii="宋体" w:hAnsi="宋体" w:cs="仿宋"/>
        </w:rPr>
      </w:pPr>
    </w:p>
    <w:p w14:paraId="6AC2484D">
      <w:pPr>
        <w:wordWrap w:val="0"/>
        <w:jc w:val="center"/>
        <w:rPr>
          <w:rFonts w:ascii="宋体" w:hAnsi="宋体" w:cs="仿宋"/>
          <w:b/>
          <w:bCs/>
          <w:sz w:val="96"/>
        </w:rPr>
      </w:pPr>
      <w:r>
        <w:rPr>
          <w:rFonts w:hint="eastAsia" w:ascii="宋体" w:hAnsi="宋体" w:cs="仿宋"/>
          <w:b/>
          <w:bCs/>
          <w:sz w:val="96"/>
        </w:rPr>
        <w:t>竞争性磋商文件</w:t>
      </w:r>
    </w:p>
    <w:p w14:paraId="3A5CA656">
      <w:pPr>
        <w:wordWrap w:val="0"/>
        <w:spacing w:line="720" w:lineRule="auto"/>
        <w:jc w:val="center"/>
        <w:rPr>
          <w:rFonts w:ascii="宋体" w:hAnsi="宋体" w:cs="仿宋"/>
          <w:b/>
          <w:bCs/>
          <w:sz w:val="28"/>
          <w:szCs w:val="28"/>
        </w:rPr>
      </w:pPr>
      <w:r>
        <w:rPr>
          <w:rFonts w:hint="eastAsia" w:ascii="宋体" w:hAnsi="宋体" w:cs="仿宋"/>
          <w:b/>
          <w:bCs/>
          <w:sz w:val="28"/>
          <w:szCs w:val="28"/>
        </w:rPr>
        <w:t>采购编号：平采磋商-2024-35</w:t>
      </w:r>
    </w:p>
    <w:p w14:paraId="0F660E75">
      <w:pPr>
        <w:ind w:firstLine="480"/>
        <w:rPr>
          <w:rFonts w:ascii="宋体" w:hAnsi="宋体" w:cs="仿宋"/>
        </w:rPr>
      </w:pPr>
    </w:p>
    <w:p w14:paraId="5945507B">
      <w:pPr>
        <w:ind w:firstLine="480"/>
        <w:rPr>
          <w:rFonts w:ascii="宋体" w:hAnsi="宋体" w:cs="仿宋"/>
        </w:rPr>
      </w:pPr>
      <w:r>
        <w:drawing>
          <wp:anchor distT="0" distB="0" distL="114300" distR="114300" simplePos="0" relativeHeight="251664384" behindDoc="0" locked="0" layoutInCell="1" allowOverlap="1">
            <wp:simplePos x="0" y="0"/>
            <wp:positionH relativeFrom="margin">
              <wp:align>center</wp:align>
            </wp:positionH>
            <wp:positionV relativeFrom="paragraph">
              <wp:posOffset>17780</wp:posOffset>
            </wp:positionV>
            <wp:extent cx="1924050" cy="2324100"/>
            <wp:effectExtent l="0" t="0" r="0" b="0"/>
            <wp:wrapNone/>
            <wp:docPr id="186461882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618826" name="图片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924050" cy="2324100"/>
                    </a:xfrm>
                    <a:prstGeom prst="rect">
                      <a:avLst/>
                    </a:prstGeom>
                    <a:noFill/>
                  </pic:spPr>
                </pic:pic>
              </a:graphicData>
            </a:graphic>
          </wp:anchor>
        </w:drawing>
      </w:r>
    </w:p>
    <w:p w14:paraId="2DED07FA">
      <w:pPr>
        <w:pStyle w:val="2"/>
      </w:pPr>
    </w:p>
    <w:p w14:paraId="35BEABAD">
      <w:pPr>
        <w:pStyle w:val="3"/>
      </w:pPr>
    </w:p>
    <w:p w14:paraId="532D5E71">
      <w:pPr>
        <w:ind w:firstLine="480"/>
        <w:rPr>
          <w:rFonts w:ascii="宋体" w:hAnsi="宋体" w:cs="仿宋"/>
        </w:rPr>
      </w:pPr>
    </w:p>
    <w:p w14:paraId="0E8CF423">
      <w:pPr>
        <w:ind w:firstLine="480"/>
        <w:rPr>
          <w:rFonts w:ascii="宋体" w:hAnsi="宋体" w:cs="仿宋"/>
        </w:rPr>
      </w:pPr>
    </w:p>
    <w:p w14:paraId="507EA972">
      <w:pPr>
        <w:ind w:firstLine="480"/>
        <w:rPr>
          <w:rFonts w:ascii="宋体" w:hAnsi="宋体" w:cs="仿宋"/>
        </w:rPr>
      </w:pPr>
    </w:p>
    <w:p w14:paraId="2637663D">
      <w:pPr>
        <w:ind w:firstLine="480"/>
        <w:rPr>
          <w:rFonts w:ascii="宋体" w:hAnsi="宋体" w:cs="仿宋"/>
        </w:rPr>
      </w:pPr>
    </w:p>
    <w:p w14:paraId="3659F43F">
      <w:pPr>
        <w:ind w:firstLine="480"/>
        <w:rPr>
          <w:rFonts w:ascii="宋体" w:hAnsi="宋体" w:cs="仿宋"/>
        </w:rPr>
      </w:pPr>
    </w:p>
    <w:p w14:paraId="0827DC5C">
      <w:pPr>
        <w:wordWrap w:val="0"/>
        <w:spacing w:line="480" w:lineRule="auto"/>
        <w:ind w:firstLine="2108" w:firstLineChars="700"/>
        <w:rPr>
          <w:rFonts w:ascii="宋体" w:hAnsi="宋体" w:cs="仿宋"/>
          <w:b/>
          <w:bCs/>
          <w:sz w:val="30"/>
          <w:szCs w:val="30"/>
        </w:rPr>
      </w:pPr>
    </w:p>
    <w:p w14:paraId="5CEADA56">
      <w:pPr>
        <w:wordWrap w:val="0"/>
        <w:spacing w:line="480" w:lineRule="auto"/>
        <w:ind w:firstLine="2108" w:firstLineChars="700"/>
        <w:rPr>
          <w:rFonts w:ascii="宋体" w:hAnsi="宋体" w:cs="仿宋"/>
          <w:b/>
          <w:bCs/>
          <w:sz w:val="30"/>
          <w:szCs w:val="30"/>
        </w:rPr>
      </w:pPr>
    </w:p>
    <w:p w14:paraId="42AC4BDA">
      <w:pPr>
        <w:wordWrap w:val="0"/>
        <w:spacing w:line="480" w:lineRule="auto"/>
        <w:ind w:firstLine="2108" w:firstLineChars="700"/>
        <w:rPr>
          <w:rFonts w:ascii="宋体" w:hAnsi="宋体" w:cs="仿宋"/>
          <w:b/>
          <w:bCs/>
          <w:sz w:val="30"/>
          <w:szCs w:val="30"/>
        </w:rPr>
      </w:pPr>
    </w:p>
    <w:p w14:paraId="33FBF6AB">
      <w:pPr>
        <w:wordWrap w:val="0"/>
        <w:spacing w:line="480" w:lineRule="auto"/>
        <w:ind w:firstLine="2108" w:firstLineChars="700"/>
        <w:rPr>
          <w:rFonts w:ascii="宋体" w:hAnsi="宋体" w:cs="仿宋"/>
          <w:b/>
          <w:bCs/>
          <w:sz w:val="30"/>
          <w:szCs w:val="30"/>
        </w:rPr>
      </w:pPr>
      <w:r>
        <w:rPr>
          <w:rFonts w:hint="eastAsia" w:ascii="宋体" w:hAnsi="宋体" w:cs="仿宋"/>
          <w:b/>
          <w:bCs/>
          <w:sz w:val="30"/>
          <w:szCs w:val="30"/>
        </w:rPr>
        <w:t>采 购 人：平顶山尼龙新材料开发区管理委员会</w:t>
      </w:r>
    </w:p>
    <w:p w14:paraId="6432D988">
      <w:pPr>
        <w:wordWrap w:val="0"/>
        <w:spacing w:line="480" w:lineRule="auto"/>
        <w:ind w:firstLine="2108" w:firstLineChars="700"/>
        <w:rPr>
          <w:rFonts w:ascii="宋体" w:hAnsi="宋体" w:cs="仿宋"/>
          <w:b/>
          <w:bCs/>
          <w:sz w:val="30"/>
          <w:szCs w:val="30"/>
        </w:rPr>
      </w:pPr>
      <w:r>
        <w:rPr>
          <w:rFonts w:hint="eastAsia" w:ascii="宋体" w:hAnsi="宋体" w:cs="仿宋"/>
          <w:b/>
          <w:bCs/>
          <w:sz w:val="30"/>
          <w:szCs w:val="30"/>
        </w:rPr>
        <w:t>代理机构：中盈全过程工程咨询（河南）有限公司</w:t>
      </w:r>
    </w:p>
    <w:p w14:paraId="0DD02754">
      <w:pPr>
        <w:wordWrap w:val="0"/>
        <w:spacing w:line="480" w:lineRule="auto"/>
        <w:ind w:firstLine="2108" w:firstLineChars="700"/>
        <w:rPr>
          <w:rFonts w:ascii="宋体" w:hAnsi="宋体" w:cs="仿宋"/>
          <w:b/>
          <w:bCs/>
          <w:sz w:val="30"/>
          <w:szCs w:val="30"/>
        </w:rPr>
      </w:pPr>
      <w:r>
        <w:rPr>
          <w:rFonts w:hint="eastAsia" w:ascii="宋体" w:hAnsi="宋体" w:cs="仿宋"/>
          <w:b/>
          <w:bCs/>
          <w:sz w:val="30"/>
          <w:szCs w:val="30"/>
        </w:rPr>
        <w:t>日    期：二零二四年六月</w:t>
      </w:r>
    </w:p>
    <w:p w14:paraId="54A82B98">
      <w:pPr>
        <w:pStyle w:val="15"/>
        <w:spacing w:line="800" w:lineRule="exact"/>
        <w:ind w:firstLine="1701"/>
        <w:jc w:val="left"/>
        <w:rPr>
          <w:rFonts w:hAnsi="宋体" w:cs="宋体"/>
          <w:b/>
          <w:bCs/>
          <w:color w:val="000000"/>
          <w:sz w:val="36"/>
          <w:szCs w:val="36"/>
        </w:rPr>
        <w:sectPr>
          <w:headerReference r:id="rId4" w:type="first"/>
          <w:headerReference r:id="rId3" w:type="default"/>
          <w:footerReference r:id="rId5" w:type="default"/>
          <w:pgSz w:w="11906" w:h="16838"/>
          <w:pgMar w:top="1418" w:right="1134" w:bottom="1418" w:left="1134" w:header="851" w:footer="992" w:gutter="0"/>
          <w:pgNumType w:start="0"/>
          <w:cols w:space="720" w:num="1"/>
          <w:titlePg/>
          <w:docGrid w:type="lines" w:linePitch="312" w:charSpace="0"/>
        </w:sectPr>
      </w:pPr>
    </w:p>
    <w:p w14:paraId="15BB250A">
      <w:pPr>
        <w:jc w:val="center"/>
        <w:rPr>
          <w:rStyle w:val="54"/>
          <w:rFonts w:ascii="宋体" w:hAnsi="宋体" w:cs="宋体"/>
          <w:b/>
          <w:bCs/>
          <w:sz w:val="44"/>
          <w:szCs w:val="44"/>
        </w:rPr>
      </w:pPr>
      <w:r>
        <w:rPr>
          <w:rStyle w:val="54"/>
          <w:rFonts w:hint="eastAsia" w:ascii="宋体" w:hAnsi="宋体" w:cs="宋体"/>
          <w:b/>
          <w:bCs/>
          <w:sz w:val="40"/>
          <w:szCs w:val="40"/>
        </w:rPr>
        <w:t>目  录</w:t>
      </w:r>
    </w:p>
    <w:p w14:paraId="4788B977">
      <w:pPr>
        <w:jc w:val="center"/>
        <w:rPr>
          <w:rFonts w:ascii="宋体" w:hAnsi="宋体" w:cs="宋体"/>
          <w:sz w:val="20"/>
        </w:rPr>
      </w:pPr>
    </w:p>
    <w:p w14:paraId="633FD2FC">
      <w:pPr>
        <w:pStyle w:val="21"/>
        <w:tabs>
          <w:tab w:val="right" w:leader="dot" w:pos="8198"/>
        </w:tabs>
        <w:spacing w:line="600" w:lineRule="auto"/>
        <w:rPr>
          <w:rFonts w:ascii="宋体" w:hAnsi="宋体" w:cs="宋体"/>
          <w:sz w:val="28"/>
          <w:szCs w:val="28"/>
        </w:rPr>
      </w:pPr>
      <w:r>
        <w:rPr>
          <w:rStyle w:val="54"/>
          <w:rFonts w:hint="eastAsia"/>
        </w:rPr>
        <w:fldChar w:fldCharType="begin"/>
      </w:r>
      <w:r>
        <w:rPr>
          <w:rStyle w:val="54"/>
          <w:rFonts w:hint="eastAsia" w:ascii="宋体" w:hAnsi="宋体" w:cs="宋体"/>
          <w:sz w:val="28"/>
          <w:szCs w:val="28"/>
        </w:rPr>
        <w:instrText xml:space="preserve">TOC \o "1-1" \h \u </w:instrText>
      </w:r>
      <w:r>
        <w:rPr>
          <w:rStyle w:val="54"/>
          <w:rFonts w:hint="eastAsia"/>
        </w:rPr>
        <w:fldChar w:fldCharType="separate"/>
      </w:r>
      <w:r>
        <w:fldChar w:fldCharType="begin"/>
      </w:r>
      <w:r>
        <w:instrText xml:space="preserve"> HYPERLINK \l "_Toc14065" </w:instrText>
      </w:r>
      <w:r>
        <w:fldChar w:fldCharType="separate"/>
      </w:r>
      <w:r>
        <w:rPr>
          <w:rFonts w:hint="eastAsia" w:ascii="宋体" w:hAnsi="宋体" w:cs="宋体"/>
          <w:bCs/>
          <w:sz w:val="28"/>
          <w:szCs w:val="28"/>
        </w:rPr>
        <w:t>第一章  竞争性磋商公告</w:t>
      </w:r>
      <w:r>
        <w:rPr>
          <w:rFonts w:hint="eastAsia" w:ascii="宋体" w:hAnsi="宋体" w:cs="宋体"/>
          <w:sz w:val="28"/>
          <w:szCs w:val="28"/>
        </w:rPr>
        <w:tab/>
      </w:r>
      <w:r>
        <w:rPr>
          <w:rFonts w:hint="eastAsia" w:ascii="宋体" w:hAnsi="宋体" w:cs="宋体"/>
          <w:sz w:val="28"/>
          <w:szCs w:val="28"/>
        </w:rPr>
        <w:fldChar w:fldCharType="begin"/>
      </w:r>
      <w:r>
        <w:rPr>
          <w:rFonts w:hint="eastAsia" w:ascii="宋体" w:hAnsi="宋体" w:cs="宋体"/>
          <w:sz w:val="28"/>
          <w:szCs w:val="28"/>
        </w:rPr>
        <w:instrText xml:space="preserve"> PAGEREF _Toc14065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fldChar w:fldCharType="end"/>
      </w:r>
    </w:p>
    <w:p w14:paraId="228DF5B3">
      <w:pPr>
        <w:pStyle w:val="21"/>
        <w:tabs>
          <w:tab w:val="right" w:leader="dot" w:pos="8198"/>
        </w:tabs>
        <w:spacing w:line="600" w:lineRule="auto"/>
        <w:rPr>
          <w:rFonts w:ascii="宋体" w:hAnsi="宋体" w:cs="宋体"/>
          <w:sz w:val="28"/>
          <w:szCs w:val="28"/>
        </w:rPr>
      </w:pPr>
      <w:r>
        <w:fldChar w:fldCharType="begin"/>
      </w:r>
      <w:r>
        <w:instrText xml:space="preserve"> HYPERLINK \l "_Toc21690" </w:instrText>
      </w:r>
      <w:r>
        <w:fldChar w:fldCharType="separate"/>
      </w:r>
      <w:r>
        <w:rPr>
          <w:rFonts w:hint="eastAsia" w:ascii="宋体" w:hAnsi="宋体" w:cs="宋体"/>
          <w:bCs/>
          <w:sz w:val="28"/>
          <w:szCs w:val="28"/>
        </w:rPr>
        <w:t>第二章  供应商须知</w:t>
      </w:r>
      <w:r>
        <w:rPr>
          <w:rFonts w:hint="eastAsia" w:ascii="宋体" w:hAnsi="宋体" w:cs="宋体"/>
          <w:sz w:val="28"/>
          <w:szCs w:val="28"/>
        </w:rPr>
        <w:tab/>
      </w:r>
      <w:r>
        <w:rPr>
          <w:rFonts w:hint="eastAsia" w:ascii="宋体" w:hAnsi="宋体" w:cs="宋体"/>
          <w:sz w:val="28"/>
          <w:szCs w:val="28"/>
        </w:rPr>
        <w:fldChar w:fldCharType="begin"/>
      </w:r>
      <w:r>
        <w:rPr>
          <w:rFonts w:hint="eastAsia" w:ascii="宋体" w:hAnsi="宋体" w:cs="宋体"/>
          <w:sz w:val="28"/>
          <w:szCs w:val="28"/>
        </w:rPr>
        <w:instrText xml:space="preserve"> PAGEREF _Toc21690 </w:instrText>
      </w:r>
      <w:r>
        <w:rPr>
          <w:rFonts w:hint="eastAsia" w:ascii="宋体" w:hAnsi="宋体" w:cs="宋体"/>
          <w:sz w:val="28"/>
          <w:szCs w:val="28"/>
        </w:rPr>
        <w:fldChar w:fldCharType="separate"/>
      </w:r>
      <w:r>
        <w:rPr>
          <w:rFonts w:hint="eastAsia" w:ascii="宋体" w:hAnsi="宋体" w:cs="宋体"/>
          <w:sz w:val="28"/>
          <w:szCs w:val="28"/>
        </w:rPr>
        <w:t>8</w:t>
      </w:r>
      <w:r>
        <w:rPr>
          <w:rFonts w:hint="eastAsia" w:ascii="宋体" w:hAnsi="宋体" w:cs="宋体"/>
          <w:sz w:val="28"/>
          <w:szCs w:val="28"/>
        </w:rPr>
        <w:fldChar w:fldCharType="end"/>
      </w:r>
      <w:r>
        <w:rPr>
          <w:rFonts w:hint="eastAsia" w:ascii="宋体" w:hAnsi="宋体" w:cs="宋体"/>
          <w:sz w:val="28"/>
          <w:szCs w:val="28"/>
        </w:rPr>
        <w:fldChar w:fldCharType="end"/>
      </w:r>
    </w:p>
    <w:p w14:paraId="3B1799F0">
      <w:pPr>
        <w:pStyle w:val="21"/>
        <w:tabs>
          <w:tab w:val="right" w:leader="dot" w:pos="8198"/>
        </w:tabs>
        <w:spacing w:line="600" w:lineRule="auto"/>
        <w:rPr>
          <w:rFonts w:ascii="宋体" w:hAnsi="宋体" w:cs="宋体"/>
          <w:sz w:val="28"/>
          <w:szCs w:val="28"/>
        </w:rPr>
      </w:pPr>
      <w:r>
        <w:fldChar w:fldCharType="begin"/>
      </w:r>
      <w:r>
        <w:instrText xml:space="preserve"> HYPERLINK \l "_Toc16896" </w:instrText>
      </w:r>
      <w:r>
        <w:fldChar w:fldCharType="separate"/>
      </w:r>
      <w:r>
        <w:rPr>
          <w:rFonts w:hint="eastAsia" w:ascii="宋体" w:hAnsi="宋体" w:cs="宋体"/>
          <w:bCs/>
          <w:sz w:val="28"/>
          <w:szCs w:val="28"/>
        </w:rPr>
        <w:t>第三章  磋商办法</w:t>
      </w:r>
      <w:r>
        <w:rPr>
          <w:rFonts w:hint="eastAsia" w:ascii="宋体" w:hAnsi="宋体" w:cs="宋体"/>
          <w:sz w:val="28"/>
          <w:szCs w:val="28"/>
        </w:rPr>
        <w:tab/>
      </w:r>
      <w:r>
        <w:rPr>
          <w:rFonts w:hint="eastAsia" w:ascii="宋体" w:hAnsi="宋体" w:cs="宋体"/>
          <w:sz w:val="28"/>
          <w:szCs w:val="28"/>
        </w:rPr>
        <w:fldChar w:fldCharType="begin"/>
      </w:r>
      <w:r>
        <w:rPr>
          <w:rFonts w:hint="eastAsia" w:ascii="宋体" w:hAnsi="宋体" w:cs="宋体"/>
          <w:sz w:val="28"/>
          <w:szCs w:val="28"/>
        </w:rPr>
        <w:instrText xml:space="preserve"> PAGEREF _Toc16896 </w:instrText>
      </w:r>
      <w:r>
        <w:rPr>
          <w:rFonts w:hint="eastAsia" w:ascii="宋体" w:hAnsi="宋体" w:cs="宋体"/>
          <w:sz w:val="28"/>
          <w:szCs w:val="28"/>
        </w:rPr>
        <w:fldChar w:fldCharType="separate"/>
      </w:r>
      <w:r>
        <w:rPr>
          <w:rFonts w:hint="eastAsia" w:ascii="宋体" w:hAnsi="宋体" w:cs="宋体"/>
          <w:sz w:val="28"/>
          <w:szCs w:val="28"/>
        </w:rPr>
        <w:t>20</w:t>
      </w:r>
      <w:r>
        <w:rPr>
          <w:rFonts w:hint="eastAsia" w:ascii="宋体" w:hAnsi="宋体" w:cs="宋体"/>
          <w:sz w:val="28"/>
          <w:szCs w:val="28"/>
        </w:rPr>
        <w:fldChar w:fldCharType="end"/>
      </w:r>
      <w:r>
        <w:rPr>
          <w:rFonts w:hint="eastAsia" w:ascii="宋体" w:hAnsi="宋体" w:cs="宋体"/>
          <w:sz w:val="28"/>
          <w:szCs w:val="28"/>
        </w:rPr>
        <w:fldChar w:fldCharType="end"/>
      </w:r>
    </w:p>
    <w:p w14:paraId="137951B9">
      <w:pPr>
        <w:pStyle w:val="21"/>
        <w:tabs>
          <w:tab w:val="right" w:leader="dot" w:pos="8198"/>
        </w:tabs>
        <w:spacing w:line="600" w:lineRule="auto"/>
        <w:rPr>
          <w:rFonts w:ascii="宋体" w:hAnsi="宋体" w:cs="宋体"/>
          <w:sz w:val="28"/>
          <w:szCs w:val="28"/>
        </w:rPr>
      </w:pPr>
      <w:r>
        <w:fldChar w:fldCharType="begin"/>
      </w:r>
      <w:r>
        <w:instrText xml:space="preserve"> HYPERLINK \l "_Toc6463" </w:instrText>
      </w:r>
      <w:r>
        <w:fldChar w:fldCharType="separate"/>
      </w:r>
      <w:r>
        <w:rPr>
          <w:rFonts w:hint="eastAsia" w:ascii="宋体" w:hAnsi="宋体" w:cs="宋体"/>
          <w:sz w:val="28"/>
          <w:szCs w:val="28"/>
        </w:rPr>
        <w:t>第四章  合同条款及格式</w:t>
      </w:r>
      <w:r>
        <w:rPr>
          <w:rFonts w:hint="eastAsia" w:ascii="宋体" w:hAnsi="宋体" w:cs="宋体"/>
          <w:sz w:val="28"/>
          <w:szCs w:val="28"/>
        </w:rPr>
        <w:tab/>
      </w:r>
      <w:r>
        <w:rPr>
          <w:rFonts w:hint="eastAsia" w:ascii="宋体" w:hAnsi="宋体" w:cs="宋体"/>
          <w:sz w:val="28"/>
          <w:szCs w:val="28"/>
        </w:rPr>
        <w:fldChar w:fldCharType="begin"/>
      </w:r>
      <w:r>
        <w:rPr>
          <w:rFonts w:hint="eastAsia" w:ascii="宋体" w:hAnsi="宋体" w:cs="宋体"/>
          <w:sz w:val="28"/>
          <w:szCs w:val="28"/>
        </w:rPr>
        <w:instrText xml:space="preserve"> PAGEREF _Toc6463 </w:instrText>
      </w:r>
      <w:r>
        <w:rPr>
          <w:rFonts w:hint="eastAsia" w:ascii="宋体" w:hAnsi="宋体" w:cs="宋体"/>
          <w:sz w:val="28"/>
          <w:szCs w:val="28"/>
        </w:rPr>
        <w:fldChar w:fldCharType="separate"/>
      </w:r>
      <w:r>
        <w:rPr>
          <w:rFonts w:hint="eastAsia" w:ascii="宋体" w:hAnsi="宋体" w:cs="宋体"/>
          <w:sz w:val="28"/>
          <w:szCs w:val="28"/>
        </w:rPr>
        <w:t>26</w:t>
      </w:r>
      <w:r>
        <w:rPr>
          <w:rFonts w:hint="eastAsia" w:ascii="宋体" w:hAnsi="宋体" w:cs="宋体"/>
          <w:sz w:val="28"/>
          <w:szCs w:val="28"/>
        </w:rPr>
        <w:fldChar w:fldCharType="end"/>
      </w:r>
      <w:r>
        <w:rPr>
          <w:rFonts w:hint="eastAsia" w:ascii="宋体" w:hAnsi="宋体" w:cs="宋体"/>
          <w:sz w:val="28"/>
          <w:szCs w:val="28"/>
        </w:rPr>
        <w:fldChar w:fldCharType="end"/>
      </w:r>
    </w:p>
    <w:p w14:paraId="3040EF43">
      <w:pPr>
        <w:pStyle w:val="21"/>
        <w:tabs>
          <w:tab w:val="right" w:leader="dot" w:pos="8198"/>
        </w:tabs>
        <w:spacing w:line="600" w:lineRule="auto"/>
        <w:rPr>
          <w:rFonts w:ascii="宋体" w:hAnsi="宋体" w:cs="宋体"/>
          <w:sz w:val="28"/>
          <w:szCs w:val="28"/>
        </w:rPr>
      </w:pPr>
      <w:r>
        <w:fldChar w:fldCharType="begin"/>
      </w:r>
      <w:r>
        <w:instrText xml:space="preserve"> HYPERLINK \l "_Toc7553" </w:instrText>
      </w:r>
      <w:r>
        <w:fldChar w:fldCharType="separate"/>
      </w:r>
      <w:r>
        <w:rPr>
          <w:rFonts w:hint="eastAsia" w:ascii="宋体" w:hAnsi="宋体" w:cs="宋体"/>
          <w:bCs/>
          <w:sz w:val="28"/>
          <w:szCs w:val="28"/>
        </w:rPr>
        <w:t>第五章  服务内容及要求</w:t>
      </w:r>
      <w:r>
        <w:rPr>
          <w:rFonts w:hint="eastAsia" w:ascii="宋体" w:hAnsi="宋体" w:cs="宋体"/>
          <w:sz w:val="28"/>
          <w:szCs w:val="28"/>
        </w:rPr>
        <w:tab/>
      </w:r>
      <w:r>
        <w:rPr>
          <w:rFonts w:hint="eastAsia" w:ascii="宋体" w:hAnsi="宋体" w:cs="宋体"/>
          <w:sz w:val="28"/>
          <w:szCs w:val="28"/>
        </w:rPr>
        <w:fldChar w:fldCharType="begin"/>
      </w:r>
      <w:r>
        <w:rPr>
          <w:rFonts w:hint="eastAsia" w:ascii="宋体" w:hAnsi="宋体" w:cs="宋体"/>
          <w:sz w:val="28"/>
          <w:szCs w:val="28"/>
        </w:rPr>
        <w:instrText xml:space="preserve"> PAGEREF _Toc7553 </w:instrText>
      </w:r>
      <w:r>
        <w:rPr>
          <w:rFonts w:hint="eastAsia" w:ascii="宋体" w:hAnsi="宋体" w:cs="宋体"/>
          <w:sz w:val="28"/>
          <w:szCs w:val="28"/>
        </w:rPr>
        <w:fldChar w:fldCharType="separate"/>
      </w:r>
      <w:r>
        <w:rPr>
          <w:rFonts w:hint="eastAsia" w:ascii="宋体" w:hAnsi="宋体" w:cs="宋体"/>
          <w:sz w:val="28"/>
          <w:szCs w:val="28"/>
        </w:rPr>
        <w:t>30</w:t>
      </w:r>
      <w:r>
        <w:rPr>
          <w:rFonts w:hint="eastAsia" w:ascii="宋体" w:hAnsi="宋体" w:cs="宋体"/>
          <w:sz w:val="28"/>
          <w:szCs w:val="28"/>
        </w:rPr>
        <w:fldChar w:fldCharType="end"/>
      </w:r>
      <w:r>
        <w:rPr>
          <w:rFonts w:hint="eastAsia" w:ascii="宋体" w:hAnsi="宋体" w:cs="宋体"/>
          <w:sz w:val="28"/>
          <w:szCs w:val="28"/>
        </w:rPr>
        <w:fldChar w:fldCharType="end"/>
      </w:r>
    </w:p>
    <w:p w14:paraId="4627BB00">
      <w:pPr>
        <w:pStyle w:val="21"/>
        <w:tabs>
          <w:tab w:val="right" w:leader="dot" w:pos="8198"/>
        </w:tabs>
        <w:spacing w:line="600" w:lineRule="auto"/>
        <w:rPr>
          <w:rFonts w:ascii="宋体" w:hAnsi="宋体" w:cs="宋体"/>
          <w:sz w:val="28"/>
          <w:szCs w:val="28"/>
        </w:rPr>
      </w:pPr>
      <w:r>
        <w:fldChar w:fldCharType="begin"/>
      </w:r>
      <w:r>
        <w:instrText xml:space="preserve"> HYPERLINK \l "_Toc32044" </w:instrText>
      </w:r>
      <w:r>
        <w:fldChar w:fldCharType="separate"/>
      </w:r>
      <w:r>
        <w:rPr>
          <w:rFonts w:hint="eastAsia" w:ascii="宋体" w:hAnsi="宋体" w:cs="宋体"/>
          <w:sz w:val="28"/>
          <w:szCs w:val="28"/>
        </w:rPr>
        <w:t xml:space="preserve">第六章  </w:t>
      </w:r>
      <w:r>
        <w:rPr>
          <w:rFonts w:hint="eastAsia" w:ascii="宋体" w:hAnsi="宋体" w:cs="宋体"/>
          <w:sz w:val="28"/>
          <w:szCs w:val="28"/>
          <w:lang w:val="zh-CN"/>
        </w:rPr>
        <w:t>响应文件格式</w:t>
      </w:r>
      <w:r>
        <w:rPr>
          <w:rFonts w:hint="eastAsia" w:ascii="宋体" w:hAnsi="宋体" w:cs="宋体"/>
          <w:sz w:val="28"/>
          <w:szCs w:val="28"/>
        </w:rPr>
        <w:tab/>
      </w:r>
      <w:r>
        <w:rPr>
          <w:rFonts w:hint="eastAsia" w:ascii="宋体" w:hAnsi="宋体" w:cs="宋体"/>
          <w:sz w:val="28"/>
          <w:szCs w:val="28"/>
        </w:rPr>
        <w:fldChar w:fldCharType="begin"/>
      </w:r>
      <w:r>
        <w:rPr>
          <w:rFonts w:hint="eastAsia" w:ascii="宋体" w:hAnsi="宋体" w:cs="宋体"/>
          <w:sz w:val="28"/>
          <w:szCs w:val="28"/>
        </w:rPr>
        <w:instrText xml:space="preserve"> PAGEREF _Toc32044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fldChar w:fldCharType="end"/>
      </w:r>
    </w:p>
    <w:p w14:paraId="7D3DCAC9">
      <w:pPr>
        <w:pStyle w:val="78"/>
        <w:spacing w:line="600" w:lineRule="auto"/>
        <w:rPr>
          <w:rStyle w:val="54"/>
          <w:rFonts w:ascii="宋体" w:hAnsi="宋体" w:cs="宋体"/>
          <w:sz w:val="28"/>
          <w:szCs w:val="28"/>
        </w:rPr>
      </w:pPr>
      <w:r>
        <w:rPr>
          <w:rFonts w:hint="eastAsia" w:ascii="宋体" w:hAnsi="宋体" w:cs="宋体"/>
          <w:sz w:val="28"/>
          <w:szCs w:val="28"/>
        </w:rPr>
        <w:fldChar w:fldCharType="end"/>
      </w:r>
    </w:p>
    <w:p w14:paraId="46996E6A">
      <w:pPr>
        <w:pStyle w:val="78"/>
        <w:rPr>
          <w:rStyle w:val="54"/>
          <w:rFonts w:ascii="宋体" w:hAnsi="宋体" w:cs="宋体"/>
        </w:rPr>
      </w:pPr>
    </w:p>
    <w:p w14:paraId="072DB9D8">
      <w:pPr>
        <w:spacing w:line="360" w:lineRule="auto"/>
        <w:jc w:val="center"/>
        <w:rPr>
          <w:rStyle w:val="54"/>
          <w:rFonts w:ascii="宋体" w:hAnsi="宋体" w:cs="宋体"/>
          <w:sz w:val="48"/>
          <w:szCs w:val="48"/>
        </w:rPr>
      </w:pPr>
    </w:p>
    <w:p w14:paraId="003F4513">
      <w:pPr>
        <w:spacing w:line="360" w:lineRule="auto"/>
        <w:rPr>
          <w:rStyle w:val="54"/>
          <w:rFonts w:ascii="宋体" w:hAnsi="宋体" w:cs="宋体"/>
          <w:sz w:val="48"/>
          <w:szCs w:val="48"/>
        </w:rPr>
      </w:pPr>
    </w:p>
    <w:p w14:paraId="1649A6D2">
      <w:pPr>
        <w:pStyle w:val="91"/>
        <w:tabs>
          <w:tab w:val="left" w:pos="1770"/>
        </w:tabs>
        <w:spacing w:before="100" w:after="100" w:line="360" w:lineRule="auto"/>
        <w:ind w:firstLine="884" w:firstLineChars="0"/>
        <w:jc w:val="center"/>
        <w:rPr>
          <w:rStyle w:val="54"/>
          <w:rFonts w:eastAsia="宋体"/>
          <w:b w:val="0"/>
          <w:sz w:val="36"/>
          <w:szCs w:val="36"/>
        </w:rPr>
      </w:pPr>
      <w:r>
        <w:rPr>
          <w:rStyle w:val="54"/>
          <w:rFonts w:hint="eastAsia" w:eastAsia="宋体"/>
          <w:b w:val="0"/>
          <w:sz w:val="36"/>
          <w:szCs w:val="36"/>
        </w:rPr>
        <w:br w:type="page"/>
      </w:r>
    </w:p>
    <w:p w14:paraId="2291939E">
      <w:pPr>
        <w:spacing w:before="120" w:after="120" w:line="360" w:lineRule="auto"/>
        <w:jc w:val="center"/>
        <w:outlineLvl w:val="0"/>
        <w:rPr>
          <w:rStyle w:val="54"/>
          <w:rFonts w:ascii="宋体" w:hAnsi="宋体" w:cs="宋体"/>
          <w:b/>
          <w:bCs/>
          <w:sz w:val="36"/>
          <w:szCs w:val="36"/>
        </w:rPr>
      </w:pPr>
      <w:bookmarkStart w:id="0" w:name="_Toc14065"/>
      <w:r>
        <w:rPr>
          <w:rStyle w:val="54"/>
          <w:rFonts w:hint="eastAsia" w:ascii="宋体" w:hAnsi="宋体" w:cs="宋体"/>
          <w:b/>
          <w:bCs/>
          <w:sz w:val="36"/>
          <w:szCs w:val="36"/>
        </w:rPr>
        <w:t>第一章  竞争性磋商公告</w:t>
      </w:r>
      <w:bookmarkEnd w:id="0"/>
    </w:p>
    <w:p w14:paraId="067B6DA2">
      <w:pPr>
        <w:jc w:val="center"/>
        <w:rPr>
          <w:rFonts w:ascii="宋体" w:hAnsi="宋体" w:cs="宋体"/>
          <w:sz w:val="28"/>
          <w:szCs w:val="28"/>
        </w:rPr>
      </w:pPr>
      <w:r>
        <w:rPr>
          <w:rFonts w:hint="eastAsia" w:ascii="宋体" w:hAnsi="宋体" w:cs="宋体"/>
          <w:sz w:val="28"/>
          <w:szCs w:val="28"/>
        </w:rPr>
        <w:t>【平公资采2024453号】平顶山尼龙新材料开发区管理委员会电子政务外网暨办公业务资源网系统购买服务项目-竞争性磋商公告</w:t>
      </w:r>
    </w:p>
    <w:p w14:paraId="4829A2FD">
      <w:pPr>
        <w:spacing w:line="360" w:lineRule="auto"/>
        <w:rPr>
          <w:rFonts w:cs="宋体" w:asciiTheme="minorEastAsia" w:hAnsiTheme="minorEastAsia" w:eastAsiaTheme="minorEastAsia"/>
          <w:b/>
          <w:bCs/>
          <w:sz w:val="24"/>
        </w:rPr>
      </w:pPr>
      <w:r>
        <w:rPr>
          <w:rFonts w:hint="eastAsia" w:cs="宋体" w:asciiTheme="minorEastAsia" w:hAnsiTheme="minorEastAsia" w:eastAsiaTheme="minorEastAsia"/>
          <w:b/>
          <w:bCs/>
          <w:sz w:val="24"/>
        </w:rPr>
        <w:t>一、项目基本情况</w:t>
      </w:r>
    </w:p>
    <w:p w14:paraId="005E942A">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1、采购项目编号：平采磋商-2024-35</w:t>
      </w:r>
    </w:p>
    <w:p w14:paraId="4766B0FA">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2、采购项目名称：平顶山尼龙新材料开发区管理委员会电子政务外网暨办公业务资源网系统购买服务项目</w:t>
      </w:r>
    </w:p>
    <w:p w14:paraId="49A0369F">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3、采购方式：竞争性磋商</w:t>
      </w:r>
    </w:p>
    <w:p w14:paraId="225C44C9">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4、预算金额：600000.00元</w:t>
      </w:r>
    </w:p>
    <w:p w14:paraId="48C79063">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 xml:space="preserve">   最高限价：600000.00元</w:t>
      </w:r>
    </w:p>
    <w:tbl>
      <w:tblPr>
        <w:tblStyle w:val="28"/>
        <w:tblW w:w="9549" w:type="dxa"/>
        <w:tblInd w:w="-8"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714"/>
        <w:gridCol w:w="1381"/>
        <w:gridCol w:w="4769"/>
        <w:gridCol w:w="1305"/>
        <w:gridCol w:w="1380"/>
      </w:tblGrid>
      <w:tr w14:paraId="32F541C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714" w:type="dxa"/>
            <w:tcBorders>
              <w:top w:val="outset" w:color="auto" w:sz="6" w:space="0"/>
              <w:left w:val="outset" w:color="auto" w:sz="6" w:space="0"/>
              <w:bottom w:val="outset" w:color="auto" w:sz="6" w:space="0"/>
              <w:right w:val="outset" w:color="auto" w:sz="6" w:space="0"/>
            </w:tcBorders>
            <w:vAlign w:val="center"/>
          </w:tcPr>
          <w:p w14:paraId="6A5935E9">
            <w:pPr>
              <w:jc w:val="center"/>
              <w:rPr>
                <w:rFonts w:ascii="宋体" w:hAnsi="宋体" w:cs="仿宋"/>
                <w:b/>
                <w:bCs/>
                <w:kern w:val="0"/>
              </w:rPr>
            </w:pPr>
            <w:r>
              <w:rPr>
                <w:rFonts w:hint="eastAsia" w:ascii="宋体" w:hAnsi="宋体" w:cs="仿宋"/>
                <w:b/>
                <w:bCs/>
                <w:kern w:val="0"/>
              </w:rPr>
              <w:t>序号</w:t>
            </w:r>
          </w:p>
        </w:tc>
        <w:tc>
          <w:tcPr>
            <w:tcW w:w="1381" w:type="dxa"/>
            <w:tcBorders>
              <w:top w:val="outset" w:color="auto" w:sz="6" w:space="0"/>
              <w:left w:val="single" w:color="auto" w:sz="0" w:space="0"/>
              <w:bottom w:val="outset" w:color="auto" w:sz="6" w:space="0"/>
              <w:right w:val="outset" w:color="auto" w:sz="6" w:space="0"/>
            </w:tcBorders>
            <w:vAlign w:val="center"/>
          </w:tcPr>
          <w:p w14:paraId="7B762EB1">
            <w:pPr>
              <w:jc w:val="center"/>
              <w:rPr>
                <w:rFonts w:ascii="宋体" w:hAnsi="宋体" w:cs="仿宋"/>
                <w:b/>
                <w:bCs/>
                <w:kern w:val="0"/>
              </w:rPr>
            </w:pPr>
            <w:r>
              <w:rPr>
                <w:rFonts w:hint="eastAsia" w:ascii="宋体" w:hAnsi="宋体" w:cs="仿宋"/>
                <w:b/>
                <w:bCs/>
                <w:kern w:val="0"/>
              </w:rPr>
              <w:t>包号</w:t>
            </w:r>
          </w:p>
        </w:tc>
        <w:tc>
          <w:tcPr>
            <w:tcW w:w="4769" w:type="dxa"/>
            <w:tcBorders>
              <w:top w:val="outset" w:color="auto" w:sz="6" w:space="0"/>
              <w:left w:val="single" w:color="auto" w:sz="0" w:space="0"/>
              <w:bottom w:val="outset" w:color="auto" w:sz="6" w:space="0"/>
              <w:right w:val="outset" w:color="auto" w:sz="6" w:space="0"/>
            </w:tcBorders>
            <w:vAlign w:val="center"/>
          </w:tcPr>
          <w:p w14:paraId="7FEA3096">
            <w:pPr>
              <w:jc w:val="center"/>
              <w:rPr>
                <w:rFonts w:ascii="宋体" w:hAnsi="宋体" w:cs="仿宋"/>
                <w:b/>
                <w:bCs/>
                <w:kern w:val="0"/>
              </w:rPr>
            </w:pPr>
            <w:r>
              <w:rPr>
                <w:rFonts w:hint="eastAsia" w:ascii="宋体" w:hAnsi="宋体" w:cs="仿宋"/>
                <w:b/>
                <w:bCs/>
                <w:kern w:val="0"/>
              </w:rPr>
              <w:t>包名称</w:t>
            </w:r>
          </w:p>
        </w:tc>
        <w:tc>
          <w:tcPr>
            <w:tcW w:w="1305" w:type="dxa"/>
            <w:tcBorders>
              <w:top w:val="outset" w:color="auto" w:sz="6" w:space="0"/>
              <w:left w:val="single" w:color="auto" w:sz="0" w:space="0"/>
              <w:bottom w:val="outset" w:color="auto" w:sz="6" w:space="0"/>
              <w:right w:val="outset" w:color="auto" w:sz="6" w:space="0"/>
            </w:tcBorders>
            <w:vAlign w:val="center"/>
          </w:tcPr>
          <w:p w14:paraId="5656E719">
            <w:pPr>
              <w:jc w:val="center"/>
              <w:rPr>
                <w:rFonts w:ascii="宋体" w:hAnsi="宋体" w:cs="仿宋"/>
                <w:b/>
                <w:bCs/>
                <w:kern w:val="0"/>
              </w:rPr>
            </w:pPr>
            <w:r>
              <w:rPr>
                <w:rFonts w:hint="eastAsia" w:ascii="宋体" w:hAnsi="宋体" w:cs="仿宋"/>
                <w:b/>
                <w:bCs/>
                <w:kern w:val="0"/>
              </w:rPr>
              <w:t>包预算（元）</w:t>
            </w:r>
          </w:p>
        </w:tc>
        <w:tc>
          <w:tcPr>
            <w:tcW w:w="1380" w:type="dxa"/>
            <w:tcBorders>
              <w:top w:val="outset" w:color="auto" w:sz="6" w:space="0"/>
              <w:left w:val="single" w:color="auto" w:sz="0" w:space="0"/>
              <w:bottom w:val="outset" w:color="auto" w:sz="6" w:space="0"/>
              <w:right w:val="outset" w:color="auto" w:sz="6" w:space="0"/>
            </w:tcBorders>
            <w:vAlign w:val="center"/>
          </w:tcPr>
          <w:p w14:paraId="5EEC869E">
            <w:pPr>
              <w:jc w:val="center"/>
              <w:rPr>
                <w:rFonts w:ascii="宋体" w:hAnsi="宋体" w:cs="仿宋"/>
                <w:b/>
                <w:bCs/>
                <w:kern w:val="0"/>
              </w:rPr>
            </w:pPr>
            <w:r>
              <w:rPr>
                <w:rFonts w:hint="eastAsia" w:ascii="宋体" w:hAnsi="宋体" w:cs="仿宋"/>
                <w:b/>
                <w:bCs/>
                <w:kern w:val="0"/>
              </w:rPr>
              <w:t>包最高限价（元）</w:t>
            </w:r>
          </w:p>
        </w:tc>
      </w:tr>
      <w:tr w14:paraId="704124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714" w:type="dxa"/>
            <w:tcBorders>
              <w:top w:val="outset" w:color="auto" w:sz="6" w:space="0"/>
              <w:left w:val="outset" w:color="auto" w:sz="6" w:space="0"/>
              <w:bottom w:val="outset" w:color="auto" w:sz="6" w:space="0"/>
              <w:right w:val="outset" w:color="auto" w:sz="6" w:space="0"/>
            </w:tcBorders>
            <w:vAlign w:val="center"/>
          </w:tcPr>
          <w:p w14:paraId="05E8413D">
            <w:pPr>
              <w:jc w:val="center"/>
              <w:rPr>
                <w:rFonts w:ascii="宋体" w:hAnsi="宋体" w:cs="仿宋"/>
                <w:kern w:val="0"/>
              </w:rPr>
            </w:pPr>
            <w:r>
              <w:rPr>
                <w:rFonts w:hint="eastAsia" w:ascii="宋体" w:hAnsi="宋体" w:cs="仿宋"/>
                <w:kern w:val="0"/>
              </w:rPr>
              <w:t>1</w:t>
            </w:r>
          </w:p>
        </w:tc>
        <w:tc>
          <w:tcPr>
            <w:tcW w:w="1381" w:type="dxa"/>
            <w:tcBorders>
              <w:top w:val="outset" w:color="auto" w:sz="6" w:space="0"/>
              <w:left w:val="single" w:color="auto" w:sz="0" w:space="0"/>
              <w:bottom w:val="outset" w:color="auto" w:sz="6" w:space="0"/>
              <w:right w:val="outset" w:color="auto" w:sz="6" w:space="0"/>
            </w:tcBorders>
            <w:vAlign w:val="center"/>
          </w:tcPr>
          <w:p w14:paraId="3A1B7683">
            <w:pPr>
              <w:jc w:val="center"/>
              <w:rPr>
                <w:rFonts w:ascii="宋体" w:hAnsi="宋体" w:cs="仿宋"/>
                <w:kern w:val="0"/>
              </w:rPr>
            </w:pPr>
            <w:r>
              <w:rPr>
                <w:rFonts w:hint="eastAsia" w:ascii="宋体" w:hAnsi="宋体" w:cs="仿宋"/>
                <w:kern w:val="0"/>
              </w:rPr>
              <w:t>平公资采2024453号-1</w:t>
            </w:r>
          </w:p>
        </w:tc>
        <w:tc>
          <w:tcPr>
            <w:tcW w:w="4769" w:type="dxa"/>
            <w:tcBorders>
              <w:top w:val="outset" w:color="auto" w:sz="6" w:space="0"/>
              <w:left w:val="single" w:color="auto" w:sz="0" w:space="0"/>
              <w:bottom w:val="outset" w:color="auto" w:sz="6" w:space="0"/>
              <w:right w:val="outset" w:color="auto" w:sz="6" w:space="0"/>
            </w:tcBorders>
            <w:vAlign w:val="center"/>
          </w:tcPr>
          <w:p w14:paraId="4A9E3FA7">
            <w:pPr>
              <w:jc w:val="center"/>
              <w:rPr>
                <w:rFonts w:ascii="宋体" w:hAnsi="宋体" w:cs="仿宋"/>
                <w:kern w:val="0"/>
              </w:rPr>
            </w:pPr>
            <w:bookmarkStart w:id="1" w:name="_Hlk168731035"/>
            <w:r>
              <w:rPr>
                <w:rFonts w:hint="eastAsia" w:ascii="宋体" w:hAnsi="宋体" w:cs="仿宋"/>
                <w:kern w:val="0"/>
              </w:rPr>
              <w:t>平顶山尼龙新材料开发区管理委员会电子政务外网暨办公业务资源网系统购买服务项目</w:t>
            </w:r>
            <w:bookmarkEnd w:id="1"/>
          </w:p>
        </w:tc>
        <w:tc>
          <w:tcPr>
            <w:tcW w:w="1305" w:type="dxa"/>
            <w:tcBorders>
              <w:top w:val="outset" w:color="auto" w:sz="6" w:space="0"/>
              <w:left w:val="single" w:color="auto" w:sz="0" w:space="0"/>
              <w:bottom w:val="outset" w:color="auto" w:sz="6" w:space="0"/>
              <w:right w:val="outset" w:color="auto" w:sz="6" w:space="0"/>
            </w:tcBorders>
            <w:vAlign w:val="center"/>
          </w:tcPr>
          <w:p w14:paraId="33FCCF1F">
            <w:pPr>
              <w:jc w:val="center"/>
              <w:rPr>
                <w:rFonts w:ascii="宋体" w:hAnsi="宋体" w:cs="仿宋"/>
                <w:kern w:val="0"/>
              </w:rPr>
            </w:pPr>
            <w:r>
              <w:rPr>
                <w:rFonts w:hint="eastAsia" w:ascii="宋体" w:hAnsi="宋体" w:cs="仿宋"/>
                <w:kern w:val="0"/>
              </w:rPr>
              <w:t>600000.00</w:t>
            </w:r>
          </w:p>
        </w:tc>
        <w:tc>
          <w:tcPr>
            <w:tcW w:w="1380" w:type="dxa"/>
            <w:tcBorders>
              <w:top w:val="outset" w:color="auto" w:sz="6" w:space="0"/>
              <w:left w:val="single" w:color="auto" w:sz="0" w:space="0"/>
              <w:bottom w:val="outset" w:color="auto" w:sz="6" w:space="0"/>
              <w:right w:val="outset" w:color="auto" w:sz="6" w:space="0"/>
            </w:tcBorders>
            <w:vAlign w:val="center"/>
          </w:tcPr>
          <w:p w14:paraId="04A2AFDB">
            <w:pPr>
              <w:jc w:val="center"/>
              <w:rPr>
                <w:rFonts w:ascii="宋体" w:hAnsi="宋体" w:cs="仿宋"/>
                <w:kern w:val="0"/>
              </w:rPr>
            </w:pPr>
            <w:r>
              <w:rPr>
                <w:rFonts w:hint="eastAsia" w:ascii="宋体" w:hAnsi="宋体" w:cs="仿宋"/>
                <w:kern w:val="0"/>
              </w:rPr>
              <w:t>600000.00</w:t>
            </w:r>
          </w:p>
        </w:tc>
      </w:tr>
    </w:tbl>
    <w:p w14:paraId="252C6ED9">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5、采购需求（包括但不限于标的的名称、数量、简要技术需求或服务要求等）</w:t>
      </w:r>
    </w:p>
    <w:p w14:paraId="34A54217">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5.1采购内容：本项目为平顶山尼龙新材料开发区管理委员会电子政务外网暨办公业务资源网系统购买服务，具体内容详见竞争性磋商文件。</w:t>
      </w:r>
    </w:p>
    <w:p w14:paraId="6F446F09">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5.2、资金来源：财政资金，已落实</w:t>
      </w:r>
    </w:p>
    <w:p w14:paraId="2F6490AD">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 xml:space="preserve">5.3、服务期限：一年 </w:t>
      </w:r>
    </w:p>
    <w:p w14:paraId="400EFF9C">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 xml:space="preserve">5.4、服务地点：采购人指定地点 </w:t>
      </w:r>
    </w:p>
    <w:p w14:paraId="1A70D772">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5.5、服务要求：合格，满足采购人要求</w:t>
      </w:r>
    </w:p>
    <w:p w14:paraId="7605E6BC">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5.6、标段划分：一个标段</w:t>
      </w:r>
    </w:p>
    <w:p w14:paraId="5B71AE96">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6、合同履行期限：同服务期限。</w:t>
      </w:r>
    </w:p>
    <w:p w14:paraId="334386BC">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7、本项目是否接受联合体投标：否</w:t>
      </w:r>
    </w:p>
    <w:p w14:paraId="4094B6C2">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8、是否接受进口产品：否</w:t>
      </w:r>
    </w:p>
    <w:p w14:paraId="24340FDD">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9、是否专门面向中小企业：否</w:t>
      </w:r>
    </w:p>
    <w:p w14:paraId="7C514D86">
      <w:pPr>
        <w:spacing w:line="360" w:lineRule="auto"/>
        <w:rPr>
          <w:rFonts w:cs="宋体" w:asciiTheme="minorEastAsia" w:hAnsiTheme="minorEastAsia" w:eastAsiaTheme="minorEastAsia"/>
          <w:b/>
          <w:bCs/>
          <w:sz w:val="24"/>
        </w:rPr>
      </w:pPr>
      <w:r>
        <w:rPr>
          <w:rFonts w:hint="eastAsia" w:cs="宋体" w:asciiTheme="minorEastAsia" w:hAnsiTheme="minorEastAsia" w:eastAsiaTheme="minorEastAsia"/>
          <w:b/>
          <w:bCs/>
          <w:sz w:val="24"/>
        </w:rPr>
        <w:t>二、申请人资格要求</w:t>
      </w:r>
    </w:p>
    <w:p w14:paraId="56180F61">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1、满足《中华人民共和国政府采购法》第二十二条规定；</w:t>
      </w:r>
    </w:p>
    <w:p w14:paraId="7412E642">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2、落实政府采购政策需满足的资格要求：本项目非专门面向中小企业采购。供应商为中小微企业、监狱企业、残疾人福利性单位，落实中小企业价格评审优惠政策；中小企业划型标准请依据工信部联企业 （2011） 300 号文件之规定：</w:t>
      </w:r>
    </w:p>
    <w:p w14:paraId="14187302">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3、本项目的特定资格要求：</w:t>
      </w:r>
    </w:p>
    <w:p w14:paraId="0900BF1D">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3.1、供应商须具有有效的营业执照（供应商或分支机构具有营业执照、税务登记证、组织机构代码证或三证合一证书，也可提供电子营业执照）；</w:t>
      </w:r>
    </w:p>
    <w:p w14:paraId="7CB07587">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3.2、具有良好的商业信誉和健全的财务会计制度（提供承诺书）；</w:t>
      </w:r>
    </w:p>
    <w:p w14:paraId="1899AC83">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3.3、履行合同所必需的专业技术能力（提供承诺书）；</w:t>
      </w:r>
    </w:p>
    <w:p w14:paraId="5A7BE9CA">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3.4、有依法缴纳税收和社会保障资金的良好记录（提供承诺书）；</w:t>
      </w:r>
    </w:p>
    <w:p w14:paraId="5EC4E02B">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3.5、参加政府采购活动前三年内或注册公司以来，在经营活动中没有重大违法记录的书面声明（供应商自行承诺，格式自拟）；</w:t>
      </w:r>
    </w:p>
    <w:p w14:paraId="41D8C024">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 xml:space="preserve">3.6、投标人须提供的“中国执行信息公开网”网站的“失信被执行人”、“信用中国”网站的“重大税收违法失信主体”、“中国政府采购”网站的“政府采购严重违法失信行为记录名单”查询结果页面截图。上述信用信息应在招标公告发布后进行查询，若未按要求提供或有不良记录，资格审查不予通过（执行财库【2016】125号文）； </w:t>
      </w:r>
    </w:p>
    <w:p w14:paraId="334FFBD9">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3.7、本项目不接受联合体投标，资格审查方式为资格后审。</w:t>
      </w:r>
    </w:p>
    <w:p w14:paraId="1E7D7459">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注：根据《〈中华人民共和国政府采购法实施条例〉释义》，银行、保险、石油石化、电力、电信等有行业特殊情况的，他们在参与政府采购项目投标时，不得以分公司没有独立法人资格而将其作为资格条件排除在外。</w:t>
      </w:r>
    </w:p>
    <w:p w14:paraId="4DE53CDE">
      <w:pPr>
        <w:spacing w:line="360" w:lineRule="auto"/>
        <w:rPr>
          <w:rFonts w:cs="宋体" w:asciiTheme="minorEastAsia" w:hAnsiTheme="minorEastAsia" w:eastAsiaTheme="minorEastAsia"/>
          <w:b/>
          <w:bCs/>
          <w:sz w:val="24"/>
        </w:rPr>
      </w:pPr>
      <w:r>
        <w:rPr>
          <w:rFonts w:hint="eastAsia" w:cs="宋体" w:asciiTheme="minorEastAsia" w:hAnsiTheme="minorEastAsia" w:eastAsiaTheme="minorEastAsia"/>
          <w:b/>
          <w:bCs/>
          <w:sz w:val="24"/>
        </w:rPr>
        <w:t>三、获取采购文件</w:t>
      </w:r>
    </w:p>
    <w:p w14:paraId="6E5CF5E0">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highlight w:val="none"/>
        </w:rPr>
        <w:t>1、时间：2024年06月17日 至 2024年06月26日，</w:t>
      </w:r>
      <w:r>
        <w:rPr>
          <w:rFonts w:hint="eastAsia" w:cs="宋体" w:asciiTheme="minorEastAsia" w:hAnsiTheme="minorEastAsia" w:eastAsiaTheme="minorEastAsia"/>
          <w:sz w:val="24"/>
        </w:rPr>
        <w:t>每天上午00:00至12:00，下午12:00至23:59（北京时间，法定节假日除外。）</w:t>
      </w:r>
    </w:p>
    <w:p w14:paraId="7F517B6C">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2、地点：平顶山市公共资源交易中心网站</w:t>
      </w:r>
    </w:p>
    <w:p w14:paraId="73F8D18C">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3、方式：该项目实施网上下载招标文件，潜在供应商需凭CA数字证书通过全国公共资源交易平台（河南省·平顶山市 ）（网址：http://ggzy.pds.gov.cn）“登录业务系统”入口进入电子交易系统下载招标文件，具体操作操作请查看以下链接：</w:t>
      </w:r>
    </w:p>
    <w:p w14:paraId="2B8BD6AE">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链接地址：http://ggzy.pds.gov.cn/fwzn/11020.jhtml</w:t>
      </w:r>
    </w:p>
    <w:p w14:paraId="2EB79D90">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办理CA证书：http://ggzy.pds.gov.cn/tzgg/10814.jhtml</w:t>
      </w:r>
    </w:p>
    <w:p w14:paraId="55247AAC">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4、售价：0元</w:t>
      </w:r>
    </w:p>
    <w:p w14:paraId="0263F7E3">
      <w:pPr>
        <w:spacing w:line="360" w:lineRule="auto"/>
        <w:rPr>
          <w:rFonts w:ascii="宋体" w:hAnsi="宋体" w:cs="宋体"/>
          <w:b/>
          <w:bCs/>
          <w:sz w:val="24"/>
        </w:rPr>
      </w:pPr>
      <w:r>
        <w:rPr>
          <w:rFonts w:hint="eastAsia" w:ascii="宋体" w:hAnsi="宋体" w:cs="宋体"/>
          <w:b/>
          <w:bCs/>
          <w:sz w:val="24"/>
        </w:rPr>
        <w:t>四、响应文件提交</w:t>
      </w:r>
    </w:p>
    <w:p w14:paraId="50296F7E">
      <w:pPr>
        <w:spacing w:line="360" w:lineRule="auto"/>
        <w:rPr>
          <w:rFonts w:ascii="宋体" w:hAnsi="宋体" w:cs="宋体"/>
          <w:sz w:val="24"/>
          <w:highlight w:val="none"/>
        </w:rPr>
      </w:pPr>
      <w:r>
        <w:rPr>
          <w:rFonts w:hint="eastAsia" w:ascii="宋体" w:hAnsi="宋体" w:cs="宋体"/>
          <w:sz w:val="24"/>
          <w:highlight w:val="none"/>
        </w:rPr>
        <w:t>1、时间：2024年 06月27日 11 时 00分（北京时间）</w:t>
      </w:r>
    </w:p>
    <w:p w14:paraId="60A71F2C">
      <w:pPr>
        <w:spacing w:line="360" w:lineRule="auto"/>
        <w:rPr>
          <w:rFonts w:ascii="宋体" w:hAnsi="宋体" w:cs="宋体"/>
          <w:sz w:val="24"/>
          <w:highlight w:val="none"/>
        </w:rPr>
      </w:pPr>
      <w:r>
        <w:rPr>
          <w:rFonts w:hint="eastAsia" w:ascii="宋体" w:hAnsi="宋体" w:cs="宋体"/>
          <w:sz w:val="24"/>
          <w:highlight w:val="none"/>
        </w:rPr>
        <w:t>2、地点：平顶山市公共资源交易中心系统</w:t>
      </w:r>
    </w:p>
    <w:p w14:paraId="0663C922">
      <w:pPr>
        <w:spacing w:line="360" w:lineRule="auto"/>
        <w:rPr>
          <w:rFonts w:ascii="宋体" w:hAnsi="宋体" w:cs="宋体"/>
          <w:b/>
          <w:bCs/>
          <w:sz w:val="24"/>
          <w:highlight w:val="none"/>
        </w:rPr>
      </w:pPr>
      <w:r>
        <w:rPr>
          <w:rFonts w:hint="eastAsia" w:ascii="宋体" w:hAnsi="宋体" w:cs="宋体"/>
          <w:b/>
          <w:bCs/>
          <w:sz w:val="24"/>
          <w:highlight w:val="none"/>
        </w:rPr>
        <w:t>五、响应文件开启</w:t>
      </w:r>
    </w:p>
    <w:p w14:paraId="3D27D147">
      <w:pPr>
        <w:spacing w:line="360" w:lineRule="auto"/>
        <w:rPr>
          <w:rFonts w:ascii="宋体" w:hAnsi="宋体" w:cs="宋体"/>
          <w:sz w:val="24"/>
          <w:highlight w:val="none"/>
        </w:rPr>
      </w:pPr>
      <w:r>
        <w:rPr>
          <w:rFonts w:hint="eastAsia" w:ascii="宋体" w:hAnsi="宋体" w:cs="宋体"/>
          <w:sz w:val="24"/>
          <w:highlight w:val="none"/>
        </w:rPr>
        <w:t>1、时间：2024年 06月27日11时00分（北京时间）</w:t>
      </w:r>
    </w:p>
    <w:p w14:paraId="3B9465E9">
      <w:pPr>
        <w:spacing w:line="360" w:lineRule="auto"/>
        <w:rPr>
          <w:rFonts w:ascii="宋体" w:hAnsi="宋体" w:cs="宋体"/>
          <w:sz w:val="24"/>
        </w:rPr>
      </w:pPr>
      <w:r>
        <w:rPr>
          <w:rFonts w:hint="eastAsia" w:ascii="宋体" w:hAnsi="宋体" w:cs="宋体"/>
          <w:sz w:val="24"/>
        </w:rPr>
        <w:t>2、地点：平顶山市公共资源交易中心系统</w:t>
      </w:r>
    </w:p>
    <w:p w14:paraId="471682AC">
      <w:pPr>
        <w:spacing w:line="360" w:lineRule="auto"/>
        <w:rPr>
          <w:rFonts w:ascii="宋体" w:hAnsi="宋体" w:cs="宋体"/>
          <w:b/>
          <w:bCs/>
          <w:sz w:val="24"/>
        </w:rPr>
      </w:pPr>
      <w:r>
        <w:rPr>
          <w:rFonts w:hint="eastAsia" w:ascii="宋体" w:hAnsi="宋体" w:cs="宋体"/>
          <w:b/>
          <w:bCs/>
          <w:sz w:val="24"/>
        </w:rPr>
        <w:t>六、发布公告的媒介及公告期限</w:t>
      </w:r>
    </w:p>
    <w:p w14:paraId="459FD0F5">
      <w:pPr>
        <w:spacing w:line="360" w:lineRule="auto"/>
        <w:rPr>
          <w:rFonts w:ascii="宋体" w:hAnsi="宋体" w:cs="宋体"/>
          <w:sz w:val="24"/>
        </w:rPr>
      </w:pPr>
      <w:r>
        <w:rPr>
          <w:rFonts w:hint="eastAsia" w:ascii="宋体" w:hAnsi="宋体" w:cs="宋体"/>
          <w:sz w:val="24"/>
        </w:rPr>
        <w:t>本次招标公告同时在《河南省政府采购网》、《平顶山市政府采购网》、《全国公共资源交易平台（河南省·平顶山市）》、《河南省公共资源交易公共服务平台》上发布。招标公告期限为三个工作日。</w:t>
      </w:r>
    </w:p>
    <w:p w14:paraId="27F33511">
      <w:pPr>
        <w:spacing w:line="360" w:lineRule="auto"/>
        <w:rPr>
          <w:rFonts w:cs="宋体" w:asciiTheme="minorEastAsia" w:hAnsiTheme="minorEastAsia" w:eastAsiaTheme="minorEastAsia"/>
          <w:b/>
          <w:bCs/>
          <w:sz w:val="24"/>
        </w:rPr>
      </w:pPr>
      <w:r>
        <w:rPr>
          <w:rFonts w:hint="eastAsia" w:cs="宋体" w:asciiTheme="minorEastAsia" w:hAnsiTheme="minorEastAsia" w:eastAsiaTheme="minorEastAsia"/>
          <w:b/>
          <w:bCs/>
          <w:sz w:val="24"/>
        </w:rPr>
        <w:t>七、其他补充事宜</w:t>
      </w:r>
    </w:p>
    <w:p w14:paraId="3847861F">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1.中心全面实行在线“不见面”开标，供应商需要在投标截止时间前在平顶山市公共资源交易中心交易系统中将加密电子投标文件加密上传，不再到开标现场，供应商开标前应仔细阅读《“不见面”开标注意事项及操作流程》。逾期上传的投标文件，采购人不予受理。</w:t>
      </w:r>
    </w:p>
    <w:p w14:paraId="2AF12EE7">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2. 供应商可通过平顶山市公共资源交易平台向采购人（代理机构）、行政监督部门提出在线质疑（异议）、投诉。</w:t>
      </w:r>
    </w:p>
    <w:p w14:paraId="01A10D04">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3.该公告已同步至“平顶山市公共资源交易中心微信公众号”，可通过公众号中的服务栏目进行查阅”。</w:t>
      </w:r>
    </w:p>
    <w:p w14:paraId="1A7D15AB">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4、监督单位：平顶山市政府采购服务中心</w:t>
      </w:r>
    </w:p>
    <w:p w14:paraId="4BB4F1FA">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统一社会信用代码：12410400MB1N33980Q</w:t>
      </w:r>
    </w:p>
    <w:p w14:paraId="77B3D347">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联系方式：0375-2627596</w:t>
      </w:r>
    </w:p>
    <w:p w14:paraId="48BD5004">
      <w:pPr>
        <w:spacing w:line="360" w:lineRule="auto"/>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八、凡对本次招标提出询问，请按照以下方式联系 </w:t>
      </w:r>
    </w:p>
    <w:p w14:paraId="21B381CC">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1.采购人信息</w:t>
      </w:r>
    </w:p>
    <w:p w14:paraId="7E872880">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名称：平顶山尼龙新材料开发区管理委员会</w:t>
      </w:r>
    </w:p>
    <w:p w14:paraId="2229BBF3">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地址：河南省平顶山市叶县</w:t>
      </w:r>
    </w:p>
    <w:p w14:paraId="361C2016">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联系人： 张先生</w:t>
      </w:r>
    </w:p>
    <w:p w14:paraId="7007B86B">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联系方式： 13633755568</w:t>
      </w:r>
    </w:p>
    <w:p w14:paraId="733AC533">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2.采购代理机构信息（如有）</w:t>
      </w:r>
    </w:p>
    <w:p w14:paraId="30AC17C2">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名  称：中盈全过程工程咨询（河南）有限公司</w:t>
      </w:r>
    </w:p>
    <w:p w14:paraId="55184C69">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地 址：河南省郑州市金水区东风路 142 号瀚海海尚 C 座</w:t>
      </w:r>
    </w:p>
    <w:p w14:paraId="2038374E">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联系人：洛女士</w:t>
      </w:r>
    </w:p>
    <w:p w14:paraId="27AE790A">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联系电话：18239787899</w:t>
      </w:r>
    </w:p>
    <w:p w14:paraId="6B6635F8">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3.项目联系方式</w:t>
      </w:r>
    </w:p>
    <w:p w14:paraId="4B3153EB">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联系人：洛女士</w:t>
      </w:r>
    </w:p>
    <w:p w14:paraId="3E6D3CB5">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rPr>
        <w:t>联系方式：18239787899</w:t>
      </w:r>
    </w:p>
    <w:p w14:paraId="7FBEB987">
      <w:pPr>
        <w:rPr>
          <w:rFonts w:ascii="宋体" w:hAnsi="宋体" w:cs="宋体"/>
          <w:sz w:val="20"/>
        </w:rPr>
      </w:pPr>
      <w:r>
        <w:rPr>
          <w:rFonts w:ascii="宋体" w:hAnsi="宋体" w:cs="宋体"/>
          <w:sz w:val="20"/>
        </w:rPr>
        <w:t xml:space="preserve"> </w:t>
      </w:r>
    </w:p>
    <w:p w14:paraId="72AE6674">
      <w:pPr>
        <w:rPr>
          <w:rFonts w:ascii="宋体" w:hAnsi="宋体" w:cs="宋体"/>
          <w:sz w:val="20"/>
        </w:rPr>
      </w:pPr>
    </w:p>
    <w:p w14:paraId="279D5765">
      <w:pPr>
        <w:rPr>
          <w:rFonts w:ascii="宋体" w:hAnsi="宋体" w:cs="宋体"/>
          <w:sz w:val="20"/>
        </w:rPr>
      </w:pPr>
    </w:p>
    <w:p w14:paraId="5A2E7CDB">
      <w:pPr>
        <w:rPr>
          <w:rFonts w:ascii="宋体" w:hAnsi="宋体" w:cs="宋体"/>
          <w:sz w:val="20"/>
        </w:rPr>
      </w:pPr>
      <w:r>
        <w:rPr>
          <w:rFonts w:hint="eastAsia" w:ascii="宋体" w:hAnsi="宋体" w:cs="宋体"/>
          <w:sz w:val="20"/>
        </w:rPr>
        <w:br w:type="page"/>
      </w:r>
    </w:p>
    <w:p w14:paraId="4478BC1E">
      <w:pPr>
        <w:spacing w:line="440" w:lineRule="exact"/>
        <w:ind w:firstLine="482" w:firstLineChars="200"/>
        <w:jc w:val="center"/>
        <w:rPr>
          <w:rStyle w:val="54"/>
          <w:rFonts w:ascii="宋体" w:hAnsi="宋体" w:cs="宋体"/>
          <w:b/>
          <w:bCs/>
          <w:kern w:val="0"/>
          <w:sz w:val="24"/>
        </w:rPr>
      </w:pPr>
      <w:r>
        <w:rPr>
          <w:rStyle w:val="54"/>
          <w:rFonts w:hint="eastAsia" w:ascii="宋体" w:hAnsi="宋体" w:cs="宋体"/>
          <w:b/>
          <w:bCs/>
          <w:kern w:val="0"/>
          <w:sz w:val="24"/>
        </w:rPr>
        <w:t>温馨提示：</w:t>
      </w:r>
    </w:p>
    <w:p w14:paraId="66D5AD94">
      <w:pPr>
        <w:spacing w:line="440" w:lineRule="exact"/>
        <w:ind w:firstLine="480" w:firstLineChars="200"/>
        <w:jc w:val="left"/>
        <w:rPr>
          <w:rStyle w:val="54"/>
          <w:rFonts w:ascii="宋体" w:hAnsi="宋体" w:cs="宋体"/>
          <w:kern w:val="0"/>
          <w:sz w:val="24"/>
        </w:rPr>
      </w:pPr>
      <w:r>
        <w:rPr>
          <w:rStyle w:val="54"/>
          <w:rFonts w:hint="eastAsia" w:ascii="宋体" w:hAnsi="宋体" w:cs="宋体"/>
          <w:kern w:val="0"/>
          <w:sz w:val="24"/>
        </w:rPr>
        <w:t>本项目为全流程电子化交易项目，请认真阅读磋商文件，并注意以下事项。</w:t>
      </w:r>
    </w:p>
    <w:p w14:paraId="2E70E913">
      <w:pPr>
        <w:spacing w:line="440" w:lineRule="exact"/>
        <w:ind w:firstLine="480" w:firstLineChars="200"/>
        <w:jc w:val="left"/>
        <w:rPr>
          <w:rStyle w:val="54"/>
          <w:rFonts w:ascii="宋体" w:hAnsi="宋体" w:cs="宋体"/>
          <w:kern w:val="0"/>
          <w:sz w:val="24"/>
        </w:rPr>
      </w:pPr>
      <w:r>
        <w:rPr>
          <w:rStyle w:val="54"/>
          <w:rFonts w:hint="eastAsia" w:ascii="宋体" w:hAnsi="宋体" w:cs="宋体"/>
          <w:kern w:val="0"/>
          <w:sz w:val="24"/>
        </w:rPr>
        <w:t xml:space="preserve">1.供应商应按磋商文件规定编制、提交电子响应文件。 </w:t>
      </w:r>
    </w:p>
    <w:p w14:paraId="3CAA3D5E">
      <w:pPr>
        <w:spacing w:line="440" w:lineRule="exact"/>
        <w:ind w:firstLine="480" w:firstLineChars="200"/>
        <w:jc w:val="left"/>
        <w:rPr>
          <w:rStyle w:val="54"/>
          <w:rFonts w:ascii="宋体" w:hAnsi="宋体" w:cs="宋体"/>
          <w:kern w:val="0"/>
          <w:sz w:val="24"/>
        </w:rPr>
      </w:pPr>
      <w:r>
        <w:rPr>
          <w:rStyle w:val="54"/>
          <w:rFonts w:hint="eastAsia" w:ascii="宋体" w:hAnsi="宋体" w:cs="宋体"/>
          <w:kern w:val="0"/>
          <w:sz w:val="24"/>
        </w:rPr>
        <w:t>2.本项目供应商不用再提供纸质响应文件。</w:t>
      </w:r>
    </w:p>
    <w:p w14:paraId="6A011337">
      <w:pPr>
        <w:spacing w:line="440" w:lineRule="exact"/>
        <w:ind w:firstLine="480" w:firstLineChars="200"/>
        <w:jc w:val="left"/>
        <w:rPr>
          <w:rStyle w:val="54"/>
          <w:rFonts w:ascii="宋体" w:hAnsi="宋体" w:cs="宋体"/>
          <w:kern w:val="0"/>
          <w:sz w:val="24"/>
        </w:rPr>
      </w:pPr>
      <w:r>
        <w:rPr>
          <w:rStyle w:val="54"/>
          <w:rFonts w:hint="eastAsia" w:ascii="宋体" w:hAnsi="宋体" w:cs="宋体"/>
          <w:kern w:val="0"/>
          <w:sz w:val="24"/>
        </w:rPr>
        <w:t>3.电子文件下载、制作、提交期间和开标（电子响应文件的解密）环节，供应商须使用CA数字证书（证书须在有效期内）。</w:t>
      </w:r>
    </w:p>
    <w:p w14:paraId="464B1D8A">
      <w:pPr>
        <w:spacing w:line="440" w:lineRule="exact"/>
        <w:ind w:firstLine="480" w:firstLineChars="200"/>
        <w:jc w:val="left"/>
        <w:rPr>
          <w:rStyle w:val="54"/>
          <w:rFonts w:ascii="宋体" w:hAnsi="宋体" w:cs="宋体"/>
          <w:kern w:val="0"/>
          <w:sz w:val="24"/>
        </w:rPr>
      </w:pPr>
      <w:r>
        <w:rPr>
          <w:rStyle w:val="54"/>
          <w:rFonts w:hint="eastAsia" w:ascii="宋体" w:hAnsi="宋体" w:cs="宋体"/>
          <w:kern w:val="0"/>
          <w:sz w:val="24"/>
        </w:rPr>
        <w:t>4.电子响应文件的制作</w:t>
      </w:r>
    </w:p>
    <w:p w14:paraId="4AB91AF0">
      <w:pPr>
        <w:spacing w:line="440" w:lineRule="exact"/>
        <w:ind w:firstLine="480" w:firstLineChars="200"/>
        <w:jc w:val="left"/>
        <w:rPr>
          <w:rStyle w:val="54"/>
          <w:rFonts w:ascii="宋体" w:hAnsi="宋体" w:cs="宋体"/>
          <w:kern w:val="0"/>
          <w:sz w:val="24"/>
        </w:rPr>
      </w:pPr>
      <w:r>
        <w:rPr>
          <w:rStyle w:val="54"/>
          <w:rFonts w:hint="eastAsia" w:ascii="宋体" w:hAnsi="宋体" w:cs="宋体"/>
          <w:kern w:val="0"/>
          <w:sz w:val="24"/>
        </w:rPr>
        <w:t>4.1 供应商登录《全国公共资源交易平台(河南省▪平顶山市)》公共资源交易系统（http://221.176.192.166:8080/ggzy/）下载“平顶山响应文件制作系统”，按采购文件要求制作电子响应文件。</w:t>
      </w:r>
    </w:p>
    <w:p w14:paraId="3A4B40EE">
      <w:pPr>
        <w:spacing w:line="440" w:lineRule="exact"/>
        <w:ind w:firstLine="480" w:firstLineChars="200"/>
        <w:jc w:val="left"/>
        <w:rPr>
          <w:rStyle w:val="54"/>
          <w:rFonts w:ascii="宋体" w:hAnsi="宋体" w:cs="宋体"/>
          <w:kern w:val="0"/>
          <w:sz w:val="24"/>
        </w:rPr>
      </w:pPr>
      <w:r>
        <w:rPr>
          <w:rStyle w:val="54"/>
          <w:rFonts w:hint="eastAsia" w:ascii="宋体" w:hAnsi="宋体" w:cs="宋体"/>
          <w:kern w:val="0"/>
          <w:sz w:val="24"/>
        </w:rPr>
        <w:t>电子响应文件的制作，参考《全国公共资源交易平台(河南省▪平顶山市)》公共资源交易系统——组件下载——交易系统操作手册（供应商、供应商）。</w:t>
      </w:r>
    </w:p>
    <w:p w14:paraId="7406B8D5">
      <w:pPr>
        <w:spacing w:line="440" w:lineRule="exact"/>
        <w:ind w:firstLine="480" w:firstLineChars="200"/>
        <w:jc w:val="left"/>
        <w:rPr>
          <w:rStyle w:val="54"/>
          <w:rFonts w:ascii="宋体" w:hAnsi="宋体" w:cs="宋体"/>
          <w:kern w:val="0"/>
          <w:sz w:val="24"/>
        </w:rPr>
      </w:pPr>
      <w:r>
        <w:rPr>
          <w:rStyle w:val="54"/>
          <w:rFonts w:hint="eastAsia" w:ascii="宋体" w:hAnsi="宋体" w:cs="宋体"/>
          <w:kern w:val="0"/>
          <w:sz w:val="24"/>
        </w:rPr>
        <w:t>4.2 供应商须将采购文件要求的资质、业绩、荣誉及相关人员证明材料等资料原件扫描件（或图片）制作到所提交的电子响应文件中。</w:t>
      </w:r>
    </w:p>
    <w:p w14:paraId="40EDC36E">
      <w:pPr>
        <w:spacing w:line="440" w:lineRule="exact"/>
        <w:ind w:firstLine="480" w:firstLineChars="200"/>
        <w:jc w:val="left"/>
        <w:rPr>
          <w:rStyle w:val="54"/>
          <w:rFonts w:ascii="宋体" w:hAnsi="宋体" w:cs="宋体"/>
          <w:kern w:val="0"/>
          <w:sz w:val="24"/>
        </w:rPr>
      </w:pPr>
      <w:r>
        <w:rPr>
          <w:rStyle w:val="54"/>
          <w:rFonts w:hint="eastAsia" w:ascii="宋体" w:hAnsi="宋体" w:cs="宋体"/>
          <w:kern w:val="0"/>
          <w:sz w:val="24"/>
        </w:rPr>
        <w:t>4.3供应商对同一项目多个标段进行投标的，应分别下载所投标段的采购文件，按标段制作电子响应文件，并按采购文件要求在相应位置加盖供应商电子印章和法人电子印章。</w:t>
      </w:r>
    </w:p>
    <w:p w14:paraId="7C6F3D22">
      <w:pPr>
        <w:spacing w:line="440" w:lineRule="exact"/>
        <w:ind w:firstLine="480" w:firstLineChars="200"/>
        <w:jc w:val="left"/>
        <w:rPr>
          <w:rStyle w:val="54"/>
          <w:rFonts w:ascii="宋体" w:hAnsi="宋体" w:cs="宋体"/>
          <w:kern w:val="0"/>
          <w:sz w:val="24"/>
        </w:rPr>
      </w:pPr>
      <w:r>
        <w:rPr>
          <w:rStyle w:val="54"/>
          <w:rFonts w:hint="eastAsia" w:ascii="宋体" w:hAnsi="宋体" w:cs="宋体"/>
          <w:kern w:val="0"/>
          <w:sz w:val="24"/>
        </w:rPr>
        <w:t>一个标段对应生成一个文件夹（xxxx项目xx标段）, 其中包含2个文件和1个文件夹。后缀名为“.file”的文件用于电子投标使用，名称为“备份”的文件夹使用电子介质存储，供开标现场备用。</w:t>
      </w:r>
    </w:p>
    <w:p w14:paraId="528929F3">
      <w:pPr>
        <w:spacing w:line="440" w:lineRule="exact"/>
        <w:ind w:firstLine="480" w:firstLineChars="200"/>
        <w:jc w:val="left"/>
        <w:rPr>
          <w:rStyle w:val="54"/>
          <w:rFonts w:ascii="宋体" w:hAnsi="宋体" w:cs="宋体"/>
          <w:kern w:val="0"/>
          <w:sz w:val="24"/>
        </w:rPr>
      </w:pPr>
      <w:r>
        <w:rPr>
          <w:rStyle w:val="54"/>
          <w:rFonts w:hint="eastAsia" w:ascii="宋体" w:hAnsi="宋体" w:cs="宋体"/>
          <w:kern w:val="0"/>
          <w:sz w:val="24"/>
        </w:rPr>
        <w:t>5.加密电子响应文件的提交</w:t>
      </w:r>
    </w:p>
    <w:p w14:paraId="731B3EFE">
      <w:pPr>
        <w:spacing w:line="440" w:lineRule="exact"/>
        <w:ind w:firstLine="480" w:firstLineChars="200"/>
        <w:jc w:val="left"/>
        <w:rPr>
          <w:rStyle w:val="54"/>
          <w:rFonts w:ascii="宋体" w:hAnsi="宋体" w:cs="宋体"/>
          <w:kern w:val="0"/>
          <w:sz w:val="24"/>
        </w:rPr>
      </w:pPr>
      <w:r>
        <w:rPr>
          <w:rStyle w:val="54"/>
          <w:rFonts w:hint="eastAsia" w:ascii="宋体" w:hAnsi="宋体" w:cs="宋体"/>
          <w:kern w:val="0"/>
          <w:sz w:val="24"/>
        </w:rPr>
        <w:t>5.1加密电子响应文件应在采购文件规定的投标截止时间（开标时间）之前成功提交至《全国公共资源交易平台(河南省▪平顶山市)》公共资源交易系统（http://221.176.192.166:8080/ggzy/）。</w:t>
      </w:r>
    </w:p>
    <w:p w14:paraId="774C8FCE">
      <w:pPr>
        <w:spacing w:line="440" w:lineRule="exact"/>
        <w:ind w:firstLine="480" w:firstLineChars="200"/>
        <w:jc w:val="left"/>
        <w:rPr>
          <w:rStyle w:val="54"/>
          <w:rFonts w:ascii="宋体" w:hAnsi="宋体" w:cs="宋体"/>
          <w:kern w:val="0"/>
          <w:sz w:val="24"/>
        </w:rPr>
      </w:pPr>
      <w:r>
        <w:rPr>
          <w:rStyle w:val="54"/>
          <w:rFonts w:hint="eastAsia" w:ascii="宋体" w:hAnsi="宋体" w:cs="宋体"/>
          <w:kern w:val="0"/>
          <w:sz w:val="24"/>
        </w:rPr>
        <w:t>供应商应充分考虑并预留技术处理和上传数据所需时间。</w:t>
      </w:r>
    </w:p>
    <w:p w14:paraId="4F35C3A7">
      <w:pPr>
        <w:spacing w:line="440" w:lineRule="exact"/>
        <w:ind w:firstLine="480" w:firstLineChars="200"/>
        <w:jc w:val="left"/>
        <w:rPr>
          <w:rStyle w:val="54"/>
          <w:rFonts w:ascii="宋体" w:hAnsi="宋体" w:cs="宋体"/>
          <w:sz w:val="28"/>
        </w:rPr>
      </w:pPr>
      <w:r>
        <w:rPr>
          <w:rStyle w:val="54"/>
          <w:rFonts w:hint="eastAsia" w:ascii="宋体" w:hAnsi="宋体" w:cs="宋体"/>
          <w:kern w:val="0"/>
          <w:sz w:val="24"/>
        </w:rPr>
        <w:t>5.2 供应商对同一项目多个标段进行投标的，加密电子响应文件应按标段分别提交。</w:t>
      </w:r>
    </w:p>
    <w:p w14:paraId="5C9FB435">
      <w:pPr>
        <w:spacing w:line="440" w:lineRule="exact"/>
        <w:ind w:firstLine="720" w:firstLineChars="200"/>
        <w:jc w:val="center"/>
        <w:rPr>
          <w:rStyle w:val="54"/>
          <w:rFonts w:ascii="宋体" w:hAnsi="宋体" w:cs="宋体"/>
          <w:b/>
          <w:bCs/>
          <w:kern w:val="0"/>
          <w:sz w:val="24"/>
        </w:rPr>
      </w:pPr>
      <w:r>
        <w:rPr>
          <w:rStyle w:val="54"/>
          <w:rFonts w:hint="eastAsia" w:ascii="宋体" w:hAnsi="宋体" w:cs="宋体"/>
          <w:sz w:val="36"/>
          <w:szCs w:val="36"/>
        </w:rPr>
        <w:br w:type="page"/>
      </w:r>
    </w:p>
    <w:p w14:paraId="75D14D96">
      <w:pPr>
        <w:spacing w:line="440" w:lineRule="exact"/>
        <w:ind w:firstLine="482" w:firstLineChars="200"/>
        <w:jc w:val="center"/>
        <w:rPr>
          <w:rFonts w:ascii="宋体" w:hAnsi="宋体" w:cs="宋体"/>
          <w:b/>
          <w:sz w:val="24"/>
        </w:rPr>
      </w:pPr>
      <w:r>
        <w:rPr>
          <w:rStyle w:val="54"/>
          <w:rFonts w:hint="eastAsia" w:ascii="宋体" w:hAnsi="宋体" w:cs="宋体"/>
          <w:b/>
          <w:bCs/>
          <w:kern w:val="0"/>
          <w:sz w:val="24"/>
        </w:rPr>
        <w:t>“不见面”开标注意事项及操作流程</w:t>
      </w:r>
    </w:p>
    <w:p w14:paraId="799A68C0">
      <w:pPr>
        <w:spacing w:line="440" w:lineRule="exact"/>
        <w:ind w:firstLine="480" w:firstLineChars="200"/>
        <w:jc w:val="left"/>
        <w:rPr>
          <w:rStyle w:val="54"/>
          <w:rFonts w:ascii="宋体" w:hAnsi="宋体" w:cs="宋体"/>
          <w:kern w:val="0"/>
          <w:sz w:val="24"/>
        </w:rPr>
      </w:pPr>
      <w:r>
        <w:rPr>
          <w:rStyle w:val="54"/>
          <w:rFonts w:hint="eastAsia" w:ascii="宋体" w:hAnsi="宋体" w:cs="宋体"/>
          <w:kern w:val="0"/>
          <w:sz w:val="24"/>
        </w:rPr>
        <w:t>1、开标时，供应商采用网上远程异地解密时，请用CA证书登录平顶山市公共资源交易中心业务系统，进入本项目开标大厅点击解密来完成响应文件的解密工作。每位供应商的解密时间从开标时间起60分钟内完成，超过规定时间解密的响应文件不予接收。</w:t>
      </w:r>
    </w:p>
    <w:p w14:paraId="33B1984B">
      <w:pPr>
        <w:spacing w:line="440" w:lineRule="exact"/>
        <w:ind w:firstLine="480" w:firstLineChars="200"/>
        <w:jc w:val="left"/>
        <w:rPr>
          <w:rStyle w:val="54"/>
          <w:rFonts w:ascii="宋体" w:hAnsi="宋体" w:cs="宋体"/>
          <w:kern w:val="0"/>
          <w:sz w:val="24"/>
        </w:rPr>
      </w:pPr>
      <w:r>
        <w:rPr>
          <w:rStyle w:val="54"/>
          <w:rFonts w:hint="eastAsia" w:ascii="宋体" w:hAnsi="宋体" w:cs="宋体"/>
          <w:kern w:val="0"/>
          <w:sz w:val="24"/>
        </w:rPr>
        <w:t>2、如出现供应商的电子响应文件无法解密的情况，供应商应及时联系采购人（代理机构）进行说明。响应文件解密异常，按以下步骤进行处理：</w:t>
      </w:r>
    </w:p>
    <w:p w14:paraId="3F2C498A">
      <w:pPr>
        <w:spacing w:line="440" w:lineRule="exact"/>
        <w:ind w:firstLine="480" w:firstLineChars="200"/>
        <w:jc w:val="left"/>
        <w:rPr>
          <w:rStyle w:val="54"/>
          <w:rFonts w:ascii="宋体" w:hAnsi="宋体" w:cs="宋体"/>
          <w:kern w:val="0"/>
          <w:sz w:val="24"/>
        </w:rPr>
      </w:pPr>
      <w:r>
        <w:rPr>
          <w:rStyle w:val="54"/>
          <w:rFonts w:hint="eastAsia" w:ascii="宋体" w:hAnsi="宋体" w:cs="宋体"/>
          <w:kern w:val="0"/>
          <w:sz w:val="24"/>
        </w:rPr>
        <w:t>（1）如果是响应文件自身问题导致响应文件无法解密的，该响应文件将不予接收、解密。</w:t>
      </w:r>
    </w:p>
    <w:p w14:paraId="210E1A3D">
      <w:pPr>
        <w:spacing w:line="440" w:lineRule="exact"/>
        <w:ind w:firstLine="480" w:firstLineChars="200"/>
        <w:jc w:val="left"/>
        <w:rPr>
          <w:rStyle w:val="54"/>
          <w:rFonts w:ascii="宋体" w:hAnsi="宋体" w:cs="宋体"/>
          <w:kern w:val="0"/>
          <w:sz w:val="24"/>
        </w:rPr>
      </w:pPr>
      <w:r>
        <w:rPr>
          <w:rStyle w:val="54"/>
          <w:rFonts w:hint="eastAsia" w:ascii="宋体" w:hAnsi="宋体" w:cs="宋体"/>
          <w:kern w:val="0"/>
          <w:sz w:val="24"/>
        </w:rPr>
        <w:t>（2）如果是电子化交易系统问题造成响应文件无法解密的，将由技术人员进行排查处理。如短时间内问题无法解决的，将由采购人（代理机构）联系监督部门申请暂停开标，待问题解决后继续开标。</w:t>
      </w:r>
    </w:p>
    <w:p w14:paraId="3511473D">
      <w:pPr>
        <w:spacing w:line="440" w:lineRule="exact"/>
        <w:ind w:firstLine="480" w:firstLineChars="200"/>
        <w:jc w:val="left"/>
        <w:rPr>
          <w:rStyle w:val="54"/>
          <w:rFonts w:ascii="宋体" w:hAnsi="宋体" w:cs="宋体"/>
          <w:kern w:val="0"/>
          <w:sz w:val="24"/>
        </w:rPr>
      </w:pPr>
      <w:r>
        <w:rPr>
          <w:rStyle w:val="54"/>
          <w:rFonts w:hint="eastAsia" w:ascii="宋体" w:hAnsi="宋体" w:cs="宋体"/>
          <w:kern w:val="0"/>
          <w:sz w:val="24"/>
        </w:rPr>
        <w:t>3、所有响应文件解密完成后，由采购人（代理机构）操作，对开标结果进行公示。</w:t>
      </w:r>
    </w:p>
    <w:p w14:paraId="72E6C806">
      <w:pPr>
        <w:spacing w:line="440" w:lineRule="exact"/>
        <w:ind w:firstLine="480" w:firstLineChars="200"/>
        <w:jc w:val="left"/>
        <w:rPr>
          <w:rStyle w:val="54"/>
          <w:rFonts w:ascii="宋体" w:hAnsi="宋体" w:cs="宋体"/>
          <w:kern w:val="0"/>
          <w:sz w:val="24"/>
        </w:rPr>
      </w:pPr>
      <w:r>
        <w:rPr>
          <w:rStyle w:val="54"/>
          <w:rFonts w:hint="eastAsia" w:ascii="宋体" w:hAnsi="宋体" w:cs="宋体"/>
          <w:kern w:val="0"/>
          <w:sz w:val="24"/>
        </w:rPr>
        <w:t>4、供应商应保证在开标期间电话、电脑、网络等能够正常使用，供应商因停电、电脑病毒、网络堵塞等原因，未在规定的解密时间内对响应文件进行解密的，其响应文件不予接收。</w:t>
      </w:r>
    </w:p>
    <w:p w14:paraId="1A94785B">
      <w:pPr>
        <w:spacing w:line="440" w:lineRule="exact"/>
        <w:ind w:firstLine="480" w:firstLineChars="200"/>
        <w:jc w:val="left"/>
        <w:rPr>
          <w:rStyle w:val="54"/>
          <w:rFonts w:ascii="宋体" w:hAnsi="宋体" w:cs="宋体"/>
          <w:kern w:val="0"/>
          <w:sz w:val="24"/>
        </w:rPr>
      </w:pPr>
      <w:r>
        <w:rPr>
          <w:rStyle w:val="54"/>
          <w:rFonts w:hint="eastAsia" w:ascii="宋体" w:hAnsi="宋体" w:cs="宋体"/>
          <w:kern w:val="0"/>
          <w:sz w:val="24"/>
        </w:rPr>
        <w:t>5、解密完成后，供应商可登录到交易系统查看自己的投标报价。如对自己的报价内容有异议的，应在报价内容显示后20分钟内联系采购人（代理机构）进行质疑，供应商未在规定时间内提出质疑的，视为认可开标结果显示内容。</w:t>
      </w:r>
    </w:p>
    <w:p w14:paraId="4CD9FD5F">
      <w:pPr>
        <w:rPr>
          <w:rFonts w:ascii="宋体" w:hAnsi="宋体" w:cs="宋体"/>
          <w:sz w:val="20"/>
        </w:rPr>
      </w:pPr>
    </w:p>
    <w:p w14:paraId="61D9F5D5">
      <w:pPr>
        <w:rPr>
          <w:rFonts w:ascii="宋体" w:hAnsi="宋体" w:cs="宋体"/>
          <w:sz w:val="20"/>
        </w:rPr>
      </w:pPr>
    </w:p>
    <w:p w14:paraId="01B8E1CC">
      <w:pPr>
        <w:jc w:val="center"/>
        <w:rPr>
          <w:rStyle w:val="54"/>
          <w:rFonts w:ascii="宋体" w:hAnsi="宋体" w:cs="宋体"/>
          <w:sz w:val="36"/>
          <w:szCs w:val="36"/>
        </w:rPr>
      </w:pPr>
      <w:r>
        <w:rPr>
          <w:rStyle w:val="54"/>
          <w:rFonts w:hint="eastAsia" w:ascii="宋体" w:hAnsi="宋体" w:cs="宋体"/>
          <w:sz w:val="36"/>
          <w:szCs w:val="36"/>
        </w:rPr>
        <w:br w:type="page"/>
      </w:r>
    </w:p>
    <w:p w14:paraId="2CBAF46D">
      <w:pPr>
        <w:spacing w:before="120" w:after="120" w:line="360" w:lineRule="auto"/>
        <w:jc w:val="center"/>
        <w:outlineLvl w:val="0"/>
        <w:rPr>
          <w:rStyle w:val="54"/>
          <w:rFonts w:ascii="宋体" w:hAnsi="宋体" w:cs="宋体"/>
          <w:b/>
          <w:bCs/>
          <w:sz w:val="36"/>
          <w:szCs w:val="36"/>
        </w:rPr>
      </w:pPr>
      <w:bookmarkStart w:id="2" w:name="_Toc21690"/>
      <w:r>
        <w:rPr>
          <w:rStyle w:val="54"/>
          <w:rFonts w:hint="eastAsia" w:ascii="宋体" w:hAnsi="宋体" w:cs="宋体"/>
          <w:b/>
          <w:bCs/>
          <w:sz w:val="36"/>
          <w:szCs w:val="36"/>
        </w:rPr>
        <w:t>第二章  供应商须知</w:t>
      </w:r>
      <w:bookmarkEnd w:id="2"/>
    </w:p>
    <w:p w14:paraId="1B3FBE9D">
      <w:pPr>
        <w:jc w:val="center"/>
        <w:rPr>
          <w:rStyle w:val="54"/>
          <w:rFonts w:ascii="宋体" w:hAnsi="宋体" w:cs="宋体"/>
          <w:b/>
          <w:sz w:val="32"/>
          <w:szCs w:val="32"/>
        </w:rPr>
      </w:pPr>
      <w:r>
        <w:rPr>
          <w:rStyle w:val="54"/>
          <w:rFonts w:hint="eastAsia" w:ascii="宋体" w:hAnsi="宋体" w:cs="宋体"/>
          <w:b/>
          <w:sz w:val="32"/>
          <w:szCs w:val="32"/>
        </w:rPr>
        <w:t>供应商须知前附表</w:t>
      </w:r>
    </w:p>
    <w:tbl>
      <w:tblPr>
        <w:tblStyle w:val="28"/>
        <w:tblW w:w="5123" w:type="pct"/>
        <w:tblInd w:w="-147" w:type="dxa"/>
        <w:tblLayout w:type="autofit"/>
        <w:tblCellMar>
          <w:top w:w="0" w:type="dxa"/>
          <w:left w:w="0" w:type="dxa"/>
          <w:bottom w:w="0" w:type="dxa"/>
          <w:right w:w="0" w:type="dxa"/>
        </w:tblCellMar>
      </w:tblPr>
      <w:tblGrid>
        <w:gridCol w:w="950"/>
        <w:gridCol w:w="2426"/>
        <w:gridCol w:w="6800"/>
      </w:tblGrid>
      <w:tr w14:paraId="75620A8B">
        <w:tblPrEx>
          <w:tblCellMar>
            <w:top w:w="0" w:type="dxa"/>
            <w:left w:w="0" w:type="dxa"/>
            <w:bottom w:w="0" w:type="dxa"/>
            <w:right w:w="0" w:type="dxa"/>
          </w:tblCellMar>
        </w:tblPrEx>
        <w:trPr>
          <w:trHeight w:val="465"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77803C50">
            <w:pPr>
              <w:jc w:val="center"/>
              <w:rPr>
                <w:rFonts w:ascii="宋体" w:hAnsi="宋体" w:cs="宋体"/>
                <w:b/>
                <w:bCs/>
              </w:rPr>
            </w:pPr>
            <w:bookmarkStart w:id="3" w:name="_Toc413941322"/>
            <w:r>
              <w:rPr>
                <w:rFonts w:hint="eastAsia" w:ascii="宋体" w:hAnsi="宋体" w:cs="宋体"/>
                <w:b/>
                <w:bCs/>
              </w:rPr>
              <w:t>序号</w:t>
            </w:r>
          </w:p>
        </w:tc>
        <w:tc>
          <w:tcPr>
            <w:tcW w:w="1192" w:type="pct"/>
            <w:tcBorders>
              <w:top w:val="single" w:color="000000" w:sz="4" w:space="0"/>
              <w:left w:val="single" w:color="000000" w:sz="4" w:space="0"/>
              <w:bottom w:val="single" w:color="000000" w:sz="4" w:space="0"/>
              <w:right w:val="single" w:color="000000" w:sz="4" w:space="0"/>
            </w:tcBorders>
            <w:vAlign w:val="center"/>
          </w:tcPr>
          <w:p w14:paraId="0D96BA82">
            <w:pPr>
              <w:jc w:val="center"/>
              <w:rPr>
                <w:rFonts w:ascii="宋体" w:hAnsi="宋体" w:cs="宋体"/>
                <w:b/>
                <w:bCs/>
              </w:rPr>
            </w:pPr>
            <w:r>
              <w:rPr>
                <w:rFonts w:hint="eastAsia" w:ascii="宋体" w:hAnsi="宋体" w:cs="宋体"/>
                <w:b/>
                <w:bCs/>
              </w:rPr>
              <w:t>名  称</w:t>
            </w:r>
          </w:p>
        </w:tc>
        <w:tc>
          <w:tcPr>
            <w:tcW w:w="3341" w:type="pct"/>
            <w:tcBorders>
              <w:top w:val="single" w:color="000000" w:sz="4" w:space="0"/>
              <w:left w:val="single" w:color="000000" w:sz="4" w:space="0"/>
              <w:bottom w:val="single" w:color="000000" w:sz="4" w:space="0"/>
              <w:right w:val="single" w:color="000000" w:sz="4" w:space="0"/>
            </w:tcBorders>
            <w:vAlign w:val="center"/>
          </w:tcPr>
          <w:p w14:paraId="6A7DC100">
            <w:pPr>
              <w:jc w:val="center"/>
              <w:rPr>
                <w:rFonts w:ascii="宋体" w:hAnsi="宋体" w:cs="宋体"/>
                <w:b/>
                <w:bCs/>
              </w:rPr>
            </w:pPr>
            <w:r>
              <w:rPr>
                <w:rFonts w:hint="eastAsia" w:ascii="宋体" w:hAnsi="宋体" w:cs="宋体"/>
                <w:b/>
                <w:bCs/>
              </w:rPr>
              <w:t>内  容</w:t>
            </w:r>
          </w:p>
        </w:tc>
      </w:tr>
      <w:tr w14:paraId="45303E9F">
        <w:tblPrEx>
          <w:tblCellMar>
            <w:top w:w="0" w:type="dxa"/>
            <w:left w:w="0" w:type="dxa"/>
            <w:bottom w:w="0" w:type="dxa"/>
            <w:right w:w="0" w:type="dxa"/>
          </w:tblCellMar>
        </w:tblPrEx>
        <w:trPr>
          <w:trHeight w:val="1263"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4D3B65C4">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1</w:t>
            </w:r>
          </w:p>
        </w:tc>
        <w:tc>
          <w:tcPr>
            <w:tcW w:w="1192" w:type="pct"/>
            <w:tcBorders>
              <w:top w:val="single" w:color="000000" w:sz="4" w:space="0"/>
              <w:left w:val="single" w:color="000000" w:sz="4" w:space="0"/>
              <w:bottom w:val="single" w:color="000000" w:sz="4" w:space="0"/>
              <w:right w:val="single" w:color="000000" w:sz="4" w:space="0"/>
            </w:tcBorders>
            <w:vAlign w:val="center"/>
          </w:tcPr>
          <w:p w14:paraId="7ABBE000">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采购人</w:t>
            </w:r>
          </w:p>
        </w:tc>
        <w:tc>
          <w:tcPr>
            <w:tcW w:w="3341" w:type="pct"/>
            <w:tcBorders>
              <w:top w:val="single" w:color="000000" w:sz="4" w:space="0"/>
              <w:left w:val="single" w:color="000000" w:sz="4" w:space="0"/>
              <w:bottom w:val="single" w:color="000000" w:sz="4" w:space="0"/>
              <w:right w:val="single" w:color="000000" w:sz="4" w:space="0"/>
            </w:tcBorders>
            <w:vAlign w:val="center"/>
          </w:tcPr>
          <w:p w14:paraId="52BC2464">
            <w:pPr>
              <w:spacing w:line="324" w:lineRule="auto"/>
              <w:rPr>
                <w:rFonts w:ascii="宋体" w:hAnsi="宋体" w:cs="仿宋"/>
              </w:rPr>
            </w:pPr>
            <w:r>
              <w:rPr>
                <w:rFonts w:hint="eastAsia" w:ascii="宋体" w:hAnsi="宋体" w:cs="仿宋"/>
              </w:rPr>
              <w:t>名称：平顶山尼龙新材料开发区管理委员会</w:t>
            </w:r>
          </w:p>
          <w:p w14:paraId="16CCEAEB">
            <w:pPr>
              <w:spacing w:line="324" w:lineRule="auto"/>
              <w:rPr>
                <w:rFonts w:ascii="宋体" w:hAnsi="宋体" w:cs="仿宋"/>
              </w:rPr>
            </w:pPr>
            <w:r>
              <w:rPr>
                <w:rFonts w:hint="eastAsia" w:ascii="宋体" w:hAnsi="宋体" w:cs="仿宋"/>
              </w:rPr>
              <w:t>地址：河南省平顶山市叶县</w:t>
            </w:r>
          </w:p>
          <w:p w14:paraId="1767701C">
            <w:pPr>
              <w:spacing w:line="324" w:lineRule="auto"/>
              <w:rPr>
                <w:rFonts w:ascii="宋体" w:hAnsi="宋体" w:cs="仿宋"/>
              </w:rPr>
            </w:pPr>
            <w:r>
              <w:rPr>
                <w:rFonts w:hint="eastAsia" w:ascii="宋体" w:hAnsi="宋体" w:cs="仿宋"/>
              </w:rPr>
              <w:t>联系人： 张先生</w:t>
            </w:r>
          </w:p>
          <w:p w14:paraId="7626AFB9">
            <w:pPr>
              <w:autoSpaceDE w:val="0"/>
              <w:autoSpaceDN w:val="0"/>
              <w:adjustRightInd w:val="0"/>
              <w:snapToGrid w:val="0"/>
              <w:spacing w:before="50" w:line="440" w:lineRule="exact"/>
              <w:ind w:right="35"/>
              <w:jc w:val="left"/>
              <w:rPr>
                <w:rFonts w:ascii="宋体" w:hAnsi="宋体" w:cs="宋体"/>
                <w:color w:val="000000"/>
                <w:spacing w:val="1"/>
                <w:kern w:val="0"/>
                <w:szCs w:val="21"/>
              </w:rPr>
            </w:pPr>
            <w:r>
              <w:rPr>
                <w:rFonts w:hint="eastAsia" w:ascii="宋体" w:hAnsi="宋体" w:cs="仿宋"/>
              </w:rPr>
              <w:t>联系方式： 13633755568</w:t>
            </w:r>
          </w:p>
        </w:tc>
      </w:tr>
      <w:tr w14:paraId="7BCB4F78">
        <w:tblPrEx>
          <w:tblCellMar>
            <w:top w:w="0" w:type="dxa"/>
            <w:left w:w="0" w:type="dxa"/>
            <w:bottom w:w="0" w:type="dxa"/>
            <w:right w:w="0" w:type="dxa"/>
          </w:tblCellMar>
        </w:tblPrEx>
        <w:trPr>
          <w:trHeight w:val="1628"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66DF41AF">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2</w:t>
            </w:r>
          </w:p>
        </w:tc>
        <w:tc>
          <w:tcPr>
            <w:tcW w:w="1192" w:type="pct"/>
            <w:tcBorders>
              <w:top w:val="single" w:color="000000" w:sz="4" w:space="0"/>
              <w:left w:val="single" w:color="000000" w:sz="4" w:space="0"/>
              <w:bottom w:val="single" w:color="000000" w:sz="4" w:space="0"/>
              <w:right w:val="single" w:color="000000" w:sz="4" w:space="0"/>
            </w:tcBorders>
            <w:vAlign w:val="center"/>
          </w:tcPr>
          <w:p w14:paraId="1DE7D44E">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采购代理机构</w:t>
            </w:r>
          </w:p>
        </w:tc>
        <w:tc>
          <w:tcPr>
            <w:tcW w:w="3341" w:type="pct"/>
            <w:tcBorders>
              <w:top w:val="single" w:color="000000" w:sz="4" w:space="0"/>
              <w:left w:val="single" w:color="000000" w:sz="4" w:space="0"/>
              <w:bottom w:val="single" w:color="000000" w:sz="4" w:space="0"/>
              <w:right w:val="single" w:color="000000" w:sz="4" w:space="0"/>
            </w:tcBorders>
            <w:vAlign w:val="center"/>
          </w:tcPr>
          <w:p w14:paraId="54FF327E">
            <w:pPr>
              <w:spacing w:line="324" w:lineRule="auto"/>
              <w:rPr>
                <w:rFonts w:ascii="宋体" w:hAnsi="宋体" w:cs="仿宋"/>
              </w:rPr>
            </w:pPr>
            <w:r>
              <w:rPr>
                <w:rFonts w:hint="eastAsia" w:ascii="宋体" w:hAnsi="宋体" w:cs="仿宋"/>
              </w:rPr>
              <w:t>名  称：中盈全过程工程咨询（河南）有限公司</w:t>
            </w:r>
          </w:p>
          <w:p w14:paraId="5D40EFE0">
            <w:pPr>
              <w:spacing w:line="324" w:lineRule="auto"/>
              <w:rPr>
                <w:rFonts w:ascii="宋体" w:hAnsi="宋体" w:cs="仿宋"/>
              </w:rPr>
            </w:pPr>
            <w:r>
              <w:rPr>
                <w:rFonts w:hint="eastAsia" w:ascii="宋体" w:hAnsi="宋体" w:cs="仿宋"/>
              </w:rPr>
              <w:t>地 址：河南省郑州市金水区东风路 142 号瀚海海尚 C 座</w:t>
            </w:r>
          </w:p>
          <w:p w14:paraId="1F3F57FE">
            <w:pPr>
              <w:spacing w:line="324" w:lineRule="auto"/>
              <w:rPr>
                <w:rFonts w:ascii="宋体" w:hAnsi="宋体" w:cs="仿宋"/>
              </w:rPr>
            </w:pPr>
            <w:r>
              <w:rPr>
                <w:rFonts w:hint="eastAsia" w:ascii="宋体" w:hAnsi="宋体" w:cs="仿宋"/>
              </w:rPr>
              <w:t>联系人：洛女士</w:t>
            </w:r>
          </w:p>
          <w:p w14:paraId="5BA8F4FC">
            <w:pPr>
              <w:autoSpaceDE w:val="0"/>
              <w:autoSpaceDN w:val="0"/>
              <w:adjustRightInd w:val="0"/>
              <w:snapToGrid w:val="0"/>
              <w:spacing w:before="50" w:line="440" w:lineRule="exact"/>
              <w:ind w:right="35"/>
              <w:jc w:val="left"/>
              <w:rPr>
                <w:rFonts w:ascii="宋体" w:hAnsi="宋体" w:cs="宋体"/>
                <w:color w:val="000000"/>
                <w:spacing w:val="1"/>
                <w:kern w:val="0"/>
                <w:szCs w:val="21"/>
              </w:rPr>
            </w:pPr>
            <w:r>
              <w:rPr>
                <w:rFonts w:hint="eastAsia" w:ascii="宋体" w:hAnsi="宋体" w:cs="仿宋"/>
              </w:rPr>
              <w:t>联系电话：</w:t>
            </w:r>
            <w:r>
              <w:rPr>
                <w:rFonts w:hint="eastAsia" w:ascii="宋体" w:hAnsi="宋体" w:cs="仿宋"/>
                <w:kern w:val="0"/>
              </w:rPr>
              <w:t>18239787899</w:t>
            </w:r>
          </w:p>
        </w:tc>
      </w:tr>
      <w:tr w14:paraId="591E82AC">
        <w:tblPrEx>
          <w:tblCellMar>
            <w:top w:w="0" w:type="dxa"/>
            <w:left w:w="0" w:type="dxa"/>
            <w:bottom w:w="0" w:type="dxa"/>
            <w:right w:w="0" w:type="dxa"/>
          </w:tblCellMar>
        </w:tblPrEx>
        <w:trPr>
          <w:trHeight w:val="859"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41B4AC53">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3</w:t>
            </w:r>
          </w:p>
        </w:tc>
        <w:tc>
          <w:tcPr>
            <w:tcW w:w="1192" w:type="pct"/>
            <w:tcBorders>
              <w:top w:val="single" w:color="000000" w:sz="4" w:space="0"/>
              <w:left w:val="single" w:color="000000" w:sz="4" w:space="0"/>
              <w:bottom w:val="single" w:color="000000" w:sz="4" w:space="0"/>
              <w:right w:val="single" w:color="000000" w:sz="4" w:space="0"/>
            </w:tcBorders>
            <w:vAlign w:val="center"/>
          </w:tcPr>
          <w:p w14:paraId="4B43BE33">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项目名称</w:t>
            </w:r>
          </w:p>
        </w:tc>
        <w:tc>
          <w:tcPr>
            <w:tcW w:w="3341" w:type="pct"/>
            <w:tcBorders>
              <w:top w:val="single" w:color="000000" w:sz="4" w:space="0"/>
              <w:left w:val="single" w:color="000000" w:sz="4" w:space="0"/>
              <w:bottom w:val="single" w:color="000000" w:sz="4" w:space="0"/>
              <w:right w:val="single" w:color="000000" w:sz="4" w:space="0"/>
            </w:tcBorders>
            <w:vAlign w:val="center"/>
          </w:tcPr>
          <w:p w14:paraId="00E48066">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仿宋"/>
                <w:kern w:val="0"/>
              </w:rPr>
              <w:t>平顶山尼龙新材料开发区管理委员会电子政务外网暨办公业务资源网系统购买服务</w:t>
            </w:r>
          </w:p>
        </w:tc>
      </w:tr>
      <w:tr w14:paraId="42ED0E43">
        <w:tblPrEx>
          <w:tblCellMar>
            <w:top w:w="0" w:type="dxa"/>
            <w:left w:w="0" w:type="dxa"/>
            <w:bottom w:w="0" w:type="dxa"/>
            <w:right w:w="0" w:type="dxa"/>
          </w:tblCellMar>
        </w:tblPrEx>
        <w:trPr>
          <w:trHeight w:val="698"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0287F47B">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4</w:t>
            </w:r>
          </w:p>
        </w:tc>
        <w:tc>
          <w:tcPr>
            <w:tcW w:w="1192" w:type="pct"/>
            <w:tcBorders>
              <w:top w:val="single" w:color="000000" w:sz="4" w:space="0"/>
              <w:left w:val="single" w:color="000000" w:sz="4" w:space="0"/>
              <w:bottom w:val="single" w:color="000000" w:sz="4" w:space="0"/>
              <w:right w:val="single" w:color="000000" w:sz="4" w:space="0"/>
            </w:tcBorders>
            <w:vAlign w:val="center"/>
          </w:tcPr>
          <w:p w14:paraId="34BAB228">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资金来源及落实情况</w:t>
            </w:r>
          </w:p>
        </w:tc>
        <w:tc>
          <w:tcPr>
            <w:tcW w:w="3341" w:type="pct"/>
            <w:tcBorders>
              <w:top w:val="single" w:color="000000" w:sz="4" w:space="0"/>
              <w:left w:val="single" w:color="000000" w:sz="4" w:space="0"/>
              <w:bottom w:val="single" w:color="000000" w:sz="4" w:space="0"/>
              <w:right w:val="single" w:color="000000" w:sz="4" w:space="0"/>
            </w:tcBorders>
            <w:vAlign w:val="center"/>
          </w:tcPr>
          <w:p w14:paraId="79516718">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t>财政资金，已落实</w:t>
            </w:r>
          </w:p>
        </w:tc>
      </w:tr>
      <w:tr w14:paraId="49E8DF7E">
        <w:tblPrEx>
          <w:tblCellMar>
            <w:top w:w="0" w:type="dxa"/>
            <w:left w:w="0" w:type="dxa"/>
            <w:bottom w:w="0" w:type="dxa"/>
            <w:right w:w="0" w:type="dxa"/>
          </w:tblCellMar>
        </w:tblPrEx>
        <w:trPr>
          <w:trHeight w:val="855"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1B48F4A3">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5</w:t>
            </w:r>
          </w:p>
        </w:tc>
        <w:tc>
          <w:tcPr>
            <w:tcW w:w="1192" w:type="pct"/>
            <w:tcBorders>
              <w:top w:val="single" w:color="000000" w:sz="4" w:space="0"/>
              <w:left w:val="single" w:color="000000" w:sz="4" w:space="0"/>
              <w:bottom w:val="single" w:color="000000" w:sz="4" w:space="0"/>
              <w:right w:val="single" w:color="000000" w:sz="4" w:space="0"/>
            </w:tcBorders>
            <w:vAlign w:val="center"/>
          </w:tcPr>
          <w:p w14:paraId="58DDD1F4">
            <w:pPr>
              <w:spacing w:line="360" w:lineRule="auto"/>
              <w:jc w:val="center"/>
              <w:textAlignment w:val="top"/>
              <w:rPr>
                <w:rFonts w:ascii="宋体" w:hAnsi="宋体" w:cs="宋体"/>
                <w:color w:val="000000"/>
                <w:spacing w:val="1"/>
                <w:kern w:val="0"/>
                <w:szCs w:val="21"/>
              </w:rPr>
            </w:pPr>
            <w:r>
              <w:rPr>
                <w:rStyle w:val="54"/>
                <w:rFonts w:hint="eastAsia" w:ascii="宋体" w:hAnsi="宋体" w:cs="宋体"/>
                <w:kern w:val="0"/>
                <w:szCs w:val="21"/>
              </w:rPr>
              <w:t>采购内容</w:t>
            </w:r>
          </w:p>
        </w:tc>
        <w:tc>
          <w:tcPr>
            <w:tcW w:w="3341" w:type="pct"/>
            <w:tcBorders>
              <w:top w:val="single" w:color="000000" w:sz="4" w:space="0"/>
              <w:left w:val="single" w:color="000000" w:sz="4" w:space="0"/>
              <w:bottom w:val="single" w:color="000000" w:sz="4" w:space="0"/>
              <w:right w:val="single" w:color="000000" w:sz="4" w:space="0"/>
            </w:tcBorders>
            <w:vAlign w:val="center"/>
          </w:tcPr>
          <w:p w14:paraId="50CC5515">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t>本项目为平顶山尼龙新材料开发区管理委员会电子政务外网暨办公业务资源网系统购买服务，具体内容详见竞争性磋商文件。</w:t>
            </w:r>
          </w:p>
        </w:tc>
      </w:tr>
      <w:tr w14:paraId="5E98E8DE">
        <w:tblPrEx>
          <w:tblCellMar>
            <w:top w:w="0" w:type="dxa"/>
            <w:left w:w="0" w:type="dxa"/>
            <w:bottom w:w="0" w:type="dxa"/>
            <w:right w:w="0" w:type="dxa"/>
          </w:tblCellMar>
        </w:tblPrEx>
        <w:trPr>
          <w:trHeight w:val="698"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05D2CEF3">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6</w:t>
            </w:r>
          </w:p>
        </w:tc>
        <w:tc>
          <w:tcPr>
            <w:tcW w:w="1192" w:type="pct"/>
            <w:tcBorders>
              <w:top w:val="single" w:color="000000" w:sz="4" w:space="0"/>
              <w:left w:val="single" w:color="000000" w:sz="4" w:space="0"/>
              <w:bottom w:val="single" w:color="000000" w:sz="4" w:space="0"/>
              <w:right w:val="single" w:color="000000" w:sz="4" w:space="0"/>
            </w:tcBorders>
            <w:vAlign w:val="center"/>
          </w:tcPr>
          <w:p w14:paraId="035A0285">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采购方式</w:t>
            </w:r>
          </w:p>
        </w:tc>
        <w:tc>
          <w:tcPr>
            <w:tcW w:w="3341" w:type="pct"/>
            <w:tcBorders>
              <w:top w:val="single" w:color="000000" w:sz="4" w:space="0"/>
              <w:left w:val="single" w:color="000000" w:sz="4" w:space="0"/>
              <w:bottom w:val="single" w:color="000000" w:sz="4" w:space="0"/>
              <w:right w:val="single" w:color="000000" w:sz="4" w:space="0"/>
            </w:tcBorders>
            <w:vAlign w:val="center"/>
          </w:tcPr>
          <w:p w14:paraId="2F1F4B4F">
            <w:pPr>
              <w:autoSpaceDE w:val="0"/>
              <w:autoSpaceDN w:val="0"/>
              <w:adjustRightInd w:val="0"/>
              <w:snapToGrid w:val="0"/>
              <w:spacing w:before="50" w:line="440" w:lineRule="exact"/>
              <w:ind w:right="35"/>
              <w:jc w:val="left"/>
              <w:rPr>
                <w:rFonts w:ascii="宋体" w:hAnsi="宋体" w:cs="宋体"/>
                <w:color w:val="000000"/>
                <w:spacing w:val="1"/>
                <w:kern w:val="0"/>
                <w:szCs w:val="21"/>
              </w:rPr>
            </w:pPr>
            <w:r>
              <w:rPr>
                <w:rFonts w:hint="eastAsia" w:ascii="宋体" w:hAnsi="宋体" w:cs="宋体"/>
                <w:color w:val="000000"/>
                <w:spacing w:val="1"/>
                <w:kern w:val="0"/>
                <w:szCs w:val="21"/>
              </w:rPr>
              <w:t>竞争性磋商</w:t>
            </w:r>
          </w:p>
        </w:tc>
      </w:tr>
      <w:tr w14:paraId="3BE58486">
        <w:tblPrEx>
          <w:tblCellMar>
            <w:top w:w="0" w:type="dxa"/>
            <w:left w:w="0" w:type="dxa"/>
            <w:bottom w:w="0" w:type="dxa"/>
            <w:right w:w="0" w:type="dxa"/>
          </w:tblCellMar>
        </w:tblPrEx>
        <w:trPr>
          <w:trHeight w:val="698"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2B2A7E51">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7</w:t>
            </w:r>
          </w:p>
        </w:tc>
        <w:tc>
          <w:tcPr>
            <w:tcW w:w="1192" w:type="pct"/>
            <w:tcBorders>
              <w:top w:val="single" w:color="000000" w:sz="4" w:space="0"/>
              <w:left w:val="single" w:color="000000" w:sz="4" w:space="0"/>
              <w:bottom w:val="single" w:color="000000" w:sz="4" w:space="0"/>
              <w:right w:val="single" w:color="000000" w:sz="4" w:space="0"/>
            </w:tcBorders>
            <w:vAlign w:val="center"/>
          </w:tcPr>
          <w:p w14:paraId="183CB1F6">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采购项目属性</w:t>
            </w:r>
          </w:p>
        </w:tc>
        <w:tc>
          <w:tcPr>
            <w:tcW w:w="3341" w:type="pct"/>
            <w:tcBorders>
              <w:top w:val="single" w:color="000000" w:sz="4" w:space="0"/>
              <w:left w:val="single" w:color="000000" w:sz="4" w:space="0"/>
              <w:bottom w:val="single" w:color="000000" w:sz="4" w:space="0"/>
              <w:right w:val="single" w:color="000000" w:sz="4" w:space="0"/>
            </w:tcBorders>
            <w:vAlign w:val="center"/>
          </w:tcPr>
          <w:p w14:paraId="6B83D73F">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sym w:font="Wingdings 2" w:char="00A3"/>
            </w:r>
            <w:r>
              <w:rPr>
                <w:rFonts w:hint="eastAsia" w:ascii="宋体" w:hAnsi="宋体" w:cs="宋体"/>
                <w:color w:val="000000"/>
                <w:spacing w:val="1"/>
                <w:kern w:val="0"/>
                <w:szCs w:val="21"/>
                <w:lang w:val="zh-CN"/>
              </w:rPr>
              <w:t xml:space="preserve">货物       </w:t>
            </w:r>
            <w:r>
              <w:rPr>
                <w:rFonts w:hint="eastAsia" w:ascii="宋体" w:hAnsi="宋体" w:cs="宋体"/>
                <w:color w:val="000000"/>
                <w:spacing w:val="1"/>
                <w:kern w:val="0"/>
                <w:szCs w:val="21"/>
                <w:lang w:val="zh-CN"/>
              </w:rPr>
              <w:fldChar w:fldCharType="begin"/>
            </w:r>
            <w:r>
              <w:rPr>
                <w:rFonts w:hint="eastAsia" w:ascii="宋体" w:hAnsi="宋体" w:cs="宋体"/>
                <w:color w:val="000000"/>
                <w:spacing w:val="1"/>
                <w:kern w:val="0"/>
                <w:szCs w:val="21"/>
                <w:lang w:val="zh-CN"/>
              </w:rPr>
              <w:instrText xml:space="preserve"> eq \o\ac(□,</w:instrText>
            </w:r>
            <w:r>
              <w:rPr>
                <w:rFonts w:hint="eastAsia" w:ascii="宋体" w:hAnsi="宋体" w:cs="宋体"/>
                <w:color w:val="000000"/>
                <w:spacing w:val="1"/>
                <w:kern w:val="0"/>
                <w:position w:val="2"/>
                <w:sz w:val="13"/>
                <w:szCs w:val="21"/>
                <w:lang w:val="zh-CN"/>
              </w:rPr>
              <w:instrText xml:space="preserve">√</w:instrText>
            </w:r>
            <w:r>
              <w:rPr>
                <w:rFonts w:hint="eastAsia" w:ascii="宋体" w:hAnsi="宋体" w:cs="宋体"/>
                <w:color w:val="000000"/>
                <w:spacing w:val="1"/>
                <w:kern w:val="0"/>
                <w:szCs w:val="21"/>
                <w:lang w:val="zh-CN"/>
              </w:rPr>
              <w:instrText xml:space="preserve">)</w:instrText>
            </w:r>
            <w:r>
              <w:rPr>
                <w:rFonts w:hint="eastAsia" w:ascii="宋体" w:hAnsi="宋体" w:cs="宋体"/>
                <w:color w:val="000000"/>
                <w:spacing w:val="1"/>
                <w:kern w:val="0"/>
                <w:szCs w:val="21"/>
                <w:lang w:val="zh-CN"/>
              </w:rPr>
              <w:fldChar w:fldCharType="end"/>
            </w:r>
            <w:r>
              <w:rPr>
                <w:rFonts w:hint="eastAsia" w:ascii="宋体" w:hAnsi="宋体" w:cs="宋体"/>
                <w:color w:val="000000"/>
                <w:spacing w:val="1"/>
                <w:kern w:val="0"/>
                <w:szCs w:val="21"/>
                <w:lang w:val="zh-CN"/>
              </w:rPr>
              <w:t>服务       □工程</w:t>
            </w:r>
          </w:p>
        </w:tc>
      </w:tr>
      <w:tr w14:paraId="01A2565C">
        <w:tblPrEx>
          <w:tblCellMar>
            <w:top w:w="0" w:type="dxa"/>
            <w:left w:w="0" w:type="dxa"/>
            <w:bottom w:w="0" w:type="dxa"/>
            <w:right w:w="0" w:type="dxa"/>
          </w:tblCellMar>
        </w:tblPrEx>
        <w:trPr>
          <w:trHeight w:val="698"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6F19CD3D">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8</w:t>
            </w:r>
          </w:p>
        </w:tc>
        <w:tc>
          <w:tcPr>
            <w:tcW w:w="1192" w:type="pct"/>
            <w:tcBorders>
              <w:top w:val="single" w:color="000000" w:sz="4" w:space="0"/>
              <w:left w:val="single" w:color="000000" w:sz="4" w:space="0"/>
              <w:bottom w:val="single" w:color="000000" w:sz="4" w:space="0"/>
              <w:right w:val="single" w:color="000000" w:sz="4" w:space="0"/>
            </w:tcBorders>
            <w:vAlign w:val="center"/>
          </w:tcPr>
          <w:p w14:paraId="4BE37EB7">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合同履行期限</w:t>
            </w:r>
          </w:p>
        </w:tc>
        <w:tc>
          <w:tcPr>
            <w:tcW w:w="3341" w:type="pct"/>
            <w:tcBorders>
              <w:top w:val="single" w:color="000000" w:sz="4" w:space="0"/>
              <w:left w:val="single" w:color="000000" w:sz="4" w:space="0"/>
              <w:bottom w:val="single" w:color="000000" w:sz="4" w:space="0"/>
              <w:right w:val="single" w:color="000000" w:sz="4" w:space="0"/>
            </w:tcBorders>
            <w:vAlign w:val="center"/>
          </w:tcPr>
          <w:p w14:paraId="71811F80">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Style w:val="54"/>
                <w:rFonts w:hint="eastAsia" w:ascii="宋体" w:hAnsi="宋体" w:cs="宋体"/>
                <w:szCs w:val="21"/>
              </w:rPr>
              <w:t>同服务期限</w:t>
            </w:r>
          </w:p>
        </w:tc>
      </w:tr>
      <w:tr w14:paraId="572FE996">
        <w:tblPrEx>
          <w:tblCellMar>
            <w:top w:w="0" w:type="dxa"/>
            <w:left w:w="0" w:type="dxa"/>
            <w:bottom w:w="0" w:type="dxa"/>
            <w:right w:w="0" w:type="dxa"/>
          </w:tblCellMar>
        </w:tblPrEx>
        <w:trPr>
          <w:trHeight w:val="698"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4BD7A76A">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9</w:t>
            </w:r>
          </w:p>
        </w:tc>
        <w:tc>
          <w:tcPr>
            <w:tcW w:w="1192" w:type="pct"/>
            <w:tcBorders>
              <w:top w:val="single" w:color="000000" w:sz="4" w:space="0"/>
              <w:left w:val="single" w:color="000000" w:sz="4" w:space="0"/>
              <w:bottom w:val="single" w:color="000000" w:sz="4" w:space="0"/>
              <w:right w:val="single" w:color="000000" w:sz="4" w:space="0"/>
            </w:tcBorders>
            <w:vAlign w:val="center"/>
          </w:tcPr>
          <w:p w14:paraId="2B3E7CDB">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服务期限</w:t>
            </w:r>
          </w:p>
        </w:tc>
        <w:tc>
          <w:tcPr>
            <w:tcW w:w="3341" w:type="pct"/>
            <w:tcBorders>
              <w:top w:val="single" w:color="000000" w:sz="4" w:space="0"/>
              <w:left w:val="single" w:color="000000" w:sz="4" w:space="0"/>
              <w:bottom w:val="single" w:color="000000" w:sz="4" w:space="0"/>
              <w:right w:val="single" w:color="000000" w:sz="4" w:space="0"/>
            </w:tcBorders>
            <w:vAlign w:val="center"/>
          </w:tcPr>
          <w:p w14:paraId="1748995B">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Style w:val="54"/>
                <w:rFonts w:hint="eastAsia"/>
              </w:rPr>
              <w:t>1年</w:t>
            </w:r>
          </w:p>
        </w:tc>
      </w:tr>
      <w:tr w14:paraId="7781D8F3">
        <w:tblPrEx>
          <w:tblCellMar>
            <w:top w:w="0" w:type="dxa"/>
            <w:left w:w="0" w:type="dxa"/>
            <w:bottom w:w="0" w:type="dxa"/>
            <w:right w:w="0" w:type="dxa"/>
          </w:tblCellMar>
        </w:tblPrEx>
        <w:trPr>
          <w:trHeight w:val="706"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6420FBCD">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10</w:t>
            </w:r>
          </w:p>
        </w:tc>
        <w:tc>
          <w:tcPr>
            <w:tcW w:w="1192" w:type="pct"/>
            <w:tcBorders>
              <w:top w:val="single" w:color="000000" w:sz="4" w:space="0"/>
              <w:left w:val="single" w:color="000000" w:sz="4" w:space="0"/>
              <w:bottom w:val="single" w:color="000000" w:sz="4" w:space="0"/>
              <w:right w:val="single" w:color="000000" w:sz="4" w:space="0"/>
            </w:tcBorders>
            <w:vAlign w:val="center"/>
          </w:tcPr>
          <w:p w14:paraId="6068DF48">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服务要求</w:t>
            </w:r>
          </w:p>
        </w:tc>
        <w:tc>
          <w:tcPr>
            <w:tcW w:w="3341" w:type="pct"/>
            <w:tcBorders>
              <w:top w:val="single" w:color="000000" w:sz="4" w:space="0"/>
              <w:left w:val="single" w:color="000000" w:sz="4" w:space="0"/>
              <w:bottom w:val="single" w:color="000000" w:sz="4" w:space="0"/>
              <w:right w:val="single" w:color="000000" w:sz="4" w:space="0"/>
            </w:tcBorders>
            <w:vAlign w:val="center"/>
          </w:tcPr>
          <w:p w14:paraId="324AB801">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t>合格，满足采购人要求</w:t>
            </w:r>
          </w:p>
        </w:tc>
      </w:tr>
      <w:tr w14:paraId="321B26D8">
        <w:tblPrEx>
          <w:tblCellMar>
            <w:top w:w="0" w:type="dxa"/>
            <w:left w:w="0" w:type="dxa"/>
            <w:bottom w:w="0" w:type="dxa"/>
            <w:right w:w="0" w:type="dxa"/>
          </w:tblCellMar>
        </w:tblPrEx>
        <w:trPr>
          <w:trHeight w:val="859"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4B6CD345">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11</w:t>
            </w:r>
          </w:p>
        </w:tc>
        <w:tc>
          <w:tcPr>
            <w:tcW w:w="1192" w:type="pct"/>
            <w:tcBorders>
              <w:top w:val="single" w:color="000000" w:sz="4" w:space="0"/>
              <w:left w:val="single" w:color="000000" w:sz="4" w:space="0"/>
              <w:bottom w:val="single" w:color="000000" w:sz="4" w:space="0"/>
              <w:right w:val="single" w:color="000000" w:sz="4" w:space="0"/>
            </w:tcBorders>
            <w:vAlign w:val="center"/>
          </w:tcPr>
          <w:p w14:paraId="28F1D49C">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仿宋"/>
              </w:rPr>
              <w:t>标段划分</w:t>
            </w:r>
          </w:p>
        </w:tc>
        <w:tc>
          <w:tcPr>
            <w:tcW w:w="3341" w:type="pct"/>
            <w:tcBorders>
              <w:top w:val="single" w:color="000000" w:sz="4" w:space="0"/>
              <w:left w:val="single" w:color="000000" w:sz="4" w:space="0"/>
              <w:bottom w:val="single" w:color="000000" w:sz="4" w:space="0"/>
              <w:right w:val="single" w:color="000000" w:sz="4" w:space="0"/>
            </w:tcBorders>
            <w:vAlign w:val="center"/>
          </w:tcPr>
          <w:p w14:paraId="607636A4">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仿宋"/>
              </w:rPr>
              <w:t>1个标段</w:t>
            </w:r>
          </w:p>
        </w:tc>
      </w:tr>
      <w:tr w14:paraId="0ED4971C">
        <w:tblPrEx>
          <w:tblCellMar>
            <w:top w:w="0" w:type="dxa"/>
            <w:left w:w="0" w:type="dxa"/>
            <w:bottom w:w="0" w:type="dxa"/>
            <w:right w:w="0" w:type="dxa"/>
          </w:tblCellMar>
        </w:tblPrEx>
        <w:trPr>
          <w:trHeight w:val="698"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56ADEA35">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12</w:t>
            </w:r>
          </w:p>
        </w:tc>
        <w:tc>
          <w:tcPr>
            <w:tcW w:w="1192" w:type="pct"/>
            <w:tcBorders>
              <w:top w:val="single" w:color="000000" w:sz="4" w:space="0"/>
              <w:left w:val="single" w:color="000000" w:sz="4" w:space="0"/>
              <w:bottom w:val="single" w:color="000000" w:sz="4" w:space="0"/>
              <w:right w:val="single" w:color="000000" w:sz="4" w:space="0"/>
            </w:tcBorders>
            <w:vAlign w:val="center"/>
          </w:tcPr>
          <w:p w14:paraId="68FEE6DE">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供应商资格要求</w:t>
            </w:r>
          </w:p>
        </w:tc>
        <w:tc>
          <w:tcPr>
            <w:tcW w:w="3341" w:type="pct"/>
            <w:tcBorders>
              <w:top w:val="single" w:color="000000" w:sz="4" w:space="0"/>
              <w:left w:val="single" w:color="000000" w:sz="4" w:space="0"/>
              <w:bottom w:val="single" w:color="000000" w:sz="4" w:space="0"/>
              <w:right w:val="single" w:color="000000" w:sz="4" w:space="0"/>
            </w:tcBorders>
            <w:vAlign w:val="center"/>
          </w:tcPr>
          <w:p w14:paraId="15EBB6E8">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t>详见</w:t>
            </w:r>
            <w:r>
              <w:rPr>
                <w:rFonts w:hint="eastAsia" w:ascii="宋体" w:hAnsi="宋体" w:cs="宋体"/>
                <w:color w:val="000000"/>
                <w:spacing w:val="1"/>
                <w:kern w:val="0"/>
                <w:szCs w:val="21"/>
              </w:rPr>
              <w:t>竞争性磋商</w:t>
            </w:r>
            <w:r>
              <w:rPr>
                <w:rFonts w:hint="eastAsia" w:ascii="宋体" w:hAnsi="宋体" w:cs="宋体"/>
                <w:color w:val="000000"/>
                <w:spacing w:val="1"/>
                <w:kern w:val="0"/>
                <w:szCs w:val="21"/>
                <w:lang w:val="zh-CN"/>
              </w:rPr>
              <w:t>公告</w:t>
            </w:r>
          </w:p>
        </w:tc>
      </w:tr>
      <w:tr w14:paraId="5931C5FF">
        <w:tblPrEx>
          <w:tblCellMar>
            <w:top w:w="0" w:type="dxa"/>
            <w:left w:w="0" w:type="dxa"/>
            <w:bottom w:w="0" w:type="dxa"/>
            <w:right w:w="0" w:type="dxa"/>
          </w:tblCellMar>
        </w:tblPrEx>
        <w:trPr>
          <w:trHeight w:val="905"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0CB5C2D3">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13</w:t>
            </w:r>
          </w:p>
        </w:tc>
        <w:tc>
          <w:tcPr>
            <w:tcW w:w="1192" w:type="pct"/>
            <w:tcBorders>
              <w:top w:val="single" w:color="000000" w:sz="4" w:space="0"/>
              <w:left w:val="single" w:color="000000" w:sz="4" w:space="0"/>
              <w:bottom w:val="single" w:color="000000" w:sz="4" w:space="0"/>
              <w:right w:val="single" w:color="000000" w:sz="4" w:space="0"/>
            </w:tcBorders>
            <w:vAlign w:val="center"/>
          </w:tcPr>
          <w:p w14:paraId="33FFCE3A">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是否接受联合体投标</w:t>
            </w:r>
          </w:p>
        </w:tc>
        <w:tc>
          <w:tcPr>
            <w:tcW w:w="3341" w:type="pct"/>
            <w:tcBorders>
              <w:top w:val="single" w:color="000000" w:sz="4" w:space="0"/>
              <w:left w:val="single" w:color="000000" w:sz="4" w:space="0"/>
              <w:bottom w:val="single" w:color="000000" w:sz="4" w:space="0"/>
              <w:right w:val="single" w:color="000000" w:sz="4" w:space="0"/>
            </w:tcBorders>
            <w:vAlign w:val="center"/>
          </w:tcPr>
          <w:p w14:paraId="77975C09">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sym w:font="Wingdings 2" w:char="0052"/>
            </w:r>
            <w:r>
              <w:rPr>
                <w:rFonts w:hint="eastAsia" w:ascii="宋体" w:hAnsi="宋体" w:cs="宋体"/>
                <w:color w:val="000000"/>
                <w:spacing w:val="1"/>
                <w:kern w:val="0"/>
                <w:szCs w:val="21"/>
                <w:lang w:val="zh-CN"/>
              </w:rPr>
              <w:t>不接受</w:t>
            </w:r>
          </w:p>
          <w:p w14:paraId="04B2C4BA">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t>□接受</w:t>
            </w:r>
          </w:p>
        </w:tc>
      </w:tr>
      <w:tr w14:paraId="5F2E626C">
        <w:tblPrEx>
          <w:tblCellMar>
            <w:top w:w="0" w:type="dxa"/>
            <w:left w:w="0" w:type="dxa"/>
            <w:bottom w:w="0" w:type="dxa"/>
            <w:right w:w="0" w:type="dxa"/>
          </w:tblCellMar>
        </w:tblPrEx>
        <w:trPr>
          <w:trHeight w:val="905"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6585AAD7">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14</w:t>
            </w:r>
          </w:p>
        </w:tc>
        <w:tc>
          <w:tcPr>
            <w:tcW w:w="1192" w:type="pct"/>
            <w:tcBorders>
              <w:top w:val="single" w:color="000000" w:sz="4" w:space="0"/>
              <w:left w:val="single" w:color="000000" w:sz="4" w:space="0"/>
              <w:bottom w:val="single" w:color="000000" w:sz="4" w:space="0"/>
              <w:right w:val="single" w:color="000000" w:sz="4" w:space="0"/>
            </w:tcBorders>
            <w:vAlign w:val="center"/>
          </w:tcPr>
          <w:p w14:paraId="53F7E6D3">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踏勘现场及答疑</w:t>
            </w:r>
          </w:p>
        </w:tc>
        <w:tc>
          <w:tcPr>
            <w:tcW w:w="3341" w:type="pct"/>
            <w:tcBorders>
              <w:top w:val="single" w:color="000000" w:sz="4" w:space="0"/>
              <w:left w:val="single" w:color="000000" w:sz="4" w:space="0"/>
              <w:bottom w:val="single" w:color="000000" w:sz="4" w:space="0"/>
              <w:right w:val="single" w:color="000000" w:sz="4" w:space="0"/>
            </w:tcBorders>
            <w:vAlign w:val="center"/>
          </w:tcPr>
          <w:p w14:paraId="685F1BFE">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sym w:font="Wingdings 2" w:char="0052"/>
            </w:r>
            <w:r>
              <w:rPr>
                <w:rFonts w:hint="eastAsia" w:ascii="宋体" w:hAnsi="宋体" w:cs="宋体"/>
                <w:color w:val="000000"/>
                <w:spacing w:val="1"/>
                <w:kern w:val="0"/>
                <w:szCs w:val="21"/>
                <w:lang w:val="zh-CN"/>
              </w:rPr>
              <w:t>不组织</w:t>
            </w:r>
          </w:p>
          <w:p w14:paraId="23C1DC55">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t>□组织</w:t>
            </w:r>
          </w:p>
        </w:tc>
      </w:tr>
      <w:tr w14:paraId="504F74AC">
        <w:tblPrEx>
          <w:tblCellMar>
            <w:top w:w="0" w:type="dxa"/>
            <w:left w:w="0" w:type="dxa"/>
            <w:bottom w:w="0" w:type="dxa"/>
            <w:right w:w="0" w:type="dxa"/>
          </w:tblCellMar>
        </w:tblPrEx>
        <w:trPr>
          <w:trHeight w:val="905"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1182B642">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15</w:t>
            </w:r>
          </w:p>
        </w:tc>
        <w:tc>
          <w:tcPr>
            <w:tcW w:w="1192" w:type="pct"/>
            <w:tcBorders>
              <w:top w:val="single" w:color="000000" w:sz="4" w:space="0"/>
              <w:left w:val="single" w:color="000000" w:sz="4" w:space="0"/>
              <w:bottom w:val="single" w:color="000000" w:sz="4" w:space="0"/>
              <w:right w:val="single" w:color="000000" w:sz="4" w:space="0"/>
            </w:tcBorders>
            <w:vAlign w:val="center"/>
          </w:tcPr>
          <w:p w14:paraId="5E96C077">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投标预备会</w:t>
            </w:r>
          </w:p>
        </w:tc>
        <w:tc>
          <w:tcPr>
            <w:tcW w:w="3341" w:type="pct"/>
            <w:tcBorders>
              <w:top w:val="single" w:color="000000" w:sz="4" w:space="0"/>
              <w:left w:val="single" w:color="000000" w:sz="4" w:space="0"/>
              <w:bottom w:val="single" w:color="000000" w:sz="4" w:space="0"/>
              <w:right w:val="single" w:color="000000" w:sz="4" w:space="0"/>
            </w:tcBorders>
            <w:vAlign w:val="center"/>
          </w:tcPr>
          <w:p w14:paraId="586281CD">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sym w:font="Wingdings 2" w:char="0052"/>
            </w:r>
            <w:r>
              <w:rPr>
                <w:rFonts w:hint="eastAsia" w:ascii="宋体" w:hAnsi="宋体" w:cs="宋体"/>
                <w:color w:val="000000"/>
                <w:spacing w:val="1"/>
                <w:kern w:val="0"/>
                <w:szCs w:val="21"/>
                <w:lang w:val="zh-CN"/>
              </w:rPr>
              <w:t>不召开</w:t>
            </w:r>
          </w:p>
          <w:p w14:paraId="561A76E1">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t>□召开</w:t>
            </w:r>
          </w:p>
        </w:tc>
      </w:tr>
      <w:tr w14:paraId="064C279F">
        <w:tblPrEx>
          <w:tblCellMar>
            <w:top w:w="0" w:type="dxa"/>
            <w:left w:w="0" w:type="dxa"/>
            <w:bottom w:w="0" w:type="dxa"/>
            <w:right w:w="0" w:type="dxa"/>
          </w:tblCellMar>
        </w:tblPrEx>
        <w:trPr>
          <w:trHeight w:val="859"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133BC9A5">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16</w:t>
            </w:r>
          </w:p>
        </w:tc>
        <w:tc>
          <w:tcPr>
            <w:tcW w:w="1192" w:type="pct"/>
            <w:tcBorders>
              <w:top w:val="single" w:color="000000" w:sz="4" w:space="0"/>
              <w:left w:val="single" w:color="000000" w:sz="4" w:space="0"/>
              <w:bottom w:val="single" w:color="000000" w:sz="4" w:space="0"/>
              <w:right w:val="single" w:color="000000" w:sz="4" w:space="0"/>
            </w:tcBorders>
            <w:vAlign w:val="center"/>
          </w:tcPr>
          <w:p w14:paraId="77B38CA4">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构成竞争性磋商文件的其他材料</w:t>
            </w:r>
          </w:p>
        </w:tc>
        <w:tc>
          <w:tcPr>
            <w:tcW w:w="3341" w:type="pct"/>
            <w:tcBorders>
              <w:top w:val="single" w:color="000000" w:sz="4" w:space="0"/>
              <w:left w:val="single" w:color="000000" w:sz="4" w:space="0"/>
              <w:bottom w:val="single" w:color="000000" w:sz="4" w:space="0"/>
              <w:right w:val="single" w:color="000000" w:sz="4" w:space="0"/>
            </w:tcBorders>
            <w:vAlign w:val="center"/>
          </w:tcPr>
          <w:p w14:paraId="3E275748">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t>与本项目有关的解答、澄清、修改与补充等</w:t>
            </w:r>
          </w:p>
        </w:tc>
      </w:tr>
      <w:tr w14:paraId="03E60046">
        <w:tblPrEx>
          <w:tblCellMar>
            <w:top w:w="0" w:type="dxa"/>
            <w:left w:w="0" w:type="dxa"/>
            <w:bottom w:w="0" w:type="dxa"/>
            <w:right w:w="0" w:type="dxa"/>
          </w:tblCellMar>
        </w:tblPrEx>
        <w:trPr>
          <w:trHeight w:val="1709"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3298B6A9">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17</w:t>
            </w:r>
          </w:p>
        </w:tc>
        <w:tc>
          <w:tcPr>
            <w:tcW w:w="1192" w:type="pct"/>
            <w:tcBorders>
              <w:top w:val="single" w:color="000000" w:sz="4" w:space="0"/>
              <w:left w:val="single" w:color="000000" w:sz="4" w:space="0"/>
              <w:bottom w:val="single" w:color="000000" w:sz="4" w:space="0"/>
              <w:right w:val="single" w:color="000000" w:sz="4" w:space="0"/>
            </w:tcBorders>
            <w:vAlign w:val="center"/>
          </w:tcPr>
          <w:p w14:paraId="27A43834">
            <w:pPr>
              <w:autoSpaceDE w:val="0"/>
              <w:autoSpaceDN w:val="0"/>
              <w:adjustRightInd w:val="0"/>
              <w:snapToGrid w:val="0"/>
              <w:spacing w:before="50" w:line="440" w:lineRule="exact"/>
              <w:ind w:right="35"/>
              <w:jc w:val="center"/>
              <w:rPr>
                <w:rFonts w:ascii="宋体" w:hAnsi="宋体" w:cs="宋体"/>
                <w:color w:val="000000"/>
                <w:spacing w:val="1"/>
                <w:kern w:val="0"/>
                <w:szCs w:val="21"/>
                <w:highlight w:val="none"/>
              </w:rPr>
            </w:pPr>
            <w:r>
              <w:rPr>
                <w:rFonts w:hint="eastAsia" w:ascii="宋体" w:hAnsi="宋体" w:cs="宋体"/>
                <w:color w:val="000000"/>
                <w:spacing w:val="1"/>
                <w:kern w:val="0"/>
                <w:szCs w:val="21"/>
                <w:highlight w:val="none"/>
              </w:rPr>
              <w:t>投标截止时间</w:t>
            </w:r>
          </w:p>
        </w:tc>
        <w:tc>
          <w:tcPr>
            <w:tcW w:w="3341" w:type="pct"/>
            <w:tcBorders>
              <w:top w:val="single" w:color="000000" w:sz="4" w:space="0"/>
              <w:left w:val="single" w:color="000000" w:sz="4" w:space="0"/>
              <w:bottom w:val="single" w:color="000000" w:sz="4" w:space="0"/>
              <w:right w:val="single" w:color="000000" w:sz="4" w:space="0"/>
            </w:tcBorders>
            <w:vAlign w:val="center"/>
          </w:tcPr>
          <w:p w14:paraId="620CEF51">
            <w:pPr>
              <w:autoSpaceDE w:val="0"/>
              <w:autoSpaceDN w:val="0"/>
              <w:adjustRightInd w:val="0"/>
              <w:snapToGrid w:val="0"/>
              <w:spacing w:before="50" w:line="440" w:lineRule="exact"/>
              <w:ind w:right="35"/>
              <w:jc w:val="left"/>
              <w:rPr>
                <w:rFonts w:ascii="宋体" w:hAnsi="宋体" w:cs="宋体"/>
                <w:color w:val="000000"/>
                <w:spacing w:val="1"/>
                <w:kern w:val="0"/>
                <w:szCs w:val="21"/>
                <w:highlight w:val="none"/>
                <w:lang w:val="zh-CN"/>
              </w:rPr>
            </w:pPr>
            <w:r>
              <w:rPr>
                <w:rFonts w:hint="eastAsia" w:ascii="宋体" w:hAnsi="宋体" w:cs="宋体"/>
                <w:color w:val="000000"/>
                <w:spacing w:val="1"/>
                <w:kern w:val="0"/>
                <w:szCs w:val="21"/>
                <w:highlight w:val="none"/>
                <w:lang w:val="zh-CN"/>
              </w:rPr>
              <w:t>2024年06月27日11时 00分（北京时间）</w:t>
            </w:r>
          </w:p>
          <w:p w14:paraId="2545DAC2">
            <w:pPr>
              <w:autoSpaceDE w:val="0"/>
              <w:autoSpaceDN w:val="0"/>
              <w:adjustRightInd w:val="0"/>
              <w:snapToGrid w:val="0"/>
              <w:spacing w:before="50" w:line="440" w:lineRule="exact"/>
              <w:ind w:right="35"/>
              <w:jc w:val="left"/>
              <w:rPr>
                <w:rFonts w:ascii="宋体" w:hAnsi="宋体" w:cs="宋体"/>
                <w:color w:val="000000"/>
                <w:spacing w:val="1"/>
                <w:kern w:val="0"/>
                <w:szCs w:val="21"/>
                <w:highlight w:val="none"/>
                <w:lang w:val="zh-CN"/>
              </w:rPr>
            </w:pPr>
            <w:r>
              <w:rPr>
                <w:rFonts w:hint="eastAsia" w:ascii="宋体" w:hAnsi="宋体" w:cs="宋体"/>
                <w:color w:val="000000"/>
                <w:spacing w:val="1"/>
                <w:kern w:val="0"/>
                <w:szCs w:val="21"/>
                <w:highlight w:val="none"/>
                <w:lang w:val="zh-CN"/>
              </w:rPr>
              <w:t>注：全面实行在线“不见面”开标，供应商远程在线解密响应文件，不再到开标现场，供应商开标前应仔细阅读《“不见面”开标注意事项及操作流程》。</w:t>
            </w:r>
            <w:bookmarkStart w:id="144" w:name="_GoBack"/>
            <w:bookmarkEnd w:id="144"/>
          </w:p>
        </w:tc>
      </w:tr>
      <w:tr w14:paraId="0E144ADD">
        <w:tblPrEx>
          <w:tblCellMar>
            <w:top w:w="0" w:type="dxa"/>
            <w:left w:w="0" w:type="dxa"/>
            <w:bottom w:w="0" w:type="dxa"/>
            <w:right w:w="0" w:type="dxa"/>
          </w:tblCellMar>
        </w:tblPrEx>
        <w:trPr>
          <w:trHeight w:val="698"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29A52EF5">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18</w:t>
            </w:r>
          </w:p>
        </w:tc>
        <w:tc>
          <w:tcPr>
            <w:tcW w:w="1192" w:type="pct"/>
            <w:tcBorders>
              <w:top w:val="single" w:color="000000" w:sz="4" w:space="0"/>
              <w:left w:val="single" w:color="000000" w:sz="4" w:space="0"/>
              <w:bottom w:val="single" w:color="000000" w:sz="4" w:space="0"/>
              <w:right w:val="single" w:color="000000" w:sz="4" w:space="0"/>
            </w:tcBorders>
            <w:vAlign w:val="center"/>
          </w:tcPr>
          <w:p w14:paraId="41074951">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响应文件电子版</w:t>
            </w:r>
          </w:p>
        </w:tc>
        <w:tc>
          <w:tcPr>
            <w:tcW w:w="3341" w:type="pct"/>
            <w:tcBorders>
              <w:top w:val="single" w:color="000000" w:sz="4" w:space="0"/>
              <w:left w:val="single" w:color="000000" w:sz="4" w:space="0"/>
              <w:bottom w:val="single" w:color="000000" w:sz="4" w:space="0"/>
              <w:right w:val="single" w:color="000000" w:sz="4" w:space="0"/>
            </w:tcBorders>
            <w:vAlign w:val="center"/>
          </w:tcPr>
          <w:p w14:paraId="4F9479DF">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t>加密版响应文件1份（.file格式），并按规定进行上传。</w:t>
            </w:r>
          </w:p>
        </w:tc>
      </w:tr>
      <w:tr w14:paraId="3AFD3870">
        <w:tblPrEx>
          <w:tblCellMar>
            <w:top w:w="0" w:type="dxa"/>
            <w:left w:w="0" w:type="dxa"/>
            <w:bottom w:w="0" w:type="dxa"/>
            <w:right w:w="0" w:type="dxa"/>
          </w:tblCellMar>
        </w:tblPrEx>
        <w:trPr>
          <w:trHeight w:val="698"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3B88B483">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19</w:t>
            </w:r>
          </w:p>
        </w:tc>
        <w:tc>
          <w:tcPr>
            <w:tcW w:w="1192" w:type="pct"/>
            <w:tcBorders>
              <w:top w:val="single" w:color="000000" w:sz="4" w:space="0"/>
              <w:left w:val="single" w:color="000000" w:sz="4" w:space="0"/>
              <w:bottom w:val="single" w:color="000000" w:sz="4" w:space="0"/>
              <w:right w:val="single" w:color="000000" w:sz="4" w:space="0"/>
            </w:tcBorders>
            <w:vAlign w:val="center"/>
          </w:tcPr>
          <w:p w14:paraId="0681D039">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磋商有效期</w:t>
            </w:r>
          </w:p>
        </w:tc>
        <w:tc>
          <w:tcPr>
            <w:tcW w:w="3341" w:type="pct"/>
            <w:tcBorders>
              <w:top w:val="single" w:color="000000" w:sz="4" w:space="0"/>
              <w:left w:val="single" w:color="000000" w:sz="4" w:space="0"/>
              <w:bottom w:val="single" w:color="000000" w:sz="4" w:space="0"/>
              <w:right w:val="single" w:color="000000" w:sz="4" w:space="0"/>
            </w:tcBorders>
            <w:vAlign w:val="center"/>
          </w:tcPr>
          <w:p w14:paraId="3D1DCAE3">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t>响应文件提交截止后60日历天</w:t>
            </w:r>
          </w:p>
        </w:tc>
      </w:tr>
      <w:tr w14:paraId="76BCDAA1">
        <w:tblPrEx>
          <w:tblCellMar>
            <w:top w:w="0" w:type="dxa"/>
            <w:left w:w="0" w:type="dxa"/>
            <w:bottom w:w="0" w:type="dxa"/>
            <w:right w:w="0" w:type="dxa"/>
          </w:tblCellMar>
        </w:tblPrEx>
        <w:trPr>
          <w:trHeight w:val="698" w:hRule="atLeast"/>
        </w:trPr>
        <w:tc>
          <w:tcPr>
            <w:tcW w:w="467" w:type="pct"/>
            <w:vMerge w:val="restart"/>
            <w:tcBorders>
              <w:top w:val="single" w:color="000000" w:sz="4" w:space="0"/>
              <w:left w:val="single" w:color="000000" w:sz="4" w:space="0"/>
              <w:right w:val="single" w:color="000000" w:sz="4" w:space="0"/>
            </w:tcBorders>
            <w:vAlign w:val="center"/>
          </w:tcPr>
          <w:p w14:paraId="1F6AEF97">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20</w:t>
            </w:r>
          </w:p>
        </w:tc>
        <w:tc>
          <w:tcPr>
            <w:tcW w:w="1192" w:type="pct"/>
            <w:tcBorders>
              <w:top w:val="single" w:color="000000" w:sz="4" w:space="0"/>
              <w:left w:val="single" w:color="000000" w:sz="4" w:space="0"/>
              <w:bottom w:val="single" w:color="000000" w:sz="4" w:space="0"/>
              <w:right w:val="single" w:color="000000" w:sz="4" w:space="0"/>
            </w:tcBorders>
            <w:vAlign w:val="center"/>
          </w:tcPr>
          <w:p w14:paraId="64763198">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投标保证金</w:t>
            </w:r>
          </w:p>
        </w:tc>
        <w:tc>
          <w:tcPr>
            <w:tcW w:w="3341" w:type="pct"/>
            <w:tcBorders>
              <w:top w:val="single" w:color="000000" w:sz="4" w:space="0"/>
              <w:left w:val="single" w:color="000000" w:sz="4" w:space="0"/>
              <w:bottom w:val="single" w:color="000000" w:sz="4" w:space="0"/>
              <w:right w:val="single" w:color="000000" w:sz="4" w:space="0"/>
            </w:tcBorders>
          </w:tcPr>
          <w:p w14:paraId="255987D6">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t>不收取</w:t>
            </w:r>
          </w:p>
        </w:tc>
      </w:tr>
      <w:tr w14:paraId="72DC2E98">
        <w:tblPrEx>
          <w:tblCellMar>
            <w:top w:w="0" w:type="dxa"/>
            <w:left w:w="0" w:type="dxa"/>
            <w:bottom w:w="0" w:type="dxa"/>
            <w:right w:w="0" w:type="dxa"/>
          </w:tblCellMar>
        </w:tblPrEx>
        <w:trPr>
          <w:trHeight w:val="698" w:hRule="atLeast"/>
        </w:trPr>
        <w:tc>
          <w:tcPr>
            <w:tcW w:w="467" w:type="pct"/>
            <w:vMerge w:val="continue"/>
            <w:tcBorders>
              <w:left w:val="single" w:color="000000" w:sz="4" w:space="0"/>
              <w:right w:val="single" w:color="000000" w:sz="4" w:space="0"/>
            </w:tcBorders>
            <w:vAlign w:val="center"/>
          </w:tcPr>
          <w:p w14:paraId="461C540A">
            <w:pPr>
              <w:autoSpaceDE w:val="0"/>
              <w:autoSpaceDN w:val="0"/>
              <w:adjustRightInd w:val="0"/>
              <w:snapToGrid w:val="0"/>
              <w:spacing w:before="50" w:line="440" w:lineRule="exact"/>
              <w:ind w:right="35"/>
              <w:jc w:val="center"/>
              <w:rPr>
                <w:rFonts w:ascii="宋体" w:hAnsi="宋体" w:cs="宋体"/>
                <w:color w:val="000000"/>
                <w:spacing w:val="1"/>
                <w:kern w:val="0"/>
                <w:szCs w:val="21"/>
              </w:rPr>
            </w:pPr>
          </w:p>
        </w:tc>
        <w:tc>
          <w:tcPr>
            <w:tcW w:w="1192" w:type="pct"/>
            <w:tcBorders>
              <w:top w:val="single" w:color="000000" w:sz="4" w:space="0"/>
              <w:left w:val="single" w:color="000000" w:sz="4" w:space="0"/>
              <w:bottom w:val="single" w:color="000000" w:sz="4" w:space="0"/>
              <w:right w:val="single" w:color="000000" w:sz="4" w:space="0"/>
            </w:tcBorders>
            <w:vAlign w:val="center"/>
          </w:tcPr>
          <w:p w14:paraId="47D0DFB8">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履约保证金</w:t>
            </w:r>
          </w:p>
        </w:tc>
        <w:tc>
          <w:tcPr>
            <w:tcW w:w="3341" w:type="pct"/>
            <w:tcBorders>
              <w:top w:val="single" w:color="000000" w:sz="4" w:space="0"/>
              <w:left w:val="single" w:color="000000" w:sz="4" w:space="0"/>
              <w:bottom w:val="single" w:color="000000" w:sz="4" w:space="0"/>
              <w:right w:val="single" w:color="000000" w:sz="4" w:space="0"/>
            </w:tcBorders>
          </w:tcPr>
          <w:p w14:paraId="332378C0">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t>不收取</w:t>
            </w:r>
          </w:p>
        </w:tc>
      </w:tr>
      <w:tr w14:paraId="2803517B">
        <w:tblPrEx>
          <w:tblCellMar>
            <w:top w:w="0" w:type="dxa"/>
            <w:left w:w="0" w:type="dxa"/>
            <w:bottom w:w="0" w:type="dxa"/>
            <w:right w:w="0" w:type="dxa"/>
          </w:tblCellMar>
        </w:tblPrEx>
        <w:trPr>
          <w:trHeight w:val="698" w:hRule="atLeast"/>
        </w:trPr>
        <w:tc>
          <w:tcPr>
            <w:tcW w:w="467" w:type="pct"/>
            <w:vMerge w:val="continue"/>
            <w:tcBorders>
              <w:left w:val="single" w:color="000000" w:sz="4" w:space="0"/>
              <w:right w:val="single" w:color="000000" w:sz="4" w:space="0"/>
            </w:tcBorders>
            <w:vAlign w:val="center"/>
          </w:tcPr>
          <w:p w14:paraId="03F47D0D">
            <w:pPr>
              <w:autoSpaceDE w:val="0"/>
              <w:autoSpaceDN w:val="0"/>
              <w:adjustRightInd w:val="0"/>
              <w:snapToGrid w:val="0"/>
              <w:spacing w:before="50" w:line="440" w:lineRule="exact"/>
              <w:ind w:right="35"/>
              <w:jc w:val="center"/>
              <w:rPr>
                <w:rFonts w:ascii="宋体" w:hAnsi="宋体" w:cs="宋体"/>
                <w:color w:val="000000"/>
                <w:spacing w:val="1"/>
                <w:kern w:val="0"/>
                <w:szCs w:val="21"/>
              </w:rPr>
            </w:pPr>
          </w:p>
        </w:tc>
        <w:tc>
          <w:tcPr>
            <w:tcW w:w="1192" w:type="pct"/>
            <w:tcBorders>
              <w:top w:val="single" w:color="000000" w:sz="4" w:space="0"/>
              <w:left w:val="single" w:color="000000" w:sz="4" w:space="0"/>
              <w:bottom w:val="single" w:color="000000" w:sz="4" w:space="0"/>
              <w:right w:val="single" w:color="000000" w:sz="4" w:space="0"/>
            </w:tcBorders>
            <w:vAlign w:val="center"/>
          </w:tcPr>
          <w:p w14:paraId="556E0AB4">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质量保证金</w:t>
            </w:r>
          </w:p>
        </w:tc>
        <w:tc>
          <w:tcPr>
            <w:tcW w:w="3341" w:type="pct"/>
            <w:tcBorders>
              <w:top w:val="single" w:color="000000" w:sz="4" w:space="0"/>
              <w:left w:val="single" w:color="000000" w:sz="4" w:space="0"/>
              <w:bottom w:val="single" w:color="000000" w:sz="4" w:space="0"/>
              <w:right w:val="single" w:color="000000" w:sz="4" w:space="0"/>
            </w:tcBorders>
          </w:tcPr>
          <w:p w14:paraId="799D70F5">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t>不收取</w:t>
            </w:r>
          </w:p>
        </w:tc>
      </w:tr>
      <w:tr w14:paraId="23DA3B2A">
        <w:tblPrEx>
          <w:tblCellMar>
            <w:top w:w="0" w:type="dxa"/>
            <w:left w:w="0" w:type="dxa"/>
            <w:bottom w:w="0" w:type="dxa"/>
            <w:right w:w="0" w:type="dxa"/>
          </w:tblCellMar>
        </w:tblPrEx>
        <w:trPr>
          <w:trHeight w:val="698" w:hRule="atLeast"/>
        </w:trPr>
        <w:tc>
          <w:tcPr>
            <w:tcW w:w="467" w:type="pct"/>
            <w:vMerge w:val="continue"/>
            <w:tcBorders>
              <w:left w:val="single" w:color="000000" w:sz="4" w:space="0"/>
              <w:bottom w:val="single" w:color="000000" w:sz="4" w:space="0"/>
              <w:right w:val="single" w:color="000000" w:sz="4" w:space="0"/>
            </w:tcBorders>
            <w:vAlign w:val="center"/>
          </w:tcPr>
          <w:p w14:paraId="22599382">
            <w:pPr>
              <w:autoSpaceDE w:val="0"/>
              <w:autoSpaceDN w:val="0"/>
              <w:adjustRightInd w:val="0"/>
              <w:snapToGrid w:val="0"/>
              <w:spacing w:before="50" w:line="440" w:lineRule="exact"/>
              <w:ind w:right="35"/>
              <w:jc w:val="center"/>
              <w:rPr>
                <w:rFonts w:ascii="宋体" w:hAnsi="宋体" w:cs="宋体"/>
                <w:color w:val="000000"/>
                <w:spacing w:val="1"/>
                <w:kern w:val="0"/>
                <w:szCs w:val="21"/>
              </w:rPr>
            </w:pPr>
          </w:p>
        </w:tc>
        <w:tc>
          <w:tcPr>
            <w:tcW w:w="1192" w:type="pct"/>
            <w:tcBorders>
              <w:top w:val="single" w:color="000000" w:sz="4" w:space="0"/>
              <w:left w:val="single" w:color="000000" w:sz="4" w:space="0"/>
              <w:bottom w:val="single" w:color="000000" w:sz="4" w:space="0"/>
              <w:right w:val="single" w:color="000000" w:sz="4" w:space="0"/>
            </w:tcBorders>
            <w:vAlign w:val="center"/>
          </w:tcPr>
          <w:p w14:paraId="617CA210">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竞争性磋商文件费用</w:t>
            </w:r>
          </w:p>
        </w:tc>
        <w:tc>
          <w:tcPr>
            <w:tcW w:w="3341" w:type="pct"/>
            <w:tcBorders>
              <w:top w:val="single" w:color="000000" w:sz="4" w:space="0"/>
              <w:left w:val="single" w:color="000000" w:sz="4" w:space="0"/>
              <w:bottom w:val="single" w:color="000000" w:sz="4" w:space="0"/>
              <w:right w:val="single" w:color="000000" w:sz="4" w:space="0"/>
            </w:tcBorders>
          </w:tcPr>
          <w:p w14:paraId="056236BA">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t>不收取</w:t>
            </w:r>
          </w:p>
        </w:tc>
      </w:tr>
      <w:tr w14:paraId="7583C04E">
        <w:tblPrEx>
          <w:tblCellMar>
            <w:top w:w="0" w:type="dxa"/>
            <w:left w:w="0" w:type="dxa"/>
            <w:bottom w:w="0" w:type="dxa"/>
            <w:right w:w="0" w:type="dxa"/>
          </w:tblCellMar>
        </w:tblPrEx>
        <w:trPr>
          <w:trHeight w:val="1663"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061C7993">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21</w:t>
            </w:r>
          </w:p>
        </w:tc>
        <w:tc>
          <w:tcPr>
            <w:tcW w:w="1192" w:type="pct"/>
            <w:tcBorders>
              <w:top w:val="single" w:color="000000" w:sz="4" w:space="0"/>
              <w:left w:val="single" w:color="000000" w:sz="4" w:space="0"/>
              <w:bottom w:val="single" w:color="000000" w:sz="4" w:space="0"/>
              <w:right w:val="single" w:color="000000" w:sz="4" w:space="0"/>
            </w:tcBorders>
            <w:vAlign w:val="center"/>
          </w:tcPr>
          <w:p w14:paraId="0D70C28A">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电子签章或盖章要求</w:t>
            </w:r>
          </w:p>
        </w:tc>
        <w:tc>
          <w:tcPr>
            <w:tcW w:w="3341" w:type="pct"/>
            <w:tcBorders>
              <w:top w:val="single" w:color="000000" w:sz="4" w:space="0"/>
              <w:left w:val="single" w:color="000000" w:sz="4" w:space="0"/>
              <w:bottom w:val="single" w:color="000000" w:sz="4" w:space="0"/>
              <w:right w:val="single" w:color="000000" w:sz="4" w:space="0"/>
            </w:tcBorders>
            <w:vAlign w:val="center"/>
          </w:tcPr>
          <w:p w14:paraId="39E3DC35">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t>响应文件应按竞争性磋商文件要求加盖单位公章、签字、盖章。响应文件中的各类证书及企业相关证明资料复印件须加盖供应商电子印章。若被授权代理人签字或盖章的，响应文件中应附法定代表人有效授权委托书。</w:t>
            </w:r>
          </w:p>
        </w:tc>
      </w:tr>
      <w:tr w14:paraId="5C155591">
        <w:tblPrEx>
          <w:tblCellMar>
            <w:top w:w="0" w:type="dxa"/>
            <w:left w:w="0" w:type="dxa"/>
            <w:bottom w:w="0" w:type="dxa"/>
            <w:right w:w="0" w:type="dxa"/>
          </w:tblCellMar>
        </w:tblPrEx>
        <w:trPr>
          <w:trHeight w:val="698"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5A75757B">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22</w:t>
            </w:r>
          </w:p>
        </w:tc>
        <w:tc>
          <w:tcPr>
            <w:tcW w:w="1192" w:type="pct"/>
            <w:tcBorders>
              <w:top w:val="single" w:color="000000" w:sz="4" w:space="0"/>
              <w:left w:val="single" w:color="000000" w:sz="4" w:space="0"/>
              <w:bottom w:val="single" w:color="000000" w:sz="4" w:space="0"/>
              <w:right w:val="single" w:color="000000" w:sz="4" w:space="0"/>
            </w:tcBorders>
            <w:vAlign w:val="center"/>
          </w:tcPr>
          <w:p w14:paraId="6728E758">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递交响应文件地点</w:t>
            </w:r>
          </w:p>
        </w:tc>
        <w:tc>
          <w:tcPr>
            <w:tcW w:w="3341" w:type="pct"/>
            <w:tcBorders>
              <w:top w:val="single" w:color="000000" w:sz="4" w:space="0"/>
              <w:left w:val="single" w:color="000000" w:sz="4" w:space="0"/>
              <w:bottom w:val="single" w:color="000000" w:sz="4" w:space="0"/>
              <w:right w:val="single" w:color="000000" w:sz="4" w:space="0"/>
            </w:tcBorders>
            <w:vAlign w:val="center"/>
          </w:tcPr>
          <w:p w14:paraId="273FF7E2">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t>平顶山市公共资源交易中心电子交易系统</w:t>
            </w:r>
          </w:p>
        </w:tc>
      </w:tr>
      <w:tr w14:paraId="51D7E6CB">
        <w:tblPrEx>
          <w:tblCellMar>
            <w:top w:w="0" w:type="dxa"/>
            <w:left w:w="0" w:type="dxa"/>
            <w:bottom w:w="0" w:type="dxa"/>
            <w:right w:w="0" w:type="dxa"/>
          </w:tblCellMar>
        </w:tblPrEx>
        <w:trPr>
          <w:trHeight w:val="905"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39808BEB">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23</w:t>
            </w:r>
          </w:p>
        </w:tc>
        <w:tc>
          <w:tcPr>
            <w:tcW w:w="1192" w:type="pct"/>
            <w:tcBorders>
              <w:top w:val="single" w:color="000000" w:sz="4" w:space="0"/>
              <w:left w:val="single" w:color="000000" w:sz="4" w:space="0"/>
              <w:bottom w:val="single" w:color="000000" w:sz="4" w:space="0"/>
              <w:right w:val="single" w:color="000000" w:sz="4" w:space="0"/>
            </w:tcBorders>
            <w:vAlign w:val="center"/>
          </w:tcPr>
          <w:p w14:paraId="138493F6">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开标时间和地点</w:t>
            </w:r>
          </w:p>
        </w:tc>
        <w:tc>
          <w:tcPr>
            <w:tcW w:w="3341" w:type="pct"/>
            <w:tcBorders>
              <w:top w:val="single" w:color="000000" w:sz="4" w:space="0"/>
              <w:left w:val="single" w:color="000000" w:sz="4" w:space="0"/>
              <w:bottom w:val="single" w:color="000000" w:sz="4" w:space="0"/>
              <w:right w:val="single" w:color="000000" w:sz="4" w:space="0"/>
            </w:tcBorders>
            <w:vAlign w:val="center"/>
          </w:tcPr>
          <w:p w14:paraId="602CF2D2">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t>开标时间：同投标截止时间；</w:t>
            </w:r>
          </w:p>
          <w:p w14:paraId="376C53CE">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t>开标地点：平顶山市公共资源交易中心电子交易系统</w:t>
            </w:r>
          </w:p>
        </w:tc>
      </w:tr>
      <w:tr w14:paraId="466071FE">
        <w:tblPrEx>
          <w:tblCellMar>
            <w:top w:w="0" w:type="dxa"/>
            <w:left w:w="0" w:type="dxa"/>
            <w:bottom w:w="0" w:type="dxa"/>
            <w:right w:w="0" w:type="dxa"/>
          </w:tblCellMar>
        </w:tblPrEx>
        <w:trPr>
          <w:trHeight w:val="1663"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62BDD53B">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24</w:t>
            </w:r>
          </w:p>
        </w:tc>
        <w:tc>
          <w:tcPr>
            <w:tcW w:w="1192" w:type="pct"/>
            <w:tcBorders>
              <w:top w:val="single" w:color="000000" w:sz="4" w:space="0"/>
              <w:left w:val="single" w:color="000000" w:sz="4" w:space="0"/>
              <w:bottom w:val="single" w:color="000000" w:sz="4" w:space="0"/>
              <w:right w:val="single" w:color="000000" w:sz="4" w:space="0"/>
            </w:tcBorders>
            <w:vAlign w:val="center"/>
          </w:tcPr>
          <w:p w14:paraId="27AA3052">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开标程序</w:t>
            </w:r>
          </w:p>
        </w:tc>
        <w:tc>
          <w:tcPr>
            <w:tcW w:w="3341" w:type="pct"/>
            <w:tcBorders>
              <w:top w:val="single" w:color="000000" w:sz="4" w:space="0"/>
              <w:left w:val="single" w:color="000000" w:sz="4" w:space="0"/>
              <w:bottom w:val="single" w:color="000000" w:sz="4" w:space="0"/>
              <w:right w:val="single" w:color="000000" w:sz="4" w:space="0"/>
            </w:tcBorders>
            <w:vAlign w:val="center"/>
          </w:tcPr>
          <w:p w14:paraId="470C853E">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t>开标时，首先由供应商使用 CA 证书，在规定时间内对其电子化响应文件进行解密，待所有供应商响应文件解密完成后，由中介服务机构操作，对所有已解密响应文件进行唱标。</w:t>
            </w:r>
          </w:p>
        </w:tc>
      </w:tr>
      <w:tr w14:paraId="03152551">
        <w:tblPrEx>
          <w:tblCellMar>
            <w:top w:w="0" w:type="dxa"/>
            <w:left w:w="0" w:type="dxa"/>
            <w:bottom w:w="0" w:type="dxa"/>
            <w:right w:w="0" w:type="dxa"/>
          </w:tblCellMar>
        </w:tblPrEx>
        <w:trPr>
          <w:trHeight w:val="2914"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7D01E846">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25</w:t>
            </w:r>
          </w:p>
        </w:tc>
        <w:tc>
          <w:tcPr>
            <w:tcW w:w="1192" w:type="pct"/>
            <w:tcBorders>
              <w:top w:val="single" w:color="000000" w:sz="4" w:space="0"/>
              <w:left w:val="single" w:color="000000" w:sz="4" w:space="0"/>
              <w:bottom w:val="single" w:color="000000" w:sz="4" w:space="0"/>
              <w:right w:val="single" w:color="000000" w:sz="4" w:space="0"/>
            </w:tcBorders>
            <w:vAlign w:val="center"/>
          </w:tcPr>
          <w:p w14:paraId="4D38BED0">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磋商小组的组建</w:t>
            </w:r>
          </w:p>
        </w:tc>
        <w:tc>
          <w:tcPr>
            <w:tcW w:w="3341" w:type="pct"/>
            <w:tcBorders>
              <w:top w:val="single" w:color="000000" w:sz="4" w:space="0"/>
              <w:left w:val="single" w:color="000000" w:sz="4" w:space="0"/>
              <w:bottom w:val="single" w:color="000000" w:sz="4" w:space="0"/>
              <w:right w:val="single" w:color="000000" w:sz="4" w:space="0"/>
            </w:tcBorders>
            <w:vAlign w:val="center"/>
          </w:tcPr>
          <w:p w14:paraId="14FD154C">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t>磋商小组构成：</w:t>
            </w:r>
            <w:r>
              <w:rPr>
                <w:rStyle w:val="54"/>
                <w:rFonts w:hint="eastAsia" w:ascii="宋体" w:hAnsi="宋体" w:cs="宋体"/>
                <w:szCs w:val="21"/>
                <w:lang w:val="zh-CN"/>
              </w:rPr>
              <w:t>磋商小组成员由采购人代表和磋商小组专家组成，成员人数应当为</w:t>
            </w:r>
            <w:r>
              <w:rPr>
                <w:rStyle w:val="54"/>
                <w:rFonts w:hint="eastAsia" w:ascii="宋体" w:hAnsi="宋体" w:cs="宋体"/>
                <w:szCs w:val="21"/>
              </w:rPr>
              <w:t>3</w:t>
            </w:r>
            <w:r>
              <w:rPr>
                <w:rStyle w:val="54"/>
                <w:rFonts w:hint="eastAsia" w:ascii="宋体" w:hAnsi="宋体" w:cs="宋体"/>
                <w:szCs w:val="21"/>
                <w:lang w:val="zh-CN"/>
              </w:rPr>
              <w:t>人以上单数，其中磋商小组专家不得少于成员总人数的三分之二</w:t>
            </w:r>
            <w:r>
              <w:rPr>
                <w:rFonts w:hint="eastAsia" w:ascii="宋体" w:hAnsi="宋体" w:cs="宋体"/>
                <w:color w:val="000000"/>
                <w:spacing w:val="1"/>
                <w:kern w:val="0"/>
                <w:szCs w:val="21"/>
                <w:lang w:val="zh-CN"/>
              </w:rPr>
              <w:t>。</w:t>
            </w:r>
          </w:p>
          <w:p w14:paraId="4C26AF05">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t>评标专家确定方式:由招标人从相关评标专家库中随机抽取。上述规定为一组评标专家组成方式，根据项目标段数量和评标工作量，可由多组专家完成评审，但一个标段只能由一组专家评审。</w:t>
            </w:r>
          </w:p>
        </w:tc>
      </w:tr>
      <w:tr w14:paraId="4E3D0C23">
        <w:tblPrEx>
          <w:tblCellMar>
            <w:top w:w="0" w:type="dxa"/>
            <w:left w:w="0" w:type="dxa"/>
            <w:bottom w:w="0" w:type="dxa"/>
            <w:right w:w="0" w:type="dxa"/>
          </w:tblCellMar>
        </w:tblPrEx>
        <w:trPr>
          <w:trHeight w:val="2065"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5D454760">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26</w:t>
            </w:r>
          </w:p>
        </w:tc>
        <w:tc>
          <w:tcPr>
            <w:tcW w:w="1192" w:type="pct"/>
            <w:tcBorders>
              <w:top w:val="single" w:color="000000" w:sz="4" w:space="0"/>
              <w:left w:val="single" w:color="000000" w:sz="4" w:space="0"/>
              <w:bottom w:val="single" w:color="000000" w:sz="4" w:space="0"/>
              <w:right w:val="single" w:color="000000" w:sz="4" w:space="0"/>
            </w:tcBorders>
            <w:vAlign w:val="center"/>
          </w:tcPr>
          <w:p w14:paraId="45D01B7F">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是否授权评标委会</w:t>
            </w:r>
          </w:p>
          <w:p w14:paraId="5BBBBE03">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确定中标人</w:t>
            </w:r>
          </w:p>
        </w:tc>
        <w:tc>
          <w:tcPr>
            <w:tcW w:w="3341" w:type="pct"/>
            <w:tcBorders>
              <w:top w:val="single" w:color="000000" w:sz="4" w:space="0"/>
              <w:left w:val="single" w:color="000000" w:sz="4" w:space="0"/>
              <w:bottom w:val="single" w:color="000000" w:sz="4" w:space="0"/>
              <w:right w:val="single" w:color="000000" w:sz="4" w:space="0"/>
            </w:tcBorders>
            <w:vAlign w:val="center"/>
          </w:tcPr>
          <w:p w14:paraId="4C7561FD">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t>否，由磋商小组按供应商最后得分高低推荐前1-3名为中标候选人。若排名第一的中标候选人放弃中标、因不可抗力提出不能履行合同，招标人可以确定第二中标候选人为中标人；依此类推。当所有中标候选人因上述原因不能签订合同的，招标人将依法重新招标。</w:t>
            </w:r>
          </w:p>
        </w:tc>
      </w:tr>
      <w:tr w14:paraId="4980E935">
        <w:tblPrEx>
          <w:tblCellMar>
            <w:top w:w="0" w:type="dxa"/>
            <w:left w:w="0" w:type="dxa"/>
            <w:bottom w:w="0" w:type="dxa"/>
            <w:right w:w="0" w:type="dxa"/>
          </w:tblCellMar>
        </w:tblPrEx>
        <w:trPr>
          <w:trHeight w:val="1754"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170783C4">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27</w:t>
            </w:r>
          </w:p>
        </w:tc>
        <w:tc>
          <w:tcPr>
            <w:tcW w:w="1192" w:type="pct"/>
            <w:tcBorders>
              <w:top w:val="single" w:color="000000" w:sz="4" w:space="0"/>
              <w:left w:val="single" w:color="000000" w:sz="4" w:space="0"/>
              <w:bottom w:val="single" w:color="000000" w:sz="4" w:space="0"/>
              <w:right w:val="single" w:color="000000" w:sz="4" w:space="0"/>
            </w:tcBorders>
            <w:vAlign w:val="center"/>
          </w:tcPr>
          <w:p w14:paraId="1656C302">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接收质疑函的方式和联系方式</w:t>
            </w:r>
          </w:p>
        </w:tc>
        <w:tc>
          <w:tcPr>
            <w:tcW w:w="3341" w:type="pct"/>
            <w:tcBorders>
              <w:top w:val="single" w:color="000000" w:sz="4" w:space="0"/>
              <w:left w:val="single" w:color="000000" w:sz="4" w:space="0"/>
              <w:bottom w:val="single" w:color="000000" w:sz="4" w:space="0"/>
              <w:right w:val="single" w:color="000000" w:sz="4" w:space="0"/>
            </w:tcBorders>
            <w:vAlign w:val="center"/>
          </w:tcPr>
          <w:p w14:paraId="1983DE2C">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t>质疑函应在平顶山市公共资源交易系统中接收，质疑函的格式和内容应当符合相关法律法规的要求。联系方式如下：</w:t>
            </w:r>
          </w:p>
          <w:p w14:paraId="4E101129">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t>联系人：洛女士</w:t>
            </w:r>
          </w:p>
          <w:p w14:paraId="2B931F2D">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t>联系电话：18239787899</w:t>
            </w:r>
          </w:p>
          <w:p w14:paraId="5876329F">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t>对供应商提出的质疑，采购人、采购代理机构应当依法及时答复和处理，不得推诿扯皮故意刁难，须进行实质性回应。</w:t>
            </w:r>
          </w:p>
        </w:tc>
      </w:tr>
      <w:tr w14:paraId="22841197">
        <w:tblPrEx>
          <w:tblCellMar>
            <w:top w:w="0" w:type="dxa"/>
            <w:left w:w="0" w:type="dxa"/>
            <w:bottom w:w="0" w:type="dxa"/>
            <w:right w:w="0" w:type="dxa"/>
          </w:tblCellMar>
        </w:tblPrEx>
        <w:trPr>
          <w:trHeight w:val="905" w:hRule="atLeast"/>
        </w:trPr>
        <w:tc>
          <w:tcPr>
            <w:tcW w:w="467" w:type="pct"/>
            <w:tcBorders>
              <w:top w:val="single" w:color="000000" w:sz="4" w:space="0"/>
              <w:left w:val="single" w:color="000000" w:sz="4" w:space="0"/>
              <w:right w:val="single" w:color="000000" w:sz="4" w:space="0"/>
            </w:tcBorders>
            <w:vAlign w:val="center"/>
          </w:tcPr>
          <w:p w14:paraId="717F8239">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28</w:t>
            </w:r>
          </w:p>
        </w:tc>
        <w:tc>
          <w:tcPr>
            <w:tcW w:w="1192" w:type="pct"/>
            <w:tcBorders>
              <w:top w:val="single" w:color="000000" w:sz="4" w:space="0"/>
              <w:left w:val="single" w:color="000000" w:sz="4" w:space="0"/>
              <w:right w:val="single" w:color="000000" w:sz="4" w:space="0"/>
            </w:tcBorders>
            <w:vAlign w:val="center"/>
          </w:tcPr>
          <w:p w14:paraId="43B3BB18">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最高投标限价</w:t>
            </w:r>
          </w:p>
        </w:tc>
        <w:tc>
          <w:tcPr>
            <w:tcW w:w="3341" w:type="pct"/>
            <w:tcBorders>
              <w:top w:val="single" w:color="000000" w:sz="4" w:space="0"/>
              <w:left w:val="single" w:color="000000" w:sz="4" w:space="0"/>
              <w:right w:val="single" w:color="000000" w:sz="4" w:space="0"/>
            </w:tcBorders>
            <w:vAlign w:val="center"/>
          </w:tcPr>
          <w:p w14:paraId="611D6142">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t>最高限价：</w:t>
            </w:r>
            <w:r>
              <w:rPr>
                <w:rFonts w:hint="eastAsia" w:ascii="宋体" w:hAnsi="宋体" w:cs="宋体"/>
                <w:color w:val="000000"/>
                <w:spacing w:val="1"/>
                <w:kern w:val="0"/>
                <w:szCs w:val="21"/>
                <w:u w:val="single"/>
              </w:rPr>
              <w:t>600000.00</w:t>
            </w:r>
            <w:r>
              <w:rPr>
                <w:rFonts w:hint="eastAsia" w:ascii="宋体" w:hAnsi="宋体" w:cs="宋体"/>
                <w:color w:val="000000"/>
                <w:spacing w:val="1"/>
                <w:kern w:val="0"/>
                <w:szCs w:val="21"/>
                <w:lang w:val="zh-CN"/>
              </w:rPr>
              <w:t>元</w:t>
            </w:r>
          </w:p>
          <w:p w14:paraId="3F28FD24">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t>注：超出最高限价按废标处理。</w:t>
            </w:r>
          </w:p>
        </w:tc>
      </w:tr>
      <w:tr w14:paraId="3DEDBE98">
        <w:tblPrEx>
          <w:tblCellMar>
            <w:top w:w="0" w:type="dxa"/>
            <w:left w:w="0" w:type="dxa"/>
            <w:bottom w:w="0" w:type="dxa"/>
            <w:right w:w="0" w:type="dxa"/>
          </w:tblCellMar>
        </w:tblPrEx>
        <w:trPr>
          <w:trHeight w:val="1812"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3FA39A95">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29</w:t>
            </w:r>
          </w:p>
        </w:tc>
        <w:tc>
          <w:tcPr>
            <w:tcW w:w="1192" w:type="pct"/>
            <w:tcBorders>
              <w:top w:val="single" w:color="000000" w:sz="4" w:space="0"/>
              <w:left w:val="single" w:color="000000" w:sz="4" w:space="0"/>
              <w:bottom w:val="single" w:color="000000" w:sz="4" w:space="0"/>
              <w:right w:val="single" w:color="000000" w:sz="4" w:space="0"/>
            </w:tcBorders>
            <w:vAlign w:val="center"/>
          </w:tcPr>
          <w:p w14:paraId="026E1FF9">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招标代理服务费</w:t>
            </w:r>
          </w:p>
        </w:tc>
        <w:tc>
          <w:tcPr>
            <w:tcW w:w="3341" w:type="pct"/>
            <w:tcBorders>
              <w:top w:val="single" w:color="000000" w:sz="4" w:space="0"/>
              <w:left w:val="single" w:color="000000" w:sz="4" w:space="0"/>
              <w:bottom w:val="single" w:color="000000" w:sz="4" w:space="0"/>
              <w:right w:val="single" w:color="000000" w:sz="4" w:space="0"/>
            </w:tcBorders>
            <w:vAlign w:val="center"/>
          </w:tcPr>
          <w:p w14:paraId="55CD3EC4">
            <w:pPr>
              <w:autoSpaceDE w:val="0"/>
              <w:autoSpaceDN w:val="0"/>
              <w:adjustRightInd w:val="0"/>
              <w:snapToGrid w:val="0"/>
              <w:spacing w:before="50" w:line="440" w:lineRule="exact"/>
              <w:ind w:right="35"/>
              <w:jc w:val="left"/>
              <w:rPr>
                <w:rFonts w:ascii="宋体" w:hAnsi="宋体" w:cs="宋体"/>
                <w:color w:val="000000"/>
                <w:spacing w:val="1"/>
                <w:kern w:val="0"/>
                <w:szCs w:val="21"/>
                <w:lang w:val="zh-CN"/>
              </w:rPr>
            </w:pPr>
            <w:r>
              <w:rPr>
                <w:rFonts w:hint="eastAsia" w:ascii="宋体" w:hAnsi="宋体" w:cs="宋体"/>
                <w:color w:val="000000"/>
                <w:spacing w:val="1"/>
                <w:kern w:val="0"/>
                <w:szCs w:val="21"/>
                <w:lang w:val="zh-CN"/>
              </w:rPr>
              <w:t>招标代理费参照发改价格【2015】299号文件规定的代理服务费收费标准及《河南省招标代理服务收费指导意见》</w:t>
            </w:r>
            <w:r>
              <w:rPr>
                <w:rFonts w:hint="eastAsia" w:ascii="宋体" w:hAnsi="宋体" w:cs="宋体"/>
                <w:color w:val="000000"/>
                <w:spacing w:val="1"/>
                <w:kern w:val="0"/>
                <w:szCs w:val="21"/>
              </w:rPr>
              <w:t>豫招协【2023】002号文</w:t>
            </w:r>
            <w:r>
              <w:rPr>
                <w:rFonts w:hint="eastAsia" w:ascii="宋体" w:hAnsi="宋体" w:cs="宋体"/>
                <w:color w:val="000000"/>
                <w:spacing w:val="1"/>
                <w:kern w:val="0"/>
                <w:szCs w:val="21"/>
                <w:lang w:val="zh-CN"/>
              </w:rPr>
              <w:t>规定，在中标人领取成交通知书时向采购代理机构一次性缴纳。此费用由供应商综合考虑到投标报价中，不再单独列项。</w:t>
            </w:r>
          </w:p>
        </w:tc>
      </w:tr>
      <w:tr w14:paraId="12E9D5B7">
        <w:tblPrEx>
          <w:tblCellMar>
            <w:top w:w="0" w:type="dxa"/>
            <w:left w:w="0" w:type="dxa"/>
            <w:bottom w:w="0" w:type="dxa"/>
            <w:right w:w="0" w:type="dxa"/>
          </w:tblCellMar>
        </w:tblPrEx>
        <w:trPr>
          <w:trHeight w:val="859"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64B5B272">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30</w:t>
            </w:r>
          </w:p>
        </w:tc>
        <w:tc>
          <w:tcPr>
            <w:tcW w:w="1192" w:type="pct"/>
            <w:tcBorders>
              <w:top w:val="single" w:color="000000" w:sz="4" w:space="0"/>
              <w:left w:val="single" w:color="000000" w:sz="4" w:space="0"/>
              <w:bottom w:val="single" w:color="000000" w:sz="4" w:space="0"/>
              <w:right w:val="single" w:color="000000" w:sz="4" w:space="0"/>
            </w:tcBorders>
            <w:vAlign w:val="center"/>
          </w:tcPr>
          <w:p w14:paraId="298BA877">
            <w:pPr>
              <w:jc w:val="center"/>
              <w:rPr>
                <w:rFonts w:ascii="宋体" w:hAnsi="宋体" w:cs="宋体"/>
                <w:szCs w:val="21"/>
              </w:rPr>
            </w:pPr>
            <w:r>
              <w:rPr>
                <w:rFonts w:hint="eastAsia" w:ascii="宋体" w:hAnsi="宋体" w:cs="宋体"/>
                <w:szCs w:val="21"/>
              </w:rPr>
              <w:t>付款方式</w:t>
            </w:r>
          </w:p>
        </w:tc>
        <w:tc>
          <w:tcPr>
            <w:tcW w:w="3341" w:type="pct"/>
            <w:tcBorders>
              <w:top w:val="single" w:color="000000" w:sz="4" w:space="0"/>
              <w:left w:val="single" w:color="000000" w:sz="4" w:space="0"/>
              <w:bottom w:val="single" w:color="000000" w:sz="4" w:space="0"/>
              <w:right w:val="single" w:color="000000" w:sz="4" w:space="0"/>
            </w:tcBorders>
            <w:vAlign w:val="center"/>
          </w:tcPr>
          <w:p w14:paraId="6DCAAA08">
            <w:pPr>
              <w:autoSpaceDE w:val="0"/>
              <w:autoSpaceDN w:val="0"/>
              <w:adjustRightInd w:val="0"/>
              <w:snapToGrid w:val="0"/>
              <w:spacing w:before="50" w:line="440" w:lineRule="exact"/>
              <w:ind w:right="35"/>
              <w:jc w:val="left"/>
              <w:rPr>
                <w:rFonts w:ascii="宋体" w:hAnsi="宋体" w:cs="宋体"/>
                <w:color w:val="000000"/>
                <w:spacing w:val="1"/>
                <w:kern w:val="0"/>
                <w:szCs w:val="21"/>
              </w:rPr>
            </w:pPr>
            <w:r>
              <w:rPr>
                <w:rFonts w:hint="eastAsia" w:ascii="宋体" w:hAnsi="宋体" w:cs="宋体"/>
                <w:color w:val="000000"/>
                <w:spacing w:val="1"/>
                <w:kern w:val="0"/>
                <w:szCs w:val="21"/>
              </w:rPr>
              <w:t>合同签订后，甲方在20个工作日内向乙方支付合同总金额的30%，系统运行正常1个月后，20个工作日内甲方向乙方支付合同总金额的70%。</w:t>
            </w:r>
          </w:p>
        </w:tc>
      </w:tr>
      <w:tr w14:paraId="104DD090">
        <w:tblPrEx>
          <w:tblCellMar>
            <w:top w:w="0" w:type="dxa"/>
            <w:left w:w="0" w:type="dxa"/>
            <w:bottom w:w="0" w:type="dxa"/>
            <w:right w:w="0" w:type="dxa"/>
          </w:tblCellMar>
        </w:tblPrEx>
        <w:trPr>
          <w:trHeight w:val="983"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659CEE20">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31</w:t>
            </w:r>
          </w:p>
        </w:tc>
        <w:tc>
          <w:tcPr>
            <w:tcW w:w="1192" w:type="pct"/>
            <w:tcBorders>
              <w:top w:val="single" w:color="000000" w:sz="4" w:space="0"/>
              <w:left w:val="single" w:color="000000" w:sz="4" w:space="0"/>
              <w:bottom w:val="single" w:color="000000" w:sz="4" w:space="0"/>
              <w:right w:val="single" w:color="000000" w:sz="4" w:space="0"/>
            </w:tcBorders>
            <w:vAlign w:val="center"/>
          </w:tcPr>
          <w:p w14:paraId="50683743">
            <w:pPr>
              <w:spacing w:line="360" w:lineRule="auto"/>
              <w:jc w:val="center"/>
              <w:rPr>
                <w:rFonts w:ascii="宋体" w:hAnsi="宋体" w:cs="宋体"/>
                <w:szCs w:val="21"/>
              </w:rPr>
            </w:pPr>
            <w:r>
              <w:rPr>
                <w:rFonts w:hint="eastAsia" w:ascii="宋体" w:hAnsi="宋体" w:cs="宋体"/>
                <w:b/>
                <w:szCs w:val="21"/>
              </w:rPr>
              <w:t>政采领域优化营商环境相关政策</w:t>
            </w:r>
          </w:p>
        </w:tc>
        <w:tc>
          <w:tcPr>
            <w:tcW w:w="3341" w:type="pct"/>
            <w:tcBorders>
              <w:top w:val="single" w:color="000000" w:sz="4" w:space="0"/>
              <w:left w:val="single" w:color="000000" w:sz="4" w:space="0"/>
              <w:bottom w:val="single" w:color="000000" w:sz="4" w:space="0"/>
              <w:right w:val="single" w:color="000000" w:sz="4" w:space="0"/>
            </w:tcBorders>
            <w:vAlign w:val="center"/>
          </w:tcPr>
          <w:p w14:paraId="491CE5EC">
            <w:pPr>
              <w:autoSpaceDE w:val="0"/>
              <w:autoSpaceDN w:val="0"/>
              <w:adjustRightInd w:val="0"/>
              <w:snapToGrid w:val="0"/>
              <w:spacing w:before="50" w:line="440" w:lineRule="exact"/>
              <w:ind w:right="35"/>
              <w:jc w:val="left"/>
              <w:rPr>
                <w:b/>
                <w:bCs/>
                <w:lang w:val="zh-CN"/>
              </w:rPr>
            </w:pPr>
            <w:r>
              <w:rPr>
                <w:rFonts w:hint="eastAsia"/>
                <w:b/>
                <w:bCs/>
                <w:lang w:val="zh-CN"/>
              </w:rPr>
              <w:t>一、落实四个“一日办”精神：</w:t>
            </w:r>
          </w:p>
          <w:p w14:paraId="74AD6DBE">
            <w:pPr>
              <w:autoSpaceDE w:val="0"/>
              <w:autoSpaceDN w:val="0"/>
              <w:adjustRightInd w:val="0"/>
              <w:snapToGrid w:val="0"/>
              <w:spacing w:before="50" w:line="440" w:lineRule="exact"/>
              <w:ind w:right="35"/>
              <w:jc w:val="left"/>
              <w:rPr>
                <w:lang w:val="zh-CN"/>
              </w:rPr>
            </w:pPr>
            <w:r>
              <w:rPr>
                <w:rFonts w:hint="eastAsia"/>
                <w:lang w:val="zh-CN"/>
              </w:rPr>
              <w:t>按照《平顶山市财政局关于压减政府采购各环节时限 进一步优化政府采购营商环境的通知》（平财购〔2021〕34号）通知，落实四个“一日办”精神：</w:t>
            </w:r>
          </w:p>
          <w:p w14:paraId="3C57F827">
            <w:pPr>
              <w:autoSpaceDE w:val="0"/>
              <w:autoSpaceDN w:val="0"/>
              <w:adjustRightInd w:val="0"/>
              <w:snapToGrid w:val="0"/>
              <w:spacing w:before="50" w:line="440" w:lineRule="exact"/>
              <w:ind w:right="35"/>
              <w:jc w:val="left"/>
              <w:rPr>
                <w:lang w:val="zh-CN"/>
              </w:rPr>
            </w:pPr>
            <w:r>
              <w:rPr>
                <w:rFonts w:hint="eastAsia"/>
                <w:lang w:val="zh-CN"/>
              </w:rPr>
              <w:t>（1）在评审结束后1日内确定采购结果，同时对中标单位发出中标或成交通知书，并在网上进行公告；</w:t>
            </w:r>
          </w:p>
          <w:p w14:paraId="15D7B9D3">
            <w:pPr>
              <w:autoSpaceDE w:val="0"/>
              <w:autoSpaceDN w:val="0"/>
              <w:adjustRightInd w:val="0"/>
              <w:snapToGrid w:val="0"/>
              <w:spacing w:before="50" w:line="440" w:lineRule="exact"/>
              <w:ind w:right="35"/>
              <w:jc w:val="left"/>
              <w:rPr>
                <w:lang w:val="zh-CN"/>
              </w:rPr>
            </w:pPr>
            <w:r>
              <w:rPr>
                <w:rFonts w:hint="eastAsia"/>
                <w:lang w:val="zh-CN"/>
              </w:rPr>
              <w:t>（2）中标或成交通知书发出后，1日内与中标或成交供应商签订合同，合同签订当日完成合同备案工作；</w:t>
            </w:r>
          </w:p>
          <w:p w14:paraId="10009C56">
            <w:pPr>
              <w:autoSpaceDE w:val="0"/>
              <w:autoSpaceDN w:val="0"/>
              <w:adjustRightInd w:val="0"/>
              <w:snapToGrid w:val="0"/>
              <w:spacing w:before="50" w:line="440" w:lineRule="exact"/>
              <w:ind w:right="35"/>
              <w:jc w:val="left"/>
              <w:rPr>
                <w:lang w:val="zh-CN"/>
              </w:rPr>
            </w:pPr>
            <w:r>
              <w:rPr>
                <w:rFonts w:hint="eastAsia"/>
                <w:lang w:val="zh-CN"/>
              </w:rPr>
              <w:t>（3）政府采购项目供应商履约完成后，采购人应在供应商提出验收申请1个工作日内完成验收，同时在平顶山市政府采购网发布验收结果公告；</w:t>
            </w:r>
          </w:p>
          <w:p w14:paraId="027A4A11">
            <w:pPr>
              <w:autoSpaceDE w:val="0"/>
              <w:autoSpaceDN w:val="0"/>
              <w:adjustRightInd w:val="0"/>
              <w:snapToGrid w:val="0"/>
              <w:spacing w:before="50" w:line="440" w:lineRule="exact"/>
              <w:ind w:right="35"/>
              <w:jc w:val="left"/>
              <w:rPr>
                <w:lang w:val="zh-CN"/>
              </w:rPr>
            </w:pPr>
            <w:r>
              <w:rPr>
                <w:rFonts w:hint="eastAsia"/>
                <w:lang w:val="zh-CN"/>
              </w:rPr>
              <w:t>（4）验收合格具备付款条件的项目，采购人要在1个工作日内按照合同约定支付项目资金。</w:t>
            </w:r>
          </w:p>
          <w:p w14:paraId="287811D8">
            <w:pPr>
              <w:autoSpaceDE w:val="0"/>
              <w:autoSpaceDN w:val="0"/>
              <w:adjustRightInd w:val="0"/>
              <w:snapToGrid w:val="0"/>
              <w:spacing w:before="50" w:line="440" w:lineRule="exact"/>
              <w:ind w:right="35"/>
              <w:jc w:val="left"/>
              <w:rPr>
                <w:lang w:val="zh-CN"/>
              </w:rPr>
            </w:pPr>
            <w:r>
              <w:rPr>
                <w:rFonts w:hint="eastAsia"/>
                <w:lang w:val="zh-CN"/>
              </w:rPr>
              <w:t>注：签合同需法定代表人携带本人身份证（如为授权委托人，则携带法定代表人授权委托书及本人身份证）、单位公章、合同纸质版本一式六份及合同电子版。</w:t>
            </w:r>
          </w:p>
          <w:p w14:paraId="215150A2">
            <w:pPr>
              <w:autoSpaceDE w:val="0"/>
              <w:autoSpaceDN w:val="0"/>
              <w:adjustRightInd w:val="0"/>
              <w:snapToGrid w:val="0"/>
              <w:spacing w:before="50" w:line="440" w:lineRule="exact"/>
              <w:ind w:right="35"/>
              <w:jc w:val="left"/>
              <w:rPr>
                <w:b/>
                <w:bCs/>
                <w:lang w:val="zh-CN"/>
              </w:rPr>
            </w:pPr>
            <w:r>
              <w:rPr>
                <w:rFonts w:hint="eastAsia"/>
                <w:b/>
                <w:bCs/>
                <w:lang w:val="zh-CN"/>
              </w:rPr>
              <w:t>二、维护企业在政府采购活动中的知情权</w:t>
            </w:r>
          </w:p>
          <w:p w14:paraId="478F1411">
            <w:pPr>
              <w:autoSpaceDE w:val="0"/>
              <w:autoSpaceDN w:val="0"/>
              <w:adjustRightInd w:val="0"/>
              <w:snapToGrid w:val="0"/>
              <w:spacing w:before="50" w:line="440" w:lineRule="exact"/>
              <w:ind w:right="35"/>
              <w:jc w:val="left"/>
              <w:rPr>
                <w:lang w:val="zh-CN"/>
              </w:rPr>
            </w:pPr>
            <w:r>
              <w:rPr>
                <w:rFonts w:hint="eastAsia"/>
                <w:lang w:val="zh-CN"/>
              </w:rPr>
              <w:t>采用公开招标采购方式的政府采购项目，在公告中标结果的同时，对未通过资格审查的供应商，采购人或者采购代理机构应告知其未通过的原因；采用综合评分法评审的，还应当告知未中标人本人的评审得分与排序。采用竞争性谈判、竞争性磋商、询价、单一来源采购方式的政府采购项目，对供应商未实质性响应的文件按无效响应处理的，采购人或者采购代理机构应当告知供应商原因。</w:t>
            </w:r>
          </w:p>
          <w:p w14:paraId="5701B960">
            <w:pPr>
              <w:autoSpaceDE w:val="0"/>
              <w:autoSpaceDN w:val="0"/>
              <w:adjustRightInd w:val="0"/>
              <w:snapToGrid w:val="0"/>
              <w:spacing w:before="50" w:line="440" w:lineRule="exact"/>
              <w:ind w:right="35"/>
              <w:jc w:val="left"/>
              <w:rPr>
                <w:b/>
                <w:bCs/>
                <w:lang w:val="zh-CN"/>
              </w:rPr>
            </w:pPr>
            <w:r>
              <w:rPr>
                <w:rFonts w:hint="eastAsia"/>
                <w:b/>
                <w:bCs/>
                <w:lang w:val="zh-CN"/>
              </w:rPr>
              <w:t>三、提供中小企业声明函格式</w:t>
            </w:r>
          </w:p>
          <w:p w14:paraId="7831729C">
            <w:pPr>
              <w:autoSpaceDE w:val="0"/>
              <w:autoSpaceDN w:val="0"/>
              <w:adjustRightInd w:val="0"/>
              <w:snapToGrid w:val="0"/>
              <w:spacing w:before="50" w:line="440" w:lineRule="exact"/>
              <w:ind w:right="35"/>
              <w:jc w:val="left"/>
            </w:pPr>
            <w:r>
              <w:rPr>
                <w:rFonts w:hint="eastAsia"/>
              </w:rPr>
              <w:t>在采购文件中，采购代理机构应按照财政部、工信部印发的《政府采购促进中小企业发展管理办法》的通知精神（财库〔2020〕46号）提供中小企业声明函格式。</w:t>
            </w:r>
          </w:p>
          <w:p w14:paraId="1C06C99A">
            <w:pPr>
              <w:autoSpaceDE w:val="0"/>
              <w:autoSpaceDN w:val="0"/>
              <w:adjustRightInd w:val="0"/>
              <w:snapToGrid w:val="0"/>
              <w:spacing w:before="50" w:line="440" w:lineRule="exact"/>
              <w:ind w:right="35"/>
              <w:jc w:val="left"/>
            </w:pPr>
            <w:r>
              <w:rPr>
                <w:rFonts w:hint="eastAsia"/>
              </w:rPr>
              <w:t>根据《政府采购促进中小企业发展管理办法》（财库〔2020〕46号）第四条：在政府采购活动中，供应商提供的货物、工程或者服务符合下列情形的，享受本办法规定的中小企业扶持政策：</w:t>
            </w:r>
          </w:p>
          <w:p w14:paraId="4B70E765">
            <w:pPr>
              <w:autoSpaceDE w:val="0"/>
              <w:autoSpaceDN w:val="0"/>
              <w:adjustRightInd w:val="0"/>
              <w:snapToGrid w:val="0"/>
              <w:spacing w:before="50" w:line="440" w:lineRule="exact"/>
              <w:ind w:right="35"/>
              <w:jc w:val="left"/>
            </w:pPr>
            <w:r>
              <w:rPr>
                <w:rFonts w:hint="eastAsia"/>
              </w:rPr>
              <w:t>（一）在货物采购项目中，货物由中小企业制造，即货物由中小企业生产且使用该中小企业商号或者注册商标；</w:t>
            </w:r>
          </w:p>
          <w:p w14:paraId="4569EE59">
            <w:pPr>
              <w:autoSpaceDE w:val="0"/>
              <w:autoSpaceDN w:val="0"/>
              <w:adjustRightInd w:val="0"/>
              <w:snapToGrid w:val="0"/>
              <w:spacing w:before="50" w:line="440" w:lineRule="exact"/>
              <w:ind w:right="35"/>
              <w:jc w:val="left"/>
            </w:pPr>
            <w:r>
              <w:rPr>
                <w:rFonts w:hint="eastAsia"/>
              </w:rPr>
              <w:t>（二）在工程采购项目中，工程由中小企业承建，即工程施工单位为中小企业；</w:t>
            </w:r>
          </w:p>
          <w:p w14:paraId="0BE9B250">
            <w:pPr>
              <w:autoSpaceDE w:val="0"/>
              <w:autoSpaceDN w:val="0"/>
              <w:adjustRightInd w:val="0"/>
              <w:snapToGrid w:val="0"/>
              <w:spacing w:before="50" w:line="440" w:lineRule="exact"/>
              <w:ind w:right="35"/>
              <w:jc w:val="left"/>
            </w:pPr>
            <w:r>
              <w:rPr>
                <w:rFonts w:hint="eastAsia"/>
              </w:rPr>
              <w:t>（三）在服务采购项目中，服务由中小企业承接，即提供服务的人员为中小企业依照《中华人民共和国劳动合同法》订立劳动合同的从业人员。</w:t>
            </w:r>
          </w:p>
          <w:p w14:paraId="1F6A62B5">
            <w:pPr>
              <w:autoSpaceDE w:val="0"/>
              <w:autoSpaceDN w:val="0"/>
              <w:adjustRightInd w:val="0"/>
              <w:snapToGrid w:val="0"/>
              <w:spacing w:before="50" w:line="440" w:lineRule="exact"/>
              <w:ind w:right="35"/>
              <w:jc w:val="left"/>
            </w:pPr>
            <w:r>
              <w:rPr>
                <w:rFonts w:hint="eastAsia"/>
              </w:rPr>
              <w:t>在货物采购项目中，供应商提供的货物既有中小企业制造货物，也有大型企业制造货物的，不享受本办法规定的中小企业扶持政策。</w:t>
            </w:r>
          </w:p>
          <w:p w14:paraId="4F5983B5">
            <w:pPr>
              <w:autoSpaceDE w:val="0"/>
              <w:autoSpaceDN w:val="0"/>
              <w:adjustRightInd w:val="0"/>
              <w:snapToGrid w:val="0"/>
              <w:spacing w:before="50" w:line="440" w:lineRule="exact"/>
              <w:ind w:right="35"/>
              <w:jc w:val="left"/>
            </w:pPr>
            <w:r>
              <w:rPr>
                <w:rFonts w:hint="eastAsia"/>
              </w:rPr>
              <w:t>以联合体形式参加政府采购活动，联合体各方均为中小企业的，联合体视同中小企业。其中，联合体各方均为小微企业的，联合体视同小微企业。</w:t>
            </w:r>
          </w:p>
          <w:p w14:paraId="381E9B4F">
            <w:pPr>
              <w:autoSpaceDE w:val="0"/>
              <w:autoSpaceDN w:val="0"/>
              <w:adjustRightInd w:val="0"/>
              <w:snapToGrid w:val="0"/>
              <w:spacing w:before="50" w:line="440" w:lineRule="exact"/>
              <w:ind w:right="35"/>
              <w:jc w:val="left"/>
              <w:rPr>
                <w:b/>
                <w:bCs/>
                <w:lang w:val="zh-CN"/>
              </w:rPr>
            </w:pPr>
            <w:r>
              <w:rPr>
                <w:rFonts w:hint="eastAsia"/>
                <w:b/>
                <w:bCs/>
                <w:lang w:val="zh-CN"/>
              </w:rPr>
              <w:t>四、推广政府采购合同融资</w:t>
            </w:r>
          </w:p>
          <w:p w14:paraId="0938F667">
            <w:pPr>
              <w:autoSpaceDE w:val="0"/>
              <w:autoSpaceDN w:val="0"/>
              <w:adjustRightInd w:val="0"/>
              <w:snapToGrid w:val="0"/>
              <w:spacing w:before="50" w:line="440" w:lineRule="exact"/>
              <w:ind w:right="35"/>
              <w:jc w:val="left"/>
            </w:pPr>
            <w:r>
              <w:rPr>
                <w:rFonts w:hint="eastAsia"/>
              </w:rPr>
              <w:t>要求采购人和代理机构将“政府采购合同融资告知函”写入竞争性磋商文件，鼓励中标供应商凭借采购合同申请贷款，助力解决中小企业融资难、融资贵的问题。</w:t>
            </w:r>
          </w:p>
          <w:p w14:paraId="69517295">
            <w:pPr>
              <w:autoSpaceDE w:val="0"/>
              <w:autoSpaceDN w:val="0"/>
              <w:adjustRightInd w:val="0"/>
              <w:snapToGrid w:val="0"/>
              <w:spacing w:before="50" w:line="440" w:lineRule="exact"/>
              <w:ind w:right="35"/>
              <w:jc w:val="left"/>
              <w:rPr>
                <w:b/>
                <w:bCs/>
                <w:lang w:val="zh-CN"/>
              </w:rPr>
            </w:pPr>
            <w:r>
              <w:rPr>
                <w:rFonts w:hint="eastAsia"/>
                <w:b/>
                <w:bCs/>
                <w:lang w:val="zh-CN"/>
              </w:rPr>
              <w:t>五、落实预留采购份额</w:t>
            </w:r>
          </w:p>
          <w:p w14:paraId="74A59B90">
            <w:pPr>
              <w:autoSpaceDE w:val="0"/>
              <w:autoSpaceDN w:val="0"/>
              <w:adjustRightInd w:val="0"/>
              <w:snapToGrid w:val="0"/>
              <w:spacing w:before="50" w:line="440" w:lineRule="exact"/>
              <w:ind w:right="35"/>
              <w:jc w:val="left"/>
              <w:rPr>
                <w:rFonts w:ascii="宋体" w:hAnsi="宋体" w:cs="宋体"/>
                <w:color w:val="000000"/>
                <w:spacing w:val="1"/>
                <w:kern w:val="0"/>
                <w:szCs w:val="21"/>
              </w:rPr>
            </w:pPr>
            <w:r>
              <w:rPr>
                <w:rFonts w:hint="eastAsia"/>
                <w:lang w:val="zh-CN"/>
              </w:rPr>
              <w:t>采购人应当按照财政部、工信部印发的《政府采购促进中小企业发展管理办法》的通知精神（财库〔2020〕46号）组织评估本部门及所属单位政府采购项目，统筹制定面向中小企业预留采购份额的具体方案，对适宜由中小企业提供的采购项目和采购包，预留采购份额专门面向中小企业采购，并在政府采购预算中单独列示。采购限额标准以上，200万元以下的货物和服务采购项目、400万元以下的工程采购项目，适宜由中小企业提供的，采购单位应当专门面向中小企业采购。超过200万元的货物和服务采购项目、超过400 万元的工程采购项目中适宜由中小企业提供的，预留该部分采购项目预算总额的30%以上专门面向中小企业采购，其中预留给小微企业的比例不低于60%。确实不适宜由中小企业提供的，应当参照《政府采购促进中小企业发展管理办法》第六条在采购文件中说明理由。按照平顶山市财政局出台的《平顶山市财政局关于进一步加大政府采购支持中小企业力度的通知》（平财购〔2022〕8号）的规定：超过400万元的工程采购项目中适宜由中小企业提供的，采购人在坚持公开公正、公平竞争原则和统一质量标准的前提下，2022年下半年面向中小企业的预留份额由30%以上阶段性提高至40%以上，其中预留给小微企业的比例不低于60%。</w:t>
            </w:r>
          </w:p>
        </w:tc>
      </w:tr>
      <w:tr w14:paraId="4B6E88C3">
        <w:tblPrEx>
          <w:tblCellMar>
            <w:top w:w="0" w:type="dxa"/>
            <w:left w:w="0" w:type="dxa"/>
            <w:bottom w:w="0" w:type="dxa"/>
            <w:right w:w="0" w:type="dxa"/>
          </w:tblCellMar>
        </w:tblPrEx>
        <w:trPr>
          <w:trHeight w:val="90"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1446D17F">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32</w:t>
            </w:r>
          </w:p>
        </w:tc>
        <w:tc>
          <w:tcPr>
            <w:tcW w:w="1192" w:type="pct"/>
            <w:tcBorders>
              <w:top w:val="single" w:color="000000" w:sz="4" w:space="0"/>
              <w:left w:val="single" w:color="000000" w:sz="4" w:space="0"/>
              <w:bottom w:val="single" w:color="000000" w:sz="4" w:space="0"/>
              <w:right w:val="single" w:color="000000" w:sz="4" w:space="0"/>
            </w:tcBorders>
            <w:vAlign w:val="center"/>
          </w:tcPr>
          <w:p w14:paraId="7BDFBCEA">
            <w:pPr>
              <w:spacing w:line="360" w:lineRule="auto"/>
              <w:jc w:val="center"/>
              <w:textAlignment w:val="top"/>
              <w:rPr>
                <w:rFonts w:ascii="宋体" w:hAnsi="宋体" w:cs="宋体"/>
                <w:szCs w:val="21"/>
              </w:rPr>
            </w:pPr>
            <w:r>
              <w:rPr>
                <w:rStyle w:val="54"/>
                <w:rFonts w:hint="eastAsia" w:ascii="宋体" w:hAnsi="宋体" w:cs="宋体"/>
                <w:b/>
                <w:bCs/>
                <w:szCs w:val="21"/>
              </w:rPr>
              <w:t>河南省政府采购合同融资告政策知函</w:t>
            </w:r>
          </w:p>
        </w:tc>
        <w:tc>
          <w:tcPr>
            <w:tcW w:w="3341" w:type="pct"/>
            <w:tcBorders>
              <w:top w:val="single" w:color="000000" w:sz="4" w:space="0"/>
              <w:left w:val="single" w:color="000000" w:sz="4" w:space="0"/>
              <w:bottom w:val="single" w:color="000000" w:sz="4" w:space="0"/>
              <w:right w:val="single" w:color="000000" w:sz="4" w:space="0"/>
            </w:tcBorders>
            <w:vAlign w:val="center"/>
          </w:tcPr>
          <w:p w14:paraId="515F5DA9">
            <w:pPr>
              <w:autoSpaceDE w:val="0"/>
              <w:autoSpaceDN w:val="0"/>
              <w:adjustRightInd w:val="0"/>
              <w:snapToGrid w:val="0"/>
              <w:spacing w:before="50" w:line="400" w:lineRule="exact"/>
              <w:ind w:right="35"/>
              <w:jc w:val="left"/>
              <w:rPr>
                <w:rFonts w:ascii="宋体" w:hAnsi="宋体" w:cs="宋体"/>
                <w:spacing w:val="1"/>
                <w:kern w:val="0"/>
                <w:szCs w:val="21"/>
              </w:rPr>
            </w:pPr>
            <w:r>
              <w:rPr>
                <w:rFonts w:hint="eastAsia" w:ascii="宋体" w:hAnsi="宋体" w:cs="宋体"/>
                <w:spacing w:val="1"/>
                <w:kern w:val="0"/>
                <w:szCs w:val="21"/>
              </w:rPr>
              <w:t>各供应商</w:t>
            </w:r>
            <w:r>
              <w:rPr>
                <w:rStyle w:val="54"/>
                <w:rFonts w:hint="eastAsia" w:ascii="宋体" w:hAnsi="宋体" w:cs="宋体"/>
                <w:szCs w:val="21"/>
              </w:rPr>
              <w:t>：</w:t>
            </w:r>
          </w:p>
          <w:p w14:paraId="5298F196">
            <w:pPr>
              <w:autoSpaceDE w:val="0"/>
              <w:autoSpaceDN w:val="0"/>
              <w:adjustRightInd w:val="0"/>
              <w:snapToGrid w:val="0"/>
              <w:spacing w:before="50" w:line="400" w:lineRule="exact"/>
              <w:ind w:right="35"/>
              <w:jc w:val="left"/>
              <w:rPr>
                <w:rFonts w:ascii="宋体" w:hAnsi="宋体" w:cs="宋体"/>
                <w:spacing w:val="1"/>
                <w:kern w:val="0"/>
                <w:szCs w:val="21"/>
              </w:rPr>
            </w:pPr>
            <w:r>
              <w:rPr>
                <w:rFonts w:hint="eastAsia" w:ascii="宋体" w:hAnsi="宋体" w:cs="宋体"/>
                <w:spacing w:val="1"/>
                <w:kern w:val="0"/>
                <w:szCs w:val="21"/>
              </w:rPr>
              <w:t>欢迎贵公司参与河南省政府采购活动!</w:t>
            </w:r>
          </w:p>
          <w:p w14:paraId="5078F57C">
            <w:pPr>
              <w:autoSpaceDE w:val="0"/>
              <w:autoSpaceDN w:val="0"/>
              <w:adjustRightInd w:val="0"/>
              <w:snapToGrid w:val="0"/>
              <w:spacing w:before="50" w:line="400" w:lineRule="exact"/>
              <w:ind w:right="35"/>
              <w:jc w:val="left"/>
              <w:rPr>
                <w:rFonts w:ascii="宋体" w:hAnsi="宋体" w:cs="宋体"/>
                <w:szCs w:val="21"/>
              </w:rPr>
            </w:pPr>
            <w:r>
              <w:rPr>
                <w:rFonts w:hint="eastAsia" w:ascii="宋体" w:hAnsi="宋体" w:cs="宋体"/>
                <w:spacing w:val="1"/>
                <w:kern w:val="0"/>
                <w:szCs w:val="21"/>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贷款渠道和提供贷款的金融机构，可在河南省政府采购网“河南省政府采购合同融资平台”查询联系。</w:t>
            </w:r>
          </w:p>
        </w:tc>
      </w:tr>
      <w:tr w14:paraId="60AD0318">
        <w:tblPrEx>
          <w:tblCellMar>
            <w:top w:w="0" w:type="dxa"/>
            <w:left w:w="0" w:type="dxa"/>
            <w:bottom w:w="0" w:type="dxa"/>
            <w:right w:w="0" w:type="dxa"/>
          </w:tblCellMar>
        </w:tblPrEx>
        <w:trPr>
          <w:trHeight w:val="2156" w:hRule="atLeast"/>
        </w:trPr>
        <w:tc>
          <w:tcPr>
            <w:tcW w:w="467" w:type="pct"/>
            <w:tcBorders>
              <w:top w:val="single" w:color="000000" w:sz="4" w:space="0"/>
              <w:left w:val="single" w:color="000000" w:sz="4" w:space="0"/>
              <w:bottom w:val="single" w:color="000000" w:sz="4" w:space="0"/>
              <w:right w:val="single" w:color="000000" w:sz="4" w:space="0"/>
            </w:tcBorders>
            <w:vAlign w:val="center"/>
          </w:tcPr>
          <w:p w14:paraId="6A817E33">
            <w:pPr>
              <w:autoSpaceDE w:val="0"/>
              <w:autoSpaceDN w:val="0"/>
              <w:adjustRightInd w:val="0"/>
              <w:snapToGrid w:val="0"/>
              <w:spacing w:before="50" w:line="440" w:lineRule="exact"/>
              <w:ind w:right="35"/>
              <w:jc w:val="center"/>
              <w:rPr>
                <w:rFonts w:ascii="宋体" w:hAnsi="宋体" w:cs="宋体"/>
                <w:color w:val="000000"/>
                <w:spacing w:val="1"/>
                <w:kern w:val="0"/>
                <w:szCs w:val="21"/>
              </w:rPr>
            </w:pPr>
            <w:r>
              <w:rPr>
                <w:rFonts w:hint="eastAsia" w:ascii="宋体" w:hAnsi="宋体" w:cs="宋体"/>
                <w:color w:val="000000"/>
                <w:spacing w:val="1"/>
                <w:kern w:val="0"/>
                <w:szCs w:val="21"/>
              </w:rPr>
              <w:t>33</w:t>
            </w:r>
          </w:p>
        </w:tc>
        <w:tc>
          <w:tcPr>
            <w:tcW w:w="1192" w:type="pct"/>
            <w:tcBorders>
              <w:top w:val="single" w:color="000000" w:sz="4" w:space="0"/>
              <w:left w:val="single" w:color="000000" w:sz="4" w:space="0"/>
              <w:bottom w:val="single" w:color="000000" w:sz="4" w:space="0"/>
              <w:right w:val="single" w:color="000000" w:sz="4" w:space="0"/>
            </w:tcBorders>
            <w:vAlign w:val="center"/>
          </w:tcPr>
          <w:p w14:paraId="04D350CF">
            <w:pPr>
              <w:spacing w:line="360" w:lineRule="auto"/>
              <w:jc w:val="center"/>
              <w:rPr>
                <w:rFonts w:ascii="宋体" w:hAnsi="宋体" w:cs="宋体"/>
                <w:b/>
                <w:szCs w:val="21"/>
              </w:rPr>
            </w:pPr>
            <w:r>
              <w:rPr>
                <w:rFonts w:hint="eastAsia" w:ascii="宋体" w:hAnsi="宋体" w:cs="宋体"/>
                <w:b/>
                <w:szCs w:val="21"/>
              </w:rPr>
              <w:t>本项目所属行业</w:t>
            </w:r>
          </w:p>
        </w:tc>
        <w:tc>
          <w:tcPr>
            <w:tcW w:w="3341" w:type="pct"/>
            <w:tcBorders>
              <w:top w:val="single" w:color="000000" w:sz="4" w:space="0"/>
              <w:left w:val="single" w:color="000000" w:sz="4" w:space="0"/>
              <w:bottom w:val="single" w:color="000000" w:sz="4" w:space="0"/>
              <w:right w:val="single" w:color="000000" w:sz="4" w:space="0"/>
            </w:tcBorders>
            <w:vAlign w:val="center"/>
          </w:tcPr>
          <w:p w14:paraId="39CFC65A">
            <w:pPr>
              <w:spacing w:line="360" w:lineRule="auto"/>
              <w:textAlignment w:val="top"/>
              <w:rPr>
                <w:rStyle w:val="54"/>
                <w:rFonts w:ascii="宋体" w:hAnsi="宋体" w:cs="宋体"/>
                <w:b/>
                <w:bCs/>
                <w:szCs w:val="21"/>
              </w:rPr>
            </w:pPr>
            <w:r>
              <w:rPr>
                <w:rStyle w:val="54"/>
                <w:rFonts w:hint="eastAsia" w:ascii="宋体" w:hAnsi="宋体" w:cs="宋体"/>
                <w:b/>
                <w:bCs/>
                <w:szCs w:val="21"/>
              </w:rPr>
              <w:t>本项目所属行业：</w:t>
            </w:r>
            <w:r>
              <w:rPr>
                <w:rFonts w:hint="eastAsia" w:ascii="宋体" w:hAnsi="宋体" w:cs="宋体"/>
                <w:b/>
                <w:bCs/>
                <w:snapToGrid w:val="0"/>
                <w:kern w:val="0"/>
                <w:szCs w:val="21"/>
              </w:rPr>
              <w:t>软件和信息技术服务业</w:t>
            </w:r>
          </w:p>
          <w:p w14:paraId="72F94A87">
            <w:pPr>
              <w:spacing w:line="360" w:lineRule="auto"/>
              <w:textAlignment w:val="top"/>
              <w:rPr>
                <w:rFonts w:ascii="宋体" w:hAnsi="宋体" w:cs="宋体"/>
                <w:color w:val="000000"/>
                <w:spacing w:val="1"/>
                <w:kern w:val="0"/>
                <w:szCs w:val="21"/>
              </w:rPr>
            </w:pPr>
            <w:r>
              <w:rPr>
                <w:rStyle w:val="54"/>
                <w:rFonts w:hint="eastAsia" w:ascii="宋体" w:hAnsi="宋体" w:cs="宋体"/>
                <w:szCs w:val="21"/>
              </w:rPr>
              <w:t>中小企业划型标准：中小微企业划分按照“工业和信息化部、国家统计局、国家发展和改革委员会、财政部文件《关于印发中小企业划型标准规定的通知》（工信部联企业【2011】300号）”规定的划型标准为依据。</w:t>
            </w:r>
          </w:p>
        </w:tc>
      </w:tr>
      <w:bookmarkEnd w:id="3"/>
    </w:tbl>
    <w:p w14:paraId="3BAE0FA4">
      <w:pPr>
        <w:pStyle w:val="50"/>
        <w:widowControl w:val="0"/>
        <w:spacing w:line="440" w:lineRule="exact"/>
        <w:ind w:left="0" w:leftChars="0"/>
        <w:jc w:val="center"/>
        <w:rPr>
          <w:rStyle w:val="54"/>
          <w:rFonts w:eastAsia="宋体" w:cs="宋体"/>
          <w:b/>
          <w:sz w:val="32"/>
          <w:szCs w:val="32"/>
        </w:rPr>
      </w:pPr>
    </w:p>
    <w:p w14:paraId="12FC61EB">
      <w:pPr>
        <w:pStyle w:val="2"/>
        <w:rPr>
          <w:rStyle w:val="54"/>
          <w:rFonts w:ascii="宋体" w:hAnsi="宋体" w:cs="宋体"/>
          <w:b w:val="0"/>
          <w:color w:val="000000"/>
        </w:rPr>
      </w:pPr>
      <w:r>
        <w:rPr>
          <w:rStyle w:val="54"/>
          <w:rFonts w:eastAsia="宋体" w:cs="宋体"/>
          <w:b w:val="0"/>
        </w:rPr>
        <w:br w:type="page"/>
      </w:r>
    </w:p>
    <w:p w14:paraId="685C98D7">
      <w:pPr>
        <w:pStyle w:val="50"/>
        <w:widowControl w:val="0"/>
        <w:spacing w:line="440" w:lineRule="exact"/>
        <w:ind w:left="0" w:leftChars="0"/>
        <w:jc w:val="center"/>
        <w:rPr>
          <w:rStyle w:val="54"/>
          <w:rFonts w:eastAsia="宋体" w:cs="宋体"/>
          <w:b/>
          <w:sz w:val="32"/>
          <w:szCs w:val="32"/>
        </w:rPr>
      </w:pPr>
      <w:r>
        <w:rPr>
          <w:rStyle w:val="54"/>
          <w:rFonts w:hint="eastAsia" w:eastAsia="宋体" w:cs="宋体"/>
          <w:b/>
          <w:sz w:val="32"/>
          <w:szCs w:val="32"/>
        </w:rPr>
        <w:t>供应商须知</w:t>
      </w:r>
    </w:p>
    <w:p w14:paraId="43606A3D">
      <w:pPr>
        <w:pStyle w:val="2"/>
        <w:rPr>
          <w:lang w:val="zh-CN"/>
        </w:rPr>
      </w:pPr>
      <w:bookmarkStart w:id="4" w:name="_Toc24483"/>
      <w:bookmarkStart w:id="5" w:name="_Toc11077"/>
      <w:bookmarkStart w:id="6" w:name="_Toc3213"/>
      <w:bookmarkStart w:id="7" w:name="_Toc26877"/>
      <w:bookmarkStart w:id="8" w:name="_Toc16901"/>
      <w:bookmarkStart w:id="9" w:name="_Toc7851"/>
      <w:bookmarkStart w:id="10" w:name="_Toc22070"/>
      <w:bookmarkStart w:id="11" w:name="_Toc335435261"/>
      <w:bookmarkStart w:id="12" w:name="_Toc11005"/>
      <w:bookmarkStart w:id="13" w:name="_Toc335902123"/>
      <w:bookmarkStart w:id="14" w:name="_Toc281744721"/>
      <w:bookmarkStart w:id="15" w:name="_Toc12925"/>
      <w:bookmarkStart w:id="16" w:name="_Toc29183"/>
      <w:bookmarkStart w:id="17" w:name="_Toc6253"/>
      <w:bookmarkStart w:id="18" w:name="_Toc16407"/>
      <w:bookmarkStart w:id="19" w:name="_Toc335435034"/>
      <w:r>
        <w:rPr>
          <w:rFonts w:hint="eastAsia"/>
          <w:lang w:val="zh-CN"/>
        </w:rPr>
        <w:t>一、总则</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64D882D8">
      <w:pPr>
        <w:widowControl w:val="0"/>
        <w:spacing w:line="480" w:lineRule="exact"/>
        <w:ind w:firstLine="480" w:firstLineChars="200"/>
        <w:jc w:val="left"/>
        <w:rPr>
          <w:rFonts w:ascii="宋体" w:hAnsi="宋体" w:cs="宋体"/>
          <w:kern w:val="0"/>
          <w:sz w:val="24"/>
        </w:rPr>
      </w:pPr>
      <w:r>
        <w:rPr>
          <w:rFonts w:hint="eastAsia" w:ascii="宋体" w:hAnsi="宋体" w:cs="宋体"/>
          <w:kern w:val="0"/>
          <w:sz w:val="24"/>
        </w:rPr>
        <w:t>1.1 供应商应自行承担所有与编写和提交响应文件有关的费用,不论磋商的结果如何,招标代理机构和采购人在任何情况下均无义务和责任承担这些费用。</w:t>
      </w:r>
    </w:p>
    <w:p w14:paraId="61208CC1">
      <w:pPr>
        <w:spacing w:line="480" w:lineRule="exact"/>
        <w:ind w:firstLine="480" w:firstLineChars="200"/>
        <w:jc w:val="left"/>
        <w:rPr>
          <w:rFonts w:ascii="宋体" w:hAnsi="宋体" w:cs="宋体"/>
          <w:kern w:val="0"/>
          <w:sz w:val="24"/>
        </w:rPr>
      </w:pPr>
      <w:r>
        <w:rPr>
          <w:rFonts w:hint="eastAsia" w:ascii="宋体" w:hAnsi="宋体" w:cs="宋体"/>
          <w:kern w:val="0"/>
          <w:sz w:val="24"/>
        </w:rPr>
        <w:t>1.2 如有必要，采购人有权通过意向书，让成交人在合同签字生效前开始必要的技术工作。</w:t>
      </w:r>
    </w:p>
    <w:p w14:paraId="38C4C4B8">
      <w:pPr>
        <w:spacing w:line="480" w:lineRule="exact"/>
        <w:ind w:firstLine="480" w:firstLineChars="200"/>
        <w:jc w:val="left"/>
        <w:rPr>
          <w:rFonts w:ascii="宋体" w:hAnsi="宋体" w:cs="宋体"/>
          <w:kern w:val="0"/>
          <w:sz w:val="24"/>
        </w:rPr>
      </w:pPr>
      <w:r>
        <w:rPr>
          <w:rFonts w:hint="eastAsia" w:ascii="宋体" w:hAnsi="宋体" w:cs="宋体"/>
          <w:kern w:val="0"/>
          <w:sz w:val="24"/>
        </w:rPr>
        <w:t>1.3 供应商不得转让磋商文件。</w:t>
      </w:r>
    </w:p>
    <w:p w14:paraId="6FBBA34D">
      <w:pPr>
        <w:pStyle w:val="2"/>
        <w:rPr>
          <w:lang w:val="zh-CN"/>
        </w:rPr>
      </w:pPr>
      <w:bookmarkStart w:id="20" w:name="_Toc27241"/>
      <w:bookmarkStart w:id="21" w:name="_Toc11894"/>
      <w:bookmarkStart w:id="22" w:name="_Toc1248"/>
      <w:bookmarkStart w:id="23" w:name="_Toc26030"/>
      <w:bookmarkStart w:id="24" w:name="_Toc560"/>
      <w:bookmarkStart w:id="25" w:name="_Toc12449"/>
      <w:bookmarkStart w:id="26" w:name="_Toc16839"/>
      <w:bookmarkStart w:id="27" w:name="_Toc335435262"/>
      <w:bookmarkStart w:id="28" w:name="_Toc335902124"/>
      <w:bookmarkStart w:id="29" w:name="_Toc32597"/>
      <w:bookmarkStart w:id="30" w:name="_Toc31947"/>
      <w:bookmarkStart w:id="31" w:name="_Toc27640"/>
      <w:bookmarkStart w:id="32" w:name="_Toc335435035"/>
      <w:bookmarkStart w:id="33" w:name="_Toc3701"/>
      <w:bookmarkStart w:id="34" w:name="_Toc18426"/>
      <w:bookmarkStart w:id="35" w:name="_Toc2509"/>
      <w:bookmarkStart w:id="36" w:name="_Toc23080"/>
      <w:bookmarkStart w:id="37" w:name="_Toc335435263"/>
      <w:bookmarkStart w:id="38" w:name="_Toc29590"/>
      <w:bookmarkStart w:id="39" w:name="_Toc16415"/>
      <w:bookmarkStart w:id="40" w:name="_Toc5545"/>
      <w:bookmarkStart w:id="41" w:name="_Toc18059"/>
      <w:bookmarkStart w:id="42" w:name="_Toc8013"/>
      <w:bookmarkStart w:id="43" w:name="_Toc24850"/>
      <w:bookmarkStart w:id="44" w:name="_Toc28900"/>
      <w:bookmarkStart w:id="45" w:name="_Toc31001"/>
      <w:bookmarkStart w:id="46" w:name="_Toc335435036"/>
      <w:bookmarkStart w:id="47" w:name="_Toc335902125"/>
      <w:bookmarkStart w:id="48" w:name="_Toc18884"/>
      <w:bookmarkStart w:id="49" w:name="_Toc20044"/>
      <w:bookmarkStart w:id="50" w:name="_Toc29332"/>
      <w:bookmarkStart w:id="51" w:name="_Toc7051"/>
      <w:r>
        <w:rPr>
          <w:rFonts w:hint="eastAsia"/>
          <w:lang w:val="zh-CN"/>
        </w:rPr>
        <w:t>二、资格审查</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76F86385">
      <w:pPr>
        <w:spacing w:line="480" w:lineRule="exact"/>
        <w:ind w:firstLine="480" w:firstLineChars="200"/>
        <w:jc w:val="left"/>
        <w:rPr>
          <w:rFonts w:ascii="宋体" w:hAnsi="宋体" w:cs="宋体"/>
          <w:kern w:val="0"/>
          <w:sz w:val="24"/>
        </w:rPr>
      </w:pPr>
      <w:r>
        <w:rPr>
          <w:rFonts w:hint="eastAsia" w:ascii="宋体" w:hAnsi="宋体" w:cs="宋体"/>
          <w:kern w:val="0"/>
          <w:sz w:val="24"/>
        </w:rPr>
        <w:t>资格审查时需提供证明材料：具体详见“竞争性磋商公告”中“申请人资格要求”。</w:t>
      </w:r>
    </w:p>
    <w:p w14:paraId="320EEDFD">
      <w:pPr>
        <w:pStyle w:val="2"/>
      </w:pPr>
      <w:r>
        <w:rPr>
          <w:rFonts w:hint="eastAsia"/>
          <w:lang w:val="zh-CN"/>
        </w:rPr>
        <w:t>三、磋商文件</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01CCC261">
      <w:pPr>
        <w:spacing w:line="480" w:lineRule="exact"/>
        <w:ind w:firstLine="480" w:firstLineChars="200"/>
        <w:jc w:val="left"/>
        <w:rPr>
          <w:rFonts w:ascii="宋体" w:hAnsi="宋体" w:cs="宋体"/>
          <w:kern w:val="0"/>
          <w:sz w:val="24"/>
        </w:rPr>
      </w:pPr>
      <w:bookmarkStart w:id="52" w:name="_Toc30277"/>
      <w:bookmarkStart w:id="53" w:name="_Toc22224"/>
      <w:bookmarkStart w:id="54" w:name="_Toc228"/>
      <w:bookmarkStart w:id="55" w:name="_Toc335435037"/>
      <w:bookmarkStart w:id="56" w:name="_Toc8130"/>
      <w:bookmarkStart w:id="57" w:name="_Toc335435264"/>
      <w:bookmarkStart w:id="58" w:name="_Toc9300"/>
      <w:bookmarkStart w:id="59" w:name="_Toc7052"/>
      <w:bookmarkStart w:id="60" w:name="_Toc16356"/>
      <w:bookmarkStart w:id="61" w:name="_Toc281744724"/>
      <w:bookmarkStart w:id="62" w:name="_Toc26596"/>
      <w:bookmarkStart w:id="63" w:name="_Toc335902126"/>
      <w:r>
        <w:rPr>
          <w:rFonts w:hint="eastAsia" w:ascii="宋体" w:hAnsi="宋体" w:cs="宋体"/>
          <w:kern w:val="0"/>
          <w:sz w:val="24"/>
        </w:rPr>
        <w:t>3.1 磋商文件</w:t>
      </w:r>
    </w:p>
    <w:p w14:paraId="2749B0F2">
      <w:pPr>
        <w:spacing w:line="480" w:lineRule="exact"/>
        <w:ind w:firstLine="480" w:firstLineChars="200"/>
        <w:jc w:val="left"/>
        <w:rPr>
          <w:rFonts w:ascii="宋体" w:hAnsi="宋体" w:cs="宋体"/>
          <w:kern w:val="0"/>
          <w:sz w:val="24"/>
        </w:rPr>
      </w:pPr>
      <w:r>
        <w:rPr>
          <w:rFonts w:hint="eastAsia" w:ascii="宋体" w:hAnsi="宋体" w:cs="宋体"/>
          <w:kern w:val="0"/>
          <w:sz w:val="24"/>
        </w:rPr>
        <w:t>供应商应认真阅读磋商文件中所有的事项、格式、条款和规范等要求。如果没有按照磋商文件要求上传全部资料或者响应文件没有对磋商文件做出实质性响应，该磋商将被拒绝，其风险应由供应商自行承担。</w:t>
      </w:r>
    </w:p>
    <w:p w14:paraId="5116061D">
      <w:pPr>
        <w:spacing w:line="480" w:lineRule="exact"/>
        <w:ind w:firstLine="480" w:firstLineChars="200"/>
        <w:jc w:val="left"/>
        <w:rPr>
          <w:rFonts w:ascii="宋体" w:hAnsi="宋体" w:cs="宋体"/>
          <w:kern w:val="0"/>
          <w:sz w:val="24"/>
        </w:rPr>
      </w:pPr>
      <w:r>
        <w:rPr>
          <w:rFonts w:hint="eastAsia" w:ascii="宋体" w:hAnsi="宋体" w:cs="宋体"/>
          <w:kern w:val="0"/>
          <w:sz w:val="24"/>
        </w:rPr>
        <w:t>3.2 磋商文件的澄清</w:t>
      </w:r>
    </w:p>
    <w:p w14:paraId="54F55AFA">
      <w:pPr>
        <w:spacing w:line="480" w:lineRule="exact"/>
        <w:ind w:firstLine="480" w:firstLineChars="200"/>
        <w:jc w:val="left"/>
        <w:rPr>
          <w:rFonts w:ascii="宋体" w:hAnsi="宋体" w:cs="宋体"/>
          <w:kern w:val="0"/>
          <w:sz w:val="24"/>
        </w:rPr>
      </w:pPr>
      <w:r>
        <w:rPr>
          <w:rFonts w:hint="eastAsia" w:ascii="宋体" w:hAnsi="宋体" w:cs="宋体"/>
          <w:kern w:val="0"/>
          <w:sz w:val="24"/>
        </w:rPr>
        <w:t>3.2.1 任何要求澄清磋商文件的供应商，均应在下载磋商文件后在电子交易系统中提出。招标代理机构将在电子交易系统中予以答复。供应商不得与招标代理机构和采购人私下接触。</w:t>
      </w:r>
    </w:p>
    <w:p w14:paraId="63B01DDB">
      <w:pPr>
        <w:spacing w:line="480" w:lineRule="exact"/>
        <w:ind w:firstLine="480" w:firstLineChars="200"/>
        <w:jc w:val="left"/>
        <w:rPr>
          <w:rFonts w:ascii="宋体" w:hAnsi="宋体" w:cs="宋体"/>
          <w:kern w:val="0"/>
          <w:sz w:val="24"/>
        </w:rPr>
      </w:pPr>
      <w:r>
        <w:rPr>
          <w:rFonts w:hint="eastAsia" w:ascii="宋体" w:hAnsi="宋体" w:cs="宋体"/>
          <w:kern w:val="0"/>
          <w:sz w:val="24"/>
        </w:rPr>
        <w:t>3.3 磋商文件的修改</w:t>
      </w:r>
    </w:p>
    <w:p w14:paraId="7676501E">
      <w:pPr>
        <w:spacing w:line="480" w:lineRule="exact"/>
        <w:ind w:firstLine="480" w:firstLineChars="200"/>
        <w:jc w:val="left"/>
        <w:rPr>
          <w:rFonts w:ascii="宋体" w:hAnsi="宋体" w:cs="宋体"/>
          <w:kern w:val="0"/>
          <w:sz w:val="24"/>
        </w:rPr>
      </w:pPr>
      <w:r>
        <w:rPr>
          <w:rFonts w:hint="eastAsia" w:ascii="宋体" w:hAnsi="宋体" w:cs="宋体"/>
          <w:kern w:val="0"/>
          <w:sz w:val="24"/>
        </w:rPr>
        <w:t>3.3.1 采购人可主动或在解答供应商提出的问题时对磋商文件进行修改。</w:t>
      </w:r>
    </w:p>
    <w:p w14:paraId="33EC8EE1">
      <w:pPr>
        <w:spacing w:line="480" w:lineRule="exact"/>
        <w:ind w:firstLine="480" w:firstLineChars="200"/>
        <w:jc w:val="left"/>
        <w:rPr>
          <w:rFonts w:ascii="宋体" w:hAnsi="宋体" w:cs="宋体"/>
          <w:kern w:val="0"/>
          <w:sz w:val="24"/>
        </w:rPr>
      </w:pPr>
      <w:r>
        <w:rPr>
          <w:rFonts w:hint="eastAsia" w:ascii="宋体" w:hAnsi="宋体" w:cs="宋体"/>
          <w:kern w:val="0"/>
          <w:sz w:val="24"/>
        </w:rPr>
        <w:t>3.3.2 磋商文件的修改将在电子交易系统中通知所有下载磋商文件的供应商,并对他们具有约束力。</w:t>
      </w:r>
    </w:p>
    <w:p w14:paraId="15320A82">
      <w:pPr>
        <w:spacing w:line="480" w:lineRule="exact"/>
        <w:ind w:firstLine="480" w:firstLineChars="200"/>
        <w:jc w:val="left"/>
        <w:rPr>
          <w:rFonts w:ascii="宋体" w:hAnsi="宋体" w:cs="宋体"/>
          <w:kern w:val="0"/>
          <w:sz w:val="24"/>
        </w:rPr>
      </w:pPr>
      <w:r>
        <w:rPr>
          <w:rFonts w:hint="eastAsia" w:ascii="宋体" w:hAnsi="宋体" w:cs="宋体"/>
          <w:kern w:val="0"/>
          <w:sz w:val="24"/>
        </w:rPr>
        <w:t>3.3.3 采购人有权酌情推迟投标截止时间和开标日期，并将此变更通知所有下载竞争性磋商文件的供应商。</w:t>
      </w:r>
    </w:p>
    <w:p w14:paraId="3BC9DC9E">
      <w:pPr>
        <w:spacing w:line="480" w:lineRule="exact"/>
        <w:ind w:firstLine="480" w:firstLineChars="200"/>
        <w:jc w:val="left"/>
        <w:rPr>
          <w:rFonts w:ascii="宋体" w:hAnsi="宋体" w:cs="宋体"/>
          <w:kern w:val="0"/>
          <w:sz w:val="24"/>
        </w:rPr>
      </w:pPr>
      <w:r>
        <w:rPr>
          <w:rFonts w:hint="eastAsia" w:ascii="宋体" w:hAnsi="宋体" w:cs="宋体"/>
          <w:kern w:val="0"/>
          <w:sz w:val="24"/>
        </w:rPr>
        <w:t>3.3.4 供应商在收到招标代理机构的传真后24小时内予以回函确认，否则不论供应商是否收到，均认为已收到，由此产生的后果由供应商全部承担。</w:t>
      </w:r>
    </w:p>
    <w:p w14:paraId="4A216680">
      <w:pPr>
        <w:pStyle w:val="2"/>
        <w:rPr>
          <w:lang w:val="zh-CN"/>
        </w:rPr>
      </w:pPr>
      <w:bookmarkStart w:id="64" w:name="_Toc13627"/>
      <w:bookmarkStart w:id="65" w:name="_Toc13048"/>
      <w:bookmarkStart w:id="66" w:name="_Toc12655"/>
      <w:bookmarkStart w:id="67" w:name="_Toc3757"/>
      <w:bookmarkStart w:id="68" w:name="_Toc23571"/>
      <w:r>
        <w:rPr>
          <w:rFonts w:hint="eastAsia"/>
          <w:lang w:val="zh-CN"/>
        </w:rPr>
        <w:t>四、响应文件</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Fonts w:hint="eastAsia"/>
          <w:lang w:val="zh-CN"/>
        </w:rPr>
        <w:t xml:space="preserve"> </w:t>
      </w:r>
    </w:p>
    <w:p w14:paraId="7E6612D0">
      <w:pPr>
        <w:spacing w:line="480" w:lineRule="exact"/>
        <w:ind w:firstLine="480" w:firstLineChars="200"/>
        <w:jc w:val="left"/>
        <w:rPr>
          <w:rFonts w:ascii="宋体" w:hAnsi="宋体" w:cs="宋体"/>
          <w:kern w:val="0"/>
          <w:sz w:val="24"/>
        </w:rPr>
      </w:pPr>
      <w:r>
        <w:rPr>
          <w:rFonts w:hint="eastAsia" w:ascii="宋体" w:hAnsi="宋体" w:cs="宋体"/>
          <w:kern w:val="0"/>
          <w:sz w:val="24"/>
        </w:rPr>
        <w:t>4.1 响应文件的编制依据</w:t>
      </w:r>
    </w:p>
    <w:p w14:paraId="2CECBF5B">
      <w:pPr>
        <w:spacing w:line="480" w:lineRule="exact"/>
        <w:ind w:firstLine="480" w:firstLineChars="200"/>
        <w:jc w:val="left"/>
        <w:rPr>
          <w:rFonts w:ascii="宋体" w:hAnsi="宋体" w:cs="宋体"/>
          <w:kern w:val="0"/>
          <w:sz w:val="24"/>
        </w:rPr>
      </w:pPr>
      <w:r>
        <w:rPr>
          <w:rFonts w:hint="eastAsia" w:ascii="宋体" w:hAnsi="宋体" w:cs="宋体"/>
          <w:kern w:val="0"/>
          <w:sz w:val="24"/>
        </w:rPr>
        <w:t>4.1.1 招标代理机构提供的磋商文件及有关资料；</w:t>
      </w:r>
    </w:p>
    <w:p w14:paraId="1175E166">
      <w:pPr>
        <w:spacing w:line="480" w:lineRule="exact"/>
        <w:ind w:firstLine="480" w:firstLineChars="200"/>
        <w:jc w:val="left"/>
        <w:rPr>
          <w:rFonts w:ascii="宋体" w:hAnsi="宋体" w:cs="宋体"/>
          <w:kern w:val="0"/>
          <w:sz w:val="24"/>
        </w:rPr>
      </w:pPr>
      <w:r>
        <w:rPr>
          <w:rFonts w:hint="eastAsia" w:ascii="宋体" w:hAnsi="宋体" w:cs="宋体"/>
          <w:kern w:val="0"/>
          <w:sz w:val="24"/>
        </w:rPr>
        <w:t>4.1.2 相关的法律法规。</w:t>
      </w:r>
    </w:p>
    <w:p w14:paraId="7254C9A3">
      <w:pPr>
        <w:spacing w:line="480" w:lineRule="exact"/>
        <w:ind w:firstLine="480" w:firstLineChars="200"/>
        <w:jc w:val="left"/>
        <w:rPr>
          <w:rFonts w:ascii="宋体" w:hAnsi="宋体" w:cs="宋体"/>
          <w:kern w:val="0"/>
          <w:sz w:val="24"/>
        </w:rPr>
      </w:pPr>
      <w:r>
        <w:rPr>
          <w:rFonts w:hint="eastAsia" w:ascii="宋体" w:hAnsi="宋体" w:cs="宋体"/>
          <w:kern w:val="0"/>
          <w:sz w:val="24"/>
        </w:rPr>
        <w:t>4.2 响应文件格式</w:t>
      </w:r>
    </w:p>
    <w:p w14:paraId="39C86C46">
      <w:pPr>
        <w:spacing w:line="480" w:lineRule="exact"/>
        <w:ind w:firstLine="480" w:firstLineChars="200"/>
        <w:jc w:val="left"/>
        <w:rPr>
          <w:rFonts w:ascii="宋体" w:hAnsi="宋体" w:cs="宋体"/>
          <w:kern w:val="0"/>
          <w:sz w:val="24"/>
        </w:rPr>
      </w:pPr>
      <w:r>
        <w:rPr>
          <w:rFonts w:hint="eastAsia" w:ascii="宋体" w:hAnsi="宋体" w:cs="宋体"/>
          <w:kern w:val="0"/>
          <w:sz w:val="24"/>
        </w:rPr>
        <w:t>响应文件应包括以下内容：</w:t>
      </w:r>
    </w:p>
    <w:p w14:paraId="58EE8F39">
      <w:pPr>
        <w:spacing w:line="480" w:lineRule="exact"/>
        <w:ind w:firstLine="480" w:firstLineChars="200"/>
        <w:jc w:val="left"/>
        <w:rPr>
          <w:rFonts w:ascii="宋体" w:hAnsi="宋体" w:cs="宋体"/>
          <w:kern w:val="0"/>
          <w:sz w:val="24"/>
        </w:rPr>
      </w:pPr>
      <w:r>
        <w:rPr>
          <w:rFonts w:hint="eastAsia" w:ascii="宋体" w:hAnsi="宋体" w:cs="宋体"/>
          <w:kern w:val="0"/>
          <w:sz w:val="24"/>
        </w:rPr>
        <w:t xml:space="preserve">4.2.1 </w:t>
      </w:r>
      <w:r>
        <w:rPr>
          <w:rFonts w:hint="eastAsia" w:ascii="宋体" w:hAnsi="宋体" w:cs="宋体"/>
          <w:sz w:val="24"/>
          <w:lang w:val="zh-CN"/>
        </w:rPr>
        <w:t>磋商</w:t>
      </w:r>
      <w:r>
        <w:rPr>
          <w:rFonts w:hint="eastAsia" w:ascii="宋体" w:hAnsi="宋体" w:cs="宋体"/>
          <w:kern w:val="0"/>
          <w:sz w:val="24"/>
        </w:rPr>
        <w:t>函</w:t>
      </w:r>
    </w:p>
    <w:p w14:paraId="52F956B9">
      <w:pPr>
        <w:spacing w:line="480" w:lineRule="exact"/>
        <w:ind w:firstLine="480" w:firstLineChars="200"/>
        <w:jc w:val="left"/>
        <w:rPr>
          <w:rFonts w:ascii="宋体" w:hAnsi="宋体" w:cs="宋体"/>
          <w:kern w:val="0"/>
          <w:sz w:val="24"/>
        </w:rPr>
      </w:pPr>
      <w:r>
        <w:rPr>
          <w:rFonts w:hint="eastAsia" w:ascii="宋体" w:hAnsi="宋体" w:cs="宋体"/>
          <w:kern w:val="0"/>
          <w:sz w:val="24"/>
        </w:rPr>
        <w:t>4.2.2 磋商报价函附录</w:t>
      </w:r>
    </w:p>
    <w:p w14:paraId="4280C8F4">
      <w:pPr>
        <w:spacing w:line="480" w:lineRule="exact"/>
        <w:ind w:firstLine="480" w:firstLineChars="200"/>
        <w:jc w:val="left"/>
        <w:rPr>
          <w:rFonts w:ascii="宋体" w:hAnsi="宋体" w:cs="宋体"/>
          <w:kern w:val="0"/>
          <w:sz w:val="24"/>
        </w:rPr>
      </w:pPr>
      <w:r>
        <w:rPr>
          <w:rFonts w:hint="eastAsia" w:ascii="宋体" w:hAnsi="宋体" w:cs="宋体"/>
          <w:kern w:val="0"/>
          <w:sz w:val="24"/>
        </w:rPr>
        <w:t>4.2.3 法定代表人身份证明</w:t>
      </w:r>
    </w:p>
    <w:p w14:paraId="61AA18FF">
      <w:pPr>
        <w:spacing w:line="480" w:lineRule="exact"/>
        <w:ind w:firstLine="480" w:firstLineChars="200"/>
        <w:jc w:val="left"/>
        <w:rPr>
          <w:rFonts w:ascii="宋体" w:hAnsi="宋体" w:cs="宋体"/>
          <w:kern w:val="0"/>
          <w:sz w:val="24"/>
        </w:rPr>
      </w:pPr>
      <w:r>
        <w:rPr>
          <w:rFonts w:hint="eastAsia" w:ascii="宋体" w:hAnsi="宋体" w:cs="宋体"/>
          <w:kern w:val="0"/>
          <w:sz w:val="24"/>
        </w:rPr>
        <w:t>4.2.4 授权委托书</w:t>
      </w:r>
    </w:p>
    <w:p w14:paraId="558DDF1A">
      <w:pPr>
        <w:spacing w:line="480" w:lineRule="exact"/>
        <w:ind w:firstLine="480" w:firstLineChars="200"/>
        <w:jc w:val="left"/>
        <w:rPr>
          <w:rFonts w:ascii="宋体" w:hAnsi="宋体" w:cs="宋体"/>
          <w:kern w:val="0"/>
          <w:sz w:val="24"/>
        </w:rPr>
      </w:pPr>
      <w:r>
        <w:rPr>
          <w:rFonts w:hint="eastAsia" w:ascii="宋体" w:hAnsi="宋体" w:cs="宋体"/>
          <w:kern w:val="0"/>
          <w:sz w:val="24"/>
        </w:rPr>
        <w:t>4.2.5 服务方案</w:t>
      </w:r>
    </w:p>
    <w:p w14:paraId="3EB4DAF0">
      <w:pPr>
        <w:spacing w:line="480" w:lineRule="exact"/>
        <w:ind w:firstLine="480" w:firstLineChars="200"/>
        <w:jc w:val="left"/>
        <w:rPr>
          <w:rFonts w:ascii="宋体" w:hAnsi="宋体" w:cs="宋体"/>
          <w:kern w:val="0"/>
          <w:sz w:val="24"/>
        </w:rPr>
      </w:pPr>
      <w:r>
        <w:rPr>
          <w:rFonts w:hint="eastAsia" w:ascii="宋体" w:hAnsi="宋体" w:cs="宋体"/>
          <w:kern w:val="0"/>
          <w:sz w:val="24"/>
        </w:rPr>
        <w:t>4.2.6 资格审查资料</w:t>
      </w:r>
    </w:p>
    <w:p w14:paraId="3B3FF1A5">
      <w:pPr>
        <w:spacing w:line="480" w:lineRule="exact"/>
        <w:ind w:firstLine="480" w:firstLineChars="200"/>
        <w:jc w:val="left"/>
        <w:rPr>
          <w:rFonts w:ascii="宋体" w:hAnsi="宋体" w:cs="宋体"/>
          <w:kern w:val="0"/>
          <w:sz w:val="24"/>
        </w:rPr>
      </w:pPr>
      <w:r>
        <w:rPr>
          <w:rFonts w:hint="eastAsia" w:ascii="宋体" w:hAnsi="宋体" w:cs="宋体"/>
          <w:kern w:val="0"/>
          <w:sz w:val="24"/>
        </w:rPr>
        <w:t>4.2.7 竞争性磋商文件要求的其它全部资料</w:t>
      </w:r>
    </w:p>
    <w:p w14:paraId="1F261339">
      <w:pPr>
        <w:spacing w:line="480" w:lineRule="exact"/>
        <w:ind w:firstLine="480" w:firstLineChars="200"/>
        <w:jc w:val="left"/>
        <w:rPr>
          <w:rFonts w:ascii="宋体" w:hAnsi="宋体" w:cs="宋体"/>
          <w:b/>
          <w:kern w:val="0"/>
          <w:sz w:val="24"/>
        </w:rPr>
      </w:pPr>
      <w:r>
        <w:rPr>
          <w:rFonts w:hint="eastAsia" w:ascii="宋体" w:hAnsi="宋体" w:cs="宋体"/>
          <w:kern w:val="0"/>
          <w:sz w:val="24"/>
        </w:rPr>
        <w:t xml:space="preserve">4.3 </w:t>
      </w:r>
      <w:r>
        <w:rPr>
          <w:rFonts w:hint="eastAsia" w:ascii="宋体" w:hAnsi="宋体" w:cs="宋体"/>
          <w:b/>
          <w:kern w:val="0"/>
          <w:sz w:val="24"/>
        </w:rPr>
        <w:t>磋商报价</w:t>
      </w:r>
    </w:p>
    <w:p w14:paraId="12BC21BD">
      <w:pPr>
        <w:tabs>
          <w:tab w:val="left" w:pos="540"/>
        </w:tabs>
        <w:spacing w:line="480" w:lineRule="exact"/>
        <w:ind w:firstLine="493"/>
        <w:jc w:val="left"/>
        <w:rPr>
          <w:rFonts w:ascii="宋体" w:hAnsi="宋体" w:cs="宋体"/>
          <w:kern w:val="0"/>
          <w:sz w:val="24"/>
        </w:rPr>
      </w:pPr>
      <w:r>
        <w:rPr>
          <w:rFonts w:hint="eastAsia" w:ascii="宋体" w:hAnsi="宋体" w:cs="宋体"/>
          <w:kern w:val="0"/>
          <w:sz w:val="24"/>
        </w:rPr>
        <w:t>本次磋商，供应商在磋商文件中投报的报价为首次报价，再经一次报价后以最后一次确定的报价作为最终报价（最终报价不能高于首次报价，高于首次报价视为无效报价）。</w:t>
      </w:r>
    </w:p>
    <w:p w14:paraId="566713B2">
      <w:pPr>
        <w:spacing w:line="480" w:lineRule="exact"/>
        <w:ind w:firstLine="480" w:firstLineChars="200"/>
        <w:jc w:val="left"/>
        <w:rPr>
          <w:rFonts w:ascii="宋体" w:hAnsi="宋体" w:cs="宋体"/>
          <w:kern w:val="0"/>
          <w:sz w:val="24"/>
        </w:rPr>
      </w:pPr>
      <w:r>
        <w:rPr>
          <w:rFonts w:hint="eastAsia" w:ascii="宋体" w:hAnsi="宋体" w:cs="宋体"/>
          <w:kern w:val="0"/>
          <w:sz w:val="24"/>
        </w:rPr>
        <w:t xml:space="preserve">4.4 </w:t>
      </w:r>
      <w:r>
        <w:rPr>
          <w:rFonts w:hint="eastAsia" w:ascii="宋体" w:hAnsi="宋体" w:cs="宋体"/>
          <w:b/>
          <w:kern w:val="0"/>
          <w:sz w:val="24"/>
        </w:rPr>
        <w:t>响应文件的有效期</w:t>
      </w:r>
    </w:p>
    <w:p w14:paraId="4B6B6ACE">
      <w:pPr>
        <w:spacing w:line="480" w:lineRule="exact"/>
        <w:ind w:firstLine="480" w:firstLineChars="200"/>
        <w:jc w:val="left"/>
        <w:rPr>
          <w:rFonts w:ascii="宋体" w:hAnsi="宋体" w:cs="宋体"/>
          <w:kern w:val="0"/>
          <w:sz w:val="24"/>
        </w:rPr>
      </w:pPr>
      <w:r>
        <w:rPr>
          <w:rFonts w:hint="eastAsia" w:ascii="宋体" w:hAnsi="宋体" w:cs="宋体"/>
          <w:kern w:val="0"/>
          <w:sz w:val="24"/>
        </w:rPr>
        <w:t>4.4.1 响应文件的磋商有效期</w:t>
      </w:r>
      <w:r>
        <w:rPr>
          <w:rStyle w:val="54"/>
          <w:rFonts w:hint="eastAsia" w:ascii="宋体" w:hAnsi="宋体" w:cs="宋体"/>
          <w:kern w:val="0"/>
          <w:sz w:val="24"/>
        </w:rPr>
        <w:t>自</w:t>
      </w:r>
      <w:r>
        <w:rPr>
          <w:rFonts w:hint="eastAsia" w:ascii="宋体" w:hAnsi="宋体" w:cs="宋体"/>
          <w:kern w:val="0"/>
          <w:sz w:val="24"/>
          <w:lang w:val="zh-CN"/>
        </w:rPr>
        <w:t>响应文件提交截止后60日历天</w:t>
      </w:r>
      <w:r>
        <w:rPr>
          <w:rFonts w:hint="eastAsia" w:ascii="宋体" w:hAnsi="宋体" w:cs="宋体"/>
          <w:kern w:val="0"/>
          <w:sz w:val="24"/>
        </w:rPr>
        <w:t>。</w:t>
      </w:r>
    </w:p>
    <w:p w14:paraId="72ED4430">
      <w:pPr>
        <w:spacing w:line="480" w:lineRule="exact"/>
        <w:ind w:firstLine="480" w:firstLineChars="200"/>
        <w:jc w:val="left"/>
        <w:rPr>
          <w:rFonts w:ascii="宋体" w:hAnsi="宋体" w:cs="宋体"/>
          <w:kern w:val="0"/>
          <w:sz w:val="24"/>
        </w:rPr>
      </w:pPr>
      <w:r>
        <w:rPr>
          <w:rFonts w:hint="eastAsia" w:ascii="宋体" w:hAnsi="宋体" w:cs="宋体"/>
          <w:kern w:val="0"/>
          <w:sz w:val="24"/>
        </w:rPr>
        <w:t>4.4.2 在原定磋商有效期满之前，如果出现特殊情况，经招标监督管理机构核准，招标代理机构可以在平顶山市公共资源电子化交易系统向供应商提出延长磋商有效期的要求。供应商可以拒绝这种要求，同意延长磋商有效期的供应商不允许修改磋商文件。</w:t>
      </w:r>
    </w:p>
    <w:p w14:paraId="135DE019">
      <w:pPr>
        <w:spacing w:line="480" w:lineRule="exact"/>
        <w:ind w:firstLine="480" w:firstLineChars="200"/>
        <w:jc w:val="left"/>
        <w:rPr>
          <w:rFonts w:ascii="宋体" w:hAnsi="宋体" w:cs="宋体"/>
          <w:kern w:val="0"/>
          <w:sz w:val="24"/>
        </w:rPr>
      </w:pPr>
      <w:r>
        <w:rPr>
          <w:rFonts w:hint="eastAsia" w:ascii="宋体" w:hAnsi="宋体" w:cs="宋体"/>
          <w:kern w:val="0"/>
          <w:sz w:val="24"/>
        </w:rPr>
        <w:t xml:space="preserve">4.5 </w:t>
      </w:r>
      <w:r>
        <w:rPr>
          <w:rFonts w:hint="eastAsia" w:ascii="宋体" w:hAnsi="宋体" w:cs="宋体"/>
          <w:b/>
          <w:kern w:val="0"/>
          <w:sz w:val="24"/>
        </w:rPr>
        <w:t>磋商保证金</w:t>
      </w:r>
    </w:p>
    <w:p w14:paraId="136ADFE6">
      <w:pPr>
        <w:spacing w:line="480" w:lineRule="exact"/>
        <w:ind w:firstLine="480" w:firstLineChars="200"/>
        <w:jc w:val="left"/>
        <w:rPr>
          <w:rFonts w:ascii="宋体" w:hAnsi="宋体" w:cs="宋体"/>
          <w:kern w:val="0"/>
          <w:sz w:val="24"/>
        </w:rPr>
      </w:pPr>
      <w:r>
        <w:rPr>
          <w:rFonts w:hint="eastAsia" w:ascii="宋体" w:hAnsi="宋体" w:cs="宋体"/>
          <w:kern w:val="0"/>
          <w:sz w:val="24"/>
        </w:rPr>
        <w:t>根据“河南省财政厅关于优化政府采购营商环境有关问题的通知”豫财购〔2019〕4 号文中“二、降低供应商参与政府采购活动交易成本”的规定，该项目不再收取保证金。</w:t>
      </w:r>
    </w:p>
    <w:p w14:paraId="061C329B">
      <w:pPr>
        <w:spacing w:line="480" w:lineRule="exact"/>
        <w:ind w:firstLine="480" w:firstLineChars="200"/>
        <w:jc w:val="left"/>
        <w:rPr>
          <w:rFonts w:ascii="宋体" w:hAnsi="宋体" w:cs="宋体"/>
          <w:b/>
          <w:kern w:val="0"/>
          <w:sz w:val="24"/>
        </w:rPr>
      </w:pPr>
      <w:r>
        <w:rPr>
          <w:rFonts w:hint="eastAsia" w:ascii="宋体" w:hAnsi="宋体" w:cs="宋体"/>
          <w:kern w:val="0"/>
          <w:sz w:val="24"/>
        </w:rPr>
        <w:t xml:space="preserve">4.6 </w:t>
      </w:r>
      <w:r>
        <w:rPr>
          <w:rFonts w:hint="eastAsia" w:ascii="宋体" w:hAnsi="宋体" w:cs="宋体"/>
          <w:b/>
          <w:kern w:val="0"/>
          <w:sz w:val="24"/>
        </w:rPr>
        <w:t>响应文件的修改</w:t>
      </w:r>
    </w:p>
    <w:p w14:paraId="02CE12B1">
      <w:pPr>
        <w:spacing w:line="480" w:lineRule="exact"/>
        <w:ind w:firstLine="480" w:firstLineChars="200"/>
        <w:jc w:val="left"/>
        <w:rPr>
          <w:rFonts w:ascii="宋体" w:hAnsi="宋体" w:cs="宋体"/>
          <w:kern w:val="0"/>
          <w:sz w:val="24"/>
        </w:rPr>
      </w:pPr>
      <w:r>
        <w:rPr>
          <w:rFonts w:hint="eastAsia" w:ascii="宋体" w:hAnsi="宋体" w:cs="宋体"/>
          <w:kern w:val="0"/>
          <w:sz w:val="24"/>
        </w:rPr>
        <w:t>4.6.1 文字表示的数值与数字表示的数值不一致，以文字表达的数值为准；</w:t>
      </w:r>
    </w:p>
    <w:p w14:paraId="36AFD47D">
      <w:pPr>
        <w:spacing w:line="480" w:lineRule="exact"/>
        <w:ind w:firstLine="480" w:firstLineChars="200"/>
        <w:jc w:val="left"/>
        <w:rPr>
          <w:rFonts w:ascii="宋体" w:hAnsi="宋体" w:cs="宋体"/>
          <w:kern w:val="0"/>
          <w:sz w:val="24"/>
        </w:rPr>
      </w:pPr>
      <w:r>
        <w:rPr>
          <w:rFonts w:hint="eastAsia" w:ascii="宋体" w:hAnsi="宋体" w:cs="宋体"/>
          <w:kern w:val="0"/>
          <w:sz w:val="24"/>
        </w:rPr>
        <w:t>4.6.2 文字表述与图形不一致，以文字表述为准。</w:t>
      </w:r>
    </w:p>
    <w:p w14:paraId="12777E21">
      <w:pPr>
        <w:spacing w:line="480" w:lineRule="exact"/>
        <w:ind w:firstLine="480" w:firstLineChars="200"/>
        <w:jc w:val="left"/>
        <w:rPr>
          <w:rFonts w:ascii="宋体" w:hAnsi="宋体" w:cs="宋体"/>
          <w:kern w:val="0"/>
          <w:sz w:val="24"/>
        </w:rPr>
      </w:pPr>
      <w:r>
        <w:rPr>
          <w:rFonts w:hint="eastAsia" w:ascii="宋体" w:hAnsi="宋体" w:cs="宋体"/>
          <w:kern w:val="0"/>
          <w:sz w:val="24"/>
        </w:rPr>
        <w:t xml:space="preserve">4.7 </w:t>
      </w:r>
      <w:r>
        <w:rPr>
          <w:rFonts w:hint="eastAsia" w:ascii="宋体" w:hAnsi="宋体" w:cs="宋体"/>
          <w:b/>
          <w:kern w:val="0"/>
          <w:sz w:val="24"/>
        </w:rPr>
        <w:t>响应文件的编制要求</w:t>
      </w:r>
    </w:p>
    <w:p w14:paraId="0D2E83BF">
      <w:pPr>
        <w:spacing w:line="480" w:lineRule="exact"/>
        <w:ind w:firstLine="480" w:firstLineChars="200"/>
        <w:jc w:val="left"/>
        <w:rPr>
          <w:rFonts w:ascii="宋体" w:hAnsi="宋体" w:cs="宋体"/>
          <w:kern w:val="0"/>
          <w:sz w:val="24"/>
        </w:rPr>
      </w:pPr>
      <w:r>
        <w:rPr>
          <w:rFonts w:hint="eastAsia" w:ascii="宋体" w:hAnsi="宋体" w:cs="宋体"/>
          <w:kern w:val="0"/>
          <w:sz w:val="24"/>
        </w:rPr>
        <w:t>4.7.1供应商所上传的电子化响应文件，应是通过中心响应文件制作系统制作的，经过签章和加密后生成的电子版响应文件。生成的电子版响应文件包含用于响应文件上传的主文件（项目文件格式为：xxx公司_ 项目名称.file）和用于应急补救的响应文件备份文件（项目文件格式为：xxx公司_项目名称.bin），备份文件主要用于电子化开标出现技术问题后的补救，请供应商随身携带。</w:t>
      </w:r>
    </w:p>
    <w:p w14:paraId="4C80DC00">
      <w:pPr>
        <w:spacing w:line="480" w:lineRule="exact"/>
        <w:ind w:firstLine="480" w:firstLineChars="200"/>
        <w:rPr>
          <w:rFonts w:ascii="宋体" w:hAnsi="宋体" w:cs="宋体"/>
          <w:sz w:val="24"/>
        </w:rPr>
      </w:pPr>
      <w:r>
        <w:rPr>
          <w:rFonts w:hint="eastAsia" w:ascii="宋体" w:hAnsi="宋体" w:cs="宋体"/>
          <w:sz w:val="24"/>
        </w:rPr>
        <w:t>4.7.2电子化响应文件应在投标截止时间前成功上传至平顶山市公共资源电子化交易系统。至投标截止时间止，仍未上传成功的电子化响应文件将不予接收。</w:t>
      </w:r>
    </w:p>
    <w:p w14:paraId="0684CCE3">
      <w:pPr>
        <w:spacing w:line="480" w:lineRule="exact"/>
        <w:ind w:firstLine="482" w:firstLineChars="200"/>
        <w:jc w:val="left"/>
        <w:rPr>
          <w:rFonts w:ascii="宋体" w:hAnsi="宋体" w:cs="宋体"/>
          <w:kern w:val="0"/>
          <w:sz w:val="24"/>
        </w:rPr>
      </w:pPr>
      <w:r>
        <w:rPr>
          <w:rFonts w:hint="eastAsia" w:ascii="宋体" w:hAnsi="宋体" w:cs="宋体"/>
          <w:b/>
          <w:bCs/>
          <w:sz w:val="24"/>
        </w:rPr>
        <w:t>注：如按照电子化投标操作教材制作完成的电子化响应文件无法上传的，供应商应在投标截止时间前尽早的联系中心技术人员，以便有充分的时间进行处理。供应商应充分考虑到处理技术问题和上传数据等工作所需的时间问题，响应文件未在投标截止时间前成功上传的，其响应文件不予接收。</w:t>
      </w:r>
    </w:p>
    <w:p w14:paraId="2FB4CE9F">
      <w:pPr>
        <w:spacing w:line="460" w:lineRule="exact"/>
        <w:ind w:firstLine="480" w:firstLineChars="200"/>
        <w:jc w:val="left"/>
        <w:rPr>
          <w:rStyle w:val="54"/>
          <w:rFonts w:ascii="宋体" w:hAnsi="宋体" w:cs="宋体"/>
          <w:kern w:val="0"/>
          <w:sz w:val="24"/>
        </w:rPr>
      </w:pPr>
      <w:bookmarkStart w:id="69" w:name="_Toc22603"/>
      <w:bookmarkStart w:id="70" w:name="_Toc23539"/>
      <w:bookmarkStart w:id="71" w:name="_Toc25632"/>
      <w:bookmarkStart w:id="72" w:name="_Toc335902127"/>
      <w:bookmarkStart w:id="73" w:name="_Toc21544"/>
      <w:bookmarkStart w:id="74" w:name="_Toc28233"/>
      <w:bookmarkStart w:id="75" w:name="_Toc6954"/>
      <w:bookmarkStart w:id="76" w:name="_Toc6991"/>
      <w:bookmarkStart w:id="77" w:name="_Toc29852"/>
      <w:bookmarkStart w:id="78" w:name="_Toc21366"/>
      <w:bookmarkStart w:id="79" w:name="_Toc25817"/>
      <w:bookmarkStart w:id="80" w:name="_Toc2871"/>
      <w:bookmarkStart w:id="81" w:name="_Toc2222"/>
      <w:bookmarkStart w:id="82" w:name="_Toc335435265"/>
      <w:bookmarkStart w:id="83" w:name="_Toc281744725"/>
      <w:bookmarkStart w:id="84" w:name="_Toc80"/>
      <w:bookmarkStart w:id="85" w:name="_Toc335435038"/>
      <w:r>
        <w:rPr>
          <w:rStyle w:val="54"/>
          <w:rFonts w:hint="eastAsia" w:ascii="宋体" w:hAnsi="宋体" w:cs="宋体"/>
          <w:kern w:val="0"/>
          <w:sz w:val="24"/>
        </w:rPr>
        <w:t>4.8</w:t>
      </w:r>
      <w:r>
        <w:rPr>
          <w:rStyle w:val="54"/>
          <w:rFonts w:hint="eastAsia" w:ascii="宋体" w:hAnsi="宋体" w:cs="宋体"/>
          <w:b/>
          <w:kern w:val="0"/>
          <w:sz w:val="24"/>
        </w:rPr>
        <w:t xml:space="preserve"> 参与同一个标段(包)的供应商存在下列情形之一的，其投标(响应)文件无效:</w:t>
      </w:r>
    </w:p>
    <w:p w14:paraId="46677F68">
      <w:pPr>
        <w:spacing w:line="480" w:lineRule="exact"/>
        <w:ind w:firstLine="480" w:firstLineChars="200"/>
        <w:rPr>
          <w:rFonts w:ascii="宋体" w:hAnsi="宋体" w:cs="宋体"/>
          <w:sz w:val="24"/>
          <w:szCs w:val="28"/>
          <w:lang w:val="zh-CN"/>
        </w:rPr>
      </w:pPr>
      <w:r>
        <w:rPr>
          <w:rFonts w:hint="eastAsia" w:ascii="宋体" w:hAnsi="宋体" w:cs="宋体"/>
          <w:sz w:val="24"/>
          <w:szCs w:val="28"/>
          <w:lang w:val="zh-CN"/>
        </w:rPr>
        <w:t>4.8.1</w:t>
      </w:r>
      <w:r>
        <w:rPr>
          <w:rFonts w:hint="eastAsia" w:ascii="宋体" w:hAnsi="宋体" w:cs="宋体"/>
          <w:sz w:val="24"/>
          <w:szCs w:val="28"/>
        </w:rPr>
        <w:t xml:space="preserve"> </w:t>
      </w:r>
      <w:r>
        <w:rPr>
          <w:rFonts w:hint="eastAsia" w:ascii="宋体" w:hAnsi="宋体" w:cs="宋体"/>
          <w:sz w:val="24"/>
          <w:szCs w:val="28"/>
          <w:lang w:val="zh-CN"/>
        </w:rPr>
        <w:t>不同供应商的电子投标（响应）文件上传计算机的网卡MAC地址、CPU序列号和硬盘序列号等硬件信息相同的；</w:t>
      </w:r>
    </w:p>
    <w:p w14:paraId="0B8F83DD">
      <w:pPr>
        <w:spacing w:line="480" w:lineRule="exact"/>
        <w:ind w:firstLine="480" w:firstLineChars="200"/>
        <w:rPr>
          <w:rFonts w:ascii="宋体" w:hAnsi="宋体" w:cs="宋体"/>
          <w:sz w:val="24"/>
          <w:szCs w:val="28"/>
          <w:lang w:val="zh-CN"/>
        </w:rPr>
      </w:pPr>
      <w:r>
        <w:rPr>
          <w:rFonts w:hint="eastAsia" w:ascii="宋体" w:hAnsi="宋体" w:cs="宋体"/>
          <w:sz w:val="24"/>
          <w:szCs w:val="28"/>
          <w:lang w:val="zh-CN"/>
        </w:rPr>
        <w:t>4.8.2 不同供应商的投标（响应）文件由同一电子设备编制、打印加密或者上传；</w:t>
      </w:r>
    </w:p>
    <w:p w14:paraId="1BC268EA">
      <w:pPr>
        <w:spacing w:line="480" w:lineRule="exact"/>
        <w:ind w:firstLine="480" w:firstLineChars="200"/>
        <w:rPr>
          <w:rFonts w:ascii="宋体" w:hAnsi="宋体" w:cs="宋体"/>
          <w:sz w:val="24"/>
          <w:szCs w:val="28"/>
          <w:lang w:val="zh-CN"/>
        </w:rPr>
      </w:pPr>
      <w:r>
        <w:rPr>
          <w:rFonts w:hint="eastAsia" w:ascii="宋体" w:hAnsi="宋体" w:cs="宋体"/>
          <w:sz w:val="24"/>
          <w:szCs w:val="28"/>
          <w:lang w:val="zh-CN"/>
        </w:rPr>
        <w:t>4.8.3 不同供应商的投标（响应）文件由同一电子设备打印、复印；</w:t>
      </w:r>
    </w:p>
    <w:p w14:paraId="0C3F9242">
      <w:pPr>
        <w:spacing w:line="480" w:lineRule="exact"/>
        <w:ind w:firstLine="480" w:firstLineChars="200"/>
        <w:rPr>
          <w:rFonts w:ascii="宋体" w:hAnsi="宋体" w:cs="宋体"/>
          <w:sz w:val="24"/>
          <w:szCs w:val="28"/>
          <w:lang w:val="zh-CN"/>
        </w:rPr>
      </w:pPr>
      <w:r>
        <w:rPr>
          <w:rFonts w:hint="eastAsia" w:ascii="宋体" w:hAnsi="宋体" w:cs="宋体"/>
          <w:sz w:val="24"/>
          <w:szCs w:val="28"/>
          <w:lang w:val="zh-CN"/>
        </w:rPr>
        <w:t>4.8.</w:t>
      </w:r>
      <w:r>
        <w:rPr>
          <w:rFonts w:hint="eastAsia" w:ascii="宋体" w:hAnsi="宋体" w:cs="宋体"/>
          <w:sz w:val="24"/>
          <w:szCs w:val="28"/>
        </w:rPr>
        <w:t>4</w:t>
      </w:r>
      <w:r>
        <w:rPr>
          <w:rFonts w:hint="eastAsia" w:ascii="宋体" w:hAnsi="宋体" w:cs="宋体"/>
          <w:sz w:val="24"/>
          <w:szCs w:val="28"/>
          <w:lang w:val="zh-CN"/>
        </w:rPr>
        <w:t xml:space="preserve"> 不同供应商的投标（响应）文件由同一人送达或者分发，或者不同供应商联系人为同一人或不同联系人的联系电话一致的；</w:t>
      </w:r>
    </w:p>
    <w:p w14:paraId="7DDA98C2">
      <w:pPr>
        <w:spacing w:line="480" w:lineRule="exact"/>
        <w:ind w:firstLine="480" w:firstLineChars="200"/>
        <w:rPr>
          <w:rFonts w:ascii="宋体" w:hAnsi="宋体" w:cs="宋体"/>
          <w:sz w:val="24"/>
          <w:szCs w:val="28"/>
          <w:lang w:val="zh-CN"/>
        </w:rPr>
      </w:pPr>
      <w:r>
        <w:rPr>
          <w:rFonts w:hint="eastAsia" w:ascii="宋体" w:hAnsi="宋体" w:cs="宋体"/>
          <w:sz w:val="24"/>
          <w:szCs w:val="28"/>
          <w:lang w:val="zh-CN"/>
        </w:rPr>
        <w:t>4.8.</w:t>
      </w:r>
      <w:r>
        <w:rPr>
          <w:rFonts w:hint="eastAsia" w:ascii="宋体" w:hAnsi="宋体" w:cs="宋体"/>
          <w:sz w:val="24"/>
          <w:szCs w:val="28"/>
        </w:rPr>
        <w:t>5</w:t>
      </w:r>
      <w:r>
        <w:rPr>
          <w:rFonts w:hint="eastAsia" w:ascii="宋体" w:hAnsi="宋体" w:cs="宋体"/>
          <w:sz w:val="24"/>
          <w:szCs w:val="28"/>
          <w:lang w:val="zh-CN"/>
        </w:rPr>
        <w:t xml:space="preserve"> 不同供应商的投标（响应）文件的内容存在两处以上细节错误一致；</w:t>
      </w:r>
    </w:p>
    <w:p w14:paraId="46233FD0">
      <w:pPr>
        <w:spacing w:line="480" w:lineRule="exact"/>
        <w:ind w:firstLine="480" w:firstLineChars="200"/>
        <w:rPr>
          <w:rFonts w:ascii="宋体" w:hAnsi="宋体" w:cs="宋体"/>
          <w:sz w:val="24"/>
          <w:szCs w:val="28"/>
          <w:lang w:val="zh-CN"/>
        </w:rPr>
      </w:pPr>
      <w:r>
        <w:rPr>
          <w:rFonts w:hint="eastAsia" w:ascii="宋体" w:hAnsi="宋体" w:cs="宋体"/>
          <w:sz w:val="24"/>
          <w:szCs w:val="28"/>
          <w:lang w:val="zh-CN"/>
        </w:rPr>
        <w:t>4.8.</w:t>
      </w:r>
      <w:r>
        <w:rPr>
          <w:rFonts w:hint="eastAsia" w:ascii="宋体" w:hAnsi="宋体" w:cs="宋体"/>
          <w:sz w:val="24"/>
          <w:szCs w:val="28"/>
        </w:rPr>
        <w:t>6</w:t>
      </w:r>
      <w:r>
        <w:rPr>
          <w:rFonts w:hint="eastAsia" w:ascii="宋体" w:hAnsi="宋体" w:cs="宋体"/>
          <w:sz w:val="24"/>
          <w:szCs w:val="28"/>
          <w:lang w:val="zh-CN"/>
        </w:rPr>
        <w:t xml:space="preserve"> 不同供应商的法定代表人、委托代理人、项目经理、项目负责人等由同一个单位缴纳社会保险或者领取报酬的；</w:t>
      </w:r>
    </w:p>
    <w:p w14:paraId="5153F9C9">
      <w:pPr>
        <w:spacing w:line="480" w:lineRule="exact"/>
        <w:ind w:firstLine="480" w:firstLineChars="200"/>
        <w:rPr>
          <w:rFonts w:ascii="宋体" w:hAnsi="宋体" w:cs="宋体"/>
          <w:sz w:val="24"/>
          <w:szCs w:val="28"/>
          <w:lang w:val="zh-CN"/>
        </w:rPr>
      </w:pPr>
      <w:r>
        <w:rPr>
          <w:rFonts w:hint="eastAsia" w:ascii="宋体" w:hAnsi="宋体" w:cs="宋体"/>
          <w:sz w:val="24"/>
          <w:szCs w:val="28"/>
          <w:lang w:val="zh-CN"/>
        </w:rPr>
        <w:t>4.8.</w:t>
      </w:r>
      <w:r>
        <w:rPr>
          <w:rFonts w:hint="eastAsia" w:ascii="宋体" w:hAnsi="宋体" w:cs="宋体"/>
          <w:sz w:val="24"/>
          <w:szCs w:val="28"/>
        </w:rPr>
        <w:t>7</w:t>
      </w:r>
      <w:r>
        <w:rPr>
          <w:rFonts w:hint="eastAsia" w:ascii="宋体" w:hAnsi="宋体" w:cs="宋体"/>
          <w:sz w:val="24"/>
          <w:szCs w:val="28"/>
          <w:lang w:val="zh-CN"/>
        </w:rPr>
        <w:t xml:space="preserve"> 不同供应商投标（响应）文件中法定代表人或者负责人签字出自同一人之手；</w:t>
      </w:r>
    </w:p>
    <w:p w14:paraId="1DA26B17">
      <w:pPr>
        <w:spacing w:line="480" w:lineRule="exact"/>
        <w:ind w:firstLine="480" w:firstLineChars="200"/>
        <w:rPr>
          <w:rFonts w:ascii="宋体" w:hAnsi="宋体" w:cs="宋体"/>
          <w:sz w:val="24"/>
          <w:szCs w:val="28"/>
          <w:lang w:val="zh-CN"/>
        </w:rPr>
      </w:pPr>
      <w:r>
        <w:rPr>
          <w:rFonts w:hint="eastAsia" w:ascii="宋体" w:hAnsi="宋体" w:cs="宋体"/>
          <w:sz w:val="24"/>
          <w:szCs w:val="28"/>
          <w:lang w:val="zh-CN"/>
        </w:rPr>
        <w:t>4.8.</w:t>
      </w:r>
      <w:r>
        <w:rPr>
          <w:rFonts w:hint="eastAsia" w:ascii="宋体" w:hAnsi="宋体" w:cs="宋体"/>
          <w:sz w:val="24"/>
          <w:szCs w:val="28"/>
        </w:rPr>
        <w:t>8</w:t>
      </w:r>
      <w:r>
        <w:rPr>
          <w:rFonts w:hint="eastAsia" w:ascii="宋体" w:hAnsi="宋体" w:cs="宋体"/>
          <w:sz w:val="24"/>
          <w:szCs w:val="28"/>
          <w:lang w:val="zh-CN"/>
        </w:rPr>
        <w:t xml:space="preserve"> 其它涉嫌串通的情形。</w:t>
      </w:r>
    </w:p>
    <w:p w14:paraId="7AF30760">
      <w:pPr>
        <w:pStyle w:val="2"/>
        <w:rPr>
          <w:lang w:val="zh-CN"/>
        </w:rPr>
      </w:pPr>
      <w:r>
        <w:rPr>
          <w:rFonts w:hint="eastAsia"/>
          <w:lang w:val="zh-CN"/>
        </w:rPr>
        <w:t>五、磋商程序</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586EECA7">
      <w:pPr>
        <w:spacing w:line="480" w:lineRule="exact"/>
        <w:ind w:firstLine="560"/>
        <w:rPr>
          <w:rFonts w:ascii="宋体" w:hAnsi="宋体" w:cs="宋体"/>
          <w:sz w:val="24"/>
          <w:szCs w:val="28"/>
          <w:lang w:val="zh-CN"/>
        </w:rPr>
      </w:pPr>
      <w:r>
        <w:rPr>
          <w:rFonts w:hint="eastAsia" w:ascii="宋体" w:hAnsi="宋体" w:cs="宋体"/>
          <w:sz w:val="24"/>
          <w:szCs w:val="28"/>
        </w:rPr>
        <w:t>5</w:t>
      </w:r>
      <w:r>
        <w:rPr>
          <w:rFonts w:hint="eastAsia" w:ascii="宋体" w:hAnsi="宋体" w:cs="宋体"/>
          <w:sz w:val="24"/>
          <w:szCs w:val="28"/>
          <w:lang w:val="zh-CN"/>
        </w:rPr>
        <w:t>.</w:t>
      </w:r>
      <w:r>
        <w:rPr>
          <w:rFonts w:hint="eastAsia" w:ascii="宋体" w:hAnsi="宋体" w:cs="宋体"/>
          <w:sz w:val="24"/>
          <w:szCs w:val="28"/>
        </w:rPr>
        <w:t xml:space="preserve">1 </w:t>
      </w:r>
      <w:r>
        <w:rPr>
          <w:rFonts w:hint="eastAsia" w:ascii="宋体" w:hAnsi="宋体" w:cs="宋体"/>
          <w:sz w:val="24"/>
          <w:szCs w:val="28"/>
          <w:lang w:val="zh-CN"/>
        </w:rPr>
        <w:t>磋商小组对各供应商的资格性、递交的响应文件的符合性进行审阅，以判定各供应商资格、响应文件的有效性，审阅结束后，确定进入二次报价（最终报价）磋商阶段的供应商名单；</w:t>
      </w:r>
    </w:p>
    <w:p w14:paraId="3279A965">
      <w:pPr>
        <w:spacing w:line="480" w:lineRule="exact"/>
        <w:ind w:firstLine="480" w:firstLineChars="200"/>
        <w:rPr>
          <w:rFonts w:ascii="宋体" w:hAnsi="宋体" w:cs="宋体"/>
          <w:sz w:val="24"/>
          <w:szCs w:val="28"/>
          <w:lang w:val="zh-CN"/>
        </w:rPr>
      </w:pPr>
      <w:r>
        <w:rPr>
          <w:rFonts w:hint="eastAsia" w:ascii="宋体" w:hAnsi="宋体" w:cs="宋体"/>
          <w:sz w:val="24"/>
          <w:szCs w:val="28"/>
          <w:lang w:val="zh-CN"/>
        </w:rPr>
        <w:t>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006462A9">
      <w:pPr>
        <w:spacing w:line="480" w:lineRule="exact"/>
        <w:ind w:firstLine="560"/>
        <w:rPr>
          <w:rFonts w:ascii="宋体" w:hAnsi="宋体" w:cs="宋体"/>
          <w:sz w:val="24"/>
          <w:szCs w:val="28"/>
          <w:lang w:val="zh-CN"/>
        </w:rPr>
      </w:pPr>
      <w:r>
        <w:rPr>
          <w:rFonts w:hint="eastAsia" w:ascii="宋体" w:hAnsi="宋体" w:cs="宋体"/>
          <w:sz w:val="24"/>
          <w:szCs w:val="28"/>
        </w:rPr>
        <w:t>5</w:t>
      </w:r>
      <w:r>
        <w:rPr>
          <w:rFonts w:hint="eastAsia" w:ascii="宋体" w:hAnsi="宋体" w:cs="宋体"/>
          <w:sz w:val="24"/>
          <w:szCs w:val="28"/>
          <w:lang w:val="zh-CN"/>
        </w:rPr>
        <w:t>.</w:t>
      </w:r>
      <w:r>
        <w:rPr>
          <w:rFonts w:hint="eastAsia" w:ascii="宋体" w:hAnsi="宋体" w:cs="宋体"/>
          <w:sz w:val="24"/>
          <w:szCs w:val="28"/>
        </w:rPr>
        <w:t xml:space="preserve">2 </w:t>
      </w:r>
      <w:r>
        <w:rPr>
          <w:rFonts w:hint="eastAsia" w:ascii="宋体" w:hAnsi="宋体" w:cs="宋体"/>
          <w:sz w:val="24"/>
          <w:szCs w:val="28"/>
          <w:lang w:val="zh-CN"/>
        </w:rPr>
        <w:t>磋商小组所有成员应当与供应商进行磋商，并给予所有</w:t>
      </w:r>
      <w:r>
        <w:rPr>
          <w:rFonts w:hint="eastAsia" w:ascii="宋体" w:hAnsi="宋体" w:cs="宋体"/>
          <w:sz w:val="24"/>
          <w:szCs w:val="28"/>
        </w:rPr>
        <w:t>通过</w:t>
      </w:r>
      <w:r>
        <w:rPr>
          <w:rFonts w:hint="eastAsia" w:ascii="宋体" w:hAnsi="宋体" w:cs="宋体"/>
          <w:sz w:val="24"/>
          <w:szCs w:val="28"/>
          <w:lang w:val="zh-CN"/>
        </w:rPr>
        <w:t>资格审查和符合性审查合格的供应商平等的磋商机会；</w:t>
      </w:r>
    </w:p>
    <w:p w14:paraId="26298E24">
      <w:pPr>
        <w:widowControl w:val="0"/>
        <w:spacing w:line="480" w:lineRule="exact"/>
        <w:ind w:firstLine="561"/>
        <w:rPr>
          <w:rFonts w:ascii="宋体" w:hAnsi="宋体" w:cs="宋体"/>
          <w:sz w:val="24"/>
          <w:szCs w:val="28"/>
          <w:lang w:val="zh-CN"/>
        </w:rPr>
      </w:pPr>
      <w:r>
        <w:rPr>
          <w:rFonts w:hint="eastAsia" w:ascii="宋体" w:hAnsi="宋体" w:cs="宋体"/>
          <w:sz w:val="24"/>
          <w:szCs w:val="28"/>
        </w:rPr>
        <w:t>5</w:t>
      </w:r>
      <w:r>
        <w:rPr>
          <w:rFonts w:hint="eastAsia" w:ascii="宋体" w:hAnsi="宋体" w:cs="宋体"/>
          <w:sz w:val="24"/>
          <w:szCs w:val="28"/>
          <w:lang w:val="zh-CN"/>
        </w:rPr>
        <w:t>.</w:t>
      </w:r>
      <w:r>
        <w:rPr>
          <w:rFonts w:hint="eastAsia" w:ascii="宋体" w:hAnsi="宋体" w:cs="宋体"/>
          <w:sz w:val="24"/>
          <w:szCs w:val="28"/>
        </w:rPr>
        <w:t xml:space="preserve">3 </w:t>
      </w:r>
      <w:r>
        <w:rPr>
          <w:rFonts w:hint="eastAsia" w:ascii="宋体" w:hAnsi="宋体" w:cs="宋体"/>
          <w:sz w:val="24"/>
          <w:szCs w:val="28"/>
          <w:lang w:val="zh-CN"/>
        </w:rPr>
        <w:t>在磋商过程中，磋商小组可以根据磋商文件和磋商情况实质性变动采购需求中的技术、服务要求，但不得变动磋商文件中的其他内容。对磋商文件作出的实质性变动是磋商文件的有效组成部分，磋商小组应当及时同时通知所有参加磋商的供应商。供应商应当按照磋商文件的变动情况和磋商小组的要求重新提交响应文件，并由其法定代表人或授权代表电子签章；</w:t>
      </w:r>
    </w:p>
    <w:p w14:paraId="233EBD05">
      <w:pPr>
        <w:widowControl w:val="0"/>
        <w:spacing w:line="480" w:lineRule="exact"/>
        <w:ind w:firstLine="561"/>
        <w:rPr>
          <w:rFonts w:ascii="宋体" w:hAnsi="宋体" w:cs="宋体"/>
          <w:sz w:val="24"/>
          <w:szCs w:val="28"/>
          <w:lang w:val="zh-CN"/>
        </w:rPr>
      </w:pPr>
      <w:r>
        <w:rPr>
          <w:rFonts w:hint="eastAsia" w:ascii="宋体" w:hAnsi="宋体" w:cs="宋体"/>
          <w:sz w:val="24"/>
          <w:szCs w:val="28"/>
        </w:rPr>
        <w:t>5</w:t>
      </w:r>
      <w:r>
        <w:rPr>
          <w:rFonts w:hint="eastAsia" w:ascii="宋体" w:hAnsi="宋体" w:cs="宋体"/>
          <w:sz w:val="24"/>
          <w:szCs w:val="28"/>
          <w:lang w:val="zh-CN"/>
        </w:rPr>
        <w:t>.</w:t>
      </w:r>
      <w:r>
        <w:rPr>
          <w:rFonts w:hint="eastAsia" w:ascii="宋体" w:hAnsi="宋体" w:cs="宋体"/>
          <w:sz w:val="24"/>
          <w:szCs w:val="28"/>
        </w:rPr>
        <w:t xml:space="preserve">4 </w:t>
      </w:r>
      <w:r>
        <w:rPr>
          <w:rFonts w:hint="eastAsia" w:ascii="宋体" w:hAnsi="宋体" w:cs="宋体"/>
          <w:sz w:val="24"/>
          <w:szCs w:val="28"/>
          <w:lang w:val="zh-CN"/>
        </w:rPr>
        <w:t>磋商结束后，磋商小组应当要求所有实质性响应的供应商在规定时间内提交最终报价，提交最终报价的供应商不得少于3家，最终报价是供应商响应文件的有效组成部分；</w:t>
      </w:r>
    </w:p>
    <w:p w14:paraId="38E624AF">
      <w:pPr>
        <w:widowControl w:val="0"/>
        <w:spacing w:line="480" w:lineRule="exact"/>
        <w:ind w:firstLine="561"/>
        <w:rPr>
          <w:rFonts w:ascii="宋体" w:hAnsi="宋体" w:cs="宋体"/>
          <w:sz w:val="24"/>
          <w:szCs w:val="28"/>
          <w:lang w:val="zh-CN"/>
        </w:rPr>
      </w:pPr>
      <w:r>
        <w:rPr>
          <w:rFonts w:hint="eastAsia" w:ascii="宋体" w:hAnsi="宋体" w:cs="宋体"/>
          <w:sz w:val="24"/>
          <w:szCs w:val="28"/>
        </w:rPr>
        <w:t>5</w:t>
      </w:r>
      <w:r>
        <w:rPr>
          <w:rFonts w:hint="eastAsia" w:ascii="宋体" w:hAnsi="宋体" w:cs="宋体"/>
          <w:sz w:val="24"/>
          <w:szCs w:val="28"/>
          <w:lang w:val="zh-CN"/>
        </w:rPr>
        <w:t>.</w:t>
      </w:r>
      <w:r>
        <w:rPr>
          <w:rFonts w:hint="eastAsia" w:ascii="宋体" w:hAnsi="宋体" w:cs="宋体"/>
          <w:sz w:val="24"/>
          <w:szCs w:val="28"/>
        </w:rPr>
        <w:t xml:space="preserve">5 </w:t>
      </w:r>
      <w:r>
        <w:rPr>
          <w:rFonts w:hint="eastAsia" w:ascii="宋体" w:hAnsi="宋体" w:cs="宋体"/>
          <w:sz w:val="24"/>
          <w:szCs w:val="28"/>
          <w:lang w:val="zh-CN"/>
        </w:rPr>
        <w:t xml:space="preserve">经磋商确定最终采购需求和提交最终报价的供应商后，由磋商小组采用综合评分法对提交最终报价的供应商的响应文件和最终报价进行综合评分； </w:t>
      </w:r>
    </w:p>
    <w:p w14:paraId="701A2C6E">
      <w:pPr>
        <w:widowControl w:val="0"/>
        <w:spacing w:line="480" w:lineRule="exact"/>
        <w:ind w:firstLine="561"/>
        <w:rPr>
          <w:rFonts w:ascii="宋体" w:hAnsi="宋体" w:cs="宋体"/>
          <w:sz w:val="24"/>
          <w:szCs w:val="28"/>
          <w:lang w:val="zh-CN"/>
        </w:rPr>
      </w:pPr>
      <w:r>
        <w:rPr>
          <w:rFonts w:hint="eastAsia" w:ascii="宋体" w:hAnsi="宋体" w:cs="宋体"/>
          <w:sz w:val="24"/>
          <w:szCs w:val="28"/>
        </w:rPr>
        <w:t>5</w:t>
      </w:r>
      <w:r>
        <w:rPr>
          <w:rFonts w:hint="eastAsia" w:ascii="宋体" w:hAnsi="宋体" w:cs="宋体"/>
          <w:sz w:val="24"/>
          <w:szCs w:val="28"/>
          <w:lang w:val="zh-CN"/>
        </w:rPr>
        <w:t>.</w:t>
      </w:r>
      <w:r>
        <w:rPr>
          <w:rFonts w:hint="eastAsia" w:ascii="宋体" w:hAnsi="宋体" w:cs="宋体"/>
          <w:sz w:val="24"/>
          <w:szCs w:val="28"/>
        </w:rPr>
        <w:t xml:space="preserve">6 </w:t>
      </w:r>
      <w:r>
        <w:rPr>
          <w:rFonts w:hint="eastAsia" w:ascii="宋体" w:hAnsi="宋体" w:cs="宋体"/>
          <w:sz w:val="24"/>
          <w:szCs w:val="28"/>
          <w:lang w:val="zh-CN"/>
        </w:rPr>
        <w:t>磋商小组根据综合评分情况，按照评审得分由高到低顺序推荐</w:t>
      </w:r>
      <w:r>
        <w:rPr>
          <w:rFonts w:hint="eastAsia" w:ascii="宋体" w:hAnsi="宋体" w:cs="宋体"/>
          <w:sz w:val="24"/>
          <w:szCs w:val="28"/>
        </w:rPr>
        <w:t>3</w:t>
      </w:r>
      <w:r>
        <w:rPr>
          <w:rFonts w:hint="eastAsia" w:ascii="宋体" w:hAnsi="宋体" w:cs="宋体"/>
          <w:sz w:val="24"/>
          <w:szCs w:val="28"/>
          <w:lang w:val="zh-CN"/>
        </w:rPr>
        <w:t>名成交候选供应商，并编写评审报告。评审得分相同的，按照最终报价由低到高的顺序推荐。评审得分且最终报价相同的，按照服务方案优劣顺序推荐；</w:t>
      </w:r>
    </w:p>
    <w:p w14:paraId="37277684">
      <w:pPr>
        <w:widowControl w:val="0"/>
        <w:spacing w:line="480" w:lineRule="exact"/>
        <w:ind w:firstLine="561"/>
        <w:rPr>
          <w:rFonts w:ascii="宋体" w:hAnsi="宋体" w:cs="宋体"/>
          <w:sz w:val="24"/>
          <w:szCs w:val="28"/>
          <w:lang w:val="zh-CN"/>
        </w:rPr>
      </w:pPr>
      <w:r>
        <w:rPr>
          <w:rFonts w:hint="eastAsia" w:ascii="宋体" w:hAnsi="宋体" w:cs="宋体"/>
          <w:sz w:val="24"/>
          <w:szCs w:val="28"/>
        </w:rPr>
        <w:t>5</w:t>
      </w:r>
      <w:r>
        <w:rPr>
          <w:rFonts w:hint="eastAsia" w:ascii="宋体" w:hAnsi="宋体" w:cs="宋体"/>
          <w:sz w:val="24"/>
          <w:szCs w:val="28"/>
          <w:lang w:val="zh-CN"/>
        </w:rPr>
        <w:t>.</w:t>
      </w:r>
      <w:r>
        <w:rPr>
          <w:rFonts w:hint="eastAsia" w:ascii="宋体" w:hAnsi="宋体" w:cs="宋体"/>
          <w:sz w:val="24"/>
          <w:szCs w:val="28"/>
        </w:rPr>
        <w:t xml:space="preserve">7 </w:t>
      </w:r>
      <w:r>
        <w:rPr>
          <w:rFonts w:hint="eastAsia" w:ascii="宋体" w:hAnsi="宋体" w:cs="宋体"/>
          <w:sz w:val="24"/>
          <w:szCs w:val="28"/>
          <w:lang w:val="zh-CN"/>
        </w:rPr>
        <w:t>由采购人向成交方签发成交结果通知书；</w:t>
      </w:r>
    </w:p>
    <w:p w14:paraId="7FFA77D9">
      <w:pPr>
        <w:widowControl w:val="0"/>
        <w:spacing w:line="480" w:lineRule="exact"/>
        <w:ind w:firstLine="561"/>
        <w:rPr>
          <w:rFonts w:ascii="宋体" w:hAnsi="宋体" w:cs="宋体"/>
          <w:sz w:val="24"/>
          <w:szCs w:val="28"/>
        </w:rPr>
      </w:pPr>
      <w:r>
        <w:rPr>
          <w:rFonts w:hint="eastAsia" w:ascii="宋体" w:hAnsi="宋体" w:cs="宋体"/>
          <w:sz w:val="24"/>
          <w:szCs w:val="28"/>
        </w:rPr>
        <w:t>5</w:t>
      </w:r>
      <w:r>
        <w:rPr>
          <w:rFonts w:hint="eastAsia" w:ascii="宋体" w:hAnsi="宋体" w:cs="宋体"/>
          <w:sz w:val="24"/>
          <w:szCs w:val="28"/>
          <w:lang w:val="zh-CN"/>
        </w:rPr>
        <w:t>.</w:t>
      </w:r>
      <w:r>
        <w:rPr>
          <w:rFonts w:hint="eastAsia" w:ascii="宋体" w:hAnsi="宋体" w:cs="宋体"/>
          <w:sz w:val="24"/>
          <w:szCs w:val="28"/>
        </w:rPr>
        <w:t xml:space="preserve">8 </w:t>
      </w:r>
      <w:r>
        <w:rPr>
          <w:rFonts w:hint="eastAsia" w:ascii="宋体" w:hAnsi="宋体" w:cs="宋体"/>
          <w:sz w:val="24"/>
          <w:szCs w:val="28"/>
          <w:lang w:val="zh-CN"/>
        </w:rPr>
        <w:t>供需双方签订合同。</w:t>
      </w:r>
    </w:p>
    <w:p w14:paraId="46D4AE20">
      <w:pPr>
        <w:pStyle w:val="2"/>
        <w:rPr>
          <w:lang w:val="zh-CN"/>
        </w:rPr>
      </w:pPr>
      <w:bookmarkStart w:id="86" w:name="_Toc3511"/>
      <w:bookmarkStart w:id="87" w:name="_Toc10050"/>
      <w:bookmarkStart w:id="88" w:name="_Toc281744726"/>
      <w:bookmarkStart w:id="89" w:name="_Toc335435039"/>
      <w:bookmarkStart w:id="90" w:name="_Toc13747"/>
      <w:bookmarkStart w:id="91" w:name="_Toc12668"/>
      <w:bookmarkStart w:id="92" w:name="_Toc29112"/>
      <w:bookmarkStart w:id="93" w:name="_Toc17058"/>
      <w:bookmarkStart w:id="94" w:name="_Toc1786"/>
      <w:bookmarkStart w:id="95" w:name="_Toc11600"/>
      <w:bookmarkStart w:id="96" w:name="_Toc7390"/>
      <w:bookmarkStart w:id="97" w:name="_Toc24826"/>
      <w:bookmarkStart w:id="98" w:name="_Toc335435266"/>
      <w:bookmarkStart w:id="99" w:name="_Toc3851"/>
      <w:bookmarkStart w:id="100" w:name="_Toc18184"/>
      <w:bookmarkStart w:id="101" w:name="_Toc19852"/>
      <w:bookmarkStart w:id="102" w:name="_Toc335902128"/>
      <w:r>
        <w:rPr>
          <w:rFonts w:hint="eastAsia"/>
          <w:lang w:val="zh-CN"/>
        </w:rPr>
        <w:t>六、成交原则</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14:paraId="6828E9D9">
      <w:pPr>
        <w:spacing w:line="480" w:lineRule="exact"/>
        <w:ind w:firstLine="480" w:firstLineChars="200"/>
        <w:rPr>
          <w:rFonts w:ascii="宋体" w:hAnsi="宋体" w:cs="宋体"/>
          <w:sz w:val="24"/>
          <w:szCs w:val="28"/>
          <w:lang w:val="zh-CN"/>
        </w:rPr>
      </w:pPr>
      <w:r>
        <w:rPr>
          <w:rFonts w:hint="eastAsia" w:ascii="宋体" w:hAnsi="宋体" w:cs="宋体"/>
          <w:sz w:val="24"/>
          <w:szCs w:val="28"/>
        </w:rPr>
        <w:t>6</w:t>
      </w:r>
      <w:r>
        <w:rPr>
          <w:rFonts w:hint="eastAsia" w:ascii="宋体" w:hAnsi="宋体" w:cs="宋体"/>
          <w:sz w:val="24"/>
          <w:szCs w:val="28"/>
          <w:lang w:val="zh-CN"/>
        </w:rPr>
        <w:t>.1磋商小组将严格按照磋商文件的要求和条件进行比较并出具评审报告,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记录相关情况。磋商小组成员拒绝在报告上签字又不说明其不同意见和理由的，视为同意评审报告；</w:t>
      </w:r>
    </w:p>
    <w:p w14:paraId="04A01D13">
      <w:pPr>
        <w:spacing w:line="480" w:lineRule="exact"/>
        <w:ind w:firstLine="480" w:firstLineChars="200"/>
        <w:rPr>
          <w:rFonts w:ascii="宋体" w:hAnsi="宋体" w:cs="宋体"/>
          <w:sz w:val="24"/>
          <w:szCs w:val="28"/>
          <w:lang w:val="zh-CN"/>
        </w:rPr>
      </w:pPr>
      <w:r>
        <w:rPr>
          <w:rFonts w:hint="eastAsia" w:ascii="宋体" w:hAnsi="宋体" w:cs="宋体"/>
          <w:sz w:val="24"/>
          <w:szCs w:val="28"/>
        </w:rPr>
        <w:t>6</w:t>
      </w:r>
      <w:r>
        <w:rPr>
          <w:rFonts w:hint="eastAsia" w:ascii="宋体" w:hAnsi="宋体" w:cs="宋体"/>
          <w:sz w:val="24"/>
          <w:szCs w:val="28"/>
          <w:lang w:val="zh-CN"/>
        </w:rPr>
        <w:t>.2采购代理机构应当在评审结束后2个工作日内将评审报告送采购人确认，采购人应当在收到评审报告后5个工作日内，从评审报告提出的成交候选供应商中，按照排序由高到低的原则确定成交供应商，也可以授权磋商小组直接确定成交供应商。采购人逾期未确定成交供应商且不提出异议的，视为确定评审报告提出的排序第一的供应商为成交供应商；</w:t>
      </w:r>
    </w:p>
    <w:p w14:paraId="0D882351">
      <w:pPr>
        <w:widowControl w:val="0"/>
        <w:spacing w:line="480" w:lineRule="exact"/>
        <w:ind w:firstLine="480" w:firstLineChars="200"/>
        <w:rPr>
          <w:rFonts w:ascii="宋体" w:hAnsi="宋体" w:cs="宋体"/>
          <w:sz w:val="24"/>
          <w:szCs w:val="28"/>
          <w:lang w:val="zh-CN"/>
        </w:rPr>
      </w:pPr>
      <w:r>
        <w:rPr>
          <w:rFonts w:hint="eastAsia" w:ascii="宋体" w:hAnsi="宋体" w:cs="宋体"/>
          <w:sz w:val="24"/>
          <w:szCs w:val="28"/>
        </w:rPr>
        <w:t>6</w:t>
      </w:r>
      <w:r>
        <w:rPr>
          <w:rFonts w:hint="eastAsia" w:ascii="宋体" w:hAnsi="宋体" w:cs="宋体"/>
          <w:sz w:val="24"/>
          <w:szCs w:val="28"/>
          <w:lang w:val="zh-CN"/>
        </w:rPr>
        <w:t>.</w:t>
      </w:r>
      <w:r>
        <w:rPr>
          <w:rFonts w:hint="eastAsia" w:ascii="宋体" w:hAnsi="宋体" w:cs="宋体"/>
          <w:sz w:val="24"/>
          <w:szCs w:val="28"/>
        </w:rPr>
        <w:t>3</w:t>
      </w:r>
      <w:r>
        <w:rPr>
          <w:rFonts w:hint="eastAsia" w:ascii="宋体" w:hAnsi="宋体" w:cs="宋体"/>
          <w:sz w:val="24"/>
          <w:szCs w:val="28"/>
          <w:lang w:val="zh-CN"/>
        </w:rPr>
        <w:t>采购人或者采购代理机构应当在成交供应商确定后2个工作日内，在省级以上财政部门指定的政府采购信息发布媒体上公告成交结果，同时向成交供应商发出成交通知书</w:t>
      </w:r>
      <w:r>
        <w:rPr>
          <w:rFonts w:hint="eastAsia" w:ascii="宋体" w:hAnsi="宋体" w:cs="宋体"/>
          <w:szCs w:val="32"/>
        </w:rPr>
        <w:t>；</w:t>
      </w:r>
    </w:p>
    <w:p w14:paraId="3ABFA3DB">
      <w:pPr>
        <w:widowControl w:val="0"/>
        <w:spacing w:line="480" w:lineRule="exact"/>
        <w:ind w:firstLine="480" w:firstLineChars="200"/>
        <w:rPr>
          <w:rFonts w:ascii="宋体" w:hAnsi="宋体" w:cs="宋体"/>
          <w:sz w:val="24"/>
          <w:szCs w:val="28"/>
          <w:lang w:val="zh-CN"/>
        </w:rPr>
      </w:pPr>
      <w:r>
        <w:rPr>
          <w:rFonts w:hint="eastAsia" w:ascii="宋体" w:hAnsi="宋体" w:cs="宋体"/>
          <w:sz w:val="24"/>
          <w:szCs w:val="28"/>
        </w:rPr>
        <w:t>6</w:t>
      </w:r>
      <w:r>
        <w:rPr>
          <w:rFonts w:hint="eastAsia" w:ascii="宋体" w:hAnsi="宋体" w:cs="宋体"/>
          <w:sz w:val="24"/>
          <w:szCs w:val="28"/>
          <w:lang w:val="zh-CN"/>
        </w:rPr>
        <w:t>.</w:t>
      </w:r>
      <w:r>
        <w:rPr>
          <w:rFonts w:hint="eastAsia" w:ascii="宋体" w:hAnsi="宋体" w:cs="宋体"/>
          <w:sz w:val="24"/>
          <w:szCs w:val="28"/>
        </w:rPr>
        <w:t>4</w:t>
      </w:r>
      <w:r>
        <w:rPr>
          <w:rFonts w:hint="eastAsia" w:ascii="宋体" w:hAnsi="宋体" w:cs="宋体"/>
          <w:sz w:val="24"/>
          <w:szCs w:val="28"/>
          <w:lang w:val="zh-CN"/>
        </w:rPr>
        <w:t>采购人与成交供应商应当在成交通知书发出之日起</w:t>
      </w:r>
      <w:r>
        <w:rPr>
          <w:rFonts w:hint="eastAsia" w:ascii="宋体" w:hAnsi="宋体" w:cs="宋体"/>
          <w:sz w:val="24"/>
          <w:szCs w:val="28"/>
        </w:rPr>
        <w:t>15</w:t>
      </w:r>
      <w:r>
        <w:rPr>
          <w:rFonts w:hint="eastAsia" w:ascii="宋体" w:hAnsi="宋体" w:cs="宋体"/>
          <w:sz w:val="24"/>
          <w:szCs w:val="28"/>
          <w:lang w:val="zh-CN"/>
        </w:rPr>
        <w:t>日内，按照磋商文件、响应文件等事项签订政府采购合同。采购人不得与成交供应商订立背离磋商文件等实质性内容的协议；</w:t>
      </w:r>
    </w:p>
    <w:p w14:paraId="64FDE2B2">
      <w:pPr>
        <w:spacing w:line="480" w:lineRule="exact"/>
        <w:ind w:firstLine="480" w:firstLineChars="200"/>
        <w:rPr>
          <w:rFonts w:ascii="宋体" w:hAnsi="宋体" w:cs="宋体"/>
          <w:sz w:val="24"/>
          <w:szCs w:val="28"/>
          <w:lang w:val="zh-CN"/>
        </w:rPr>
      </w:pPr>
      <w:r>
        <w:rPr>
          <w:rFonts w:hint="eastAsia" w:ascii="宋体" w:hAnsi="宋体" w:cs="宋体"/>
          <w:sz w:val="24"/>
          <w:szCs w:val="28"/>
        </w:rPr>
        <w:t>6</w:t>
      </w:r>
      <w:r>
        <w:rPr>
          <w:rFonts w:hint="eastAsia" w:ascii="宋体" w:hAnsi="宋体" w:cs="宋体"/>
          <w:sz w:val="24"/>
          <w:szCs w:val="28"/>
          <w:lang w:val="zh-CN"/>
        </w:rPr>
        <w:t>.</w:t>
      </w:r>
      <w:r>
        <w:rPr>
          <w:rFonts w:hint="eastAsia" w:ascii="宋体" w:hAnsi="宋体" w:cs="宋体"/>
          <w:sz w:val="24"/>
          <w:szCs w:val="28"/>
        </w:rPr>
        <w:t>5</w:t>
      </w:r>
      <w:r>
        <w:rPr>
          <w:rFonts w:hint="eastAsia" w:ascii="宋体" w:hAnsi="宋体" w:cs="宋体"/>
          <w:sz w:val="24"/>
          <w:szCs w:val="28"/>
          <w:lang w:val="zh-CN"/>
        </w:rPr>
        <w:t>成交供应商拒绝签订政府采购合同的，采购人将把排名第二的成交候选供应商作为成交供应商并签订政府采购合同（以此类推）,也可以重新开展采购活动。拒绝签订政府采购合同的成交供应商不得参加对该项目重新开展的采购活动。</w:t>
      </w:r>
    </w:p>
    <w:p w14:paraId="7AEEB435">
      <w:pPr>
        <w:pStyle w:val="2"/>
        <w:rPr>
          <w:lang w:val="zh-CN"/>
        </w:rPr>
      </w:pPr>
      <w:bookmarkStart w:id="103" w:name="_Toc3584"/>
      <w:bookmarkStart w:id="104" w:name="_Toc25541"/>
      <w:bookmarkStart w:id="105" w:name="_Toc9291"/>
      <w:bookmarkStart w:id="106" w:name="_Toc19691"/>
      <w:bookmarkStart w:id="107" w:name="_Toc4086"/>
      <w:bookmarkStart w:id="108" w:name="_Toc26050"/>
      <w:bookmarkStart w:id="109" w:name="_Toc2016"/>
      <w:r>
        <w:rPr>
          <w:rFonts w:hint="eastAsia"/>
          <w:lang w:val="zh-CN"/>
        </w:rPr>
        <w:t>七、确定成交供应商的标准方法</w:t>
      </w:r>
      <w:bookmarkEnd w:id="103"/>
      <w:bookmarkEnd w:id="104"/>
      <w:bookmarkEnd w:id="105"/>
      <w:bookmarkEnd w:id="106"/>
      <w:bookmarkEnd w:id="107"/>
      <w:bookmarkEnd w:id="108"/>
      <w:bookmarkEnd w:id="109"/>
    </w:p>
    <w:p w14:paraId="32844486">
      <w:pPr>
        <w:spacing w:line="480" w:lineRule="exact"/>
        <w:ind w:firstLine="480" w:firstLineChars="200"/>
        <w:rPr>
          <w:rFonts w:ascii="宋体" w:hAnsi="宋体" w:cs="宋体"/>
          <w:sz w:val="24"/>
        </w:rPr>
      </w:pPr>
      <w:r>
        <w:rPr>
          <w:rFonts w:hint="eastAsia" w:ascii="宋体" w:hAnsi="宋体" w:cs="宋体"/>
          <w:sz w:val="24"/>
          <w:szCs w:val="28"/>
          <w:lang w:val="zh-CN"/>
        </w:rPr>
        <w:t>详见竞争性磋商文件第三章“磋商办法”。</w:t>
      </w:r>
    </w:p>
    <w:p w14:paraId="1745987B">
      <w:pPr>
        <w:spacing w:line="480" w:lineRule="exact"/>
        <w:rPr>
          <w:rFonts w:ascii="宋体" w:hAnsi="宋体" w:cs="宋体"/>
          <w:b/>
          <w:bCs/>
          <w:sz w:val="24"/>
          <w:lang w:val="zh-CN"/>
        </w:rPr>
      </w:pPr>
      <w:bookmarkStart w:id="110" w:name="_Toc335902130"/>
      <w:bookmarkStart w:id="111" w:name="_Toc26741"/>
      <w:bookmarkStart w:id="112" w:name="_Toc281744728"/>
      <w:bookmarkStart w:id="113" w:name="_Toc18425"/>
      <w:bookmarkStart w:id="114" w:name="_Toc6839"/>
      <w:bookmarkStart w:id="115" w:name="_Toc335435041"/>
      <w:bookmarkStart w:id="116" w:name="_Toc335435268"/>
      <w:bookmarkStart w:id="117" w:name="_Toc30217"/>
      <w:bookmarkStart w:id="118" w:name="_Toc24079"/>
      <w:bookmarkStart w:id="119" w:name="_Toc9212"/>
      <w:r>
        <w:rPr>
          <w:rFonts w:hint="eastAsia" w:ascii="宋体" w:hAnsi="宋体" w:cs="宋体"/>
          <w:b/>
          <w:bCs/>
          <w:sz w:val="24"/>
          <w:lang w:val="zh-CN"/>
        </w:rPr>
        <w:t>八、</w:t>
      </w:r>
      <w:bookmarkEnd w:id="110"/>
      <w:bookmarkEnd w:id="111"/>
      <w:bookmarkEnd w:id="112"/>
      <w:bookmarkEnd w:id="113"/>
      <w:bookmarkEnd w:id="114"/>
      <w:bookmarkEnd w:id="115"/>
      <w:bookmarkEnd w:id="116"/>
      <w:bookmarkEnd w:id="117"/>
      <w:bookmarkEnd w:id="118"/>
      <w:bookmarkEnd w:id="119"/>
      <w:r>
        <w:rPr>
          <w:rFonts w:hint="eastAsia" w:ascii="宋体" w:hAnsi="宋体" w:cs="宋体"/>
          <w:b/>
          <w:bCs/>
          <w:sz w:val="24"/>
          <w:lang w:val="zh-CN"/>
        </w:rPr>
        <w:t>成交通知书和签订合同</w:t>
      </w:r>
    </w:p>
    <w:p w14:paraId="63F76B51">
      <w:pPr>
        <w:widowControl w:val="0"/>
        <w:spacing w:line="480" w:lineRule="exact"/>
        <w:ind w:firstLine="480" w:firstLineChars="200"/>
        <w:rPr>
          <w:rFonts w:ascii="宋体" w:hAnsi="宋体" w:cs="宋体"/>
          <w:sz w:val="24"/>
          <w:szCs w:val="28"/>
          <w:lang w:val="zh-CN"/>
        </w:rPr>
      </w:pPr>
      <w:r>
        <w:rPr>
          <w:rStyle w:val="54"/>
          <w:rFonts w:hint="eastAsia" w:ascii="宋体" w:hAnsi="宋体" w:cs="宋体"/>
          <w:sz w:val="24"/>
          <w:szCs w:val="28"/>
        </w:rPr>
        <w:t>8</w:t>
      </w:r>
      <w:r>
        <w:rPr>
          <w:rFonts w:hint="eastAsia" w:ascii="宋体" w:hAnsi="宋体" w:cs="宋体"/>
          <w:sz w:val="24"/>
          <w:szCs w:val="28"/>
          <w:lang w:val="zh-CN"/>
        </w:rPr>
        <w:t>.1确定成交供应商后,由采购人向成交供应商签发《成交通知书》，成交供应商应于《成交通知书》签发之日起三日内及时领取《成交通知书》。采购人与成交供应商应当在成交通知书发出之日起15日内，按照磋商文件、响应文件签订政府采购合同。《成交通知书》、竞争性磋商文件（包括澄清文件）、磋商记录及成交供应商的响应性文件等，均为签订合同的依据。成交通知书对采购人和成交供应商均具有法律效力。</w:t>
      </w:r>
    </w:p>
    <w:p w14:paraId="25DCEAF4">
      <w:pPr>
        <w:widowControl w:val="0"/>
        <w:spacing w:line="480" w:lineRule="exact"/>
        <w:ind w:firstLine="480" w:firstLineChars="200"/>
        <w:rPr>
          <w:rFonts w:ascii="宋体" w:hAnsi="宋体" w:cs="宋体"/>
          <w:sz w:val="24"/>
          <w:szCs w:val="28"/>
          <w:lang w:val="zh-CN"/>
        </w:rPr>
      </w:pPr>
      <w:r>
        <w:rPr>
          <w:rFonts w:hint="eastAsia" w:ascii="宋体" w:hAnsi="宋体" w:cs="宋体"/>
          <w:sz w:val="24"/>
          <w:szCs w:val="28"/>
          <w:lang w:val="zh-CN"/>
        </w:rPr>
        <w:t>8.2成交供应商应在与采购人签订合同后，按采购人要求履行合同。</w:t>
      </w:r>
    </w:p>
    <w:p w14:paraId="272E5507">
      <w:pPr>
        <w:widowControl w:val="0"/>
        <w:spacing w:line="480" w:lineRule="exact"/>
        <w:ind w:firstLine="480" w:firstLineChars="200"/>
        <w:rPr>
          <w:rFonts w:ascii="宋体" w:hAnsi="宋体" w:cs="宋体"/>
          <w:sz w:val="24"/>
          <w:szCs w:val="28"/>
          <w:lang w:val="zh-CN"/>
        </w:rPr>
      </w:pPr>
      <w:r>
        <w:rPr>
          <w:rFonts w:hint="eastAsia" w:ascii="宋体" w:hAnsi="宋体" w:cs="宋体"/>
          <w:sz w:val="24"/>
          <w:szCs w:val="28"/>
          <w:lang w:val="zh-CN"/>
        </w:rPr>
        <w:t>8.3本项目不允许供应商拟在成交后将成交项目交由他人完成,未经采购人同意，成交供应商不得采用分包的形式履行合同。否则采购人有权终止合同，转包或分包造成采购人损失的，成交供应商还应承担相应赔偿责任。</w:t>
      </w:r>
    </w:p>
    <w:p w14:paraId="3780C4D6">
      <w:pPr>
        <w:widowControl w:val="0"/>
        <w:spacing w:line="480" w:lineRule="exact"/>
        <w:ind w:firstLine="480" w:firstLineChars="200"/>
        <w:rPr>
          <w:rFonts w:ascii="宋体" w:hAnsi="宋体" w:cs="宋体"/>
          <w:sz w:val="24"/>
          <w:szCs w:val="28"/>
          <w:lang w:val="zh-CN"/>
        </w:rPr>
      </w:pPr>
      <w:r>
        <w:rPr>
          <w:rFonts w:hint="eastAsia" w:ascii="宋体" w:hAnsi="宋体" w:cs="宋体"/>
          <w:sz w:val="24"/>
          <w:szCs w:val="28"/>
          <w:lang w:val="zh-CN"/>
        </w:rPr>
        <w:t>8.4成交供应商不按照竞争性磋商文件和成交供应商的响应文件确定的事项签订政府采购合同或者另行签订背离合同实质性内容的协议的或成交通知书发出后无正当理由不签订采购合同的，采购人有权追究成交供应商的责任。若给采购人造成损失的，应予赔偿，并上报主管部门。</w:t>
      </w:r>
    </w:p>
    <w:p w14:paraId="620C10AB">
      <w:pPr>
        <w:widowControl w:val="0"/>
        <w:spacing w:line="480" w:lineRule="exact"/>
        <w:ind w:firstLine="480" w:firstLineChars="200"/>
        <w:rPr>
          <w:rFonts w:ascii="宋体" w:hAnsi="宋体" w:cs="宋体"/>
          <w:sz w:val="24"/>
          <w:szCs w:val="28"/>
          <w:lang w:val="zh-CN"/>
        </w:rPr>
      </w:pPr>
      <w:r>
        <w:rPr>
          <w:rFonts w:hint="eastAsia" w:ascii="宋体" w:hAnsi="宋体" w:cs="宋体"/>
          <w:sz w:val="24"/>
          <w:szCs w:val="28"/>
          <w:lang w:val="zh-CN"/>
        </w:rPr>
        <w:t>8.5政府采购合同适用合同法。采购人和供应商之间的在合同中约定的权利和义务，双方均应诚实守信全面履行，否则违约方将承担违约责任并赔偿对方损失。</w:t>
      </w:r>
    </w:p>
    <w:p w14:paraId="03E8628A">
      <w:pPr>
        <w:numPr>
          <w:ilvl w:val="0"/>
          <w:numId w:val="1"/>
        </w:numPr>
        <w:spacing w:line="480" w:lineRule="exact"/>
        <w:jc w:val="left"/>
        <w:rPr>
          <w:rFonts w:ascii="宋体" w:hAnsi="宋体" w:cs="宋体"/>
          <w:b/>
          <w:bCs/>
          <w:sz w:val="24"/>
          <w:lang w:val="zh-CN"/>
        </w:rPr>
      </w:pPr>
      <w:r>
        <w:rPr>
          <w:rFonts w:hint="eastAsia" w:ascii="宋体" w:hAnsi="宋体" w:cs="宋体"/>
          <w:b/>
          <w:bCs/>
          <w:sz w:val="24"/>
          <w:lang w:val="zh-CN"/>
        </w:rPr>
        <w:t>需要补充的其他内容</w:t>
      </w:r>
    </w:p>
    <w:p w14:paraId="051909A0">
      <w:pPr>
        <w:pStyle w:val="48"/>
        <w:spacing w:before="120" w:after="120" w:line="360" w:lineRule="auto"/>
        <w:jc w:val="center"/>
        <w:rPr>
          <w:rStyle w:val="54"/>
          <w:rFonts w:ascii="宋体" w:hAnsi="宋体" w:cs="宋体"/>
          <w:kern w:val="0"/>
          <w:sz w:val="28"/>
          <w:szCs w:val="28"/>
          <w:lang w:val="zh-CN"/>
        </w:rPr>
      </w:pPr>
      <w:r>
        <w:rPr>
          <w:rStyle w:val="54"/>
          <w:rFonts w:hint="eastAsia" w:ascii="宋体" w:hAnsi="宋体" w:cs="宋体"/>
          <w:kern w:val="0"/>
          <w:sz w:val="28"/>
          <w:szCs w:val="28"/>
          <w:lang w:val="zh-CN"/>
        </w:rPr>
        <w:br w:type="page"/>
      </w:r>
    </w:p>
    <w:p w14:paraId="2C92E929">
      <w:pPr>
        <w:spacing w:before="120" w:after="120" w:line="360" w:lineRule="auto"/>
        <w:jc w:val="center"/>
        <w:outlineLvl w:val="0"/>
        <w:rPr>
          <w:rStyle w:val="54"/>
          <w:rFonts w:ascii="宋体" w:hAnsi="宋体" w:cs="宋体"/>
          <w:b/>
          <w:bCs/>
          <w:sz w:val="36"/>
          <w:szCs w:val="36"/>
        </w:rPr>
      </w:pPr>
      <w:bookmarkStart w:id="120" w:name="_Toc16896"/>
      <w:r>
        <w:rPr>
          <w:rStyle w:val="54"/>
          <w:rFonts w:hint="eastAsia" w:ascii="宋体" w:hAnsi="宋体" w:cs="宋体"/>
          <w:b/>
          <w:bCs/>
          <w:sz w:val="36"/>
          <w:szCs w:val="36"/>
        </w:rPr>
        <w:t>第三章  磋商办法</w:t>
      </w:r>
      <w:bookmarkEnd w:id="120"/>
    </w:p>
    <w:p w14:paraId="1B079FEA">
      <w:pPr>
        <w:tabs>
          <w:tab w:val="left" w:pos="792"/>
          <w:tab w:val="left" w:pos="972"/>
          <w:tab w:val="left" w:pos="1152"/>
          <w:tab w:val="left" w:pos="1440"/>
        </w:tabs>
        <w:spacing w:line="480" w:lineRule="exact"/>
        <w:rPr>
          <w:rStyle w:val="54"/>
          <w:rFonts w:ascii="宋体" w:hAnsi="宋体" w:cs="宋体"/>
          <w:b/>
          <w:bCs/>
          <w:sz w:val="24"/>
          <w:szCs w:val="28"/>
          <w:lang w:val="zh-CN"/>
        </w:rPr>
      </w:pPr>
      <w:r>
        <w:rPr>
          <w:rStyle w:val="54"/>
          <w:rFonts w:hint="eastAsia" w:ascii="宋体" w:hAnsi="宋体" w:cs="宋体"/>
          <w:b/>
          <w:bCs/>
          <w:sz w:val="24"/>
          <w:szCs w:val="28"/>
          <w:lang w:val="zh-CN"/>
        </w:rPr>
        <w:t>一、磋商原则</w:t>
      </w:r>
    </w:p>
    <w:p w14:paraId="0E8E9B91">
      <w:pPr>
        <w:spacing w:line="480" w:lineRule="exact"/>
        <w:ind w:firstLine="480" w:firstLineChars="200"/>
        <w:rPr>
          <w:rStyle w:val="54"/>
          <w:rFonts w:ascii="宋体" w:hAnsi="宋体" w:cs="宋体"/>
          <w:sz w:val="24"/>
          <w:szCs w:val="28"/>
        </w:rPr>
      </w:pPr>
      <w:r>
        <w:rPr>
          <w:rStyle w:val="54"/>
          <w:rFonts w:hint="eastAsia" w:ascii="宋体" w:hAnsi="宋体" w:cs="宋体"/>
          <w:sz w:val="24"/>
          <w:szCs w:val="28"/>
        </w:rPr>
        <w:t>1、坚持公平、公正的原则，公正地对待所有磋商供应商。</w:t>
      </w:r>
    </w:p>
    <w:p w14:paraId="0FF2CF10">
      <w:pPr>
        <w:spacing w:line="480" w:lineRule="exact"/>
        <w:ind w:firstLine="480" w:firstLineChars="200"/>
        <w:rPr>
          <w:rStyle w:val="54"/>
          <w:rFonts w:ascii="宋体" w:hAnsi="宋体" w:cs="宋体"/>
          <w:sz w:val="24"/>
          <w:szCs w:val="28"/>
        </w:rPr>
      </w:pPr>
      <w:r>
        <w:rPr>
          <w:rStyle w:val="54"/>
          <w:rFonts w:hint="eastAsia" w:ascii="宋体" w:hAnsi="宋体" w:cs="宋体"/>
          <w:sz w:val="24"/>
          <w:szCs w:val="28"/>
        </w:rPr>
        <w:t>2、坚持竞争性磋商文件的所有相关规定，择优定标。</w:t>
      </w:r>
    </w:p>
    <w:p w14:paraId="70FE53EE">
      <w:pPr>
        <w:spacing w:line="480" w:lineRule="exact"/>
        <w:rPr>
          <w:rStyle w:val="54"/>
          <w:rFonts w:ascii="宋体" w:hAnsi="宋体" w:cs="宋体"/>
          <w:b/>
          <w:bCs/>
          <w:sz w:val="24"/>
          <w:szCs w:val="28"/>
        </w:rPr>
      </w:pPr>
      <w:r>
        <w:rPr>
          <w:rStyle w:val="54"/>
          <w:rFonts w:hint="eastAsia" w:ascii="宋体" w:hAnsi="宋体" w:cs="宋体"/>
          <w:b/>
          <w:bCs/>
          <w:sz w:val="24"/>
          <w:szCs w:val="28"/>
          <w:lang w:val="zh-CN"/>
        </w:rPr>
        <w:t>二、磋商程序</w:t>
      </w:r>
    </w:p>
    <w:p w14:paraId="67E6B75C">
      <w:pPr>
        <w:spacing w:line="480" w:lineRule="exact"/>
        <w:rPr>
          <w:rStyle w:val="54"/>
          <w:rFonts w:ascii="宋体" w:hAnsi="宋体" w:cs="宋体"/>
          <w:b/>
          <w:bCs/>
          <w:sz w:val="24"/>
          <w:szCs w:val="28"/>
        </w:rPr>
      </w:pPr>
      <w:r>
        <w:rPr>
          <w:rStyle w:val="54"/>
          <w:rFonts w:hint="eastAsia" w:ascii="宋体" w:hAnsi="宋体" w:cs="宋体"/>
          <w:b/>
          <w:bCs/>
          <w:sz w:val="24"/>
          <w:szCs w:val="28"/>
        </w:rPr>
        <w:t>（一）磋商</w:t>
      </w:r>
    </w:p>
    <w:p w14:paraId="191545D3">
      <w:pPr>
        <w:spacing w:line="480" w:lineRule="exact"/>
        <w:ind w:firstLine="480" w:firstLineChars="200"/>
        <w:rPr>
          <w:rStyle w:val="54"/>
          <w:rFonts w:ascii="宋体" w:hAnsi="宋体" w:cs="宋体"/>
          <w:sz w:val="24"/>
          <w:szCs w:val="28"/>
        </w:rPr>
      </w:pPr>
      <w:r>
        <w:rPr>
          <w:rStyle w:val="54"/>
          <w:rFonts w:hint="eastAsia" w:ascii="宋体" w:hAnsi="宋体" w:cs="宋体"/>
          <w:sz w:val="24"/>
          <w:szCs w:val="28"/>
        </w:rPr>
        <w:t>1、磋商活动由采购代理机构组织，磋商小组所有成员在电子交易系统中与供应商在规定时间内进行磋商。</w:t>
      </w:r>
    </w:p>
    <w:p w14:paraId="60247DBA">
      <w:pPr>
        <w:spacing w:line="480" w:lineRule="exact"/>
        <w:rPr>
          <w:rStyle w:val="54"/>
          <w:rFonts w:ascii="宋体" w:hAnsi="宋体" w:cs="宋体"/>
          <w:b/>
          <w:bCs/>
          <w:sz w:val="24"/>
          <w:szCs w:val="28"/>
        </w:rPr>
      </w:pPr>
      <w:r>
        <w:rPr>
          <w:rStyle w:val="54"/>
          <w:rFonts w:hint="eastAsia" w:ascii="宋体" w:hAnsi="宋体" w:cs="宋体"/>
          <w:b/>
          <w:bCs/>
          <w:sz w:val="24"/>
          <w:szCs w:val="28"/>
        </w:rPr>
        <w:t>（二）磋商小组</w:t>
      </w:r>
    </w:p>
    <w:p w14:paraId="72F82CBF">
      <w:pPr>
        <w:tabs>
          <w:tab w:val="left" w:pos="2520"/>
        </w:tabs>
        <w:spacing w:line="480" w:lineRule="exact"/>
        <w:ind w:firstLine="560"/>
        <w:rPr>
          <w:rStyle w:val="54"/>
          <w:rFonts w:ascii="宋体" w:hAnsi="宋体" w:cs="宋体"/>
          <w:sz w:val="24"/>
          <w:szCs w:val="28"/>
          <w:lang w:val="zh-CN"/>
        </w:rPr>
      </w:pPr>
      <w:r>
        <w:rPr>
          <w:rStyle w:val="54"/>
          <w:rFonts w:hint="eastAsia" w:ascii="宋体" w:hAnsi="宋体" w:cs="宋体"/>
          <w:sz w:val="24"/>
          <w:szCs w:val="28"/>
          <w:lang w:val="zh-CN"/>
        </w:rPr>
        <w:t>由采购人组织成立磋商小组，磋商小组成员由采购人代表和磋商小组专家组成，成员人数应当为</w:t>
      </w:r>
      <w:r>
        <w:rPr>
          <w:rStyle w:val="54"/>
          <w:rFonts w:hint="eastAsia" w:ascii="宋体" w:hAnsi="宋体" w:cs="宋体"/>
          <w:sz w:val="24"/>
          <w:szCs w:val="28"/>
        </w:rPr>
        <w:t>3</w:t>
      </w:r>
      <w:r>
        <w:rPr>
          <w:rStyle w:val="54"/>
          <w:rFonts w:hint="eastAsia" w:ascii="宋体" w:hAnsi="宋体" w:cs="宋体"/>
          <w:sz w:val="24"/>
          <w:szCs w:val="28"/>
          <w:lang w:val="zh-CN"/>
        </w:rPr>
        <w:t>人以上单数，其中磋商小组专家不得少于成员总人数的三分之二。</w:t>
      </w:r>
    </w:p>
    <w:p w14:paraId="35D995F8">
      <w:pPr>
        <w:spacing w:line="480" w:lineRule="exact"/>
        <w:rPr>
          <w:rStyle w:val="54"/>
          <w:rFonts w:ascii="宋体" w:hAnsi="宋体" w:cs="宋体"/>
          <w:b/>
          <w:bCs/>
          <w:sz w:val="24"/>
          <w:szCs w:val="28"/>
        </w:rPr>
      </w:pPr>
      <w:r>
        <w:rPr>
          <w:rStyle w:val="54"/>
          <w:rFonts w:hint="eastAsia" w:ascii="宋体" w:hAnsi="宋体" w:cs="宋体"/>
          <w:b/>
          <w:bCs/>
          <w:sz w:val="24"/>
          <w:szCs w:val="28"/>
        </w:rPr>
        <w:t>（三）磋商程序</w:t>
      </w:r>
    </w:p>
    <w:p w14:paraId="775B2B39">
      <w:pPr>
        <w:tabs>
          <w:tab w:val="left" w:pos="2520"/>
        </w:tabs>
        <w:spacing w:line="480" w:lineRule="exact"/>
        <w:ind w:firstLine="560"/>
        <w:rPr>
          <w:rStyle w:val="54"/>
          <w:rFonts w:ascii="宋体" w:hAnsi="宋体" w:cs="宋体"/>
          <w:sz w:val="24"/>
          <w:szCs w:val="28"/>
          <w:lang w:val="zh-CN"/>
        </w:rPr>
      </w:pPr>
      <w:r>
        <w:rPr>
          <w:rStyle w:val="54"/>
          <w:rFonts w:hint="eastAsia" w:ascii="宋体" w:hAnsi="宋体" w:cs="宋体"/>
          <w:sz w:val="24"/>
          <w:szCs w:val="28"/>
          <w:lang w:val="zh-CN"/>
        </w:rPr>
        <w:t>1、首次磋商报价即响应文件中的报价；</w:t>
      </w:r>
    </w:p>
    <w:p w14:paraId="7F962BA1">
      <w:pPr>
        <w:tabs>
          <w:tab w:val="left" w:pos="2520"/>
        </w:tabs>
        <w:spacing w:line="480" w:lineRule="exact"/>
        <w:ind w:firstLine="560"/>
        <w:rPr>
          <w:rStyle w:val="54"/>
          <w:rFonts w:ascii="宋体" w:hAnsi="宋体" w:cs="宋体"/>
          <w:sz w:val="24"/>
          <w:szCs w:val="28"/>
          <w:lang w:val="zh-CN"/>
        </w:rPr>
      </w:pPr>
      <w:r>
        <w:rPr>
          <w:rStyle w:val="54"/>
          <w:rFonts w:hint="eastAsia" w:ascii="宋体" w:hAnsi="宋体" w:cs="宋体"/>
          <w:sz w:val="24"/>
          <w:szCs w:val="28"/>
          <w:lang w:val="zh-CN"/>
        </w:rPr>
        <w:t>2、资格性审查与符合性审查；</w:t>
      </w:r>
    </w:p>
    <w:p w14:paraId="3F14BE7E">
      <w:pPr>
        <w:tabs>
          <w:tab w:val="left" w:pos="2520"/>
        </w:tabs>
        <w:spacing w:line="480" w:lineRule="exact"/>
        <w:ind w:firstLine="560"/>
        <w:rPr>
          <w:rStyle w:val="54"/>
          <w:rFonts w:ascii="宋体" w:hAnsi="宋体" w:cs="宋体"/>
          <w:sz w:val="24"/>
          <w:szCs w:val="28"/>
          <w:lang w:val="zh-CN"/>
        </w:rPr>
      </w:pPr>
      <w:r>
        <w:rPr>
          <w:rStyle w:val="54"/>
          <w:rFonts w:hint="eastAsia" w:ascii="宋体" w:hAnsi="宋体" w:cs="宋体"/>
          <w:sz w:val="24"/>
          <w:szCs w:val="28"/>
          <w:lang w:val="zh-CN"/>
        </w:rPr>
        <w:t>3、磋商小组与</w:t>
      </w:r>
      <w:r>
        <w:rPr>
          <w:rStyle w:val="54"/>
          <w:rFonts w:hint="eastAsia" w:ascii="宋体" w:hAnsi="宋体" w:cs="宋体"/>
          <w:sz w:val="24"/>
          <w:szCs w:val="28"/>
        </w:rPr>
        <w:t>通过审查的</w:t>
      </w:r>
      <w:r>
        <w:rPr>
          <w:rStyle w:val="54"/>
          <w:rFonts w:hint="eastAsia" w:ascii="宋体" w:hAnsi="宋体" w:cs="宋体"/>
          <w:sz w:val="24"/>
          <w:szCs w:val="28"/>
          <w:lang w:val="zh-CN"/>
        </w:rPr>
        <w:t>供应商进行二次报价磋商；</w:t>
      </w:r>
    </w:p>
    <w:p w14:paraId="19DCBD1F">
      <w:pPr>
        <w:tabs>
          <w:tab w:val="left" w:pos="2520"/>
        </w:tabs>
        <w:spacing w:line="480" w:lineRule="exact"/>
        <w:ind w:firstLine="560"/>
        <w:rPr>
          <w:rStyle w:val="54"/>
          <w:rFonts w:ascii="宋体" w:hAnsi="宋体" w:cs="宋体"/>
          <w:sz w:val="24"/>
          <w:szCs w:val="28"/>
          <w:lang w:val="zh-CN"/>
        </w:rPr>
      </w:pPr>
      <w:r>
        <w:rPr>
          <w:rStyle w:val="54"/>
          <w:rFonts w:hint="eastAsia" w:ascii="宋体" w:hAnsi="宋体" w:cs="宋体"/>
          <w:sz w:val="24"/>
          <w:szCs w:val="28"/>
          <w:lang w:val="zh-CN"/>
        </w:rPr>
        <w:t>4、磋商文件中服务要求及合同草案条款有实质性变动的，磋商小组将通知所有参加磋商的供应商；</w:t>
      </w:r>
    </w:p>
    <w:p w14:paraId="444FFD77">
      <w:pPr>
        <w:tabs>
          <w:tab w:val="left" w:pos="2520"/>
        </w:tabs>
        <w:spacing w:line="480" w:lineRule="exact"/>
        <w:ind w:firstLine="560"/>
        <w:rPr>
          <w:rStyle w:val="54"/>
          <w:rFonts w:ascii="宋体" w:hAnsi="宋体" w:cs="宋体"/>
          <w:sz w:val="24"/>
          <w:szCs w:val="28"/>
          <w:lang w:val="zh-CN"/>
        </w:rPr>
      </w:pPr>
      <w:r>
        <w:rPr>
          <w:rStyle w:val="54"/>
          <w:rFonts w:hint="eastAsia" w:ascii="宋体" w:hAnsi="宋体" w:cs="宋体"/>
          <w:sz w:val="24"/>
          <w:szCs w:val="28"/>
          <w:lang w:val="zh-CN"/>
        </w:rPr>
        <w:t>5、经磋商确定最终采购需求和提交最终报价的供应商后，由磋商小组采用综合评分法对提交最终报价的供应商的响应文件和最终报价进行综合评分。</w:t>
      </w:r>
    </w:p>
    <w:p w14:paraId="4BBBA8B4">
      <w:pPr>
        <w:spacing w:line="480" w:lineRule="exact"/>
        <w:rPr>
          <w:rStyle w:val="54"/>
          <w:rFonts w:ascii="宋体" w:hAnsi="宋体" w:cs="宋体"/>
          <w:b/>
          <w:sz w:val="24"/>
          <w:szCs w:val="28"/>
        </w:rPr>
      </w:pPr>
      <w:r>
        <w:rPr>
          <w:rStyle w:val="54"/>
          <w:rFonts w:hint="eastAsia" w:ascii="宋体" w:hAnsi="宋体" w:cs="宋体"/>
          <w:b/>
          <w:sz w:val="24"/>
          <w:szCs w:val="28"/>
        </w:rPr>
        <w:t>（四）评审磋商文件</w:t>
      </w:r>
    </w:p>
    <w:p w14:paraId="7943DF7F">
      <w:pPr>
        <w:spacing w:line="480" w:lineRule="exact"/>
        <w:ind w:firstLine="482" w:firstLineChars="200"/>
        <w:jc w:val="left"/>
        <w:rPr>
          <w:rStyle w:val="54"/>
          <w:rFonts w:ascii="宋体" w:hAnsi="宋体" w:cs="宋体"/>
          <w:b/>
          <w:bCs/>
          <w:sz w:val="24"/>
          <w:szCs w:val="28"/>
        </w:rPr>
      </w:pPr>
      <w:r>
        <w:rPr>
          <w:rStyle w:val="54"/>
          <w:rFonts w:hint="eastAsia" w:ascii="宋体" w:hAnsi="宋体" w:cs="宋体"/>
          <w:b/>
          <w:bCs/>
          <w:sz w:val="24"/>
          <w:szCs w:val="28"/>
        </w:rPr>
        <w:t>4.1资格性审查：</w:t>
      </w:r>
    </w:p>
    <w:p w14:paraId="34E71E1B">
      <w:pPr>
        <w:spacing w:line="480" w:lineRule="exact"/>
        <w:ind w:firstLine="482" w:firstLineChars="200"/>
        <w:rPr>
          <w:rStyle w:val="54"/>
          <w:rFonts w:ascii="宋体" w:hAnsi="宋体" w:cs="宋体"/>
          <w:b/>
          <w:bCs/>
          <w:sz w:val="24"/>
          <w:szCs w:val="28"/>
          <w:lang w:val="zh-CN"/>
        </w:rPr>
      </w:pPr>
      <w:r>
        <w:rPr>
          <w:rStyle w:val="54"/>
          <w:rFonts w:hint="eastAsia" w:ascii="宋体" w:hAnsi="宋体" w:cs="宋体"/>
          <w:b/>
          <w:bCs/>
          <w:sz w:val="24"/>
          <w:szCs w:val="28"/>
          <w:lang w:val="zh-CN"/>
        </w:rPr>
        <w:t>4.1.1开标结束后，磋商小组应当依法对供应商的资格进行审查，供应商资格按照磋商文件第一章《竞争性磋商公告》“供应商资格要求”内容审查，并按供应商提交的相应资料审查资格是否符合要求。</w:t>
      </w:r>
    </w:p>
    <w:p w14:paraId="217ACE92">
      <w:pPr>
        <w:spacing w:line="480" w:lineRule="exact"/>
        <w:ind w:firstLine="480" w:firstLineChars="200"/>
        <w:rPr>
          <w:rStyle w:val="54"/>
          <w:rFonts w:ascii="宋体" w:hAnsi="宋体" w:cs="宋体"/>
          <w:sz w:val="24"/>
          <w:szCs w:val="28"/>
          <w:lang w:val="zh-CN"/>
        </w:rPr>
      </w:pPr>
      <w:r>
        <w:rPr>
          <w:rStyle w:val="54"/>
          <w:rFonts w:hint="eastAsia" w:ascii="宋体" w:hAnsi="宋体" w:cs="宋体"/>
          <w:sz w:val="24"/>
          <w:szCs w:val="28"/>
          <w:lang w:val="zh-CN"/>
        </w:rPr>
        <w:t>4.1.2未提供资料或提供的资料不符合要求者，将视为投标资格不符合要求。</w:t>
      </w:r>
    </w:p>
    <w:p w14:paraId="0C8ECA6C">
      <w:pPr>
        <w:spacing w:line="480" w:lineRule="exact"/>
        <w:ind w:firstLine="480" w:firstLineChars="200"/>
        <w:rPr>
          <w:rStyle w:val="54"/>
          <w:rFonts w:ascii="宋体" w:hAnsi="宋体" w:cs="宋体"/>
          <w:sz w:val="24"/>
          <w:szCs w:val="28"/>
          <w:lang w:val="zh-CN"/>
        </w:rPr>
      </w:pPr>
      <w:r>
        <w:rPr>
          <w:rStyle w:val="54"/>
          <w:rFonts w:hint="eastAsia" w:ascii="宋体" w:hAnsi="宋体" w:cs="宋体"/>
          <w:sz w:val="24"/>
          <w:szCs w:val="28"/>
          <w:lang w:val="zh-CN"/>
        </w:rPr>
        <w:t>21.1.3符合要求的供应商及其所递交的响应文件将进入下一步的评审，对于资格审查未通过的供应商，其响应文件将不再进入下一步的评审环节。</w:t>
      </w:r>
    </w:p>
    <w:p w14:paraId="36F85750">
      <w:pPr>
        <w:spacing w:line="480" w:lineRule="exact"/>
        <w:ind w:firstLine="482" w:firstLineChars="200"/>
        <w:rPr>
          <w:rStyle w:val="54"/>
          <w:rFonts w:ascii="宋体" w:hAnsi="宋体" w:cs="宋体"/>
          <w:b/>
          <w:bCs/>
          <w:sz w:val="24"/>
          <w:szCs w:val="28"/>
        </w:rPr>
      </w:pPr>
      <w:r>
        <w:rPr>
          <w:rStyle w:val="54"/>
          <w:rFonts w:hint="eastAsia" w:ascii="宋体" w:hAnsi="宋体" w:cs="宋体"/>
          <w:b/>
          <w:bCs/>
          <w:sz w:val="24"/>
          <w:szCs w:val="28"/>
        </w:rPr>
        <w:t>4.2符合性审查的内容：</w:t>
      </w:r>
    </w:p>
    <w:p w14:paraId="703A5C3F">
      <w:pPr>
        <w:spacing w:line="480" w:lineRule="exact"/>
        <w:ind w:firstLine="470" w:firstLineChars="196"/>
        <w:rPr>
          <w:rStyle w:val="54"/>
          <w:rFonts w:ascii="宋体" w:hAnsi="宋体" w:cs="宋体"/>
          <w:sz w:val="24"/>
          <w:szCs w:val="28"/>
          <w:lang w:val="zh-CN"/>
        </w:rPr>
      </w:pPr>
      <w:r>
        <w:rPr>
          <w:rStyle w:val="54"/>
          <w:rFonts w:hint="eastAsia" w:ascii="宋体" w:hAnsi="宋体" w:cs="宋体"/>
          <w:sz w:val="24"/>
          <w:szCs w:val="28"/>
          <w:lang w:val="zh-CN"/>
        </w:rPr>
        <w:t>（1）响应性文件电子印章和签章齐全；</w:t>
      </w:r>
    </w:p>
    <w:p w14:paraId="2C8F4262">
      <w:pPr>
        <w:spacing w:line="480" w:lineRule="exact"/>
        <w:ind w:firstLine="470" w:firstLineChars="196"/>
        <w:rPr>
          <w:rStyle w:val="54"/>
          <w:rFonts w:ascii="宋体" w:hAnsi="宋体" w:cs="宋体"/>
          <w:sz w:val="24"/>
          <w:szCs w:val="28"/>
          <w:lang w:val="zh-CN"/>
        </w:rPr>
      </w:pPr>
      <w:r>
        <w:rPr>
          <w:rStyle w:val="54"/>
          <w:rFonts w:hint="eastAsia" w:ascii="宋体" w:hAnsi="宋体" w:cs="宋体"/>
          <w:sz w:val="24"/>
          <w:szCs w:val="28"/>
          <w:lang w:val="zh-CN"/>
        </w:rPr>
        <w:t>（2）磋商有效期满足磋商文件要求；</w:t>
      </w:r>
    </w:p>
    <w:p w14:paraId="30B6ECD8">
      <w:pPr>
        <w:spacing w:line="480" w:lineRule="exact"/>
        <w:ind w:firstLine="470" w:firstLineChars="196"/>
        <w:rPr>
          <w:rStyle w:val="54"/>
          <w:rFonts w:ascii="宋体" w:hAnsi="宋体" w:cs="宋体"/>
          <w:sz w:val="24"/>
          <w:szCs w:val="28"/>
          <w:lang w:val="zh-CN"/>
        </w:rPr>
      </w:pPr>
      <w:r>
        <w:rPr>
          <w:rStyle w:val="54"/>
          <w:rFonts w:hint="eastAsia" w:ascii="宋体" w:hAnsi="宋体" w:cs="宋体"/>
          <w:sz w:val="24"/>
          <w:szCs w:val="28"/>
          <w:lang w:val="zh-CN"/>
        </w:rPr>
        <w:t>（3）磋商报价未超过采购文件规定最高限价的；</w:t>
      </w:r>
    </w:p>
    <w:p w14:paraId="0EF2858B">
      <w:pPr>
        <w:spacing w:line="480" w:lineRule="exact"/>
        <w:ind w:firstLine="470" w:firstLineChars="196"/>
        <w:rPr>
          <w:rStyle w:val="54"/>
          <w:rFonts w:ascii="宋体" w:hAnsi="宋体" w:cs="宋体"/>
          <w:sz w:val="24"/>
          <w:szCs w:val="28"/>
          <w:lang w:val="zh-CN"/>
        </w:rPr>
      </w:pPr>
      <w:r>
        <w:rPr>
          <w:rStyle w:val="54"/>
          <w:rFonts w:hint="eastAsia" w:ascii="宋体" w:hAnsi="宋体" w:cs="宋体"/>
          <w:sz w:val="24"/>
          <w:szCs w:val="28"/>
          <w:lang w:val="zh-CN"/>
        </w:rPr>
        <w:t>（4）服务期限、服务要求等满足磋商文件要求；</w:t>
      </w:r>
    </w:p>
    <w:p w14:paraId="08F9D41B">
      <w:pPr>
        <w:spacing w:line="480" w:lineRule="exact"/>
        <w:ind w:firstLine="470" w:firstLineChars="196"/>
        <w:rPr>
          <w:rStyle w:val="54"/>
          <w:rFonts w:ascii="宋体" w:hAnsi="宋体" w:cs="宋体"/>
          <w:sz w:val="24"/>
          <w:szCs w:val="28"/>
          <w:lang w:val="zh-CN"/>
        </w:rPr>
      </w:pPr>
      <w:r>
        <w:rPr>
          <w:rStyle w:val="54"/>
          <w:rFonts w:hint="eastAsia" w:ascii="宋体" w:hAnsi="宋体" w:cs="宋体"/>
          <w:sz w:val="24"/>
          <w:szCs w:val="28"/>
          <w:lang w:val="zh-CN"/>
        </w:rPr>
        <w:t>（5）无其它实质性偏离或不响应磋商文件、不符合法律法规的情况。</w:t>
      </w:r>
    </w:p>
    <w:p w14:paraId="734AC288">
      <w:pPr>
        <w:spacing w:line="480" w:lineRule="exact"/>
        <w:ind w:firstLine="482" w:firstLineChars="200"/>
        <w:rPr>
          <w:rStyle w:val="54"/>
          <w:rFonts w:ascii="宋体" w:hAnsi="宋体" w:cs="宋体"/>
          <w:b/>
          <w:bCs/>
          <w:sz w:val="24"/>
          <w:szCs w:val="28"/>
        </w:rPr>
      </w:pPr>
      <w:r>
        <w:rPr>
          <w:rStyle w:val="54"/>
          <w:rFonts w:hint="eastAsia" w:ascii="宋体" w:hAnsi="宋体" w:cs="宋体"/>
          <w:b/>
          <w:bCs/>
          <w:sz w:val="24"/>
          <w:szCs w:val="28"/>
        </w:rPr>
        <w:t>以上资格性审查、符合性审查未通过的，其响应性文件为无效响应性文件。</w:t>
      </w:r>
    </w:p>
    <w:p w14:paraId="1615DA7D">
      <w:pPr>
        <w:spacing w:line="480" w:lineRule="exact"/>
        <w:rPr>
          <w:rStyle w:val="54"/>
          <w:rFonts w:ascii="宋体" w:hAnsi="宋体" w:cs="宋体"/>
          <w:b/>
          <w:bCs/>
          <w:sz w:val="24"/>
          <w:szCs w:val="28"/>
        </w:rPr>
      </w:pPr>
      <w:r>
        <w:rPr>
          <w:rStyle w:val="54"/>
          <w:rFonts w:hint="eastAsia" w:ascii="宋体" w:hAnsi="宋体" w:cs="宋体"/>
          <w:b/>
          <w:bCs/>
          <w:sz w:val="24"/>
          <w:szCs w:val="28"/>
        </w:rPr>
        <w:t>（五）磋商办法</w:t>
      </w:r>
    </w:p>
    <w:p w14:paraId="5F6BA348">
      <w:pPr>
        <w:spacing w:line="480" w:lineRule="exact"/>
        <w:ind w:firstLine="470" w:firstLineChars="196"/>
        <w:rPr>
          <w:rStyle w:val="54"/>
          <w:rFonts w:ascii="宋体" w:hAnsi="宋体" w:cs="宋体"/>
          <w:b/>
          <w:bCs/>
          <w:sz w:val="24"/>
          <w:szCs w:val="28"/>
        </w:rPr>
      </w:pPr>
      <w:r>
        <w:rPr>
          <w:rStyle w:val="54"/>
          <w:rFonts w:hint="eastAsia" w:ascii="宋体" w:hAnsi="宋体" w:cs="宋体"/>
          <w:sz w:val="24"/>
          <w:szCs w:val="28"/>
          <w:lang w:val="zh-CN"/>
        </w:rPr>
        <w:t>经磋商确定最终采购需求和提交最终报价的供应商后，由磋商小组采用综合评分法对提交最终报价的供应商的响应文件和最终报价进行综合评分。</w:t>
      </w:r>
    </w:p>
    <w:p w14:paraId="3F63F200">
      <w:pPr>
        <w:spacing w:line="480" w:lineRule="exact"/>
        <w:ind w:firstLine="480" w:firstLineChars="200"/>
        <w:rPr>
          <w:rStyle w:val="54"/>
          <w:rFonts w:ascii="宋体" w:hAnsi="宋体" w:cs="宋体"/>
          <w:sz w:val="24"/>
          <w:szCs w:val="28"/>
          <w:lang w:val="zh-CN"/>
        </w:rPr>
      </w:pPr>
      <w:r>
        <w:rPr>
          <w:rStyle w:val="54"/>
          <w:rFonts w:hint="eastAsia" w:ascii="宋体" w:hAnsi="宋体" w:cs="宋体"/>
          <w:sz w:val="24"/>
          <w:szCs w:val="28"/>
          <w:lang w:val="zh-CN"/>
        </w:rPr>
        <w:t>综合评分法（满分</w:t>
      </w:r>
      <w:r>
        <w:rPr>
          <w:rStyle w:val="54"/>
          <w:rFonts w:hint="eastAsia" w:ascii="宋体" w:hAnsi="宋体" w:cs="宋体"/>
          <w:sz w:val="24"/>
          <w:szCs w:val="28"/>
        </w:rPr>
        <w:t>100分</w:t>
      </w:r>
      <w:r>
        <w:rPr>
          <w:rStyle w:val="54"/>
          <w:rFonts w:hint="eastAsia" w:ascii="宋体" w:hAnsi="宋体" w:cs="宋体"/>
          <w:sz w:val="24"/>
          <w:szCs w:val="28"/>
          <w:lang w:val="zh-CN"/>
        </w:rPr>
        <w:t>），是指响应文件满足磋商文件全部实质性要求且按评审因素的量化指标评审得分最高的供应商为成交候选供应商的评审方法。</w:t>
      </w:r>
    </w:p>
    <w:tbl>
      <w:tblPr>
        <w:tblStyle w:val="28"/>
        <w:tblpPr w:leftFromText="180" w:rightFromText="180" w:vertAnchor="text" w:horzAnchor="page" w:tblpX="1566" w:tblpY="798"/>
        <w:tblOverlap w:val="never"/>
        <w:tblW w:w="8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2"/>
        <w:gridCol w:w="1523"/>
        <w:gridCol w:w="1642"/>
        <w:gridCol w:w="4809"/>
      </w:tblGrid>
      <w:tr w14:paraId="01295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trPr>
        <w:tc>
          <w:tcPr>
            <w:tcW w:w="2405" w:type="dxa"/>
            <w:gridSpan w:val="2"/>
            <w:vAlign w:val="center"/>
          </w:tcPr>
          <w:p w14:paraId="7847B29A">
            <w:pPr>
              <w:spacing w:line="440" w:lineRule="exact"/>
              <w:jc w:val="center"/>
              <w:rPr>
                <w:rFonts w:ascii="宋体" w:hAnsi="宋体" w:cs="宋体"/>
                <w:bCs/>
                <w:sz w:val="20"/>
                <w:szCs w:val="21"/>
              </w:rPr>
            </w:pPr>
            <w:r>
              <w:rPr>
                <w:rFonts w:hint="eastAsia" w:ascii="宋体" w:hAnsi="宋体" w:cs="宋体"/>
                <w:bCs/>
                <w:szCs w:val="21"/>
              </w:rPr>
              <w:t>分值构成</w:t>
            </w:r>
          </w:p>
          <w:p w14:paraId="719BBE85">
            <w:pPr>
              <w:spacing w:line="440" w:lineRule="exact"/>
              <w:jc w:val="center"/>
              <w:rPr>
                <w:rFonts w:ascii="宋体" w:hAnsi="宋体" w:cs="宋体"/>
                <w:bCs/>
                <w:sz w:val="20"/>
                <w:szCs w:val="21"/>
              </w:rPr>
            </w:pPr>
            <w:r>
              <w:rPr>
                <w:rFonts w:hint="eastAsia" w:ascii="宋体" w:hAnsi="宋体" w:cs="宋体"/>
                <w:bCs/>
                <w:szCs w:val="21"/>
              </w:rPr>
              <w:t>（总分100分）</w:t>
            </w:r>
          </w:p>
        </w:tc>
        <w:tc>
          <w:tcPr>
            <w:tcW w:w="6451" w:type="dxa"/>
            <w:gridSpan w:val="2"/>
            <w:vAlign w:val="center"/>
          </w:tcPr>
          <w:p w14:paraId="7EE8E8D4">
            <w:pPr>
              <w:spacing w:line="440" w:lineRule="exact"/>
              <w:jc w:val="center"/>
              <w:rPr>
                <w:rFonts w:ascii="宋体" w:hAnsi="宋体" w:cs="宋体"/>
                <w:bCs/>
                <w:szCs w:val="21"/>
              </w:rPr>
            </w:pPr>
            <w:r>
              <w:rPr>
                <w:rFonts w:hint="eastAsia" w:ascii="宋体" w:hAnsi="宋体" w:cs="宋体"/>
                <w:bCs/>
                <w:szCs w:val="21"/>
              </w:rPr>
              <w:t>磋商报价：20分</w:t>
            </w:r>
          </w:p>
          <w:p w14:paraId="4838F83D">
            <w:pPr>
              <w:spacing w:line="440" w:lineRule="exact"/>
              <w:jc w:val="center"/>
              <w:rPr>
                <w:rFonts w:ascii="宋体" w:hAnsi="宋体" w:cs="宋体"/>
                <w:bCs/>
                <w:szCs w:val="21"/>
              </w:rPr>
            </w:pPr>
            <w:r>
              <w:rPr>
                <w:rFonts w:hint="eastAsia" w:ascii="宋体" w:hAnsi="宋体" w:cs="宋体"/>
                <w:bCs/>
                <w:szCs w:val="21"/>
              </w:rPr>
              <w:t>技术部分：30分</w:t>
            </w:r>
          </w:p>
          <w:p w14:paraId="4C98134D">
            <w:pPr>
              <w:spacing w:line="440" w:lineRule="exact"/>
              <w:jc w:val="center"/>
              <w:rPr>
                <w:rFonts w:ascii="宋体" w:hAnsi="宋体" w:cs="宋体"/>
                <w:bCs/>
                <w:sz w:val="20"/>
                <w:szCs w:val="21"/>
              </w:rPr>
            </w:pPr>
            <w:r>
              <w:rPr>
                <w:rFonts w:hint="eastAsia" w:ascii="宋体" w:hAnsi="宋体" w:cs="宋体"/>
                <w:bCs/>
                <w:szCs w:val="21"/>
              </w:rPr>
              <w:t>综合部分：50分</w:t>
            </w:r>
          </w:p>
        </w:tc>
      </w:tr>
      <w:tr w14:paraId="3DA82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882" w:type="dxa"/>
            <w:vAlign w:val="center"/>
          </w:tcPr>
          <w:p w14:paraId="2994EED0">
            <w:pPr>
              <w:spacing w:line="360" w:lineRule="auto"/>
              <w:jc w:val="center"/>
              <w:rPr>
                <w:rFonts w:ascii="宋体" w:hAnsi="宋体" w:cs="宋体"/>
                <w:color w:val="000000"/>
                <w:szCs w:val="21"/>
              </w:rPr>
            </w:pPr>
            <w:r>
              <w:rPr>
                <w:rFonts w:hint="eastAsia" w:ascii="宋体" w:hAnsi="宋体" w:cs="宋体"/>
                <w:color w:val="000000"/>
                <w:szCs w:val="21"/>
              </w:rPr>
              <w:t>条款号</w:t>
            </w:r>
          </w:p>
        </w:tc>
        <w:tc>
          <w:tcPr>
            <w:tcW w:w="1523" w:type="dxa"/>
            <w:vAlign w:val="center"/>
          </w:tcPr>
          <w:p w14:paraId="519A624D">
            <w:pPr>
              <w:spacing w:line="360" w:lineRule="auto"/>
              <w:jc w:val="center"/>
              <w:rPr>
                <w:rFonts w:ascii="宋体" w:hAnsi="宋体" w:cs="宋体"/>
                <w:color w:val="000000"/>
                <w:szCs w:val="21"/>
              </w:rPr>
            </w:pPr>
            <w:r>
              <w:rPr>
                <w:rFonts w:hint="eastAsia" w:ascii="宋体" w:hAnsi="宋体" w:cs="宋体"/>
                <w:color w:val="000000"/>
                <w:szCs w:val="21"/>
              </w:rPr>
              <w:t>评审因素</w:t>
            </w:r>
          </w:p>
        </w:tc>
        <w:tc>
          <w:tcPr>
            <w:tcW w:w="6451" w:type="dxa"/>
            <w:gridSpan w:val="2"/>
            <w:vAlign w:val="center"/>
          </w:tcPr>
          <w:p w14:paraId="2ABA06EB">
            <w:pPr>
              <w:spacing w:line="360" w:lineRule="auto"/>
              <w:jc w:val="center"/>
              <w:rPr>
                <w:rFonts w:ascii="宋体" w:hAnsi="宋体" w:cs="宋体"/>
                <w:color w:val="000000"/>
                <w:szCs w:val="21"/>
              </w:rPr>
            </w:pPr>
            <w:r>
              <w:rPr>
                <w:rFonts w:hint="eastAsia" w:ascii="宋体" w:hAnsi="宋体" w:cs="宋体"/>
                <w:color w:val="000000"/>
                <w:szCs w:val="21"/>
              </w:rPr>
              <w:t>评审标准</w:t>
            </w:r>
          </w:p>
        </w:tc>
      </w:tr>
      <w:tr w14:paraId="16CCD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882" w:type="dxa"/>
            <w:vAlign w:val="center"/>
          </w:tcPr>
          <w:p w14:paraId="76DC16D6">
            <w:pPr>
              <w:spacing w:line="360" w:lineRule="auto"/>
              <w:jc w:val="center"/>
              <w:rPr>
                <w:rFonts w:ascii="宋体" w:hAnsi="宋体" w:cs="宋体"/>
                <w:color w:val="000000"/>
                <w:szCs w:val="21"/>
              </w:rPr>
            </w:pPr>
            <w:r>
              <w:rPr>
                <w:rFonts w:hint="eastAsia" w:ascii="宋体" w:hAnsi="宋体" w:cs="宋体"/>
                <w:color w:val="000000"/>
                <w:szCs w:val="21"/>
              </w:rPr>
              <w:t>3.1</w:t>
            </w:r>
          </w:p>
        </w:tc>
        <w:tc>
          <w:tcPr>
            <w:tcW w:w="1523" w:type="dxa"/>
            <w:vAlign w:val="center"/>
          </w:tcPr>
          <w:p w14:paraId="7464F63E">
            <w:pPr>
              <w:spacing w:line="360" w:lineRule="auto"/>
              <w:jc w:val="center"/>
              <w:rPr>
                <w:rFonts w:ascii="宋体" w:hAnsi="宋体" w:cs="宋体"/>
                <w:b/>
                <w:szCs w:val="21"/>
              </w:rPr>
            </w:pPr>
            <w:r>
              <w:rPr>
                <w:rFonts w:hint="eastAsia" w:ascii="宋体" w:hAnsi="宋体" w:cs="宋体"/>
                <w:b/>
                <w:szCs w:val="21"/>
              </w:rPr>
              <w:t>最终磋商报价</w:t>
            </w:r>
          </w:p>
          <w:p w14:paraId="604794F1">
            <w:pPr>
              <w:spacing w:line="360" w:lineRule="auto"/>
              <w:jc w:val="center"/>
              <w:rPr>
                <w:rFonts w:ascii="宋体" w:hAnsi="宋体" w:cs="宋体"/>
                <w:szCs w:val="21"/>
              </w:rPr>
            </w:pPr>
            <w:r>
              <w:rPr>
                <w:rFonts w:hint="eastAsia" w:ascii="宋体" w:hAnsi="宋体" w:cs="宋体"/>
                <w:b/>
                <w:szCs w:val="21"/>
              </w:rPr>
              <w:t>（20分）</w:t>
            </w:r>
          </w:p>
        </w:tc>
        <w:tc>
          <w:tcPr>
            <w:tcW w:w="6451" w:type="dxa"/>
            <w:gridSpan w:val="2"/>
            <w:vAlign w:val="center"/>
          </w:tcPr>
          <w:p w14:paraId="3529DB76">
            <w:pPr>
              <w:spacing w:line="440" w:lineRule="exact"/>
              <w:ind w:right="269" w:rightChars="128"/>
            </w:pPr>
            <w:r>
              <w:rPr>
                <w:rFonts w:hint="eastAsia"/>
              </w:rPr>
              <w:t xml:space="preserve">综合评分法中的价格分统一采用低价优先法计算，即满足磋商文件要求且投标价格最低的投标报价为评标基准价，其价格分为满分。其他供应商的价格分统一按照下列公式计算： </w:t>
            </w:r>
          </w:p>
          <w:p w14:paraId="21D505A7">
            <w:pPr>
              <w:spacing w:line="440" w:lineRule="exact"/>
              <w:ind w:right="269" w:rightChars="128"/>
            </w:pPr>
            <w:r>
              <w:rPr>
                <w:rFonts w:hint="eastAsia"/>
              </w:rPr>
              <w:t>磋商报价得分=（评标基准价／最后磋商报价）×20</w:t>
            </w:r>
          </w:p>
          <w:p w14:paraId="04468B99">
            <w:pPr>
              <w:spacing w:line="440" w:lineRule="exact"/>
              <w:ind w:right="269" w:rightChars="128"/>
            </w:pPr>
            <w:r>
              <w:rPr>
                <w:rFonts w:hint="eastAsia"/>
              </w:rPr>
              <w:t>注：</w:t>
            </w:r>
          </w:p>
          <w:p w14:paraId="21661B57">
            <w:pPr>
              <w:spacing w:line="440" w:lineRule="exact"/>
              <w:ind w:right="269" w:rightChars="128"/>
            </w:pPr>
            <w:r>
              <w:rPr>
                <w:rFonts w:hint="eastAsia"/>
              </w:rPr>
              <w:t xml:space="preserve">1、报价应在保证服务质量的前提下以公平、合理且对采购人有利为原则。投标报价是评标综合打分的依据之一，但不是唯一依据，也不是决定性因素。 </w:t>
            </w:r>
          </w:p>
          <w:p w14:paraId="65339944">
            <w:pPr>
              <w:spacing w:line="440" w:lineRule="exact"/>
              <w:ind w:right="269" w:rightChars="128"/>
            </w:pPr>
            <w:r>
              <w:rPr>
                <w:rFonts w:hint="eastAsia"/>
              </w:rPr>
              <w:t>报价应是在保证采购要求和服务质量的基础上投报的全费用价格。报价应符合有关规定、市场机制和应承担的社会责任，如人员工资应符合河南省人民政府规定的最低标准及上涨或调整因素、租赁或自有设备符合实际成本等。磋商小组认为供应商的报价明显低于其他通过符合性审查的供应商的报价时，最低投标报价的供应商将有可能影响服务标准或者不能诚信履约，磋商小组将要求其在合理时间内通过电子化交易系统提供充分的说明，必要时提交相关证明材料；供应商不能证明其报价合理性的，磋商小组应当将其作为无效投标处理。</w:t>
            </w:r>
          </w:p>
          <w:p w14:paraId="72FC83C7">
            <w:pPr>
              <w:spacing w:line="440" w:lineRule="exact"/>
              <w:ind w:right="269" w:rightChars="128"/>
            </w:pPr>
            <w:r>
              <w:rPr>
                <w:rFonts w:hint="eastAsia"/>
              </w:rPr>
              <w:t>（1）根据财政部、工业和信息化部印发的《政府采购促进中小企业发展管理办法》（财库[2020]46号）的规定，对小型和微型企业产品的价格给予20%的扣除（工程项目为5%），用扣除后的价格参与评审。</w:t>
            </w:r>
          </w:p>
          <w:p w14:paraId="5C584FF1">
            <w:pPr>
              <w:spacing w:line="440" w:lineRule="exact"/>
              <w:ind w:right="269" w:rightChars="128"/>
            </w:pPr>
            <w:r>
              <w:rPr>
                <w:rFonts w:hint="eastAsia"/>
              </w:rPr>
              <w:t>（2）在政府采购活动中，供应商提供的货物、工程或者服务符合下列情形的，享受本办法规定的中小企业扶持政策：</w:t>
            </w:r>
          </w:p>
          <w:p w14:paraId="42FFCB0F">
            <w:pPr>
              <w:spacing w:line="440" w:lineRule="exact"/>
              <w:ind w:right="269" w:rightChars="128"/>
            </w:pPr>
            <w:r>
              <w:rPr>
                <w:rFonts w:hint="eastAsia"/>
              </w:rPr>
              <w:t>（一）在货物采购项目中，货物由中小企业制造，即货物由中小企业生产且使用该中小企业商号或者注册商标；</w:t>
            </w:r>
          </w:p>
          <w:p w14:paraId="6A1DD79D">
            <w:pPr>
              <w:spacing w:line="440" w:lineRule="exact"/>
              <w:ind w:right="269" w:rightChars="128"/>
            </w:pPr>
            <w:r>
              <w:rPr>
                <w:rFonts w:hint="eastAsia"/>
              </w:rPr>
              <w:t>（二）在工程采购项目中，工程由中小企业承建，即工程施工单位为中小企业；</w:t>
            </w:r>
          </w:p>
          <w:p w14:paraId="15E581B9">
            <w:pPr>
              <w:spacing w:line="440" w:lineRule="exact"/>
              <w:ind w:right="269" w:rightChars="128"/>
            </w:pPr>
            <w:r>
              <w:rPr>
                <w:rFonts w:hint="eastAsia"/>
              </w:rPr>
              <w:t>（三）在服务采购项目中，服务由中小企业承接，即提供服务的人员为中小企业依照《中华人民共和国劳动合同法》订立劳动合同的从业人员。</w:t>
            </w:r>
          </w:p>
          <w:p w14:paraId="20AE47F6">
            <w:pPr>
              <w:spacing w:line="440" w:lineRule="exact"/>
              <w:ind w:right="269" w:rightChars="128"/>
            </w:pPr>
            <w:r>
              <w:rPr>
                <w:rFonts w:hint="eastAsia"/>
              </w:rPr>
              <w:t>在货物采购项目中，供应商提供的货物既有中小企业制造货物，也有大型企业制造货物的，不享受本办法规定的中小企业扶持政策。</w:t>
            </w:r>
          </w:p>
          <w:p w14:paraId="590B7338">
            <w:pPr>
              <w:spacing w:line="440" w:lineRule="exact"/>
              <w:ind w:right="269" w:rightChars="128"/>
            </w:pPr>
            <w:r>
              <w:rPr>
                <w:rFonts w:hint="eastAsia"/>
              </w:rPr>
              <w:t>以联合体形式参加政府采购活动，联合体各方均为中小企业的，联合体视同中小企业。其中，联合体各方均为小微企业的，联合体视同小微企业。</w:t>
            </w:r>
          </w:p>
          <w:p w14:paraId="275016CB">
            <w:pPr>
              <w:spacing w:line="440" w:lineRule="exact"/>
              <w:ind w:right="269" w:rightChars="128"/>
            </w:pPr>
            <w:r>
              <w:rPr>
                <w:rFonts w:hint="eastAsia"/>
              </w:rPr>
              <w:t>中小企业参加政府采购活动，应当出具《中小企业声明函》，否则不得享受相关中小企业扶持政策。任何单位和个人不得要求供应商提供《中小企业声明函》之外的中小企业身份证明文件。</w:t>
            </w:r>
          </w:p>
          <w:p w14:paraId="46872F5B">
            <w:pPr>
              <w:spacing w:line="440" w:lineRule="exact"/>
              <w:ind w:right="269" w:rightChars="128"/>
            </w:pPr>
            <w:r>
              <w:rPr>
                <w:rFonts w:hint="eastAsia"/>
              </w:rPr>
              <w:t>（四）根据财库〔2014〕68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提供由省级以上监狱管理局、戒毒管理局(含新疆生产建设兵团)出具的属于监狱企业的证明文件，不再提供《中小微企业声明函》。</w:t>
            </w:r>
          </w:p>
          <w:p w14:paraId="4B308615">
            <w:pPr>
              <w:spacing w:line="440" w:lineRule="exact"/>
              <w:ind w:right="269" w:rightChars="128"/>
            </w:pPr>
            <w:r>
              <w:rPr>
                <w:rFonts w:hint="eastAsia"/>
              </w:rPr>
              <w:t>（五）残疾人福利性单位视同小型或微型企业（投标人若为残疾人福利性单位，须按规定提供《残疾人福利性单位声明函》（见投标文件格式部分），并对其真实性负责；）</w:t>
            </w:r>
          </w:p>
          <w:p w14:paraId="078BBC8B">
            <w:pPr>
              <w:spacing w:line="440" w:lineRule="exact"/>
              <w:ind w:right="269" w:rightChars="128"/>
            </w:pPr>
            <w:r>
              <w:rPr>
                <w:rFonts w:hint="eastAsia"/>
              </w:rPr>
              <w:t>同一投标人，小型企业或微型企业、监狱企业、残疾人福利性单位价格扣除优惠只享受一次，不得重复享受。</w:t>
            </w:r>
          </w:p>
        </w:tc>
      </w:tr>
      <w:tr w14:paraId="3B1C2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882" w:type="dxa"/>
            <w:vAlign w:val="center"/>
          </w:tcPr>
          <w:p w14:paraId="71D566B2">
            <w:pPr>
              <w:spacing w:line="360" w:lineRule="auto"/>
              <w:jc w:val="center"/>
              <w:rPr>
                <w:rFonts w:ascii="宋体" w:hAnsi="宋体" w:cs="宋体"/>
                <w:color w:val="000000"/>
                <w:szCs w:val="21"/>
              </w:rPr>
            </w:pPr>
            <w:r>
              <w:rPr>
                <w:rFonts w:hint="eastAsia" w:ascii="宋体" w:hAnsi="宋体" w:cs="宋体"/>
                <w:color w:val="000000"/>
                <w:szCs w:val="21"/>
              </w:rPr>
              <w:t>3.2</w:t>
            </w:r>
          </w:p>
        </w:tc>
        <w:tc>
          <w:tcPr>
            <w:tcW w:w="1523" w:type="dxa"/>
            <w:vAlign w:val="center"/>
          </w:tcPr>
          <w:p w14:paraId="3F03C9ED">
            <w:pPr>
              <w:spacing w:line="360" w:lineRule="exact"/>
              <w:ind w:right="-158" w:rightChars="-75"/>
              <w:jc w:val="center"/>
              <w:rPr>
                <w:rFonts w:ascii="宋体" w:hAnsi="宋体"/>
                <w:b/>
                <w:bCs/>
                <w:szCs w:val="21"/>
              </w:rPr>
            </w:pPr>
            <w:r>
              <w:rPr>
                <w:rFonts w:hint="eastAsia" w:ascii="宋体" w:hAnsi="宋体" w:cs="宋体"/>
                <w:b/>
                <w:bCs/>
                <w:szCs w:val="21"/>
                <w:lang w:val="zh-CN"/>
              </w:rPr>
              <w:t>技术参数</w:t>
            </w:r>
          </w:p>
          <w:p w14:paraId="22D1C0DD">
            <w:pPr>
              <w:spacing w:line="360" w:lineRule="auto"/>
              <w:jc w:val="center"/>
              <w:rPr>
                <w:rFonts w:ascii="宋体" w:hAnsi="宋体" w:cs="宋体"/>
                <w:b/>
                <w:szCs w:val="21"/>
              </w:rPr>
            </w:pPr>
            <w:r>
              <w:rPr>
                <w:rFonts w:hint="eastAsia" w:ascii="宋体" w:hAnsi="宋体" w:cs="宋体"/>
                <w:b/>
                <w:bCs/>
                <w:szCs w:val="21"/>
                <w:lang w:val="zh-CN"/>
              </w:rPr>
              <w:t>（</w:t>
            </w:r>
            <w:r>
              <w:rPr>
                <w:rFonts w:hint="eastAsia" w:ascii="宋体" w:hAnsi="宋体" w:cs="宋体"/>
                <w:b/>
                <w:bCs/>
                <w:szCs w:val="21"/>
              </w:rPr>
              <w:t>30</w:t>
            </w:r>
            <w:r>
              <w:rPr>
                <w:rFonts w:hint="eastAsia" w:ascii="宋体" w:hAnsi="宋体" w:cs="宋体"/>
                <w:b/>
                <w:bCs/>
                <w:szCs w:val="21"/>
                <w:lang w:val="zh-CN"/>
              </w:rPr>
              <w:t>分）</w:t>
            </w:r>
          </w:p>
        </w:tc>
        <w:tc>
          <w:tcPr>
            <w:tcW w:w="6451" w:type="dxa"/>
            <w:gridSpan w:val="2"/>
            <w:vAlign w:val="center"/>
          </w:tcPr>
          <w:p w14:paraId="63E09E0C">
            <w:pPr>
              <w:spacing w:line="440" w:lineRule="exact"/>
              <w:ind w:right="269" w:rightChars="128"/>
            </w:pPr>
            <w:r>
              <w:rPr>
                <w:rFonts w:hint="eastAsia" w:ascii="宋体" w:hAnsi="宋体" w:cs="宋体"/>
                <w:szCs w:val="21"/>
              </w:rPr>
              <w:t>评标委员会根据供应商所投产品对照竞争性磋商文件中技术参数指标的要求打分，全部满足或优于文件要求的得30分；每有一项不满足的扣5分；超过5项不满足文件要求，技术参数部分按0分处理 (标“★”项应按照磋商文件要求提供证明材料并加盖厂家公章，未提供视为该项不满足并扣除响应分值)。</w:t>
            </w:r>
          </w:p>
        </w:tc>
      </w:tr>
      <w:tr w14:paraId="46F64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1" w:hRule="exact"/>
        </w:trPr>
        <w:tc>
          <w:tcPr>
            <w:tcW w:w="882" w:type="dxa"/>
            <w:vMerge w:val="restart"/>
            <w:vAlign w:val="center"/>
          </w:tcPr>
          <w:p w14:paraId="19FA38CC">
            <w:pPr>
              <w:spacing w:line="360" w:lineRule="auto"/>
              <w:jc w:val="center"/>
              <w:rPr>
                <w:rFonts w:ascii="宋体" w:hAnsi="宋体" w:cs="宋体"/>
                <w:color w:val="000000"/>
                <w:szCs w:val="21"/>
              </w:rPr>
            </w:pPr>
            <w:r>
              <w:rPr>
                <w:rFonts w:hint="eastAsia" w:ascii="宋体" w:hAnsi="宋体" w:cs="宋体"/>
                <w:color w:val="000000"/>
                <w:szCs w:val="21"/>
              </w:rPr>
              <w:t>3.3</w:t>
            </w:r>
          </w:p>
        </w:tc>
        <w:tc>
          <w:tcPr>
            <w:tcW w:w="1523" w:type="dxa"/>
            <w:vMerge w:val="restart"/>
            <w:vAlign w:val="center"/>
          </w:tcPr>
          <w:p w14:paraId="1CE0179B">
            <w:pPr>
              <w:spacing w:line="360" w:lineRule="auto"/>
              <w:jc w:val="center"/>
              <w:rPr>
                <w:rFonts w:ascii="宋体" w:hAnsi="宋体" w:cs="宋体"/>
                <w:b/>
                <w:szCs w:val="21"/>
              </w:rPr>
            </w:pPr>
            <w:r>
              <w:rPr>
                <w:rFonts w:hint="eastAsia" w:ascii="宋体" w:hAnsi="宋体" w:cs="宋体"/>
                <w:b/>
                <w:szCs w:val="21"/>
              </w:rPr>
              <w:t>综合部分</w:t>
            </w:r>
          </w:p>
          <w:p w14:paraId="2F61B809">
            <w:pPr>
              <w:spacing w:line="360" w:lineRule="auto"/>
              <w:jc w:val="center"/>
              <w:rPr>
                <w:rFonts w:ascii="宋体" w:hAnsi="宋体" w:cs="宋体"/>
                <w:b/>
                <w:szCs w:val="21"/>
              </w:rPr>
            </w:pPr>
            <w:r>
              <w:rPr>
                <w:rFonts w:hint="eastAsia" w:ascii="宋体" w:hAnsi="宋体" w:cs="宋体"/>
                <w:b/>
                <w:szCs w:val="21"/>
              </w:rPr>
              <w:t>（50分）</w:t>
            </w:r>
          </w:p>
        </w:tc>
        <w:tc>
          <w:tcPr>
            <w:tcW w:w="1642" w:type="dxa"/>
            <w:vAlign w:val="center"/>
          </w:tcPr>
          <w:p w14:paraId="2AD3090E">
            <w:pPr>
              <w:spacing w:line="440" w:lineRule="exact"/>
              <w:rPr>
                <w:rFonts w:ascii="宋体" w:hAnsi="宋体" w:cs="宋体"/>
                <w:b/>
                <w:bCs/>
                <w:szCs w:val="21"/>
              </w:rPr>
            </w:pPr>
            <w:r>
              <w:rPr>
                <w:rFonts w:hint="eastAsia" w:ascii="宋体" w:hAnsi="宋体" w:cs="宋体"/>
                <w:b/>
                <w:bCs/>
                <w:szCs w:val="21"/>
              </w:rPr>
              <w:t>1、项目实施方案（10分）</w:t>
            </w:r>
          </w:p>
        </w:tc>
        <w:tc>
          <w:tcPr>
            <w:tcW w:w="4809" w:type="dxa"/>
            <w:vAlign w:val="center"/>
          </w:tcPr>
          <w:p w14:paraId="13AE6509">
            <w:pPr>
              <w:pStyle w:val="3"/>
              <w:spacing w:line="276" w:lineRule="auto"/>
              <w:ind w:firstLine="0"/>
              <w:jc w:val="left"/>
              <w:rPr>
                <w:rFonts w:ascii="宋体" w:hAnsi="宋体" w:cs="宋体"/>
                <w:szCs w:val="21"/>
              </w:rPr>
            </w:pPr>
            <w:r>
              <w:rPr>
                <w:rFonts w:hint="eastAsia" w:ascii="宋体" w:hAnsi="宋体" w:cs="宋体"/>
                <w:szCs w:val="21"/>
              </w:rPr>
              <w:t>供应商能够准确、详细、清晰的描述项目现状、服务架构、服务内容、服务成果、应急方案等内容，并符合招标文件要求。</w:t>
            </w:r>
          </w:p>
          <w:p w14:paraId="2466BB93">
            <w:pPr>
              <w:pStyle w:val="3"/>
              <w:spacing w:line="276" w:lineRule="auto"/>
              <w:ind w:firstLine="0"/>
              <w:jc w:val="left"/>
              <w:rPr>
                <w:rFonts w:ascii="宋体" w:hAnsi="宋体" w:cs="宋体"/>
                <w:szCs w:val="21"/>
              </w:rPr>
            </w:pPr>
            <w:r>
              <w:rPr>
                <w:rFonts w:hint="eastAsia" w:ascii="宋体" w:hAnsi="宋体" w:cs="宋体"/>
                <w:szCs w:val="21"/>
              </w:rPr>
              <w:t>1、项目实施方案科学、先进，系统架构层次清晰，内容详细准确，前后逻辑贯通得8-10分；</w:t>
            </w:r>
          </w:p>
          <w:p w14:paraId="1436BDD0">
            <w:pPr>
              <w:pStyle w:val="23"/>
              <w:spacing w:line="276" w:lineRule="auto"/>
              <w:jc w:val="left"/>
              <w:rPr>
                <w:rFonts w:ascii="宋体" w:hAnsi="宋体" w:cs="宋体"/>
                <w:szCs w:val="21"/>
              </w:rPr>
            </w:pPr>
            <w:r>
              <w:rPr>
                <w:rFonts w:hint="eastAsia" w:ascii="宋体" w:hAnsi="宋体" w:cs="宋体"/>
                <w:szCs w:val="21"/>
              </w:rPr>
              <w:t>2、项目实施方案较好，架构较清晰，内容准确前后逻辑贯通得5-7分；</w:t>
            </w:r>
          </w:p>
          <w:p w14:paraId="7D0F171A">
            <w:pPr>
              <w:spacing w:line="276" w:lineRule="auto"/>
              <w:jc w:val="left"/>
              <w:rPr>
                <w:rFonts w:ascii="宋体" w:hAnsi="宋体" w:cs="宋体"/>
                <w:szCs w:val="21"/>
              </w:rPr>
            </w:pPr>
            <w:r>
              <w:rPr>
                <w:rFonts w:hint="eastAsia" w:ascii="宋体" w:hAnsi="宋体" w:cs="宋体"/>
                <w:szCs w:val="21"/>
              </w:rPr>
              <w:t>3、项目实施方案一般得1-4分；</w:t>
            </w:r>
          </w:p>
        </w:tc>
      </w:tr>
      <w:tr w14:paraId="5E286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9" w:hRule="exact"/>
        </w:trPr>
        <w:tc>
          <w:tcPr>
            <w:tcW w:w="882" w:type="dxa"/>
            <w:vMerge w:val="continue"/>
            <w:vAlign w:val="center"/>
          </w:tcPr>
          <w:p w14:paraId="118A1965">
            <w:pPr>
              <w:spacing w:line="360" w:lineRule="auto"/>
              <w:jc w:val="center"/>
              <w:rPr>
                <w:rFonts w:ascii="宋体" w:hAnsi="宋体" w:cs="宋体"/>
                <w:color w:val="000000"/>
                <w:szCs w:val="21"/>
              </w:rPr>
            </w:pPr>
          </w:p>
        </w:tc>
        <w:tc>
          <w:tcPr>
            <w:tcW w:w="1523" w:type="dxa"/>
            <w:vMerge w:val="continue"/>
            <w:vAlign w:val="center"/>
          </w:tcPr>
          <w:p w14:paraId="79FD00BE">
            <w:pPr>
              <w:spacing w:line="360" w:lineRule="auto"/>
              <w:jc w:val="center"/>
              <w:rPr>
                <w:rFonts w:ascii="宋体" w:hAnsi="宋体" w:cs="宋体"/>
                <w:b/>
                <w:szCs w:val="21"/>
              </w:rPr>
            </w:pPr>
          </w:p>
        </w:tc>
        <w:tc>
          <w:tcPr>
            <w:tcW w:w="1642" w:type="dxa"/>
            <w:vAlign w:val="center"/>
          </w:tcPr>
          <w:p w14:paraId="7A127D0B">
            <w:pPr>
              <w:spacing w:line="440" w:lineRule="exact"/>
              <w:jc w:val="center"/>
              <w:rPr>
                <w:rFonts w:ascii="宋体" w:hAnsi="宋体" w:cs="宋体"/>
                <w:b/>
                <w:bCs/>
                <w:szCs w:val="21"/>
              </w:rPr>
            </w:pPr>
            <w:r>
              <w:rPr>
                <w:rFonts w:hint="eastAsia" w:ascii="宋体" w:hAnsi="宋体" w:cs="宋体"/>
                <w:b/>
                <w:bCs/>
                <w:szCs w:val="21"/>
              </w:rPr>
              <w:t>2、项目组织管理方案（8分）</w:t>
            </w:r>
          </w:p>
        </w:tc>
        <w:tc>
          <w:tcPr>
            <w:tcW w:w="4809" w:type="dxa"/>
            <w:vAlign w:val="center"/>
          </w:tcPr>
          <w:p w14:paraId="6CAF2AC2">
            <w:pPr>
              <w:topLinePunct/>
              <w:snapToGrid w:val="0"/>
              <w:spacing w:line="276" w:lineRule="auto"/>
              <w:jc w:val="left"/>
              <w:rPr>
                <w:rFonts w:ascii="宋体" w:hAnsi="宋体" w:cs="宋体"/>
                <w:szCs w:val="21"/>
              </w:rPr>
            </w:pPr>
            <w:r>
              <w:rPr>
                <w:rFonts w:hint="eastAsia" w:ascii="宋体" w:hAnsi="宋体" w:cs="宋体"/>
                <w:szCs w:val="21"/>
              </w:rPr>
              <w:t>供应商拟派项目成员，配备合理，职责清晰，组织严密，团队效能得以充分发挥，对项目各类文档资料管理规范全面，符合国家档案管理法律法规相关要求。</w:t>
            </w:r>
          </w:p>
          <w:p w14:paraId="17084BB1">
            <w:pPr>
              <w:topLinePunct/>
              <w:snapToGrid w:val="0"/>
              <w:spacing w:line="276" w:lineRule="auto"/>
              <w:jc w:val="left"/>
              <w:rPr>
                <w:rFonts w:ascii="宋体" w:hAnsi="宋体" w:cs="宋体"/>
                <w:szCs w:val="21"/>
              </w:rPr>
            </w:pPr>
            <w:r>
              <w:rPr>
                <w:rFonts w:hint="eastAsia" w:ascii="宋体" w:hAnsi="宋体" w:cs="宋体"/>
                <w:szCs w:val="21"/>
              </w:rPr>
              <w:t>1、项目管理方案科学、先进，配备合理、组织严密，资料管理规范全面，内容详细准确，前后逻辑贯通得6-8分；</w:t>
            </w:r>
          </w:p>
          <w:p w14:paraId="344C787A">
            <w:pPr>
              <w:topLinePunct/>
              <w:snapToGrid w:val="0"/>
              <w:spacing w:line="276" w:lineRule="auto"/>
              <w:jc w:val="left"/>
              <w:rPr>
                <w:rFonts w:ascii="宋体" w:hAnsi="宋体" w:cs="宋体"/>
                <w:szCs w:val="21"/>
              </w:rPr>
            </w:pPr>
            <w:r>
              <w:rPr>
                <w:rFonts w:hint="eastAsia" w:ascii="宋体" w:hAnsi="宋体" w:cs="宋体"/>
                <w:szCs w:val="21"/>
              </w:rPr>
              <w:t>2、项目管理方案较好，配备较清晰，内容准确前后逻辑贯通得3-5分；</w:t>
            </w:r>
          </w:p>
          <w:p w14:paraId="3254114C">
            <w:pPr>
              <w:topLinePunct/>
              <w:snapToGrid w:val="0"/>
              <w:spacing w:line="276" w:lineRule="auto"/>
              <w:jc w:val="left"/>
              <w:rPr>
                <w:rFonts w:ascii="宋体" w:hAnsi="宋体" w:cs="宋体"/>
                <w:szCs w:val="21"/>
              </w:rPr>
            </w:pPr>
            <w:r>
              <w:rPr>
                <w:rFonts w:hint="eastAsia" w:ascii="宋体" w:hAnsi="宋体" w:cs="宋体"/>
                <w:szCs w:val="21"/>
              </w:rPr>
              <w:t>3、项目管理方案一般得1-2分；</w:t>
            </w:r>
          </w:p>
        </w:tc>
      </w:tr>
      <w:tr w14:paraId="53B8A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5" w:hRule="exact"/>
        </w:trPr>
        <w:tc>
          <w:tcPr>
            <w:tcW w:w="882" w:type="dxa"/>
            <w:vMerge w:val="continue"/>
            <w:vAlign w:val="center"/>
          </w:tcPr>
          <w:p w14:paraId="716B42D8">
            <w:pPr>
              <w:spacing w:line="360" w:lineRule="auto"/>
              <w:jc w:val="center"/>
              <w:rPr>
                <w:rFonts w:ascii="宋体" w:hAnsi="宋体" w:cs="宋体"/>
                <w:color w:val="000000"/>
                <w:szCs w:val="21"/>
              </w:rPr>
            </w:pPr>
          </w:p>
        </w:tc>
        <w:tc>
          <w:tcPr>
            <w:tcW w:w="1523" w:type="dxa"/>
            <w:vMerge w:val="continue"/>
            <w:vAlign w:val="center"/>
          </w:tcPr>
          <w:p w14:paraId="3AF0426B">
            <w:pPr>
              <w:spacing w:line="360" w:lineRule="auto"/>
              <w:jc w:val="center"/>
              <w:rPr>
                <w:rFonts w:ascii="宋体" w:hAnsi="宋体" w:cs="宋体"/>
                <w:b/>
                <w:szCs w:val="21"/>
              </w:rPr>
            </w:pPr>
          </w:p>
        </w:tc>
        <w:tc>
          <w:tcPr>
            <w:tcW w:w="1642" w:type="dxa"/>
            <w:vAlign w:val="center"/>
          </w:tcPr>
          <w:p w14:paraId="22AA0E23">
            <w:pPr>
              <w:spacing w:line="440" w:lineRule="exact"/>
              <w:jc w:val="center"/>
              <w:rPr>
                <w:rFonts w:ascii="宋体" w:hAnsi="宋体" w:cs="宋体"/>
                <w:b/>
                <w:bCs/>
                <w:szCs w:val="21"/>
              </w:rPr>
            </w:pPr>
            <w:r>
              <w:rPr>
                <w:rFonts w:hint="eastAsia" w:ascii="宋体" w:hAnsi="宋体" w:cs="宋体"/>
                <w:b/>
                <w:bCs/>
                <w:szCs w:val="21"/>
              </w:rPr>
              <w:t>3、培训方案（7分）</w:t>
            </w:r>
          </w:p>
        </w:tc>
        <w:tc>
          <w:tcPr>
            <w:tcW w:w="4809" w:type="dxa"/>
            <w:vAlign w:val="center"/>
          </w:tcPr>
          <w:p w14:paraId="2DA09349">
            <w:pPr>
              <w:topLinePunct/>
              <w:snapToGrid w:val="0"/>
              <w:spacing w:line="276" w:lineRule="auto"/>
              <w:jc w:val="left"/>
              <w:rPr>
                <w:rFonts w:ascii="宋体" w:hAnsi="宋体" w:cs="宋体"/>
                <w:szCs w:val="21"/>
              </w:rPr>
            </w:pPr>
            <w:r>
              <w:rPr>
                <w:rFonts w:hint="eastAsia" w:ascii="宋体" w:hAnsi="宋体" w:cs="宋体"/>
                <w:szCs w:val="21"/>
              </w:rPr>
              <w:t>供应商提供详细的培训方案，根据培训方案完整性，专家根据各供应商提供的方案综合评价：</w:t>
            </w:r>
          </w:p>
          <w:p w14:paraId="043F103F">
            <w:pPr>
              <w:topLinePunct/>
              <w:snapToGrid w:val="0"/>
              <w:spacing w:line="276" w:lineRule="auto"/>
              <w:jc w:val="left"/>
              <w:rPr>
                <w:rFonts w:ascii="宋体" w:hAnsi="宋体" w:cs="宋体"/>
                <w:szCs w:val="21"/>
              </w:rPr>
            </w:pPr>
            <w:r>
              <w:rPr>
                <w:rFonts w:hint="eastAsia" w:ascii="宋体" w:hAnsi="宋体" w:cs="宋体"/>
                <w:szCs w:val="21"/>
              </w:rPr>
              <w:t>1、培训方案科学、先进，完整性高，内容详细准确，前后逻辑贯通得5-7分；</w:t>
            </w:r>
          </w:p>
          <w:p w14:paraId="025EE143">
            <w:pPr>
              <w:topLinePunct/>
              <w:snapToGrid w:val="0"/>
              <w:spacing w:line="276" w:lineRule="auto"/>
              <w:jc w:val="left"/>
              <w:rPr>
                <w:rFonts w:ascii="宋体" w:hAnsi="宋体" w:cs="宋体"/>
                <w:szCs w:val="21"/>
              </w:rPr>
            </w:pPr>
            <w:r>
              <w:rPr>
                <w:rFonts w:hint="eastAsia" w:ascii="宋体" w:hAnsi="宋体" w:cs="宋体"/>
                <w:szCs w:val="21"/>
              </w:rPr>
              <w:t>2、培训方案较好，内容较清晰，前后逻辑贯通得3-4分；</w:t>
            </w:r>
          </w:p>
          <w:p w14:paraId="70ED1E84">
            <w:pPr>
              <w:topLinePunct/>
              <w:snapToGrid w:val="0"/>
              <w:spacing w:line="276" w:lineRule="auto"/>
              <w:jc w:val="left"/>
              <w:rPr>
                <w:rFonts w:ascii="宋体" w:hAnsi="宋体" w:cs="宋体"/>
                <w:szCs w:val="21"/>
              </w:rPr>
            </w:pPr>
            <w:r>
              <w:rPr>
                <w:rFonts w:hint="eastAsia" w:ascii="宋体" w:hAnsi="宋体" w:cs="宋体"/>
                <w:szCs w:val="21"/>
              </w:rPr>
              <w:t>3、培训方案一般得1-2分；</w:t>
            </w:r>
          </w:p>
        </w:tc>
      </w:tr>
      <w:tr w14:paraId="1B40E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3" w:hRule="atLeast"/>
        </w:trPr>
        <w:tc>
          <w:tcPr>
            <w:tcW w:w="882" w:type="dxa"/>
            <w:vMerge w:val="continue"/>
            <w:vAlign w:val="center"/>
          </w:tcPr>
          <w:p w14:paraId="6E826BC3">
            <w:pPr>
              <w:spacing w:line="360" w:lineRule="auto"/>
              <w:jc w:val="center"/>
              <w:rPr>
                <w:rFonts w:ascii="宋体" w:hAnsi="宋体" w:cs="宋体"/>
                <w:color w:val="000000"/>
                <w:szCs w:val="21"/>
              </w:rPr>
            </w:pPr>
          </w:p>
        </w:tc>
        <w:tc>
          <w:tcPr>
            <w:tcW w:w="1523" w:type="dxa"/>
            <w:vMerge w:val="continue"/>
            <w:vAlign w:val="center"/>
          </w:tcPr>
          <w:p w14:paraId="1C6D08FC">
            <w:pPr>
              <w:spacing w:line="360" w:lineRule="auto"/>
              <w:jc w:val="center"/>
              <w:rPr>
                <w:rFonts w:ascii="宋体" w:hAnsi="宋体" w:cs="宋体"/>
                <w:b/>
                <w:szCs w:val="21"/>
              </w:rPr>
            </w:pPr>
          </w:p>
        </w:tc>
        <w:tc>
          <w:tcPr>
            <w:tcW w:w="1642" w:type="dxa"/>
            <w:vAlign w:val="center"/>
          </w:tcPr>
          <w:p w14:paraId="741A6924">
            <w:pPr>
              <w:spacing w:line="440" w:lineRule="exact"/>
              <w:jc w:val="center"/>
              <w:rPr>
                <w:rFonts w:ascii="宋体" w:hAnsi="宋体" w:cs="宋体"/>
                <w:b/>
                <w:bCs/>
                <w:szCs w:val="21"/>
              </w:rPr>
            </w:pPr>
            <w:r>
              <w:rPr>
                <w:rFonts w:hint="eastAsia" w:ascii="宋体" w:hAnsi="宋体" w:cs="宋体"/>
                <w:b/>
                <w:bCs/>
                <w:szCs w:val="21"/>
              </w:rPr>
              <w:t>4、应急预案</w:t>
            </w:r>
          </w:p>
          <w:p w14:paraId="442E283B">
            <w:pPr>
              <w:spacing w:line="440" w:lineRule="exact"/>
              <w:jc w:val="center"/>
              <w:rPr>
                <w:rFonts w:ascii="宋体" w:hAnsi="宋体" w:cs="宋体"/>
                <w:szCs w:val="21"/>
              </w:rPr>
            </w:pPr>
            <w:r>
              <w:rPr>
                <w:rFonts w:hint="eastAsia" w:ascii="宋体" w:hAnsi="宋体" w:cs="宋体"/>
                <w:b/>
                <w:bCs/>
                <w:szCs w:val="21"/>
              </w:rPr>
              <w:t>（7分）</w:t>
            </w:r>
          </w:p>
        </w:tc>
        <w:tc>
          <w:tcPr>
            <w:tcW w:w="4809" w:type="dxa"/>
            <w:vAlign w:val="center"/>
          </w:tcPr>
          <w:p w14:paraId="1C460DAF">
            <w:pPr>
              <w:widowControl w:val="0"/>
              <w:topLinePunct/>
              <w:snapToGrid w:val="0"/>
              <w:spacing w:line="276" w:lineRule="auto"/>
              <w:jc w:val="left"/>
              <w:textAlignment w:val="auto"/>
              <w:rPr>
                <w:rFonts w:ascii="宋体" w:hAnsi="宋体" w:cs="宋体"/>
                <w:szCs w:val="21"/>
              </w:rPr>
            </w:pPr>
            <w:r>
              <w:rPr>
                <w:rFonts w:hint="eastAsia" w:ascii="宋体" w:hAnsi="宋体" w:cs="宋体"/>
                <w:szCs w:val="21"/>
              </w:rPr>
              <w:t>根据供应商提供的应急预案，具备大型活动或任务保障能力和处置突发事件的能力，满足齐全性和可操作性进行综合评分：</w:t>
            </w:r>
          </w:p>
          <w:p w14:paraId="4687B470">
            <w:pPr>
              <w:widowControl w:val="0"/>
              <w:topLinePunct/>
              <w:snapToGrid w:val="0"/>
              <w:spacing w:line="276" w:lineRule="auto"/>
              <w:jc w:val="left"/>
              <w:textAlignment w:val="auto"/>
              <w:rPr>
                <w:rFonts w:ascii="宋体" w:hAnsi="宋体" w:cs="宋体"/>
                <w:szCs w:val="21"/>
              </w:rPr>
            </w:pPr>
            <w:r>
              <w:rPr>
                <w:rFonts w:hint="eastAsia" w:ascii="宋体" w:hAnsi="宋体" w:cs="宋体"/>
                <w:szCs w:val="21"/>
              </w:rPr>
              <w:t>1、应急预案方案详尽、合理、逻辑较清晰、可行性程度高的得 5-7分；</w:t>
            </w:r>
          </w:p>
          <w:p w14:paraId="5F21F990">
            <w:pPr>
              <w:widowControl w:val="0"/>
              <w:topLinePunct/>
              <w:snapToGrid w:val="0"/>
              <w:spacing w:line="276" w:lineRule="auto"/>
              <w:jc w:val="left"/>
              <w:textAlignment w:val="auto"/>
              <w:rPr>
                <w:rFonts w:ascii="宋体" w:hAnsi="宋体" w:cs="宋体"/>
                <w:szCs w:val="21"/>
              </w:rPr>
            </w:pPr>
            <w:r>
              <w:rPr>
                <w:rFonts w:hint="eastAsia" w:ascii="宋体" w:hAnsi="宋体" w:cs="宋体"/>
                <w:szCs w:val="21"/>
              </w:rPr>
              <w:t>2、应急预案方案一般、但基本合理、逻辑清晰、可行性程度一般的得3-4分；</w:t>
            </w:r>
          </w:p>
          <w:p w14:paraId="39CA26D7">
            <w:pPr>
              <w:widowControl w:val="0"/>
              <w:topLinePunct/>
              <w:snapToGrid w:val="0"/>
              <w:spacing w:line="276" w:lineRule="auto"/>
              <w:jc w:val="left"/>
              <w:textAlignment w:val="auto"/>
              <w:rPr>
                <w:rFonts w:ascii="宋体" w:hAnsi="宋体" w:cs="宋体"/>
                <w:szCs w:val="21"/>
              </w:rPr>
            </w:pPr>
            <w:r>
              <w:rPr>
                <w:rFonts w:hint="eastAsia" w:ascii="宋体" w:hAnsi="宋体" w:cs="宋体"/>
                <w:szCs w:val="21"/>
              </w:rPr>
              <w:t>3、应急预案简单、不合理、逻辑混乱、可行性程度差的得 1-2分；</w:t>
            </w:r>
          </w:p>
        </w:tc>
      </w:tr>
      <w:tr w14:paraId="37234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3" w:hRule="atLeast"/>
        </w:trPr>
        <w:tc>
          <w:tcPr>
            <w:tcW w:w="882" w:type="dxa"/>
            <w:vMerge w:val="continue"/>
            <w:vAlign w:val="center"/>
          </w:tcPr>
          <w:p w14:paraId="237471BC">
            <w:pPr>
              <w:spacing w:line="360" w:lineRule="auto"/>
              <w:jc w:val="center"/>
              <w:rPr>
                <w:rFonts w:ascii="宋体" w:hAnsi="宋体" w:cs="宋体"/>
                <w:color w:val="000000"/>
                <w:szCs w:val="21"/>
              </w:rPr>
            </w:pPr>
          </w:p>
        </w:tc>
        <w:tc>
          <w:tcPr>
            <w:tcW w:w="1523" w:type="dxa"/>
            <w:vMerge w:val="continue"/>
            <w:vAlign w:val="center"/>
          </w:tcPr>
          <w:p w14:paraId="453BF816">
            <w:pPr>
              <w:spacing w:line="360" w:lineRule="auto"/>
              <w:jc w:val="center"/>
              <w:rPr>
                <w:rFonts w:ascii="宋体" w:hAnsi="宋体" w:cs="宋体"/>
                <w:b/>
                <w:szCs w:val="21"/>
              </w:rPr>
            </w:pPr>
          </w:p>
        </w:tc>
        <w:tc>
          <w:tcPr>
            <w:tcW w:w="1642" w:type="dxa"/>
            <w:vAlign w:val="center"/>
          </w:tcPr>
          <w:p w14:paraId="00F217D4">
            <w:pPr>
              <w:spacing w:line="440" w:lineRule="exact"/>
              <w:jc w:val="center"/>
              <w:rPr>
                <w:rFonts w:ascii="宋体" w:hAnsi="宋体" w:cs="宋体"/>
                <w:b/>
                <w:bCs/>
                <w:szCs w:val="21"/>
              </w:rPr>
            </w:pPr>
            <w:r>
              <w:rPr>
                <w:rFonts w:hint="eastAsia" w:ascii="宋体" w:hAnsi="宋体" w:cs="宋体"/>
                <w:b/>
                <w:bCs/>
                <w:szCs w:val="21"/>
              </w:rPr>
              <w:t>5、售后服务方案（6分）</w:t>
            </w:r>
          </w:p>
        </w:tc>
        <w:tc>
          <w:tcPr>
            <w:tcW w:w="4809" w:type="dxa"/>
            <w:vAlign w:val="center"/>
          </w:tcPr>
          <w:p w14:paraId="4C6C501E">
            <w:pPr>
              <w:pStyle w:val="8"/>
              <w:topLinePunct/>
              <w:spacing w:line="276" w:lineRule="auto"/>
              <w:ind w:left="-54"/>
              <w:jc w:val="left"/>
              <w:rPr>
                <w:rFonts w:ascii="宋体" w:hAnsi="宋体" w:cs="宋体"/>
              </w:rPr>
            </w:pPr>
            <w:r>
              <w:rPr>
                <w:rFonts w:hint="eastAsia" w:ascii="宋体" w:hAnsi="宋体" w:cs="宋体"/>
              </w:rPr>
              <w:t>供应商需要编制售后服务方案，列明售后服务期起止时间、服务人员、响应时间、响应流程、故障级别、故障排除时间、服务方式、服务地点、重大疑难问题解决方式；</w:t>
            </w:r>
          </w:p>
          <w:p w14:paraId="6288DA15">
            <w:pPr>
              <w:pStyle w:val="8"/>
              <w:topLinePunct/>
              <w:spacing w:line="276" w:lineRule="auto"/>
              <w:ind w:left="-54"/>
              <w:jc w:val="left"/>
              <w:rPr>
                <w:rFonts w:ascii="宋体" w:hAnsi="宋体" w:cs="宋体"/>
              </w:rPr>
            </w:pPr>
            <w:r>
              <w:rPr>
                <w:rFonts w:hint="eastAsia" w:ascii="宋体" w:hAnsi="宋体" w:cs="宋体"/>
              </w:rPr>
              <w:t>优得5-6分，良好得3-4分，一般得1-2分。</w:t>
            </w:r>
          </w:p>
        </w:tc>
      </w:tr>
      <w:tr w14:paraId="19198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882" w:type="dxa"/>
            <w:vMerge w:val="continue"/>
            <w:vAlign w:val="center"/>
          </w:tcPr>
          <w:p w14:paraId="0E71A198">
            <w:pPr>
              <w:spacing w:line="360" w:lineRule="auto"/>
              <w:jc w:val="center"/>
              <w:rPr>
                <w:rFonts w:ascii="宋体" w:hAnsi="宋体" w:cs="宋体"/>
                <w:color w:val="000000"/>
                <w:szCs w:val="21"/>
              </w:rPr>
            </w:pPr>
          </w:p>
        </w:tc>
        <w:tc>
          <w:tcPr>
            <w:tcW w:w="1523" w:type="dxa"/>
            <w:vAlign w:val="center"/>
          </w:tcPr>
          <w:p w14:paraId="385102C9">
            <w:pPr>
              <w:spacing w:line="360" w:lineRule="auto"/>
              <w:jc w:val="center"/>
              <w:rPr>
                <w:rFonts w:ascii="宋体" w:hAnsi="宋体" w:cs="宋体"/>
                <w:b/>
                <w:szCs w:val="21"/>
              </w:rPr>
            </w:pPr>
          </w:p>
        </w:tc>
        <w:tc>
          <w:tcPr>
            <w:tcW w:w="1642" w:type="dxa"/>
            <w:vAlign w:val="center"/>
          </w:tcPr>
          <w:p w14:paraId="362F9F6F">
            <w:pPr>
              <w:topLinePunct/>
              <w:jc w:val="center"/>
              <w:textAlignment w:val="center"/>
              <w:rPr>
                <w:rFonts w:ascii="宋体" w:hAnsi="宋体" w:cs="宋体"/>
                <w:b/>
                <w:bCs/>
                <w:color w:val="000000"/>
                <w:szCs w:val="21"/>
              </w:rPr>
            </w:pPr>
            <w:r>
              <w:rPr>
                <w:rFonts w:hint="eastAsia" w:ascii="宋体" w:hAnsi="宋体" w:cs="宋体"/>
                <w:b/>
                <w:bCs/>
                <w:color w:val="000000"/>
                <w:szCs w:val="21"/>
              </w:rPr>
              <w:t>6、人员要求（8分）</w:t>
            </w:r>
          </w:p>
          <w:p w14:paraId="16E4A633">
            <w:pPr>
              <w:spacing w:line="440" w:lineRule="exact"/>
              <w:jc w:val="center"/>
              <w:rPr>
                <w:rFonts w:ascii="宋体" w:hAnsi="宋体" w:cs="宋体"/>
                <w:b/>
                <w:bCs/>
                <w:szCs w:val="21"/>
              </w:rPr>
            </w:pPr>
          </w:p>
        </w:tc>
        <w:tc>
          <w:tcPr>
            <w:tcW w:w="4809" w:type="dxa"/>
            <w:vAlign w:val="center"/>
          </w:tcPr>
          <w:p w14:paraId="5C043E30">
            <w:pPr>
              <w:topLinePunct/>
              <w:spacing w:line="360" w:lineRule="auto"/>
              <w:textAlignment w:val="center"/>
              <w:rPr>
                <w:rFonts w:ascii="宋体" w:hAnsi="宋体" w:cs="宋体"/>
                <w:szCs w:val="21"/>
              </w:rPr>
            </w:pPr>
            <w:r>
              <w:rPr>
                <w:rFonts w:hint="eastAsia" w:ascii="宋体" w:hAnsi="宋体" w:cs="宋体"/>
                <w:szCs w:val="21"/>
              </w:rPr>
              <w:t>供应商运维人员具备专业安全工程师资格认证的（提供经中国信息安全测评中心认证的注册信息安全专业人员 CISP 认证证书），每提供1份得3分，最多得3分。</w:t>
            </w:r>
          </w:p>
          <w:p w14:paraId="29D2A19D">
            <w:pPr>
              <w:topLinePunct/>
              <w:spacing w:line="360" w:lineRule="auto"/>
              <w:textAlignment w:val="center"/>
              <w:rPr>
                <w:rFonts w:ascii="宋体" w:hAnsi="宋体" w:cs="宋体"/>
                <w:szCs w:val="21"/>
              </w:rPr>
            </w:pPr>
            <w:r>
              <w:rPr>
                <w:rFonts w:hint="eastAsia" w:ascii="宋体" w:hAnsi="宋体" w:cs="宋体"/>
                <w:szCs w:val="21"/>
              </w:rPr>
              <w:t xml:space="preserve">2、供应商服务团队人员需具备经国家电子政务外网管理中心认证的CIO证书，每提供1份得3分，最多得3分。 </w:t>
            </w:r>
          </w:p>
          <w:p w14:paraId="5CC8A973">
            <w:pPr>
              <w:pStyle w:val="8"/>
              <w:topLinePunct/>
              <w:spacing w:line="276" w:lineRule="auto"/>
              <w:ind w:left="-54"/>
              <w:jc w:val="left"/>
              <w:rPr>
                <w:rFonts w:ascii="宋体" w:hAnsi="宋体" w:cs="宋体"/>
              </w:rPr>
            </w:pPr>
            <w:r>
              <w:rPr>
                <w:rFonts w:hint="eastAsia" w:ascii="宋体" w:hAnsi="宋体" w:cs="宋体"/>
              </w:rPr>
              <w:t xml:space="preserve">3、团队人员具备中国信息协会信息安全协会注册网络安全防护工程师证书的，每提供1份得2分，最多得2分。 </w:t>
            </w:r>
          </w:p>
        </w:tc>
      </w:tr>
      <w:tr w14:paraId="51D8B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3" w:hRule="atLeast"/>
        </w:trPr>
        <w:tc>
          <w:tcPr>
            <w:tcW w:w="882" w:type="dxa"/>
            <w:vMerge w:val="continue"/>
            <w:vAlign w:val="center"/>
          </w:tcPr>
          <w:p w14:paraId="3FD6BA01">
            <w:pPr>
              <w:spacing w:line="360" w:lineRule="auto"/>
              <w:jc w:val="center"/>
              <w:rPr>
                <w:rFonts w:ascii="宋体" w:hAnsi="宋体" w:cs="宋体"/>
                <w:color w:val="000000"/>
                <w:szCs w:val="21"/>
              </w:rPr>
            </w:pPr>
          </w:p>
        </w:tc>
        <w:tc>
          <w:tcPr>
            <w:tcW w:w="1523" w:type="dxa"/>
            <w:vAlign w:val="center"/>
          </w:tcPr>
          <w:p w14:paraId="2BAA8BFC">
            <w:pPr>
              <w:spacing w:line="360" w:lineRule="auto"/>
              <w:jc w:val="center"/>
              <w:rPr>
                <w:rFonts w:ascii="宋体" w:hAnsi="宋体" w:cs="宋体"/>
                <w:b/>
                <w:szCs w:val="21"/>
              </w:rPr>
            </w:pPr>
          </w:p>
        </w:tc>
        <w:tc>
          <w:tcPr>
            <w:tcW w:w="1642" w:type="dxa"/>
            <w:vAlign w:val="center"/>
          </w:tcPr>
          <w:p w14:paraId="48C9114C">
            <w:pPr>
              <w:topLinePunct/>
              <w:jc w:val="center"/>
              <w:textAlignment w:val="center"/>
              <w:rPr>
                <w:rFonts w:ascii="宋体" w:hAnsi="宋体" w:cs="宋体"/>
                <w:b/>
                <w:bCs/>
                <w:color w:val="000000"/>
                <w:szCs w:val="21"/>
              </w:rPr>
            </w:pPr>
            <w:r>
              <w:rPr>
                <w:rFonts w:hint="eastAsia" w:ascii="宋体" w:hAnsi="宋体" w:cs="宋体"/>
                <w:b/>
                <w:bCs/>
                <w:color w:val="000000"/>
                <w:szCs w:val="21"/>
              </w:rPr>
              <w:t>7、类似业绩（4分）</w:t>
            </w:r>
          </w:p>
        </w:tc>
        <w:tc>
          <w:tcPr>
            <w:tcW w:w="4809" w:type="dxa"/>
            <w:vAlign w:val="center"/>
          </w:tcPr>
          <w:p w14:paraId="64A966C6">
            <w:pPr>
              <w:topLinePunct/>
              <w:spacing w:line="360" w:lineRule="auto"/>
              <w:textAlignment w:val="center"/>
              <w:rPr>
                <w:rFonts w:ascii="宋体" w:hAnsi="宋体" w:cs="宋体"/>
                <w:szCs w:val="21"/>
              </w:rPr>
            </w:pPr>
            <w:r>
              <w:rPr>
                <w:rFonts w:hint="eastAsia" w:ascii="宋体" w:hAnsi="宋体" w:cs="宋体"/>
                <w:szCs w:val="21"/>
              </w:rPr>
              <w:t>2021年1月1日以来供应商具有类似项目业绩的，每提供一份得2分，最高得4分。（以合同签订时间为准，需在响应文件内提供网站中标公告截图、中标通知书、合同扫描件，否则不得分）</w:t>
            </w:r>
          </w:p>
        </w:tc>
      </w:tr>
      <w:tr w14:paraId="7B570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exact"/>
        </w:trPr>
        <w:tc>
          <w:tcPr>
            <w:tcW w:w="882" w:type="dxa"/>
            <w:vMerge w:val="continue"/>
            <w:vAlign w:val="center"/>
          </w:tcPr>
          <w:p w14:paraId="27EED6A9">
            <w:pPr>
              <w:spacing w:line="360" w:lineRule="auto"/>
              <w:jc w:val="center"/>
              <w:rPr>
                <w:rFonts w:ascii="宋体" w:hAnsi="宋体" w:cs="宋体"/>
                <w:color w:val="000000"/>
                <w:szCs w:val="21"/>
              </w:rPr>
            </w:pPr>
          </w:p>
        </w:tc>
        <w:tc>
          <w:tcPr>
            <w:tcW w:w="7974" w:type="dxa"/>
            <w:gridSpan w:val="3"/>
            <w:vAlign w:val="bottom"/>
          </w:tcPr>
          <w:p w14:paraId="10ADEC83">
            <w:pPr>
              <w:adjustRightInd w:val="0"/>
              <w:snapToGrid w:val="0"/>
              <w:spacing w:line="360" w:lineRule="auto"/>
              <w:jc w:val="center"/>
              <w:rPr>
                <w:rFonts w:ascii="宋体" w:hAnsi="宋体" w:cs="宋体"/>
                <w:szCs w:val="21"/>
              </w:rPr>
            </w:pPr>
            <w:r>
              <w:rPr>
                <w:rFonts w:hint="eastAsia" w:ascii="宋体" w:hAnsi="宋体" w:cs="宋体"/>
                <w:b/>
                <w:kern w:val="1"/>
                <w:szCs w:val="21"/>
              </w:rPr>
              <w:t>注：以上各评分项如有缺项得0分。</w:t>
            </w:r>
          </w:p>
        </w:tc>
      </w:tr>
      <w:tr w14:paraId="294C6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exact"/>
        </w:trPr>
        <w:tc>
          <w:tcPr>
            <w:tcW w:w="8856" w:type="dxa"/>
            <w:gridSpan w:val="4"/>
            <w:vAlign w:val="center"/>
          </w:tcPr>
          <w:p w14:paraId="065C9853">
            <w:pPr>
              <w:adjustRightInd w:val="0"/>
              <w:snapToGrid w:val="0"/>
              <w:spacing w:line="360" w:lineRule="auto"/>
              <w:jc w:val="center"/>
              <w:rPr>
                <w:rFonts w:ascii="宋体" w:hAnsi="宋体" w:cs="宋体"/>
                <w:b/>
                <w:kern w:val="1"/>
                <w:szCs w:val="21"/>
              </w:rPr>
            </w:pPr>
            <w:r>
              <w:rPr>
                <w:rFonts w:hint="eastAsia" w:ascii="宋体" w:hAnsi="宋体" w:cs="宋体"/>
                <w:b/>
                <w:szCs w:val="21"/>
              </w:rPr>
              <w:t>注：</w:t>
            </w:r>
            <w:r>
              <w:rPr>
                <w:rFonts w:hint="eastAsia" w:ascii="宋体" w:hAnsi="宋体" w:cs="宋体"/>
                <w:b/>
                <w:kern w:val="0"/>
                <w:szCs w:val="21"/>
              </w:rPr>
              <w:t>以上涉及到的证明材料均需附于响应文件中，否则不得分。若发现提供虚假材料，采购人有权取消其中标资格，并上报相关行政监督部门，给予相应处罚或处分。</w:t>
            </w:r>
          </w:p>
        </w:tc>
      </w:tr>
    </w:tbl>
    <w:p w14:paraId="71878BC2">
      <w:pPr>
        <w:pStyle w:val="97"/>
        <w:spacing w:line="480" w:lineRule="exact"/>
        <w:rPr>
          <w:rStyle w:val="54"/>
          <w:rFonts w:ascii="宋体" w:cs="宋体"/>
          <w:b/>
          <w:sz w:val="24"/>
          <w:szCs w:val="28"/>
        </w:rPr>
      </w:pPr>
      <w:r>
        <w:rPr>
          <w:rStyle w:val="54"/>
          <w:rFonts w:hint="eastAsia" w:ascii="宋体" w:cs="宋体"/>
          <w:b/>
          <w:sz w:val="24"/>
          <w:szCs w:val="28"/>
        </w:rPr>
        <w:t>说明：</w:t>
      </w:r>
    </w:p>
    <w:p w14:paraId="7809767A">
      <w:pPr>
        <w:pStyle w:val="97"/>
        <w:spacing w:line="480" w:lineRule="exact"/>
        <w:ind w:firstLine="480" w:firstLineChars="200"/>
        <w:rPr>
          <w:rStyle w:val="54"/>
          <w:rFonts w:ascii="宋体" w:cs="宋体"/>
          <w:bCs/>
          <w:sz w:val="24"/>
          <w:szCs w:val="28"/>
        </w:rPr>
      </w:pPr>
      <w:r>
        <w:rPr>
          <w:rStyle w:val="54"/>
          <w:rFonts w:hint="eastAsia" w:ascii="宋体" w:cs="宋体"/>
          <w:bCs/>
          <w:sz w:val="24"/>
          <w:szCs w:val="28"/>
        </w:rPr>
        <w:t>1.以上各项打分均由磋商小组共同认定，如磋商小组在认定上出现意见分歧，由磋商小组进行表决，以少数服从多数决定原则确定，并作记录。</w:t>
      </w:r>
    </w:p>
    <w:p w14:paraId="1E1320D5">
      <w:pPr>
        <w:spacing w:line="480" w:lineRule="exact"/>
        <w:ind w:firstLine="480" w:firstLineChars="200"/>
        <w:rPr>
          <w:rStyle w:val="54"/>
          <w:rFonts w:ascii="宋体" w:hAnsi="宋体" w:cs="宋体"/>
          <w:bCs/>
          <w:sz w:val="24"/>
          <w:szCs w:val="28"/>
        </w:rPr>
      </w:pPr>
      <w:r>
        <w:rPr>
          <w:rStyle w:val="54"/>
          <w:rFonts w:hint="eastAsia" w:ascii="宋体" w:hAnsi="宋体" w:cs="宋体"/>
          <w:bCs/>
          <w:sz w:val="24"/>
          <w:szCs w:val="28"/>
        </w:rPr>
        <w:t>2.如磋商小组一致认为最低报价明显不合理，有降低质量、不能诚信履约的可能时，磋商小组有权通知供应商进行解释。如供应商未能在规定期限内作出解释，或所作解释不合理，经磋商小组取得一致意见后，对该供应商将不予推荐。</w:t>
      </w:r>
    </w:p>
    <w:p w14:paraId="5EDF3E41">
      <w:pPr>
        <w:spacing w:line="480" w:lineRule="exact"/>
        <w:ind w:firstLine="480" w:firstLineChars="200"/>
        <w:rPr>
          <w:rStyle w:val="54"/>
          <w:rFonts w:ascii="宋体" w:hAnsi="宋体" w:cs="宋体"/>
          <w:bCs/>
          <w:sz w:val="24"/>
          <w:szCs w:val="28"/>
        </w:rPr>
      </w:pPr>
      <w:r>
        <w:rPr>
          <w:rStyle w:val="54"/>
          <w:rFonts w:hint="eastAsia" w:ascii="宋体" w:hAnsi="宋体" w:cs="宋体"/>
          <w:bCs/>
          <w:sz w:val="24"/>
          <w:szCs w:val="28"/>
        </w:rPr>
        <w:t>3.评审过程中，所有</w:t>
      </w:r>
      <w:r>
        <w:rPr>
          <w:rStyle w:val="54"/>
          <w:rFonts w:hint="eastAsia" w:ascii="宋体" w:hAnsi="宋体" w:cs="宋体"/>
          <w:bCs/>
          <w:sz w:val="24"/>
          <w:szCs w:val="28"/>
          <w:lang w:val="zh-CN"/>
        </w:rPr>
        <w:t>数值</w:t>
      </w:r>
      <w:r>
        <w:rPr>
          <w:rStyle w:val="54"/>
          <w:rFonts w:hint="eastAsia" w:ascii="宋体" w:hAnsi="宋体" w:cs="宋体"/>
          <w:bCs/>
          <w:sz w:val="24"/>
          <w:szCs w:val="28"/>
        </w:rPr>
        <w:t>计算</w:t>
      </w:r>
      <w:r>
        <w:rPr>
          <w:rStyle w:val="54"/>
          <w:rFonts w:hint="eastAsia" w:ascii="宋体" w:hAnsi="宋体" w:cs="宋体"/>
          <w:bCs/>
          <w:sz w:val="24"/>
          <w:szCs w:val="28"/>
          <w:lang w:val="zh-CN"/>
        </w:rPr>
        <w:t>均保留小数点后三位（四舍五入），计算的最终结果保留小数点后二位（四舍五入），最终得分为磋商小组全体成员的平均值。</w:t>
      </w:r>
    </w:p>
    <w:p w14:paraId="35642A44">
      <w:pPr>
        <w:spacing w:line="480" w:lineRule="exact"/>
        <w:ind w:firstLine="482" w:firstLineChars="200"/>
        <w:rPr>
          <w:rStyle w:val="54"/>
          <w:rFonts w:ascii="宋体" w:hAnsi="宋体" w:cs="宋体"/>
          <w:b/>
          <w:bCs/>
          <w:sz w:val="24"/>
          <w:szCs w:val="28"/>
        </w:rPr>
      </w:pPr>
      <w:r>
        <w:rPr>
          <w:rStyle w:val="54"/>
          <w:rFonts w:hint="eastAsia" w:ascii="宋体" w:hAnsi="宋体" w:cs="宋体"/>
          <w:b/>
          <w:bCs/>
          <w:sz w:val="24"/>
          <w:szCs w:val="28"/>
          <w:lang w:val="zh-CN"/>
        </w:rPr>
        <w:t>（六）磋商</w:t>
      </w:r>
      <w:r>
        <w:rPr>
          <w:rStyle w:val="54"/>
          <w:rFonts w:hint="eastAsia" w:ascii="宋体" w:hAnsi="宋体" w:cs="宋体"/>
          <w:b/>
          <w:bCs/>
          <w:sz w:val="24"/>
          <w:szCs w:val="28"/>
        </w:rPr>
        <w:t>纪律</w:t>
      </w:r>
    </w:p>
    <w:p w14:paraId="5EB646B2">
      <w:pPr>
        <w:spacing w:line="480" w:lineRule="exact"/>
        <w:ind w:firstLine="480" w:firstLineChars="200"/>
        <w:rPr>
          <w:rStyle w:val="54"/>
          <w:rFonts w:ascii="宋体" w:hAnsi="宋体" w:cs="宋体"/>
          <w:b/>
          <w:bCs/>
          <w:sz w:val="24"/>
          <w:szCs w:val="28"/>
        </w:rPr>
      </w:pPr>
      <w:r>
        <w:rPr>
          <w:rStyle w:val="54"/>
          <w:rFonts w:hint="eastAsia" w:ascii="宋体" w:hAnsi="宋体" w:cs="宋体"/>
          <w:sz w:val="24"/>
          <w:szCs w:val="28"/>
          <w:lang w:val="zh-CN"/>
        </w:rPr>
        <w:t>为了加强政府采购的管理和监督，保证招标工作严肃有序地进行，磋商小组成员、采购人及工作人员应共同遵照执行以下纪律：</w:t>
      </w:r>
    </w:p>
    <w:p w14:paraId="11C30C42">
      <w:pPr>
        <w:spacing w:line="480" w:lineRule="exact"/>
        <w:ind w:firstLine="480" w:firstLineChars="200"/>
        <w:rPr>
          <w:rStyle w:val="54"/>
          <w:rFonts w:ascii="宋体" w:hAnsi="宋体" w:cs="宋体"/>
          <w:b/>
          <w:bCs/>
          <w:sz w:val="24"/>
        </w:rPr>
      </w:pPr>
      <w:r>
        <w:rPr>
          <w:rStyle w:val="54"/>
          <w:rFonts w:hint="eastAsia" w:ascii="宋体" w:hAnsi="宋体" w:cs="宋体"/>
          <w:sz w:val="24"/>
          <w:lang w:val="zh-CN"/>
        </w:rPr>
        <w:t>1</w:t>
      </w:r>
      <w:r>
        <w:rPr>
          <w:rStyle w:val="54"/>
          <w:rFonts w:hint="eastAsia" w:ascii="宋体" w:hAnsi="宋体" w:cs="宋体"/>
          <w:sz w:val="24"/>
        </w:rPr>
        <w:t>.</w:t>
      </w:r>
      <w:r>
        <w:rPr>
          <w:rStyle w:val="54"/>
          <w:rFonts w:hint="eastAsia" w:ascii="宋体" w:hAnsi="宋体" w:cs="宋体"/>
          <w:sz w:val="24"/>
          <w:lang w:val="zh-CN"/>
        </w:rPr>
        <w:t>遵循公平、公正和诚实信用的原则，维护国家、采购人及供应商的合法权益。</w:t>
      </w:r>
    </w:p>
    <w:p w14:paraId="02BA018B">
      <w:pPr>
        <w:spacing w:line="480" w:lineRule="exact"/>
        <w:ind w:firstLine="480" w:firstLineChars="200"/>
        <w:rPr>
          <w:rStyle w:val="54"/>
          <w:rFonts w:ascii="宋体" w:hAnsi="宋体" w:cs="宋体"/>
          <w:b/>
          <w:bCs/>
          <w:sz w:val="24"/>
        </w:rPr>
      </w:pPr>
      <w:r>
        <w:rPr>
          <w:rStyle w:val="54"/>
          <w:rFonts w:hint="eastAsia" w:ascii="宋体" w:hAnsi="宋体" w:cs="宋体"/>
          <w:sz w:val="24"/>
          <w:lang w:val="zh-CN"/>
        </w:rPr>
        <w:t>2</w:t>
      </w:r>
      <w:r>
        <w:rPr>
          <w:rStyle w:val="54"/>
          <w:rFonts w:hint="eastAsia" w:ascii="宋体" w:hAnsi="宋体" w:cs="宋体"/>
          <w:sz w:val="24"/>
        </w:rPr>
        <w:t>.</w:t>
      </w:r>
      <w:r>
        <w:rPr>
          <w:rStyle w:val="54"/>
          <w:rFonts w:hint="eastAsia" w:ascii="宋体" w:hAnsi="宋体" w:cs="宋体"/>
          <w:sz w:val="24"/>
          <w:lang w:val="zh-CN"/>
        </w:rPr>
        <w:t>遵照磋商原则，公正、公平地对待所有供应商。</w:t>
      </w:r>
    </w:p>
    <w:p w14:paraId="34D9E280">
      <w:pPr>
        <w:spacing w:line="480" w:lineRule="exact"/>
        <w:ind w:firstLine="480" w:firstLineChars="200"/>
        <w:rPr>
          <w:rStyle w:val="54"/>
          <w:rFonts w:ascii="宋体" w:hAnsi="宋体" w:cs="宋体"/>
          <w:sz w:val="24"/>
          <w:lang w:val="zh-CN"/>
        </w:rPr>
      </w:pPr>
      <w:r>
        <w:rPr>
          <w:rStyle w:val="54"/>
          <w:rFonts w:hint="eastAsia" w:ascii="宋体" w:hAnsi="宋体" w:cs="宋体"/>
          <w:sz w:val="24"/>
          <w:lang w:val="zh-CN"/>
        </w:rPr>
        <w:t>3</w:t>
      </w:r>
      <w:r>
        <w:rPr>
          <w:rStyle w:val="54"/>
          <w:rFonts w:hint="eastAsia" w:ascii="宋体" w:hAnsi="宋体" w:cs="宋体"/>
          <w:sz w:val="24"/>
        </w:rPr>
        <w:t>.</w:t>
      </w:r>
      <w:r>
        <w:rPr>
          <w:rStyle w:val="54"/>
          <w:rFonts w:hint="eastAsia" w:ascii="宋体" w:hAnsi="宋体" w:cs="宋体"/>
          <w:sz w:val="24"/>
          <w:lang w:val="zh-CN"/>
        </w:rPr>
        <w:t>磋商工作按规定程序，在磋商小组内部独立进行。不受任何单位和个人的非法干预或影响。</w:t>
      </w:r>
    </w:p>
    <w:p w14:paraId="25D31A67">
      <w:pPr>
        <w:spacing w:line="480" w:lineRule="exact"/>
        <w:ind w:firstLine="480" w:firstLineChars="200"/>
        <w:rPr>
          <w:rStyle w:val="54"/>
          <w:rFonts w:ascii="宋体" w:hAnsi="宋体" w:cs="宋体"/>
          <w:sz w:val="24"/>
          <w:lang w:val="zh-CN"/>
        </w:rPr>
      </w:pPr>
      <w:r>
        <w:rPr>
          <w:rStyle w:val="54"/>
          <w:rFonts w:hint="eastAsia" w:ascii="宋体" w:hAnsi="宋体" w:cs="宋体"/>
          <w:sz w:val="24"/>
          <w:lang w:val="zh-CN"/>
        </w:rPr>
        <w:t>4</w:t>
      </w:r>
      <w:r>
        <w:rPr>
          <w:rStyle w:val="54"/>
          <w:rFonts w:hint="eastAsia" w:ascii="宋体" w:hAnsi="宋体" w:cs="宋体"/>
          <w:sz w:val="24"/>
        </w:rPr>
        <w:t>.</w:t>
      </w:r>
      <w:r>
        <w:rPr>
          <w:rStyle w:val="54"/>
          <w:rFonts w:hint="eastAsia" w:ascii="宋体" w:hAnsi="宋体" w:cs="宋体"/>
          <w:sz w:val="24"/>
          <w:lang w:val="zh-CN"/>
        </w:rPr>
        <w:t>磋商小组成员如与磋商供应商有私人或经济关系的应当回避。</w:t>
      </w:r>
    </w:p>
    <w:p w14:paraId="2EA899FD">
      <w:pPr>
        <w:spacing w:line="480" w:lineRule="exact"/>
        <w:ind w:firstLine="480" w:firstLineChars="200"/>
        <w:rPr>
          <w:rStyle w:val="54"/>
          <w:rFonts w:ascii="宋体" w:hAnsi="宋体" w:cs="宋体"/>
          <w:sz w:val="24"/>
          <w:lang w:val="zh-CN"/>
        </w:rPr>
      </w:pPr>
      <w:r>
        <w:rPr>
          <w:rStyle w:val="54"/>
          <w:rFonts w:hint="eastAsia" w:ascii="宋体" w:hAnsi="宋体" w:cs="宋体"/>
          <w:sz w:val="24"/>
          <w:lang w:val="zh-CN"/>
        </w:rPr>
        <w:t>5</w:t>
      </w:r>
      <w:r>
        <w:rPr>
          <w:rStyle w:val="54"/>
          <w:rFonts w:hint="eastAsia" w:ascii="宋体" w:hAnsi="宋体" w:cs="宋体"/>
          <w:sz w:val="24"/>
        </w:rPr>
        <w:t>.</w:t>
      </w:r>
      <w:r>
        <w:rPr>
          <w:rStyle w:val="54"/>
          <w:rFonts w:hint="eastAsia" w:ascii="宋体" w:hAnsi="宋体" w:cs="宋体"/>
          <w:sz w:val="24"/>
          <w:lang w:val="zh-CN"/>
        </w:rPr>
        <w:t>磋商小组成员应当客观、公正的履行职责，遵守职业道德，对所提出的评审意见承担责任。</w:t>
      </w:r>
    </w:p>
    <w:p w14:paraId="15285E12">
      <w:pPr>
        <w:spacing w:line="480" w:lineRule="exact"/>
        <w:ind w:firstLine="480" w:firstLineChars="200"/>
        <w:rPr>
          <w:rStyle w:val="54"/>
          <w:rFonts w:ascii="宋体" w:hAnsi="宋体" w:cs="宋体"/>
          <w:sz w:val="24"/>
          <w:lang w:val="zh-CN"/>
        </w:rPr>
      </w:pPr>
      <w:r>
        <w:rPr>
          <w:rStyle w:val="54"/>
          <w:rFonts w:hint="eastAsia" w:ascii="宋体" w:hAnsi="宋体" w:cs="宋体"/>
          <w:sz w:val="24"/>
          <w:lang w:val="zh-CN"/>
        </w:rPr>
        <w:t>6</w:t>
      </w:r>
      <w:r>
        <w:rPr>
          <w:rStyle w:val="54"/>
          <w:rFonts w:hint="eastAsia" w:ascii="宋体" w:hAnsi="宋体" w:cs="宋体"/>
          <w:sz w:val="24"/>
        </w:rPr>
        <w:t>.</w:t>
      </w:r>
      <w:r>
        <w:rPr>
          <w:rStyle w:val="54"/>
          <w:rFonts w:hint="eastAsia" w:ascii="宋体" w:hAnsi="宋体" w:cs="宋体"/>
          <w:sz w:val="24"/>
          <w:lang w:val="zh-CN"/>
        </w:rPr>
        <w:t>磋商小组成员不得与任何磋商供应商或与采购结果有利害关系的人私下接触，不得收受磋商供应商、中介人及其它利害关系人的财物或其它好处。</w:t>
      </w:r>
    </w:p>
    <w:p w14:paraId="48ADA63D">
      <w:pPr>
        <w:spacing w:line="480" w:lineRule="exact"/>
        <w:ind w:firstLine="480" w:firstLineChars="200"/>
        <w:rPr>
          <w:rStyle w:val="54"/>
          <w:rFonts w:ascii="宋体" w:hAnsi="宋体" w:cs="宋体"/>
          <w:sz w:val="24"/>
          <w:lang w:val="zh-CN"/>
        </w:rPr>
      </w:pPr>
      <w:r>
        <w:rPr>
          <w:rStyle w:val="54"/>
          <w:rFonts w:hint="eastAsia" w:ascii="宋体" w:hAnsi="宋体" w:cs="宋体"/>
          <w:sz w:val="24"/>
          <w:lang w:val="zh-CN"/>
        </w:rPr>
        <w:t>7</w:t>
      </w:r>
      <w:r>
        <w:rPr>
          <w:rStyle w:val="54"/>
          <w:rFonts w:hint="eastAsia" w:ascii="宋体" w:hAnsi="宋体" w:cs="宋体"/>
          <w:sz w:val="24"/>
        </w:rPr>
        <w:t>.</w:t>
      </w:r>
      <w:r>
        <w:rPr>
          <w:rStyle w:val="54"/>
          <w:rFonts w:hint="eastAsia" w:ascii="宋体" w:hAnsi="宋体" w:cs="宋体"/>
          <w:sz w:val="24"/>
          <w:lang w:val="zh-CN"/>
        </w:rPr>
        <w:t>磋商小组成员和参与评审活动有关的工作人员不得透漏对磋商文件的评审和比较、成交候选人的推荐情况以及与评审有关的其它情况。不应将评审资料带出评审会场。</w:t>
      </w:r>
    </w:p>
    <w:p w14:paraId="48CF59DC">
      <w:pPr>
        <w:spacing w:line="480" w:lineRule="exact"/>
        <w:ind w:firstLine="480" w:firstLineChars="200"/>
        <w:rPr>
          <w:rStyle w:val="54"/>
          <w:rFonts w:ascii="宋体" w:hAnsi="宋体" w:cs="宋体"/>
          <w:sz w:val="24"/>
          <w:lang w:val="zh-CN"/>
        </w:rPr>
      </w:pPr>
      <w:r>
        <w:rPr>
          <w:rStyle w:val="54"/>
          <w:rFonts w:hint="eastAsia" w:ascii="宋体" w:hAnsi="宋体" w:cs="宋体"/>
          <w:sz w:val="24"/>
          <w:lang w:val="zh-CN"/>
        </w:rPr>
        <w:t>8</w:t>
      </w:r>
      <w:r>
        <w:rPr>
          <w:rStyle w:val="54"/>
          <w:rFonts w:hint="eastAsia" w:ascii="宋体" w:hAnsi="宋体" w:cs="宋体"/>
          <w:sz w:val="24"/>
        </w:rPr>
        <w:t>.</w:t>
      </w:r>
      <w:r>
        <w:rPr>
          <w:rStyle w:val="54"/>
          <w:rFonts w:hint="eastAsia" w:ascii="宋体" w:hAnsi="宋体" w:cs="宋体"/>
          <w:sz w:val="24"/>
          <w:lang w:val="zh-CN"/>
        </w:rPr>
        <w:t>为确保评审工作顺利进行，磋商小组全体成员应</w:t>
      </w:r>
      <w:r>
        <w:rPr>
          <w:rStyle w:val="54"/>
          <w:rFonts w:hint="eastAsia" w:ascii="宋体" w:hAnsi="宋体" w:cs="宋体"/>
          <w:sz w:val="24"/>
        </w:rPr>
        <w:t>遵守相关制度，</w:t>
      </w:r>
      <w:r>
        <w:rPr>
          <w:rStyle w:val="54"/>
          <w:rFonts w:hint="eastAsia" w:ascii="宋体" w:hAnsi="宋体" w:cs="宋体"/>
          <w:sz w:val="24"/>
          <w:lang w:val="zh-CN"/>
        </w:rPr>
        <w:t>关闭通讯工具；在评审工作结束前，磋商小组全体成员不得单独行动。</w:t>
      </w:r>
    </w:p>
    <w:p w14:paraId="55B735BF">
      <w:pPr>
        <w:spacing w:line="480" w:lineRule="exact"/>
        <w:ind w:firstLine="480" w:firstLineChars="200"/>
        <w:rPr>
          <w:rStyle w:val="54"/>
          <w:rFonts w:ascii="宋体" w:hAnsi="宋体" w:cs="宋体"/>
        </w:rPr>
      </w:pPr>
      <w:r>
        <w:rPr>
          <w:rStyle w:val="54"/>
          <w:rFonts w:hint="eastAsia" w:ascii="宋体" w:hAnsi="宋体" w:cs="宋体"/>
          <w:sz w:val="24"/>
          <w:lang w:val="zh-CN"/>
        </w:rPr>
        <w:t>9</w:t>
      </w:r>
      <w:r>
        <w:rPr>
          <w:rStyle w:val="54"/>
          <w:rFonts w:hint="eastAsia" w:ascii="宋体" w:hAnsi="宋体" w:cs="宋体"/>
          <w:sz w:val="24"/>
        </w:rPr>
        <w:t>.</w:t>
      </w:r>
      <w:r>
        <w:rPr>
          <w:rStyle w:val="54"/>
          <w:rFonts w:hint="eastAsia" w:ascii="宋体" w:hAnsi="宋体" w:cs="宋体"/>
          <w:sz w:val="24"/>
          <w:lang w:val="zh-CN"/>
        </w:rPr>
        <w:t>磋商小组不向落标方解释落标原因。</w:t>
      </w:r>
    </w:p>
    <w:p w14:paraId="7095BEA5">
      <w:pPr>
        <w:pStyle w:val="17"/>
        <w:rPr>
          <w:rFonts w:ascii="宋体" w:hAnsi="宋体" w:cs="宋体"/>
          <w:lang w:val="zh-CN"/>
        </w:rPr>
      </w:pPr>
      <w:r>
        <w:rPr>
          <w:rStyle w:val="54"/>
          <w:rFonts w:hint="eastAsia" w:ascii="宋体" w:hAnsi="宋体" w:cs="宋体"/>
          <w:kern w:val="44"/>
          <w:sz w:val="44"/>
          <w:szCs w:val="44"/>
        </w:rPr>
        <w:br w:type="page"/>
      </w:r>
    </w:p>
    <w:p w14:paraId="3BBFAD1D">
      <w:pPr>
        <w:pStyle w:val="4"/>
        <w:spacing w:before="120" w:after="120" w:line="360" w:lineRule="auto"/>
        <w:jc w:val="center"/>
        <w:rPr>
          <w:rStyle w:val="54"/>
          <w:rFonts w:ascii="宋体" w:hAnsi="宋体" w:cs="宋体"/>
          <w:kern w:val="2"/>
          <w:sz w:val="36"/>
          <w:szCs w:val="36"/>
        </w:rPr>
      </w:pPr>
      <w:bookmarkStart w:id="121" w:name="_Toc6463"/>
      <w:r>
        <w:rPr>
          <w:rStyle w:val="54"/>
          <w:rFonts w:hint="eastAsia" w:ascii="宋体" w:hAnsi="宋体" w:cs="宋体"/>
          <w:kern w:val="2"/>
          <w:sz w:val="36"/>
          <w:szCs w:val="36"/>
        </w:rPr>
        <w:t>第四章  合同条款及格式</w:t>
      </w:r>
      <w:bookmarkEnd w:id="121"/>
    </w:p>
    <w:p w14:paraId="4360FE09">
      <w:pPr>
        <w:spacing w:line="440" w:lineRule="exact"/>
        <w:jc w:val="center"/>
        <w:rPr>
          <w:rFonts w:ascii="宋体" w:hAnsi="宋体" w:cs="宋体"/>
          <w:sz w:val="20"/>
        </w:rPr>
      </w:pPr>
      <w:r>
        <w:rPr>
          <w:rFonts w:hint="eastAsia" w:ascii="宋体" w:hAnsi="宋体" w:cs="宋体"/>
        </w:rPr>
        <w:t>（</w:t>
      </w:r>
      <w:r>
        <w:rPr>
          <w:rFonts w:hint="eastAsia" w:ascii="宋体" w:hAnsi="宋体" w:cs="宋体"/>
          <w:szCs w:val="21"/>
        </w:rPr>
        <w:t>参考格式，合同具体由双方协商决定</w:t>
      </w:r>
      <w:r>
        <w:rPr>
          <w:rFonts w:hint="eastAsia" w:ascii="宋体" w:hAnsi="宋体" w:cs="宋体"/>
        </w:rPr>
        <w:t>）</w:t>
      </w:r>
    </w:p>
    <w:p w14:paraId="7AFE8A90">
      <w:pPr>
        <w:rPr>
          <w:rFonts w:ascii="宋体" w:hAnsi="宋体" w:cs="宋体"/>
          <w:sz w:val="20"/>
        </w:rPr>
      </w:pPr>
    </w:p>
    <w:p w14:paraId="24BA48A6">
      <w:pPr>
        <w:autoSpaceDE w:val="0"/>
        <w:autoSpaceDN w:val="0"/>
        <w:adjustRightInd w:val="0"/>
        <w:spacing w:line="480" w:lineRule="exact"/>
        <w:ind w:firstLine="420" w:firstLineChars="200"/>
        <w:rPr>
          <w:rFonts w:ascii="宋体" w:hAnsi="宋体" w:cs="宋体"/>
          <w:kern w:val="0"/>
          <w:szCs w:val="21"/>
        </w:rPr>
      </w:pPr>
      <w:r>
        <w:rPr>
          <w:rFonts w:hint="eastAsia" w:ascii="宋体" w:hAnsi="宋体" w:cs="宋体"/>
          <w:kern w:val="0"/>
          <w:szCs w:val="21"/>
        </w:rPr>
        <w:t>招标人（项目单位）：</w:t>
      </w:r>
      <w:r>
        <w:rPr>
          <w:rFonts w:hint="eastAsia" w:ascii="宋体" w:hAnsi="宋体" w:cs="宋体"/>
          <w:kern w:val="0"/>
          <w:szCs w:val="21"/>
          <w:u w:val="single"/>
        </w:rPr>
        <w:t xml:space="preserve">                   </w:t>
      </w:r>
      <w:r>
        <w:rPr>
          <w:rFonts w:hint="eastAsia" w:ascii="宋体" w:hAnsi="宋体" w:cs="宋体"/>
          <w:kern w:val="0"/>
          <w:szCs w:val="21"/>
        </w:rPr>
        <w:t xml:space="preserve"> （以下简称甲方）</w:t>
      </w:r>
    </w:p>
    <w:p w14:paraId="100595D2">
      <w:pPr>
        <w:autoSpaceDE w:val="0"/>
        <w:autoSpaceDN w:val="0"/>
        <w:adjustRightInd w:val="0"/>
        <w:spacing w:line="480" w:lineRule="exact"/>
        <w:ind w:firstLine="420" w:firstLineChars="200"/>
        <w:rPr>
          <w:rFonts w:ascii="宋体" w:hAnsi="宋体" w:cs="宋体"/>
          <w:kern w:val="0"/>
          <w:szCs w:val="21"/>
        </w:rPr>
      </w:pPr>
      <w:r>
        <w:rPr>
          <w:rFonts w:hint="eastAsia" w:ascii="宋体" w:hAnsi="宋体" w:cs="宋体"/>
          <w:kern w:val="0"/>
          <w:szCs w:val="21"/>
        </w:rPr>
        <w:t>投标人（中标单位）：</w:t>
      </w:r>
      <w:r>
        <w:rPr>
          <w:rFonts w:hint="eastAsia" w:ascii="宋体" w:hAnsi="宋体" w:cs="宋体"/>
          <w:kern w:val="0"/>
          <w:szCs w:val="21"/>
          <w:u w:val="single"/>
        </w:rPr>
        <w:t xml:space="preserve">                   </w:t>
      </w:r>
      <w:r>
        <w:rPr>
          <w:rFonts w:hint="eastAsia" w:ascii="宋体" w:hAnsi="宋体" w:cs="宋体"/>
          <w:kern w:val="0"/>
          <w:szCs w:val="21"/>
        </w:rPr>
        <w:t xml:space="preserve"> （以下简称乙方）</w:t>
      </w:r>
    </w:p>
    <w:p w14:paraId="0A5D5190">
      <w:pPr>
        <w:autoSpaceDE w:val="0"/>
        <w:autoSpaceDN w:val="0"/>
        <w:adjustRightInd w:val="0"/>
        <w:spacing w:line="480" w:lineRule="exact"/>
        <w:rPr>
          <w:rFonts w:ascii="宋体" w:hAnsi="宋体" w:cs="宋体"/>
          <w:szCs w:val="21"/>
        </w:rPr>
      </w:pPr>
      <w:r>
        <w:rPr>
          <w:rFonts w:hint="eastAsia" w:ascii="宋体" w:hAnsi="宋体" w:cs="宋体"/>
          <w:szCs w:val="21"/>
        </w:rPr>
        <w:t xml:space="preserve">   根据</w:t>
      </w:r>
      <w:r>
        <w:rPr>
          <w:rFonts w:hint="eastAsia" w:ascii="宋体" w:hAnsi="宋体"/>
          <w:bCs/>
          <w:szCs w:val="21"/>
        </w:rPr>
        <w:t>《中华人民共和国招标投标法》、</w:t>
      </w:r>
      <w:r>
        <w:rPr>
          <w:rFonts w:hint="eastAsia" w:ascii="宋体" w:hAnsi="宋体" w:cs="宋体"/>
          <w:szCs w:val="21"/>
        </w:rPr>
        <w:t>《中华人民共和国政府采购法》、《中华人民共和国合同法》等法律、法规规定，按照招、投标文件规定条款和中标人</w:t>
      </w:r>
      <w:r>
        <w:rPr>
          <w:rFonts w:hint="eastAsia" w:ascii="宋体" w:hAnsi="宋体" w:cs="宋体"/>
          <w:kern w:val="0"/>
          <w:szCs w:val="21"/>
        </w:rPr>
        <w:t>投标投标文件及投标</w:t>
      </w:r>
      <w:r>
        <w:rPr>
          <w:rFonts w:hint="eastAsia" w:ascii="宋体" w:hAnsi="宋体" w:cs="宋体"/>
          <w:szCs w:val="21"/>
        </w:rPr>
        <w:t>承诺，</w:t>
      </w:r>
      <w:r>
        <w:rPr>
          <w:rFonts w:hint="eastAsia" w:ascii="宋体" w:hAnsi="宋体" w:cs="宋体"/>
          <w:kern w:val="0"/>
          <w:szCs w:val="21"/>
        </w:rPr>
        <w:t>经甲、乙双方充分协商，特订立本合同，以便共同遵守。</w:t>
      </w:r>
    </w:p>
    <w:p w14:paraId="390EB5C3">
      <w:pPr>
        <w:widowControl w:val="0"/>
        <w:numPr>
          <w:ilvl w:val="0"/>
          <w:numId w:val="2"/>
        </w:numPr>
        <w:snapToGrid w:val="0"/>
        <w:spacing w:line="480" w:lineRule="exact"/>
        <w:textAlignment w:val="auto"/>
        <w:rPr>
          <w:rFonts w:ascii="宋体" w:hAnsi="宋体" w:cs="宋体"/>
          <w:szCs w:val="21"/>
        </w:rPr>
      </w:pPr>
      <w:r>
        <w:rPr>
          <w:rFonts w:hint="eastAsia" w:ascii="宋体" w:hAnsi="宋体" w:cs="宋体"/>
          <w:szCs w:val="21"/>
        </w:rPr>
        <w:t>合同范围：</w:t>
      </w:r>
    </w:p>
    <w:p w14:paraId="045FD961">
      <w:pPr>
        <w:snapToGrid w:val="0"/>
        <w:spacing w:line="480" w:lineRule="exact"/>
        <w:rPr>
          <w:rFonts w:ascii="宋体" w:hAnsi="宋体" w:cs="宋体"/>
          <w:szCs w:val="21"/>
        </w:rPr>
      </w:pPr>
      <w:r>
        <w:rPr>
          <w:rFonts w:hint="eastAsia" w:ascii="宋体" w:hAnsi="宋体" w:cs="宋体"/>
          <w:szCs w:val="21"/>
        </w:rPr>
        <w:t>二、项目内容及要求</w:t>
      </w:r>
    </w:p>
    <w:p w14:paraId="6C23020D">
      <w:pPr>
        <w:snapToGrid w:val="0"/>
        <w:spacing w:line="480" w:lineRule="exact"/>
        <w:rPr>
          <w:rFonts w:ascii="宋体" w:hAnsi="宋体" w:cs="宋体"/>
          <w:szCs w:val="21"/>
        </w:rPr>
      </w:pPr>
      <w:r>
        <w:rPr>
          <w:rFonts w:hint="eastAsia" w:ascii="宋体" w:hAnsi="宋体" w:cs="宋体"/>
          <w:szCs w:val="21"/>
        </w:rPr>
        <w:t xml:space="preserve">    1、甲、乙双方应将招标文件、投标文件、项目内容等作为本条款的基础。</w:t>
      </w:r>
    </w:p>
    <w:p w14:paraId="1612A62F">
      <w:pPr>
        <w:autoSpaceDE w:val="0"/>
        <w:autoSpaceDN w:val="0"/>
        <w:adjustRightInd w:val="0"/>
        <w:spacing w:line="480" w:lineRule="exact"/>
        <w:ind w:left="559" w:hanging="558" w:hangingChars="266"/>
        <w:rPr>
          <w:rFonts w:ascii="宋体" w:hAnsi="宋体" w:cs="宋体"/>
          <w:szCs w:val="21"/>
        </w:rPr>
      </w:pPr>
      <w:r>
        <w:rPr>
          <w:rFonts w:hint="eastAsia" w:ascii="宋体" w:hAnsi="宋体" w:cs="宋体"/>
          <w:szCs w:val="21"/>
        </w:rPr>
        <w:t xml:space="preserve">    2、乙方作为承担本项目的中标人，应按投标文件承诺的内容开展本项目实施业务。</w:t>
      </w:r>
      <w:r>
        <w:rPr>
          <w:rFonts w:hint="eastAsia" w:ascii="仿宋_GB2312" w:hAnsi="宋体" w:eastAsia="仿宋_GB2312"/>
          <w:szCs w:val="21"/>
        </w:rPr>
        <w:t xml:space="preserve"> </w:t>
      </w:r>
    </w:p>
    <w:p w14:paraId="647E1D7B">
      <w:pPr>
        <w:spacing w:line="480" w:lineRule="exact"/>
        <w:rPr>
          <w:rFonts w:ascii="宋体" w:hAnsi="宋体" w:cs="宋体"/>
          <w:szCs w:val="21"/>
        </w:rPr>
      </w:pPr>
      <w:r>
        <w:rPr>
          <w:rFonts w:hint="eastAsia" w:ascii="宋体" w:hAnsi="宋体" w:cs="宋体"/>
          <w:kern w:val="0"/>
          <w:szCs w:val="21"/>
        </w:rPr>
        <w:t>三、</w:t>
      </w:r>
      <w:r>
        <w:rPr>
          <w:rFonts w:hint="eastAsia" w:ascii="宋体" w:hAnsi="宋体" w:cs="宋体"/>
          <w:szCs w:val="21"/>
        </w:rPr>
        <w:t>合同总金额：大写（元）：</w:t>
      </w:r>
      <w:r>
        <w:rPr>
          <w:rFonts w:hint="eastAsia" w:ascii="宋体" w:hAnsi="宋体" w:cs="宋体"/>
          <w:szCs w:val="21"/>
          <w:u w:val="single"/>
        </w:rPr>
        <w:t xml:space="preserve">                                  </w:t>
      </w:r>
    </w:p>
    <w:p w14:paraId="553DF1AA">
      <w:pPr>
        <w:spacing w:line="480" w:lineRule="exact"/>
        <w:ind w:firstLine="955"/>
        <w:rPr>
          <w:rFonts w:ascii="宋体" w:hAnsi="宋体" w:cs="宋体"/>
          <w:kern w:val="0"/>
          <w:szCs w:val="21"/>
        </w:rPr>
      </w:pPr>
      <w:r>
        <w:rPr>
          <w:rFonts w:hint="eastAsia" w:ascii="宋体" w:hAnsi="宋体" w:cs="宋体"/>
          <w:szCs w:val="21"/>
        </w:rPr>
        <w:t xml:space="preserve">        小写（元）：</w:t>
      </w:r>
      <w:r>
        <w:rPr>
          <w:rFonts w:hint="eastAsia" w:ascii="宋体" w:hAnsi="宋体" w:cs="宋体"/>
          <w:szCs w:val="21"/>
          <w:u w:val="single"/>
        </w:rPr>
        <w:t xml:space="preserve">                                  </w:t>
      </w:r>
    </w:p>
    <w:p w14:paraId="446CFBDF">
      <w:pPr>
        <w:snapToGrid w:val="0"/>
        <w:spacing w:line="480" w:lineRule="exact"/>
        <w:rPr>
          <w:rFonts w:ascii="宋体" w:hAnsi="宋体" w:cs="宋体"/>
          <w:kern w:val="0"/>
          <w:szCs w:val="21"/>
        </w:rPr>
      </w:pPr>
      <w:r>
        <w:rPr>
          <w:rFonts w:hint="eastAsia" w:ascii="宋体" w:hAnsi="宋体" w:cs="宋体"/>
          <w:kern w:val="0"/>
          <w:szCs w:val="21"/>
        </w:rPr>
        <w:t>四、</w:t>
      </w:r>
      <w:r>
        <w:rPr>
          <w:rFonts w:hint="eastAsia" w:ascii="宋体" w:hAnsi="宋体" w:cs="宋体"/>
          <w:szCs w:val="21"/>
        </w:rPr>
        <w:t>项目服务期限</w:t>
      </w:r>
      <w:r>
        <w:rPr>
          <w:rFonts w:hint="eastAsia" w:ascii="宋体" w:hAnsi="宋体" w:cs="宋体"/>
          <w:kern w:val="0"/>
          <w:szCs w:val="21"/>
        </w:rPr>
        <w:t>及地点：</w:t>
      </w:r>
    </w:p>
    <w:p w14:paraId="2407702E">
      <w:pPr>
        <w:spacing w:line="480" w:lineRule="exact"/>
        <w:ind w:left="368" w:hanging="367" w:hangingChars="175"/>
        <w:rPr>
          <w:rFonts w:ascii="宋体" w:hAnsi="宋体" w:cs="宋体"/>
          <w:szCs w:val="21"/>
        </w:rPr>
      </w:pPr>
      <w:r>
        <w:rPr>
          <w:rFonts w:hint="eastAsia" w:ascii="宋体" w:hAnsi="宋体" w:cs="宋体"/>
          <w:szCs w:val="21"/>
        </w:rPr>
        <w:t xml:space="preserve">    1、服务期限：</w:t>
      </w:r>
      <w:r>
        <w:rPr>
          <w:rFonts w:hint="eastAsia" w:ascii="宋体" w:hAnsi="宋体" w:cs="宋体"/>
          <w:szCs w:val="21"/>
          <w:u w:val="single"/>
        </w:rPr>
        <w:t xml:space="preserve">     </w:t>
      </w:r>
      <w:r>
        <w:rPr>
          <w:rFonts w:hint="eastAsia" w:ascii="宋体" w:hAnsi="宋体" w:cs="宋体"/>
          <w:szCs w:val="21"/>
        </w:rPr>
        <w:t xml:space="preserve"> 。</w:t>
      </w:r>
    </w:p>
    <w:p w14:paraId="4C676A34">
      <w:pPr>
        <w:autoSpaceDE w:val="0"/>
        <w:autoSpaceDN w:val="0"/>
        <w:adjustRightInd w:val="0"/>
        <w:spacing w:line="480" w:lineRule="exact"/>
        <w:rPr>
          <w:rFonts w:ascii="宋体" w:hAnsi="宋体"/>
          <w:szCs w:val="21"/>
        </w:rPr>
      </w:pPr>
      <w:r>
        <w:rPr>
          <w:rFonts w:hint="eastAsia" w:ascii="宋体" w:hAnsi="宋体" w:cs="宋体"/>
          <w:kern w:val="0"/>
          <w:szCs w:val="21"/>
        </w:rPr>
        <w:t xml:space="preserve">    2、服务地点：</w:t>
      </w:r>
      <w:r>
        <w:rPr>
          <w:rFonts w:hint="eastAsia" w:ascii="宋体" w:hAnsi="宋体" w:cs="宋体"/>
          <w:kern w:val="0"/>
          <w:szCs w:val="21"/>
          <w:u w:val="single"/>
        </w:rPr>
        <w:t xml:space="preserve">       </w:t>
      </w:r>
      <w:r>
        <w:rPr>
          <w:rFonts w:hint="eastAsia" w:ascii="宋体" w:hAnsi="宋体" w:cs="宋体"/>
          <w:kern w:val="0"/>
          <w:szCs w:val="21"/>
        </w:rPr>
        <w:t>。</w:t>
      </w:r>
    </w:p>
    <w:p w14:paraId="36623065">
      <w:pPr>
        <w:autoSpaceDE w:val="0"/>
        <w:autoSpaceDN w:val="0"/>
        <w:adjustRightInd w:val="0"/>
        <w:spacing w:line="480" w:lineRule="exact"/>
        <w:rPr>
          <w:rFonts w:ascii="宋体" w:hAnsi="宋体" w:cs="宋体"/>
          <w:kern w:val="0"/>
          <w:szCs w:val="21"/>
        </w:rPr>
      </w:pPr>
      <w:r>
        <w:rPr>
          <w:rFonts w:hint="eastAsia" w:ascii="宋体" w:hAnsi="宋体" w:cs="宋体"/>
          <w:kern w:val="0"/>
          <w:szCs w:val="21"/>
        </w:rPr>
        <w:t>五、验收及异议：</w:t>
      </w:r>
    </w:p>
    <w:p w14:paraId="6FE774EB">
      <w:pPr>
        <w:autoSpaceDE w:val="0"/>
        <w:autoSpaceDN w:val="0"/>
        <w:adjustRightInd w:val="0"/>
        <w:spacing w:line="480" w:lineRule="exact"/>
        <w:rPr>
          <w:rFonts w:ascii="宋体" w:hAnsi="宋体" w:cs="宋体"/>
          <w:kern w:val="0"/>
          <w:szCs w:val="21"/>
        </w:rPr>
      </w:pPr>
      <w:r>
        <w:rPr>
          <w:rFonts w:hint="eastAsia" w:ascii="宋体" w:hAnsi="宋体" w:cs="宋体"/>
          <w:kern w:val="0"/>
          <w:szCs w:val="21"/>
        </w:rPr>
        <w:t xml:space="preserve">    1、甲方验收，并根据实际验收情况向乙方签发验收报告；</w:t>
      </w:r>
    </w:p>
    <w:p w14:paraId="1D7D6099">
      <w:pPr>
        <w:autoSpaceDE w:val="0"/>
        <w:autoSpaceDN w:val="0"/>
        <w:adjustRightInd w:val="0"/>
        <w:spacing w:line="480" w:lineRule="exact"/>
        <w:ind w:left="559" w:hanging="558" w:hangingChars="266"/>
        <w:rPr>
          <w:rFonts w:ascii="宋体" w:hAnsi="宋体" w:cs="宋体"/>
          <w:kern w:val="0"/>
          <w:szCs w:val="21"/>
        </w:rPr>
      </w:pPr>
      <w:r>
        <w:rPr>
          <w:rFonts w:hint="eastAsia" w:ascii="宋体" w:hAnsi="宋体" w:cs="宋体"/>
          <w:kern w:val="0"/>
          <w:szCs w:val="21"/>
        </w:rPr>
        <w:t xml:space="preserve">    2、甲方在验收中，如果发现有与合同规定不符的，应在3天内向乙方提出书面异议，不签发验收报告；并同时将该书面异议送达有关部门；甲方未按规定期限提出书面异议并且签发验收报告的，视为甲方放弃自己的权利。乙方在接到甲方书面异议后，应在3天内予以纠正，并对纠正情况以书面形式告知有关部门，否则视为无效。</w:t>
      </w:r>
    </w:p>
    <w:p w14:paraId="6DEF7F8F">
      <w:pPr>
        <w:autoSpaceDE w:val="0"/>
        <w:autoSpaceDN w:val="0"/>
        <w:adjustRightInd w:val="0"/>
        <w:spacing w:line="480" w:lineRule="exact"/>
        <w:rPr>
          <w:rFonts w:ascii="宋体" w:hAnsi="宋体" w:cs="宋体"/>
          <w:kern w:val="0"/>
          <w:szCs w:val="21"/>
        </w:rPr>
      </w:pPr>
      <w:r>
        <w:rPr>
          <w:rFonts w:hint="eastAsia" w:ascii="宋体" w:hAnsi="宋体" w:cs="宋体"/>
          <w:kern w:val="0"/>
          <w:szCs w:val="21"/>
        </w:rPr>
        <w:t>六、付款方式：</w:t>
      </w:r>
    </w:p>
    <w:p w14:paraId="4368BE2C">
      <w:pPr>
        <w:autoSpaceDE w:val="0"/>
        <w:autoSpaceDN w:val="0"/>
        <w:adjustRightInd w:val="0"/>
        <w:spacing w:line="480" w:lineRule="exact"/>
        <w:ind w:firstLine="420" w:firstLineChars="200"/>
        <w:rPr>
          <w:rFonts w:ascii="宋体" w:hAnsi="宋体" w:cs="宋体"/>
          <w:szCs w:val="21"/>
        </w:rPr>
      </w:pPr>
      <w:r>
        <w:rPr>
          <w:rFonts w:hint="eastAsia" w:ascii="宋体" w:hAnsi="宋体" w:cs="宋体"/>
          <w:szCs w:val="21"/>
        </w:rPr>
        <w:t>付款方式：合同签订后，甲方在20个工作日内向乙方支付合同总金额的30%，系统运行正常1个月后，20个工作日内甲方向乙方支付合同总金额的70%。</w:t>
      </w:r>
    </w:p>
    <w:p w14:paraId="70D9AEFC">
      <w:pPr>
        <w:autoSpaceDE w:val="0"/>
        <w:autoSpaceDN w:val="0"/>
        <w:adjustRightInd w:val="0"/>
        <w:spacing w:line="480" w:lineRule="exact"/>
        <w:ind w:firstLine="420" w:firstLineChars="200"/>
        <w:rPr>
          <w:rFonts w:ascii="宋体" w:hAnsi="宋体" w:cs="宋体"/>
          <w:kern w:val="0"/>
          <w:szCs w:val="21"/>
        </w:rPr>
      </w:pPr>
      <w:r>
        <w:rPr>
          <w:rFonts w:hint="eastAsia" w:ascii="宋体" w:hAnsi="宋体" w:cs="宋体"/>
          <w:kern w:val="0"/>
          <w:szCs w:val="21"/>
        </w:rPr>
        <w:t>七、违约责任：</w:t>
      </w:r>
    </w:p>
    <w:p w14:paraId="6A1AF494">
      <w:pPr>
        <w:snapToGrid w:val="0"/>
        <w:spacing w:line="480" w:lineRule="exact"/>
        <w:rPr>
          <w:rFonts w:ascii="宋体" w:hAnsi="宋体" w:cs="宋体"/>
          <w:szCs w:val="21"/>
        </w:rPr>
      </w:pPr>
      <w:r>
        <w:rPr>
          <w:rFonts w:hint="eastAsia" w:ascii="宋体" w:hAnsi="宋体" w:cs="宋体"/>
          <w:szCs w:val="21"/>
        </w:rPr>
        <w:t xml:space="preserve">    1、甲方违约，造成乙方损失的，甲方应按《民法典》有关规定向乙方赔偿损失。</w:t>
      </w:r>
    </w:p>
    <w:p w14:paraId="2725B57F">
      <w:pPr>
        <w:snapToGrid w:val="0"/>
        <w:spacing w:line="480" w:lineRule="exact"/>
        <w:rPr>
          <w:rFonts w:ascii="宋体" w:hAnsi="宋体" w:cs="宋体"/>
          <w:szCs w:val="21"/>
        </w:rPr>
      </w:pPr>
      <w:r>
        <w:rPr>
          <w:rFonts w:hint="eastAsia" w:ascii="宋体" w:hAnsi="宋体" w:cs="宋体"/>
          <w:szCs w:val="21"/>
        </w:rPr>
        <w:t xml:space="preserve">    2、乙方违约，甲方视乙方违约情况，可终止合同。</w:t>
      </w:r>
    </w:p>
    <w:p w14:paraId="6CB099E8">
      <w:pPr>
        <w:autoSpaceDE w:val="0"/>
        <w:autoSpaceDN w:val="0"/>
        <w:adjustRightInd w:val="0"/>
        <w:spacing w:line="480" w:lineRule="exact"/>
        <w:ind w:left="559" w:hanging="558" w:hangingChars="266"/>
        <w:rPr>
          <w:rFonts w:ascii="宋体" w:hAnsi="宋体" w:cs="宋体"/>
          <w:kern w:val="0"/>
          <w:szCs w:val="21"/>
        </w:rPr>
      </w:pPr>
      <w:r>
        <w:rPr>
          <w:rFonts w:hint="eastAsia" w:ascii="宋体" w:hAnsi="宋体" w:cs="宋体"/>
          <w:kern w:val="0"/>
          <w:szCs w:val="21"/>
        </w:rPr>
        <w:t xml:space="preserve">    3、乙方不能按时完成服务任务或因不可抗力的原因不能按时完成服务而未在履行服务期限内书面或电话告知甲方的，应向甲方偿付不能完成本项目价款5%的违约金；</w:t>
      </w:r>
    </w:p>
    <w:p w14:paraId="4E0D5224">
      <w:pPr>
        <w:autoSpaceDE w:val="0"/>
        <w:autoSpaceDN w:val="0"/>
        <w:adjustRightInd w:val="0"/>
        <w:spacing w:line="480" w:lineRule="exact"/>
        <w:rPr>
          <w:rFonts w:ascii="宋体" w:hAnsi="宋体" w:cs="宋体"/>
          <w:szCs w:val="21"/>
        </w:rPr>
      </w:pPr>
      <w:r>
        <w:rPr>
          <w:rFonts w:hint="eastAsia" w:ascii="宋体" w:hAnsi="宋体" w:cs="宋体"/>
          <w:szCs w:val="21"/>
        </w:rPr>
        <w:t>八、不可抗力</w:t>
      </w:r>
    </w:p>
    <w:p w14:paraId="70150877">
      <w:pPr>
        <w:autoSpaceDE w:val="0"/>
        <w:autoSpaceDN w:val="0"/>
        <w:adjustRightInd w:val="0"/>
        <w:spacing w:line="480" w:lineRule="exact"/>
        <w:ind w:left="559" w:hanging="558" w:hangingChars="266"/>
        <w:rPr>
          <w:rFonts w:ascii="宋体" w:hAnsi="宋体" w:cs="宋体"/>
          <w:kern w:val="0"/>
          <w:szCs w:val="21"/>
        </w:rPr>
      </w:pPr>
      <w:r>
        <w:rPr>
          <w:rFonts w:hint="eastAsia" w:ascii="宋体" w:hAnsi="宋体" w:cs="宋体"/>
          <w:szCs w:val="21"/>
        </w:rPr>
        <w:t xml:space="preserve">    1、项目实施中</w:t>
      </w:r>
      <w:r>
        <w:rPr>
          <w:rFonts w:hint="eastAsia" w:ascii="宋体" w:hAnsi="宋体" w:cs="宋体"/>
          <w:kern w:val="0"/>
          <w:szCs w:val="21"/>
        </w:rPr>
        <w:t>由于不可抗力的原因不能履行合同时，应及时向对方通报不能履行或不能按时履行的理由，在取得有关权威部门的证明以后，允许延期履行、部分履行或者不履行合同，并根据情况可部分或全部免予承担违约责任。</w:t>
      </w:r>
    </w:p>
    <w:p w14:paraId="71F2B1D1">
      <w:pPr>
        <w:pStyle w:val="15"/>
        <w:snapToGrid w:val="0"/>
        <w:spacing w:before="120" w:after="120" w:line="480" w:lineRule="exact"/>
        <w:ind w:left="559" w:hanging="558" w:hangingChars="266"/>
        <w:rPr>
          <w:rFonts w:hAnsi="宋体" w:cs="宋体"/>
          <w:sz w:val="21"/>
          <w:szCs w:val="21"/>
        </w:rPr>
      </w:pPr>
      <w:r>
        <w:rPr>
          <w:rFonts w:ascii="仿宋_GB2312" w:hAnsi="宋体" w:eastAsia="仿宋_GB2312"/>
          <w:sz w:val="21"/>
          <w:szCs w:val="21"/>
        </w:rPr>
        <w:t xml:space="preserve">    </w:t>
      </w:r>
      <w:r>
        <w:rPr>
          <w:rFonts w:hAnsi="宋体" w:cs="宋体"/>
          <w:sz w:val="21"/>
          <w:szCs w:val="21"/>
        </w:rPr>
        <w:t>2、在合同有效期内，任何一方因不可抗力事件导致不能履行合同，则合同履行期可延长，其延长期与不可抗力影响期相同。</w:t>
      </w:r>
    </w:p>
    <w:p w14:paraId="069C910C">
      <w:pPr>
        <w:pStyle w:val="15"/>
        <w:snapToGrid w:val="0"/>
        <w:spacing w:before="120" w:after="120" w:line="480" w:lineRule="exact"/>
        <w:rPr>
          <w:rFonts w:hAnsi="宋体" w:cs="宋体"/>
          <w:sz w:val="21"/>
          <w:szCs w:val="21"/>
        </w:rPr>
      </w:pPr>
      <w:r>
        <w:rPr>
          <w:rFonts w:hAnsi="宋体" w:cs="宋体"/>
          <w:sz w:val="21"/>
          <w:szCs w:val="21"/>
        </w:rPr>
        <w:t xml:space="preserve">    3、不可抗力事件发生后，应立即通知对方，并寄送有关权威机构出具的证明。</w:t>
      </w:r>
    </w:p>
    <w:p w14:paraId="3F751F0C">
      <w:pPr>
        <w:pStyle w:val="15"/>
        <w:snapToGrid w:val="0"/>
        <w:spacing w:before="120" w:after="120" w:line="480" w:lineRule="exact"/>
        <w:rPr>
          <w:rFonts w:hAnsi="宋体" w:cs="宋体"/>
          <w:sz w:val="21"/>
          <w:szCs w:val="21"/>
        </w:rPr>
      </w:pPr>
      <w:r>
        <w:rPr>
          <w:rFonts w:hAnsi="宋体" w:cs="宋体"/>
          <w:sz w:val="21"/>
          <w:szCs w:val="21"/>
        </w:rPr>
        <w:t xml:space="preserve">    4、不可抗力事件延续120天以上，双方应通过友好协商，确定是否继续履行合同。</w:t>
      </w:r>
    </w:p>
    <w:p w14:paraId="0B34F737">
      <w:pPr>
        <w:snapToGrid w:val="0"/>
        <w:spacing w:line="480" w:lineRule="exact"/>
        <w:rPr>
          <w:rFonts w:ascii="宋体" w:hAnsi="宋体" w:cs="宋体"/>
          <w:szCs w:val="21"/>
        </w:rPr>
      </w:pPr>
      <w:r>
        <w:rPr>
          <w:rFonts w:hint="eastAsia" w:ascii="宋体" w:hAnsi="宋体" w:cs="宋体"/>
          <w:szCs w:val="21"/>
        </w:rPr>
        <w:t>九、合同争议解决</w:t>
      </w:r>
    </w:p>
    <w:p w14:paraId="09FCA305">
      <w:pPr>
        <w:pStyle w:val="15"/>
        <w:snapToGrid w:val="0"/>
        <w:spacing w:before="120" w:after="120" w:line="480" w:lineRule="exact"/>
        <w:rPr>
          <w:rFonts w:hAnsi="宋体" w:cs="宋体"/>
          <w:sz w:val="21"/>
          <w:szCs w:val="21"/>
        </w:rPr>
      </w:pPr>
      <w:r>
        <w:rPr>
          <w:rFonts w:hAnsi="宋体" w:cs="宋体"/>
          <w:sz w:val="21"/>
          <w:szCs w:val="21"/>
        </w:rPr>
        <w:t xml:space="preserve">    1、因履行本合同引起的或与本合同有关的争议，甲乙双方应首先通过友好协商解决，如果协商不能解决，可向仲裁委员会申请仲裁或向</w:t>
      </w:r>
      <w:r>
        <w:rPr>
          <w:rFonts w:hint="eastAsia" w:hAnsi="宋体" w:cs="宋体"/>
          <w:sz w:val="21"/>
          <w:szCs w:val="21"/>
        </w:rPr>
        <w:t>甲方所在地</w:t>
      </w:r>
      <w:r>
        <w:rPr>
          <w:rFonts w:hAnsi="宋体" w:cs="宋体"/>
          <w:sz w:val="21"/>
          <w:szCs w:val="21"/>
        </w:rPr>
        <w:t>人民法院提起诉讼。</w:t>
      </w:r>
    </w:p>
    <w:p w14:paraId="3C06A679">
      <w:pPr>
        <w:pStyle w:val="15"/>
        <w:snapToGrid w:val="0"/>
        <w:spacing w:before="120" w:after="120" w:line="480" w:lineRule="exact"/>
        <w:rPr>
          <w:rFonts w:hAnsi="宋体" w:cs="宋体"/>
          <w:sz w:val="21"/>
          <w:szCs w:val="21"/>
        </w:rPr>
      </w:pPr>
      <w:r>
        <w:rPr>
          <w:rFonts w:hAnsi="宋体" w:cs="宋体"/>
          <w:sz w:val="21"/>
          <w:szCs w:val="21"/>
        </w:rPr>
        <w:t xml:space="preserve">    2、诉讼期间，本合同继续履行。</w:t>
      </w:r>
    </w:p>
    <w:p w14:paraId="662D3783">
      <w:pPr>
        <w:pStyle w:val="15"/>
        <w:snapToGrid w:val="0"/>
        <w:spacing w:before="120" w:after="120" w:line="480" w:lineRule="exact"/>
        <w:rPr>
          <w:rFonts w:hAnsi="宋体" w:cs="宋体"/>
          <w:sz w:val="21"/>
          <w:szCs w:val="21"/>
        </w:rPr>
      </w:pPr>
      <w:r>
        <w:rPr>
          <w:rFonts w:hAnsi="宋体" w:cs="宋体"/>
          <w:sz w:val="21"/>
          <w:szCs w:val="21"/>
        </w:rPr>
        <w:t>十一、</w:t>
      </w:r>
      <w:r>
        <w:rPr>
          <w:rFonts w:hAnsi="宋体" w:cs="宋体"/>
          <w:vanish/>
          <w:sz w:val="21"/>
          <w:szCs w:val="21"/>
        </w:rPr>
        <w:cr/>
      </w:r>
      <w:r>
        <w:rPr>
          <w:rFonts w:hAnsi="宋体" w:cs="宋体"/>
          <w:vanish/>
          <w:sz w:val="21"/>
          <w:szCs w:val="21"/>
        </w:rPr>
        <w:t xml:space="preserve">       </w:t>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vanish/>
          <w:sz w:val="21"/>
          <w:szCs w:val="21"/>
        </w:rPr>
        <w:pgNum/>
      </w:r>
      <w:r>
        <w:rPr>
          <w:rFonts w:hAnsi="宋体" w:cs="宋体"/>
          <w:sz w:val="21"/>
          <w:szCs w:val="21"/>
        </w:rPr>
        <w:t>合同生效及其它</w:t>
      </w:r>
    </w:p>
    <w:p w14:paraId="6FB78856">
      <w:pPr>
        <w:pStyle w:val="15"/>
        <w:snapToGrid w:val="0"/>
        <w:spacing w:before="120" w:after="120" w:line="480" w:lineRule="exact"/>
        <w:rPr>
          <w:rFonts w:hAnsi="宋体" w:cs="宋体"/>
          <w:sz w:val="21"/>
          <w:szCs w:val="21"/>
        </w:rPr>
      </w:pPr>
      <w:r>
        <w:rPr>
          <w:rFonts w:hAnsi="宋体" w:cs="宋体"/>
          <w:sz w:val="21"/>
          <w:szCs w:val="21"/>
        </w:rPr>
        <w:t xml:space="preserve">    1、合同经双方法定代表人</w:t>
      </w:r>
      <w:r>
        <w:rPr>
          <w:rFonts w:hint="eastAsia" w:hAnsi="宋体" w:cs="宋体"/>
          <w:sz w:val="21"/>
          <w:szCs w:val="21"/>
        </w:rPr>
        <w:t>（负责人）</w:t>
      </w:r>
      <w:r>
        <w:rPr>
          <w:rFonts w:hAnsi="宋体" w:cs="宋体"/>
          <w:sz w:val="21"/>
          <w:szCs w:val="21"/>
        </w:rPr>
        <w:t>或授权代表签字并加盖单位公章后生效。</w:t>
      </w:r>
    </w:p>
    <w:p w14:paraId="6EF62CB9">
      <w:pPr>
        <w:autoSpaceDE w:val="0"/>
        <w:autoSpaceDN w:val="0"/>
        <w:adjustRightInd w:val="0"/>
        <w:spacing w:line="480" w:lineRule="exact"/>
        <w:ind w:left="733" w:hanging="732" w:hangingChars="349"/>
        <w:rPr>
          <w:rFonts w:ascii="宋体" w:hAnsi="宋体" w:cs="宋体"/>
          <w:kern w:val="0"/>
          <w:szCs w:val="21"/>
        </w:rPr>
      </w:pPr>
      <w:r>
        <w:rPr>
          <w:rFonts w:hint="eastAsia" w:ascii="宋体" w:hAnsi="宋体" w:cs="宋体"/>
          <w:szCs w:val="21"/>
        </w:rPr>
        <w:t xml:space="preserve">    2、本合同未尽事宜，</w:t>
      </w:r>
      <w:r>
        <w:rPr>
          <w:rFonts w:hint="eastAsia" w:ascii="宋体" w:hAnsi="宋体" w:cs="宋体"/>
          <w:kern w:val="0"/>
          <w:szCs w:val="21"/>
        </w:rPr>
        <w:t>须经甲乙双方共同协商，做出补充约定，补充约定与本合同具有同等法律效力。</w:t>
      </w:r>
    </w:p>
    <w:p w14:paraId="751E9B2E">
      <w:pPr>
        <w:snapToGrid w:val="0"/>
        <w:spacing w:line="480" w:lineRule="exact"/>
        <w:rPr>
          <w:rFonts w:ascii="宋体" w:hAnsi="宋体" w:cs="宋体"/>
          <w:szCs w:val="21"/>
        </w:rPr>
      </w:pPr>
      <w:r>
        <w:rPr>
          <w:rFonts w:hint="eastAsia" w:ascii="宋体" w:hAnsi="宋体" w:cs="宋体"/>
          <w:szCs w:val="21"/>
        </w:rPr>
        <w:t>十二、合同的变更、终止与转让</w:t>
      </w:r>
    </w:p>
    <w:p w14:paraId="32343C28">
      <w:pPr>
        <w:snapToGrid w:val="0"/>
        <w:spacing w:line="480" w:lineRule="exact"/>
        <w:ind w:left="733" w:hanging="732" w:hangingChars="349"/>
        <w:rPr>
          <w:rFonts w:ascii="宋体" w:hAnsi="宋体" w:cs="宋体"/>
          <w:szCs w:val="21"/>
        </w:rPr>
      </w:pPr>
      <w:r>
        <w:rPr>
          <w:rFonts w:hint="eastAsia" w:ascii="宋体" w:hAnsi="宋体" w:cs="宋体"/>
          <w:szCs w:val="21"/>
        </w:rPr>
        <w:t xml:space="preserve">    1、除《中华人民共和国政府采购法》第50条规定的情形外，本合同一经签订，甲乙双方不得擅自变更、中止或终止。</w:t>
      </w:r>
    </w:p>
    <w:p w14:paraId="18F49B88">
      <w:pPr>
        <w:pStyle w:val="15"/>
        <w:snapToGrid w:val="0"/>
        <w:spacing w:before="120" w:after="120" w:line="480" w:lineRule="exact"/>
        <w:rPr>
          <w:rFonts w:hAnsi="宋体" w:cs="宋体"/>
          <w:b/>
          <w:sz w:val="21"/>
          <w:szCs w:val="21"/>
        </w:rPr>
      </w:pPr>
      <w:r>
        <w:rPr>
          <w:rFonts w:hAnsi="宋体" w:cs="宋体"/>
          <w:sz w:val="21"/>
          <w:szCs w:val="21"/>
        </w:rPr>
        <w:t xml:space="preserve">    2、乙方不得擅自转让其应履行的合同义务。</w:t>
      </w:r>
    </w:p>
    <w:p w14:paraId="7AFF7171">
      <w:pPr>
        <w:pStyle w:val="15"/>
        <w:snapToGrid w:val="0"/>
        <w:spacing w:before="120" w:after="120" w:line="480" w:lineRule="exact"/>
        <w:rPr>
          <w:rFonts w:hAnsi="宋体" w:cs="宋体"/>
          <w:sz w:val="21"/>
          <w:szCs w:val="21"/>
        </w:rPr>
      </w:pPr>
      <w:r>
        <w:rPr>
          <w:rFonts w:hAnsi="宋体" w:cs="宋体"/>
          <w:sz w:val="21"/>
          <w:szCs w:val="21"/>
        </w:rPr>
        <w:t xml:space="preserve">    3、合同变更经双方法定代表人</w:t>
      </w:r>
      <w:r>
        <w:rPr>
          <w:rFonts w:hint="eastAsia" w:hAnsi="宋体" w:cs="宋体"/>
          <w:sz w:val="21"/>
          <w:szCs w:val="21"/>
        </w:rPr>
        <w:t>（负责人）</w:t>
      </w:r>
      <w:r>
        <w:rPr>
          <w:rFonts w:hAnsi="宋体" w:cs="宋体"/>
          <w:sz w:val="21"/>
          <w:szCs w:val="21"/>
        </w:rPr>
        <w:t>或授权代表签字并加盖单位公章后生效。</w:t>
      </w:r>
    </w:p>
    <w:p w14:paraId="34AFEF5E">
      <w:pPr>
        <w:pStyle w:val="15"/>
        <w:snapToGrid w:val="0"/>
        <w:spacing w:before="120" w:after="120" w:line="480" w:lineRule="exact"/>
        <w:ind w:left="733" w:hanging="732" w:hangingChars="349"/>
        <w:rPr>
          <w:rFonts w:hAnsi="宋体" w:cs="宋体"/>
          <w:sz w:val="21"/>
          <w:szCs w:val="21"/>
        </w:rPr>
      </w:pPr>
      <w:r>
        <w:rPr>
          <w:rFonts w:hAnsi="宋体" w:cs="宋体"/>
          <w:sz w:val="21"/>
          <w:szCs w:val="21"/>
        </w:rPr>
        <w:t xml:space="preserve">    4、合同执行中涉及采购资金和采购内容修改或补充的，须经财政部门审批，并签书面补充协议报财政部门备案，方可作为主合同不可分割的一部分。</w:t>
      </w:r>
    </w:p>
    <w:p w14:paraId="5C7EB19A">
      <w:pPr>
        <w:snapToGrid w:val="0"/>
        <w:spacing w:line="480" w:lineRule="exact"/>
        <w:rPr>
          <w:rFonts w:ascii="宋体" w:hAnsi="宋体" w:cs="宋体"/>
          <w:szCs w:val="21"/>
        </w:rPr>
      </w:pPr>
      <w:r>
        <w:rPr>
          <w:rFonts w:hint="eastAsia" w:ascii="宋体" w:hAnsi="宋体" w:cs="宋体"/>
          <w:szCs w:val="21"/>
        </w:rPr>
        <w:t>十三、签订本合同依据</w:t>
      </w:r>
    </w:p>
    <w:p w14:paraId="03705397">
      <w:pPr>
        <w:snapToGrid w:val="0"/>
        <w:spacing w:line="480" w:lineRule="exact"/>
        <w:ind w:firstLine="420" w:firstLineChars="200"/>
        <w:rPr>
          <w:rFonts w:ascii="宋体" w:hAnsi="宋体" w:cs="宋体"/>
          <w:szCs w:val="21"/>
        </w:rPr>
      </w:pPr>
      <w:r>
        <w:rPr>
          <w:rFonts w:hint="eastAsia" w:ascii="宋体" w:hAnsi="宋体" w:cs="宋体"/>
          <w:szCs w:val="21"/>
        </w:rPr>
        <w:t xml:space="preserve"> 1、招标人招标文件；</w:t>
      </w:r>
    </w:p>
    <w:p w14:paraId="074377E3">
      <w:pPr>
        <w:snapToGrid w:val="0"/>
        <w:spacing w:line="480" w:lineRule="exact"/>
        <w:ind w:firstLine="420" w:firstLineChars="200"/>
        <w:rPr>
          <w:rFonts w:ascii="宋体" w:hAnsi="宋体" w:cs="宋体"/>
          <w:szCs w:val="21"/>
        </w:rPr>
      </w:pPr>
      <w:r>
        <w:rPr>
          <w:rFonts w:hint="eastAsia" w:ascii="宋体" w:hAnsi="宋体" w:cs="宋体"/>
          <w:szCs w:val="21"/>
        </w:rPr>
        <w:t xml:space="preserve"> 2、投标人投标文件；</w:t>
      </w:r>
    </w:p>
    <w:p w14:paraId="425B0380">
      <w:pPr>
        <w:snapToGrid w:val="0"/>
        <w:spacing w:line="480" w:lineRule="exact"/>
        <w:ind w:firstLine="420" w:firstLineChars="200"/>
        <w:rPr>
          <w:rFonts w:ascii="宋体" w:hAnsi="宋体" w:cs="宋体"/>
          <w:szCs w:val="21"/>
        </w:rPr>
      </w:pPr>
      <w:r>
        <w:rPr>
          <w:rFonts w:hint="eastAsia" w:ascii="宋体" w:hAnsi="宋体" w:cs="宋体"/>
          <w:szCs w:val="21"/>
        </w:rPr>
        <w:t xml:space="preserve"> 3、中标人中标通知书。</w:t>
      </w:r>
    </w:p>
    <w:p w14:paraId="38A21CA4">
      <w:pPr>
        <w:snapToGrid w:val="0"/>
        <w:spacing w:line="480" w:lineRule="exact"/>
        <w:rPr>
          <w:rFonts w:ascii="宋体" w:hAnsi="宋体" w:cs="宋体"/>
          <w:szCs w:val="21"/>
        </w:rPr>
      </w:pPr>
      <w:r>
        <w:rPr>
          <w:rFonts w:hint="eastAsia" w:ascii="宋体" w:hAnsi="宋体" w:cs="宋体"/>
          <w:szCs w:val="21"/>
        </w:rPr>
        <w:t>十四、本合同一式六份，具有同等法律效力，甲乙双方各三份（可根据需要另增加）。</w:t>
      </w:r>
    </w:p>
    <w:p w14:paraId="3E31A2EF">
      <w:pPr>
        <w:snapToGrid w:val="0"/>
        <w:spacing w:line="480" w:lineRule="exact"/>
        <w:ind w:left="617" w:leftChars="228" w:hanging="138" w:hangingChars="66"/>
        <w:jc w:val="left"/>
        <w:rPr>
          <w:rFonts w:ascii="宋体" w:hAnsi="宋体" w:cs="宋体"/>
          <w:szCs w:val="21"/>
        </w:rPr>
      </w:pPr>
      <w:r>
        <w:rPr>
          <w:rFonts w:hint="eastAsia" w:ascii="宋体" w:hAnsi="宋体" w:cs="宋体"/>
          <w:szCs w:val="21"/>
        </w:rPr>
        <w:t xml:space="preserve"> 本合同甲乙双方签字盖章后生效，自签订之日起七个工作日内，招标人或采购代理机构应当将合同副本报财政部门备案。</w:t>
      </w:r>
    </w:p>
    <w:p w14:paraId="11447F1F">
      <w:pPr>
        <w:autoSpaceDE w:val="0"/>
        <w:autoSpaceDN w:val="0"/>
        <w:adjustRightInd w:val="0"/>
        <w:spacing w:line="480" w:lineRule="exact"/>
        <w:rPr>
          <w:rFonts w:ascii="宋体" w:hAnsi="宋体" w:cs="宋体"/>
          <w:kern w:val="0"/>
          <w:szCs w:val="21"/>
        </w:rPr>
      </w:pPr>
      <w:r>
        <w:rPr>
          <w:rFonts w:hint="eastAsia" w:ascii="宋体" w:hAnsi="宋体" w:cs="宋体"/>
          <w:szCs w:val="21"/>
        </w:rPr>
        <w:t>招标人（</w:t>
      </w:r>
      <w:r>
        <w:rPr>
          <w:rFonts w:hint="eastAsia" w:ascii="宋体" w:hAnsi="宋体" w:cs="宋体"/>
          <w:kern w:val="0"/>
          <w:szCs w:val="21"/>
        </w:rPr>
        <w:t>甲方）：（公章）                投标人（乙方）：（公章）</w:t>
      </w:r>
    </w:p>
    <w:p w14:paraId="0BCD8901">
      <w:pPr>
        <w:autoSpaceDE w:val="0"/>
        <w:autoSpaceDN w:val="0"/>
        <w:adjustRightInd w:val="0"/>
        <w:spacing w:line="480" w:lineRule="exact"/>
        <w:rPr>
          <w:rFonts w:ascii="宋体" w:hAnsi="宋体" w:cs="宋体"/>
          <w:kern w:val="0"/>
          <w:szCs w:val="21"/>
        </w:rPr>
      </w:pPr>
      <w:r>
        <w:rPr>
          <w:rFonts w:hint="eastAsia" w:ascii="宋体" w:hAnsi="宋体" w:cs="宋体"/>
          <w:kern w:val="0"/>
          <w:szCs w:val="21"/>
        </w:rPr>
        <w:t>法定代表人或授权代理人：（签字）法定代表人</w:t>
      </w:r>
      <w:r>
        <w:rPr>
          <w:rFonts w:hint="eastAsia" w:ascii="宋体" w:hAnsi="宋体" w:cs="宋体"/>
          <w:szCs w:val="21"/>
        </w:rPr>
        <w:t>（负责人）</w:t>
      </w:r>
      <w:r>
        <w:rPr>
          <w:rFonts w:hint="eastAsia" w:ascii="宋体" w:hAnsi="宋体" w:cs="宋体"/>
          <w:kern w:val="0"/>
          <w:szCs w:val="21"/>
        </w:rPr>
        <w:t>或授权代理人：（签字）</w:t>
      </w:r>
    </w:p>
    <w:p w14:paraId="670D9C70">
      <w:pPr>
        <w:autoSpaceDE w:val="0"/>
        <w:autoSpaceDN w:val="0"/>
        <w:adjustRightInd w:val="0"/>
        <w:spacing w:line="480" w:lineRule="exact"/>
        <w:rPr>
          <w:rFonts w:ascii="宋体" w:hAnsi="宋体" w:cs="宋体"/>
          <w:kern w:val="0"/>
          <w:szCs w:val="21"/>
        </w:rPr>
      </w:pPr>
      <w:r>
        <w:rPr>
          <w:rFonts w:hint="eastAsia" w:ascii="宋体" w:hAnsi="宋体" w:cs="宋体"/>
          <w:kern w:val="0"/>
          <w:szCs w:val="21"/>
        </w:rPr>
        <w:t>地    址：                              地    址：</w:t>
      </w:r>
    </w:p>
    <w:p w14:paraId="103773EB">
      <w:pPr>
        <w:autoSpaceDE w:val="0"/>
        <w:autoSpaceDN w:val="0"/>
        <w:adjustRightInd w:val="0"/>
        <w:spacing w:line="480" w:lineRule="exact"/>
        <w:rPr>
          <w:rFonts w:ascii="宋体" w:hAnsi="宋体" w:cs="宋体"/>
          <w:kern w:val="0"/>
          <w:szCs w:val="21"/>
        </w:rPr>
      </w:pPr>
      <w:r>
        <w:rPr>
          <w:rFonts w:hint="eastAsia" w:ascii="宋体" w:hAnsi="宋体" w:cs="宋体"/>
          <w:kern w:val="0"/>
          <w:szCs w:val="21"/>
        </w:rPr>
        <w:t>开户银行：                              开户银行：</w:t>
      </w:r>
    </w:p>
    <w:p w14:paraId="3A66C22F">
      <w:pPr>
        <w:autoSpaceDE w:val="0"/>
        <w:autoSpaceDN w:val="0"/>
        <w:adjustRightInd w:val="0"/>
        <w:spacing w:line="480" w:lineRule="exact"/>
        <w:rPr>
          <w:rFonts w:ascii="宋体" w:hAnsi="宋体" w:cs="宋体"/>
          <w:kern w:val="0"/>
          <w:szCs w:val="21"/>
        </w:rPr>
      </w:pPr>
      <w:r>
        <w:rPr>
          <w:rFonts w:hint="eastAsia" w:ascii="宋体" w:hAnsi="宋体" w:cs="宋体"/>
          <w:kern w:val="0"/>
          <w:szCs w:val="21"/>
        </w:rPr>
        <w:t>账    号：                              账    号：</w:t>
      </w:r>
    </w:p>
    <w:p w14:paraId="13344750">
      <w:pPr>
        <w:autoSpaceDE w:val="0"/>
        <w:autoSpaceDN w:val="0"/>
        <w:adjustRightInd w:val="0"/>
        <w:spacing w:line="480" w:lineRule="exact"/>
        <w:rPr>
          <w:rFonts w:ascii="宋体" w:hAnsi="宋体" w:cs="宋体"/>
          <w:kern w:val="0"/>
          <w:szCs w:val="21"/>
        </w:rPr>
      </w:pPr>
      <w:r>
        <w:rPr>
          <w:rFonts w:hint="eastAsia" w:ascii="宋体" w:hAnsi="宋体" w:cs="宋体"/>
          <w:kern w:val="0"/>
          <w:szCs w:val="21"/>
        </w:rPr>
        <w:t>电    话：                              电    话：</w:t>
      </w:r>
    </w:p>
    <w:p w14:paraId="57A0916B">
      <w:pPr>
        <w:autoSpaceDE w:val="0"/>
        <w:autoSpaceDN w:val="0"/>
        <w:adjustRightInd w:val="0"/>
        <w:spacing w:line="480" w:lineRule="exact"/>
        <w:rPr>
          <w:rFonts w:ascii="宋体" w:hAnsi="宋体"/>
          <w:kern w:val="0"/>
          <w:szCs w:val="21"/>
        </w:rPr>
      </w:pPr>
      <w:r>
        <w:rPr>
          <w:rFonts w:hint="eastAsia" w:ascii="宋体" w:hAnsi="宋体"/>
          <w:kern w:val="0"/>
          <w:szCs w:val="21"/>
        </w:rPr>
        <w:t>日     期：                                   日     期：</w:t>
      </w:r>
    </w:p>
    <w:p w14:paraId="21FF33EA">
      <w:pPr>
        <w:ind w:firstLine="283" w:firstLineChars="118"/>
        <w:jc w:val="left"/>
        <w:rPr>
          <w:rFonts w:ascii="宋体" w:hAnsi="宋体" w:cs="宋体"/>
          <w:kern w:val="0"/>
          <w:sz w:val="24"/>
        </w:rPr>
      </w:pPr>
      <w:r>
        <w:rPr>
          <w:rFonts w:hint="eastAsia" w:ascii="宋体" w:hAnsi="宋体" w:cs="宋体"/>
          <w:kern w:val="0"/>
          <w:sz w:val="24"/>
        </w:rPr>
        <w:t xml:space="preserve">   </w:t>
      </w:r>
    </w:p>
    <w:p w14:paraId="6220E086">
      <w:pPr>
        <w:pStyle w:val="23"/>
        <w:rPr>
          <w:rStyle w:val="54"/>
          <w:rFonts w:ascii="宋体" w:hAnsi="宋体" w:cs="宋体"/>
          <w:b/>
          <w:sz w:val="32"/>
          <w:szCs w:val="32"/>
        </w:rPr>
      </w:pPr>
      <w:r>
        <w:rPr>
          <w:rStyle w:val="54"/>
          <w:rFonts w:hint="eastAsia" w:ascii="宋体" w:hAnsi="宋体" w:cs="宋体"/>
          <w:b/>
          <w:sz w:val="40"/>
          <w:szCs w:val="22"/>
        </w:rPr>
        <w:br w:type="page"/>
      </w:r>
    </w:p>
    <w:p w14:paraId="2252606E">
      <w:pPr>
        <w:spacing w:before="120" w:after="120" w:line="360" w:lineRule="auto"/>
        <w:jc w:val="center"/>
        <w:outlineLvl w:val="0"/>
        <w:rPr>
          <w:rStyle w:val="54"/>
          <w:rFonts w:ascii="宋体" w:hAnsi="宋体" w:cs="宋体"/>
          <w:b/>
          <w:bCs/>
          <w:sz w:val="36"/>
          <w:szCs w:val="36"/>
        </w:rPr>
      </w:pPr>
      <w:bookmarkStart w:id="122" w:name="_Toc7553"/>
      <w:r>
        <w:rPr>
          <w:rStyle w:val="54"/>
          <w:rFonts w:hint="eastAsia" w:ascii="宋体" w:hAnsi="宋体" w:cs="宋体"/>
          <w:b/>
          <w:bCs/>
          <w:sz w:val="36"/>
          <w:szCs w:val="36"/>
        </w:rPr>
        <w:t>第五章  服务内容及要求</w:t>
      </w:r>
      <w:bookmarkEnd w:id="122"/>
    </w:p>
    <w:p w14:paraId="2B8ADCAC">
      <w:pPr>
        <w:adjustRightInd w:val="0"/>
        <w:snapToGrid w:val="0"/>
        <w:spacing w:line="520" w:lineRule="exact"/>
        <w:rPr>
          <w:rFonts w:ascii="宋体" w:hAnsi="宋体" w:cs="宋体"/>
          <w:b/>
          <w:bCs/>
          <w:sz w:val="24"/>
        </w:rPr>
      </w:pPr>
      <w:r>
        <w:rPr>
          <w:rFonts w:hint="eastAsia" w:ascii="宋体" w:hAnsi="宋体" w:cs="宋体"/>
          <w:b/>
          <w:bCs/>
          <w:sz w:val="24"/>
        </w:rPr>
        <w:t>一、</w:t>
      </w:r>
      <w:bookmarkStart w:id="123" w:name="_Toc32044"/>
      <w:r>
        <w:rPr>
          <w:rFonts w:hint="eastAsia" w:ascii="宋体" w:hAnsi="宋体" w:cs="宋体"/>
          <w:b/>
          <w:bCs/>
          <w:sz w:val="24"/>
        </w:rPr>
        <w:t>采购项目概况：</w:t>
      </w:r>
    </w:p>
    <w:p w14:paraId="3CE72CA3">
      <w:pPr>
        <w:adjustRightInd w:val="0"/>
        <w:snapToGrid w:val="0"/>
        <w:spacing w:line="360" w:lineRule="auto"/>
        <w:ind w:firstLine="424" w:firstLineChars="202"/>
        <w:rPr>
          <w:rFonts w:ascii="宋体" w:hAnsi="宋体" w:cs="宋体"/>
        </w:rPr>
      </w:pPr>
      <w:r>
        <w:rPr>
          <w:rFonts w:hint="eastAsia" w:ascii="宋体" w:hAnsi="宋体" w:cs="宋体"/>
        </w:rPr>
        <w:t>国家电子政务外网（CEGN）是依据中央有关文件精神，经国家发展改革委正式批准建设的电子政务基础设施。国家电子政务外网（CEGN）基于国家电子政务传输网，由中央政务外网和地方政务外网组成，主要服务于各级党委、人大、政府、政协、法院和检察院等政务部门，为部门业务应用提供网络承载服务，支持业务网络的互联互通，支持跨地区、跨部门的业务应用、信息共享和业务协同，满足各级政务部门社会管理、公共服务等方面的需要。</w:t>
      </w:r>
    </w:p>
    <w:p w14:paraId="0BA844DB">
      <w:pPr>
        <w:adjustRightInd w:val="0"/>
        <w:snapToGrid w:val="0"/>
        <w:spacing w:line="360" w:lineRule="auto"/>
        <w:ind w:firstLine="525" w:firstLineChars="250"/>
        <w:rPr>
          <w:rFonts w:ascii="宋体" w:hAnsi="宋体" w:cs="宋体"/>
        </w:rPr>
      </w:pPr>
      <w:r>
        <w:rPr>
          <w:rFonts w:hint="eastAsia" w:ascii="宋体" w:hAnsi="宋体" w:cs="宋体"/>
        </w:rPr>
        <w:t>平顶山尼龙新材料开发区管委会电子政务外网是国家和省、市电子政务外网的重要组成部分，是电子政务外网国家、省、市、县、乡镇互联互通的县区级节点。随着我区电子政务业务的需要，现需建设平顶山尼龙新材料开发区管委会电子政务外网平台。</w:t>
      </w:r>
    </w:p>
    <w:p w14:paraId="51663EA7">
      <w:pPr>
        <w:adjustRightInd w:val="0"/>
        <w:snapToGrid w:val="0"/>
        <w:spacing w:line="360" w:lineRule="auto"/>
        <w:ind w:firstLine="420" w:firstLineChars="200"/>
        <w:rPr>
          <w:rFonts w:ascii="宋体" w:hAnsi="宋体" w:cs="宋体"/>
        </w:rPr>
      </w:pPr>
      <w:r>
        <w:rPr>
          <w:rFonts w:hint="eastAsia" w:ascii="宋体" w:hAnsi="宋体" w:cs="宋体"/>
        </w:rPr>
        <w:t>省政府办公业务资源网即政府内网，是河南省政府系统办公业务专网，与电子政务外网和互联网物理隔离。主要承载政府行业内部办公业务相关的业务应用系统，是政府机关内部的办公业务内联网。由省、市、县（市、区）、乡（镇）四级网络组成。</w:t>
      </w:r>
    </w:p>
    <w:p w14:paraId="5A7E763E">
      <w:pPr>
        <w:adjustRightInd w:val="0"/>
        <w:snapToGrid w:val="0"/>
        <w:spacing w:line="360" w:lineRule="auto"/>
        <w:ind w:firstLine="420" w:firstLineChars="200"/>
        <w:rPr>
          <w:rFonts w:ascii="宋体" w:hAnsi="宋体" w:cs="宋体"/>
        </w:rPr>
      </w:pPr>
      <w:r>
        <w:rPr>
          <w:rFonts w:hint="eastAsia" w:ascii="宋体" w:hAnsi="宋体" w:cs="宋体"/>
        </w:rPr>
        <w:t>平顶山尼龙新材料开发区管委会办公业务资源网是省政府办公业务资源网县(市、区）节点，网络覆盖所属区域乡镇及政务部门。</w:t>
      </w:r>
    </w:p>
    <w:p w14:paraId="408AFFBE">
      <w:pPr>
        <w:adjustRightInd w:val="0"/>
        <w:snapToGrid w:val="0"/>
        <w:spacing w:line="360" w:lineRule="auto"/>
        <w:ind w:firstLine="420" w:firstLineChars="200"/>
        <w:rPr>
          <w:rFonts w:ascii="宋体" w:hAnsi="宋体" w:cs="宋体"/>
        </w:rPr>
      </w:pPr>
      <w:r>
        <w:rPr>
          <w:rFonts w:hint="eastAsia" w:ascii="宋体" w:hAnsi="宋体" w:cs="宋体"/>
        </w:rPr>
        <w:t>政务办公云平台是依托政务办公业务资源网建设的政务办公业务应用软件平台，采用信息技术手段，结合政府实际办公场景而设计开发的综合办公系统，通过电子化的流程审批、公文报送、公文交换、督查督办、信息采编、专网邮件、电子签章、手写签批等方式，结合移动办公系统，实现终端电脑和移动端手持设备的办公，解决传统办公因时间、空间、地理环境的限制制约，提升日常政府办公效率，做到随时随地办公。</w:t>
      </w:r>
    </w:p>
    <w:p w14:paraId="2F81DFFC">
      <w:pPr>
        <w:adjustRightInd w:val="0"/>
        <w:snapToGrid w:val="0"/>
        <w:spacing w:line="360" w:lineRule="auto"/>
        <w:ind w:firstLine="420" w:firstLineChars="200"/>
        <w:rPr>
          <w:rFonts w:ascii="宋体" w:hAnsi="宋体" w:cs="宋体"/>
          <w:sz w:val="24"/>
        </w:rPr>
      </w:pPr>
      <w:r>
        <w:rPr>
          <w:rFonts w:hint="eastAsia" w:ascii="宋体" w:hAnsi="宋体"/>
        </w:rPr>
        <w:t>本次采购主要包括区电子政务外网城域网接入</w:t>
      </w:r>
      <w:r>
        <w:rPr>
          <w:rFonts w:hint="eastAsia" w:ascii="宋体" w:hAnsi="宋体" w:cs="宋体"/>
        </w:rPr>
        <w:t>使用服务及移动端5G物联网卡</w:t>
      </w:r>
      <w:r>
        <w:rPr>
          <w:rFonts w:hint="eastAsia" w:ascii="宋体" w:hAnsi="宋体"/>
        </w:rPr>
        <w:t>、政务外网机房环境</w:t>
      </w:r>
      <w:r>
        <w:rPr>
          <w:rFonts w:hint="eastAsia" w:ascii="宋体" w:hAnsi="宋体" w:cs="宋体"/>
        </w:rPr>
        <w:t>使用服务</w:t>
      </w:r>
      <w:r>
        <w:rPr>
          <w:rFonts w:hint="eastAsia" w:ascii="宋体" w:hAnsi="宋体"/>
        </w:rPr>
        <w:t>、</w:t>
      </w:r>
      <w:r>
        <w:rPr>
          <w:rFonts w:hint="eastAsia" w:ascii="宋体" w:hAnsi="宋体" w:cs="宋体"/>
        </w:rPr>
        <w:t>政务外网通信中心网络和安全服务</w:t>
      </w:r>
      <w:r>
        <w:rPr>
          <w:rFonts w:hint="eastAsia" w:ascii="宋体" w:hAnsi="宋体"/>
        </w:rPr>
        <w:t>、</w:t>
      </w:r>
      <w:r>
        <w:rPr>
          <w:rFonts w:hint="eastAsia" w:ascii="宋体" w:hAnsi="宋体" w:cs="宋体"/>
        </w:rPr>
        <w:t>区政府门户网站群系统使用服务</w:t>
      </w:r>
      <w:r>
        <w:rPr>
          <w:rFonts w:hint="eastAsia" w:ascii="宋体" w:hAnsi="宋体"/>
        </w:rPr>
        <w:t>及</w:t>
      </w:r>
      <w:r>
        <w:rPr>
          <w:rFonts w:hint="eastAsia" w:ascii="宋体" w:hAnsi="宋体" w:cs="宋体"/>
        </w:rPr>
        <w:t>区电子政务外网运维服务</w:t>
      </w:r>
      <w:r>
        <w:rPr>
          <w:rFonts w:hint="eastAsia" w:ascii="宋体" w:hAnsi="宋体"/>
        </w:rPr>
        <w:t>；区办公业务资源网使用服务、办公业务资源网机房环境使用服务、办公业务资源网通信中心网络和安全服务、办公业务资源网业务应用系统平台使用服务</w:t>
      </w:r>
      <w:r>
        <w:rPr>
          <w:rFonts w:hint="eastAsia" w:ascii="宋体" w:hAnsi="宋体" w:cs="宋体"/>
        </w:rPr>
        <w:t>及区办公业务资源网运维服务、区政府门户网站等级保护三级测评服务等内容。</w:t>
      </w:r>
    </w:p>
    <w:p w14:paraId="247A96B9">
      <w:pPr>
        <w:adjustRightInd w:val="0"/>
        <w:snapToGrid w:val="0"/>
        <w:spacing w:line="520" w:lineRule="exact"/>
        <w:rPr>
          <w:rFonts w:ascii="宋体" w:hAnsi="宋体" w:cs="宋体"/>
          <w:b/>
          <w:bCs/>
          <w:sz w:val="24"/>
        </w:rPr>
      </w:pPr>
      <w:r>
        <w:rPr>
          <w:rFonts w:hint="eastAsia" w:ascii="宋体" w:hAnsi="宋体" w:cs="宋体"/>
          <w:b/>
          <w:bCs/>
          <w:sz w:val="24"/>
        </w:rPr>
        <w:t>二、服务清单</w:t>
      </w:r>
    </w:p>
    <w:tbl>
      <w:tblPr>
        <w:tblStyle w:val="28"/>
        <w:tblW w:w="4998" w:type="pct"/>
        <w:tblInd w:w="0" w:type="dxa"/>
        <w:tblLayout w:type="autofit"/>
        <w:tblCellMar>
          <w:top w:w="0" w:type="dxa"/>
          <w:left w:w="108" w:type="dxa"/>
          <w:bottom w:w="0" w:type="dxa"/>
          <w:right w:w="108" w:type="dxa"/>
        </w:tblCellMar>
      </w:tblPr>
      <w:tblGrid>
        <w:gridCol w:w="551"/>
        <w:gridCol w:w="2402"/>
        <w:gridCol w:w="6492"/>
        <w:gridCol w:w="689"/>
      </w:tblGrid>
      <w:tr w14:paraId="5B6D6DBA">
        <w:tblPrEx>
          <w:tblCellMar>
            <w:top w:w="0" w:type="dxa"/>
            <w:left w:w="108" w:type="dxa"/>
            <w:bottom w:w="0" w:type="dxa"/>
            <w:right w:w="108" w:type="dxa"/>
          </w:tblCellMar>
        </w:tblPrEx>
        <w:trPr>
          <w:trHeight w:val="310" w:hRule="atLeast"/>
        </w:trPr>
        <w:tc>
          <w:tcPr>
            <w:tcW w:w="272"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DF4F853">
            <w:pPr>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序号</w:t>
            </w:r>
          </w:p>
        </w:tc>
        <w:tc>
          <w:tcPr>
            <w:tcW w:w="1185" w:type="pct"/>
            <w:tcBorders>
              <w:top w:val="single" w:color="000000" w:sz="8" w:space="0"/>
              <w:left w:val="nil"/>
              <w:bottom w:val="single" w:color="000000" w:sz="8" w:space="0"/>
              <w:right w:val="single" w:color="000000" w:sz="8" w:space="0"/>
            </w:tcBorders>
            <w:shd w:val="clear" w:color="auto" w:fill="auto"/>
            <w:vAlign w:val="center"/>
          </w:tcPr>
          <w:p w14:paraId="09E735B6">
            <w:pPr>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名称</w:t>
            </w:r>
          </w:p>
        </w:tc>
        <w:tc>
          <w:tcPr>
            <w:tcW w:w="3203" w:type="pct"/>
            <w:tcBorders>
              <w:top w:val="single" w:color="000000" w:sz="8" w:space="0"/>
              <w:left w:val="nil"/>
              <w:bottom w:val="single" w:color="000000" w:sz="8" w:space="0"/>
              <w:right w:val="single" w:color="000000" w:sz="8" w:space="0"/>
            </w:tcBorders>
            <w:shd w:val="clear" w:color="auto" w:fill="auto"/>
            <w:vAlign w:val="center"/>
          </w:tcPr>
          <w:p w14:paraId="06044B61">
            <w:pPr>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内容</w:t>
            </w:r>
          </w:p>
        </w:tc>
        <w:tc>
          <w:tcPr>
            <w:tcW w:w="340" w:type="pct"/>
            <w:tcBorders>
              <w:top w:val="single" w:color="000000" w:sz="8" w:space="0"/>
              <w:left w:val="nil"/>
              <w:bottom w:val="nil"/>
              <w:right w:val="single" w:color="000000" w:sz="8" w:space="0"/>
            </w:tcBorders>
            <w:shd w:val="clear" w:color="auto" w:fill="auto"/>
            <w:vAlign w:val="center"/>
          </w:tcPr>
          <w:p w14:paraId="6DCC8DEB">
            <w:pPr>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服务期限</w:t>
            </w:r>
          </w:p>
        </w:tc>
      </w:tr>
      <w:tr w14:paraId="06D3BDF2">
        <w:tblPrEx>
          <w:tblCellMar>
            <w:top w:w="0" w:type="dxa"/>
            <w:left w:w="108" w:type="dxa"/>
            <w:bottom w:w="0" w:type="dxa"/>
            <w:right w:w="108" w:type="dxa"/>
          </w:tblCellMar>
        </w:tblPrEx>
        <w:trPr>
          <w:trHeight w:val="1049" w:hRule="atLeast"/>
        </w:trPr>
        <w:tc>
          <w:tcPr>
            <w:tcW w:w="272" w:type="pct"/>
            <w:tcBorders>
              <w:top w:val="nil"/>
              <w:left w:val="single" w:color="000000" w:sz="8" w:space="0"/>
              <w:bottom w:val="single" w:color="000000" w:sz="8" w:space="0"/>
              <w:right w:val="single" w:color="000000" w:sz="8" w:space="0"/>
            </w:tcBorders>
            <w:shd w:val="clear" w:color="auto" w:fill="auto"/>
            <w:vAlign w:val="center"/>
          </w:tcPr>
          <w:p w14:paraId="28AB33B7">
            <w:pPr>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1</w:t>
            </w:r>
          </w:p>
        </w:tc>
        <w:tc>
          <w:tcPr>
            <w:tcW w:w="1185" w:type="pct"/>
            <w:tcBorders>
              <w:top w:val="nil"/>
              <w:left w:val="nil"/>
              <w:bottom w:val="single" w:color="000000" w:sz="8" w:space="0"/>
              <w:right w:val="single" w:color="000000" w:sz="8" w:space="0"/>
            </w:tcBorders>
            <w:shd w:val="clear" w:color="auto" w:fill="auto"/>
            <w:vAlign w:val="center"/>
          </w:tcPr>
          <w:p w14:paraId="4AEBBB7C">
            <w:pP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政务外网机房环境及使用服务</w:t>
            </w:r>
          </w:p>
        </w:tc>
        <w:tc>
          <w:tcPr>
            <w:tcW w:w="3203" w:type="pct"/>
            <w:tcBorders>
              <w:top w:val="nil"/>
              <w:left w:val="nil"/>
              <w:bottom w:val="single" w:color="000000" w:sz="8" w:space="0"/>
              <w:right w:val="nil"/>
            </w:tcBorders>
            <w:shd w:val="clear" w:color="auto" w:fill="auto"/>
            <w:vAlign w:val="center"/>
          </w:tcPr>
          <w:p w14:paraId="5084733D">
            <w:pP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机房环境及空调、视频监控、配电系统、不间断电源系统和消防门禁系统等的使用服务，以及核心机房环境相关运维服务，机房按照国家C类标准和日常运维服务。</w:t>
            </w:r>
          </w:p>
        </w:tc>
        <w:tc>
          <w:tcPr>
            <w:tcW w:w="340" w:type="pct"/>
            <w:tcBorders>
              <w:top w:val="nil"/>
              <w:left w:val="single" w:color="auto" w:sz="8" w:space="0"/>
              <w:bottom w:val="single" w:color="auto" w:sz="8" w:space="0"/>
              <w:right w:val="single" w:color="auto" w:sz="8" w:space="0"/>
            </w:tcBorders>
            <w:shd w:val="clear" w:color="auto" w:fill="auto"/>
            <w:vAlign w:val="center"/>
          </w:tcPr>
          <w:p w14:paraId="0445DA48">
            <w:pPr>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1年</w:t>
            </w:r>
          </w:p>
        </w:tc>
      </w:tr>
      <w:tr w14:paraId="2ABB50FC">
        <w:tblPrEx>
          <w:tblCellMar>
            <w:top w:w="0" w:type="dxa"/>
            <w:left w:w="108" w:type="dxa"/>
            <w:bottom w:w="0" w:type="dxa"/>
            <w:right w:w="108" w:type="dxa"/>
          </w:tblCellMar>
        </w:tblPrEx>
        <w:trPr>
          <w:trHeight w:val="966" w:hRule="atLeast"/>
        </w:trPr>
        <w:tc>
          <w:tcPr>
            <w:tcW w:w="272" w:type="pct"/>
            <w:tcBorders>
              <w:top w:val="nil"/>
              <w:left w:val="single" w:color="000000" w:sz="8" w:space="0"/>
              <w:bottom w:val="single" w:color="000000" w:sz="8" w:space="0"/>
              <w:right w:val="single" w:color="000000" w:sz="8" w:space="0"/>
            </w:tcBorders>
            <w:shd w:val="clear" w:color="auto" w:fill="auto"/>
            <w:vAlign w:val="center"/>
          </w:tcPr>
          <w:p w14:paraId="042AB2D3">
            <w:pPr>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2</w:t>
            </w:r>
          </w:p>
        </w:tc>
        <w:tc>
          <w:tcPr>
            <w:tcW w:w="1185" w:type="pct"/>
            <w:tcBorders>
              <w:top w:val="nil"/>
              <w:left w:val="nil"/>
              <w:bottom w:val="single" w:color="000000" w:sz="8" w:space="0"/>
              <w:right w:val="single" w:color="000000" w:sz="8" w:space="0"/>
            </w:tcBorders>
            <w:shd w:val="clear" w:color="auto" w:fill="auto"/>
            <w:vAlign w:val="center"/>
          </w:tcPr>
          <w:p w14:paraId="751B0E2F">
            <w:pP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政务外网通信中心网络和安全服务</w:t>
            </w:r>
          </w:p>
        </w:tc>
        <w:tc>
          <w:tcPr>
            <w:tcW w:w="3203" w:type="pct"/>
            <w:tcBorders>
              <w:top w:val="nil"/>
              <w:left w:val="nil"/>
              <w:bottom w:val="single" w:color="000000" w:sz="8" w:space="0"/>
              <w:right w:val="nil"/>
            </w:tcBorders>
            <w:shd w:val="clear" w:color="auto" w:fill="auto"/>
            <w:vAlign w:val="center"/>
          </w:tcPr>
          <w:p w14:paraId="29FC107F">
            <w:pPr>
              <w:rPr>
                <w:rFonts w:cs="宋体" w:asciiTheme="minorEastAsia" w:hAnsiTheme="minorEastAsia" w:eastAsiaTheme="minorEastAsia"/>
                <w:color w:val="000000"/>
                <w:szCs w:val="21"/>
              </w:rPr>
            </w:pPr>
            <w:r>
              <w:rPr>
                <w:rFonts w:hint="eastAsia" w:cs="宋体" w:asciiTheme="minorEastAsia" w:hAnsiTheme="minorEastAsia" w:eastAsiaTheme="minorEastAsia"/>
                <w:szCs w:val="21"/>
              </w:rPr>
              <w:t>平顶山尼龙新材料开发区管委会</w:t>
            </w:r>
            <w:r>
              <w:rPr>
                <w:rFonts w:hint="eastAsia" w:cs="宋体" w:asciiTheme="minorEastAsia" w:hAnsiTheme="minorEastAsia" w:eastAsiaTheme="minorEastAsia"/>
                <w:color w:val="000000"/>
                <w:szCs w:val="21"/>
              </w:rPr>
              <w:t>电子政务外网核心路由、核心交换、互联网出口防火墙、政务外网NAT防火墙、安全域认证管理系统等安全服务。</w:t>
            </w:r>
          </w:p>
        </w:tc>
        <w:tc>
          <w:tcPr>
            <w:tcW w:w="340" w:type="pct"/>
            <w:tcBorders>
              <w:top w:val="nil"/>
              <w:left w:val="single" w:color="auto" w:sz="8" w:space="0"/>
              <w:bottom w:val="single" w:color="auto" w:sz="8" w:space="0"/>
              <w:right w:val="single" w:color="auto" w:sz="8" w:space="0"/>
            </w:tcBorders>
            <w:shd w:val="clear" w:color="auto" w:fill="auto"/>
            <w:vAlign w:val="center"/>
          </w:tcPr>
          <w:p w14:paraId="46118F82">
            <w:pPr>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1年</w:t>
            </w:r>
          </w:p>
        </w:tc>
      </w:tr>
      <w:tr w14:paraId="69C1429B">
        <w:tblPrEx>
          <w:tblCellMar>
            <w:top w:w="0" w:type="dxa"/>
            <w:left w:w="108" w:type="dxa"/>
            <w:bottom w:w="0" w:type="dxa"/>
            <w:right w:w="108" w:type="dxa"/>
          </w:tblCellMar>
        </w:tblPrEx>
        <w:trPr>
          <w:trHeight w:val="696" w:hRule="atLeast"/>
        </w:trPr>
        <w:tc>
          <w:tcPr>
            <w:tcW w:w="272" w:type="pct"/>
            <w:tcBorders>
              <w:top w:val="nil"/>
              <w:left w:val="single" w:color="000000" w:sz="8" w:space="0"/>
              <w:bottom w:val="single" w:color="000000" w:sz="8" w:space="0"/>
              <w:right w:val="single" w:color="000000" w:sz="8" w:space="0"/>
            </w:tcBorders>
            <w:shd w:val="clear" w:color="auto" w:fill="auto"/>
            <w:vAlign w:val="center"/>
          </w:tcPr>
          <w:p w14:paraId="6F1E9675">
            <w:pPr>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3</w:t>
            </w:r>
          </w:p>
        </w:tc>
        <w:tc>
          <w:tcPr>
            <w:tcW w:w="1185" w:type="pct"/>
            <w:tcBorders>
              <w:top w:val="nil"/>
              <w:left w:val="nil"/>
              <w:bottom w:val="single" w:color="000000" w:sz="8" w:space="0"/>
              <w:right w:val="single" w:color="000000" w:sz="8" w:space="0"/>
            </w:tcBorders>
            <w:shd w:val="clear" w:color="auto" w:fill="auto"/>
            <w:vAlign w:val="center"/>
          </w:tcPr>
          <w:p w14:paraId="037EE837">
            <w:pP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政府门户网站群系统服务</w:t>
            </w:r>
          </w:p>
        </w:tc>
        <w:tc>
          <w:tcPr>
            <w:tcW w:w="3203" w:type="pct"/>
            <w:tcBorders>
              <w:top w:val="nil"/>
              <w:left w:val="nil"/>
              <w:bottom w:val="single" w:color="000000" w:sz="8" w:space="0"/>
              <w:right w:val="nil"/>
            </w:tcBorders>
            <w:shd w:val="clear" w:color="auto" w:fill="auto"/>
            <w:vAlign w:val="center"/>
          </w:tcPr>
          <w:p w14:paraId="369F3410">
            <w:pPr>
              <w:rPr>
                <w:rFonts w:cs="宋体" w:asciiTheme="minorEastAsia" w:hAnsiTheme="minorEastAsia" w:eastAsiaTheme="minorEastAsia"/>
                <w:color w:val="000000"/>
                <w:szCs w:val="21"/>
              </w:rPr>
            </w:pPr>
            <w:r>
              <w:rPr>
                <w:rFonts w:hint="eastAsia" w:cs="宋体" w:asciiTheme="minorEastAsia" w:hAnsiTheme="minorEastAsia" w:eastAsiaTheme="minorEastAsia"/>
                <w:szCs w:val="21"/>
              </w:rPr>
              <w:t>平顶山尼龙新材料开发区管委会</w:t>
            </w:r>
            <w:r>
              <w:rPr>
                <w:rFonts w:hint="eastAsia" w:cs="宋体" w:asciiTheme="minorEastAsia" w:hAnsiTheme="minorEastAsia" w:eastAsiaTheme="minorEastAsia"/>
                <w:color w:val="000000"/>
                <w:szCs w:val="21"/>
              </w:rPr>
              <w:t>政府门户网站群系统服务、区政府门户网站群系统符合国办新要求网站检测改版服务。</w:t>
            </w:r>
          </w:p>
        </w:tc>
        <w:tc>
          <w:tcPr>
            <w:tcW w:w="340" w:type="pct"/>
            <w:tcBorders>
              <w:top w:val="nil"/>
              <w:left w:val="single" w:color="auto" w:sz="8" w:space="0"/>
              <w:bottom w:val="single" w:color="auto" w:sz="8" w:space="0"/>
              <w:right w:val="single" w:color="auto" w:sz="8" w:space="0"/>
            </w:tcBorders>
            <w:shd w:val="clear" w:color="auto" w:fill="auto"/>
            <w:vAlign w:val="center"/>
          </w:tcPr>
          <w:p w14:paraId="149D187D">
            <w:pPr>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1年</w:t>
            </w:r>
          </w:p>
        </w:tc>
      </w:tr>
      <w:tr w14:paraId="52D25C8A">
        <w:tblPrEx>
          <w:tblCellMar>
            <w:top w:w="0" w:type="dxa"/>
            <w:left w:w="108" w:type="dxa"/>
            <w:bottom w:w="0" w:type="dxa"/>
            <w:right w:w="108" w:type="dxa"/>
          </w:tblCellMar>
        </w:tblPrEx>
        <w:trPr>
          <w:trHeight w:val="1210" w:hRule="atLeast"/>
        </w:trPr>
        <w:tc>
          <w:tcPr>
            <w:tcW w:w="272" w:type="pct"/>
            <w:tcBorders>
              <w:top w:val="nil"/>
              <w:left w:val="single" w:color="000000" w:sz="8" w:space="0"/>
              <w:bottom w:val="single" w:color="000000" w:sz="8" w:space="0"/>
              <w:right w:val="single" w:color="000000" w:sz="8" w:space="0"/>
            </w:tcBorders>
            <w:shd w:val="clear" w:color="auto" w:fill="auto"/>
            <w:vAlign w:val="center"/>
          </w:tcPr>
          <w:p w14:paraId="36253449">
            <w:pPr>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4</w:t>
            </w:r>
          </w:p>
        </w:tc>
        <w:tc>
          <w:tcPr>
            <w:tcW w:w="1185" w:type="pct"/>
            <w:tcBorders>
              <w:top w:val="nil"/>
              <w:left w:val="nil"/>
              <w:bottom w:val="single" w:color="000000" w:sz="8" w:space="0"/>
              <w:right w:val="single" w:color="000000" w:sz="8" w:space="0"/>
            </w:tcBorders>
            <w:shd w:val="clear" w:color="auto" w:fill="auto"/>
            <w:vAlign w:val="center"/>
          </w:tcPr>
          <w:p w14:paraId="4C53B7A6">
            <w:pPr>
              <w:rPr>
                <w:rFonts w:cs="宋体" w:asciiTheme="minorEastAsia" w:hAnsiTheme="minorEastAsia" w:eastAsiaTheme="minorEastAsia"/>
                <w:color w:val="000000"/>
                <w:szCs w:val="21"/>
              </w:rPr>
            </w:pPr>
            <w:r>
              <w:rPr>
                <w:rFonts w:hint="eastAsia" w:cs="宋体" w:asciiTheme="minorEastAsia" w:hAnsiTheme="minorEastAsia" w:eastAsiaTheme="minorEastAsia"/>
                <w:szCs w:val="21"/>
              </w:rPr>
              <w:t>平顶山尼龙新材料开发区管委会</w:t>
            </w:r>
            <w:r>
              <w:rPr>
                <w:rFonts w:hint="eastAsia" w:cs="宋体" w:asciiTheme="minorEastAsia" w:hAnsiTheme="minorEastAsia" w:eastAsiaTheme="minorEastAsia"/>
                <w:color w:val="000000"/>
                <w:szCs w:val="21"/>
              </w:rPr>
              <w:t>电子政务外网运维服务</w:t>
            </w:r>
          </w:p>
        </w:tc>
        <w:tc>
          <w:tcPr>
            <w:tcW w:w="3203" w:type="pct"/>
            <w:tcBorders>
              <w:top w:val="nil"/>
              <w:left w:val="nil"/>
              <w:bottom w:val="single" w:color="000000" w:sz="8" w:space="0"/>
              <w:right w:val="nil"/>
            </w:tcBorders>
            <w:shd w:val="clear" w:color="auto" w:fill="auto"/>
            <w:vAlign w:val="center"/>
          </w:tcPr>
          <w:p w14:paraId="42B9410F">
            <w:pP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提供对</w:t>
            </w:r>
            <w:r>
              <w:rPr>
                <w:rFonts w:hint="eastAsia" w:cs="宋体" w:asciiTheme="minorEastAsia" w:hAnsiTheme="minorEastAsia" w:eastAsiaTheme="minorEastAsia"/>
                <w:szCs w:val="21"/>
              </w:rPr>
              <w:t>平顶山尼龙新材料开发区管委会</w:t>
            </w:r>
            <w:r>
              <w:rPr>
                <w:rFonts w:hint="eastAsia" w:cs="宋体" w:asciiTheme="minorEastAsia" w:hAnsiTheme="minorEastAsia" w:eastAsiaTheme="minorEastAsia"/>
                <w:color w:val="000000"/>
                <w:szCs w:val="21"/>
              </w:rPr>
              <w:t>电子政务外网的基础网络运维服务，保障网络的稳定运行；定期的日常运维服务，日常至少1月进行一次例行运维保障巡检。出现故障即时响应，2小时内安排人员出现场处理。</w:t>
            </w:r>
          </w:p>
        </w:tc>
        <w:tc>
          <w:tcPr>
            <w:tcW w:w="340" w:type="pct"/>
            <w:tcBorders>
              <w:top w:val="nil"/>
              <w:left w:val="single" w:color="auto" w:sz="8" w:space="0"/>
              <w:bottom w:val="single" w:color="auto" w:sz="8" w:space="0"/>
              <w:right w:val="single" w:color="auto" w:sz="8" w:space="0"/>
            </w:tcBorders>
            <w:shd w:val="clear" w:color="auto" w:fill="auto"/>
            <w:vAlign w:val="center"/>
          </w:tcPr>
          <w:p w14:paraId="5801A98D">
            <w:pPr>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1年</w:t>
            </w:r>
          </w:p>
        </w:tc>
      </w:tr>
      <w:tr w14:paraId="61AEF463">
        <w:tblPrEx>
          <w:tblCellMar>
            <w:top w:w="0" w:type="dxa"/>
            <w:left w:w="108" w:type="dxa"/>
            <w:bottom w:w="0" w:type="dxa"/>
            <w:right w:w="108" w:type="dxa"/>
          </w:tblCellMar>
        </w:tblPrEx>
        <w:trPr>
          <w:trHeight w:val="1022" w:hRule="atLeast"/>
        </w:trPr>
        <w:tc>
          <w:tcPr>
            <w:tcW w:w="272" w:type="pct"/>
            <w:tcBorders>
              <w:top w:val="nil"/>
              <w:left w:val="single" w:color="000000" w:sz="8" w:space="0"/>
              <w:bottom w:val="single" w:color="000000" w:sz="8" w:space="0"/>
              <w:right w:val="single" w:color="000000" w:sz="8" w:space="0"/>
            </w:tcBorders>
            <w:shd w:val="clear" w:color="auto" w:fill="auto"/>
            <w:vAlign w:val="center"/>
          </w:tcPr>
          <w:p w14:paraId="34CB2CD9">
            <w:pPr>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5</w:t>
            </w:r>
          </w:p>
        </w:tc>
        <w:tc>
          <w:tcPr>
            <w:tcW w:w="1185" w:type="pct"/>
            <w:tcBorders>
              <w:top w:val="nil"/>
              <w:left w:val="nil"/>
              <w:bottom w:val="single" w:color="000000" w:sz="8" w:space="0"/>
              <w:right w:val="single" w:color="000000" w:sz="8" w:space="0"/>
            </w:tcBorders>
            <w:shd w:val="clear" w:color="auto" w:fill="auto"/>
            <w:vAlign w:val="center"/>
          </w:tcPr>
          <w:p w14:paraId="71843E58">
            <w:pP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办公业务资源网机房环境及使用服务</w:t>
            </w:r>
          </w:p>
        </w:tc>
        <w:tc>
          <w:tcPr>
            <w:tcW w:w="3203" w:type="pct"/>
            <w:tcBorders>
              <w:top w:val="nil"/>
              <w:left w:val="nil"/>
              <w:bottom w:val="single" w:color="000000" w:sz="8" w:space="0"/>
              <w:right w:val="nil"/>
            </w:tcBorders>
            <w:shd w:val="clear" w:color="auto" w:fill="auto"/>
            <w:vAlign w:val="center"/>
          </w:tcPr>
          <w:p w14:paraId="7958BB0A">
            <w:pP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机房环境及空调、视频监控、配电系统、不间断电源系统和消防门禁系统等的使用服务，以及核心机房环境相关运维服务，机房按照国家C类标准和日常运维服务。</w:t>
            </w:r>
          </w:p>
        </w:tc>
        <w:tc>
          <w:tcPr>
            <w:tcW w:w="340" w:type="pct"/>
            <w:tcBorders>
              <w:top w:val="nil"/>
              <w:left w:val="single" w:color="auto" w:sz="8" w:space="0"/>
              <w:bottom w:val="single" w:color="auto" w:sz="8" w:space="0"/>
              <w:right w:val="single" w:color="auto" w:sz="8" w:space="0"/>
            </w:tcBorders>
            <w:shd w:val="clear" w:color="auto" w:fill="auto"/>
            <w:vAlign w:val="center"/>
          </w:tcPr>
          <w:p w14:paraId="5C0C5F40">
            <w:pPr>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1年</w:t>
            </w:r>
          </w:p>
        </w:tc>
      </w:tr>
      <w:tr w14:paraId="27CFDDED">
        <w:tblPrEx>
          <w:tblCellMar>
            <w:top w:w="0" w:type="dxa"/>
            <w:left w:w="108" w:type="dxa"/>
            <w:bottom w:w="0" w:type="dxa"/>
            <w:right w:w="108" w:type="dxa"/>
          </w:tblCellMar>
        </w:tblPrEx>
        <w:trPr>
          <w:trHeight w:val="910" w:hRule="atLeast"/>
        </w:trPr>
        <w:tc>
          <w:tcPr>
            <w:tcW w:w="272" w:type="pct"/>
            <w:tcBorders>
              <w:top w:val="nil"/>
              <w:left w:val="single" w:color="000000" w:sz="8" w:space="0"/>
              <w:bottom w:val="single" w:color="000000" w:sz="8" w:space="0"/>
              <w:right w:val="single" w:color="000000" w:sz="8" w:space="0"/>
            </w:tcBorders>
            <w:shd w:val="clear" w:color="auto" w:fill="auto"/>
            <w:vAlign w:val="center"/>
          </w:tcPr>
          <w:p w14:paraId="0FE26783">
            <w:pPr>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6</w:t>
            </w:r>
          </w:p>
        </w:tc>
        <w:tc>
          <w:tcPr>
            <w:tcW w:w="1185" w:type="pct"/>
            <w:tcBorders>
              <w:top w:val="nil"/>
              <w:left w:val="nil"/>
              <w:bottom w:val="single" w:color="000000" w:sz="8" w:space="0"/>
              <w:right w:val="single" w:color="000000" w:sz="8" w:space="0"/>
            </w:tcBorders>
            <w:shd w:val="clear" w:color="auto" w:fill="auto"/>
            <w:vAlign w:val="center"/>
          </w:tcPr>
          <w:p w14:paraId="7BA9D57E">
            <w:pP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办公业务资源网通信中心网络和安全服务</w:t>
            </w:r>
          </w:p>
        </w:tc>
        <w:tc>
          <w:tcPr>
            <w:tcW w:w="3203" w:type="pct"/>
            <w:tcBorders>
              <w:top w:val="nil"/>
              <w:left w:val="nil"/>
              <w:bottom w:val="single" w:color="000000" w:sz="8" w:space="0"/>
              <w:right w:val="nil"/>
            </w:tcBorders>
            <w:shd w:val="clear" w:color="auto" w:fill="auto"/>
            <w:vAlign w:val="center"/>
          </w:tcPr>
          <w:p w14:paraId="3D7038DC">
            <w:pP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办公业务资源网核心网络相关的安全服务，包含核心路由器、核心交换机、汇聚交换机、安全防火墙等。</w:t>
            </w:r>
          </w:p>
        </w:tc>
        <w:tc>
          <w:tcPr>
            <w:tcW w:w="340" w:type="pct"/>
            <w:tcBorders>
              <w:top w:val="nil"/>
              <w:left w:val="single" w:color="auto" w:sz="8" w:space="0"/>
              <w:bottom w:val="single" w:color="auto" w:sz="8" w:space="0"/>
              <w:right w:val="single" w:color="auto" w:sz="8" w:space="0"/>
            </w:tcBorders>
            <w:shd w:val="clear" w:color="auto" w:fill="auto"/>
            <w:vAlign w:val="center"/>
          </w:tcPr>
          <w:p w14:paraId="154233F4">
            <w:pPr>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1年</w:t>
            </w:r>
          </w:p>
        </w:tc>
      </w:tr>
      <w:tr w14:paraId="7A8CA14B">
        <w:tblPrEx>
          <w:tblCellMar>
            <w:top w:w="0" w:type="dxa"/>
            <w:left w:w="108" w:type="dxa"/>
            <w:bottom w:w="0" w:type="dxa"/>
            <w:right w:w="108" w:type="dxa"/>
          </w:tblCellMar>
        </w:tblPrEx>
        <w:trPr>
          <w:trHeight w:val="1210" w:hRule="atLeast"/>
        </w:trPr>
        <w:tc>
          <w:tcPr>
            <w:tcW w:w="272" w:type="pct"/>
            <w:tcBorders>
              <w:top w:val="nil"/>
              <w:left w:val="single" w:color="000000" w:sz="8" w:space="0"/>
              <w:bottom w:val="single" w:color="000000" w:sz="8" w:space="0"/>
              <w:right w:val="single" w:color="000000" w:sz="8" w:space="0"/>
            </w:tcBorders>
            <w:shd w:val="clear" w:color="auto" w:fill="auto"/>
            <w:vAlign w:val="center"/>
          </w:tcPr>
          <w:p w14:paraId="6C818F1B">
            <w:pPr>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7</w:t>
            </w:r>
          </w:p>
        </w:tc>
        <w:tc>
          <w:tcPr>
            <w:tcW w:w="1185" w:type="pct"/>
            <w:tcBorders>
              <w:top w:val="nil"/>
              <w:left w:val="nil"/>
              <w:bottom w:val="single" w:color="000000" w:sz="8" w:space="0"/>
              <w:right w:val="single" w:color="000000" w:sz="8" w:space="0"/>
            </w:tcBorders>
            <w:shd w:val="clear" w:color="auto" w:fill="auto"/>
            <w:vAlign w:val="center"/>
          </w:tcPr>
          <w:p w14:paraId="415BFFFC">
            <w:pP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办公业务资源网业务应用系统平台使用服务</w:t>
            </w:r>
          </w:p>
        </w:tc>
        <w:tc>
          <w:tcPr>
            <w:tcW w:w="3203" w:type="pct"/>
            <w:tcBorders>
              <w:top w:val="nil"/>
              <w:left w:val="nil"/>
              <w:bottom w:val="single" w:color="000000" w:sz="8" w:space="0"/>
              <w:right w:val="nil"/>
            </w:tcBorders>
            <w:shd w:val="clear" w:color="auto" w:fill="auto"/>
            <w:vAlign w:val="center"/>
          </w:tcPr>
          <w:p w14:paraId="01784616">
            <w:pP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遵照市政务办公业务资源网建设要求，进行功能模块的更新，提供公文流转审批和签发、阅办文的传阅签批、内部考勤、用车申请、财务报销等流程审阅和签批等功能。与市政府政务办公云平台完成对接，保障与政府公文的在线签批和流转。</w:t>
            </w:r>
          </w:p>
        </w:tc>
        <w:tc>
          <w:tcPr>
            <w:tcW w:w="340" w:type="pct"/>
            <w:tcBorders>
              <w:top w:val="nil"/>
              <w:left w:val="single" w:color="auto" w:sz="8" w:space="0"/>
              <w:bottom w:val="single" w:color="auto" w:sz="8" w:space="0"/>
              <w:right w:val="single" w:color="auto" w:sz="8" w:space="0"/>
            </w:tcBorders>
            <w:shd w:val="clear" w:color="auto" w:fill="auto"/>
            <w:vAlign w:val="center"/>
          </w:tcPr>
          <w:p w14:paraId="7E255DCE">
            <w:pPr>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1年</w:t>
            </w:r>
          </w:p>
        </w:tc>
      </w:tr>
      <w:tr w14:paraId="728D378A">
        <w:tblPrEx>
          <w:tblCellMar>
            <w:top w:w="0" w:type="dxa"/>
            <w:left w:w="108" w:type="dxa"/>
            <w:bottom w:w="0" w:type="dxa"/>
            <w:right w:w="108" w:type="dxa"/>
          </w:tblCellMar>
        </w:tblPrEx>
        <w:trPr>
          <w:trHeight w:val="1210" w:hRule="atLeast"/>
        </w:trPr>
        <w:tc>
          <w:tcPr>
            <w:tcW w:w="272" w:type="pct"/>
            <w:tcBorders>
              <w:top w:val="nil"/>
              <w:left w:val="single" w:color="000000" w:sz="8" w:space="0"/>
              <w:bottom w:val="single" w:color="000000" w:sz="8" w:space="0"/>
              <w:right w:val="single" w:color="000000" w:sz="8" w:space="0"/>
            </w:tcBorders>
            <w:shd w:val="clear" w:color="auto" w:fill="auto"/>
            <w:vAlign w:val="center"/>
          </w:tcPr>
          <w:p w14:paraId="0014B090">
            <w:pPr>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8</w:t>
            </w:r>
          </w:p>
        </w:tc>
        <w:tc>
          <w:tcPr>
            <w:tcW w:w="1185" w:type="pct"/>
            <w:tcBorders>
              <w:top w:val="nil"/>
              <w:left w:val="nil"/>
              <w:bottom w:val="single" w:color="000000" w:sz="8" w:space="0"/>
              <w:right w:val="single" w:color="000000" w:sz="8" w:space="0"/>
            </w:tcBorders>
            <w:shd w:val="clear" w:color="auto" w:fill="auto"/>
            <w:vAlign w:val="center"/>
          </w:tcPr>
          <w:p w14:paraId="34C63099">
            <w:pPr>
              <w:rPr>
                <w:rFonts w:cs="宋体" w:asciiTheme="minorEastAsia" w:hAnsiTheme="minorEastAsia" w:eastAsiaTheme="minorEastAsia"/>
                <w:color w:val="000000"/>
                <w:szCs w:val="21"/>
              </w:rPr>
            </w:pPr>
            <w:r>
              <w:rPr>
                <w:rFonts w:hint="eastAsia" w:cs="宋体" w:asciiTheme="minorEastAsia" w:hAnsiTheme="minorEastAsia" w:eastAsiaTheme="minorEastAsia"/>
                <w:szCs w:val="21"/>
              </w:rPr>
              <w:t>平顶山尼龙新材料开发区管委会</w:t>
            </w:r>
            <w:r>
              <w:rPr>
                <w:rFonts w:hint="eastAsia" w:cs="宋体" w:asciiTheme="minorEastAsia" w:hAnsiTheme="minorEastAsia" w:eastAsiaTheme="minorEastAsia"/>
                <w:color w:val="000000"/>
                <w:szCs w:val="21"/>
              </w:rPr>
              <w:t>办公业务资源网运维服务</w:t>
            </w:r>
          </w:p>
        </w:tc>
        <w:tc>
          <w:tcPr>
            <w:tcW w:w="3203" w:type="pct"/>
            <w:tcBorders>
              <w:top w:val="nil"/>
              <w:left w:val="nil"/>
              <w:bottom w:val="single" w:color="000000" w:sz="8" w:space="0"/>
              <w:right w:val="nil"/>
            </w:tcBorders>
            <w:shd w:val="clear" w:color="auto" w:fill="auto"/>
            <w:vAlign w:val="center"/>
          </w:tcPr>
          <w:p w14:paraId="32431E79">
            <w:pP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提供对</w:t>
            </w:r>
            <w:r>
              <w:rPr>
                <w:rFonts w:hint="eastAsia" w:cs="宋体" w:asciiTheme="minorEastAsia" w:hAnsiTheme="minorEastAsia" w:eastAsiaTheme="minorEastAsia"/>
                <w:szCs w:val="21"/>
              </w:rPr>
              <w:t>平顶山尼龙新材料开发区管委会</w:t>
            </w:r>
            <w:r>
              <w:rPr>
                <w:rFonts w:hint="eastAsia" w:cs="宋体" w:asciiTheme="minorEastAsia" w:hAnsiTheme="minorEastAsia" w:eastAsiaTheme="minorEastAsia"/>
                <w:color w:val="000000"/>
                <w:szCs w:val="21"/>
              </w:rPr>
              <w:t>办公业务资源网的基础网络运维服务，保障网络的稳定运行；定期的日常运维服务，日常至少1月进行一次例行运维保障巡检。出现故障即时响应，2小时内安排人员出现场处理。</w:t>
            </w:r>
          </w:p>
        </w:tc>
        <w:tc>
          <w:tcPr>
            <w:tcW w:w="340" w:type="pct"/>
            <w:tcBorders>
              <w:top w:val="nil"/>
              <w:left w:val="single" w:color="auto" w:sz="8" w:space="0"/>
              <w:bottom w:val="single" w:color="auto" w:sz="8" w:space="0"/>
              <w:right w:val="single" w:color="auto" w:sz="8" w:space="0"/>
            </w:tcBorders>
            <w:shd w:val="clear" w:color="auto" w:fill="auto"/>
            <w:vAlign w:val="center"/>
          </w:tcPr>
          <w:p w14:paraId="53F4D49C">
            <w:pPr>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1年</w:t>
            </w:r>
          </w:p>
        </w:tc>
      </w:tr>
      <w:tr w14:paraId="1A370A30">
        <w:tblPrEx>
          <w:tblCellMar>
            <w:top w:w="0" w:type="dxa"/>
            <w:left w:w="108" w:type="dxa"/>
            <w:bottom w:w="0" w:type="dxa"/>
            <w:right w:w="108" w:type="dxa"/>
          </w:tblCellMar>
        </w:tblPrEx>
        <w:trPr>
          <w:trHeight w:val="820" w:hRule="atLeast"/>
        </w:trPr>
        <w:tc>
          <w:tcPr>
            <w:tcW w:w="272" w:type="pct"/>
            <w:tcBorders>
              <w:top w:val="nil"/>
              <w:left w:val="single" w:color="000000" w:sz="8" w:space="0"/>
              <w:bottom w:val="single" w:color="000000" w:sz="8" w:space="0"/>
              <w:right w:val="single" w:color="000000" w:sz="8" w:space="0"/>
            </w:tcBorders>
            <w:shd w:val="clear" w:color="auto" w:fill="auto"/>
            <w:vAlign w:val="center"/>
          </w:tcPr>
          <w:p w14:paraId="2E98A54A">
            <w:pPr>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9</w:t>
            </w:r>
          </w:p>
        </w:tc>
        <w:tc>
          <w:tcPr>
            <w:tcW w:w="1185" w:type="pct"/>
            <w:tcBorders>
              <w:top w:val="nil"/>
              <w:left w:val="nil"/>
              <w:bottom w:val="single" w:color="000000" w:sz="8" w:space="0"/>
              <w:right w:val="single" w:color="000000" w:sz="8" w:space="0"/>
            </w:tcBorders>
            <w:shd w:val="clear" w:color="auto" w:fill="auto"/>
            <w:vAlign w:val="center"/>
          </w:tcPr>
          <w:p w14:paraId="3109E0F9">
            <w:pPr>
              <w:rPr>
                <w:rFonts w:cs="宋体" w:asciiTheme="minorEastAsia" w:hAnsiTheme="minorEastAsia" w:eastAsiaTheme="minorEastAsia"/>
                <w:color w:val="000000"/>
                <w:szCs w:val="21"/>
              </w:rPr>
            </w:pPr>
            <w:r>
              <w:rPr>
                <w:rFonts w:hint="eastAsia" w:cs="宋体" w:asciiTheme="minorEastAsia" w:hAnsiTheme="minorEastAsia" w:eastAsiaTheme="minorEastAsia"/>
                <w:szCs w:val="21"/>
              </w:rPr>
              <w:t>平顶山尼龙新材料开发区管委会</w:t>
            </w:r>
            <w:r>
              <w:rPr>
                <w:rFonts w:hint="eastAsia" w:cs="宋体" w:asciiTheme="minorEastAsia" w:hAnsiTheme="minorEastAsia" w:eastAsiaTheme="minorEastAsia"/>
                <w:color w:val="000000"/>
                <w:szCs w:val="21"/>
              </w:rPr>
              <w:t>政府门户网站等级保护三级测评服务</w:t>
            </w:r>
          </w:p>
        </w:tc>
        <w:tc>
          <w:tcPr>
            <w:tcW w:w="3203" w:type="pct"/>
            <w:tcBorders>
              <w:top w:val="nil"/>
              <w:left w:val="nil"/>
              <w:bottom w:val="single" w:color="000000" w:sz="8" w:space="0"/>
              <w:right w:val="nil"/>
            </w:tcBorders>
            <w:shd w:val="clear" w:color="auto" w:fill="auto"/>
            <w:vAlign w:val="center"/>
          </w:tcPr>
          <w:p w14:paraId="6308892C">
            <w:pPr>
              <w:rPr>
                <w:rFonts w:cs="宋体" w:asciiTheme="minorEastAsia" w:hAnsiTheme="minorEastAsia" w:eastAsiaTheme="minorEastAsia"/>
                <w:szCs w:val="21"/>
              </w:rPr>
            </w:pPr>
            <w:r>
              <w:rPr>
                <w:rFonts w:hint="eastAsia" w:cs="宋体" w:asciiTheme="minorEastAsia" w:hAnsiTheme="minorEastAsia" w:eastAsiaTheme="minorEastAsia"/>
                <w:szCs w:val="21"/>
              </w:rPr>
              <w:t>按照《网络安全等级保护条例》要求，对平顶山尼龙新材料开发区管委会政府门户网站系统进行等级保护三级测评，并将取得相关部门的备案证书。</w:t>
            </w:r>
          </w:p>
        </w:tc>
        <w:tc>
          <w:tcPr>
            <w:tcW w:w="340" w:type="pct"/>
            <w:tcBorders>
              <w:top w:val="nil"/>
              <w:left w:val="single" w:color="auto" w:sz="8" w:space="0"/>
              <w:bottom w:val="single" w:color="auto" w:sz="8" w:space="0"/>
              <w:right w:val="single" w:color="auto" w:sz="8" w:space="0"/>
            </w:tcBorders>
            <w:shd w:val="clear" w:color="auto" w:fill="auto"/>
            <w:vAlign w:val="center"/>
          </w:tcPr>
          <w:p w14:paraId="59833938">
            <w:pPr>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1年</w:t>
            </w:r>
          </w:p>
        </w:tc>
      </w:tr>
    </w:tbl>
    <w:p w14:paraId="4C8E9C0B">
      <w:pPr>
        <w:rPr>
          <w:rFonts w:ascii="宋体" w:hAnsi="宋体" w:eastAsia="等线" w:cs="宋体"/>
          <w:szCs w:val="21"/>
        </w:rPr>
      </w:pPr>
      <w:r>
        <w:rPr>
          <w:rFonts w:ascii="宋体" w:hAnsi="宋体" w:eastAsia="等线" w:cs="宋体"/>
          <w:szCs w:val="21"/>
        </w:rPr>
        <w:br w:type="page"/>
      </w:r>
    </w:p>
    <w:p w14:paraId="16052C36">
      <w:pPr>
        <w:adjustRightInd w:val="0"/>
        <w:snapToGrid w:val="0"/>
        <w:spacing w:line="520" w:lineRule="exact"/>
        <w:rPr>
          <w:rFonts w:ascii="宋体" w:hAnsi="宋体" w:cs="宋体"/>
          <w:b/>
          <w:bCs/>
          <w:sz w:val="24"/>
        </w:rPr>
      </w:pPr>
      <w:r>
        <w:rPr>
          <w:rFonts w:hint="eastAsia" w:ascii="宋体" w:hAnsi="宋体" w:cs="宋体"/>
          <w:b/>
          <w:bCs/>
          <w:sz w:val="24"/>
        </w:rPr>
        <w:t>三、服务清单</w:t>
      </w:r>
    </w:p>
    <w:p w14:paraId="5F7DE1C4">
      <w:pPr>
        <w:spacing w:line="360" w:lineRule="auto"/>
        <w:ind w:firstLine="422" w:firstLineChars="200"/>
        <w:rPr>
          <w:rFonts w:ascii="宋体" w:hAnsi="宋体" w:cs="宋体"/>
          <w:b/>
        </w:rPr>
      </w:pPr>
      <w:r>
        <w:rPr>
          <w:rFonts w:hint="eastAsia" w:ascii="宋体" w:hAnsi="宋体" w:cs="宋体"/>
          <w:b/>
        </w:rPr>
        <w:t>电子政务外网：</w:t>
      </w:r>
    </w:p>
    <w:tbl>
      <w:tblPr>
        <w:tblStyle w:val="28"/>
        <w:tblW w:w="5000" w:type="pct"/>
        <w:tblInd w:w="0" w:type="dxa"/>
        <w:tblLayout w:type="autofit"/>
        <w:tblCellMar>
          <w:top w:w="0" w:type="dxa"/>
          <w:left w:w="108" w:type="dxa"/>
          <w:bottom w:w="0" w:type="dxa"/>
          <w:right w:w="108" w:type="dxa"/>
        </w:tblCellMar>
      </w:tblPr>
      <w:tblGrid>
        <w:gridCol w:w="1145"/>
        <w:gridCol w:w="4327"/>
        <w:gridCol w:w="2335"/>
        <w:gridCol w:w="2331"/>
      </w:tblGrid>
      <w:tr w14:paraId="29CE5ACF">
        <w:tblPrEx>
          <w:tblCellMar>
            <w:top w:w="0" w:type="dxa"/>
            <w:left w:w="108" w:type="dxa"/>
            <w:bottom w:w="0" w:type="dxa"/>
            <w:right w:w="108" w:type="dxa"/>
          </w:tblCellMar>
        </w:tblPrEx>
        <w:trPr>
          <w:trHeight w:val="292" w:hRule="atLeast"/>
        </w:trPr>
        <w:tc>
          <w:tcPr>
            <w:tcW w:w="565" w:type="pct"/>
            <w:tcBorders>
              <w:top w:val="single" w:color="auto" w:sz="8" w:space="0"/>
              <w:left w:val="single" w:color="auto" w:sz="8" w:space="0"/>
              <w:bottom w:val="single" w:color="auto" w:sz="8" w:space="0"/>
              <w:right w:val="single" w:color="auto" w:sz="8" w:space="0"/>
            </w:tcBorders>
            <w:shd w:val="clear" w:color="auto" w:fill="auto"/>
            <w:vAlign w:val="center"/>
          </w:tcPr>
          <w:p w14:paraId="7B4B0759">
            <w:pPr>
              <w:jc w:val="center"/>
              <w:rPr>
                <w:rFonts w:ascii="宋体" w:hAnsi="宋体" w:cs="宋体"/>
                <w:b/>
                <w:bCs/>
                <w:color w:val="000000"/>
              </w:rPr>
            </w:pPr>
            <w:r>
              <w:rPr>
                <w:rFonts w:hint="eastAsia" w:ascii="宋体" w:hAnsi="宋体" w:cs="宋体"/>
                <w:b/>
                <w:bCs/>
                <w:color w:val="000000"/>
              </w:rPr>
              <w:t>序号</w:t>
            </w:r>
          </w:p>
        </w:tc>
        <w:tc>
          <w:tcPr>
            <w:tcW w:w="2133" w:type="pct"/>
            <w:tcBorders>
              <w:top w:val="single" w:color="auto" w:sz="8" w:space="0"/>
              <w:left w:val="nil"/>
              <w:bottom w:val="single" w:color="auto" w:sz="8" w:space="0"/>
              <w:right w:val="single" w:color="auto" w:sz="8" w:space="0"/>
            </w:tcBorders>
            <w:shd w:val="clear" w:color="auto" w:fill="auto"/>
            <w:vAlign w:val="center"/>
          </w:tcPr>
          <w:p w14:paraId="0865D7CC">
            <w:pPr>
              <w:jc w:val="center"/>
              <w:rPr>
                <w:rFonts w:ascii="宋体" w:hAnsi="宋体" w:cs="宋体"/>
                <w:b/>
                <w:bCs/>
                <w:color w:val="000000"/>
              </w:rPr>
            </w:pPr>
            <w:r>
              <w:rPr>
                <w:rFonts w:hint="eastAsia" w:ascii="宋体" w:hAnsi="宋体" w:cs="宋体"/>
                <w:b/>
                <w:bCs/>
                <w:color w:val="000000"/>
              </w:rPr>
              <w:t>产品名称</w:t>
            </w:r>
          </w:p>
        </w:tc>
        <w:tc>
          <w:tcPr>
            <w:tcW w:w="1151" w:type="pct"/>
            <w:tcBorders>
              <w:top w:val="single" w:color="auto" w:sz="8" w:space="0"/>
              <w:left w:val="nil"/>
              <w:bottom w:val="single" w:color="auto" w:sz="8" w:space="0"/>
              <w:right w:val="single" w:color="auto" w:sz="8" w:space="0"/>
            </w:tcBorders>
            <w:shd w:val="clear" w:color="auto" w:fill="auto"/>
            <w:vAlign w:val="center"/>
          </w:tcPr>
          <w:p w14:paraId="46146754">
            <w:pPr>
              <w:jc w:val="center"/>
              <w:rPr>
                <w:rFonts w:ascii="宋体" w:hAnsi="宋体" w:cs="宋体"/>
                <w:b/>
                <w:bCs/>
                <w:color w:val="000000"/>
              </w:rPr>
            </w:pPr>
            <w:r>
              <w:rPr>
                <w:rFonts w:hint="eastAsia" w:ascii="宋体" w:hAnsi="宋体" w:cs="宋体"/>
                <w:b/>
                <w:bCs/>
                <w:color w:val="000000"/>
              </w:rPr>
              <w:t>单位</w:t>
            </w:r>
          </w:p>
        </w:tc>
        <w:tc>
          <w:tcPr>
            <w:tcW w:w="1149" w:type="pct"/>
            <w:tcBorders>
              <w:top w:val="single" w:color="auto" w:sz="8" w:space="0"/>
              <w:left w:val="nil"/>
              <w:bottom w:val="single" w:color="auto" w:sz="8" w:space="0"/>
              <w:right w:val="single" w:color="auto" w:sz="8" w:space="0"/>
            </w:tcBorders>
            <w:shd w:val="clear" w:color="auto" w:fill="auto"/>
            <w:vAlign w:val="center"/>
          </w:tcPr>
          <w:p w14:paraId="17CCE087">
            <w:pPr>
              <w:jc w:val="center"/>
              <w:rPr>
                <w:rFonts w:ascii="宋体" w:hAnsi="宋体" w:cs="宋体"/>
                <w:b/>
                <w:bCs/>
                <w:color w:val="000000"/>
              </w:rPr>
            </w:pPr>
            <w:r>
              <w:rPr>
                <w:rFonts w:hint="eastAsia" w:ascii="宋体" w:hAnsi="宋体" w:cs="宋体"/>
                <w:b/>
                <w:bCs/>
                <w:color w:val="000000"/>
              </w:rPr>
              <w:t>数量</w:t>
            </w:r>
          </w:p>
        </w:tc>
      </w:tr>
      <w:tr w14:paraId="063398AF">
        <w:tblPrEx>
          <w:tblCellMar>
            <w:top w:w="0" w:type="dxa"/>
            <w:left w:w="108" w:type="dxa"/>
            <w:bottom w:w="0" w:type="dxa"/>
            <w:right w:w="108" w:type="dxa"/>
          </w:tblCellMar>
        </w:tblPrEx>
        <w:trPr>
          <w:trHeight w:val="292" w:hRule="atLeast"/>
        </w:trPr>
        <w:tc>
          <w:tcPr>
            <w:tcW w:w="565" w:type="pct"/>
            <w:tcBorders>
              <w:top w:val="nil"/>
              <w:left w:val="single" w:color="auto" w:sz="8" w:space="0"/>
              <w:bottom w:val="single" w:color="auto" w:sz="8" w:space="0"/>
              <w:right w:val="single" w:color="auto" w:sz="8" w:space="0"/>
            </w:tcBorders>
            <w:shd w:val="clear" w:color="auto" w:fill="auto"/>
            <w:noWrap/>
            <w:vAlign w:val="center"/>
          </w:tcPr>
          <w:p w14:paraId="6C7E80C7">
            <w:pPr>
              <w:jc w:val="center"/>
              <w:rPr>
                <w:rFonts w:ascii="宋体" w:hAnsi="宋体" w:cs="宋体"/>
                <w:color w:val="000000"/>
              </w:rPr>
            </w:pPr>
            <w:r>
              <w:rPr>
                <w:rFonts w:hint="eastAsia" w:ascii="宋体" w:hAnsi="宋体" w:cs="宋体"/>
                <w:color w:val="000000"/>
              </w:rPr>
              <w:t>1</w:t>
            </w:r>
          </w:p>
        </w:tc>
        <w:tc>
          <w:tcPr>
            <w:tcW w:w="2133" w:type="pct"/>
            <w:tcBorders>
              <w:top w:val="nil"/>
              <w:left w:val="nil"/>
              <w:bottom w:val="single" w:color="auto" w:sz="8" w:space="0"/>
              <w:right w:val="single" w:color="auto" w:sz="8" w:space="0"/>
            </w:tcBorders>
            <w:shd w:val="clear" w:color="auto" w:fill="auto"/>
            <w:vAlign w:val="center"/>
          </w:tcPr>
          <w:p w14:paraId="4C1F3A5E">
            <w:pPr>
              <w:jc w:val="center"/>
              <w:rPr>
                <w:rFonts w:ascii="宋体" w:hAnsi="宋体" w:cs="宋体"/>
                <w:color w:val="000000"/>
              </w:rPr>
            </w:pPr>
            <w:r>
              <w:rPr>
                <w:rFonts w:hint="eastAsia" w:ascii="宋体" w:hAnsi="宋体" w:cs="宋体"/>
                <w:color w:val="000000"/>
              </w:rPr>
              <w:t>安全服务</w:t>
            </w:r>
          </w:p>
        </w:tc>
        <w:tc>
          <w:tcPr>
            <w:tcW w:w="1151" w:type="pct"/>
            <w:tcBorders>
              <w:top w:val="nil"/>
              <w:left w:val="nil"/>
              <w:bottom w:val="single" w:color="auto" w:sz="8" w:space="0"/>
              <w:right w:val="single" w:color="auto" w:sz="8" w:space="0"/>
            </w:tcBorders>
            <w:shd w:val="clear" w:color="auto" w:fill="auto"/>
            <w:noWrap/>
            <w:vAlign w:val="bottom"/>
          </w:tcPr>
          <w:p w14:paraId="650F0D86">
            <w:pPr>
              <w:jc w:val="center"/>
              <w:rPr>
                <w:rFonts w:ascii="宋体" w:hAnsi="宋体" w:cs="宋体"/>
                <w:color w:val="000000"/>
              </w:rPr>
            </w:pPr>
            <w:r>
              <w:rPr>
                <w:rFonts w:hint="eastAsia" w:ascii="宋体" w:hAnsi="宋体" w:cs="宋体"/>
                <w:color w:val="000000"/>
              </w:rPr>
              <w:t>套</w:t>
            </w:r>
          </w:p>
        </w:tc>
        <w:tc>
          <w:tcPr>
            <w:tcW w:w="1149" w:type="pct"/>
            <w:tcBorders>
              <w:top w:val="nil"/>
              <w:left w:val="nil"/>
              <w:bottom w:val="single" w:color="auto" w:sz="8" w:space="0"/>
              <w:right w:val="single" w:color="auto" w:sz="8" w:space="0"/>
            </w:tcBorders>
            <w:shd w:val="clear" w:color="auto" w:fill="auto"/>
            <w:noWrap/>
            <w:vAlign w:val="bottom"/>
          </w:tcPr>
          <w:p w14:paraId="0D86C4AB">
            <w:pPr>
              <w:jc w:val="center"/>
              <w:rPr>
                <w:rFonts w:ascii="宋体" w:hAnsi="宋体" w:cs="宋体"/>
                <w:color w:val="000000"/>
              </w:rPr>
            </w:pPr>
            <w:r>
              <w:rPr>
                <w:rFonts w:hint="eastAsia" w:ascii="宋体" w:hAnsi="宋体" w:cs="宋体"/>
                <w:color w:val="000000"/>
              </w:rPr>
              <w:t>1</w:t>
            </w:r>
          </w:p>
        </w:tc>
      </w:tr>
      <w:tr w14:paraId="70B67051">
        <w:tblPrEx>
          <w:tblCellMar>
            <w:top w:w="0" w:type="dxa"/>
            <w:left w:w="108" w:type="dxa"/>
            <w:bottom w:w="0" w:type="dxa"/>
            <w:right w:w="108" w:type="dxa"/>
          </w:tblCellMar>
        </w:tblPrEx>
        <w:trPr>
          <w:trHeight w:val="377" w:hRule="atLeast"/>
        </w:trPr>
        <w:tc>
          <w:tcPr>
            <w:tcW w:w="565" w:type="pct"/>
            <w:tcBorders>
              <w:top w:val="nil"/>
              <w:left w:val="single" w:color="auto" w:sz="8" w:space="0"/>
              <w:bottom w:val="single" w:color="auto" w:sz="8" w:space="0"/>
              <w:right w:val="single" w:color="auto" w:sz="8" w:space="0"/>
            </w:tcBorders>
            <w:shd w:val="clear" w:color="auto" w:fill="auto"/>
            <w:noWrap/>
            <w:vAlign w:val="center"/>
          </w:tcPr>
          <w:p w14:paraId="04752CC6">
            <w:pPr>
              <w:jc w:val="center"/>
              <w:rPr>
                <w:rFonts w:ascii="宋体" w:hAnsi="宋体" w:cs="宋体"/>
                <w:color w:val="000000"/>
              </w:rPr>
            </w:pPr>
            <w:r>
              <w:rPr>
                <w:rFonts w:hint="eastAsia" w:ascii="宋体" w:hAnsi="宋体" w:cs="宋体"/>
                <w:color w:val="000000"/>
              </w:rPr>
              <w:t>2</w:t>
            </w:r>
          </w:p>
        </w:tc>
        <w:tc>
          <w:tcPr>
            <w:tcW w:w="2133" w:type="pct"/>
            <w:tcBorders>
              <w:top w:val="nil"/>
              <w:left w:val="nil"/>
              <w:bottom w:val="single" w:color="auto" w:sz="8" w:space="0"/>
              <w:right w:val="single" w:color="auto" w:sz="8" w:space="0"/>
            </w:tcBorders>
            <w:shd w:val="clear" w:color="auto" w:fill="auto"/>
            <w:vAlign w:val="center"/>
          </w:tcPr>
          <w:p w14:paraId="1E434814">
            <w:pPr>
              <w:jc w:val="center"/>
              <w:rPr>
                <w:rFonts w:ascii="宋体" w:hAnsi="宋体" w:cs="宋体"/>
                <w:color w:val="000000"/>
              </w:rPr>
            </w:pPr>
            <w:r>
              <w:rPr>
                <w:rFonts w:hint="eastAsia" w:ascii="宋体" w:hAnsi="宋体" w:cs="宋体"/>
                <w:color w:val="000000"/>
              </w:rPr>
              <w:t>安全域认证管理软件</w:t>
            </w:r>
          </w:p>
        </w:tc>
        <w:tc>
          <w:tcPr>
            <w:tcW w:w="1151" w:type="pct"/>
            <w:tcBorders>
              <w:top w:val="nil"/>
              <w:left w:val="nil"/>
              <w:bottom w:val="single" w:color="auto" w:sz="8" w:space="0"/>
              <w:right w:val="single" w:color="auto" w:sz="8" w:space="0"/>
            </w:tcBorders>
            <w:shd w:val="clear" w:color="auto" w:fill="auto"/>
            <w:noWrap/>
            <w:vAlign w:val="bottom"/>
          </w:tcPr>
          <w:p w14:paraId="1630D7D2">
            <w:pPr>
              <w:jc w:val="center"/>
              <w:rPr>
                <w:rFonts w:ascii="宋体" w:hAnsi="宋体" w:cs="宋体"/>
                <w:color w:val="000000"/>
              </w:rPr>
            </w:pPr>
            <w:r>
              <w:rPr>
                <w:rFonts w:hint="eastAsia" w:ascii="宋体" w:hAnsi="宋体" w:cs="宋体"/>
                <w:color w:val="000000"/>
              </w:rPr>
              <w:t>套</w:t>
            </w:r>
          </w:p>
        </w:tc>
        <w:tc>
          <w:tcPr>
            <w:tcW w:w="1149" w:type="pct"/>
            <w:tcBorders>
              <w:top w:val="nil"/>
              <w:left w:val="nil"/>
              <w:bottom w:val="single" w:color="auto" w:sz="8" w:space="0"/>
              <w:right w:val="single" w:color="auto" w:sz="8" w:space="0"/>
            </w:tcBorders>
            <w:shd w:val="clear" w:color="auto" w:fill="auto"/>
            <w:noWrap/>
            <w:vAlign w:val="bottom"/>
          </w:tcPr>
          <w:p w14:paraId="6AD461BD">
            <w:pPr>
              <w:jc w:val="center"/>
              <w:rPr>
                <w:rFonts w:ascii="宋体" w:hAnsi="宋体" w:cs="宋体"/>
                <w:color w:val="000000"/>
              </w:rPr>
            </w:pPr>
            <w:r>
              <w:rPr>
                <w:rFonts w:hint="eastAsia" w:ascii="宋体" w:hAnsi="宋体" w:cs="宋体"/>
                <w:color w:val="000000"/>
              </w:rPr>
              <w:t>1</w:t>
            </w:r>
          </w:p>
        </w:tc>
      </w:tr>
      <w:tr w14:paraId="2D9D67EF">
        <w:tblPrEx>
          <w:tblCellMar>
            <w:top w:w="0" w:type="dxa"/>
            <w:left w:w="108" w:type="dxa"/>
            <w:bottom w:w="0" w:type="dxa"/>
            <w:right w:w="108" w:type="dxa"/>
          </w:tblCellMar>
        </w:tblPrEx>
        <w:trPr>
          <w:trHeight w:val="292" w:hRule="atLeast"/>
        </w:trPr>
        <w:tc>
          <w:tcPr>
            <w:tcW w:w="565" w:type="pct"/>
            <w:tcBorders>
              <w:top w:val="nil"/>
              <w:left w:val="single" w:color="auto" w:sz="8" w:space="0"/>
              <w:bottom w:val="single" w:color="auto" w:sz="8" w:space="0"/>
              <w:right w:val="single" w:color="auto" w:sz="8" w:space="0"/>
            </w:tcBorders>
            <w:shd w:val="clear" w:color="auto" w:fill="auto"/>
            <w:noWrap/>
            <w:vAlign w:val="center"/>
          </w:tcPr>
          <w:p w14:paraId="21FFB98E">
            <w:pPr>
              <w:jc w:val="center"/>
              <w:rPr>
                <w:rFonts w:ascii="宋体" w:hAnsi="宋体" w:cs="宋体"/>
                <w:color w:val="000000"/>
              </w:rPr>
            </w:pPr>
            <w:r>
              <w:rPr>
                <w:rFonts w:hint="eastAsia" w:ascii="宋体" w:hAnsi="宋体" w:cs="宋体"/>
                <w:color w:val="000000"/>
              </w:rPr>
              <w:t>3</w:t>
            </w:r>
          </w:p>
        </w:tc>
        <w:tc>
          <w:tcPr>
            <w:tcW w:w="2133" w:type="pct"/>
            <w:tcBorders>
              <w:top w:val="nil"/>
              <w:left w:val="nil"/>
              <w:bottom w:val="single" w:color="auto" w:sz="8" w:space="0"/>
              <w:right w:val="single" w:color="auto" w:sz="8" w:space="0"/>
            </w:tcBorders>
            <w:shd w:val="clear" w:color="auto" w:fill="auto"/>
            <w:vAlign w:val="center"/>
          </w:tcPr>
          <w:p w14:paraId="6A7E463D">
            <w:pPr>
              <w:jc w:val="center"/>
              <w:rPr>
                <w:rFonts w:ascii="宋体" w:hAnsi="宋体" w:cs="宋体"/>
                <w:color w:val="000000"/>
              </w:rPr>
            </w:pPr>
            <w:r>
              <w:rPr>
                <w:rFonts w:hint="eastAsia" w:ascii="宋体" w:hAnsi="宋体" w:cs="宋体"/>
                <w:color w:val="000000"/>
              </w:rPr>
              <w:t>日志审计软件</w:t>
            </w:r>
          </w:p>
        </w:tc>
        <w:tc>
          <w:tcPr>
            <w:tcW w:w="1151" w:type="pct"/>
            <w:tcBorders>
              <w:top w:val="nil"/>
              <w:left w:val="nil"/>
              <w:bottom w:val="single" w:color="auto" w:sz="8" w:space="0"/>
              <w:right w:val="single" w:color="auto" w:sz="8" w:space="0"/>
            </w:tcBorders>
            <w:shd w:val="clear" w:color="auto" w:fill="auto"/>
            <w:noWrap/>
            <w:vAlign w:val="bottom"/>
          </w:tcPr>
          <w:p w14:paraId="09598135">
            <w:pPr>
              <w:jc w:val="center"/>
              <w:rPr>
                <w:rFonts w:ascii="宋体" w:hAnsi="宋体" w:cs="宋体"/>
                <w:color w:val="000000"/>
              </w:rPr>
            </w:pPr>
            <w:r>
              <w:rPr>
                <w:rFonts w:hint="eastAsia" w:ascii="宋体" w:hAnsi="宋体" w:cs="宋体"/>
                <w:color w:val="000000"/>
              </w:rPr>
              <w:t>套</w:t>
            </w:r>
          </w:p>
        </w:tc>
        <w:tc>
          <w:tcPr>
            <w:tcW w:w="1149" w:type="pct"/>
            <w:tcBorders>
              <w:top w:val="nil"/>
              <w:left w:val="nil"/>
              <w:bottom w:val="single" w:color="auto" w:sz="8" w:space="0"/>
              <w:right w:val="single" w:color="auto" w:sz="8" w:space="0"/>
            </w:tcBorders>
            <w:shd w:val="clear" w:color="auto" w:fill="auto"/>
            <w:noWrap/>
            <w:vAlign w:val="bottom"/>
          </w:tcPr>
          <w:p w14:paraId="49BE8913">
            <w:pPr>
              <w:jc w:val="center"/>
              <w:rPr>
                <w:rFonts w:ascii="宋体" w:hAnsi="宋体" w:cs="宋体"/>
                <w:color w:val="000000"/>
              </w:rPr>
            </w:pPr>
            <w:r>
              <w:rPr>
                <w:rFonts w:hint="eastAsia" w:ascii="宋体" w:hAnsi="宋体" w:cs="宋体"/>
                <w:color w:val="000000"/>
              </w:rPr>
              <w:t>1</w:t>
            </w:r>
          </w:p>
        </w:tc>
      </w:tr>
      <w:tr w14:paraId="30EE32A5">
        <w:tblPrEx>
          <w:tblCellMar>
            <w:top w:w="0" w:type="dxa"/>
            <w:left w:w="108" w:type="dxa"/>
            <w:bottom w:w="0" w:type="dxa"/>
            <w:right w:w="108" w:type="dxa"/>
          </w:tblCellMar>
        </w:tblPrEx>
        <w:trPr>
          <w:trHeight w:val="292" w:hRule="atLeast"/>
        </w:trPr>
        <w:tc>
          <w:tcPr>
            <w:tcW w:w="565" w:type="pct"/>
            <w:tcBorders>
              <w:top w:val="nil"/>
              <w:left w:val="single" w:color="auto" w:sz="8" w:space="0"/>
              <w:bottom w:val="single" w:color="auto" w:sz="8" w:space="0"/>
              <w:right w:val="single" w:color="auto" w:sz="8" w:space="0"/>
            </w:tcBorders>
            <w:shd w:val="clear" w:color="auto" w:fill="auto"/>
            <w:noWrap/>
            <w:vAlign w:val="center"/>
          </w:tcPr>
          <w:p w14:paraId="0AA900FD">
            <w:pPr>
              <w:jc w:val="center"/>
              <w:rPr>
                <w:rFonts w:ascii="宋体" w:hAnsi="宋体" w:cs="宋体"/>
                <w:color w:val="000000"/>
              </w:rPr>
            </w:pPr>
            <w:r>
              <w:rPr>
                <w:rFonts w:hint="eastAsia" w:ascii="宋体" w:hAnsi="宋体" w:cs="宋体"/>
                <w:color w:val="000000"/>
              </w:rPr>
              <w:t>4</w:t>
            </w:r>
          </w:p>
        </w:tc>
        <w:tc>
          <w:tcPr>
            <w:tcW w:w="2133" w:type="pct"/>
            <w:tcBorders>
              <w:top w:val="nil"/>
              <w:left w:val="nil"/>
              <w:bottom w:val="single" w:color="auto" w:sz="8" w:space="0"/>
              <w:right w:val="single" w:color="auto" w:sz="8" w:space="0"/>
            </w:tcBorders>
            <w:shd w:val="clear" w:color="auto" w:fill="auto"/>
            <w:vAlign w:val="center"/>
          </w:tcPr>
          <w:p w14:paraId="10979020">
            <w:pPr>
              <w:jc w:val="center"/>
              <w:rPr>
                <w:rFonts w:ascii="宋体" w:hAnsi="宋体" w:cs="宋体"/>
                <w:color w:val="000000"/>
              </w:rPr>
            </w:pPr>
            <w:r>
              <w:rPr>
                <w:rFonts w:hint="eastAsia" w:ascii="宋体" w:hAnsi="宋体" w:cs="宋体"/>
                <w:color w:val="000000"/>
              </w:rPr>
              <w:t>运维软件</w:t>
            </w:r>
          </w:p>
        </w:tc>
        <w:tc>
          <w:tcPr>
            <w:tcW w:w="1151" w:type="pct"/>
            <w:tcBorders>
              <w:top w:val="nil"/>
              <w:left w:val="nil"/>
              <w:bottom w:val="single" w:color="auto" w:sz="8" w:space="0"/>
              <w:right w:val="single" w:color="auto" w:sz="8" w:space="0"/>
            </w:tcBorders>
            <w:shd w:val="clear" w:color="auto" w:fill="auto"/>
            <w:noWrap/>
            <w:vAlign w:val="bottom"/>
          </w:tcPr>
          <w:p w14:paraId="2180E788">
            <w:pPr>
              <w:jc w:val="center"/>
              <w:rPr>
                <w:rFonts w:ascii="宋体" w:hAnsi="宋体" w:cs="宋体"/>
                <w:color w:val="000000"/>
              </w:rPr>
            </w:pPr>
            <w:r>
              <w:rPr>
                <w:rFonts w:hint="eastAsia" w:ascii="宋体" w:hAnsi="宋体" w:cs="宋体"/>
                <w:color w:val="000000"/>
              </w:rPr>
              <w:t>套</w:t>
            </w:r>
          </w:p>
        </w:tc>
        <w:tc>
          <w:tcPr>
            <w:tcW w:w="1149" w:type="pct"/>
            <w:tcBorders>
              <w:top w:val="nil"/>
              <w:left w:val="nil"/>
              <w:bottom w:val="single" w:color="auto" w:sz="8" w:space="0"/>
              <w:right w:val="single" w:color="auto" w:sz="8" w:space="0"/>
            </w:tcBorders>
            <w:shd w:val="clear" w:color="auto" w:fill="auto"/>
            <w:noWrap/>
            <w:vAlign w:val="bottom"/>
          </w:tcPr>
          <w:p w14:paraId="693EFFF4">
            <w:pPr>
              <w:jc w:val="center"/>
              <w:rPr>
                <w:rFonts w:ascii="宋体" w:hAnsi="宋体" w:cs="宋体"/>
                <w:color w:val="000000"/>
              </w:rPr>
            </w:pPr>
            <w:r>
              <w:rPr>
                <w:rFonts w:hint="eastAsia" w:ascii="宋体" w:hAnsi="宋体" w:cs="宋体"/>
                <w:color w:val="000000"/>
              </w:rPr>
              <w:t>1</w:t>
            </w:r>
          </w:p>
        </w:tc>
      </w:tr>
    </w:tbl>
    <w:p w14:paraId="3D19B936">
      <w:pPr>
        <w:spacing w:line="360" w:lineRule="auto"/>
        <w:ind w:firstLine="422" w:firstLineChars="200"/>
        <w:rPr>
          <w:rFonts w:ascii="宋体" w:hAnsi="宋体" w:cs="宋体"/>
          <w:b/>
        </w:rPr>
      </w:pPr>
    </w:p>
    <w:p w14:paraId="1EE31B38">
      <w:pPr>
        <w:spacing w:line="360" w:lineRule="auto"/>
        <w:ind w:firstLine="422" w:firstLineChars="200"/>
        <w:rPr>
          <w:rFonts w:ascii="宋体" w:hAnsi="宋体" w:cs="宋体"/>
          <w:b/>
        </w:rPr>
      </w:pPr>
    </w:p>
    <w:p w14:paraId="0997FB94">
      <w:pPr>
        <w:rPr>
          <w:rFonts w:ascii="宋体" w:hAnsi="宋体" w:cs="宋体"/>
          <w:b/>
        </w:rPr>
      </w:pPr>
      <w:r>
        <w:rPr>
          <w:rFonts w:ascii="宋体" w:hAnsi="宋体" w:cs="宋体"/>
          <w:b/>
        </w:rPr>
        <w:br w:type="page"/>
      </w:r>
    </w:p>
    <w:p w14:paraId="269B1424">
      <w:pPr>
        <w:spacing w:line="360" w:lineRule="auto"/>
        <w:ind w:firstLine="422" w:firstLineChars="200"/>
        <w:rPr>
          <w:b/>
          <w:bCs/>
        </w:rPr>
      </w:pPr>
      <w:r>
        <w:rPr>
          <w:rFonts w:hint="eastAsia"/>
          <w:b/>
          <w:bCs/>
        </w:rPr>
        <w:t>技术</w:t>
      </w:r>
      <w:r>
        <w:rPr>
          <w:b/>
          <w:bCs/>
        </w:rPr>
        <w:t>参数要求</w:t>
      </w:r>
      <w:r>
        <w:rPr>
          <w:b/>
          <w:bCs/>
        </w:rPr>
        <w:tab/>
      </w:r>
    </w:p>
    <w:p w14:paraId="26606579">
      <w:pPr>
        <w:spacing w:line="360" w:lineRule="auto"/>
        <w:ind w:firstLine="422" w:firstLineChars="200"/>
        <w:rPr>
          <w:rFonts w:ascii="宋体" w:hAnsi="宋体" w:cs="宋体"/>
          <w:b/>
        </w:rPr>
      </w:pPr>
      <w:r>
        <w:rPr>
          <w:rFonts w:hint="eastAsia" w:ascii="宋体" w:hAnsi="宋体" w:cs="宋体"/>
          <w:b/>
        </w:rPr>
        <w:t>电子政务外网：</w:t>
      </w:r>
    </w:p>
    <w:tbl>
      <w:tblPr>
        <w:tblStyle w:val="28"/>
        <w:tblW w:w="503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2"/>
        <w:gridCol w:w="650"/>
        <w:gridCol w:w="1822"/>
        <w:gridCol w:w="7191"/>
      </w:tblGrid>
      <w:tr w14:paraId="77C11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70" w:type="pct"/>
            <w:shd w:val="clear" w:color="auto" w:fill="auto"/>
            <w:vAlign w:val="center"/>
          </w:tcPr>
          <w:p w14:paraId="5B2195DE">
            <w:pPr>
              <w:jc w:val="center"/>
              <w:rPr>
                <w:rFonts w:ascii="宋体" w:hAnsi="宋体" w:cs="宋体"/>
                <w:b/>
                <w:bCs/>
                <w:color w:val="000000"/>
                <w:sz w:val="20"/>
                <w:szCs w:val="20"/>
              </w:rPr>
            </w:pPr>
            <w:r>
              <w:rPr>
                <w:rFonts w:hint="eastAsia" w:ascii="宋体" w:hAnsi="宋体" w:cs="宋体"/>
                <w:b/>
                <w:bCs/>
                <w:color w:val="000000"/>
                <w:sz w:val="20"/>
                <w:szCs w:val="20"/>
              </w:rPr>
              <w:t>序号</w:t>
            </w:r>
          </w:p>
        </w:tc>
        <w:tc>
          <w:tcPr>
            <w:tcW w:w="1210" w:type="pct"/>
            <w:gridSpan w:val="2"/>
            <w:shd w:val="clear" w:color="auto" w:fill="auto"/>
            <w:vAlign w:val="center"/>
          </w:tcPr>
          <w:p w14:paraId="327F475B">
            <w:pPr>
              <w:jc w:val="center"/>
              <w:rPr>
                <w:rFonts w:ascii="宋体" w:hAnsi="宋体" w:cs="宋体"/>
                <w:b/>
                <w:bCs/>
                <w:color w:val="000000"/>
                <w:sz w:val="20"/>
                <w:szCs w:val="20"/>
              </w:rPr>
            </w:pPr>
            <w:r>
              <w:rPr>
                <w:rFonts w:hint="eastAsia" w:ascii="宋体" w:hAnsi="宋体" w:cs="宋体"/>
                <w:b/>
                <w:bCs/>
                <w:color w:val="000000"/>
                <w:sz w:val="20"/>
                <w:szCs w:val="20"/>
              </w:rPr>
              <w:t>产品名称</w:t>
            </w:r>
          </w:p>
        </w:tc>
        <w:tc>
          <w:tcPr>
            <w:tcW w:w="3520" w:type="pct"/>
            <w:shd w:val="clear" w:color="auto" w:fill="auto"/>
            <w:vAlign w:val="center"/>
          </w:tcPr>
          <w:p w14:paraId="57E14280">
            <w:pPr>
              <w:jc w:val="center"/>
              <w:rPr>
                <w:rFonts w:ascii="宋体" w:hAnsi="宋体" w:cs="宋体"/>
                <w:b/>
                <w:bCs/>
                <w:color w:val="000000"/>
                <w:sz w:val="20"/>
                <w:szCs w:val="20"/>
              </w:rPr>
            </w:pPr>
            <w:r>
              <w:rPr>
                <w:rFonts w:hint="eastAsia" w:ascii="宋体" w:hAnsi="宋体" w:cs="宋体"/>
                <w:b/>
                <w:bCs/>
                <w:color w:val="000000"/>
                <w:sz w:val="20"/>
                <w:szCs w:val="20"/>
              </w:rPr>
              <w:t>技术参数要求</w:t>
            </w:r>
          </w:p>
        </w:tc>
      </w:tr>
      <w:tr w14:paraId="001B9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0" w:hRule="atLeast"/>
        </w:trPr>
        <w:tc>
          <w:tcPr>
            <w:tcW w:w="270" w:type="pct"/>
            <w:vMerge w:val="restart"/>
            <w:shd w:val="clear" w:color="auto" w:fill="auto"/>
            <w:noWrap/>
            <w:vAlign w:val="center"/>
          </w:tcPr>
          <w:p w14:paraId="46970655">
            <w:pPr>
              <w:jc w:val="center"/>
              <w:rPr>
                <w:rFonts w:ascii="宋体" w:hAnsi="宋体" w:cs="宋体"/>
                <w:b/>
                <w:bCs/>
                <w:color w:val="000000"/>
              </w:rPr>
            </w:pPr>
          </w:p>
          <w:p w14:paraId="2ADAC492">
            <w:pPr>
              <w:jc w:val="center"/>
              <w:rPr>
                <w:rFonts w:ascii="宋体" w:hAnsi="宋体" w:cs="宋体"/>
                <w:b/>
                <w:bCs/>
                <w:color w:val="000000"/>
              </w:rPr>
            </w:pPr>
            <w:r>
              <w:rPr>
                <w:rFonts w:hint="eastAsia" w:ascii="宋体" w:hAnsi="宋体" w:cs="宋体"/>
                <w:b/>
                <w:bCs/>
                <w:color w:val="000000"/>
              </w:rPr>
              <w:t>1</w:t>
            </w:r>
          </w:p>
          <w:p w14:paraId="25B3D8C7">
            <w:pPr>
              <w:jc w:val="center"/>
              <w:rPr>
                <w:rFonts w:ascii="宋体" w:hAnsi="宋体" w:cs="宋体"/>
                <w:b/>
                <w:bCs/>
                <w:color w:val="000000"/>
              </w:rPr>
            </w:pPr>
          </w:p>
        </w:tc>
        <w:tc>
          <w:tcPr>
            <w:tcW w:w="318" w:type="pct"/>
            <w:vMerge w:val="restart"/>
            <w:shd w:val="clear" w:color="auto" w:fill="auto"/>
            <w:vAlign w:val="center"/>
          </w:tcPr>
          <w:p w14:paraId="7F90058F">
            <w:pPr>
              <w:jc w:val="center"/>
              <w:rPr>
                <w:rFonts w:ascii="宋体" w:hAnsi="宋体" w:cs="宋体"/>
                <w:b/>
                <w:bCs/>
                <w:color w:val="000000"/>
              </w:rPr>
            </w:pPr>
            <w:r>
              <w:rPr>
                <w:rFonts w:hint="eastAsia" w:ascii="宋体" w:hAnsi="宋体" w:cs="宋体"/>
                <w:b/>
                <w:bCs/>
                <w:color w:val="000000"/>
              </w:rPr>
              <w:t>安</w:t>
            </w:r>
          </w:p>
          <w:p w14:paraId="533232CA">
            <w:pPr>
              <w:jc w:val="center"/>
              <w:rPr>
                <w:rFonts w:ascii="宋体" w:hAnsi="宋体" w:cs="宋体"/>
                <w:b/>
                <w:bCs/>
                <w:color w:val="000000"/>
              </w:rPr>
            </w:pPr>
            <w:r>
              <w:rPr>
                <w:rFonts w:hint="eastAsia" w:ascii="宋体" w:hAnsi="宋体" w:cs="宋体"/>
                <w:b/>
                <w:bCs/>
                <w:color w:val="000000"/>
              </w:rPr>
              <w:t>全</w:t>
            </w:r>
          </w:p>
          <w:p w14:paraId="47D34254">
            <w:pPr>
              <w:jc w:val="center"/>
              <w:rPr>
                <w:rFonts w:ascii="宋体" w:hAnsi="宋体" w:cs="宋体"/>
                <w:b/>
                <w:bCs/>
                <w:color w:val="000000"/>
              </w:rPr>
            </w:pPr>
            <w:r>
              <w:rPr>
                <w:rFonts w:hint="eastAsia" w:ascii="宋体" w:hAnsi="宋体" w:cs="宋体"/>
                <w:b/>
                <w:bCs/>
                <w:color w:val="000000"/>
              </w:rPr>
              <w:t>服</w:t>
            </w:r>
          </w:p>
          <w:p w14:paraId="0EA46D48">
            <w:pPr>
              <w:jc w:val="center"/>
              <w:rPr>
                <w:rFonts w:ascii="宋体" w:hAnsi="宋体" w:cs="宋体"/>
                <w:b/>
                <w:bCs/>
                <w:color w:val="000000"/>
                <w:sz w:val="20"/>
                <w:szCs w:val="20"/>
              </w:rPr>
            </w:pPr>
            <w:r>
              <w:rPr>
                <w:rFonts w:hint="eastAsia" w:ascii="宋体" w:hAnsi="宋体" w:cs="宋体"/>
                <w:b/>
                <w:bCs/>
                <w:color w:val="000000"/>
              </w:rPr>
              <w:t>务</w:t>
            </w:r>
          </w:p>
        </w:tc>
        <w:tc>
          <w:tcPr>
            <w:tcW w:w="892" w:type="pct"/>
            <w:shd w:val="clear" w:color="auto" w:fill="auto"/>
            <w:vAlign w:val="center"/>
          </w:tcPr>
          <w:p w14:paraId="550111B0">
            <w:pPr>
              <w:jc w:val="center"/>
              <w:rPr>
                <w:rFonts w:ascii="宋体" w:hAnsi="宋体" w:cs="宋体"/>
                <w:b/>
                <w:bCs/>
                <w:color w:val="000000"/>
                <w:sz w:val="20"/>
                <w:szCs w:val="20"/>
              </w:rPr>
            </w:pPr>
            <w:r>
              <w:rPr>
                <w:rFonts w:hint="eastAsia" w:ascii="宋体" w:hAnsi="宋体" w:cs="宋体"/>
                <w:b/>
                <w:bCs/>
                <w:color w:val="000000"/>
                <w:sz w:val="20"/>
                <w:szCs w:val="20"/>
              </w:rPr>
              <w:t>核心路由器</w:t>
            </w:r>
          </w:p>
        </w:tc>
        <w:tc>
          <w:tcPr>
            <w:tcW w:w="3520" w:type="pct"/>
            <w:shd w:val="clear" w:color="auto" w:fill="auto"/>
            <w:vAlign w:val="center"/>
          </w:tcPr>
          <w:p w14:paraId="25105F10">
            <w:pPr>
              <w:rPr>
                <w:rFonts w:ascii="宋体" w:hAnsi="宋体" w:cs="宋体"/>
                <w:sz w:val="20"/>
                <w:szCs w:val="20"/>
              </w:rPr>
            </w:pPr>
            <w:r>
              <w:rPr>
                <w:rFonts w:hint="eastAsia" w:ascii="宋体" w:hAnsi="宋体" w:cs="宋体"/>
                <w:sz w:val="20"/>
                <w:szCs w:val="20"/>
              </w:rPr>
              <w:t>要求支持主控引擎≥2，采用无阻塞交换架构，支持主控转发分离.</w:t>
            </w:r>
            <w:r>
              <w:rPr>
                <w:rFonts w:hint="eastAsia" w:ascii="宋体" w:hAnsi="宋体" w:cs="宋体"/>
                <w:sz w:val="20"/>
                <w:szCs w:val="20"/>
              </w:rPr>
              <w:br w:type="textWrapping"/>
            </w:r>
            <w:r>
              <w:rPr>
                <w:rFonts w:hint="eastAsia" w:ascii="宋体" w:hAnsi="宋体" w:cs="宋体"/>
                <w:sz w:val="20"/>
                <w:szCs w:val="20"/>
              </w:rPr>
              <w:t>业务插槽数量≥12个</w:t>
            </w:r>
            <w:r>
              <w:rPr>
                <w:rFonts w:hint="eastAsia" w:ascii="宋体" w:hAnsi="宋体" w:cs="宋体"/>
                <w:sz w:val="20"/>
                <w:szCs w:val="20"/>
              </w:rPr>
              <w:br w:type="textWrapping"/>
            </w:r>
            <w:r>
              <w:rPr>
                <w:rFonts w:hint="eastAsia" w:ascii="宋体" w:hAnsi="宋体" w:cs="宋体"/>
                <w:sz w:val="20"/>
                <w:szCs w:val="20"/>
              </w:rPr>
              <w:t>配置GE光口数量≥10，且非主控自带的接口。支持并内置冗余电源模块。</w:t>
            </w:r>
            <w:r>
              <w:rPr>
                <w:rFonts w:hint="eastAsia" w:ascii="宋体" w:hAnsi="宋体" w:cs="宋体"/>
                <w:sz w:val="20"/>
                <w:szCs w:val="20"/>
              </w:rPr>
              <w:br w:type="textWrapping"/>
            </w:r>
            <w:r>
              <w:rPr>
                <w:rFonts w:hint="eastAsia" w:ascii="宋体" w:hAnsi="宋体" w:cs="宋体"/>
                <w:sz w:val="20"/>
                <w:szCs w:val="20"/>
              </w:rPr>
              <w:t>支持并实配支持L2TP、IPSec VPN、GRE VPN、DMVPN功能。</w:t>
            </w:r>
            <w:r>
              <w:rPr>
                <w:rFonts w:hint="eastAsia" w:ascii="宋体" w:hAnsi="宋体" w:cs="宋体"/>
                <w:sz w:val="20"/>
                <w:szCs w:val="20"/>
              </w:rPr>
              <w:br w:type="textWrapping"/>
            </w:r>
            <w:r>
              <w:rPr>
                <w:rFonts w:hint="eastAsia" w:ascii="宋体" w:hAnsi="宋体" w:cs="宋体"/>
                <w:sz w:val="20"/>
                <w:szCs w:val="20"/>
              </w:rPr>
              <w:t>支持并配置MPLS L2VPN、MPLS L3VPN、MPLS QoS、MPLS 组播VPN功能。</w:t>
            </w:r>
            <w:r>
              <w:rPr>
                <w:rFonts w:hint="eastAsia" w:ascii="宋体" w:hAnsi="宋体" w:cs="宋体"/>
                <w:sz w:val="20"/>
                <w:szCs w:val="20"/>
              </w:rPr>
              <w:br w:type="textWrapping"/>
            </w:r>
            <w:r>
              <w:rPr>
                <w:rFonts w:hint="eastAsia" w:ascii="宋体" w:hAnsi="宋体" w:cs="宋体"/>
                <w:sz w:val="20"/>
                <w:szCs w:val="20"/>
              </w:rPr>
              <w:t>1.路由、交换、防火墙、DPI、NAT、BRAS等功能，可根据实际业务需求加载各种功能。</w:t>
            </w:r>
            <w:r>
              <w:rPr>
                <w:rFonts w:hint="eastAsia" w:ascii="宋体" w:hAnsi="宋体" w:cs="宋体"/>
                <w:sz w:val="20"/>
                <w:szCs w:val="20"/>
              </w:rPr>
              <w:br w:type="textWrapping"/>
            </w:r>
            <w:r>
              <w:rPr>
                <w:rFonts w:hint="eastAsia" w:ascii="宋体" w:hAnsi="宋体" w:cs="宋体"/>
                <w:sz w:val="20"/>
                <w:szCs w:val="20"/>
              </w:rPr>
              <w:t>支持并配置Telnet、SSH管理模式；支持并配置CLI、SNMP v1/v2/v3、RMON 1/2/3/9；支持并配置Syslog日志功能。</w:t>
            </w:r>
            <w:r>
              <w:rPr>
                <w:rFonts w:hint="eastAsia" w:ascii="宋体" w:hAnsi="宋体" w:cs="宋体"/>
                <w:sz w:val="20"/>
                <w:szCs w:val="20"/>
              </w:rPr>
              <w:br w:type="textWrapping"/>
            </w:r>
            <w:r>
              <w:rPr>
                <w:rFonts w:hint="eastAsia" w:ascii="宋体" w:hAnsi="宋体" w:cs="宋体"/>
                <w:sz w:val="20"/>
                <w:szCs w:val="20"/>
              </w:rPr>
              <w:t>支持MAC管理、VLAN、QinQ、SuperVLAN、Smartgroup 、PPP、PPPOE、HDLC、FR。</w:t>
            </w:r>
            <w:r>
              <w:rPr>
                <w:rFonts w:hint="eastAsia" w:ascii="宋体" w:hAnsi="宋体" w:cs="宋体"/>
                <w:sz w:val="20"/>
                <w:szCs w:val="20"/>
              </w:rPr>
              <w:br w:type="textWrapping"/>
            </w:r>
            <w:r>
              <w:rPr>
                <w:rFonts w:hint="eastAsia" w:ascii="宋体" w:hAnsi="宋体" w:cs="宋体"/>
                <w:sz w:val="20"/>
                <w:szCs w:val="20"/>
              </w:rPr>
              <w:t>支持MPLS L3 VPN、VPLS/HVPLS、PWE3、Inter-AS Option A/B/C、6vPE；</w:t>
            </w:r>
            <w:r>
              <w:rPr>
                <w:rFonts w:hint="eastAsia" w:ascii="宋体" w:hAnsi="宋体" w:cs="宋体"/>
                <w:sz w:val="20"/>
                <w:szCs w:val="20"/>
              </w:rPr>
              <w:br w:type="textWrapping"/>
            </w:r>
            <w:r>
              <w:rPr>
                <w:rFonts w:hint="eastAsia" w:ascii="宋体" w:hAnsi="宋体" w:cs="宋体"/>
                <w:sz w:val="20"/>
                <w:szCs w:val="20"/>
              </w:rPr>
              <w:t>2.支持流分类、标记、优先级继承和映射、流量整形/限速;PQ,CQ,WFQ,CBWFQ 和基于物理端口的流量调度;基于时间段的 QoS;层次化 QoS 机制。</w:t>
            </w:r>
            <w:r>
              <w:rPr>
                <w:rFonts w:hint="eastAsia" w:ascii="宋体" w:hAnsi="宋体" w:cs="宋体"/>
                <w:sz w:val="20"/>
                <w:szCs w:val="20"/>
              </w:rPr>
              <w:br w:type="textWrapping"/>
            </w:r>
            <w:r>
              <w:rPr>
                <w:rFonts w:hint="eastAsia" w:ascii="宋体" w:hAnsi="宋体" w:cs="宋体"/>
                <w:sz w:val="20"/>
                <w:szCs w:val="20"/>
              </w:rPr>
              <w:t>支持关键组件冗余设计、单板热插拔、BFD,FRR 和 VRRP 技术、SDC智能拨号链路冗余备份等</w:t>
            </w:r>
          </w:p>
        </w:tc>
      </w:tr>
      <w:tr w14:paraId="46C7D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270" w:type="pct"/>
            <w:vMerge w:val="continue"/>
            <w:shd w:val="clear" w:color="auto" w:fill="auto"/>
            <w:noWrap/>
            <w:vAlign w:val="center"/>
          </w:tcPr>
          <w:p w14:paraId="3EBA8F62">
            <w:pPr>
              <w:jc w:val="center"/>
              <w:rPr>
                <w:rFonts w:ascii="宋体" w:hAnsi="宋体" w:cs="宋体"/>
                <w:b/>
                <w:bCs/>
                <w:color w:val="000000"/>
              </w:rPr>
            </w:pPr>
          </w:p>
        </w:tc>
        <w:tc>
          <w:tcPr>
            <w:tcW w:w="318" w:type="pct"/>
            <w:vMerge w:val="continue"/>
            <w:shd w:val="clear" w:color="auto" w:fill="auto"/>
            <w:vAlign w:val="center"/>
          </w:tcPr>
          <w:p w14:paraId="161B709B">
            <w:pPr>
              <w:jc w:val="center"/>
              <w:rPr>
                <w:rFonts w:ascii="宋体" w:hAnsi="宋体" w:cs="宋体"/>
                <w:b/>
                <w:bCs/>
                <w:color w:val="000000"/>
                <w:sz w:val="20"/>
                <w:szCs w:val="20"/>
              </w:rPr>
            </w:pPr>
          </w:p>
        </w:tc>
        <w:tc>
          <w:tcPr>
            <w:tcW w:w="892" w:type="pct"/>
            <w:shd w:val="clear" w:color="auto" w:fill="auto"/>
            <w:vAlign w:val="center"/>
          </w:tcPr>
          <w:p w14:paraId="35BBAF8B">
            <w:pPr>
              <w:jc w:val="center"/>
              <w:rPr>
                <w:rFonts w:ascii="宋体" w:hAnsi="宋体" w:cs="宋体"/>
                <w:b/>
                <w:bCs/>
                <w:color w:val="000000"/>
                <w:sz w:val="20"/>
                <w:szCs w:val="20"/>
              </w:rPr>
            </w:pPr>
            <w:r>
              <w:rPr>
                <w:rFonts w:hint="eastAsia" w:ascii="宋体" w:hAnsi="宋体" w:cs="宋体"/>
                <w:b/>
                <w:bCs/>
                <w:color w:val="000000"/>
                <w:sz w:val="20"/>
                <w:szCs w:val="20"/>
              </w:rPr>
              <w:t>核心交换机</w:t>
            </w:r>
          </w:p>
        </w:tc>
        <w:tc>
          <w:tcPr>
            <w:tcW w:w="3520" w:type="pct"/>
            <w:shd w:val="clear" w:color="auto" w:fill="auto"/>
            <w:vAlign w:val="center"/>
          </w:tcPr>
          <w:p w14:paraId="7C4A3B0A">
            <w:pPr>
              <w:rPr>
                <w:rFonts w:ascii="宋体" w:hAnsi="宋体" w:cs="宋体"/>
                <w:sz w:val="20"/>
                <w:szCs w:val="20"/>
              </w:rPr>
            </w:pPr>
            <w:r>
              <w:rPr>
                <w:rFonts w:hint="eastAsia" w:ascii="宋体" w:hAnsi="宋体" w:cs="宋体"/>
                <w:sz w:val="20"/>
                <w:szCs w:val="20"/>
              </w:rPr>
              <w:t>采用无阻塞交换架构，支持主控转发分离。</w:t>
            </w:r>
            <w:r>
              <w:rPr>
                <w:rFonts w:hint="eastAsia" w:ascii="宋体" w:hAnsi="宋体" w:cs="宋体"/>
                <w:sz w:val="20"/>
                <w:szCs w:val="20"/>
              </w:rPr>
              <w:br w:type="textWrapping"/>
            </w:r>
            <w:r>
              <w:rPr>
                <w:rFonts w:hint="eastAsia" w:ascii="宋体" w:hAnsi="宋体" w:cs="宋体"/>
                <w:sz w:val="20"/>
                <w:szCs w:val="20"/>
              </w:rPr>
              <w:t>机架式设备，高度≥5U，包转发率≥3600Mpps，总插槽数≥7，业务插槽数量≥5个；背板交换容量≥15Tbps。</w:t>
            </w:r>
            <w:r>
              <w:rPr>
                <w:rFonts w:hint="eastAsia" w:ascii="宋体" w:hAnsi="宋体" w:cs="宋体"/>
                <w:sz w:val="20"/>
                <w:szCs w:val="20"/>
              </w:rPr>
              <w:br w:type="textWrapping"/>
            </w:r>
            <w:r>
              <w:rPr>
                <w:rFonts w:hint="eastAsia" w:ascii="宋体" w:hAnsi="宋体" w:cs="宋体"/>
                <w:sz w:val="20"/>
                <w:szCs w:val="20"/>
              </w:rPr>
              <w:t>配置GE光口数量≥5，GE电口数量≥20。配置冗余电源模块。</w:t>
            </w:r>
            <w:r>
              <w:rPr>
                <w:rFonts w:hint="eastAsia" w:ascii="宋体" w:hAnsi="宋体" w:cs="宋体"/>
                <w:sz w:val="20"/>
                <w:szCs w:val="20"/>
              </w:rPr>
              <w:br w:type="textWrapping"/>
            </w:r>
            <w:r>
              <w:rPr>
                <w:rFonts w:hint="eastAsia" w:ascii="宋体" w:hAnsi="宋体" w:cs="宋体"/>
                <w:sz w:val="20"/>
                <w:szCs w:val="20"/>
              </w:rPr>
              <w:t>支持并实配支持L2TP、IPSec VPN、GRE VPN、DMVPN功能。</w:t>
            </w:r>
            <w:r>
              <w:rPr>
                <w:rFonts w:hint="eastAsia" w:ascii="宋体" w:hAnsi="宋体" w:cs="宋体"/>
                <w:sz w:val="20"/>
                <w:szCs w:val="20"/>
              </w:rPr>
              <w:br w:type="textWrapping"/>
            </w:r>
            <w:r>
              <w:rPr>
                <w:rFonts w:hint="eastAsia" w:ascii="宋体" w:hAnsi="宋体" w:cs="宋体"/>
                <w:sz w:val="20"/>
                <w:szCs w:val="20"/>
              </w:rPr>
              <w:t xml:space="preserve">支持并实配防火墙功能，可提供状态检测、攻击防御、URL过滤等多种安全特性。 </w:t>
            </w:r>
            <w:r>
              <w:rPr>
                <w:rFonts w:hint="eastAsia" w:ascii="宋体" w:hAnsi="宋体" w:cs="宋体"/>
                <w:sz w:val="20"/>
                <w:szCs w:val="20"/>
              </w:rPr>
              <w:br w:type="textWrapping"/>
            </w:r>
            <w:r>
              <w:rPr>
                <w:rFonts w:hint="eastAsia" w:ascii="宋体" w:hAnsi="宋体" w:cs="宋体"/>
                <w:sz w:val="20"/>
                <w:szCs w:val="20"/>
              </w:rPr>
              <w:t>支持并配置静态路由、等价路由、策略路由；支持并可配置RIPv1/v2、BGPv4、BGP4+等路由协议。</w:t>
            </w:r>
            <w:r>
              <w:rPr>
                <w:rFonts w:hint="eastAsia" w:ascii="宋体" w:hAnsi="宋体" w:cs="宋体"/>
                <w:sz w:val="20"/>
                <w:szCs w:val="20"/>
              </w:rPr>
              <w:br w:type="textWrapping"/>
            </w:r>
            <w:r>
              <w:rPr>
                <w:rFonts w:hint="eastAsia" w:ascii="宋体" w:hAnsi="宋体" w:cs="宋体"/>
                <w:sz w:val="20"/>
                <w:szCs w:val="20"/>
              </w:rPr>
              <w:t>支持并配置MPLS L2VPN、MPLS L3VPN、MPLS QoS、MPLS 组播VPN功能。</w:t>
            </w:r>
            <w:r>
              <w:rPr>
                <w:rFonts w:hint="eastAsia" w:ascii="宋体" w:hAnsi="宋体" w:cs="宋体"/>
                <w:sz w:val="20"/>
                <w:szCs w:val="20"/>
              </w:rPr>
              <w:br w:type="textWrapping"/>
            </w:r>
            <w:r>
              <w:rPr>
                <w:rFonts w:hint="eastAsia" w:ascii="宋体" w:hAnsi="宋体" w:cs="宋体"/>
                <w:sz w:val="20"/>
                <w:szCs w:val="20"/>
              </w:rPr>
              <w:t>3.支持基于 802.1P，IPDSCP，MPLSEXP的优先级标记、改写和映射，每端口支持8个硬件队列，SP、WRR、SP+WRR 等队列调度机制，基于端口/流的带宽管理，尾丢弃、WRED 等抵塞避免机制。</w:t>
            </w:r>
            <w:r>
              <w:rPr>
                <w:rFonts w:hint="eastAsia" w:ascii="宋体" w:hAnsi="宋体" w:cs="宋体"/>
                <w:sz w:val="20"/>
                <w:szCs w:val="20"/>
              </w:rPr>
              <w:br w:type="textWrapping"/>
            </w:r>
            <w:r>
              <w:rPr>
                <w:rFonts w:hint="eastAsia" w:ascii="宋体" w:hAnsi="宋体" w:cs="宋体"/>
                <w:sz w:val="20"/>
                <w:szCs w:val="20"/>
              </w:rPr>
              <w:t>支持并配置Telnet、SSH管理模式；支持并配置CLI、SNMP v1/v2/v3、RMON 1/2/3/9。</w:t>
            </w:r>
            <w:r>
              <w:rPr>
                <w:rFonts w:hint="eastAsia" w:ascii="宋体" w:hAnsi="宋体" w:cs="宋体"/>
                <w:sz w:val="20"/>
                <w:szCs w:val="20"/>
              </w:rPr>
              <w:br w:type="textWrapping"/>
            </w:r>
            <w:r>
              <w:rPr>
                <w:rFonts w:hint="eastAsia" w:ascii="宋体" w:hAnsi="宋体" w:cs="宋体"/>
                <w:sz w:val="20"/>
                <w:szCs w:val="20"/>
              </w:rPr>
              <w:t>支持IEEE802.1q ，VLAN数≥4K，支持QinQ和灵活QinQ等功能。</w:t>
            </w:r>
            <w:r>
              <w:rPr>
                <w:rFonts w:hint="eastAsia" w:ascii="宋体" w:hAnsi="宋体" w:cs="宋体"/>
                <w:sz w:val="20"/>
                <w:szCs w:val="20"/>
              </w:rPr>
              <w:br w:type="textWrapping"/>
            </w:r>
            <w:r>
              <w:rPr>
                <w:rFonts w:hint="eastAsia" w:ascii="宋体" w:hAnsi="宋体" w:cs="宋体"/>
                <w:sz w:val="20"/>
                <w:szCs w:val="20"/>
              </w:rPr>
              <w:t>支持并配置Syslog日志功能。</w:t>
            </w:r>
            <w:r>
              <w:rPr>
                <w:rFonts w:hint="eastAsia" w:ascii="宋体" w:hAnsi="宋体" w:cs="宋体"/>
                <w:sz w:val="20"/>
                <w:szCs w:val="20"/>
              </w:rPr>
              <w:br w:type="textWrapping"/>
            </w:r>
            <w:r>
              <w:rPr>
                <w:rFonts w:hint="eastAsia" w:ascii="宋体" w:hAnsi="宋体" w:cs="宋体"/>
                <w:sz w:val="20"/>
                <w:szCs w:val="20"/>
              </w:rPr>
              <w:t xml:space="preserve">支持IP+MAC+PORT的绑定 </w:t>
            </w:r>
            <w:r>
              <w:rPr>
                <w:rFonts w:hint="eastAsia" w:ascii="宋体" w:hAnsi="宋体" w:cs="宋体"/>
                <w:sz w:val="20"/>
                <w:szCs w:val="20"/>
              </w:rPr>
              <w:br w:type="textWrapping"/>
            </w:r>
            <w:r>
              <w:rPr>
                <w:rFonts w:hint="eastAsia" w:ascii="宋体" w:hAnsi="宋体" w:cs="宋体"/>
                <w:sz w:val="20"/>
                <w:szCs w:val="20"/>
              </w:rPr>
              <w:t xml:space="preserve">支持SNMP v1/v2/v3 和RMON </w:t>
            </w:r>
            <w:r>
              <w:rPr>
                <w:rFonts w:hint="eastAsia" w:ascii="宋体" w:hAnsi="宋体" w:cs="宋体"/>
                <w:sz w:val="20"/>
                <w:szCs w:val="20"/>
              </w:rPr>
              <w:br w:type="textWrapping"/>
            </w:r>
            <w:r>
              <w:rPr>
                <w:rFonts w:hint="eastAsia" w:ascii="宋体" w:hAnsi="宋体" w:cs="宋体"/>
                <w:sz w:val="20"/>
                <w:szCs w:val="20"/>
              </w:rPr>
              <w:t xml:space="preserve">支持Console/Telnet管理 </w:t>
            </w:r>
            <w:r>
              <w:rPr>
                <w:rFonts w:hint="eastAsia" w:ascii="宋体" w:hAnsi="宋体" w:cs="宋体"/>
                <w:sz w:val="20"/>
                <w:szCs w:val="20"/>
              </w:rPr>
              <w:br w:type="textWrapping"/>
            </w:r>
            <w:r>
              <w:rPr>
                <w:rFonts w:hint="eastAsia" w:ascii="宋体" w:hAnsi="宋体" w:cs="宋体"/>
                <w:sz w:val="20"/>
                <w:szCs w:val="20"/>
              </w:rPr>
              <w:t>支持SSH2.0管理；</w:t>
            </w:r>
          </w:p>
        </w:tc>
      </w:tr>
      <w:tr w14:paraId="24D6B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1" w:hRule="atLeast"/>
        </w:trPr>
        <w:tc>
          <w:tcPr>
            <w:tcW w:w="270" w:type="pct"/>
            <w:vMerge w:val="continue"/>
            <w:shd w:val="clear" w:color="auto" w:fill="auto"/>
            <w:noWrap/>
            <w:vAlign w:val="center"/>
          </w:tcPr>
          <w:p w14:paraId="7C6D98BA">
            <w:pPr>
              <w:jc w:val="center"/>
              <w:rPr>
                <w:rFonts w:ascii="宋体" w:hAnsi="宋体" w:cs="宋体"/>
                <w:b/>
                <w:bCs/>
                <w:color w:val="000000"/>
              </w:rPr>
            </w:pPr>
          </w:p>
        </w:tc>
        <w:tc>
          <w:tcPr>
            <w:tcW w:w="318" w:type="pct"/>
            <w:vMerge w:val="continue"/>
            <w:shd w:val="clear" w:color="auto" w:fill="auto"/>
            <w:noWrap/>
            <w:vAlign w:val="center"/>
          </w:tcPr>
          <w:p w14:paraId="138920FE">
            <w:pPr>
              <w:jc w:val="center"/>
              <w:rPr>
                <w:rFonts w:ascii="宋体" w:hAnsi="宋体" w:cs="宋体"/>
                <w:b/>
                <w:bCs/>
                <w:color w:val="000000"/>
              </w:rPr>
            </w:pPr>
          </w:p>
        </w:tc>
        <w:tc>
          <w:tcPr>
            <w:tcW w:w="892" w:type="pct"/>
            <w:shd w:val="clear" w:color="auto" w:fill="auto"/>
            <w:vAlign w:val="center"/>
          </w:tcPr>
          <w:p w14:paraId="0EC368D9">
            <w:pPr>
              <w:jc w:val="center"/>
              <w:rPr>
                <w:rFonts w:ascii="宋体" w:hAnsi="宋体" w:cs="宋体"/>
                <w:b/>
                <w:bCs/>
                <w:color w:val="000000"/>
                <w:sz w:val="20"/>
                <w:szCs w:val="20"/>
              </w:rPr>
            </w:pPr>
            <w:r>
              <w:rPr>
                <w:rFonts w:hint="eastAsia" w:ascii="宋体" w:hAnsi="宋体" w:cs="宋体"/>
                <w:b/>
                <w:bCs/>
                <w:color w:val="000000"/>
                <w:sz w:val="20"/>
                <w:szCs w:val="20"/>
              </w:rPr>
              <w:t>出口防火墙</w:t>
            </w:r>
          </w:p>
        </w:tc>
        <w:tc>
          <w:tcPr>
            <w:tcW w:w="3520" w:type="pct"/>
            <w:shd w:val="clear" w:color="000000" w:fill="FFFFFF"/>
            <w:vAlign w:val="center"/>
          </w:tcPr>
          <w:p w14:paraId="1780451F">
            <w:pPr>
              <w:rPr>
                <w:rFonts w:ascii="宋体" w:hAnsi="宋体" w:cs="宋体"/>
                <w:color w:val="000000"/>
                <w:sz w:val="20"/>
                <w:szCs w:val="20"/>
              </w:rPr>
            </w:pPr>
            <w:r>
              <w:rPr>
                <w:rFonts w:hint="eastAsia" w:ascii="宋体" w:hAnsi="宋体" w:cs="宋体"/>
                <w:color w:val="000000"/>
                <w:sz w:val="20"/>
                <w:szCs w:val="20"/>
              </w:rPr>
              <w:t>为保证防火墙运行的稳定性和处理能力，要求设备采用非X86架构对各项安全功能进行加速优化处理。</w:t>
            </w:r>
            <w:r>
              <w:rPr>
                <w:rFonts w:hint="eastAsia" w:ascii="宋体" w:hAnsi="宋体" w:cs="宋体"/>
                <w:color w:val="000000"/>
                <w:sz w:val="20"/>
                <w:szCs w:val="20"/>
              </w:rPr>
              <w:br w:type="textWrapping"/>
            </w:r>
            <w:r>
              <w:rPr>
                <w:rFonts w:hint="eastAsia" w:ascii="宋体" w:hAnsi="宋体" w:cs="宋体"/>
                <w:color w:val="000000"/>
                <w:sz w:val="20"/>
                <w:szCs w:val="20"/>
              </w:rPr>
              <w:t>要求固化千兆电口数量≥10个；固化千兆光口数量≥8个；为保障接口稳定性，所投产品必须是固化接口，而非板卡接口。</w:t>
            </w:r>
            <w:r>
              <w:rPr>
                <w:rFonts w:hint="eastAsia" w:ascii="宋体" w:hAnsi="宋体" w:cs="宋体"/>
                <w:color w:val="000000"/>
                <w:sz w:val="20"/>
                <w:szCs w:val="20"/>
              </w:rPr>
              <w:br w:type="textWrapping"/>
            </w:r>
            <w:r>
              <w:rPr>
                <w:rFonts w:hint="eastAsia" w:ascii="宋体" w:hAnsi="宋体" w:cs="宋体"/>
                <w:color w:val="000000"/>
                <w:sz w:val="20"/>
                <w:szCs w:val="20"/>
              </w:rPr>
              <w:t>"IPSEC VPN隧道数≥2000，设备本身要求自带200个VPN授权；</w:t>
            </w:r>
            <w:r>
              <w:rPr>
                <w:rFonts w:hint="eastAsia" w:ascii="宋体" w:hAnsi="宋体" w:cs="宋体"/>
                <w:color w:val="000000"/>
                <w:sz w:val="20"/>
                <w:szCs w:val="20"/>
              </w:rPr>
              <w:br w:type="textWrapping"/>
            </w:r>
            <w:r>
              <w:rPr>
                <w:rFonts w:hint="eastAsia" w:ascii="宋体" w:hAnsi="宋体" w:cs="宋体"/>
                <w:color w:val="000000"/>
                <w:sz w:val="20"/>
                <w:szCs w:val="20"/>
              </w:rPr>
              <w:t>SSL VPN并发用户数≥500，设备本身要求自带200个VPN授权；"</w:t>
            </w:r>
            <w:r>
              <w:rPr>
                <w:rFonts w:hint="eastAsia" w:ascii="宋体" w:hAnsi="宋体" w:cs="宋体"/>
                <w:color w:val="000000"/>
                <w:sz w:val="20"/>
                <w:szCs w:val="20"/>
              </w:rPr>
              <w:br w:type="textWrapping"/>
            </w:r>
            <w:r>
              <w:rPr>
                <w:rFonts w:hint="eastAsia" w:ascii="宋体" w:hAnsi="宋体" w:cs="宋体"/>
                <w:color w:val="000000"/>
                <w:sz w:val="20"/>
                <w:szCs w:val="20"/>
              </w:rPr>
              <w:t>支持路由模式、透明（网桥模式）、混合模式，要求支持虚拟防火墙，且每个虚拟防火墙独立管理；为保障不同业务不同安全策略，要求支持每个虚拟防火墙能进行路由表、策略、VPN等设置；能够在虚拟系统中应用所有安全特性。</w:t>
            </w:r>
            <w:r>
              <w:rPr>
                <w:rFonts w:hint="eastAsia" w:ascii="宋体" w:hAnsi="宋体" w:cs="宋体"/>
                <w:color w:val="000000"/>
                <w:sz w:val="20"/>
                <w:szCs w:val="20"/>
              </w:rPr>
              <w:br w:type="textWrapping"/>
            </w:r>
            <w:r>
              <w:rPr>
                <w:rFonts w:hint="eastAsia" w:ascii="宋体" w:hAnsi="宋体" w:cs="宋体"/>
                <w:color w:val="000000"/>
                <w:sz w:val="20"/>
                <w:szCs w:val="20"/>
              </w:rPr>
              <w:t>支持不同虚拟防火墙之间数据路由和透明转发模式；</w:t>
            </w:r>
            <w:r>
              <w:rPr>
                <w:rFonts w:hint="eastAsia" w:ascii="宋体" w:hAnsi="宋体" w:cs="宋体"/>
                <w:color w:val="000000"/>
                <w:sz w:val="20"/>
                <w:szCs w:val="20"/>
              </w:rPr>
              <w:br w:type="textWrapping"/>
            </w:r>
            <w:r>
              <w:rPr>
                <w:rFonts w:hint="eastAsia" w:ascii="宋体" w:hAnsi="宋体" w:cs="宋体"/>
                <w:color w:val="000000"/>
                <w:sz w:val="20"/>
                <w:szCs w:val="20"/>
              </w:rPr>
              <w:t>支持等值路由（ECMP），并支持链路权重设置。支持主-备和主-主HA方案。双机热备要能支持多种组网形式，确保可靠性，并且数据接口和心跳线支持冗余。</w:t>
            </w:r>
            <w:r>
              <w:rPr>
                <w:rFonts w:hint="eastAsia" w:ascii="宋体" w:hAnsi="宋体" w:cs="宋体"/>
                <w:color w:val="000000"/>
                <w:sz w:val="20"/>
                <w:szCs w:val="20"/>
              </w:rPr>
              <w:br w:type="textWrapping"/>
            </w:r>
            <w:r>
              <w:rPr>
                <w:rFonts w:hint="eastAsia" w:ascii="宋体" w:hAnsi="宋体" w:cs="宋体"/>
                <w:color w:val="000000"/>
                <w:sz w:val="20"/>
                <w:szCs w:val="20"/>
              </w:rPr>
              <w:t>支持状态检测、包过滤、深度应用层检测；支持SYN Flood、UDP Flood、ICMP Flood、LAND攻击、Smurf攻击、Fraggle攻击、Winnuke等攻击防护；"策略具备接口、地址、服务、时间、用户、带宽等的配置。支持基于特定源地址、目的地址、应用端口组合的会话数限制。"支持SSL深度检测功能</w:t>
            </w:r>
            <w:r>
              <w:rPr>
                <w:rFonts w:hint="eastAsia" w:ascii="宋体" w:hAnsi="宋体" w:cs="宋体"/>
                <w:color w:val="000000"/>
                <w:sz w:val="20"/>
                <w:szCs w:val="20"/>
              </w:rPr>
              <w:br w:type="textWrapping"/>
            </w:r>
            <w:r>
              <w:rPr>
                <w:rFonts w:hint="eastAsia" w:ascii="宋体" w:hAnsi="宋体" w:cs="宋体"/>
                <w:color w:val="000000"/>
                <w:sz w:val="20"/>
                <w:szCs w:val="20"/>
              </w:rPr>
              <w:t>4.为保障语音系统效果，支持VoIP防护，可基于SIP与SCCP协议防护，可限制SIP的注册请求，可限制SCCP的呼叫建立。支持深达10级以上的文件压缩。可以限制过滤文件的大小，对超大文件采取“通过”或“阻止”动作。</w:t>
            </w:r>
            <w:r>
              <w:rPr>
                <w:rFonts w:hint="eastAsia" w:ascii="宋体" w:hAnsi="宋体" w:cs="宋体"/>
                <w:color w:val="000000"/>
                <w:sz w:val="20"/>
                <w:szCs w:val="20"/>
              </w:rPr>
              <w:br w:type="textWrapping"/>
            </w:r>
            <w:r>
              <w:rPr>
                <w:rFonts w:hint="eastAsia" w:ascii="宋体" w:hAnsi="宋体" w:cs="宋体"/>
                <w:color w:val="000000"/>
                <w:sz w:val="20"/>
                <w:szCs w:val="20"/>
              </w:rPr>
              <w:t>支持对VPN传输隧道内容进行病毒过滤；</w:t>
            </w:r>
            <w:r>
              <w:rPr>
                <w:rFonts w:hint="eastAsia" w:ascii="宋体" w:hAnsi="宋体" w:cs="宋体"/>
                <w:color w:val="000000"/>
                <w:sz w:val="20"/>
                <w:szCs w:val="20"/>
              </w:rPr>
              <w:br w:type="textWrapping"/>
            </w:r>
            <w:r>
              <w:rPr>
                <w:rFonts w:hint="eastAsia" w:ascii="宋体" w:hAnsi="宋体" w:cs="宋体"/>
                <w:color w:val="000000"/>
                <w:sz w:val="20"/>
                <w:szCs w:val="20"/>
              </w:rPr>
              <w:t>5.支持基于代理模式、流模式的垃圾邮件检测过滤，</w:t>
            </w:r>
          </w:p>
          <w:p w14:paraId="0464134F">
            <w:pPr>
              <w:rPr>
                <w:rFonts w:ascii="宋体" w:hAnsi="宋体" w:cs="宋体"/>
                <w:color w:val="000000"/>
                <w:sz w:val="20"/>
                <w:szCs w:val="20"/>
              </w:rPr>
            </w:pPr>
            <w:r>
              <w:rPr>
                <w:rFonts w:hint="eastAsia" w:ascii="宋体" w:hAnsi="宋体" w:cs="宋体"/>
                <w:color w:val="000000"/>
                <w:sz w:val="20"/>
                <w:szCs w:val="20"/>
              </w:rPr>
              <w:t>支持防数据泄漏功能，能对HTTP、FTP、SMTP、POP3等协议中的敏感内容进行过滤和阻断。</w:t>
            </w:r>
            <w:r>
              <w:rPr>
                <w:rFonts w:hint="eastAsia" w:ascii="宋体" w:hAnsi="宋体" w:cs="宋体"/>
                <w:color w:val="000000"/>
                <w:sz w:val="20"/>
                <w:szCs w:val="20"/>
              </w:rPr>
              <w:br w:type="textWrapping"/>
            </w:r>
            <w:r>
              <w:rPr>
                <w:rFonts w:hint="eastAsia" w:ascii="宋体" w:hAnsi="宋体" w:cs="宋体"/>
                <w:color w:val="000000"/>
                <w:sz w:val="20"/>
                <w:szCs w:val="20"/>
              </w:rPr>
              <w:t>6.要求支持文件指纹识别、文件水印检测。</w:t>
            </w:r>
          </w:p>
          <w:p w14:paraId="799A05A0">
            <w:pPr>
              <w:rPr>
                <w:rFonts w:ascii="宋体" w:hAnsi="宋体" w:cs="宋体"/>
                <w:color w:val="000000"/>
                <w:sz w:val="20"/>
                <w:szCs w:val="20"/>
              </w:rPr>
            </w:pPr>
            <w:r>
              <w:rPr>
                <w:rFonts w:hint="eastAsia" w:ascii="宋体" w:hAnsi="宋体" w:cs="宋体"/>
                <w:color w:val="000000"/>
                <w:sz w:val="20"/>
                <w:szCs w:val="20"/>
              </w:rPr>
              <w:t>7.支持0-day恶意软件变种、可疑文件等APT高级可持续威胁的统计功能。</w:t>
            </w:r>
            <w:r>
              <w:rPr>
                <w:rFonts w:hint="eastAsia" w:ascii="宋体" w:hAnsi="宋体" w:cs="宋体"/>
                <w:color w:val="000000"/>
                <w:sz w:val="20"/>
                <w:szCs w:val="20"/>
              </w:rPr>
              <w:br w:type="textWrapping"/>
            </w:r>
            <w:r>
              <w:rPr>
                <w:rFonts w:hint="eastAsia" w:ascii="宋体" w:hAnsi="宋体" w:cs="宋体"/>
                <w:color w:val="000000"/>
                <w:sz w:val="20"/>
                <w:szCs w:val="20"/>
              </w:rPr>
              <w:t>为更好的支持IPv6业务，要求支持基于IPv6的策略设置、内容过滤、IPS检测、代理、流控和VPN功能。</w:t>
            </w:r>
          </w:p>
        </w:tc>
      </w:tr>
      <w:tr w14:paraId="1129C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1" w:hRule="atLeast"/>
        </w:trPr>
        <w:tc>
          <w:tcPr>
            <w:tcW w:w="270" w:type="pct"/>
            <w:vMerge w:val="continue"/>
            <w:shd w:val="clear" w:color="auto" w:fill="auto"/>
            <w:noWrap/>
            <w:vAlign w:val="center"/>
          </w:tcPr>
          <w:p w14:paraId="5D717C36">
            <w:pPr>
              <w:jc w:val="center"/>
              <w:rPr>
                <w:rFonts w:ascii="宋体" w:hAnsi="宋体" w:cs="宋体"/>
                <w:b/>
                <w:bCs/>
                <w:color w:val="000000"/>
              </w:rPr>
            </w:pPr>
          </w:p>
        </w:tc>
        <w:tc>
          <w:tcPr>
            <w:tcW w:w="318" w:type="pct"/>
            <w:shd w:val="clear" w:color="auto" w:fill="auto"/>
            <w:vAlign w:val="center"/>
          </w:tcPr>
          <w:p w14:paraId="65B71369">
            <w:pPr>
              <w:jc w:val="center"/>
              <w:rPr>
                <w:rFonts w:ascii="宋体" w:hAnsi="宋体" w:cs="宋体"/>
                <w:b/>
                <w:bCs/>
                <w:color w:val="000000"/>
              </w:rPr>
            </w:pPr>
            <w:r>
              <w:rPr>
                <w:rFonts w:hint="eastAsia" w:ascii="宋体" w:hAnsi="宋体" w:cs="宋体"/>
                <w:b/>
                <w:bCs/>
                <w:color w:val="000000"/>
              </w:rPr>
              <w:t>安</w:t>
            </w:r>
          </w:p>
          <w:p w14:paraId="3B707D49">
            <w:pPr>
              <w:jc w:val="center"/>
              <w:rPr>
                <w:rFonts w:ascii="宋体" w:hAnsi="宋体" w:cs="宋体"/>
                <w:b/>
                <w:bCs/>
                <w:color w:val="000000"/>
              </w:rPr>
            </w:pPr>
            <w:r>
              <w:rPr>
                <w:rFonts w:hint="eastAsia" w:ascii="宋体" w:hAnsi="宋体" w:cs="宋体"/>
                <w:b/>
                <w:bCs/>
                <w:color w:val="000000"/>
              </w:rPr>
              <w:t>全</w:t>
            </w:r>
          </w:p>
          <w:p w14:paraId="658320B3">
            <w:pPr>
              <w:jc w:val="center"/>
              <w:rPr>
                <w:rFonts w:ascii="宋体" w:hAnsi="宋体" w:cs="宋体"/>
                <w:b/>
                <w:bCs/>
                <w:color w:val="000000"/>
              </w:rPr>
            </w:pPr>
            <w:r>
              <w:rPr>
                <w:rFonts w:hint="eastAsia" w:ascii="宋体" w:hAnsi="宋体" w:cs="宋体"/>
                <w:b/>
                <w:bCs/>
                <w:color w:val="000000"/>
              </w:rPr>
              <w:t>服</w:t>
            </w:r>
          </w:p>
          <w:p w14:paraId="728A624B">
            <w:pPr>
              <w:jc w:val="center"/>
              <w:rPr>
                <w:rFonts w:ascii="宋体" w:hAnsi="宋体" w:cs="宋体"/>
                <w:b/>
                <w:bCs/>
                <w:color w:val="000000"/>
              </w:rPr>
            </w:pPr>
            <w:r>
              <w:rPr>
                <w:rFonts w:hint="eastAsia" w:ascii="宋体" w:hAnsi="宋体" w:cs="宋体"/>
                <w:b/>
                <w:bCs/>
                <w:color w:val="000000"/>
              </w:rPr>
              <w:t>务</w:t>
            </w:r>
          </w:p>
        </w:tc>
        <w:tc>
          <w:tcPr>
            <w:tcW w:w="892" w:type="pct"/>
            <w:shd w:val="clear" w:color="auto" w:fill="auto"/>
            <w:vAlign w:val="center"/>
          </w:tcPr>
          <w:p w14:paraId="41E9CD55">
            <w:pPr>
              <w:jc w:val="center"/>
              <w:rPr>
                <w:rFonts w:ascii="宋体" w:hAnsi="宋体" w:cs="宋体"/>
                <w:b/>
                <w:bCs/>
                <w:color w:val="000000"/>
                <w:sz w:val="20"/>
                <w:szCs w:val="20"/>
              </w:rPr>
            </w:pPr>
            <w:r>
              <w:rPr>
                <w:rFonts w:hint="eastAsia" w:ascii="宋体" w:hAnsi="宋体" w:cs="宋体"/>
                <w:b/>
                <w:bCs/>
                <w:color w:val="000000"/>
                <w:sz w:val="20"/>
                <w:szCs w:val="20"/>
              </w:rPr>
              <w:t>NAT防火墙</w:t>
            </w:r>
          </w:p>
        </w:tc>
        <w:tc>
          <w:tcPr>
            <w:tcW w:w="3520" w:type="pct"/>
            <w:shd w:val="clear" w:color="auto" w:fill="auto"/>
            <w:vAlign w:val="center"/>
          </w:tcPr>
          <w:p w14:paraId="417719E9">
            <w:pPr>
              <w:rPr>
                <w:rFonts w:ascii="宋体" w:hAnsi="宋体" w:cs="宋体"/>
                <w:color w:val="000000"/>
                <w:sz w:val="20"/>
                <w:szCs w:val="20"/>
              </w:rPr>
            </w:pPr>
            <w:r>
              <w:rPr>
                <w:rFonts w:hint="eastAsia" w:ascii="宋体" w:hAnsi="宋体" w:cs="宋体"/>
                <w:color w:val="000000"/>
                <w:sz w:val="20"/>
                <w:szCs w:val="20"/>
              </w:rPr>
              <w:t>设备吞吐量≥1 Gbps，HTTP吞吐量≥1 Gbps，IPS吞吐量≥600 Mbps，AV吞吐量≥560 Mbps，IPSec VPN性能≥680 Mbps，最大并发连接数≥50万，每秒新建连接数≥3万，IPSec VPN隧道数≥1024，SSL VPN接入数≥400。</w:t>
            </w:r>
            <w:r>
              <w:rPr>
                <w:rFonts w:hint="eastAsia" w:ascii="宋体" w:hAnsi="宋体" w:cs="宋体"/>
                <w:color w:val="000000"/>
                <w:sz w:val="20"/>
                <w:szCs w:val="20"/>
              </w:rPr>
              <w:br w:type="textWrapping"/>
            </w:r>
            <w:r>
              <w:rPr>
                <w:rFonts w:hint="eastAsia" w:ascii="宋体" w:hAnsi="宋体" w:cs="宋体"/>
                <w:color w:val="000000"/>
                <w:sz w:val="20"/>
                <w:szCs w:val="20"/>
              </w:rPr>
              <w:t>10*GE电口，2*Combo口；支持千兆接口总数≥12个。</w:t>
            </w:r>
            <w:r>
              <w:rPr>
                <w:rFonts w:hint="eastAsia" w:ascii="宋体" w:hAnsi="宋体" w:cs="宋体"/>
                <w:color w:val="000000"/>
                <w:sz w:val="20"/>
                <w:szCs w:val="20"/>
              </w:rPr>
              <w:br w:type="textWrapping"/>
            </w:r>
            <w:r>
              <w:rPr>
                <w:rFonts w:hint="eastAsia" w:ascii="宋体" w:hAnsi="宋体" w:cs="宋体"/>
                <w:color w:val="000000"/>
                <w:sz w:val="20"/>
                <w:szCs w:val="20"/>
              </w:rPr>
              <w:t>采用多核网络专用架构，使用64位MIPS多核处理器，非X86多核架构或ASIC架构。</w:t>
            </w:r>
            <w:r>
              <w:rPr>
                <w:rFonts w:hint="eastAsia" w:ascii="宋体" w:hAnsi="宋体" w:cs="宋体"/>
                <w:color w:val="000000"/>
                <w:sz w:val="20"/>
                <w:szCs w:val="20"/>
              </w:rPr>
              <w:br w:type="textWrapping"/>
            </w:r>
            <w:r>
              <w:rPr>
                <w:rFonts w:hint="eastAsia" w:ascii="宋体" w:hAnsi="宋体" w:cs="宋体"/>
                <w:color w:val="000000"/>
                <w:sz w:val="20"/>
                <w:szCs w:val="20"/>
              </w:rPr>
              <w:t>支持网关模式、网桥模式、旁路模式、虚拟网线工作模式、混合模式；部署模式切换无需重启设备。</w:t>
            </w:r>
            <w:r>
              <w:rPr>
                <w:rFonts w:hint="eastAsia" w:ascii="宋体" w:hAnsi="宋体" w:cs="宋体"/>
                <w:color w:val="000000"/>
                <w:sz w:val="20"/>
                <w:szCs w:val="20"/>
              </w:rPr>
              <w:br w:type="textWrapping"/>
            </w:r>
            <w:r>
              <w:rPr>
                <w:rFonts w:hint="eastAsia" w:ascii="宋体" w:hAnsi="宋体" w:cs="宋体"/>
                <w:color w:val="000000"/>
                <w:sz w:val="20"/>
                <w:szCs w:val="20"/>
              </w:rPr>
              <w:t>支持DDNS功能，支持花生壳、阿里云等服务商的域名，将动态获取的IP地址映射为固定的域名。</w:t>
            </w:r>
            <w:r>
              <w:rPr>
                <w:rFonts w:hint="eastAsia" w:ascii="宋体" w:hAnsi="宋体" w:cs="宋体"/>
                <w:color w:val="000000"/>
                <w:sz w:val="20"/>
                <w:szCs w:val="20"/>
              </w:rPr>
              <w:br w:type="textWrapping"/>
            </w:r>
            <w:r>
              <w:rPr>
                <w:rFonts w:hint="eastAsia" w:ascii="宋体" w:hAnsi="宋体" w:cs="宋体"/>
                <w:color w:val="000000"/>
                <w:sz w:val="20"/>
                <w:szCs w:val="20"/>
              </w:rPr>
              <w:t>支持IPv4/IPv6双栈协议的源地址转换、目的地址转换、双向NAT、NAT44、NAT66、NAT46、NAT64等地址转换。</w:t>
            </w:r>
            <w:r>
              <w:rPr>
                <w:rFonts w:hint="eastAsia" w:ascii="宋体" w:hAnsi="宋体" w:cs="宋体"/>
                <w:color w:val="000000"/>
                <w:sz w:val="20"/>
                <w:szCs w:val="20"/>
              </w:rPr>
              <w:br w:type="textWrapping"/>
            </w:r>
            <w:r>
              <w:rPr>
                <w:rFonts w:hint="eastAsia" w:ascii="宋体" w:hAnsi="宋体" w:cs="宋体"/>
                <w:color w:val="000000"/>
                <w:sz w:val="20"/>
                <w:szCs w:val="20"/>
              </w:rPr>
              <w:t>支持静态路由、动态路由、ISP路由；支持基于入接口、源地址、目的地址、用户、服务、应用、时间、域名的策略路由。</w:t>
            </w:r>
            <w:r>
              <w:rPr>
                <w:rFonts w:hint="eastAsia" w:ascii="宋体" w:hAnsi="宋体" w:cs="宋体"/>
                <w:color w:val="000000"/>
                <w:sz w:val="20"/>
                <w:szCs w:val="20"/>
              </w:rPr>
              <w:br w:type="textWrapping"/>
            </w:r>
            <w:r>
              <w:rPr>
                <w:rFonts w:hint="eastAsia" w:ascii="宋体" w:hAnsi="宋体" w:cs="宋体"/>
                <w:color w:val="000000"/>
                <w:sz w:val="20"/>
                <w:szCs w:val="20"/>
              </w:rPr>
              <w:t>支持IPv6/IPv4双栈；支持IPv6安全策略、包括审计策略、NAT策略、流量控制策略、会话控制策略、黑名单、白名单、认证策略等</w:t>
            </w:r>
            <w:r>
              <w:rPr>
                <w:rFonts w:hint="eastAsia" w:ascii="宋体" w:hAnsi="宋体" w:cs="宋体"/>
                <w:color w:val="000000"/>
                <w:sz w:val="20"/>
                <w:szCs w:val="20"/>
              </w:rPr>
              <w:br w:type="textWrapping"/>
            </w:r>
            <w:r>
              <w:rPr>
                <w:rFonts w:hint="eastAsia" w:ascii="宋体" w:hAnsi="宋体" w:cs="宋体"/>
                <w:color w:val="000000"/>
                <w:sz w:val="20"/>
                <w:szCs w:val="20"/>
              </w:rPr>
              <w:t>支持IPv6策略路由、OSPFv3、静态路由、IPv6隧道，包括IPv6手工隧道、ISATAP、6to4等隧道模式；支持IPv6网络下的DHCPv6、DNSv6、SNMPv6、NTPv6、PPPoE等基础协议。</w:t>
            </w:r>
            <w:r>
              <w:rPr>
                <w:rFonts w:hint="eastAsia" w:ascii="宋体" w:hAnsi="宋体" w:cs="宋体"/>
                <w:color w:val="000000"/>
                <w:sz w:val="20"/>
                <w:szCs w:val="20"/>
              </w:rPr>
              <w:br w:type="textWrapping"/>
            </w:r>
            <w:r>
              <w:rPr>
                <w:rFonts w:ascii="宋体" w:hAnsi="宋体" w:cs="宋体"/>
                <w:color w:val="000000"/>
                <w:sz w:val="20"/>
                <w:szCs w:val="20"/>
              </w:rPr>
              <w:t>8</w:t>
            </w:r>
            <w:r>
              <w:rPr>
                <w:rFonts w:hint="eastAsia" w:ascii="宋体" w:hAnsi="宋体" w:cs="宋体"/>
                <w:color w:val="000000"/>
                <w:sz w:val="20"/>
                <w:szCs w:val="20"/>
              </w:rPr>
              <w:t>.支持对20级的压缩文件进行解压查杀。</w:t>
            </w:r>
            <w:r>
              <w:rPr>
                <w:rFonts w:hint="eastAsia" w:ascii="宋体" w:hAnsi="宋体" w:cs="宋体"/>
                <w:color w:val="000000"/>
                <w:sz w:val="20"/>
                <w:szCs w:val="20"/>
              </w:rPr>
              <w:br w:type="textWrapping"/>
            </w:r>
            <w:r>
              <w:rPr>
                <w:rFonts w:hint="eastAsia" w:ascii="宋体" w:hAnsi="宋体" w:cs="宋体"/>
                <w:color w:val="000000"/>
                <w:sz w:val="20"/>
                <w:szCs w:val="20"/>
              </w:rPr>
              <w:t>支持弱密码扫描能力，可针对IP、端口等对象，扫描监控空密码、用户名密码相同、预置弱口令、自定义弱口令等规则，可设置立即扫描或定期扫描，弱口令字典可自定义设置。</w:t>
            </w:r>
            <w:r>
              <w:rPr>
                <w:rFonts w:hint="eastAsia" w:ascii="宋体" w:hAnsi="宋体" w:cs="宋体"/>
                <w:color w:val="000000"/>
                <w:sz w:val="20"/>
                <w:szCs w:val="20"/>
              </w:rPr>
              <w:br w:type="textWrapping"/>
            </w:r>
            <w:r>
              <w:rPr>
                <w:rFonts w:hint="eastAsia" w:ascii="宋体" w:hAnsi="宋体" w:cs="宋体"/>
                <w:color w:val="000000"/>
                <w:sz w:val="20"/>
                <w:szCs w:val="20"/>
              </w:rPr>
              <w:t>支持IPv4、IPv6双协议栈异常包攻击防御，攻击类型至少包含：Ping of Death、Land-Base、Tear Drop、TCP flag、Winnuke、Smurf、IP选项、IP Spoof、Jolt2等。</w:t>
            </w:r>
            <w:r>
              <w:rPr>
                <w:rFonts w:hint="eastAsia" w:ascii="宋体" w:hAnsi="宋体" w:cs="宋体"/>
                <w:color w:val="000000"/>
                <w:sz w:val="20"/>
                <w:szCs w:val="20"/>
              </w:rPr>
              <w:br w:type="textWrapping"/>
            </w:r>
            <w:r>
              <w:rPr>
                <w:rFonts w:hint="eastAsia" w:ascii="宋体" w:hAnsi="宋体" w:cs="宋体"/>
                <w:color w:val="000000"/>
                <w:sz w:val="20"/>
                <w:szCs w:val="20"/>
              </w:rPr>
              <w:t>支持展示全球热门和新型的威胁事件；支持数据下钻查看该威胁事件的时间、威胁级别、描述、类型、应用措施和指示器等信息；支持针对威胁事件提供安全防护的配置向导，通过引导方式帮助用户完成安全加固，规避威胁风险。</w:t>
            </w:r>
            <w:r>
              <w:rPr>
                <w:rFonts w:hint="eastAsia" w:ascii="宋体" w:hAnsi="宋体" w:cs="宋体"/>
                <w:color w:val="000000"/>
                <w:sz w:val="20"/>
                <w:szCs w:val="20"/>
              </w:rPr>
              <w:br w:type="textWrapping"/>
            </w:r>
            <w:r>
              <w:rPr>
                <w:rFonts w:ascii="宋体" w:hAnsi="宋体" w:cs="宋体"/>
                <w:color w:val="000000"/>
                <w:sz w:val="20"/>
                <w:szCs w:val="20"/>
              </w:rPr>
              <w:t>9</w:t>
            </w:r>
            <w:r>
              <w:rPr>
                <w:rFonts w:hint="eastAsia" w:ascii="宋体" w:hAnsi="宋体" w:cs="宋体"/>
                <w:color w:val="000000"/>
                <w:sz w:val="20"/>
                <w:szCs w:val="20"/>
              </w:rPr>
              <w:t>.★支持防网络共享行为，针对私接路由器和非法无线热点行为进行识别和阻断，</w:t>
            </w:r>
            <w:r>
              <w:rPr>
                <w:rFonts w:hint="eastAsia" w:ascii="宋体" w:hAnsi="宋体" w:cs="宋体"/>
                <w:color w:val="000000"/>
                <w:sz w:val="20"/>
                <w:szCs w:val="20"/>
                <w:u w:val="single"/>
              </w:rPr>
              <w:t>提供相关证明材料。</w:t>
            </w:r>
          </w:p>
        </w:tc>
      </w:tr>
      <w:tr w14:paraId="45842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270" w:type="pct"/>
            <w:shd w:val="clear" w:color="auto" w:fill="auto"/>
            <w:noWrap/>
            <w:vAlign w:val="center"/>
          </w:tcPr>
          <w:p w14:paraId="0A9AFD7A">
            <w:pPr>
              <w:jc w:val="center"/>
              <w:rPr>
                <w:rFonts w:ascii="宋体" w:hAnsi="宋体" w:cs="宋体"/>
                <w:b/>
                <w:bCs/>
                <w:color w:val="000000"/>
              </w:rPr>
            </w:pPr>
            <w:r>
              <w:rPr>
                <w:rFonts w:hint="eastAsia" w:ascii="宋体" w:hAnsi="宋体" w:cs="宋体"/>
                <w:b/>
                <w:bCs/>
                <w:color w:val="000000"/>
              </w:rPr>
              <w:t>2</w:t>
            </w:r>
          </w:p>
        </w:tc>
        <w:tc>
          <w:tcPr>
            <w:tcW w:w="1210" w:type="pct"/>
            <w:gridSpan w:val="2"/>
            <w:shd w:val="clear" w:color="auto" w:fill="auto"/>
            <w:vAlign w:val="center"/>
          </w:tcPr>
          <w:p w14:paraId="76FAE5C4">
            <w:pPr>
              <w:jc w:val="center"/>
              <w:rPr>
                <w:rFonts w:ascii="宋体" w:hAnsi="宋体" w:cs="宋体"/>
                <w:b/>
                <w:bCs/>
                <w:color w:val="000000"/>
              </w:rPr>
            </w:pPr>
            <w:r>
              <w:rPr>
                <w:rFonts w:hint="eastAsia" w:ascii="宋体" w:hAnsi="宋体" w:cs="宋体"/>
                <w:b/>
                <w:bCs/>
                <w:color w:val="000000"/>
              </w:rPr>
              <w:t>安全域认证管理软件</w:t>
            </w:r>
          </w:p>
        </w:tc>
        <w:tc>
          <w:tcPr>
            <w:tcW w:w="3520" w:type="pct"/>
            <w:shd w:val="clear" w:color="auto" w:fill="auto"/>
            <w:vAlign w:val="center"/>
          </w:tcPr>
          <w:p w14:paraId="16F379EC">
            <w:pPr>
              <w:rPr>
                <w:rFonts w:ascii="宋体" w:hAnsi="宋体" w:cs="宋体"/>
                <w:sz w:val="20"/>
                <w:szCs w:val="20"/>
              </w:rPr>
            </w:pPr>
            <w:r>
              <w:rPr>
                <w:rFonts w:hint="eastAsia" w:ascii="宋体" w:hAnsi="宋体" w:cs="宋体"/>
                <w:sz w:val="20"/>
                <w:szCs w:val="20"/>
              </w:rPr>
              <w:t>支持分布式部署。总部部署身份策略中心，统一管理全网的身份信息；分支单位机构部署认证管理系统，可将身份策略信息汇总至身份策略中心，实现各个分布式下认证管理系统之间的用户身份漫游认证；可对分支机构管理员进行分权，分级管理员只能管理本单位的用户。</w:t>
            </w:r>
            <w:r>
              <w:rPr>
                <w:rFonts w:hint="eastAsia" w:ascii="宋体" w:hAnsi="宋体" w:cs="宋体"/>
                <w:sz w:val="20"/>
                <w:szCs w:val="20"/>
              </w:rPr>
              <w:br w:type="textWrapping"/>
            </w:r>
            <w:r>
              <w:rPr>
                <w:rFonts w:hint="eastAsia" w:ascii="宋体" w:hAnsi="宋体" w:cs="宋体"/>
                <w:sz w:val="20"/>
                <w:szCs w:val="20"/>
              </w:rPr>
              <w:t>支持已认证的用户使用自己的智能手机为访客终端扫描二维码进行访客入网接入认证授权，支持只有授权指定的用户组才能为访客做二维码授权，且在认证系统后台有访客与授权访客开户的用户账号绑定。</w:t>
            </w:r>
            <w:r>
              <w:rPr>
                <w:rFonts w:hint="eastAsia" w:ascii="宋体" w:hAnsi="宋体" w:cs="宋体"/>
                <w:sz w:val="20"/>
                <w:szCs w:val="20"/>
              </w:rPr>
              <w:br w:type="textWrapping"/>
            </w:r>
            <w:r>
              <w:rPr>
                <w:rFonts w:hint="eastAsia" w:ascii="宋体" w:hAnsi="宋体" w:cs="宋体"/>
                <w:sz w:val="20"/>
                <w:szCs w:val="20"/>
              </w:rPr>
              <w:t>支持访客二维码名片/公共二维码注册。</w:t>
            </w:r>
            <w:r>
              <w:rPr>
                <w:rFonts w:hint="eastAsia" w:ascii="宋体" w:hAnsi="宋体" w:cs="宋体"/>
                <w:sz w:val="20"/>
                <w:szCs w:val="20"/>
              </w:rPr>
              <w:br w:type="textWrapping"/>
            </w:r>
            <w:r>
              <w:rPr>
                <w:rFonts w:hint="eastAsia" w:ascii="宋体" w:hAnsi="宋体" w:cs="宋体"/>
                <w:sz w:val="20"/>
                <w:szCs w:val="20"/>
              </w:rPr>
              <w:t>支持授权码认证，普通用户可生成授权码，访客在Portal认证页面输入授权码认证上网，同时授权码具备有效期。</w:t>
            </w:r>
            <w:r>
              <w:rPr>
                <w:rFonts w:hint="eastAsia" w:ascii="宋体" w:hAnsi="宋体" w:cs="宋体"/>
                <w:sz w:val="20"/>
                <w:szCs w:val="20"/>
              </w:rPr>
              <w:br w:type="textWrapping"/>
            </w:r>
            <w:r>
              <w:rPr>
                <w:rFonts w:hint="eastAsia" w:ascii="宋体" w:hAnsi="宋体" w:cs="宋体"/>
                <w:sz w:val="20"/>
                <w:szCs w:val="20"/>
              </w:rPr>
              <w:t>短信URL短码认证，点击短信里面的URL链接即可认证。</w:t>
            </w:r>
            <w:r>
              <w:rPr>
                <w:rFonts w:hint="eastAsia" w:ascii="宋体" w:hAnsi="宋体" w:cs="宋体"/>
                <w:sz w:val="20"/>
                <w:szCs w:val="20"/>
              </w:rPr>
              <w:br w:type="textWrapping"/>
            </w:r>
            <w:r>
              <w:rPr>
                <w:rFonts w:hint="eastAsia" w:ascii="宋体" w:hAnsi="宋体" w:cs="宋体"/>
                <w:sz w:val="20"/>
                <w:szCs w:val="20"/>
              </w:rPr>
              <w:t>闲置时间间隔超过 x [1，1000] 天的用户将会被暂停或者销户。</w:t>
            </w:r>
            <w:r>
              <w:rPr>
                <w:rFonts w:hint="eastAsia" w:ascii="宋体" w:hAnsi="宋体" w:cs="宋体"/>
                <w:sz w:val="20"/>
                <w:szCs w:val="20"/>
              </w:rPr>
              <w:br w:type="textWrapping"/>
            </w:r>
            <w:r>
              <w:rPr>
                <w:rFonts w:hint="eastAsia" w:ascii="宋体" w:hAnsi="宋体" w:cs="宋体"/>
                <w:sz w:val="20"/>
                <w:szCs w:val="20"/>
              </w:rPr>
              <w:t>认证页面合并：普通用户、短信、二维码、微信web认证合并。</w:t>
            </w:r>
            <w:r>
              <w:rPr>
                <w:rFonts w:hint="eastAsia" w:ascii="宋体" w:hAnsi="宋体" w:cs="宋体"/>
                <w:sz w:val="20"/>
                <w:szCs w:val="20"/>
              </w:rPr>
              <w:br w:type="textWrapping"/>
            </w:r>
            <w:r>
              <w:rPr>
                <w:rFonts w:hint="eastAsia" w:ascii="宋体" w:hAnsi="宋体" w:cs="宋体"/>
                <w:sz w:val="20"/>
                <w:szCs w:val="20"/>
              </w:rPr>
              <w:t>支持使用用户名密码+手机号及短信获取的6位数随机校验码作为认证要素进行双因子认证。</w:t>
            </w:r>
            <w:r>
              <w:rPr>
                <w:rFonts w:hint="eastAsia" w:ascii="宋体" w:hAnsi="宋体" w:cs="宋体"/>
                <w:sz w:val="20"/>
                <w:szCs w:val="20"/>
              </w:rPr>
              <w:br w:type="textWrapping"/>
            </w:r>
            <w:r>
              <w:rPr>
                <w:rFonts w:hint="eastAsia" w:ascii="宋体" w:hAnsi="宋体" w:cs="宋体"/>
                <w:sz w:val="20"/>
                <w:szCs w:val="20"/>
              </w:rPr>
              <w:t>支持与第三方Radius联动，将认证信息转发给第三方Radius服务器进行认证，即实现统一身份源。</w:t>
            </w:r>
            <w:r>
              <w:rPr>
                <w:rFonts w:hint="eastAsia" w:ascii="宋体" w:hAnsi="宋体" w:cs="宋体"/>
                <w:sz w:val="20"/>
                <w:szCs w:val="20"/>
              </w:rPr>
              <w:br w:type="textWrapping"/>
            </w:r>
            <w:r>
              <w:rPr>
                <w:rFonts w:hint="eastAsia" w:ascii="宋体" w:hAnsi="宋体" w:cs="宋体"/>
                <w:sz w:val="20"/>
                <w:szCs w:val="20"/>
              </w:rPr>
              <w:t>支持从基于Java/web service的第三方接口读取用户数据信息进行认证。</w:t>
            </w:r>
            <w:r>
              <w:rPr>
                <w:rFonts w:hint="eastAsia" w:ascii="宋体" w:hAnsi="宋体" w:cs="宋体"/>
                <w:sz w:val="20"/>
                <w:szCs w:val="20"/>
              </w:rPr>
              <w:br w:type="textWrapping"/>
            </w:r>
            <w:r>
              <w:rPr>
                <w:rFonts w:hint="eastAsia" w:ascii="宋体" w:hAnsi="宋体" w:cs="宋体"/>
                <w:sz w:val="20"/>
                <w:szCs w:val="20"/>
              </w:rPr>
              <w:t>支持与Windows AD域联动，实现与WindowsAD的整合认证，一次登陆完成802.1X认证和Windows AD认证。</w:t>
            </w:r>
            <w:r>
              <w:rPr>
                <w:rFonts w:hint="eastAsia" w:ascii="宋体" w:hAnsi="宋体" w:cs="宋体"/>
                <w:sz w:val="20"/>
                <w:szCs w:val="20"/>
              </w:rPr>
              <w:br w:type="textWrapping"/>
            </w:r>
            <w:r>
              <w:rPr>
                <w:rFonts w:hint="eastAsia" w:ascii="宋体" w:hAnsi="宋体" w:cs="宋体"/>
                <w:sz w:val="20"/>
                <w:szCs w:val="20"/>
              </w:rPr>
              <w:t>支持与数据库SQL SERVER、MySQL、ORACLE、DB2、PostgreSQL对接。</w:t>
            </w:r>
            <w:r>
              <w:rPr>
                <w:rFonts w:hint="eastAsia" w:ascii="宋体" w:hAnsi="宋体" w:cs="宋体"/>
                <w:sz w:val="20"/>
                <w:szCs w:val="20"/>
              </w:rPr>
              <w:br w:type="textWrapping"/>
            </w:r>
            <w:r>
              <w:rPr>
                <w:rFonts w:hint="eastAsia" w:ascii="宋体" w:hAnsi="宋体" w:cs="宋体"/>
                <w:sz w:val="20"/>
                <w:szCs w:val="20"/>
              </w:rPr>
              <w:t xml:space="preserve">支持使用短信、邮箱、第三方数据库系统联动自助开户功能。 </w:t>
            </w:r>
            <w:r>
              <w:rPr>
                <w:rFonts w:hint="eastAsia" w:ascii="宋体" w:hAnsi="宋体" w:cs="宋体"/>
                <w:sz w:val="20"/>
                <w:szCs w:val="20"/>
              </w:rPr>
              <w:br w:type="textWrapping"/>
            </w:r>
            <w:r>
              <w:rPr>
                <w:rFonts w:hint="eastAsia" w:ascii="宋体" w:hAnsi="宋体" w:cs="宋体"/>
                <w:sz w:val="20"/>
                <w:szCs w:val="20"/>
              </w:rPr>
              <w:t>1</w:t>
            </w:r>
            <w:r>
              <w:rPr>
                <w:rFonts w:ascii="宋体" w:hAnsi="宋体" w:cs="宋体"/>
                <w:sz w:val="20"/>
                <w:szCs w:val="20"/>
              </w:rPr>
              <w:t>0.</w:t>
            </w:r>
            <w:r>
              <w:rPr>
                <w:rFonts w:hint="eastAsia" w:ascii="宋体" w:hAnsi="宋体" w:cs="宋体"/>
                <w:sz w:val="20"/>
                <w:szCs w:val="20"/>
              </w:rPr>
              <w:t>支持用户上线后弹出广播消息、网页；支持设置禁止认证时段，在该时段内用户禁止认证，无法上网。</w:t>
            </w:r>
            <w:r>
              <w:rPr>
                <w:rFonts w:hint="eastAsia" w:ascii="宋体" w:hAnsi="宋体" w:cs="宋体"/>
                <w:sz w:val="20"/>
                <w:szCs w:val="20"/>
              </w:rPr>
              <w:br w:type="textWrapping"/>
            </w:r>
            <w:r>
              <w:rPr>
                <w:rFonts w:hint="eastAsia" w:ascii="宋体" w:hAnsi="宋体" w:cs="宋体"/>
                <w:sz w:val="20"/>
                <w:szCs w:val="20"/>
              </w:rPr>
              <w:t>1</w:t>
            </w:r>
            <w:r>
              <w:rPr>
                <w:rFonts w:ascii="宋体" w:hAnsi="宋体" w:cs="宋体"/>
                <w:sz w:val="20"/>
                <w:szCs w:val="20"/>
              </w:rPr>
              <w:t>1.</w:t>
            </w:r>
            <w:r>
              <w:rPr>
                <w:rFonts w:hint="eastAsia" w:ascii="宋体" w:hAnsi="宋体" w:cs="宋体"/>
                <w:sz w:val="20"/>
                <w:szCs w:val="20"/>
              </w:rPr>
              <w:t>首次登陆账号激活，并强制修改密码。首次进行认证时，强制要求用户设置密保：手机号、邮箱账号、私密问答作为密保凭据任选其一。</w:t>
            </w:r>
          </w:p>
          <w:p w14:paraId="124D961A">
            <w:pPr>
              <w:rPr>
                <w:rFonts w:ascii="宋体" w:hAnsi="宋体" w:cs="宋体"/>
                <w:sz w:val="20"/>
                <w:szCs w:val="20"/>
              </w:rPr>
            </w:pPr>
            <w:r>
              <w:rPr>
                <w:rFonts w:hint="eastAsia" w:ascii="宋体" w:hAnsi="宋体" w:cs="宋体"/>
                <w:sz w:val="20"/>
                <w:szCs w:val="20"/>
              </w:rPr>
              <w:t>手机号作为密保凭据时，需要向原手机号发送短信校验码才能变更手机号。邮箱账号作为密保凭据时，需要向原邮箱账号发送校验码才能变更邮箱账号。私密问答作为密保凭据时，需要提供正确的答案才能变更密保答案。</w:t>
            </w:r>
            <w:r>
              <w:rPr>
                <w:rFonts w:hint="eastAsia" w:ascii="宋体" w:hAnsi="宋体" w:cs="宋体"/>
                <w:sz w:val="20"/>
                <w:szCs w:val="20"/>
              </w:rPr>
              <w:br w:type="textWrapping"/>
            </w:r>
            <w:r>
              <w:rPr>
                <w:rFonts w:hint="eastAsia" w:ascii="宋体" w:hAnsi="宋体" w:cs="宋体"/>
                <w:sz w:val="20"/>
                <w:szCs w:val="20"/>
              </w:rPr>
              <w:t>认证页面输入N（默认3 次）次错误密码后，将需要输入随机校验码，并记录登录者的IP及MAC，以防止用户通过自动化工具暴力破解密码。</w:t>
            </w:r>
            <w:r>
              <w:rPr>
                <w:rFonts w:hint="eastAsia" w:ascii="宋体" w:hAnsi="宋体" w:cs="宋体"/>
                <w:sz w:val="20"/>
                <w:szCs w:val="20"/>
              </w:rPr>
              <w:br w:type="textWrapping"/>
            </w:r>
            <w:r>
              <w:rPr>
                <w:rFonts w:hint="eastAsia" w:ascii="宋体" w:hAnsi="宋体" w:cs="宋体"/>
                <w:sz w:val="20"/>
                <w:szCs w:val="20"/>
              </w:rPr>
              <w:t>支持对在线用户进行管理，可下发实时和离线短消息、查看在线用户、下发实时和离线修复程序、强制在线用户下线以及重认证、实时进程信息获取以及远程协助的功能。</w:t>
            </w:r>
            <w:r>
              <w:rPr>
                <w:rFonts w:hint="eastAsia" w:ascii="宋体" w:hAnsi="宋体" w:cs="宋体"/>
                <w:sz w:val="20"/>
                <w:szCs w:val="20"/>
              </w:rPr>
              <w:br w:type="textWrapping"/>
            </w:r>
            <w:r>
              <w:rPr>
                <w:rFonts w:hint="eastAsia" w:ascii="宋体" w:hAnsi="宋体" w:cs="宋体"/>
                <w:sz w:val="20"/>
                <w:szCs w:val="20"/>
              </w:rPr>
              <w:t>支持禁止已认证用户给未认证用户提供代理服务；禁止已认证用户启用拨号服务，进行非法外连；支持设置用户密码输错的次数上限，防暴力破解。</w:t>
            </w:r>
            <w:r>
              <w:rPr>
                <w:rFonts w:hint="eastAsia" w:ascii="宋体" w:hAnsi="宋体" w:cs="宋体"/>
                <w:sz w:val="20"/>
                <w:szCs w:val="20"/>
              </w:rPr>
              <w:br w:type="textWrapping"/>
            </w:r>
            <w:r>
              <w:rPr>
                <w:rFonts w:hint="eastAsia" w:ascii="宋体" w:hAnsi="宋体" w:cs="宋体"/>
                <w:sz w:val="20"/>
                <w:szCs w:val="20"/>
              </w:rPr>
              <w:t>支持直接获取用户网卡的物理MAC地址，防止篡改MAC地址。</w:t>
            </w:r>
            <w:r>
              <w:rPr>
                <w:rFonts w:hint="eastAsia" w:ascii="宋体" w:hAnsi="宋体" w:cs="宋体"/>
                <w:sz w:val="20"/>
                <w:szCs w:val="20"/>
              </w:rPr>
              <w:br w:type="textWrapping"/>
            </w:r>
            <w:r>
              <w:rPr>
                <w:rFonts w:hint="eastAsia" w:ascii="宋体" w:hAnsi="宋体" w:cs="宋体"/>
                <w:sz w:val="20"/>
                <w:szCs w:val="20"/>
              </w:rPr>
              <w:t>禁止用户非法外连互联网，一旦访问则进行日志记录，并禁用所有网络连接；支持基于网络设备ACL、设备VLAN、主机ACL的网络权限控制。</w:t>
            </w:r>
            <w:r>
              <w:rPr>
                <w:rFonts w:hint="eastAsia" w:ascii="宋体" w:hAnsi="宋体" w:cs="宋体"/>
                <w:sz w:val="20"/>
                <w:szCs w:val="20"/>
              </w:rPr>
              <w:br w:type="textWrapping"/>
            </w:r>
            <w:r>
              <w:rPr>
                <w:rFonts w:hint="eastAsia" w:ascii="宋体" w:hAnsi="宋体" w:cs="宋体"/>
                <w:sz w:val="20"/>
                <w:szCs w:val="20"/>
              </w:rPr>
              <w:t>支持与Windows安全中心联动，实现XP以上Windows系统的安全中心联动。</w:t>
            </w:r>
            <w:r>
              <w:rPr>
                <w:rFonts w:hint="eastAsia" w:ascii="宋体" w:hAnsi="宋体" w:cs="宋体"/>
                <w:sz w:val="20"/>
                <w:szCs w:val="20"/>
              </w:rPr>
              <w:br w:type="textWrapping"/>
            </w:r>
            <w:r>
              <w:rPr>
                <w:rFonts w:hint="eastAsia" w:ascii="宋体" w:hAnsi="宋体" w:cs="宋体"/>
                <w:sz w:val="20"/>
                <w:szCs w:val="20"/>
              </w:rPr>
              <w:t>支持安装程序的检测和修复，对必须安装的软件强制下载和安装，禁止安装的软件提示卸载；支持进程运行、注册表项、Windows服务项的检查和修复；支持对外连接口进行管理，可禁止使用USB、光驱等外连接口；</w:t>
            </w:r>
            <w:r>
              <w:rPr>
                <w:rFonts w:hint="eastAsia" w:ascii="宋体" w:hAnsi="宋体" w:cs="宋体"/>
                <w:sz w:val="20"/>
                <w:szCs w:val="20"/>
              </w:rPr>
              <w:br w:type="textWrapping"/>
            </w:r>
            <w:r>
              <w:rPr>
                <w:rFonts w:hint="eastAsia" w:ascii="宋体" w:hAnsi="宋体" w:cs="宋体"/>
                <w:sz w:val="20"/>
                <w:szCs w:val="20"/>
              </w:rPr>
              <w:t>支持基于交换机ACL、交换机VLAN、主机ACL实现的隔离区。</w:t>
            </w:r>
            <w:r>
              <w:rPr>
                <w:rFonts w:hint="eastAsia" w:ascii="宋体" w:hAnsi="宋体" w:cs="宋体"/>
                <w:sz w:val="20"/>
                <w:szCs w:val="20"/>
              </w:rPr>
              <w:br w:type="textWrapping"/>
            </w:r>
            <w:r>
              <w:rPr>
                <w:rFonts w:hint="eastAsia" w:ascii="宋体" w:hAnsi="宋体" w:cs="宋体"/>
                <w:sz w:val="20"/>
                <w:szCs w:val="20"/>
              </w:rPr>
              <w:t>支持与出口、日志系统设备联动实现中文实名日志记录，实现实名审计、流量控制功能。</w:t>
            </w:r>
          </w:p>
        </w:tc>
      </w:tr>
      <w:tr w14:paraId="58E69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1" w:hRule="atLeast"/>
        </w:trPr>
        <w:tc>
          <w:tcPr>
            <w:tcW w:w="270" w:type="pct"/>
            <w:shd w:val="clear" w:color="auto" w:fill="auto"/>
            <w:noWrap/>
            <w:vAlign w:val="center"/>
          </w:tcPr>
          <w:p w14:paraId="7ADA0616">
            <w:pPr>
              <w:jc w:val="center"/>
              <w:rPr>
                <w:rFonts w:ascii="宋体" w:hAnsi="宋体" w:cs="宋体"/>
                <w:b/>
                <w:bCs/>
                <w:color w:val="000000"/>
              </w:rPr>
            </w:pPr>
            <w:r>
              <w:rPr>
                <w:rFonts w:hint="eastAsia" w:ascii="宋体" w:hAnsi="宋体" w:cs="宋体"/>
                <w:b/>
                <w:bCs/>
                <w:color w:val="000000"/>
              </w:rPr>
              <w:t>3</w:t>
            </w:r>
          </w:p>
        </w:tc>
        <w:tc>
          <w:tcPr>
            <w:tcW w:w="1210" w:type="pct"/>
            <w:gridSpan w:val="2"/>
            <w:shd w:val="clear" w:color="auto" w:fill="auto"/>
            <w:vAlign w:val="center"/>
          </w:tcPr>
          <w:p w14:paraId="192886EF">
            <w:pPr>
              <w:jc w:val="center"/>
              <w:rPr>
                <w:rFonts w:ascii="宋体" w:hAnsi="宋体" w:cs="宋体"/>
                <w:b/>
                <w:bCs/>
                <w:color w:val="000000"/>
              </w:rPr>
            </w:pPr>
            <w:r>
              <w:rPr>
                <w:rFonts w:hint="eastAsia" w:ascii="宋体" w:hAnsi="宋体" w:cs="宋体"/>
                <w:b/>
                <w:bCs/>
                <w:color w:val="000000"/>
              </w:rPr>
              <w:t>日志审计软件</w:t>
            </w:r>
          </w:p>
        </w:tc>
        <w:tc>
          <w:tcPr>
            <w:tcW w:w="3520" w:type="pct"/>
            <w:shd w:val="clear" w:color="auto" w:fill="auto"/>
            <w:vAlign w:val="center"/>
          </w:tcPr>
          <w:p w14:paraId="42CD4BED">
            <w:pPr>
              <w:rPr>
                <w:rFonts w:ascii="宋体" w:hAnsi="宋体" w:cs="宋体"/>
                <w:sz w:val="20"/>
                <w:szCs w:val="20"/>
              </w:rPr>
            </w:pPr>
            <w:r>
              <w:rPr>
                <w:rFonts w:hint="eastAsia" w:ascii="宋体" w:hAnsi="宋体" w:cs="宋体"/>
                <w:sz w:val="20"/>
                <w:szCs w:val="20"/>
              </w:rPr>
              <w:t>支持用户画像，即用户信息标签化，通过收集用户的网页访问数据和APP访问数据生成对应的用户兴趣标签。</w:t>
            </w:r>
            <w:r>
              <w:rPr>
                <w:rFonts w:hint="eastAsia" w:ascii="宋体" w:hAnsi="宋体" w:cs="宋体"/>
                <w:sz w:val="20"/>
                <w:szCs w:val="20"/>
              </w:rPr>
              <w:br w:type="textWrapping"/>
            </w:r>
            <w:r>
              <w:rPr>
                <w:rFonts w:hint="eastAsia" w:ascii="宋体" w:hAnsi="宋体" w:cs="宋体"/>
                <w:sz w:val="20"/>
                <w:szCs w:val="20"/>
              </w:rPr>
              <w:t>基于Linux系统，日志存储空间易扩容；提供日志空间管理功能。</w:t>
            </w:r>
            <w:r>
              <w:rPr>
                <w:rFonts w:hint="eastAsia" w:ascii="宋体" w:hAnsi="宋体" w:cs="宋体"/>
                <w:sz w:val="20"/>
                <w:szCs w:val="20"/>
              </w:rPr>
              <w:br w:type="textWrapping"/>
            </w:r>
            <w:r>
              <w:rPr>
                <w:rFonts w:hint="eastAsia" w:ascii="宋体" w:hAnsi="宋体" w:cs="宋体"/>
                <w:sz w:val="20"/>
                <w:szCs w:val="20"/>
              </w:rPr>
              <w:t>支持审计设备IP、用户IP、用户名、发件人、收件人、邮件主题、邮件大小、访问时间、附件。</w:t>
            </w:r>
            <w:r>
              <w:rPr>
                <w:rFonts w:hint="eastAsia" w:ascii="宋体" w:hAnsi="宋体" w:cs="宋体"/>
                <w:sz w:val="20"/>
                <w:szCs w:val="20"/>
              </w:rPr>
              <w:br w:type="textWrapping"/>
            </w:r>
            <w:r>
              <w:rPr>
                <w:rFonts w:hint="eastAsia" w:ascii="宋体" w:hAnsi="宋体" w:cs="宋体"/>
                <w:sz w:val="20"/>
                <w:szCs w:val="20"/>
              </w:rPr>
              <w:t>审计日志内容可包括时间戳、网关设备名称、用户名、BBS地址、贴子标题、贴子正文。</w:t>
            </w:r>
            <w:r>
              <w:rPr>
                <w:rFonts w:hint="eastAsia" w:ascii="宋体" w:hAnsi="宋体" w:cs="宋体"/>
                <w:sz w:val="20"/>
                <w:szCs w:val="20"/>
              </w:rPr>
              <w:br w:type="textWrapping"/>
            </w:r>
            <w:r>
              <w:rPr>
                <w:rFonts w:hint="eastAsia" w:ascii="宋体" w:hAnsi="宋体" w:cs="宋体"/>
                <w:sz w:val="20"/>
                <w:szCs w:val="20"/>
              </w:rPr>
              <w:t>用户网络行为的7元组（NAT前源IP、NAT前源端口、NAT后源IP、NAT后源端口、NAT后目的IP、NAT后目的端口、时间戳）等条目做为条件进行查询。</w:t>
            </w:r>
            <w:r>
              <w:rPr>
                <w:rFonts w:hint="eastAsia" w:ascii="宋体" w:hAnsi="宋体" w:cs="宋体"/>
                <w:sz w:val="20"/>
                <w:szCs w:val="20"/>
              </w:rPr>
              <w:br w:type="textWrapping"/>
            </w:r>
            <w:r>
              <w:rPr>
                <w:rFonts w:hint="eastAsia" w:ascii="宋体" w:hAnsi="宋体" w:cs="宋体"/>
                <w:sz w:val="20"/>
                <w:szCs w:val="20"/>
              </w:rPr>
              <w:t>通过选择[自定义时间] + BBS主题 + URL地址，快速的检索到某个帖子/微博/博客的主题或者链接地址的发布者实名信息。</w:t>
            </w:r>
            <w:r>
              <w:rPr>
                <w:rFonts w:hint="eastAsia" w:ascii="宋体" w:hAnsi="宋体" w:cs="宋体"/>
                <w:sz w:val="20"/>
                <w:szCs w:val="20"/>
              </w:rPr>
              <w:br w:type="textWrapping"/>
            </w:r>
            <w:r>
              <w:rPr>
                <w:rFonts w:hint="eastAsia" w:ascii="宋体" w:hAnsi="宋体" w:cs="宋体"/>
                <w:sz w:val="20"/>
                <w:szCs w:val="20"/>
              </w:rPr>
              <w:t>支持审计设备IP 源IP 用户名 URL地址 URL分类 访问时间。</w:t>
            </w:r>
            <w:r>
              <w:rPr>
                <w:rFonts w:hint="eastAsia" w:ascii="宋体" w:hAnsi="宋体" w:cs="宋体"/>
                <w:sz w:val="20"/>
                <w:szCs w:val="20"/>
              </w:rPr>
              <w:br w:type="textWrapping"/>
            </w:r>
            <w:r>
              <w:rPr>
                <w:rFonts w:hint="eastAsia" w:ascii="宋体" w:hAnsi="宋体" w:cs="宋体"/>
                <w:sz w:val="20"/>
                <w:szCs w:val="20"/>
              </w:rPr>
              <w:t>支持设备24小时流量趋势图展示；支持24小时用户流量TOP10排行；支持设备、源IP、应用的总流量、流量趋势图、流量明细的查询。</w:t>
            </w:r>
            <w:r>
              <w:rPr>
                <w:rFonts w:hint="eastAsia" w:ascii="宋体" w:hAnsi="宋体" w:cs="宋体"/>
                <w:sz w:val="20"/>
                <w:szCs w:val="20"/>
              </w:rPr>
              <w:br w:type="textWrapping"/>
            </w:r>
            <w:r>
              <w:rPr>
                <w:rFonts w:ascii="宋体" w:hAnsi="宋体" w:cs="宋体"/>
                <w:sz w:val="20"/>
                <w:szCs w:val="20"/>
              </w:rPr>
              <w:t>12</w:t>
            </w:r>
            <w:r>
              <w:rPr>
                <w:rFonts w:hint="eastAsia" w:ascii="宋体" w:hAnsi="宋体" w:cs="宋体"/>
                <w:sz w:val="20"/>
                <w:szCs w:val="20"/>
              </w:rPr>
              <w:t>.★支持根据各省市公安部安监平台标准要求，支持上报用户上网行为信息，满足《中华人民共和国公安部令（第82号）》以及新网监《GAWA3011.1-2015公共场所无线上网安全管理系统无线接入场所端功能要求》等相关文件要求；</w:t>
            </w:r>
            <w:r>
              <w:rPr>
                <w:rFonts w:hint="eastAsia" w:ascii="宋体" w:hAnsi="宋体" w:cs="宋体"/>
                <w:sz w:val="20"/>
                <w:szCs w:val="20"/>
                <w:u w:val="single"/>
              </w:rPr>
              <w:t>提供功能界面截图</w:t>
            </w:r>
            <w:r>
              <w:rPr>
                <w:rFonts w:hint="eastAsia" w:ascii="宋体" w:hAnsi="宋体" w:cs="宋体"/>
                <w:sz w:val="20"/>
                <w:szCs w:val="20"/>
              </w:rPr>
              <w:t>。</w:t>
            </w:r>
          </w:p>
        </w:tc>
      </w:tr>
      <w:tr w14:paraId="5C377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8" w:hRule="atLeast"/>
        </w:trPr>
        <w:tc>
          <w:tcPr>
            <w:tcW w:w="270" w:type="pct"/>
            <w:vMerge w:val="restart"/>
            <w:shd w:val="clear" w:color="auto" w:fill="auto"/>
            <w:noWrap/>
            <w:vAlign w:val="center"/>
          </w:tcPr>
          <w:p w14:paraId="21985AF1">
            <w:pPr>
              <w:jc w:val="center"/>
              <w:rPr>
                <w:rFonts w:ascii="宋体" w:hAnsi="宋体" w:cs="宋体"/>
                <w:b/>
                <w:bCs/>
                <w:color w:val="000000"/>
              </w:rPr>
            </w:pPr>
            <w:r>
              <w:rPr>
                <w:rFonts w:hint="eastAsia" w:ascii="宋体" w:hAnsi="宋体" w:cs="宋体"/>
                <w:b/>
                <w:bCs/>
                <w:color w:val="000000"/>
              </w:rPr>
              <w:t>4</w:t>
            </w:r>
          </w:p>
        </w:tc>
        <w:tc>
          <w:tcPr>
            <w:tcW w:w="1210" w:type="pct"/>
            <w:gridSpan w:val="2"/>
            <w:vMerge w:val="restart"/>
            <w:shd w:val="clear" w:color="auto" w:fill="auto"/>
            <w:vAlign w:val="center"/>
          </w:tcPr>
          <w:p w14:paraId="6CE58473">
            <w:pPr>
              <w:jc w:val="center"/>
              <w:rPr>
                <w:rFonts w:ascii="宋体" w:hAnsi="宋体" w:cs="宋体"/>
                <w:b/>
                <w:bCs/>
                <w:color w:val="000000"/>
              </w:rPr>
            </w:pPr>
            <w:r>
              <w:rPr>
                <w:rFonts w:hint="eastAsia" w:ascii="宋体" w:hAnsi="宋体" w:cs="宋体"/>
                <w:b/>
                <w:bCs/>
                <w:color w:val="000000"/>
              </w:rPr>
              <w:t>运维软件</w:t>
            </w:r>
          </w:p>
        </w:tc>
        <w:tc>
          <w:tcPr>
            <w:tcW w:w="3520" w:type="pct"/>
            <w:shd w:val="clear" w:color="auto" w:fill="auto"/>
            <w:vAlign w:val="center"/>
          </w:tcPr>
          <w:p w14:paraId="3C1712C2">
            <w:pPr>
              <w:rPr>
                <w:rFonts w:ascii="宋体" w:hAnsi="宋体" w:cs="宋体"/>
                <w:sz w:val="20"/>
                <w:szCs w:val="20"/>
              </w:rPr>
            </w:pPr>
            <w:r>
              <w:rPr>
                <w:rFonts w:hint="eastAsia" w:ascii="宋体" w:hAnsi="宋体" w:cs="宋体"/>
                <w:sz w:val="20"/>
                <w:szCs w:val="20"/>
              </w:rPr>
              <w:t>B/S架构，无需安装客户端，要求软件/模块必须使用同一品牌，且具有完全自主知识产权。</w:t>
            </w:r>
            <w:r>
              <w:rPr>
                <w:rFonts w:hint="eastAsia" w:ascii="宋体" w:hAnsi="宋体" w:cs="宋体"/>
                <w:sz w:val="20"/>
                <w:szCs w:val="20"/>
              </w:rPr>
              <w:br w:type="textWrapping"/>
            </w:r>
            <w:r>
              <w:rPr>
                <w:rFonts w:hint="eastAsia" w:ascii="宋体" w:hAnsi="宋体" w:cs="宋体"/>
                <w:sz w:val="20"/>
                <w:szCs w:val="20"/>
              </w:rPr>
              <w:t>全中文图形化界面，支持Windows平台，采用C/S架构同时支持B/S应用模式。</w:t>
            </w:r>
            <w:r>
              <w:rPr>
                <w:rFonts w:hint="eastAsia" w:ascii="宋体" w:hAnsi="宋体" w:cs="宋体"/>
                <w:sz w:val="20"/>
                <w:szCs w:val="20"/>
              </w:rPr>
              <w:br w:type="textWrapping"/>
            </w:r>
            <w:r>
              <w:rPr>
                <w:rFonts w:hint="eastAsia" w:ascii="宋体" w:hAnsi="宋体" w:cs="宋体"/>
                <w:sz w:val="20"/>
                <w:szCs w:val="20"/>
              </w:rPr>
              <w:t>系统应具备自身监控功能，能够监控自身服务、组件的可用性、端口、连续运行时间、JVM线程数、分配内存量、使用内存量，当有故障时，能够及时告警。</w:t>
            </w:r>
            <w:r>
              <w:rPr>
                <w:rFonts w:hint="eastAsia" w:ascii="宋体" w:hAnsi="宋体" w:cs="宋体"/>
                <w:sz w:val="20"/>
                <w:szCs w:val="20"/>
              </w:rPr>
              <w:br w:type="textWrapping"/>
            </w:r>
            <w:r>
              <w:rPr>
                <w:rFonts w:ascii="宋体" w:hAnsi="宋体" w:cs="宋体"/>
                <w:sz w:val="20"/>
                <w:szCs w:val="20"/>
              </w:rPr>
              <w:t>13</w:t>
            </w:r>
            <w:r>
              <w:rPr>
                <w:rFonts w:hint="eastAsia" w:ascii="宋体" w:hAnsi="宋体" w:cs="宋体"/>
                <w:sz w:val="20"/>
                <w:szCs w:val="20"/>
              </w:rPr>
              <w:t>.★为了减轻系统运维人员的重复工作，系统应提供设备自动巡检功能。1、巡检内容包括服务器、网络设备、应用、无线、虚拟化、存储、机房环境等所有管理对象。2、巡检应支持自定义多个巡检任务面向不同的管理对象，设定巡检时间。巡检结束后应生成巡检报告以邮件方式发送给运维人员。</w:t>
            </w:r>
            <w:r>
              <w:rPr>
                <w:rFonts w:hint="eastAsia" w:ascii="宋体" w:hAnsi="宋体" w:cs="宋体"/>
                <w:sz w:val="20"/>
                <w:szCs w:val="20"/>
                <w:u w:val="single"/>
              </w:rPr>
              <w:t>提供相关配置页面截图，加盖原厂投标专用章或公章。</w:t>
            </w:r>
            <w:r>
              <w:rPr>
                <w:rFonts w:hint="eastAsia" w:ascii="宋体" w:hAnsi="宋体" w:cs="宋体"/>
                <w:sz w:val="20"/>
                <w:szCs w:val="20"/>
              </w:rPr>
              <w:br w:type="textWrapping"/>
            </w:r>
            <w:r>
              <w:rPr>
                <w:rFonts w:hint="eastAsia" w:ascii="宋体" w:hAnsi="宋体" w:cs="宋体"/>
                <w:sz w:val="20"/>
                <w:szCs w:val="20"/>
              </w:rPr>
              <w:t>数据中心机房是信息化最为关键的场所，3D可视化是扩展运维范围及效率的重要手段，场景会随着业务的需要而进行变更及维护，所以3D场景需具备灵活的可维护编辑特性。</w:t>
            </w:r>
            <w:r>
              <w:rPr>
                <w:rFonts w:hint="eastAsia" w:ascii="宋体" w:hAnsi="宋体" w:cs="宋体"/>
                <w:sz w:val="20"/>
                <w:szCs w:val="20"/>
              </w:rPr>
              <w:br w:type="textWrapping"/>
            </w:r>
            <w:r>
              <w:rPr>
                <w:rFonts w:hint="eastAsia" w:ascii="宋体" w:hAnsi="宋体" w:cs="宋体"/>
                <w:sz w:val="20"/>
                <w:szCs w:val="20"/>
              </w:rPr>
              <w:t>因管理对象厂商众多、软硬件型号众多，运维管理系统要求支持多厂商多类型的综合管理。包括主流的网络设备、安全设备、无线设备、服务器、虚拟化资源、存储设备、应用、机房环境等。</w:t>
            </w:r>
            <w:r>
              <w:rPr>
                <w:rFonts w:hint="eastAsia" w:ascii="宋体" w:hAnsi="宋体" w:cs="宋体"/>
                <w:sz w:val="20"/>
                <w:szCs w:val="20"/>
              </w:rPr>
              <w:br w:type="textWrapping"/>
            </w:r>
            <w:r>
              <w:rPr>
                <w:rFonts w:hint="eastAsia" w:ascii="宋体" w:hAnsi="宋体" w:cs="宋体"/>
                <w:sz w:val="20"/>
                <w:szCs w:val="20"/>
              </w:rPr>
              <w:t>系统自动呈现网络的真实拓扑图，支持三层网络拓扑、二层物理拓扑、VLAN子网拓扑等不同的呈现方式，通过不同的拓扑多角度管理网络。</w:t>
            </w:r>
            <w:r>
              <w:rPr>
                <w:rFonts w:hint="eastAsia" w:ascii="宋体" w:hAnsi="宋体" w:cs="宋体"/>
                <w:sz w:val="20"/>
                <w:szCs w:val="20"/>
              </w:rPr>
              <w:br w:type="textWrapping"/>
            </w:r>
            <w:r>
              <w:rPr>
                <w:rFonts w:hint="eastAsia" w:ascii="宋体" w:hAnsi="宋体" w:cs="宋体"/>
                <w:sz w:val="20"/>
                <w:szCs w:val="20"/>
              </w:rPr>
              <w:t>为从宏观和整体角度掌握所有IT系统的运行情况，系统应提供IT整体健康指数的量化指标，使运维部门的管理人员清晰了解当前整体IT系统的好坏，以及IT整体健康情况的历史走势。通过分析IT整体健康指数了解其影响因素是哪些业务系统。</w:t>
            </w:r>
            <w:r>
              <w:rPr>
                <w:rFonts w:hint="eastAsia" w:ascii="宋体" w:hAnsi="宋体" w:cs="宋体"/>
                <w:sz w:val="20"/>
                <w:szCs w:val="20"/>
              </w:rPr>
              <w:br w:type="textWrapping"/>
            </w:r>
            <w:r>
              <w:rPr>
                <w:rFonts w:hint="eastAsia" w:ascii="宋体" w:hAnsi="宋体" w:cs="宋体"/>
                <w:sz w:val="20"/>
                <w:szCs w:val="20"/>
              </w:rPr>
              <w:t>支持拓扑的自动发现，可通过SNMP、ICMP、ARP等多种方式发现</w:t>
            </w:r>
          </w:p>
        </w:tc>
      </w:tr>
      <w:tr w14:paraId="18809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9" w:hRule="atLeast"/>
        </w:trPr>
        <w:tc>
          <w:tcPr>
            <w:tcW w:w="270" w:type="pct"/>
            <w:vMerge w:val="continue"/>
            <w:shd w:val="clear" w:color="auto" w:fill="auto"/>
            <w:noWrap/>
            <w:vAlign w:val="center"/>
          </w:tcPr>
          <w:p w14:paraId="56781676">
            <w:pPr>
              <w:jc w:val="center"/>
              <w:rPr>
                <w:rFonts w:ascii="宋体" w:hAnsi="宋体" w:cs="宋体"/>
                <w:b/>
                <w:bCs/>
                <w:color w:val="000000"/>
              </w:rPr>
            </w:pPr>
          </w:p>
        </w:tc>
        <w:tc>
          <w:tcPr>
            <w:tcW w:w="1210" w:type="pct"/>
            <w:gridSpan w:val="2"/>
            <w:vMerge w:val="continue"/>
            <w:shd w:val="clear" w:color="auto" w:fill="auto"/>
            <w:vAlign w:val="center"/>
          </w:tcPr>
          <w:p w14:paraId="58027E50">
            <w:pPr>
              <w:jc w:val="center"/>
              <w:rPr>
                <w:rFonts w:ascii="宋体" w:hAnsi="宋体" w:cs="宋体"/>
                <w:b/>
                <w:bCs/>
                <w:color w:val="000000"/>
              </w:rPr>
            </w:pPr>
          </w:p>
        </w:tc>
        <w:tc>
          <w:tcPr>
            <w:tcW w:w="3520" w:type="pct"/>
            <w:shd w:val="clear" w:color="auto" w:fill="auto"/>
            <w:vAlign w:val="center"/>
          </w:tcPr>
          <w:p w14:paraId="72B4ADE8">
            <w:pPr>
              <w:rPr>
                <w:rFonts w:ascii="宋体" w:hAnsi="宋体" w:cs="宋体"/>
                <w:sz w:val="20"/>
                <w:szCs w:val="20"/>
              </w:rPr>
            </w:pPr>
            <w:r>
              <w:rPr>
                <w:rFonts w:hint="eastAsia" w:ascii="宋体" w:hAnsi="宋体" w:cs="宋体"/>
                <w:sz w:val="20"/>
                <w:szCs w:val="20"/>
              </w:rPr>
              <w:t>设备，支持自定义的WEB拓扑视图。</w:t>
            </w:r>
            <w:r>
              <w:rPr>
                <w:rFonts w:hint="eastAsia" w:ascii="宋体" w:hAnsi="宋体" w:cs="宋体"/>
                <w:sz w:val="20"/>
                <w:szCs w:val="20"/>
              </w:rPr>
              <w:br w:type="textWrapping"/>
            </w:r>
            <w:r>
              <w:rPr>
                <w:rFonts w:hint="eastAsia" w:ascii="宋体" w:hAnsi="宋体" w:cs="宋体"/>
                <w:sz w:val="20"/>
                <w:szCs w:val="20"/>
              </w:rPr>
              <w:t>VLAN子网拓扑发现要能够发现VLAN中所有终端PC设备，并计算出终端设备IP地址/MAC地址、接入交换机端口等信息，可自动在拓扑图上显示终端设备连接和出入流量、丢包等等情况。</w:t>
            </w:r>
            <w:r>
              <w:rPr>
                <w:rFonts w:hint="eastAsia" w:ascii="宋体" w:hAnsi="宋体" w:cs="宋体"/>
                <w:sz w:val="20"/>
                <w:szCs w:val="20"/>
              </w:rPr>
              <w:br w:type="textWrapping"/>
            </w:r>
            <w:r>
              <w:rPr>
                <w:rFonts w:hint="eastAsia" w:ascii="宋体" w:hAnsi="宋体" w:cs="宋体"/>
                <w:sz w:val="20"/>
                <w:szCs w:val="20"/>
              </w:rPr>
              <w:t>具备报表的创建、查询、修改、删除功能，支持报表的在线浏览、报表导入导出等功能，支持周期性生成报表和定向发布功能。</w:t>
            </w:r>
            <w:r>
              <w:rPr>
                <w:rFonts w:hint="eastAsia" w:ascii="宋体" w:hAnsi="宋体" w:cs="宋体"/>
                <w:sz w:val="20"/>
                <w:szCs w:val="20"/>
              </w:rPr>
              <w:br w:type="textWrapping"/>
            </w:r>
            <w:r>
              <w:rPr>
                <w:rFonts w:hint="eastAsia" w:ascii="宋体" w:hAnsi="宋体" w:cs="宋体"/>
                <w:sz w:val="20"/>
                <w:szCs w:val="20"/>
              </w:rPr>
              <w:t>支持IP地址管理，通过IP地址扫描功能发现网络中存的在IP，针对IP按照部门、地址段等信息进行分类，展示IP网络地址的规划率、使用率、非法占用等信息。可根据非法占用、未登记、接口变更、网段使用率产生告警消息。支持设定基准表，基准表按照IP地址范围、子网掩码设定网段信息。</w:t>
            </w:r>
            <w:r>
              <w:rPr>
                <w:rFonts w:hint="eastAsia" w:ascii="宋体" w:hAnsi="宋体" w:cs="宋体"/>
                <w:sz w:val="20"/>
                <w:szCs w:val="20"/>
              </w:rPr>
              <w:br w:type="textWrapping"/>
            </w:r>
            <w:r>
              <w:rPr>
                <w:rFonts w:hint="eastAsia" w:ascii="宋体" w:hAnsi="宋体" w:cs="宋体"/>
                <w:sz w:val="20"/>
                <w:szCs w:val="20"/>
              </w:rPr>
              <w:t>运维经验的积累与分享是整个运维能力提升的基础，因此系统要具备完整的知识管理功能。</w:t>
            </w:r>
            <w:r>
              <w:rPr>
                <w:rFonts w:hint="eastAsia" w:ascii="宋体" w:hAnsi="宋体" w:cs="宋体"/>
                <w:sz w:val="20"/>
                <w:szCs w:val="20"/>
              </w:rPr>
              <w:br w:type="textWrapping"/>
            </w:r>
            <w:r>
              <w:rPr>
                <w:rFonts w:hint="eastAsia" w:ascii="宋体" w:hAnsi="宋体" w:cs="宋体"/>
                <w:sz w:val="20"/>
                <w:szCs w:val="20"/>
              </w:rPr>
              <w:t>支持对Windows、Linux、HPUX、IBM AIX、SUN Solaris等操作系统的服务器管理，支持CLI /SNMP /AGENT三种模式管理服务器；支持对Web、FTP、POP3、SMTP等应用服务可用性进行管理监控。</w:t>
            </w:r>
          </w:p>
        </w:tc>
      </w:tr>
    </w:tbl>
    <w:p w14:paraId="19432E81">
      <w:pPr>
        <w:spacing w:line="360" w:lineRule="auto"/>
        <w:rPr>
          <w:rFonts w:ascii="宋体" w:hAnsi="宋体" w:cs="宋体"/>
          <w:b/>
          <w:szCs w:val="21"/>
        </w:rPr>
      </w:pPr>
    </w:p>
    <w:p w14:paraId="415BC203">
      <w:pPr>
        <w:adjustRightInd w:val="0"/>
        <w:snapToGrid w:val="0"/>
        <w:spacing w:line="520" w:lineRule="exact"/>
        <w:rPr>
          <w:rFonts w:ascii="宋体" w:hAnsi="宋体" w:cs="宋体"/>
          <w:b/>
          <w:bCs/>
          <w:sz w:val="24"/>
        </w:rPr>
      </w:pPr>
      <w:bookmarkStart w:id="124" w:name="_Hlk169000384"/>
      <w:r>
        <w:rPr>
          <w:rFonts w:hint="eastAsia" w:ascii="宋体" w:hAnsi="宋体" w:cs="宋体"/>
          <w:b/>
          <w:bCs/>
          <w:sz w:val="24"/>
        </w:rPr>
        <w:t>四、技术需求描述</w:t>
      </w:r>
    </w:p>
    <w:bookmarkEnd w:id="124"/>
    <w:p w14:paraId="782EBAF0">
      <w:pPr>
        <w:pStyle w:val="5"/>
        <w:rPr>
          <w:rFonts w:ascii="宋体" w:hAnsi="宋体" w:eastAsia="宋体" w:cs="宋体"/>
          <w:sz w:val="22"/>
          <w:szCs w:val="21"/>
          <w:lang w:eastAsia="zh-CN"/>
        </w:rPr>
      </w:pPr>
      <w:r>
        <w:rPr>
          <w:rFonts w:hint="eastAsia" w:ascii="宋体" w:hAnsi="宋体" w:eastAsia="宋体" w:cs="宋体"/>
          <w:sz w:val="22"/>
          <w:szCs w:val="21"/>
          <w:lang w:eastAsia="zh-CN"/>
        </w:rPr>
        <w:t>(一)电子政务外网城域网使用服务</w:t>
      </w:r>
    </w:p>
    <w:p w14:paraId="33C67ED3">
      <w:pPr>
        <w:adjustRightInd w:val="0"/>
        <w:snapToGrid w:val="0"/>
        <w:spacing w:line="360" w:lineRule="auto"/>
        <w:ind w:firstLine="480"/>
        <w:rPr>
          <w:rFonts w:ascii="宋体" w:hAnsi="宋体" w:cs="宋体"/>
          <w:szCs w:val="21"/>
        </w:rPr>
      </w:pPr>
      <w:r>
        <w:rPr>
          <w:rFonts w:hint="eastAsia" w:ascii="宋体" w:hAnsi="宋体" w:cs="宋体"/>
          <w:szCs w:val="21"/>
        </w:rPr>
        <w:t>市到</w:t>
      </w:r>
      <w:r>
        <w:rPr>
          <w:rFonts w:hint="eastAsia" w:ascii="宋体" w:hAnsi="宋体" w:cs="宋体"/>
        </w:rPr>
        <w:t>平顶山尼龙新材料开发区管委会</w:t>
      </w:r>
      <w:r>
        <w:rPr>
          <w:rFonts w:hint="eastAsia" w:ascii="宋体" w:hAnsi="宋体" w:cs="宋体"/>
          <w:szCs w:val="21"/>
        </w:rPr>
        <w:t>的电子政务外网出口城域网。</w:t>
      </w:r>
    </w:p>
    <w:p w14:paraId="60FC4562">
      <w:pPr>
        <w:adjustRightInd w:val="0"/>
        <w:snapToGrid w:val="0"/>
        <w:spacing w:line="360" w:lineRule="auto"/>
        <w:ind w:firstLine="480"/>
        <w:rPr>
          <w:rFonts w:ascii="宋体" w:hAnsi="宋体" w:cs="宋体"/>
          <w:szCs w:val="21"/>
        </w:rPr>
      </w:pPr>
      <w:r>
        <w:rPr>
          <w:rFonts w:hint="eastAsia" w:ascii="宋体" w:hAnsi="宋体" w:cs="宋体"/>
          <w:szCs w:val="21"/>
        </w:rPr>
        <w:t>根据国家电子政务网建设要求，符合国家电子政务网网络技术相关要求。</w:t>
      </w:r>
    </w:p>
    <w:p w14:paraId="48FEAD8C">
      <w:pPr>
        <w:adjustRightInd w:val="0"/>
        <w:snapToGrid w:val="0"/>
        <w:spacing w:line="360" w:lineRule="auto"/>
        <w:ind w:firstLine="480"/>
        <w:rPr>
          <w:rFonts w:ascii="宋体" w:hAnsi="宋体" w:cs="宋体"/>
          <w:szCs w:val="21"/>
        </w:rPr>
      </w:pPr>
      <w:r>
        <w:rPr>
          <w:rFonts w:hint="eastAsia" w:ascii="宋体" w:hAnsi="宋体" w:cs="宋体"/>
          <w:szCs w:val="21"/>
        </w:rPr>
        <w:t>城域网要求为：市到</w:t>
      </w:r>
      <w:r>
        <w:rPr>
          <w:rFonts w:hint="eastAsia" w:ascii="宋体" w:hAnsi="宋体" w:cs="宋体"/>
        </w:rPr>
        <w:t>平顶山尼龙新材料开发区管委会</w:t>
      </w:r>
      <w:r>
        <w:rPr>
          <w:rFonts w:hint="eastAsia" w:ascii="宋体" w:hAnsi="宋体" w:cs="宋体"/>
          <w:szCs w:val="21"/>
        </w:rPr>
        <w:t>政务外网城域网。</w:t>
      </w:r>
    </w:p>
    <w:p w14:paraId="6D54B1BE">
      <w:pPr>
        <w:pStyle w:val="5"/>
        <w:rPr>
          <w:rFonts w:ascii="宋体" w:hAnsi="宋体" w:eastAsia="宋体" w:cs="宋体"/>
          <w:sz w:val="22"/>
          <w:szCs w:val="21"/>
          <w:lang w:eastAsia="zh-CN"/>
        </w:rPr>
      </w:pPr>
      <w:bookmarkStart w:id="125" w:name="_Toc22103"/>
      <w:bookmarkStart w:id="126" w:name="_Toc24885"/>
      <w:r>
        <w:rPr>
          <w:rFonts w:hint="eastAsia" w:ascii="宋体" w:hAnsi="宋体" w:eastAsia="宋体" w:cs="宋体"/>
          <w:sz w:val="22"/>
          <w:szCs w:val="21"/>
          <w:lang w:eastAsia="zh-CN"/>
        </w:rPr>
        <w:t>(二) 政务外网机房环境及使用服务</w:t>
      </w:r>
    </w:p>
    <w:p w14:paraId="6533B6B7">
      <w:pPr>
        <w:spacing w:line="360" w:lineRule="auto"/>
        <w:ind w:firstLine="420" w:firstLineChars="200"/>
        <w:rPr>
          <w:rFonts w:ascii="宋体" w:hAnsi="宋体" w:cs="宋体"/>
          <w:szCs w:val="21"/>
        </w:rPr>
      </w:pPr>
      <w:r>
        <w:rPr>
          <w:rFonts w:hint="eastAsia" w:ascii="宋体" w:hAnsi="宋体" w:cs="宋体"/>
          <w:szCs w:val="21"/>
        </w:rPr>
        <w:t>由承建方根据国家C类机房的标准提供配套机房服务、后期运维管理服务、设备更新维护等。</w:t>
      </w:r>
    </w:p>
    <w:p w14:paraId="0BF56B84">
      <w:pPr>
        <w:spacing w:line="360" w:lineRule="auto"/>
        <w:ind w:firstLine="422" w:firstLineChars="200"/>
        <w:rPr>
          <w:rFonts w:ascii="宋体" w:hAnsi="宋体" w:cs="宋体"/>
          <w:b/>
          <w:bCs/>
          <w:szCs w:val="21"/>
        </w:rPr>
      </w:pPr>
      <w:r>
        <w:rPr>
          <w:rFonts w:hint="eastAsia" w:ascii="宋体" w:hAnsi="宋体" w:cs="宋体"/>
          <w:b/>
          <w:bCs/>
          <w:szCs w:val="21"/>
        </w:rPr>
        <w:t>基本要求</w:t>
      </w:r>
    </w:p>
    <w:p w14:paraId="612A630B">
      <w:pPr>
        <w:spacing w:line="360" w:lineRule="auto"/>
        <w:ind w:firstLine="420" w:firstLineChars="200"/>
        <w:rPr>
          <w:rFonts w:ascii="宋体" w:hAnsi="宋体" w:cs="宋体"/>
          <w:szCs w:val="21"/>
        </w:rPr>
      </w:pPr>
      <w:r>
        <w:rPr>
          <w:rFonts w:hint="eastAsia" w:ascii="宋体" w:hAnsi="宋体" w:cs="宋体"/>
          <w:szCs w:val="21"/>
        </w:rPr>
        <w:t>机房配套服务不仅仅是一个计算机网络服务，更重要的是一个集系统集成、建筑配电、建筑消防、建筑装饰、暖通净化专业、计算机专业、弱电控制专业、接地防雷专业等多学科、多领域的综合服务。在配套服务中应对供配电方式、空气净化、安全防范措施以及防静电、防电磁辐射和抗干扰、防水、防雷、防火、防潮、防鼠等诸多方面给予高度重视，以确保计算机系统长期正常运行工作。</w:t>
      </w:r>
    </w:p>
    <w:p w14:paraId="322690C3">
      <w:pPr>
        <w:spacing w:line="360" w:lineRule="auto"/>
        <w:ind w:firstLine="420" w:firstLineChars="200"/>
        <w:rPr>
          <w:rFonts w:ascii="宋体" w:hAnsi="宋体" w:cs="宋体"/>
          <w:szCs w:val="21"/>
        </w:rPr>
      </w:pPr>
      <w:r>
        <w:rPr>
          <w:rFonts w:hint="eastAsia" w:ascii="宋体" w:hAnsi="宋体" w:cs="宋体"/>
          <w:szCs w:val="21"/>
        </w:rPr>
        <w:t>依据国家有关标准和规范，结合所需系统运行特点进行总体设计。业务完善，技术规范，安全可靠为主，确保系统安全可靠的运行。根据功能及服务要求区别对待，在满足用户的基本要求的同时，做到服务有重点，效率有保障，并保证场地工作人员的身心健康，延长系统的使用寿命。</w:t>
      </w:r>
    </w:p>
    <w:p w14:paraId="0C8C54AC">
      <w:pPr>
        <w:spacing w:line="360" w:lineRule="auto"/>
        <w:ind w:firstLine="420" w:firstLineChars="200"/>
        <w:rPr>
          <w:rFonts w:ascii="宋体" w:hAnsi="宋体" w:cs="宋体"/>
          <w:szCs w:val="21"/>
        </w:rPr>
      </w:pPr>
      <w:r>
        <w:rPr>
          <w:rFonts w:hint="eastAsia" w:ascii="宋体" w:hAnsi="宋体" w:cs="宋体"/>
          <w:szCs w:val="21"/>
        </w:rPr>
        <w:t>为设备和工作人员创造一个安全、可靠、美观、舒适的服务场所。</w:t>
      </w:r>
    </w:p>
    <w:p w14:paraId="7E98F710">
      <w:pPr>
        <w:spacing w:line="360" w:lineRule="auto"/>
        <w:ind w:firstLine="422" w:firstLineChars="200"/>
        <w:rPr>
          <w:rFonts w:ascii="宋体" w:hAnsi="宋体" w:cs="宋体"/>
          <w:b/>
          <w:bCs/>
          <w:szCs w:val="21"/>
        </w:rPr>
      </w:pPr>
      <w:r>
        <w:rPr>
          <w:rFonts w:hint="eastAsia" w:ascii="宋体" w:hAnsi="宋体" w:cs="宋体"/>
          <w:b/>
          <w:bCs/>
          <w:szCs w:val="21"/>
        </w:rPr>
        <w:t xml:space="preserve">服务内容 </w:t>
      </w:r>
    </w:p>
    <w:p w14:paraId="4D4B23F0">
      <w:pPr>
        <w:spacing w:line="360" w:lineRule="auto"/>
        <w:ind w:firstLine="420" w:firstLineChars="200"/>
        <w:rPr>
          <w:rFonts w:ascii="宋体" w:hAnsi="宋体" w:cs="宋体"/>
          <w:szCs w:val="21"/>
        </w:rPr>
      </w:pPr>
      <w:r>
        <w:rPr>
          <w:rFonts w:hint="eastAsia" w:ascii="宋体" w:hAnsi="宋体" w:cs="宋体"/>
          <w:szCs w:val="21"/>
        </w:rPr>
        <w:t>本次机房配套服务应包括以下几个方面：1．机房环境； 2．机房市电供配电系统；3．UPS不间断电源系统；4．接地系统；5．防雷系统；6. 空调系统；7.门禁系统；8.视频监控系统；9.综合布线系统；10. 机房消防系统；11. 新风系统；12．照明及应急照明系统等。</w:t>
      </w:r>
    </w:p>
    <w:p w14:paraId="56AE833B">
      <w:pPr>
        <w:pStyle w:val="5"/>
        <w:rPr>
          <w:rFonts w:ascii="宋体" w:hAnsi="宋体" w:eastAsia="宋体" w:cs="宋体"/>
          <w:sz w:val="22"/>
          <w:szCs w:val="21"/>
          <w:lang w:eastAsia="zh-CN"/>
        </w:rPr>
      </w:pPr>
      <w:r>
        <w:rPr>
          <w:rFonts w:hint="eastAsia" w:ascii="宋体" w:hAnsi="宋体" w:eastAsia="宋体" w:cs="宋体"/>
          <w:sz w:val="22"/>
          <w:szCs w:val="21"/>
          <w:lang w:eastAsia="zh-CN"/>
        </w:rPr>
        <w:t>(三) 政务外网通信中心网络和安全服务</w:t>
      </w:r>
    </w:p>
    <w:p w14:paraId="7FED4E7D">
      <w:pPr>
        <w:spacing w:line="360" w:lineRule="auto"/>
        <w:ind w:firstLine="420" w:firstLineChars="200"/>
        <w:rPr>
          <w:rFonts w:ascii="宋体" w:hAnsi="宋体" w:cs="宋体"/>
          <w:szCs w:val="21"/>
        </w:rPr>
      </w:pPr>
      <w:r>
        <w:rPr>
          <w:rFonts w:hint="eastAsia" w:ascii="宋体" w:hAnsi="宋体" w:cs="宋体"/>
          <w:szCs w:val="21"/>
        </w:rPr>
        <w:t>政务外网通信中心网络核心节点的路由、交换设备应符合国家和省、市电子政务有关文件的要求。</w:t>
      </w:r>
    </w:p>
    <w:p w14:paraId="4DE90C5E">
      <w:pPr>
        <w:spacing w:line="360" w:lineRule="auto"/>
        <w:ind w:firstLine="420" w:firstLineChars="200"/>
        <w:rPr>
          <w:rFonts w:ascii="宋体" w:hAnsi="宋体" w:cs="宋体"/>
          <w:szCs w:val="21"/>
        </w:rPr>
      </w:pPr>
      <w:r>
        <w:rPr>
          <w:rFonts w:hint="eastAsia" w:ascii="宋体" w:hAnsi="宋体" w:cs="宋体"/>
          <w:szCs w:val="21"/>
        </w:rPr>
        <w:t>应提供本级政务外网相关安全服务，互联网出口的防火墙和安全防范服务。对于统一互联网出口的解决方案应根据电子政务外网的应用现状，为各接入委办局提供统一互联网出口服务，需要对互联网出口做统一的规划。</w:t>
      </w:r>
    </w:p>
    <w:p w14:paraId="008C4ED7">
      <w:pPr>
        <w:pStyle w:val="5"/>
        <w:rPr>
          <w:rFonts w:ascii="宋体" w:hAnsi="宋体" w:eastAsia="宋体" w:cs="宋体"/>
          <w:sz w:val="22"/>
          <w:szCs w:val="21"/>
          <w:lang w:eastAsia="zh-CN"/>
        </w:rPr>
      </w:pPr>
      <w:r>
        <w:rPr>
          <w:rFonts w:hint="eastAsia" w:ascii="宋体" w:hAnsi="宋体" w:eastAsia="宋体" w:cs="宋体"/>
          <w:sz w:val="22"/>
          <w:szCs w:val="21"/>
          <w:lang w:eastAsia="zh-CN"/>
        </w:rPr>
        <w:t>(四) 政府门户网站群系统服务</w:t>
      </w:r>
    </w:p>
    <w:p w14:paraId="21B935AB">
      <w:pPr>
        <w:pStyle w:val="6"/>
        <w:rPr>
          <w:sz w:val="24"/>
          <w:lang w:eastAsia="zh-CN"/>
        </w:rPr>
      </w:pPr>
      <w:r>
        <w:rPr>
          <w:sz w:val="24"/>
          <w:lang w:eastAsia="zh-CN"/>
        </w:rPr>
        <w:t>1</w:t>
      </w:r>
      <w:r>
        <w:rPr>
          <w:rFonts w:hint="eastAsia" w:ascii="宋体" w:hAnsi="宋体" w:eastAsia="宋体" w:cs="宋体"/>
          <w:sz w:val="24"/>
          <w:lang w:eastAsia="zh-CN"/>
        </w:rPr>
        <w:t>、提供门户网站服务功能描述</w:t>
      </w:r>
    </w:p>
    <w:p w14:paraId="594CB75D">
      <w:pPr>
        <w:spacing w:line="360" w:lineRule="auto"/>
        <w:ind w:right="-1" w:firstLine="420" w:firstLineChars="200"/>
        <w:rPr>
          <w:rFonts w:ascii="宋体" w:hAnsi="宋体" w:cs="宋体"/>
          <w:szCs w:val="21"/>
        </w:rPr>
      </w:pPr>
      <w:r>
        <w:rPr>
          <w:rFonts w:hint="eastAsia" w:ascii="宋体" w:hAnsi="宋体" w:cs="宋体"/>
          <w:szCs w:val="21"/>
        </w:rPr>
        <w:t>根据平顶山市人民政府办公室</w:t>
      </w:r>
      <w:r>
        <w:rPr>
          <w:rFonts w:ascii="宋体" w:hAnsi="宋体" w:cs="宋体"/>
          <w:szCs w:val="21"/>
        </w:rPr>
        <w:t>“</w:t>
      </w:r>
      <w:r>
        <w:rPr>
          <w:rFonts w:hint="eastAsia" w:ascii="宋体" w:hAnsi="宋体" w:cs="宋体"/>
          <w:szCs w:val="21"/>
        </w:rPr>
        <w:t>关于做好政府网站与政务新媒体存在问题整改工作的通知</w:t>
      </w:r>
      <w:r>
        <w:rPr>
          <w:rFonts w:ascii="宋体" w:hAnsi="宋体" w:cs="宋体"/>
          <w:szCs w:val="21"/>
        </w:rPr>
        <w:t>”</w:t>
      </w:r>
      <w:r>
        <w:rPr>
          <w:rFonts w:hint="eastAsia" w:ascii="宋体" w:hAnsi="宋体" w:cs="宋体"/>
          <w:szCs w:val="21"/>
        </w:rPr>
        <w:t>以及国务院办公厅和省、市政务信息公开办公室相关文件要求，是对原有网站建设和管理的补充，采用</w:t>
      </w:r>
      <w:r>
        <w:rPr>
          <w:rFonts w:ascii="宋体" w:hAnsi="宋体" w:cs="宋体"/>
          <w:szCs w:val="21"/>
        </w:rPr>
        <w:t>“</w:t>
      </w:r>
      <w:r>
        <w:rPr>
          <w:rFonts w:hint="eastAsia" w:ascii="宋体" w:hAnsi="宋体" w:cs="宋体"/>
          <w:szCs w:val="21"/>
        </w:rPr>
        <w:t>统一规划、协同建设、分级管理</w:t>
      </w:r>
      <w:r>
        <w:rPr>
          <w:rFonts w:ascii="宋体" w:hAnsi="宋体" w:cs="宋体"/>
          <w:szCs w:val="21"/>
        </w:rPr>
        <w:t>”</w:t>
      </w:r>
      <w:r>
        <w:rPr>
          <w:rFonts w:hint="eastAsia" w:ascii="宋体" w:hAnsi="宋体" w:cs="宋体"/>
          <w:szCs w:val="21"/>
        </w:rPr>
        <w:t>的建设模式，依托全市政府门户网站群架构为政府各部门提供统一的系统平台</w:t>
      </w:r>
      <w:r>
        <w:rPr>
          <w:rFonts w:ascii="宋体" w:hAnsi="宋体" w:cs="宋体"/>
          <w:szCs w:val="21"/>
        </w:rPr>
        <w:t>,</w:t>
      </w:r>
      <w:r>
        <w:rPr>
          <w:rFonts w:hint="eastAsia" w:ascii="宋体" w:hAnsi="宋体" w:cs="宋体"/>
          <w:szCs w:val="21"/>
        </w:rPr>
        <w:t>把</w:t>
      </w:r>
      <w:r>
        <w:rPr>
          <w:rFonts w:hint="eastAsia" w:ascii="宋体" w:hAnsi="宋体" w:cs="宋体"/>
        </w:rPr>
        <w:t>平顶山尼龙新材料开发区管委会</w:t>
      </w:r>
      <w:r>
        <w:rPr>
          <w:rFonts w:hint="eastAsia" w:ascii="宋体" w:hAnsi="宋体" w:cs="宋体"/>
          <w:szCs w:val="21"/>
        </w:rPr>
        <w:t>门户网站建设成为功能齐全、内容丰富、更新及时、</w:t>
      </w:r>
      <w:r>
        <w:rPr>
          <w:rFonts w:ascii="宋体" w:hAnsi="宋体" w:cs="宋体"/>
          <w:szCs w:val="21"/>
        </w:rPr>
        <w:t xml:space="preserve"> </w:t>
      </w:r>
      <w:r>
        <w:rPr>
          <w:rFonts w:hint="eastAsia" w:ascii="宋体" w:hAnsi="宋体" w:cs="宋体"/>
          <w:szCs w:val="21"/>
        </w:rPr>
        <w:t>服务到位、</w:t>
      </w:r>
      <w:r>
        <w:rPr>
          <w:rFonts w:ascii="宋体" w:hAnsi="宋体" w:cs="宋体"/>
          <w:szCs w:val="21"/>
        </w:rPr>
        <w:t xml:space="preserve"> </w:t>
      </w:r>
      <w:r>
        <w:rPr>
          <w:rFonts w:hint="eastAsia" w:ascii="宋体" w:hAnsi="宋体" w:cs="宋体"/>
          <w:szCs w:val="21"/>
        </w:rPr>
        <w:t>制度健全、考核机制完善的统一平台。本次应用软件建设的主要任务如下：</w:t>
      </w:r>
    </w:p>
    <w:p w14:paraId="6F2352BF">
      <w:pPr>
        <w:spacing w:line="360" w:lineRule="auto"/>
        <w:ind w:right="-1" w:firstLine="422" w:firstLineChars="200"/>
        <w:rPr>
          <w:rFonts w:ascii="宋体" w:hAnsi="宋体" w:cs="宋体"/>
          <w:szCs w:val="21"/>
        </w:rPr>
      </w:pPr>
      <w:r>
        <w:rPr>
          <w:rFonts w:hint="eastAsia" w:ascii="宋体" w:hAnsi="宋体" w:cs="宋体"/>
          <w:b/>
          <w:bCs/>
          <w:szCs w:val="21"/>
        </w:rPr>
        <w:t>软件平台的使用授权：</w:t>
      </w:r>
      <w:r>
        <w:rPr>
          <w:rFonts w:hint="eastAsia" w:ascii="宋体" w:hAnsi="宋体" w:cs="宋体"/>
          <w:szCs w:val="21"/>
        </w:rPr>
        <w:t>要求提供完整的软件平台使用权限，如内容管理、栏目管理、内容审核、内容回收站、信件处理、用户管理以及权限管理等。</w:t>
      </w:r>
    </w:p>
    <w:p w14:paraId="392A5762">
      <w:pPr>
        <w:spacing w:line="360" w:lineRule="auto"/>
        <w:ind w:right="-1" w:firstLine="422" w:firstLineChars="200"/>
        <w:rPr>
          <w:sz w:val="24"/>
        </w:rPr>
      </w:pPr>
      <w:r>
        <w:rPr>
          <w:rFonts w:hint="eastAsia" w:ascii="宋体" w:hAnsi="宋体" w:cs="宋体"/>
          <w:b/>
          <w:bCs/>
          <w:szCs w:val="21"/>
        </w:rPr>
        <w:t>网站开设报备、</w:t>
      </w:r>
      <w:r>
        <w:rPr>
          <w:rFonts w:ascii="宋体" w:hAnsi="宋体" w:cs="宋体"/>
          <w:b/>
          <w:bCs/>
          <w:szCs w:val="21"/>
        </w:rPr>
        <w:t>ICP</w:t>
      </w:r>
      <w:r>
        <w:rPr>
          <w:rFonts w:hint="eastAsia" w:ascii="宋体" w:hAnsi="宋体" w:cs="宋体"/>
          <w:b/>
          <w:bCs/>
          <w:szCs w:val="21"/>
        </w:rPr>
        <w:t>备案、网警备案等协助办理：</w:t>
      </w:r>
      <w:r>
        <w:rPr>
          <w:rFonts w:hint="eastAsia" w:ascii="宋体" w:hAnsi="宋体" w:cs="宋体"/>
          <w:szCs w:val="21"/>
        </w:rPr>
        <w:t>要求协助办理网站各类备案工作以及所需材料的报送。</w:t>
      </w:r>
    </w:p>
    <w:p w14:paraId="286716F5">
      <w:pPr>
        <w:spacing w:line="360" w:lineRule="auto"/>
        <w:ind w:right="-1" w:firstLine="422" w:firstLineChars="200"/>
        <w:rPr>
          <w:sz w:val="24"/>
        </w:rPr>
      </w:pPr>
      <w:r>
        <w:rPr>
          <w:rFonts w:hint="eastAsia" w:ascii="宋体" w:hAnsi="宋体" w:cs="宋体"/>
          <w:b/>
          <w:bCs/>
          <w:szCs w:val="21"/>
        </w:rPr>
        <w:t>网站前端模板定制设计、页面开发制作：</w:t>
      </w:r>
      <w:r>
        <w:rPr>
          <w:rFonts w:hint="eastAsia" w:ascii="宋体" w:hAnsi="宋体" w:cs="宋体"/>
          <w:szCs w:val="21"/>
        </w:rPr>
        <w:t>根据要求进行网站前端模板的设计制作，符合《国务院办公厅关于印发政府网站发展指引的通知》国办发〔</w:t>
      </w:r>
      <w:r>
        <w:rPr>
          <w:rFonts w:ascii="宋体" w:hAnsi="宋体" w:cs="宋体"/>
          <w:szCs w:val="21"/>
        </w:rPr>
        <w:t>2017</w:t>
      </w:r>
      <w:r>
        <w:rPr>
          <w:rFonts w:hint="eastAsia" w:ascii="宋体" w:hAnsi="宋体" w:cs="宋体"/>
          <w:szCs w:val="21"/>
        </w:rPr>
        <w:t>〕</w:t>
      </w:r>
      <w:r>
        <w:rPr>
          <w:rFonts w:ascii="宋体" w:hAnsi="宋体" w:cs="宋体"/>
          <w:szCs w:val="21"/>
        </w:rPr>
        <w:t>47</w:t>
      </w:r>
      <w:r>
        <w:rPr>
          <w:rFonts w:hint="eastAsia" w:ascii="宋体" w:hAnsi="宋体" w:cs="宋体"/>
          <w:szCs w:val="21"/>
        </w:rPr>
        <w:t>号文件中</w:t>
      </w:r>
      <w:r>
        <w:rPr>
          <w:rFonts w:ascii="宋体" w:hAnsi="宋体" w:cs="宋体"/>
          <w:szCs w:val="21"/>
        </w:rPr>
        <w:t>“</w:t>
      </w:r>
      <w:r>
        <w:rPr>
          <w:rFonts w:hint="eastAsia" w:ascii="宋体" w:hAnsi="宋体" w:cs="宋体"/>
          <w:szCs w:val="21"/>
        </w:rPr>
        <w:t>网页设计规范</w:t>
      </w:r>
      <w:r>
        <w:rPr>
          <w:rFonts w:ascii="宋体" w:hAnsi="宋体" w:cs="宋体"/>
          <w:szCs w:val="21"/>
        </w:rPr>
        <w:t>”</w:t>
      </w:r>
      <w:r>
        <w:rPr>
          <w:rFonts w:hint="eastAsia" w:ascii="宋体" w:hAnsi="宋体" w:cs="宋体"/>
          <w:szCs w:val="21"/>
        </w:rPr>
        <w:t>的要求并达到用户满意。如有阶段性专题页面，需要专人进行设计制作。专题的页面风格原则上应与网站整体风格一致，具体页面展现可根据需要灵活设计。</w:t>
      </w:r>
    </w:p>
    <w:p w14:paraId="15E86C01">
      <w:pPr>
        <w:spacing w:line="360" w:lineRule="auto"/>
        <w:ind w:right="-1" w:firstLine="422" w:firstLineChars="200"/>
        <w:rPr>
          <w:sz w:val="24"/>
        </w:rPr>
      </w:pPr>
      <w:r>
        <w:rPr>
          <w:rFonts w:hint="eastAsia" w:ascii="宋体" w:hAnsi="宋体" w:cs="宋体"/>
          <w:b/>
          <w:bCs/>
          <w:szCs w:val="21"/>
        </w:rPr>
        <w:t>基础的技术支撑及运维服务：</w:t>
      </w:r>
      <w:r>
        <w:rPr>
          <w:rFonts w:hint="eastAsia" w:ascii="宋体" w:hAnsi="宋体" w:cs="宋体"/>
          <w:szCs w:val="21"/>
        </w:rPr>
        <w:t>要求在相关技术领域给予用户免费的系统知识层面的普及、咨询答复、培训和帮助。除不可抗力造成的服务中断外，因为其它问题导致服务中断的需要在规定时间负责修复。应按照国家有关部门涉及信息系统安全的有关规定，进行网络安全服务和信息安全等级保护。同时负责网站除内容发布之外的技术运维工作以及网站安全防护工作。</w:t>
      </w:r>
    </w:p>
    <w:p w14:paraId="10842248">
      <w:pPr>
        <w:spacing w:line="360" w:lineRule="auto"/>
        <w:ind w:right="-1" w:firstLine="422" w:firstLineChars="200"/>
        <w:rPr>
          <w:sz w:val="24"/>
        </w:rPr>
      </w:pPr>
      <w:r>
        <w:rPr>
          <w:rFonts w:hint="eastAsia" w:ascii="宋体" w:hAnsi="宋体" w:cs="宋体"/>
          <w:b/>
          <w:bCs/>
          <w:szCs w:val="21"/>
        </w:rPr>
        <w:t>功能优化：</w:t>
      </w:r>
      <w:r>
        <w:rPr>
          <w:rFonts w:hint="eastAsia" w:ascii="宋体" w:hAnsi="宋体" w:cs="宋体"/>
          <w:szCs w:val="21"/>
        </w:rPr>
        <w:t>服务期内网站后台的故障修复及平台性能优化调整。</w:t>
      </w:r>
    </w:p>
    <w:p w14:paraId="3823D54F">
      <w:pPr>
        <w:spacing w:line="360" w:lineRule="auto"/>
        <w:ind w:right="-1" w:firstLine="422" w:firstLineChars="200"/>
        <w:rPr>
          <w:sz w:val="24"/>
        </w:rPr>
      </w:pPr>
      <w:r>
        <w:rPr>
          <w:rFonts w:hint="eastAsia" w:ascii="宋体" w:hAnsi="宋体" w:cs="宋体"/>
          <w:b/>
          <w:bCs/>
          <w:szCs w:val="21"/>
        </w:rPr>
        <w:t>网站培训：</w:t>
      </w:r>
      <w:r>
        <w:rPr>
          <w:rFonts w:hint="eastAsia" w:ascii="宋体" w:hAnsi="宋体" w:cs="宋体"/>
          <w:szCs w:val="21"/>
        </w:rPr>
        <w:t>网站建设完成后需要针对信息保障人员进行操作培训。</w:t>
      </w:r>
    </w:p>
    <w:p w14:paraId="51BB1788">
      <w:pPr>
        <w:spacing w:line="360" w:lineRule="auto"/>
        <w:ind w:right="-1" w:firstLine="422" w:firstLineChars="200"/>
        <w:rPr>
          <w:sz w:val="24"/>
        </w:rPr>
      </w:pPr>
      <w:r>
        <w:rPr>
          <w:rFonts w:hint="eastAsia" w:ascii="宋体" w:hAnsi="宋体" w:cs="宋体"/>
          <w:b/>
          <w:bCs/>
          <w:szCs w:val="21"/>
        </w:rPr>
        <w:t>等级保护测评：</w:t>
      </w:r>
      <w:r>
        <w:rPr>
          <w:rFonts w:hint="eastAsia" w:ascii="宋体" w:hAnsi="宋体" w:cs="宋体"/>
          <w:szCs w:val="21"/>
        </w:rPr>
        <w:t>需要按照要求对网站进行三级等保测评。</w:t>
      </w:r>
    </w:p>
    <w:p w14:paraId="1182A276">
      <w:pPr>
        <w:spacing w:line="360" w:lineRule="auto"/>
        <w:ind w:right="-1" w:firstLine="422" w:firstLineChars="200"/>
        <w:rPr>
          <w:sz w:val="24"/>
        </w:rPr>
      </w:pPr>
      <w:r>
        <w:rPr>
          <w:rFonts w:hint="eastAsia" w:ascii="宋体" w:hAnsi="宋体" w:cs="宋体"/>
          <w:b/>
          <w:bCs/>
          <w:szCs w:val="21"/>
        </w:rPr>
        <w:t>用户中心对接：</w:t>
      </w:r>
      <w:r>
        <w:rPr>
          <w:rFonts w:hint="eastAsia" w:ascii="宋体" w:hAnsi="宋体" w:cs="宋体"/>
          <w:szCs w:val="21"/>
        </w:rPr>
        <w:t>根据国办政府网站发展指引和考评细则建设统一的用户中心功能</w:t>
      </w:r>
      <w:r>
        <w:rPr>
          <w:rFonts w:ascii="宋体" w:hAnsi="宋体" w:cs="宋体"/>
          <w:szCs w:val="21"/>
        </w:rPr>
        <w:t>,</w:t>
      </w:r>
      <w:r>
        <w:rPr>
          <w:rFonts w:hint="eastAsia" w:ascii="宋体" w:hAnsi="宋体" w:cs="宋体"/>
          <w:szCs w:val="21"/>
        </w:rPr>
        <w:t>实现一站式登录</w:t>
      </w:r>
      <w:r>
        <w:rPr>
          <w:rFonts w:ascii="宋体" w:hAnsi="宋体" w:cs="宋体"/>
          <w:szCs w:val="21"/>
        </w:rPr>
        <w:t>,</w:t>
      </w:r>
      <w:r>
        <w:rPr>
          <w:rFonts w:hint="eastAsia" w:ascii="宋体" w:hAnsi="宋体" w:cs="宋体"/>
          <w:szCs w:val="21"/>
        </w:rPr>
        <w:t>同时结合我省政务服务平台对数据的要求</w:t>
      </w:r>
      <w:r>
        <w:rPr>
          <w:rFonts w:ascii="宋体" w:hAnsi="宋体" w:cs="宋体"/>
          <w:szCs w:val="21"/>
        </w:rPr>
        <w:t>,</w:t>
      </w:r>
      <w:r>
        <w:rPr>
          <w:rFonts w:hint="eastAsia" w:ascii="宋体" w:hAnsi="宋体" w:cs="宋体"/>
          <w:szCs w:val="21"/>
        </w:rPr>
        <w:t>要求全省政府门户网站用户中心要依托全省统一身份认证平台进行注册和登录认证。</w:t>
      </w:r>
    </w:p>
    <w:p w14:paraId="5B9F4B7A">
      <w:pPr>
        <w:spacing w:line="360" w:lineRule="auto"/>
        <w:ind w:right="-1" w:firstLine="422" w:firstLineChars="200"/>
        <w:rPr>
          <w:sz w:val="24"/>
        </w:rPr>
      </w:pPr>
      <w:r>
        <w:rPr>
          <w:rFonts w:hint="eastAsia" w:ascii="宋体" w:hAnsi="宋体" w:cs="宋体"/>
          <w:b/>
          <w:bCs/>
          <w:szCs w:val="21"/>
        </w:rPr>
        <w:t>数据同源对接：</w:t>
      </w:r>
      <w:r>
        <w:rPr>
          <w:rFonts w:hint="eastAsia" w:ascii="宋体" w:hAnsi="宋体" w:cs="宋体"/>
          <w:szCs w:val="21"/>
        </w:rPr>
        <w:t>按照市政府检测平台的对接要求，实现与市政府门户网站群平台的检测数据及信息发布数据的同源对接。如：互动交流信件数据、依申请公开信件数据及相关信件的办理流程监管对接、栏目更新情况的数据对接等，实现全站数据的办理</w:t>
      </w:r>
      <w:r>
        <w:rPr>
          <w:rFonts w:ascii="宋体" w:hAnsi="宋体" w:cs="宋体"/>
          <w:szCs w:val="21"/>
        </w:rPr>
        <w:t>/</w:t>
      </w:r>
      <w:r>
        <w:rPr>
          <w:rFonts w:hint="eastAsia" w:ascii="宋体" w:hAnsi="宋体" w:cs="宋体"/>
          <w:szCs w:val="21"/>
        </w:rPr>
        <w:t>管理</w:t>
      </w:r>
      <w:r>
        <w:rPr>
          <w:rFonts w:ascii="宋体" w:hAnsi="宋体" w:cs="宋体"/>
          <w:szCs w:val="21"/>
        </w:rPr>
        <w:t>/</w:t>
      </w:r>
      <w:r>
        <w:rPr>
          <w:rFonts w:hint="eastAsia" w:ascii="宋体" w:hAnsi="宋体" w:cs="宋体"/>
          <w:szCs w:val="21"/>
        </w:rPr>
        <w:t>监测的对接，实现数据源的唯一性和完整性。</w:t>
      </w:r>
    </w:p>
    <w:p w14:paraId="091F7385">
      <w:pPr>
        <w:spacing w:line="360" w:lineRule="auto"/>
        <w:ind w:right="-1" w:firstLine="422" w:firstLineChars="200"/>
        <w:rPr>
          <w:sz w:val="24"/>
        </w:rPr>
      </w:pPr>
      <w:r>
        <w:rPr>
          <w:rFonts w:ascii="宋体" w:hAnsi="宋体" w:cs="宋体"/>
          <w:b/>
          <w:bCs/>
          <w:szCs w:val="21"/>
        </w:rPr>
        <w:t>IPV6</w:t>
      </w:r>
      <w:r>
        <w:rPr>
          <w:rFonts w:hint="eastAsia" w:ascii="宋体" w:hAnsi="宋体" w:cs="宋体"/>
          <w:b/>
          <w:bCs/>
          <w:szCs w:val="21"/>
        </w:rPr>
        <w:t>平台改造：</w:t>
      </w:r>
      <w:r>
        <w:rPr>
          <w:rFonts w:hint="eastAsia" w:ascii="宋体" w:hAnsi="宋体" w:cs="宋体"/>
          <w:szCs w:val="21"/>
        </w:rPr>
        <w:t>对网站平台系统进行协议改造，使之对</w:t>
      </w:r>
      <w:r>
        <w:rPr>
          <w:rFonts w:ascii="宋体" w:hAnsi="宋体" w:cs="宋体"/>
          <w:szCs w:val="21"/>
        </w:rPr>
        <w:t>IPV4</w:t>
      </w:r>
      <w:r>
        <w:rPr>
          <w:rFonts w:hint="eastAsia" w:ascii="宋体" w:hAnsi="宋体" w:cs="宋体"/>
          <w:szCs w:val="21"/>
        </w:rPr>
        <w:t>和</w:t>
      </w:r>
      <w:r>
        <w:rPr>
          <w:rFonts w:ascii="宋体" w:hAnsi="宋体" w:cs="宋体"/>
          <w:szCs w:val="21"/>
        </w:rPr>
        <w:t>IPV6</w:t>
      </w:r>
      <w:r>
        <w:rPr>
          <w:rFonts w:hint="eastAsia" w:ascii="宋体" w:hAnsi="宋体" w:cs="宋体"/>
          <w:szCs w:val="21"/>
        </w:rPr>
        <w:t>双栈支持。</w:t>
      </w:r>
    </w:p>
    <w:p w14:paraId="169F73E2">
      <w:pPr>
        <w:spacing w:line="360" w:lineRule="auto"/>
        <w:ind w:right="-1" w:firstLine="422" w:firstLineChars="200"/>
        <w:rPr>
          <w:sz w:val="24"/>
        </w:rPr>
      </w:pPr>
      <w:r>
        <w:rPr>
          <w:rFonts w:hint="eastAsia" w:ascii="宋体" w:hAnsi="宋体" w:cs="宋体"/>
          <w:b/>
          <w:bCs/>
          <w:szCs w:val="21"/>
        </w:rPr>
        <w:t>页面标签标准化改造：</w:t>
      </w:r>
      <w:r>
        <w:rPr>
          <w:rFonts w:hint="eastAsia" w:ascii="宋体" w:hAnsi="宋体" w:cs="宋体"/>
          <w:szCs w:val="21"/>
        </w:rPr>
        <w:t>根据国办网站发展指引要求，对门户网站的模板标签进行标准化改造调整，对网站首页、栏目页、内容页等页面的</w:t>
      </w:r>
      <w:r>
        <w:rPr>
          <w:rFonts w:ascii="宋体" w:hAnsi="宋体" w:cs="宋体"/>
          <w:szCs w:val="21"/>
        </w:rPr>
        <w:t>mate</w:t>
      </w:r>
      <w:r>
        <w:rPr>
          <w:rFonts w:hint="eastAsia" w:ascii="宋体" w:hAnsi="宋体" w:cs="宋体"/>
          <w:szCs w:val="21"/>
        </w:rPr>
        <w:t>标签进行标准化改造。</w:t>
      </w:r>
    </w:p>
    <w:p w14:paraId="7E2D7246">
      <w:pPr>
        <w:spacing w:line="360" w:lineRule="auto"/>
        <w:ind w:right="-1" w:firstLine="422" w:firstLineChars="200"/>
        <w:rPr>
          <w:sz w:val="24"/>
        </w:rPr>
      </w:pPr>
      <w:r>
        <w:rPr>
          <w:rFonts w:hint="eastAsia" w:ascii="宋体" w:hAnsi="宋体" w:cs="宋体"/>
          <w:b/>
          <w:bCs/>
          <w:szCs w:val="21"/>
        </w:rPr>
        <w:t>无障碍浏览：</w:t>
      </w:r>
      <w:r>
        <w:rPr>
          <w:rFonts w:hint="eastAsia" w:ascii="宋体" w:hAnsi="宋体" w:cs="宋体"/>
          <w:szCs w:val="21"/>
        </w:rPr>
        <w:t>根据《中国残疾人联合会</w:t>
      </w:r>
      <w:r>
        <w:rPr>
          <w:rFonts w:ascii="宋体" w:hAnsi="宋体" w:cs="宋体"/>
          <w:szCs w:val="21"/>
        </w:rPr>
        <w:t xml:space="preserve"> </w:t>
      </w:r>
      <w:r>
        <w:rPr>
          <w:rFonts w:hint="eastAsia" w:ascii="宋体" w:hAnsi="宋体" w:cs="宋体"/>
          <w:szCs w:val="21"/>
        </w:rPr>
        <w:t>国家互联网信息办公室关于加强网站无障碍服务能力建设的指导意见》和</w:t>
      </w:r>
      <w:r>
        <w:rPr>
          <w:rFonts w:ascii="宋体" w:hAnsi="宋体" w:cs="宋体"/>
          <w:szCs w:val="21"/>
        </w:rPr>
        <w:t>2017</w:t>
      </w:r>
      <w:r>
        <w:rPr>
          <w:rFonts w:hint="eastAsia" w:ascii="宋体" w:hAnsi="宋体" w:cs="宋体"/>
          <w:szCs w:val="21"/>
        </w:rPr>
        <w:t>国办下发的政府网站发展指引以及最新的政务门户网站和新媒体考评细则等文件的要求，增加网站无障碍浏览工具条模块，如页面放大缩小</w:t>
      </w:r>
      <w:r>
        <w:rPr>
          <w:rFonts w:ascii="宋体" w:hAnsi="宋体" w:cs="宋体"/>
          <w:szCs w:val="21"/>
        </w:rPr>
        <w:t>/</w:t>
      </w:r>
      <w:r>
        <w:rPr>
          <w:rFonts w:hint="eastAsia" w:ascii="宋体" w:hAnsi="宋体" w:cs="宋体"/>
          <w:szCs w:val="21"/>
        </w:rPr>
        <w:t>阅读</w:t>
      </w:r>
      <w:r>
        <w:rPr>
          <w:rFonts w:ascii="宋体" w:hAnsi="宋体" w:cs="宋体"/>
          <w:szCs w:val="21"/>
        </w:rPr>
        <w:t>/</w:t>
      </w:r>
      <w:r>
        <w:rPr>
          <w:rFonts w:hint="eastAsia" w:ascii="宋体" w:hAnsi="宋体" w:cs="宋体"/>
          <w:szCs w:val="21"/>
        </w:rPr>
        <w:t>辅助线等功能，满足残疾人对浏览政务门户网站的需求。此功能要求在服务期内免费升级和调整，满足考评的技术标准，同时进行与网站主题设计的适配和优化。</w:t>
      </w:r>
    </w:p>
    <w:p w14:paraId="3085EB14">
      <w:pPr>
        <w:spacing w:line="360" w:lineRule="auto"/>
        <w:ind w:right="-1" w:firstLine="422" w:firstLineChars="200"/>
        <w:rPr>
          <w:sz w:val="24"/>
        </w:rPr>
      </w:pPr>
      <w:r>
        <w:rPr>
          <w:rFonts w:hint="eastAsia" w:ascii="宋体" w:hAnsi="宋体" w:cs="宋体"/>
          <w:b/>
          <w:bCs/>
          <w:szCs w:val="21"/>
        </w:rPr>
        <w:t>全文（智能）检索：</w:t>
      </w:r>
      <w:r>
        <w:rPr>
          <w:rFonts w:hint="eastAsia" w:ascii="宋体" w:hAnsi="宋体" w:cs="宋体"/>
          <w:szCs w:val="21"/>
        </w:rPr>
        <w:t>根据国办印发的政府网站发展指引要求</w:t>
      </w:r>
      <w:r>
        <w:rPr>
          <w:rFonts w:ascii="宋体" w:hAnsi="宋体" w:cs="宋体"/>
          <w:szCs w:val="21"/>
        </w:rPr>
        <w:t>,</w:t>
      </w:r>
      <w:r>
        <w:rPr>
          <w:rFonts w:hint="eastAsia" w:ascii="宋体" w:hAnsi="宋体" w:cs="宋体"/>
          <w:szCs w:val="21"/>
        </w:rPr>
        <w:t>以及最新的政务网站考评细则要求</w:t>
      </w:r>
      <w:r>
        <w:rPr>
          <w:rFonts w:ascii="宋体" w:hAnsi="宋体" w:cs="宋体"/>
          <w:szCs w:val="21"/>
        </w:rPr>
        <w:t>,</w:t>
      </w:r>
      <w:r>
        <w:rPr>
          <w:rFonts w:hint="eastAsia" w:ascii="宋体" w:hAnsi="宋体" w:cs="宋体"/>
          <w:szCs w:val="21"/>
        </w:rPr>
        <w:t>对政府网站实现全文检索功能</w:t>
      </w:r>
      <w:r>
        <w:rPr>
          <w:rFonts w:ascii="宋体" w:hAnsi="宋体" w:cs="宋体"/>
          <w:szCs w:val="21"/>
        </w:rPr>
        <w:t>,</w:t>
      </w:r>
      <w:r>
        <w:rPr>
          <w:rFonts w:hint="eastAsia" w:ascii="宋体" w:hAnsi="宋体" w:cs="宋体"/>
          <w:szCs w:val="21"/>
        </w:rPr>
        <w:t>支持检索时间</w:t>
      </w:r>
      <w:r>
        <w:rPr>
          <w:rFonts w:ascii="宋体" w:hAnsi="宋体" w:cs="宋体"/>
          <w:szCs w:val="21"/>
        </w:rPr>
        <w:t>/</w:t>
      </w:r>
      <w:r>
        <w:rPr>
          <w:rFonts w:hint="eastAsia" w:ascii="宋体" w:hAnsi="宋体" w:cs="宋体"/>
          <w:szCs w:val="21"/>
        </w:rPr>
        <w:t>检索效率</w:t>
      </w:r>
      <w:r>
        <w:rPr>
          <w:rFonts w:ascii="宋体" w:hAnsi="宋体" w:cs="宋体"/>
          <w:szCs w:val="21"/>
        </w:rPr>
        <w:t>/</w:t>
      </w:r>
      <w:r>
        <w:rPr>
          <w:rFonts w:hint="eastAsia" w:ascii="宋体" w:hAnsi="宋体" w:cs="宋体"/>
          <w:szCs w:val="21"/>
        </w:rPr>
        <w:t>检索分类</w:t>
      </w:r>
      <w:r>
        <w:rPr>
          <w:rFonts w:ascii="宋体" w:hAnsi="宋体" w:cs="宋体"/>
          <w:szCs w:val="21"/>
        </w:rPr>
        <w:t>/</w:t>
      </w:r>
      <w:r>
        <w:rPr>
          <w:rFonts w:hint="eastAsia" w:ascii="宋体" w:hAnsi="宋体" w:cs="宋体"/>
          <w:szCs w:val="21"/>
        </w:rPr>
        <w:t>检索内容等功能支持</w:t>
      </w:r>
      <w:r>
        <w:rPr>
          <w:rFonts w:ascii="宋体" w:hAnsi="宋体" w:cs="宋体"/>
          <w:szCs w:val="21"/>
        </w:rPr>
        <w:t>,</w:t>
      </w:r>
      <w:r>
        <w:rPr>
          <w:rFonts w:hint="eastAsia" w:ascii="宋体" w:hAnsi="宋体" w:cs="宋体"/>
          <w:szCs w:val="21"/>
        </w:rPr>
        <w:t>以及实现与各类业务数据接口的扩充</w:t>
      </w:r>
      <w:r>
        <w:rPr>
          <w:rFonts w:ascii="宋体" w:hAnsi="宋体" w:cs="宋体"/>
          <w:szCs w:val="21"/>
        </w:rPr>
        <w:t>,</w:t>
      </w:r>
      <w:r>
        <w:rPr>
          <w:rFonts w:hint="eastAsia" w:ascii="宋体" w:hAnsi="宋体" w:cs="宋体"/>
          <w:szCs w:val="21"/>
        </w:rPr>
        <w:t>实现基于大数据服务的全文检索</w:t>
      </w:r>
      <w:r>
        <w:rPr>
          <w:rFonts w:ascii="宋体" w:hAnsi="宋体" w:cs="宋体"/>
          <w:szCs w:val="21"/>
        </w:rPr>
        <w:t>,</w:t>
      </w:r>
      <w:r>
        <w:rPr>
          <w:rFonts w:hint="eastAsia" w:ascii="宋体" w:hAnsi="宋体" w:cs="宋体"/>
          <w:szCs w:val="21"/>
        </w:rPr>
        <w:t>以及对版式文件和格式文件的检索。</w:t>
      </w:r>
    </w:p>
    <w:p w14:paraId="1C983DA7">
      <w:pPr>
        <w:spacing w:line="360" w:lineRule="auto"/>
        <w:ind w:right="-1" w:firstLine="422" w:firstLineChars="200"/>
        <w:rPr>
          <w:sz w:val="24"/>
        </w:rPr>
      </w:pPr>
      <w:r>
        <w:rPr>
          <w:rFonts w:hint="eastAsia" w:ascii="宋体" w:hAnsi="宋体" w:cs="宋体"/>
          <w:b/>
          <w:bCs/>
          <w:szCs w:val="21"/>
        </w:rPr>
        <w:t>智能机器人（智能问答）：</w:t>
      </w:r>
      <w:r>
        <w:rPr>
          <w:rFonts w:hint="eastAsia" w:ascii="宋体" w:hAnsi="宋体" w:cs="宋体"/>
          <w:szCs w:val="21"/>
        </w:rPr>
        <w:t>根据国办印发的政府网站发展指引要求，以及最新的政务网站考评细则要求，增加智能机器人功能，实现智能客服的问答操作，要求机器人要有自我学习能力，通过不断的优化升级，进行自我学习提升。同时要求与全文智能检索实现接口对接，智能机器人服务端要支持前端词条的记录和分析，自动生成报表，不断实现自我学习和灵活的词条维护，同时支持与市级站群平台机器人管理系统的数据对接实现数据词语的共享。</w:t>
      </w:r>
    </w:p>
    <w:p w14:paraId="1781EBEA">
      <w:pPr>
        <w:spacing w:line="360" w:lineRule="auto"/>
        <w:ind w:right="-1" w:firstLine="422" w:firstLineChars="200"/>
        <w:rPr>
          <w:rFonts w:ascii="宋体" w:hAnsi="宋体" w:cs="宋体"/>
          <w:szCs w:val="21"/>
        </w:rPr>
      </w:pPr>
      <w:r>
        <w:rPr>
          <w:rFonts w:hint="eastAsia" w:ascii="宋体" w:hAnsi="宋体" w:cs="宋体"/>
          <w:b/>
          <w:bCs/>
          <w:szCs w:val="21"/>
        </w:rPr>
        <w:t>空栏目</w:t>
      </w:r>
      <w:r>
        <w:rPr>
          <w:rFonts w:ascii="宋体" w:hAnsi="宋体" w:cs="宋体"/>
          <w:b/>
          <w:bCs/>
          <w:szCs w:val="21"/>
        </w:rPr>
        <w:t>/</w:t>
      </w:r>
      <w:r>
        <w:rPr>
          <w:rFonts w:hint="eastAsia" w:ascii="宋体" w:hAnsi="宋体" w:cs="宋体"/>
          <w:b/>
          <w:bCs/>
          <w:szCs w:val="21"/>
        </w:rPr>
        <w:t>长期不更新</w:t>
      </w:r>
      <w:r>
        <w:rPr>
          <w:rFonts w:ascii="宋体" w:hAnsi="宋体" w:cs="宋体"/>
          <w:b/>
          <w:bCs/>
          <w:szCs w:val="21"/>
        </w:rPr>
        <w:t>/</w:t>
      </w:r>
      <w:r>
        <w:rPr>
          <w:rFonts w:hint="eastAsia" w:ascii="宋体" w:hAnsi="宋体" w:cs="宋体"/>
          <w:b/>
          <w:bCs/>
          <w:szCs w:val="21"/>
        </w:rPr>
        <w:t>错别字检测提醒：</w:t>
      </w:r>
      <w:r>
        <w:rPr>
          <w:rFonts w:hint="eastAsia" w:ascii="宋体" w:hAnsi="宋体" w:cs="宋体"/>
          <w:sz w:val="24"/>
          <w:lang w:bidi="ar"/>
        </w:rPr>
        <w:t>对</w:t>
      </w:r>
      <w:r>
        <w:rPr>
          <w:rFonts w:hint="eastAsia" w:ascii="宋体" w:hAnsi="宋体" w:cs="宋体"/>
          <w:szCs w:val="21"/>
        </w:rPr>
        <w:t>网站运维中栏目运维的空栏目检测和长期不更新检测进行提醒和督办，对信息发布的错别字和敏感词进行检测提醒。</w:t>
      </w:r>
    </w:p>
    <w:p w14:paraId="6E4424FB">
      <w:pPr>
        <w:spacing w:line="360" w:lineRule="auto"/>
        <w:ind w:right="-1" w:firstLine="422" w:firstLineChars="200"/>
        <w:rPr>
          <w:rFonts w:ascii="宋体" w:hAnsi="宋体" w:cs="宋体"/>
          <w:szCs w:val="21"/>
        </w:rPr>
      </w:pPr>
      <w:r>
        <w:rPr>
          <w:rFonts w:hint="eastAsia" w:ascii="宋体" w:hAnsi="宋体" w:cs="宋体"/>
          <w:b/>
          <w:bCs/>
          <w:szCs w:val="21"/>
        </w:rPr>
        <w:t>死链接检测提醒：</w:t>
      </w:r>
      <w:r>
        <w:rPr>
          <w:rFonts w:hint="eastAsia" w:ascii="宋体" w:hAnsi="宋体" w:cs="宋体"/>
          <w:szCs w:val="21"/>
        </w:rPr>
        <w:t>对网站全站链接进行检测提醒，并深度检测链接状态和信息，防止暗链。</w:t>
      </w:r>
    </w:p>
    <w:p w14:paraId="474B9B22">
      <w:pPr>
        <w:spacing w:line="360" w:lineRule="auto"/>
        <w:ind w:right="-1" w:firstLine="422" w:firstLineChars="200"/>
        <w:rPr>
          <w:rFonts w:ascii="宋体" w:hAnsi="宋体" w:cs="宋体"/>
          <w:szCs w:val="21"/>
        </w:rPr>
      </w:pPr>
      <w:r>
        <w:rPr>
          <w:rFonts w:hint="eastAsia" w:ascii="宋体" w:hAnsi="宋体" w:cs="宋体"/>
          <w:b/>
          <w:bCs/>
          <w:szCs w:val="21"/>
        </w:rPr>
        <w:t>短信提醒：</w:t>
      </w:r>
      <w:r>
        <w:rPr>
          <w:rFonts w:hint="eastAsia" w:ascii="宋体" w:hAnsi="宋体" w:cs="宋体"/>
          <w:szCs w:val="21"/>
        </w:rPr>
        <w:t>对网站各类检测数据以及信件办理过程中的消息进行提醒和短信推送。</w:t>
      </w:r>
    </w:p>
    <w:p w14:paraId="3A8B3B32">
      <w:pPr>
        <w:spacing w:line="360" w:lineRule="auto"/>
        <w:ind w:right="-1" w:firstLine="422" w:firstLineChars="200"/>
        <w:rPr>
          <w:rFonts w:ascii="宋体" w:hAnsi="宋体" w:cs="宋体"/>
          <w:szCs w:val="21"/>
        </w:rPr>
      </w:pPr>
      <w:r>
        <w:rPr>
          <w:rFonts w:hint="eastAsia" w:ascii="宋体" w:hAnsi="宋体" w:cs="宋体"/>
          <w:b/>
          <w:bCs/>
          <w:szCs w:val="21"/>
        </w:rPr>
        <w:t>安全检测扫描：</w:t>
      </w:r>
      <w:r>
        <w:rPr>
          <w:rFonts w:hint="eastAsia" w:ascii="宋体" w:hAnsi="宋体" w:cs="宋体"/>
          <w:szCs w:val="21"/>
        </w:rPr>
        <w:t>定期对网站进行安全检测和扫描，并根据用户需要导出检测报告。协助用户完成日常关于网站运维的表格统计和数据报表与上级主管部门的上报工作。</w:t>
      </w:r>
    </w:p>
    <w:p w14:paraId="0A6AD0D3">
      <w:pPr>
        <w:spacing w:line="360" w:lineRule="auto"/>
        <w:ind w:right="-1" w:firstLine="422" w:firstLineChars="200"/>
        <w:rPr>
          <w:rFonts w:ascii="宋体" w:hAnsi="宋体" w:cs="宋体"/>
          <w:szCs w:val="21"/>
        </w:rPr>
      </w:pPr>
      <w:r>
        <w:rPr>
          <w:rFonts w:hint="eastAsia" w:ascii="宋体" w:hAnsi="宋体" w:cs="宋体"/>
          <w:b/>
          <w:bCs/>
          <w:szCs w:val="21"/>
        </w:rPr>
        <w:t>移动微门户：</w:t>
      </w:r>
      <w:r>
        <w:rPr>
          <w:rFonts w:hint="eastAsia" w:ascii="宋体" w:hAnsi="宋体" w:cs="宋体"/>
          <w:szCs w:val="21"/>
        </w:rPr>
        <w:t>根据技术要求和指标，对门户网站的前端进行移动设备的适配升级，支持手机、平板等设备界面，要求界面美观，功能丰富。同时与网站数据无缝对接，在服务期内不断升级迭代，优化移动终端的访问效果。</w:t>
      </w:r>
    </w:p>
    <w:p w14:paraId="3ED9D218">
      <w:pPr>
        <w:spacing w:line="360" w:lineRule="auto"/>
        <w:ind w:right="-1" w:firstLine="422" w:firstLineChars="200"/>
        <w:rPr>
          <w:rFonts w:ascii="宋体" w:hAnsi="宋体" w:cs="宋体"/>
          <w:szCs w:val="21"/>
        </w:rPr>
      </w:pPr>
      <w:r>
        <w:rPr>
          <w:rFonts w:hint="eastAsia" w:ascii="宋体" w:hAnsi="宋体" w:cs="宋体"/>
          <w:b/>
          <w:bCs/>
          <w:szCs w:val="21"/>
        </w:rPr>
        <w:t>健康运行检测平台：</w:t>
      </w:r>
      <w:r>
        <w:rPr>
          <w:rFonts w:hint="eastAsia" w:ascii="宋体" w:hAnsi="宋体" w:cs="宋体"/>
          <w:szCs w:val="21"/>
        </w:rPr>
        <w:t>根据以上各类检测数据的汇总分析，形成检测平台，并根据要求实现各类检测数据与市政府检测平台数据的对接和传输。</w:t>
      </w:r>
    </w:p>
    <w:p w14:paraId="455DB956">
      <w:pPr>
        <w:pStyle w:val="6"/>
        <w:rPr>
          <w:sz w:val="24"/>
          <w:lang w:eastAsia="zh-CN"/>
        </w:rPr>
      </w:pPr>
      <w:r>
        <w:rPr>
          <w:sz w:val="24"/>
          <w:lang w:eastAsia="zh-CN"/>
        </w:rPr>
        <w:t>2</w:t>
      </w:r>
      <w:r>
        <w:rPr>
          <w:rFonts w:hint="eastAsia" w:ascii="宋体" w:hAnsi="宋体" w:eastAsia="宋体" w:cs="宋体"/>
          <w:sz w:val="24"/>
          <w:lang w:eastAsia="zh-CN"/>
        </w:rPr>
        <w:t>、软件技术要求</w:t>
      </w:r>
    </w:p>
    <w:p w14:paraId="379BF12F">
      <w:pPr>
        <w:spacing w:line="360" w:lineRule="auto"/>
        <w:ind w:firstLine="482" w:firstLineChars="200"/>
        <w:rPr>
          <w:b/>
          <w:bCs/>
          <w:sz w:val="24"/>
        </w:rPr>
      </w:pPr>
      <w:r>
        <w:rPr>
          <w:rFonts w:hint="eastAsia" w:ascii="宋体" w:hAnsi="宋体" w:cs="宋体"/>
          <w:b/>
          <w:bCs/>
          <w:sz w:val="24"/>
        </w:rPr>
        <w:t>（</w:t>
      </w:r>
      <w:r>
        <w:rPr>
          <w:b/>
          <w:bCs/>
          <w:sz w:val="24"/>
        </w:rPr>
        <w:t>1</w:t>
      </w:r>
      <w:r>
        <w:rPr>
          <w:rFonts w:hint="eastAsia" w:ascii="宋体" w:hAnsi="宋体" w:cs="宋体"/>
          <w:b/>
          <w:bCs/>
          <w:sz w:val="24"/>
        </w:rPr>
        <w:t>）平台架构要求</w:t>
      </w:r>
    </w:p>
    <w:p w14:paraId="748062DA">
      <w:pPr>
        <w:spacing w:line="360" w:lineRule="auto"/>
        <w:ind w:right="-1" w:firstLine="420" w:firstLineChars="200"/>
        <w:rPr>
          <w:rFonts w:ascii="宋体" w:hAnsi="宋体" w:cs="宋体"/>
          <w:szCs w:val="21"/>
        </w:rPr>
      </w:pPr>
      <w:r>
        <w:rPr>
          <w:rFonts w:hint="eastAsia" w:ascii="宋体" w:hAnsi="宋体" w:cs="宋体"/>
          <w:szCs w:val="21"/>
        </w:rPr>
        <w:t>本次升级要依托现有正在运行的平台进行无缝升级，依托全市站群管理平台架构进行定制性开发升级，不得改变现有的架构和运行模式。供应商须出具关于与市政府门户网站群无缝对接的承诺函。</w:t>
      </w:r>
    </w:p>
    <w:p w14:paraId="7C5D29AC">
      <w:pPr>
        <w:spacing w:line="360" w:lineRule="auto"/>
        <w:ind w:right="-1" w:firstLine="420" w:firstLineChars="200"/>
        <w:rPr>
          <w:rFonts w:ascii="宋体" w:hAnsi="宋体" w:cs="宋体"/>
          <w:szCs w:val="21"/>
        </w:rPr>
      </w:pPr>
      <w:r>
        <w:rPr>
          <w:rFonts w:hint="eastAsia" w:ascii="宋体" w:hAnsi="宋体" w:cs="宋体"/>
          <w:szCs w:val="21"/>
        </w:rPr>
        <w:t>平台要依托现有的技术平台进行无缝的升级开发，要求开发语言为</w:t>
      </w:r>
      <w:r>
        <w:rPr>
          <w:rFonts w:ascii="宋体" w:hAnsi="宋体" w:cs="宋体"/>
          <w:szCs w:val="21"/>
        </w:rPr>
        <w:t>.NET</w:t>
      </w:r>
      <w:r>
        <w:rPr>
          <w:rFonts w:hint="eastAsia" w:ascii="宋体" w:hAnsi="宋体" w:cs="宋体"/>
          <w:szCs w:val="21"/>
        </w:rPr>
        <w:t>，版本号为</w:t>
      </w:r>
      <w:r>
        <w:rPr>
          <w:rFonts w:ascii="宋体" w:hAnsi="宋体" w:cs="宋体"/>
          <w:szCs w:val="21"/>
        </w:rPr>
        <w:t>4.5</w:t>
      </w:r>
      <w:r>
        <w:rPr>
          <w:rFonts w:hint="eastAsia" w:ascii="宋体" w:hAnsi="宋体" w:cs="宋体"/>
          <w:szCs w:val="21"/>
        </w:rPr>
        <w:t>以上，平台采用松耦合开发模式，无缝与现有平台进行对接升级，不能影响现有平台的安全、稳定运行，数据库要求采用</w:t>
      </w:r>
      <w:r>
        <w:rPr>
          <w:rFonts w:ascii="宋体" w:hAnsi="宋体" w:cs="宋体"/>
          <w:szCs w:val="21"/>
        </w:rPr>
        <w:t>SQLserver2012</w:t>
      </w:r>
      <w:r>
        <w:rPr>
          <w:rFonts w:hint="eastAsia" w:ascii="宋体" w:hAnsi="宋体" w:cs="宋体"/>
          <w:szCs w:val="21"/>
        </w:rPr>
        <w:t>或以上版本（同时支持后期可以灵活的升级到</w:t>
      </w:r>
      <w:r>
        <w:rPr>
          <w:rFonts w:ascii="宋体" w:hAnsi="宋体" w:cs="宋体"/>
          <w:szCs w:val="21"/>
        </w:rPr>
        <w:t>Oracle</w:t>
      </w:r>
      <w:r>
        <w:rPr>
          <w:rFonts w:hint="eastAsia" w:ascii="宋体" w:hAnsi="宋体" w:cs="宋体"/>
          <w:szCs w:val="21"/>
        </w:rPr>
        <w:t>或其他数据库），系统开发采用</w:t>
      </w:r>
      <w:r>
        <w:rPr>
          <w:rFonts w:ascii="宋体" w:hAnsi="宋体" w:cs="宋体"/>
          <w:szCs w:val="21"/>
        </w:rPr>
        <w:t xml:space="preserve"> xml </w:t>
      </w:r>
      <w:r>
        <w:rPr>
          <w:rFonts w:hint="eastAsia" w:ascii="宋体" w:hAnsi="宋体" w:cs="宋体"/>
          <w:szCs w:val="21"/>
        </w:rPr>
        <w:t>标准与</w:t>
      </w:r>
      <w:r>
        <w:rPr>
          <w:rFonts w:ascii="宋体" w:hAnsi="宋体" w:cs="宋体"/>
          <w:szCs w:val="21"/>
        </w:rPr>
        <w:t xml:space="preserve"> WebService </w:t>
      </w:r>
      <w:r>
        <w:rPr>
          <w:rFonts w:hint="eastAsia" w:ascii="宋体" w:hAnsi="宋体" w:cs="宋体"/>
          <w:szCs w:val="21"/>
        </w:rPr>
        <w:t>标准，为信息采集、聚合提供多种信息接口标准，为第三方系统信息导入提供支持；提供组件化的数据接口，保证多平台数据交换与应用整合，为第三方应用系统提供统一用户管理接口。</w:t>
      </w:r>
    </w:p>
    <w:p w14:paraId="1D149BA8">
      <w:pPr>
        <w:spacing w:line="360" w:lineRule="auto"/>
        <w:ind w:firstLine="482" w:firstLineChars="200"/>
        <w:rPr>
          <w:b/>
          <w:bCs/>
          <w:sz w:val="24"/>
        </w:rPr>
      </w:pPr>
      <w:r>
        <w:rPr>
          <w:rFonts w:hint="eastAsia" w:ascii="宋体" w:hAnsi="宋体" w:cs="宋体"/>
          <w:b/>
          <w:bCs/>
          <w:sz w:val="24"/>
        </w:rPr>
        <w:t>（</w:t>
      </w:r>
      <w:r>
        <w:rPr>
          <w:b/>
          <w:bCs/>
          <w:sz w:val="24"/>
        </w:rPr>
        <w:t>2</w:t>
      </w:r>
      <w:r>
        <w:rPr>
          <w:rFonts w:hint="eastAsia" w:ascii="宋体" w:hAnsi="宋体" w:cs="宋体"/>
          <w:b/>
          <w:bCs/>
          <w:sz w:val="24"/>
        </w:rPr>
        <w:t>）平台安全要求</w:t>
      </w:r>
    </w:p>
    <w:p w14:paraId="3AA42C5C">
      <w:pPr>
        <w:spacing w:line="360" w:lineRule="auto"/>
        <w:ind w:right="-1" w:firstLine="420" w:firstLineChars="200"/>
        <w:rPr>
          <w:rFonts w:ascii="宋体" w:hAnsi="宋体" w:cs="宋体"/>
          <w:szCs w:val="21"/>
        </w:rPr>
      </w:pPr>
      <w:r>
        <w:rPr>
          <w:rFonts w:hint="eastAsia" w:ascii="宋体" w:hAnsi="宋体" w:cs="宋体"/>
          <w:szCs w:val="21"/>
        </w:rPr>
        <w:t>区政府门户网站运行于电子政务外网，采用前后台隔离式部署，前端部署于电子政务外网互联网区域，后台运行于电子政务外网公共网络区域，要求本次升级开发要遵循电子政务外网的标准规范，提升平台整体的安全性和稳定性，符合电子政务外网系统结构和功能性要求。支持分布式部署和分布式计算。</w:t>
      </w:r>
    </w:p>
    <w:p w14:paraId="4746A554">
      <w:pPr>
        <w:pStyle w:val="6"/>
        <w:rPr>
          <w:sz w:val="24"/>
          <w:lang w:eastAsia="zh-CN"/>
        </w:rPr>
      </w:pPr>
      <w:r>
        <w:rPr>
          <w:sz w:val="24"/>
          <w:lang w:eastAsia="zh-CN"/>
        </w:rPr>
        <w:t>3</w:t>
      </w:r>
      <w:r>
        <w:rPr>
          <w:rFonts w:hint="eastAsia" w:ascii="宋体" w:hAnsi="宋体" w:eastAsia="宋体" w:cs="宋体"/>
          <w:sz w:val="24"/>
          <w:lang w:eastAsia="zh-CN"/>
        </w:rPr>
        <w:t>、软件售后服务</w:t>
      </w:r>
    </w:p>
    <w:p w14:paraId="7C417488">
      <w:pPr>
        <w:spacing w:line="360" w:lineRule="auto"/>
        <w:ind w:firstLine="482" w:firstLineChars="200"/>
        <w:rPr>
          <w:b/>
          <w:bCs/>
          <w:sz w:val="24"/>
        </w:rPr>
      </w:pPr>
      <w:r>
        <w:rPr>
          <w:rFonts w:hint="eastAsia" w:ascii="宋体" w:hAnsi="宋体" w:cs="宋体"/>
          <w:b/>
          <w:bCs/>
          <w:sz w:val="24"/>
        </w:rPr>
        <w:t>（</w:t>
      </w:r>
      <w:r>
        <w:rPr>
          <w:b/>
          <w:bCs/>
          <w:sz w:val="24"/>
        </w:rPr>
        <w:t>1</w:t>
      </w:r>
      <w:r>
        <w:rPr>
          <w:rFonts w:hint="eastAsia" w:ascii="宋体" w:hAnsi="宋体" w:cs="宋体"/>
          <w:b/>
          <w:bCs/>
          <w:sz w:val="24"/>
        </w:rPr>
        <w:t>）服务概述</w:t>
      </w:r>
    </w:p>
    <w:p w14:paraId="7620909F">
      <w:pPr>
        <w:spacing w:line="360" w:lineRule="auto"/>
        <w:ind w:right="-1" w:firstLine="420" w:firstLineChars="200"/>
        <w:rPr>
          <w:rFonts w:ascii="宋体" w:hAnsi="宋体" w:cs="宋体"/>
          <w:szCs w:val="21"/>
        </w:rPr>
      </w:pPr>
      <w:r>
        <w:rPr>
          <w:rFonts w:hint="eastAsia" w:ascii="宋体" w:hAnsi="宋体" w:cs="宋体"/>
          <w:szCs w:val="21"/>
        </w:rPr>
        <w:t>本次采购的为区政府网站升级改版购买服务，谈判供应商自项目最终验收通过之日起，正式提供运维服务，在合同约束的服务期内，对所提供的内容进行不断的优化升级，不断提升平台的性能和安全，提升服务质量水平，且相关升级不再另行收费，包含在本次升级改版购买服务项目内。</w:t>
      </w:r>
    </w:p>
    <w:p w14:paraId="5A59107B">
      <w:pPr>
        <w:spacing w:line="360" w:lineRule="auto"/>
        <w:ind w:firstLine="482" w:firstLineChars="200"/>
        <w:rPr>
          <w:b/>
          <w:bCs/>
          <w:sz w:val="24"/>
        </w:rPr>
      </w:pPr>
      <w:r>
        <w:rPr>
          <w:rFonts w:hint="eastAsia" w:ascii="宋体" w:hAnsi="宋体" w:cs="宋体"/>
          <w:b/>
          <w:bCs/>
          <w:sz w:val="24"/>
        </w:rPr>
        <w:t>（</w:t>
      </w:r>
      <w:r>
        <w:rPr>
          <w:b/>
          <w:bCs/>
          <w:sz w:val="24"/>
        </w:rPr>
        <w:t>2</w:t>
      </w:r>
      <w:r>
        <w:rPr>
          <w:rFonts w:hint="eastAsia" w:ascii="宋体" w:hAnsi="宋体" w:cs="宋体"/>
          <w:b/>
          <w:bCs/>
          <w:sz w:val="24"/>
        </w:rPr>
        <w:t>）服务要求</w:t>
      </w:r>
    </w:p>
    <w:p w14:paraId="25DA2E1B">
      <w:pPr>
        <w:spacing w:line="360" w:lineRule="auto"/>
        <w:ind w:right="-1" w:firstLine="420" w:firstLineChars="200"/>
        <w:rPr>
          <w:rFonts w:ascii="宋体" w:hAnsi="宋体" w:cs="宋体"/>
          <w:szCs w:val="21"/>
        </w:rPr>
      </w:pPr>
      <w:r>
        <w:rPr>
          <w:rFonts w:hint="eastAsia" w:ascii="宋体" w:hAnsi="宋体" w:cs="宋体"/>
          <w:szCs w:val="21"/>
        </w:rPr>
        <w:t>供应商应能提供</w:t>
      </w:r>
      <w:r>
        <w:rPr>
          <w:rFonts w:ascii="宋体" w:hAnsi="宋体" w:cs="宋体"/>
          <w:szCs w:val="21"/>
        </w:rPr>
        <w:t xml:space="preserve"> 7*24 </w:t>
      </w:r>
      <w:r>
        <w:rPr>
          <w:rFonts w:hint="eastAsia" w:ascii="宋体" w:hAnsi="宋体" w:cs="宋体"/>
          <w:szCs w:val="21"/>
        </w:rPr>
        <w:t>小时的技术支持和服务，质量故障时</w:t>
      </w:r>
      <w:r>
        <w:rPr>
          <w:rFonts w:ascii="宋体" w:hAnsi="宋体" w:cs="宋体"/>
          <w:szCs w:val="21"/>
        </w:rPr>
        <w:t xml:space="preserve"> 12 </w:t>
      </w:r>
      <w:r>
        <w:rPr>
          <w:rFonts w:hint="eastAsia" w:ascii="宋体" w:hAnsi="宋体" w:cs="宋体"/>
          <w:szCs w:val="21"/>
        </w:rPr>
        <w:t>小时内现场响应；</w:t>
      </w:r>
    </w:p>
    <w:p w14:paraId="3E27791B">
      <w:pPr>
        <w:spacing w:line="360" w:lineRule="auto"/>
        <w:ind w:right="-1" w:firstLine="420" w:firstLineChars="200"/>
        <w:rPr>
          <w:rFonts w:ascii="宋体" w:hAnsi="宋体" w:cs="宋体"/>
          <w:szCs w:val="21"/>
        </w:rPr>
      </w:pPr>
      <w:r>
        <w:rPr>
          <w:rFonts w:hint="eastAsia" w:ascii="宋体" w:hAnsi="宋体" w:cs="宋体"/>
          <w:szCs w:val="21"/>
        </w:rPr>
        <w:t>供应商应提供应急处理方案；</w:t>
      </w:r>
    </w:p>
    <w:p w14:paraId="0B5DDC99">
      <w:pPr>
        <w:spacing w:line="360" w:lineRule="auto"/>
        <w:ind w:right="-1" w:firstLine="420" w:firstLineChars="200"/>
        <w:rPr>
          <w:rFonts w:ascii="宋体" w:hAnsi="宋体" w:cs="宋体"/>
          <w:szCs w:val="21"/>
        </w:rPr>
      </w:pPr>
      <w:r>
        <w:rPr>
          <w:rFonts w:hint="eastAsia" w:ascii="宋体" w:hAnsi="宋体" w:cs="宋体"/>
          <w:szCs w:val="21"/>
        </w:rPr>
        <w:t>供应商应能提供远程诊断服务及时解决软件系统产生的各种问题；</w:t>
      </w:r>
    </w:p>
    <w:p w14:paraId="2AE4A09E">
      <w:pPr>
        <w:spacing w:line="360" w:lineRule="auto"/>
        <w:ind w:right="-1" w:firstLine="420" w:firstLineChars="200"/>
        <w:rPr>
          <w:rFonts w:ascii="宋体" w:hAnsi="宋体" w:cs="宋体"/>
          <w:szCs w:val="21"/>
        </w:rPr>
      </w:pPr>
      <w:r>
        <w:rPr>
          <w:rFonts w:hint="eastAsia" w:ascii="宋体" w:hAnsi="宋体" w:cs="宋体"/>
          <w:szCs w:val="21"/>
        </w:rPr>
        <w:t>供应商应能提供系统管理咨询服务解决使用过程中的各种疑难问题；</w:t>
      </w:r>
    </w:p>
    <w:p w14:paraId="1FF2885F">
      <w:pPr>
        <w:spacing w:line="360" w:lineRule="auto"/>
        <w:ind w:right="-1" w:firstLine="420" w:firstLineChars="200"/>
        <w:rPr>
          <w:rFonts w:ascii="宋体" w:hAnsi="宋体" w:cs="宋体"/>
          <w:szCs w:val="21"/>
        </w:rPr>
      </w:pPr>
      <w:r>
        <w:rPr>
          <w:rFonts w:hint="eastAsia" w:ascii="宋体" w:hAnsi="宋体" w:cs="宋体"/>
          <w:szCs w:val="21"/>
        </w:rPr>
        <w:t>系统试运行结束前，供应商应提供</w:t>
      </w:r>
      <w:r>
        <w:rPr>
          <w:rFonts w:ascii="宋体" w:hAnsi="宋体" w:cs="宋体"/>
          <w:szCs w:val="21"/>
        </w:rPr>
        <w:t>“</w:t>
      </w:r>
      <w:r>
        <w:rPr>
          <w:rFonts w:hint="eastAsia" w:ascii="宋体" w:hAnsi="宋体" w:cs="宋体"/>
          <w:szCs w:val="21"/>
        </w:rPr>
        <w:t>系统运行管理制度</w:t>
      </w:r>
      <w:r>
        <w:rPr>
          <w:rFonts w:ascii="宋体" w:hAnsi="宋体" w:cs="宋体"/>
          <w:szCs w:val="21"/>
        </w:rPr>
        <w:t>”</w:t>
      </w:r>
      <w:r>
        <w:rPr>
          <w:rFonts w:hint="eastAsia" w:ascii="宋体" w:hAnsi="宋体" w:cs="宋体"/>
          <w:szCs w:val="21"/>
        </w:rPr>
        <w:t>、</w:t>
      </w:r>
      <w:r>
        <w:rPr>
          <w:rFonts w:ascii="宋体" w:hAnsi="宋体" w:cs="宋体"/>
          <w:szCs w:val="21"/>
        </w:rPr>
        <w:t>“</w:t>
      </w:r>
      <w:r>
        <w:rPr>
          <w:rFonts w:hint="eastAsia" w:ascii="宋体" w:hAnsi="宋体" w:cs="宋体"/>
          <w:szCs w:val="21"/>
        </w:rPr>
        <w:t>绩效评估考核办法</w:t>
      </w:r>
      <w:r>
        <w:rPr>
          <w:rFonts w:ascii="宋体" w:hAnsi="宋体" w:cs="宋体"/>
          <w:szCs w:val="21"/>
        </w:rPr>
        <w:t>”</w:t>
      </w:r>
    </w:p>
    <w:p w14:paraId="3666561D">
      <w:pPr>
        <w:spacing w:line="360" w:lineRule="auto"/>
        <w:ind w:right="-1" w:firstLine="420" w:firstLineChars="200"/>
        <w:rPr>
          <w:rFonts w:ascii="宋体" w:hAnsi="宋体" w:cs="宋体"/>
          <w:szCs w:val="21"/>
        </w:rPr>
      </w:pPr>
      <w:r>
        <w:rPr>
          <w:rFonts w:hint="eastAsia" w:ascii="宋体" w:hAnsi="宋体" w:cs="宋体"/>
          <w:szCs w:val="21"/>
        </w:rPr>
        <w:t>供应商必须向采购人承诺质保期内的免费技术支持，</w:t>
      </w:r>
      <w:r>
        <w:rPr>
          <w:rFonts w:ascii="宋体" w:hAnsi="宋体" w:cs="宋体"/>
          <w:szCs w:val="21"/>
        </w:rPr>
        <w:t xml:space="preserve"> </w:t>
      </w:r>
      <w:r>
        <w:rPr>
          <w:rFonts w:hint="eastAsia" w:ascii="宋体" w:hAnsi="宋体" w:cs="宋体"/>
          <w:szCs w:val="21"/>
        </w:rPr>
        <w:t>对相关软件提供质保期内的免费升级。</w:t>
      </w:r>
    </w:p>
    <w:p w14:paraId="0F0279D2">
      <w:pPr>
        <w:spacing w:line="360" w:lineRule="auto"/>
        <w:ind w:right="-1" w:firstLine="420" w:firstLineChars="200"/>
        <w:rPr>
          <w:rFonts w:ascii="宋体" w:hAnsi="宋体" w:cs="宋体"/>
          <w:szCs w:val="21"/>
        </w:rPr>
      </w:pPr>
      <w:r>
        <w:rPr>
          <w:rFonts w:hint="eastAsia" w:ascii="宋体" w:hAnsi="宋体" w:cs="宋体"/>
          <w:szCs w:val="21"/>
        </w:rPr>
        <w:t>供应商必须提供不少于</w:t>
      </w:r>
      <w:r>
        <w:rPr>
          <w:rFonts w:ascii="宋体" w:hAnsi="宋体" w:cs="宋体"/>
          <w:szCs w:val="21"/>
        </w:rPr>
        <w:t>5</w:t>
      </w:r>
      <w:r>
        <w:rPr>
          <w:rFonts w:hint="eastAsia" w:ascii="宋体" w:hAnsi="宋体" w:cs="宋体"/>
          <w:szCs w:val="21"/>
        </w:rPr>
        <w:t>人的研发运维团队，可以及时保障本次升级服务的服务质量。</w:t>
      </w:r>
    </w:p>
    <w:p w14:paraId="6D081440">
      <w:pPr>
        <w:pStyle w:val="5"/>
        <w:rPr>
          <w:rFonts w:ascii="宋体" w:hAnsi="宋体" w:eastAsia="宋体" w:cs="宋体"/>
          <w:sz w:val="22"/>
          <w:szCs w:val="21"/>
          <w:lang w:eastAsia="zh-CN"/>
        </w:rPr>
      </w:pPr>
      <w:r>
        <w:rPr>
          <w:rFonts w:hint="eastAsia" w:ascii="宋体" w:hAnsi="宋体" w:eastAsia="宋体" w:cs="宋体"/>
          <w:sz w:val="22"/>
          <w:szCs w:val="21"/>
          <w:lang w:eastAsia="zh-CN"/>
        </w:rPr>
        <w:t>(五) 电子政务外网运维服务</w:t>
      </w:r>
    </w:p>
    <w:p w14:paraId="69FDC678">
      <w:pPr>
        <w:spacing w:line="360" w:lineRule="auto"/>
        <w:ind w:right="-1" w:firstLine="420" w:firstLineChars="200"/>
        <w:rPr>
          <w:rFonts w:ascii="宋体" w:hAnsi="宋体" w:cs="宋体"/>
          <w:szCs w:val="21"/>
        </w:rPr>
      </w:pPr>
      <w:r>
        <w:rPr>
          <w:rFonts w:hint="eastAsia" w:ascii="宋体" w:hAnsi="宋体" w:cs="宋体"/>
          <w:szCs w:val="21"/>
        </w:rPr>
        <w:t>电子政务外网的网络基础设施和交换中心的日常运行、维护工作由供应商提供专职工程师进行售后运行维护服务。</w:t>
      </w:r>
    </w:p>
    <w:p w14:paraId="47B3E719">
      <w:pPr>
        <w:spacing w:line="360" w:lineRule="auto"/>
        <w:ind w:right="-1" w:firstLine="420" w:firstLineChars="200"/>
        <w:rPr>
          <w:rFonts w:ascii="宋体" w:hAnsi="宋体" w:cs="宋体"/>
          <w:szCs w:val="21"/>
        </w:rPr>
      </w:pPr>
      <w:r>
        <w:rPr>
          <w:rFonts w:hint="eastAsia" w:ascii="宋体" w:hAnsi="宋体" w:cs="宋体"/>
          <w:szCs w:val="21"/>
        </w:rPr>
        <w:t>运行维护服务包括，信息系统相关的网络链路、交换设备、安全设备及其他信息系统的运行维护与安全防范服务，保证用户的信息系统的正常运行，降低整体管理成本，提高网络信息系统的整体服务水平。同时根据日常维护的数据和记录，提供用户信息系统的整体建设规划和建议，更好的为用户的信息化发展提供有力的保障。</w:t>
      </w:r>
    </w:p>
    <w:p w14:paraId="5BB58D70">
      <w:pPr>
        <w:spacing w:line="360" w:lineRule="auto"/>
        <w:ind w:right="-1" w:firstLine="420" w:firstLineChars="200"/>
        <w:rPr>
          <w:rFonts w:ascii="宋体" w:hAnsi="宋体" w:cs="宋体"/>
          <w:szCs w:val="21"/>
        </w:rPr>
      </w:pPr>
      <w:r>
        <w:rPr>
          <w:rFonts w:hint="eastAsia" w:ascii="宋体" w:hAnsi="宋体" w:cs="宋体"/>
          <w:szCs w:val="21"/>
        </w:rPr>
        <w:t>通过运行维护服务的有效管理来提升用户信息系统的服务效率，协调各业务应用系统的内部运作，改善网络信息系统部门与业务部门的沟通，提高服务质量。结合用户现有的环境、组织结构、IT资源和管理流程的特点，从流程、人员和技术三方面来规划用户的网络信息系统的结构。将用户的运行目标、业务需求与IT服务的相协调一致。</w:t>
      </w:r>
    </w:p>
    <w:p w14:paraId="5EFFD5FB">
      <w:pPr>
        <w:spacing w:line="360" w:lineRule="auto"/>
        <w:ind w:right="-1" w:firstLine="420" w:firstLineChars="200"/>
        <w:rPr>
          <w:rFonts w:ascii="宋体" w:hAnsi="宋体" w:cs="宋体"/>
          <w:szCs w:val="21"/>
        </w:rPr>
      </w:pPr>
      <w:r>
        <w:rPr>
          <w:rFonts w:hint="eastAsia" w:ascii="宋体" w:hAnsi="宋体" w:cs="宋体"/>
          <w:szCs w:val="21"/>
        </w:rPr>
        <w:t>信息系统服务的目标是，对用户的信息系统基础资源进行监控和管理，及时掌握网络信息系统资源现状和配置信息，反映信息系统资源的可用性情况和健康状况，创建一个可知可控的IT环境，从而保证用户信息系统的各类业务应用系统的可靠、高效、持续、安全运行。</w:t>
      </w:r>
    </w:p>
    <w:p w14:paraId="17C0E54A">
      <w:pPr>
        <w:pStyle w:val="5"/>
        <w:rPr>
          <w:rFonts w:ascii="宋体" w:hAnsi="宋体" w:eastAsia="宋体" w:cs="宋体"/>
          <w:sz w:val="22"/>
          <w:szCs w:val="21"/>
          <w:lang w:eastAsia="zh-CN"/>
        </w:rPr>
      </w:pPr>
      <w:r>
        <w:rPr>
          <w:rFonts w:hint="eastAsia" w:ascii="宋体" w:hAnsi="宋体" w:eastAsia="宋体" w:cs="宋体"/>
          <w:sz w:val="22"/>
          <w:szCs w:val="21"/>
          <w:lang w:eastAsia="zh-CN"/>
        </w:rPr>
        <w:t>(六) 办公业务资源网使用服务</w:t>
      </w:r>
    </w:p>
    <w:p w14:paraId="5E28F8F6">
      <w:pPr>
        <w:adjustRightInd w:val="0"/>
        <w:snapToGrid w:val="0"/>
        <w:spacing w:line="360" w:lineRule="auto"/>
        <w:ind w:firstLine="420" w:firstLineChars="200"/>
        <w:rPr>
          <w:rFonts w:ascii="宋体" w:hAnsi="宋体" w:cs="宋体"/>
          <w:szCs w:val="21"/>
        </w:rPr>
      </w:pPr>
      <w:r>
        <w:rPr>
          <w:rFonts w:hint="eastAsia" w:ascii="宋体" w:hAnsi="宋体" w:cs="宋体"/>
          <w:szCs w:val="21"/>
        </w:rPr>
        <w:t>市到</w:t>
      </w:r>
      <w:r>
        <w:rPr>
          <w:rFonts w:hint="eastAsia" w:ascii="宋体" w:hAnsi="宋体" w:cs="宋体"/>
        </w:rPr>
        <w:t>平顶山尼龙新材料开发区管委会</w:t>
      </w:r>
      <w:r>
        <w:rPr>
          <w:rFonts w:hint="eastAsia" w:ascii="宋体" w:hAnsi="宋体" w:cs="宋体"/>
          <w:szCs w:val="21"/>
        </w:rPr>
        <w:t>办公业务资源网城域网。</w:t>
      </w:r>
    </w:p>
    <w:p w14:paraId="64E3CE3B">
      <w:pPr>
        <w:topLinePunct/>
        <w:adjustRightInd w:val="0"/>
        <w:snapToGrid w:val="0"/>
        <w:spacing w:line="360" w:lineRule="auto"/>
        <w:ind w:firstLine="480"/>
        <w:rPr>
          <w:rFonts w:ascii="宋体" w:hAnsi="宋体" w:cs="宋体"/>
          <w:szCs w:val="21"/>
        </w:rPr>
      </w:pPr>
      <w:r>
        <w:rPr>
          <w:rFonts w:hint="eastAsia" w:ascii="宋体" w:hAnsi="宋体" w:cs="宋体"/>
          <w:szCs w:val="21"/>
        </w:rPr>
        <w:t>根据建设要求符合国家电子政务网网络技术相关要求。</w:t>
      </w:r>
    </w:p>
    <w:p w14:paraId="126B979C">
      <w:pPr>
        <w:adjustRightInd w:val="0"/>
        <w:snapToGrid w:val="0"/>
        <w:spacing w:line="360" w:lineRule="auto"/>
        <w:ind w:firstLine="480"/>
        <w:rPr>
          <w:rFonts w:ascii="宋体" w:hAnsi="宋体" w:cs="宋体"/>
          <w:szCs w:val="21"/>
        </w:rPr>
      </w:pPr>
      <w:r>
        <w:rPr>
          <w:rFonts w:hint="eastAsia" w:ascii="宋体" w:hAnsi="宋体" w:cs="宋体"/>
          <w:szCs w:val="21"/>
        </w:rPr>
        <w:t>城域网线路要求为：市到</w:t>
      </w:r>
      <w:r>
        <w:rPr>
          <w:rFonts w:hint="eastAsia" w:ascii="宋体" w:hAnsi="宋体" w:cs="宋体"/>
        </w:rPr>
        <w:t>平顶山尼龙新材料开发区管委会</w:t>
      </w:r>
      <w:r>
        <w:rPr>
          <w:rFonts w:hint="eastAsia" w:ascii="宋体" w:hAnsi="宋体" w:cs="宋体"/>
          <w:szCs w:val="21"/>
        </w:rPr>
        <w:t>办公业务资源网。</w:t>
      </w:r>
    </w:p>
    <w:p w14:paraId="44A3FDE9">
      <w:pPr>
        <w:pStyle w:val="5"/>
        <w:rPr>
          <w:rFonts w:ascii="宋体" w:hAnsi="宋体" w:eastAsia="宋体" w:cs="宋体"/>
          <w:sz w:val="22"/>
          <w:szCs w:val="21"/>
          <w:lang w:eastAsia="zh-CN"/>
        </w:rPr>
      </w:pPr>
      <w:r>
        <w:rPr>
          <w:rFonts w:hint="eastAsia" w:ascii="宋体" w:hAnsi="宋体" w:eastAsia="宋体" w:cs="宋体"/>
          <w:sz w:val="22"/>
          <w:szCs w:val="21"/>
          <w:lang w:eastAsia="zh-CN"/>
        </w:rPr>
        <w:t>(七) 办公业务资源网机房环境及使用服务</w:t>
      </w:r>
    </w:p>
    <w:p w14:paraId="62509CFF">
      <w:pPr>
        <w:spacing w:line="360" w:lineRule="auto"/>
        <w:ind w:firstLine="420" w:firstLineChars="200"/>
        <w:rPr>
          <w:rFonts w:ascii="宋体" w:hAnsi="宋体" w:cs="宋体"/>
          <w:szCs w:val="21"/>
        </w:rPr>
      </w:pPr>
      <w:r>
        <w:rPr>
          <w:rFonts w:hint="eastAsia" w:ascii="宋体" w:hAnsi="宋体" w:cs="宋体"/>
          <w:szCs w:val="21"/>
        </w:rPr>
        <w:t>由承建方根据国家C类机房的标准提供配套机房服务、后期运维管理服务、设备更新维护服务等。</w:t>
      </w:r>
    </w:p>
    <w:p w14:paraId="49A3DC2C">
      <w:pPr>
        <w:spacing w:line="360" w:lineRule="auto"/>
        <w:ind w:firstLine="422" w:firstLineChars="200"/>
        <w:rPr>
          <w:rFonts w:ascii="宋体" w:hAnsi="宋体" w:cs="宋体"/>
          <w:b/>
          <w:bCs/>
          <w:szCs w:val="21"/>
        </w:rPr>
      </w:pPr>
      <w:r>
        <w:rPr>
          <w:rFonts w:hint="eastAsia" w:ascii="宋体" w:hAnsi="宋体" w:cs="宋体"/>
          <w:b/>
          <w:bCs/>
          <w:szCs w:val="21"/>
        </w:rPr>
        <w:t>基本要求</w:t>
      </w:r>
    </w:p>
    <w:p w14:paraId="2E424F4A">
      <w:pPr>
        <w:spacing w:line="360" w:lineRule="auto"/>
        <w:ind w:firstLine="420" w:firstLineChars="200"/>
        <w:rPr>
          <w:rFonts w:ascii="宋体" w:hAnsi="宋体" w:cs="宋体"/>
          <w:szCs w:val="21"/>
        </w:rPr>
      </w:pPr>
      <w:r>
        <w:rPr>
          <w:rFonts w:hint="eastAsia" w:ascii="宋体" w:hAnsi="宋体" w:cs="宋体"/>
          <w:szCs w:val="21"/>
        </w:rPr>
        <w:t>机房配套服务不仅仅是一个计算机网络服务，更重要的是一个集系统集成、建筑配电、建筑消防、建筑装饰、暖通净化专业、计算机专业、弱电控制专业、接地防雷专业等多学科、多领域的综合服务。在配套服务中应对供配电方式、空气净化、安全防范措施以及防静电、防电磁辐射和抗干扰、防水、防雷、防火、防潮、防鼠等诸多方面给予高度重视，以确保计算机系统长期正常运行工作。</w:t>
      </w:r>
    </w:p>
    <w:p w14:paraId="40E8926A">
      <w:pPr>
        <w:spacing w:line="360" w:lineRule="auto"/>
        <w:ind w:firstLine="420" w:firstLineChars="200"/>
        <w:rPr>
          <w:rFonts w:ascii="宋体" w:hAnsi="宋体" w:cs="宋体"/>
          <w:szCs w:val="21"/>
        </w:rPr>
      </w:pPr>
      <w:r>
        <w:rPr>
          <w:rFonts w:hint="eastAsia" w:ascii="宋体" w:hAnsi="宋体" w:cs="宋体"/>
          <w:szCs w:val="21"/>
        </w:rPr>
        <w:t>依据国家有关标准和规范，结合所需系统运行特点进行总体设计。业务完善，技术规范，安全可靠为主，确保系统安全可靠的运行。根据功能及设备要求区别对待，在满足用户的基本要求的同时，做到服务有重点，效率有保障，并保证场地工作人员的身心健康，延长系统的使用寿命。</w:t>
      </w:r>
    </w:p>
    <w:p w14:paraId="3545BFC1">
      <w:pPr>
        <w:spacing w:line="360" w:lineRule="auto"/>
        <w:ind w:firstLine="420" w:firstLineChars="200"/>
        <w:rPr>
          <w:rFonts w:ascii="宋体" w:hAnsi="宋体" w:cs="宋体"/>
          <w:szCs w:val="21"/>
        </w:rPr>
      </w:pPr>
      <w:r>
        <w:rPr>
          <w:rFonts w:hint="eastAsia" w:ascii="宋体" w:hAnsi="宋体" w:cs="宋体"/>
          <w:szCs w:val="21"/>
        </w:rPr>
        <w:t>为设备和工作人员创造一个安全、可靠、美观、舒适的服务场所。</w:t>
      </w:r>
    </w:p>
    <w:p w14:paraId="4FDA2162">
      <w:pPr>
        <w:spacing w:line="360" w:lineRule="auto"/>
        <w:ind w:firstLine="422" w:firstLineChars="200"/>
        <w:rPr>
          <w:rFonts w:ascii="宋体" w:hAnsi="宋体" w:cs="宋体"/>
          <w:b/>
          <w:bCs/>
          <w:szCs w:val="21"/>
        </w:rPr>
      </w:pPr>
      <w:r>
        <w:rPr>
          <w:rFonts w:hint="eastAsia" w:ascii="宋体" w:hAnsi="宋体" w:cs="宋体"/>
          <w:b/>
          <w:bCs/>
          <w:szCs w:val="21"/>
        </w:rPr>
        <w:t xml:space="preserve">服务内容 </w:t>
      </w:r>
    </w:p>
    <w:p w14:paraId="7E3F975F">
      <w:pPr>
        <w:spacing w:line="360" w:lineRule="auto"/>
        <w:ind w:firstLine="420" w:firstLineChars="200"/>
        <w:rPr>
          <w:rFonts w:ascii="宋体" w:hAnsi="宋体" w:cs="宋体"/>
          <w:szCs w:val="21"/>
        </w:rPr>
      </w:pPr>
      <w:r>
        <w:rPr>
          <w:rFonts w:hint="eastAsia" w:ascii="宋体" w:hAnsi="宋体" w:cs="宋体"/>
          <w:szCs w:val="21"/>
        </w:rPr>
        <w:t>本次机房配套服务应包括以下几个方面：1．机房环境； 2．机房市电供配电系统；3．UPS不间断电源系统；4．接地系统；5．防雷系统；6. 空调系统；7.门禁系统；8.视频监控系统；9.综合布线系统；10. 机房消防系统；11. 新风系统；12．照明及应急照明系统等。</w:t>
      </w:r>
    </w:p>
    <w:p w14:paraId="689F117E">
      <w:pPr>
        <w:pStyle w:val="5"/>
        <w:rPr>
          <w:rFonts w:ascii="宋体" w:hAnsi="宋体" w:eastAsia="宋体" w:cs="宋体"/>
          <w:sz w:val="22"/>
          <w:szCs w:val="21"/>
          <w:lang w:eastAsia="zh-CN"/>
        </w:rPr>
      </w:pPr>
      <w:r>
        <w:rPr>
          <w:rFonts w:hint="eastAsia" w:ascii="宋体" w:hAnsi="宋体" w:eastAsia="宋体" w:cs="宋体"/>
          <w:sz w:val="22"/>
          <w:szCs w:val="21"/>
          <w:lang w:eastAsia="zh-CN"/>
        </w:rPr>
        <w:t>(八) 办公业务资源网通信中心网络和安全使用服务</w:t>
      </w:r>
    </w:p>
    <w:p w14:paraId="396F03E3">
      <w:pPr>
        <w:adjustRightInd w:val="0"/>
        <w:snapToGrid w:val="0"/>
        <w:spacing w:line="360" w:lineRule="auto"/>
        <w:ind w:firstLine="420" w:firstLineChars="200"/>
        <w:rPr>
          <w:rFonts w:ascii="宋体" w:hAnsi="宋体" w:cs="宋体"/>
          <w:szCs w:val="21"/>
        </w:rPr>
      </w:pPr>
      <w:r>
        <w:rPr>
          <w:rFonts w:hint="eastAsia" w:ascii="宋体" w:hAnsi="宋体" w:cs="宋体"/>
          <w:szCs w:val="21"/>
        </w:rPr>
        <w:t>办公业务资源网网络交换和安全服务按照省市政府有关规定执行。</w:t>
      </w:r>
    </w:p>
    <w:p w14:paraId="72F4F1A1">
      <w:pPr>
        <w:adjustRightInd w:val="0"/>
        <w:snapToGrid w:val="0"/>
        <w:spacing w:line="360" w:lineRule="auto"/>
        <w:ind w:firstLine="420" w:firstLineChars="200"/>
        <w:rPr>
          <w:rFonts w:ascii="宋体" w:hAnsi="宋体" w:cs="宋体"/>
          <w:szCs w:val="21"/>
        </w:rPr>
      </w:pPr>
      <w:r>
        <w:rPr>
          <w:rFonts w:hint="eastAsia" w:ascii="宋体" w:hAnsi="宋体" w:cs="宋体"/>
          <w:szCs w:val="21"/>
        </w:rPr>
        <w:t>办公业务资源网网络服务，包含核心路由器、核心交换机、汇聚交换机、安全防火墙等。</w:t>
      </w:r>
    </w:p>
    <w:p w14:paraId="39E6A958">
      <w:pPr>
        <w:pStyle w:val="5"/>
        <w:rPr>
          <w:rFonts w:ascii="宋体" w:hAnsi="宋体" w:eastAsia="宋体" w:cs="宋体"/>
          <w:sz w:val="22"/>
          <w:szCs w:val="21"/>
          <w:lang w:eastAsia="zh-CN"/>
        </w:rPr>
      </w:pPr>
      <w:r>
        <w:rPr>
          <w:rFonts w:hint="eastAsia" w:ascii="宋体" w:hAnsi="宋体" w:eastAsia="宋体" w:cs="宋体"/>
          <w:sz w:val="22"/>
          <w:szCs w:val="21"/>
          <w:lang w:eastAsia="zh-CN"/>
        </w:rPr>
        <w:t>(九) 办公业务资源网业务应用系统平台使用服务</w:t>
      </w:r>
    </w:p>
    <w:p w14:paraId="60FB788C">
      <w:pPr>
        <w:topLinePunct/>
        <w:adjustRightInd w:val="0"/>
        <w:snapToGrid w:val="0"/>
        <w:spacing w:line="360" w:lineRule="auto"/>
        <w:rPr>
          <w:rFonts w:ascii="宋体" w:hAnsi="宋体" w:cs="宋体"/>
          <w:b/>
          <w:bCs/>
          <w:sz w:val="24"/>
        </w:rPr>
      </w:pPr>
      <w:r>
        <w:rPr>
          <w:rFonts w:hint="eastAsia" w:ascii="宋体" w:hAnsi="宋体" w:cs="宋体"/>
          <w:b/>
          <w:bCs/>
          <w:sz w:val="24"/>
        </w:rPr>
        <w:t>1、提供办公业务资源网平台基础模块服务</w:t>
      </w:r>
    </w:p>
    <w:p w14:paraId="2A4C7C0F">
      <w:pPr>
        <w:adjustRightInd w:val="0"/>
        <w:snapToGrid w:val="0"/>
        <w:spacing w:line="360" w:lineRule="auto"/>
        <w:ind w:firstLine="420" w:firstLineChars="200"/>
        <w:rPr>
          <w:rFonts w:ascii="宋体" w:hAnsi="宋体" w:cs="宋体"/>
          <w:szCs w:val="21"/>
        </w:rPr>
      </w:pPr>
      <w:r>
        <w:rPr>
          <w:rFonts w:hint="eastAsia" w:ascii="宋体" w:hAnsi="宋体" w:cs="宋体"/>
          <w:szCs w:val="21"/>
        </w:rPr>
        <w:t>政务办公业务系统平台是完全依托市办公业务资源网和政务办公统一技术平台标准而设计和开发的，满足各类政务办公需要，实现政务办公的信息化和自动化，提升政务办公效率，降低政务办公成本，其主要功能和各子业务系统有：公文审批系统、公文交换系统、阅办文签批系统、请销假审批系统、公车管理系统、出差申请/费用报销管理系统、会议通知系统、人事管理系统、督察督办系统、信息采编系统、电子邮件系统等政务办公所需的各类业务子系统。平台支持领导手写签名，原笔迹签批，任务交办以及全流程进度监控等功能。</w:t>
      </w:r>
    </w:p>
    <w:p w14:paraId="53402630">
      <w:pPr>
        <w:topLinePunct/>
        <w:adjustRightInd w:val="0"/>
        <w:snapToGrid w:val="0"/>
        <w:spacing w:line="360" w:lineRule="auto"/>
        <w:rPr>
          <w:rFonts w:ascii="宋体" w:hAnsi="宋体" w:cs="宋体"/>
          <w:b/>
          <w:bCs/>
          <w:sz w:val="24"/>
        </w:rPr>
      </w:pPr>
      <w:r>
        <w:rPr>
          <w:rFonts w:hint="eastAsia" w:ascii="宋体" w:hAnsi="宋体" w:cs="宋体"/>
          <w:b/>
          <w:bCs/>
          <w:sz w:val="24"/>
        </w:rPr>
        <w:t>2、提供与市级系统对接服务</w:t>
      </w:r>
    </w:p>
    <w:p w14:paraId="5F05D800">
      <w:pPr>
        <w:adjustRightInd w:val="0"/>
        <w:snapToGrid w:val="0"/>
        <w:spacing w:line="360" w:lineRule="auto"/>
        <w:ind w:firstLine="420" w:firstLineChars="200"/>
        <w:rPr>
          <w:rFonts w:ascii="宋体" w:hAnsi="宋体" w:cs="宋体"/>
          <w:szCs w:val="21"/>
        </w:rPr>
      </w:pPr>
      <w:r>
        <w:rPr>
          <w:rFonts w:hint="eastAsia" w:ascii="宋体" w:hAnsi="宋体" w:cs="宋体"/>
          <w:szCs w:val="21"/>
        </w:rPr>
        <w:t>要求实现与市政务办公业务系统的无缝对接，与各县区以及市直各接入单位的流程对接，市直各单位与县区垂直和管理单位的文件等传送，公文报送以及公文签收等业务协同办公。</w:t>
      </w:r>
    </w:p>
    <w:p w14:paraId="7E3C6CA9">
      <w:pPr>
        <w:pStyle w:val="5"/>
        <w:rPr>
          <w:rFonts w:ascii="宋体" w:hAnsi="宋体" w:eastAsia="宋体" w:cs="宋体"/>
          <w:sz w:val="22"/>
          <w:szCs w:val="21"/>
          <w:lang w:eastAsia="zh-CN"/>
        </w:rPr>
      </w:pPr>
      <w:r>
        <w:rPr>
          <w:rFonts w:hint="eastAsia" w:ascii="宋体" w:hAnsi="宋体" w:eastAsia="宋体" w:cs="宋体"/>
          <w:sz w:val="22"/>
          <w:szCs w:val="21"/>
          <w:lang w:eastAsia="zh-CN"/>
        </w:rPr>
        <w:t>(十) 办公业务资源网运维服务</w:t>
      </w:r>
    </w:p>
    <w:p w14:paraId="6F21887A">
      <w:pPr>
        <w:widowControl w:val="0"/>
        <w:numPr>
          <w:ilvl w:val="0"/>
          <w:numId w:val="3"/>
        </w:numPr>
        <w:topLinePunct/>
        <w:textAlignment w:val="auto"/>
        <w:rPr>
          <w:rFonts w:ascii="宋体" w:hAnsi="宋体" w:cs="宋体"/>
          <w:b/>
          <w:bCs/>
          <w:sz w:val="24"/>
        </w:rPr>
      </w:pPr>
      <w:r>
        <w:rPr>
          <w:rFonts w:hint="eastAsia" w:ascii="宋体" w:hAnsi="宋体" w:cs="宋体"/>
          <w:b/>
          <w:bCs/>
          <w:sz w:val="24"/>
        </w:rPr>
        <w:t>平台驻场运维服务</w:t>
      </w:r>
    </w:p>
    <w:p w14:paraId="747D9E89">
      <w:pPr>
        <w:adjustRightInd w:val="0"/>
        <w:snapToGrid w:val="0"/>
        <w:spacing w:line="360" w:lineRule="auto"/>
        <w:ind w:firstLine="420" w:firstLineChars="200"/>
        <w:rPr>
          <w:rFonts w:ascii="宋体" w:hAnsi="宋体" w:cs="宋体"/>
          <w:szCs w:val="21"/>
        </w:rPr>
      </w:pPr>
      <w:r>
        <w:rPr>
          <w:rFonts w:hint="eastAsia" w:ascii="宋体" w:hAnsi="宋体" w:cs="宋体"/>
          <w:szCs w:val="21"/>
        </w:rPr>
        <w:t>针对电子政务机房及平台综合运维，提供不低于1人现场运维，协助开展网络日常维护、安全设备配置、安全策略调优、日常告警处置以及应急处置等操作。</w:t>
      </w:r>
    </w:p>
    <w:p w14:paraId="1237F578">
      <w:pPr>
        <w:widowControl w:val="0"/>
        <w:numPr>
          <w:ilvl w:val="0"/>
          <w:numId w:val="3"/>
        </w:numPr>
        <w:topLinePunct/>
        <w:spacing w:line="360" w:lineRule="auto"/>
        <w:textAlignment w:val="auto"/>
        <w:rPr>
          <w:rFonts w:ascii="宋体" w:hAnsi="宋体" w:cs="宋体"/>
          <w:b/>
          <w:bCs/>
          <w:sz w:val="24"/>
        </w:rPr>
      </w:pPr>
      <w:r>
        <w:rPr>
          <w:rFonts w:hint="eastAsia" w:ascii="宋体" w:hAnsi="宋体" w:cs="宋体"/>
          <w:b/>
          <w:bCs/>
          <w:sz w:val="24"/>
        </w:rPr>
        <w:t>常规巡检服务</w:t>
      </w:r>
    </w:p>
    <w:p w14:paraId="07D0AE46">
      <w:pPr>
        <w:adjustRightInd w:val="0"/>
        <w:snapToGrid w:val="0"/>
        <w:spacing w:line="360" w:lineRule="auto"/>
        <w:ind w:firstLine="420" w:firstLineChars="200"/>
        <w:rPr>
          <w:rFonts w:ascii="宋体" w:hAnsi="宋体" w:cs="宋体"/>
          <w:szCs w:val="21"/>
        </w:rPr>
      </w:pPr>
      <w:r>
        <w:rPr>
          <w:rFonts w:hint="eastAsia" w:ascii="宋体" w:hAnsi="宋体" w:cs="宋体"/>
          <w:szCs w:val="21"/>
        </w:rPr>
        <w:t>对电子政务机房视频监控、配电系统、不间断电源系统和消防门禁系统等机房基础设施、网络设备及安全设备的CPU利用率、内存利用率、磁盘利用率、端口流量、报警信息等关键工作指标进行例行监控，并定期巡检，当发生异常情况时，及时进行跟踪和处理。</w:t>
      </w:r>
    </w:p>
    <w:p w14:paraId="6BBA7750">
      <w:pPr>
        <w:widowControl w:val="0"/>
        <w:numPr>
          <w:ilvl w:val="0"/>
          <w:numId w:val="3"/>
        </w:numPr>
        <w:topLinePunct/>
        <w:spacing w:line="360" w:lineRule="auto"/>
        <w:textAlignment w:val="auto"/>
        <w:rPr>
          <w:rFonts w:ascii="宋体" w:hAnsi="宋体" w:cs="宋体"/>
          <w:b/>
          <w:bCs/>
          <w:sz w:val="24"/>
        </w:rPr>
      </w:pPr>
      <w:r>
        <w:rPr>
          <w:rFonts w:hint="eastAsia" w:ascii="宋体" w:hAnsi="宋体" w:cs="宋体"/>
          <w:b/>
          <w:bCs/>
          <w:sz w:val="24"/>
        </w:rPr>
        <w:t>应急响应服务</w:t>
      </w:r>
    </w:p>
    <w:p w14:paraId="6B8027A1">
      <w:pPr>
        <w:adjustRightInd w:val="0"/>
        <w:snapToGrid w:val="0"/>
        <w:spacing w:line="360" w:lineRule="auto"/>
        <w:ind w:firstLine="420" w:firstLineChars="200"/>
        <w:rPr>
          <w:rFonts w:ascii="宋体" w:hAnsi="宋体" w:cs="宋体"/>
          <w:szCs w:val="21"/>
        </w:rPr>
      </w:pPr>
      <w:r>
        <w:rPr>
          <w:rFonts w:hint="eastAsia" w:ascii="宋体" w:hAnsi="宋体" w:cs="宋体"/>
          <w:szCs w:val="21"/>
        </w:rPr>
        <w:t>当网络发生网络安全问题/事件时，提供应急响应服务，排查入侵来源，提供事故分析报告和安全建议及服务，并协助恢复网络的正常工作。</w:t>
      </w:r>
    </w:p>
    <w:p w14:paraId="2E7D3729">
      <w:pPr>
        <w:widowControl w:val="0"/>
        <w:numPr>
          <w:ilvl w:val="0"/>
          <w:numId w:val="3"/>
        </w:numPr>
        <w:topLinePunct/>
        <w:spacing w:line="360" w:lineRule="auto"/>
        <w:textAlignment w:val="auto"/>
        <w:rPr>
          <w:rFonts w:ascii="宋体" w:hAnsi="宋体" w:cs="宋体"/>
          <w:b/>
          <w:bCs/>
          <w:sz w:val="24"/>
        </w:rPr>
      </w:pPr>
      <w:r>
        <w:rPr>
          <w:rFonts w:hint="eastAsia" w:ascii="宋体" w:hAnsi="宋体" w:cs="宋体"/>
          <w:b/>
          <w:bCs/>
          <w:sz w:val="24"/>
        </w:rPr>
        <w:t>政务办公业务系统平台运维服务</w:t>
      </w:r>
    </w:p>
    <w:p w14:paraId="14B9FA7C">
      <w:pPr>
        <w:adjustRightInd w:val="0"/>
        <w:snapToGrid w:val="0"/>
        <w:spacing w:line="360" w:lineRule="auto"/>
        <w:ind w:firstLine="420" w:firstLineChars="200"/>
        <w:rPr>
          <w:rFonts w:ascii="宋体" w:hAnsi="宋体" w:cs="宋体"/>
          <w:szCs w:val="21"/>
        </w:rPr>
      </w:pPr>
      <w:r>
        <w:rPr>
          <w:rFonts w:hint="eastAsia" w:ascii="宋体" w:hAnsi="宋体" w:cs="宋体"/>
          <w:szCs w:val="21"/>
        </w:rPr>
        <w:t>提供对办公业务系统平台系统的基础维护业务巡检，保障系统的稳定运行；定期对系统的性能进行分析，对可能存在的性能问题进行系统优化；根据数据的运行情况，对数据进行参数配置，索引等方面的优化工作。</w:t>
      </w:r>
    </w:p>
    <w:p w14:paraId="3DCB31AD">
      <w:pPr>
        <w:pStyle w:val="5"/>
        <w:rPr>
          <w:rFonts w:ascii="宋体" w:hAnsi="宋体" w:eastAsia="宋体" w:cs="宋体"/>
          <w:sz w:val="22"/>
          <w:szCs w:val="21"/>
          <w:lang w:eastAsia="zh-CN"/>
        </w:rPr>
      </w:pPr>
      <w:r>
        <w:rPr>
          <w:rFonts w:hint="eastAsia" w:ascii="宋体" w:hAnsi="宋体" w:eastAsia="宋体" w:cs="宋体"/>
          <w:sz w:val="22"/>
          <w:szCs w:val="21"/>
          <w:lang w:eastAsia="zh-CN"/>
        </w:rPr>
        <w:t>(十一) 政府门户网站等级保护三级测评服务</w:t>
      </w:r>
    </w:p>
    <w:p w14:paraId="373D9064">
      <w:pPr>
        <w:adjustRightInd w:val="0"/>
        <w:snapToGrid w:val="0"/>
        <w:spacing w:line="360" w:lineRule="auto"/>
        <w:ind w:firstLine="420" w:firstLineChars="200"/>
        <w:rPr>
          <w:rFonts w:ascii="宋体" w:hAnsi="宋体" w:cs="宋体"/>
          <w:szCs w:val="21"/>
        </w:rPr>
      </w:pPr>
      <w:r>
        <w:rPr>
          <w:rFonts w:hint="eastAsia" w:ascii="宋体" w:hAnsi="宋体" w:cs="宋体"/>
          <w:szCs w:val="21"/>
        </w:rPr>
        <w:t>按照《网络安全等级保护条例》要求，对区政府门户网站系统进行等级保护三级测评，并将取得相关部门的备案证书。</w:t>
      </w:r>
    </w:p>
    <w:p w14:paraId="4FD91E4D">
      <w:pPr>
        <w:pStyle w:val="5"/>
        <w:rPr>
          <w:rFonts w:ascii="宋体" w:hAnsi="宋体" w:eastAsia="宋体" w:cs="宋体"/>
          <w:sz w:val="22"/>
          <w:szCs w:val="21"/>
          <w:lang w:eastAsia="zh-CN"/>
        </w:rPr>
      </w:pPr>
      <w:r>
        <w:rPr>
          <w:rFonts w:hint="eastAsia" w:ascii="宋体" w:hAnsi="宋体" w:eastAsia="宋体" w:cs="宋体"/>
          <w:sz w:val="22"/>
          <w:szCs w:val="21"/>
          <w:lang w:eastAsia="zh-CN"/>
        </w:rPr>
        <w:t xml:space="preserve">(十二) </w:t>
      </w:r>
      <w:bookmarkEnd w:id="125"/>
      <w:bookmarkEnd w:id="126"/>
      <w:r>
        <w:rPr>
          <w:rFonts w:hint="eastAsia" w:ascii="宋体" w:hAnsi="宋体" w:eastAsia="宋体" w:cs="宋体"/>
          <w:sz w:val="22"/>
          <w:szCs w:val="21"/>
          <w:lang w:eastAsia="zh-CN"/>
        </w:rPr>
        <w:t>其他说明</w:t>
      </w:r>
    </w:p>
    <w:p w14:paraId="0091E2E8">
      <w:pPr>
        <w:adjustRightInd w:val="0"/>
        <w:snapToGrid w:val="0"/>
        <w:spacing w:line="360" w:lineRule="auto"/>
        <w:ind w:firstLine="420" w:firstLineChars="200"/>
        <w:rPr>
          <w:rFonts w:ascii="宋体" w:hAnsi="宋体" w:cs="宋体"/>
          <w:szCs w:val="21"/>
        </w:rPr>
      </w:pPr>
      <w:r>
        <w:rPr>
          <w:rFonts w:hint="eastAsia" w:ascii="宋体" w:hAnsi="宋体" w:cs="宋体"/>
          <w:szCs w:val="21"/>
        </w:rPr>
        <w:t>1、供应商的方案须报平顶山市有关部门备案通过后方可执行。本次项目相关服务，由中标方负责承担服务期内服务升级的相关费用，用户方在服务有效期内不承担任何更新和升级费用。</w:t>
      </w:r>
    </w:p>
    <w:p w14:paraId="14E7D76E">
      <w:pPr>
        <w:adjustRightInd w:val="0"/>
        <w:snapToGrid w:val="0"/>
        <w:spacing w:line="360" w:lineRule="auto"/>
        <w:ind w:firstLine="420" w:firstLineChars="200"/>
        <w:rPr>
          <w:rFonts w:ascii="宋体" w:hAnsi="宋体" w:cs="宋体"/>
          <w:szCs w:val="21"/>
        </w:rPr>
      </w:pPr>
      <w:r>
        <w:rPr>
          <w:rFonts w:hint="eastAsia" w:ascii="宋体" w:hAnsi="宋体" w:cs="宋体"/>
          <w:szCs w:val="21"/>
        </w:rPr>
        <w:t>2、办公业务资源网业务应用系统平台需与市政府政务办公云平台完成对接，保障与政府公文的在线签批和流转。</w:t>
      </w:r>
    </w:p>
    <w:p w14:paraId="521F663E">
      <w:pPr>
        <w:adjustRightInd w:val="0"/>
        <w:snapToGrid w:val="0"/>
        <w:spacing w:line="360" w:lineRule="auto"/>
        <w:ind w:firstLine="420" w:firstLineChars="200"/>
        <w:rPr>
          <w:rFonts w:ascii="宋体" w:hAnsi="宋体" w:cs="宋体"/>
          <w:szCs w:val="21"/>
        </w:rPr>
      </w:pPr>
      <w:r>
        <w:rPr>
          <w:rFonts w:hint="eastAsia" w:ascii="宋体" w:hAnsi="宋体" w:cs="宋体"/>
          <w:szCs w:val="21"/>
        </w:rPr>
        <w:t>3、供应商须有网络资产梳理排查能力，对现有网络状况的资产和架构梳理或由此产生的费用由中标供应商自行承担。</w:t>
      </w:r>
    </w:p>
    <w:p w14:paraId="17761C09">
      <w:pPr>
        <w:pStyle w:val="2"/>
      </w:pPr>
    </w:p>
    <w:p w14:paraId="770FC5E4">
      <w:pPr>
        <w:pStyle w:val="2"/>
      </w:pPr>
      <w:r>
        <w:rPr>
          <w:rFonts w:hint="eastAsia"/>
        </w:rPr>
        <w:t>注：本章节第四条“技术需求描述”的所有条款，供应商应逐条全文承诺，若没有作出相应承诺或响应不完整，视为完全响应竞争性磋商文件要求。</w:t>
      </w:r>
    </w:p>
    <w:p w14:paraId="58FE7191">
      <w:r>
        <w:br w:type="page"/>
      </w:r>
    </w:p>
    <w:p w14:paraId="7E06A94E">
      <w:pPr>
        <w:pStyle w:val="4"/>
        <w:spacing w:before="120" w:after="120" w:line="360" w:lineRule="auto"/>
        <w:jc w:val="center"/>
        <w:rPr>
          <w:rStyle w:val="54"/>
          <w:rFonts w:ascii="宋体" w:hAnsi="宋体" w:cs="宋体"/>
          <w:kern w:val="2"/>
          <w:sz w:val="36"/>
          <w:szCs w:val="36"/>
        </w:rPr>
      </w:pPr>
      <w:r>
        <w:rPr>
          <w:rStyle w:val="54"/>
          <w:rFonts w:hint="eastAsia" w:ascii="宋体" w:hAnsi="宋体" w:cs="宋体"/>
          <w:kern w:val="2"/>
          <w:sz w:val="36"/>
          <w:szCs w:val="36"/>
        </w:rPr>
        <w:t xml:space="preserve">第六章  </w:t>
      </w:r>
      <w:r>
        <w:rPr>
          <w:rStyle w:val="54"/>
          <w:rFonts w:hint="eastAsia" w:ascii="宋体" w:hAnsi="宋体" w:cs="宋体"/>
          <w:kern w:val="2"/>
          <w:sz w:val="36"/>
          <w:szCs w:val="36"/>
          <w:lang w:val="zh-CN"/>
        </w:rPr>
        <w:t>响应文件格式</w:t>
      </w:r>
      <w:bookmarkEnd w:id="123"/>
    </w:p>
    <w:p w14:paraId="609A050D">
      <w:pPr>
        <w:pStyle w:val="94"/>
        <w:ind w:firstLine="0"/>
        <w:jc w:val="center"/>
        <w:rPr>
          <w:rStyle w:val="54"/>
          <w:rFonts w:ascii="宋体" w:hAnsi="宋体" w:cs="宋体"/>
          <w:b/>
          <w:bCs/>
          <w:sz w:val="48"/>
          <w:szCs w:val="48"/>
        </w:rPr>
      </w:pPr>
    </w:p>
    <w:p w14:paraId="745F4912">
      <w:pPr>
        <w:spacing w:line="720" w:lineRule="auto"/>
        <w:jc w:val="center"/>
        <w:rPr>
          <w:rStyle w:val="54"/>
          <w:rFonts w:ascii="宋体" w:hAnsi="宋体" w:cs="宋体"/>
          <w:b/>
          <w:bCs/>
          <w:sz w:val="44"/>
          <w:szCs w:val="44"/>
        </w:rPr>
      </w:pPr>
      <w:r>
        <w:rPr>
          <w:rStyle w:val="54"/>
          <w:rFonts w:hint="eastAsia" w:ascii="宋体" w:hAnsi="宋体" w:cs="宋体"/>
          <w:b/>
          <w:bCs/>
          <w:sz w:val="44"/>
          <w:szCs w:val="44"/>
        </w:rPr>
        <w:t>平顶山尼龙新材料开发区管理委员会</w:t>
      </w:r>
    </w:p>
    <w:p w14:paraId="702C3826">
      <w:pPr>
        <w:spacing w:line="720" w:lineRule="auto"/>
        <w:jc w:val="center"/>
        <w:rPr>
          <w:rStyle w:val="54"/>
          <w:rFonts w:ascii="宋体" w:hAnsi="宋体" w:cs="宋体"/>
          <w:b/>
          <w:kern w:val="0"/>
          <w:sz w:val="52"/>
          <w:szCs w:val="52"/>
        </w:rPr>
      </w:pPr>
      <w:r>
        <w:rPr>
          <w:rStyle w:val="54"/>
          <w:rFonts w:hint="eastAsia" w:ascii="宋体" w:hAnsi="宋体" w:cs="宋体"/>
          <w:b/>
          <w:bCs/>
          <w:sz w:val="44"/>
          <w:szCs w:val="44"/>
        </w:rPr>
        <w:t>电子政务外网暨办公业务资源网系统购买服务项目</w:t>
      </w:r>
    </w:p>
    <w:p w14:paraId="6B72F493">
      <w:pPr>
        <w:jc w:val="center"/>
        <w:rPr>
          <w:rStyle w:val="54"/>
          <w:rFonts w:ascii="宋体" w:hAnsi="宋体" w:cs="宋体"/>
          <w:b/>
          <w:kern w:val="0"/>
          <w:sz w:val="52"/>
          <w:szCs w:val="52"/>
        </w:rPr>
      </w:pPr>
      <w:bookmarkStart w:id="127" w:name="_Toc23140"/>
      <w:r>
        <w:rPr>
          <w:rStyle w:val="54"/>
          <w:rFonts w:hint="eastAsia" w:ascii="宋体" w:hAnsi="宋体" w:cs="宋体"/>
          <w:b/>
          <w:kern w:val="0"/>
          <w:sz w:val="52"/>
          <w:szCs w:val="52"/>
        </w:rPr>
        <w:t>响 应 文 件</w:t>
      </w:r>
      <w:bookmarkEnd w:id="127"/>
    </w:p>
    <w:p w14:paraId="341DA576">
      <w:pPr>
        <w:spacing w:line="420" w:lineRule="exact"/>
        <w:jc w:val="center"/>
        <w:rPr>
          <w:rStyle w:val="54"/>
          <w:rFonts w:ascii="宋体" w:hAnsi="宋体" w:cs="宋体"/>
          <w:b/>
          <w:bCs/>
          <w:kern w:val="0"/>
          <w:sz w:val="24"/>
        </w:rPr>
      </w:pPr>
    </w:p>
    <w:p w14:paraId="706175A8">
      <w:pPr>
        <w:pStyle w:val="78"/>
        <w:rPr>
          <w:rStyle w:val="54"/>
          <w:rFonts w:ascii="宋体" w:hAnsi="宋体" w:cs="宋体"/>
        </w:rPr>
      </w:pPr>
    </w:p>
    <w:p w14:paraId="65EBAD68">
      <w:pPr>
        <w:spacing w:line="420" w:lineRule="exact"/>
        <w:jc w:val="center"/>
        <w:rPr>
          <w:rStyle w:val="54"/>
          <w:rFonts w:ascii="宋体" w:hAnsi="宋体" w:cs="宋体"/>
          <w:sz w:val="28"/>
          <w:szCs w:val="28"/>
        </w:rPr>
      </w:pPr>
      <w:r>
        <w:rPr>
          <w:rStyle w:val="54"/>
          <w:rFonts w:hint="eastAsia" w:ascii="宋体" w:hAnsi="宋体" w:cs="宋体"/>
          <w:sz w:val="28"/>
          <w:szCs w:val="28"/>
        </w:rPr>
        <w:t>采购编号：平采磋商-2024-35</w:t>
      </w:r>
    </w:p>
    <w:p w14:paraId="1D6866E5">
      <w:pPr>
        <w:spacing w:line="420" w:lineRule="exact"/>
        <w:jc w:val="center"/>
        <w:rPr>
          <w:rStyle w:val="54"/>
          <w:rFonts w:ascii="宋体" w:hAnsi="宋体" w:cs="宋体"/>
          <w:sz w:val="24"/>
        </w:rPr>
      </w:pPr>
    </w:p>
    <w:p w14:paraId="49401930">
      <w:pPr>
        <w:spacing w:line="420" w:lineRule="exact"/>
        <w:jc w:val="center"/>
        <w:rPr>
          <w:rStyle w:val="54"/>
          <w:rFonts w:ascii="宋体" w:hAnsi="宋体" w:cs="宋体"/>
          <w:sz w:val="24"/>
        </w:rPr>
      </w:pPr>
    </w:p>
    <w:p w14:paraId="3B13108B">
      <w:pPr>
        <w:spacing w:line="420" w:lineRule="exact"/>
        <w:jc w:val="center"/>
        <w:rPr>
          <w:rStyle w:val="54"/>
          <w:rFonts w:ascii="宋体" w:hAnsi="宋体" w:cs="宋体"/>
          <w:sz w:val="24"/>
        </w:rPr>
      </w:pPr>
    </w:p>
    <w:p w14:paraId="656E709F">
      <w:pPr>
        <w:jc w:val="center"/>
        <w:rPr>
          <w:rStyle w:val="54"/>
          <w:rFonts w:ascii="宋体" w:hAnsi="宋体" w:cs="宋体"/>
          <w:kern w:val="0"/>
          <w:sz w:val="52"/>
          <w:szCs w:val="52"/>
        </w:rPr>
      </w:pPr>
    </w:p>
    <w:p w14:paraId="58E37294">
      <w:pPr>
        <w:jc w:val="center"/>
        <w:rPr>
          <w:rStyle w:val="54"/>
          <w:rFonts w:ascii="宋体" w:hAnsi="宋体" w:cs="宋体"/>
          <w:kern w:val="0"/>
          <w:sz w:val="52"/>
          <w:szCs w:val="52"/>
        </w:rPr>
      </w:pPr>
    </w:p>
    <w:p w14:paraId="28AF8A68">
      <w:pPr>
        <w:spacing w:line="360" w:lineRule="auto"/>
        <w:ind w:right="560"/>
        <w:rPr>
          <w:rStyle w:val="54"/>
          <w:rFonts w:ascii="宋体" w:hAnsi="宋体" w:cs="宋体"/>
          <w:kern w:val="0"/>
          <w:sz w:val="52"/>
          <w:szCs w:val="52"/>
        </w:rPr>
      </w:pPr>
    </w:p>
    <w:p w14:paraId="715D8E2C">
      <w:pPr>
        <w:spacing w:line="360" w:lineRule="auto"/>
        <w:ind w:right="560" w:firstLine="980" w:firstLineChars="350"/>
        <w:rPr>
          <w:rStyle w:val="54"/>
          <w:rFonts w:ascii="宋体" w:hAnsi="宋体" w:cs="宋体"/>
          <w:sz w:val="28"/>
          <w:szCs w:val="28"/>
        </w:rPr>
      </w:pPr>
      <w:bookmarkStart w:id="128" w:name="_Toc3493"/>
      <w:r>
        <w:rPr>
          <w:rStyle w:val="54"/>
          <w:rFonts w:hint="eastAsia" w:ascii="宋体" w:hAnsi="宋体" w:cs="宋体"/>
          <w:sz w:val="28"/>
          <w:szCs w:val="28"/>
        </w:rPr>
        <w:t>供    应    商：</w:t>
      </w:r>
      <w:r>
        <w:rPr>
          <w:rStyle w:val="54"/>
          <w:rFonts w:hint="eastAsia" w:ascii="宋体" w:hAnsi="宋体" w:cs="宋体"/>
          <w:sz w:val="28"/>
          <w:szCs w:val="28"/>
          <w:u w:val="single" w:color="000000"/>
        </w:rPr>
        <w:t xml:space="preserve">                 </w:t>
      </w:r>
      <w:r>
        <w:rPr>
          <w:rStyle w:val="54"/>
          <w:rFonts w:hint="eastAsia" w:ascii="宋体" w:hAnsi="宋体" w:cs="宋体"/>
          <w:sz w:val="28"/>
          <w:szCs w:val="28"/>
        </w:rPr>
        <w:t>（电子印章）</w:t>
      </w:r>
      <w:bookmarkEnd w:id="128"/>
    </w:p>
    <w:p w14:paraId="2D241862">
      <w:pPr>
        <w:spacing w:line="240" w:lineRule="atLeast"/>
        <w:ind w:right="561" w:firstLine="980" w:firstLineChars="350"/>
        <w:rPr>
          <w:rStyle w:val="54"/>
          <w:rFonts w:ascii="宋体" w:hAnsi="宋体" w:cs="宋体"/>
          <w:sz w:val="28"/>
          <w:szCs w:val="28"/>
        </w:rPr>
      </w:pPr>
      <w:bookmarkStart w:id="129" w:name="_Toc18363"/>
      <w:r>
        <w:rPr>
          <w:rStyle w:val="54"/>
          <w:rFonts w:hint="eastAsia" w:ascii="宋体" w:hAnsi="宋体" w:cs="宋体"/>
          <w:sz w:val="28"/>
          <w:szCs w:val="28"/>
        </w:rPr>
        <w:t>法 定 代 表 人：</w:t>
      </w:r>
      <w:r>
        <w:rPr>
          <w:rStyle w:val="54"/>
          <w:rFonts w:hint="eastAsia" w:ascii="宋体" w:hAnsi="宋体" w:cs="宋体"/>
          <w:sz w:val="28"/>
          <w:szCs w:val="28"/>
          <w:u w:val="single" w:color="000000"/>
        </w:rPr>
        <w:t xml:space="preserve">                 </w:t>
      </w:r>
      <w:r>
        <w:rPr>
          <w:rStyle w:val="54"/>
          <w:rFonts w:hint="eastAsia" w:ascii="宋体" w:hAnsi="宋体" w:cs="宋体"/>
          <w:sz w:val="28"/>
          <w:szCs w:val="28"/>
        </w:rPr>
        <w:t>（电子签章）</w:t>
      </w:r>
      <w:bookmarkEnd w:id="129"/>
    </w:p>
    <w:p w14:paraId="5CC83EBE">
      <w:pPr>
        <w:jc w:val="center"/>
        <w:rPr>
          <w:rStyle w:val="54"/>
          <w:rFonts w:ascii="宋体" w:hAnsi="宋体" w:cs="宋体"/>
          <w:sz w:val="28"/>
          <w:szCs w:val="28"/>
        </w:rPr>
      </w:pPr>
    </w:p>
    <w:p w14:paraId="091BE262">
      <w:pPr>
        <w:jc w:val="center"/>
        <w:rPr>
          <w:rStyle w:val="54"/>
          <w:rFonts w:ascii="宋体" w:hAnsi="宋体" w:cs="宋体"/>
          <w:sz w:val="20"/>
        </w:rPr>
      </w:pPr>
      <w:r>
        <w:rPr>
          <w:rStyle w:val="54"/>
          <w:rFonts w:hint="eastAsia" w:ascii="宋体" w:hAnsi="宋体" w:cs="宋体"/>
          <w:sz w:val="28"/>
          <w:szCs w:val="28"/>
          <w:u w:val="single" w:color="000000"/>
        </w:rPr>
        <w:t xml:space="preserve">         </w:t>
      </w:r>
      <w:bookmarkStart w:id="130" w:name="_Toc10204"/>
      <w:r>
        <w:rPr>
          <w:rStyle w:val="54"/>
          <w:rFonts w:hint="eastAsia" w:ascii="宋体" w:hAnsi="宋体" w:cs="宋体"/>
          <w:sz w:val="28"/>
          <w:szCs w:val="28"/>
        </w:rPr>
        <w:t>年</w:t>
      </w:r>
      <w:r>
        <w:rPr>
          <w:rStyle w:val="54"/>
          <w:rFonts w:hint="eastAsia" w:ascii="宋体" w:hAnsi="宋体" w:cs="宋体"/>
          <w:sz w:val="28"/>
          <w:szCs w:val="28"/>
          <w:u w:val="single" w:color="000000"/>
        </w:rPr>
        <w:t xml:space="preserve">         </w:t>
      </w:r>
      <w:r>
        <w:rPr>
          <w:rStyle w:val="54"/>
          <w:rFonts w:hint="eastAsia" w:ascii="宋体" w:hAnsi="宋体" w:cs="宋体"/>
          <w:sz w:val="28"/>
          <w:szCs w:val="28"/>
        </w:rPr>
        <w:t>月</w:t>
      </w:r>
      <w:r>
        <w:rPr>
          <w:rStyle w:val="54"/>
          <w:rFonts w:hint="eastAsia" w:ascii="宋体" w:hAnsi="宋体" w:cs="宋体"/>
          <w:sz w:val="28"/>
          <w:szCs w:val="28"/>
          <w:u w:val="single" w:color="000000"/>
        </w:rPr>
        <w:t xml:space="preserve">         </w:t>
      </w:r>
      <w:r>
        <w:rPr>
          <w:rStyle w:val="54"/>
          <w:rFonts w:hint="eastAsia" w:ascii="宋体" w:hAnsi="宋体" w:cs="宋体"/>
          <w:sz w:val="28"/>
          <w:szCs w:val="28"/>
        </w:rPr>
        <w:t>日</w:t>
      </w:r>
      <w:bookmarkEnd w:id="130"/>
    </w:p>
    <w:p w14:paraId="0DC87789">
      <w:pPr>
        <w:jc w:val="center"/>
        <w:rPr>
          <w:rStyle w:val="54"/>
          <w:rFonts w:ascii="宋体" w:hAnsi="宋体" w:cs="宋体"/>
          <w:b/>
          <w:bCs/>
          <w:sz w:val="30"/>
          <w:szCs w:val="30"/>
        </w:rPr>
      </w:pPr>
    </w:p>
    <w:p w14:paraId="5E9E8382">
      <w:pPr>
        <w:pStyle w:val="43"/>
        <w:ind w:firstLine="210"/>
        <w:rPr>
          <w:rStyle w:val="54"/>
          <w:rFonts w:ascii="宋体" w:hAnsi="宋体" w:cs="宋体"/>
        </w:rPr>
      </w:pPr>
    </w:p>
    <w:p w14:paraId="4DB3B873">
      <w:pPr>
        <w:jc w:val="left"/>
        <w:textAlignment w:val="auto"/>
        <w:rPr>
          <w:rStyle w:val="54"/>
          <w:rFonts w:ascii="宋体" w:hAnsi="宋体" w:cs="宋体"/>
          <w:b/>
          <w:bCs/>
          <w:sz w:val="36"/>
          <w:szCs w:val="36"/>
        </w:rPr>
      </w:pPr>
      <w:bookmarkStart w:id="131" w:name="_Toc32383"/>
      <w:r>
        <w:rPr>
          <w:rStyle w:val="54"/>
          <w:rFonts w:ascii="宋体" w:hAnsi="宋体" w:cs="宋体"/>
          <w:b/>
          <w:bCs/>
          <w:sz w:val="36"/>
          <w:szCs w:val="36"/>
        </w:rPr>
        <w:br w:type="page"/>
      </w:r>
    </w:p>
    <w:p w14:paraId="0227E9AC">
      <w:pPr>
        <w:jc w:val="center"/>
        <w:rPr>
          <w:rStyle w:val="54"/>
          <w:rFonts w:ascii="宋体" w:hAnsi="宋体" w:cs="宋体"/>
          <w:b/>
          <w:bCs/>
          <w:sz w:val="36"/>
          <w:szCs w:val="36"/>
        </w:rPr>
      </w:pPr>
      <w:r>
        <w:rPr>
          <w:rStyle w:val="54"/>
          <w:rFonts w:hint="eastAsia" w:ascii="宋体" w:hAnsi="宋体" w:cs="宋体"/>
          <w:b/>
          <w:bCs/>
          <w:sz w:val="36"/>
          <w:szCs w:val="36"/>
        </w:rPr>
        <w:t>目    录</w:t>
      </w:r>
      <w:bookmarkEnd w:id="131"/>
    </w:p>
    <w:p w14:paraId="503C1DFC">
      <w:pPr>
        <w:spacing w:line="360" w:lineRule="auto"/>
        <w:ind w:firstLine="480" w:firstLineChars="200"/>
        <w:jc w:val="left"/>
        <w:rPr>
          <w:rFonts w:ascii="宋体" w:hAnsi="宋体" w:cs="宋体"/>
          <w:kern w:val="0"/>
          <w:sz w:val="24"/>
        </w:rPr>
      </w:pPr>
      <w:r>
        <w:rPr>
          <w:rFonts w:hint="eastAsia" w:ascii="宋体" w:hAnsi="宋体" w:cs="宋体"/>
          <w:kern w:val="0"/>
          <w:sz w:val="24"/>
        </w:rPr>
        <w:t>一、</w:t>
      </w:r>
      <w:r>
        <w:rPr>
          <w:rFonts w:hint="eastAsia" w:ascii="宋体" w:hAnsi="宋体" w:cs="宋体"/>
          <w:sz w:val="24"/>
          <w:lang w:val="zh-CN"/>
        </w:rPr>
        <w:t>磋商</w:t>
      </w:r>
      <w:r>
        <w:rPr>
          <w:rFonts w:hint="eastAsia" w:ascii="宋体" w:hAnsi="宋体" w:cs="宋体"/>
          <w:kern w:val="0"/>
          <w:sz w:val="24"/>
        </w:rPr>
        <w:t>函</w:t>
      </w:r>
    </w:p>
    <w:p w14:paraId="2D5736B9">
      <w:pPr>
        <w:spacing w:line="360" w:lineRule="auto"/>
        <w:ind w:firstLine="480" w:firstLineChars="200"/>
        <w:jc w:val="left"/>
        <w:rPr>
          <w:rFonts w:ascii="宋体" w:hAnsi="宋体" w:cs="宋体"/>
          <w:kern w:val="0"/>
          <w:sz w:val="24"/>
        </w:rPr>
      </w:pPr>
      <w:r>
        <w:rPr>
          <w:rFonts w:hint="eastAsia" w:ascii="宋体" w:hAnsi="宋体" w:cs="宋体"/>
          <w:kern w:val="0"/>
          <w:sz w:val="24"/>
        </w:rPr>
        <w:t>二、磋商报价函附录</w:t>
      </w:r>
    </w:p>
    <w:p w14:paraId="05DB3073">
      <w:pPr>
        <w:spacing w:line="360" w:lineRule="auto"/>
        <w:ind w:firstLine="480" w:firstLineChars="200"/>
        <w:jc w:val="left"/>
        <w:rPr>
          <w:rFonts w:ascii="宋体" w:hAnsi="宋体" w:cs="宋体"/>
          <w:kern w:val="0"/>
          <w:sz w:val="24"/>
        </w:rPr>
      </w:pPr>
      <w:r>
        <w:rPr>
          <w:rFonts w:hint="eastAsia" w:ascii="宋体" w:hAnsi="宋体" w:cs="宋体"/>
          <w:kern w:val="0"/>
          <w:sz w:val="24"/>
        </w:rPr>
        <w:t>三、法定代表人身份证明</w:t>
      </w:r>
    </w:p>
    <w:p w14:paraId="44DE6C11">
      <w:pPr>
        <w:spacing w:line="360" w:lineRule="auto"/>
        <w:ind w:firstLine="480" w:firstLineChars="200"/>
        <w:jc w:val="left"/>
        <w:rPr>
          <w:rFonts w:ascii="宋体" w:hAnsi="宋体" w:cs="宋体"/>
          <w:kern w:val="0"/>
          <w:sz w:val="24"/>
        </w:rPr>
      </w:pPr>
      <w:r>
        <w:rPr>
          <w:rFonts w:hint="eastAsia" w:ascii="宋体" w:hAnsi="宋体" w:cs="宋体"/>
          <w:kern w:val="0"/>
          <w:sz w:val="24"/>
        </w:rPr>
        <w:t>四、授权委托书</w:t>
      </w:r>
    </w:p>
    <w:p w14:paraId="24E85C6E">
      <w:pPr>
        <w:spacing w:line="360" w:lineRule="auto"/>
        <w:ind w:firstLine="480" w:firstLineChars="200"/>
        <w:jc w:val="left"/>
        <w:rPr>
          <w:rFonts w:ascii="宋体" w:hAnsi="宋体" w:cs="宋体"/>
          <w:kern w:val="0"/>
          <w:sz w:val="24"/>
        </w:rPr>
      </w:pPr>
      <w:r>
        <w:rPr>
          <w:rFonts w:hint="eastAsia" w:ascii="宋体" w:hAnsi="宋体" w:cs="宋体"/>
          <w:kern w:val="0"/>
          <w:sz w:val="24"/>
        </w:rPr>
        <w:t>五、分项报价表</w:t>
      </w:r>
    </w:p>
    <w:p w14:paraId="23E49C2C">
      <w:pPr>
        <w:spacing w:line="360" w:lineRule="auto"/>
        <w:ind w:firstLine="480" w:firstLineChars="200"/>
        <w:jc w:val="left"/>
        <w:rPr>
          <w:rFonts w:ascii="宋体" w:hAnsi="宋体" w:cs="宋体"/>
          <w:kern w:val="0"/>
          <w:sz w:val="24"/>
        </w:rPr>
      </w:pPr>
      <w:r>
        <w:rPr>
          <w:rFonts w:hint="eastAsia" w:ascii="宋体" w:hAnsi="宋体" w:cs="宋体"/>
          <w:kern w:val="0"/>
          <w:sz w:val="24"/>
        </w:rPr>
        <w:t>六、服务内容及要求响应偏离表</w:t>
      </w:r>
    </w:p>
    <w:p w14:paraId="7FBFF797">
      <w:pPr>
        <w:spacing w:line="360" w:lineRule="auto"/>
        <w:ind w:firstLine="480" w:firstLineChars="200"/>
        <w:jc w:val="left"/>
        <w:rPr>
          <w:rFonts w:ascii="宋体" w:hAnsi="宋体" w:cs="宋体"/>
          <w:kern w:val="0"/>
          <w:sz w:val="24"/>
        </w:rPr>
      </w:pPr>
      <w:r>
        <w:rPr>
          <w:rFonts w:hint="eastAsia" w:ascii="宋体" w:hAnsi="宋体" w:cs="宋体"/>
          <w:kern w:val="0"/>
          <w:sz w:val="24"/>
        </w:rPr>
        <w:t>七、商务部分及技术部分</w:t>
      </w:r>
    </w:p>
    <w:p w14:paraId="14480F37">
      <w:pPr>
        <w:spacing w:line="360" w:lineRule="auto"/>
        <w:ind w:firstLine="480" w:firstLineChars="200"/>
        <w:jc w:val="left"/>
        <w:rPr>
          <w:rFonts w:ascii="宋体" w:hAnsi="宋体" w:cs="宋体"/>
          <w:kern w:val="0"/>
          <w:sz w:val="24"/>
        </w:rPr>
      </w:pPr>
      <w:r>
        <w:rPr>
          <w:rFonts w:hint="eastAsia" w:ascii="宋体" w:hAnsi="宋体" w:cs="宋体"/>
          <w:kern w:val="0"/>
          <w:sz w:val="24"/>
        </w:rPr>
        <w:t>八、资格审查资料</w:t>
      </w:r>
    </w:p>
    <w:p w14:paraId="2B7C728B">
      <w:pPr>
        <w:spacing w:line="360" w:lineRule="auto"/>
        <w:ind w:firstLine="480" w:firstLineChars="200"/>
        <w:jc w:val="left"/>
        <w:rPr>
          <w:rFonts w:ascii="宋体" w:hAnsi="宋体" w:cs="宋体"/>
          <w:kern w:val="0"/>
          <w:sz w:val="24"/>
        </w:rPr>
      </w:pPr>
      <w:r>
        <w:rPr>
          <w:rFonts w:hint="eastAsia" w:ascii="宋体" w:hAnsi="宋体" w:cs="宋体"/>
          <w:kern w:val="0"/>
          <w:sz w:val="24"/>
        </w:rPr>
        <w:t>九供应商认为应附的其他资料</w:t>
      </w:r>
    </w:p>
    <w:p w14:paraId="604315DC">
      <w:pPr>
        <w:spacing w:line="480" w:lineRule="auto"/>
        <w:ind w:firstLine="482" w:firstLineChars="200"/>
        <w:rPr>
          <w:rStyle w:val="54"/>
          <w:rFonts w:ascii="宋体" w:hAnsi="宋体" w:cs="宋体"/>
          <w:b/>
          <w:bCs/>
          <w:sz w:val="20"/>
        </w:rPr>
      </w:pPr>
      <w:r>
        <w:rPr>
          <w:rStyle w:val="54"/>
          <w:rFonts w:hint="eastAsia" w:ascii="宋体" w:hAnsi="宋体" w:cs="宋体"/>
          <w:b/>
          <w:bCs/>
          <w:sz w:val="24"/>
        </w:rPr>
        <w:t>注：响应文件格式供供应商参考，投标应最大可能的根据竞争性磋商文件给定的格式填写，供应商可根据自身情况，对所提供的样表进行扩展，也可增加资料，但投标函和投标函附录的内容不得删减。</w:t>
      </w:r>
    </w:p>
    <w:p w14:paraId="08AA912F">
      <w:pPr>
        <w:snapToGrid w:val="0"/>
        <w:spacing w:line="440" w:lineRule="exact"/>
        <w:rPr>
          <w:rStyle w:val="54"/>
          <w:rFonts w:ascii="宋体" w:hAnsi="宋体" w:cs="宋体"/>
          <w:b/>
          <w:bCs/>
          <w:sz w:val="24"/>
        </w:rPr>
      </w:pPr>
    </w:p>
    <w:p w14:paraId="12908002">
      <w:pPr>
        <w:spacing w:line="540" w:lineRule="exact"/>
        <w:rPr>
          <w:rStyle w:val="54"/>
          <w:rFonts w:ascii="宋体" w:hAnsi="宋体" w:cs="宋体"/>
          <w:sz w:val="20"/>
        </w:rPr>
      </w:pPr>
    </w:p>
    <w:p w14:paraId="4C8B8E97">
      <w:pPr>
        <w:spacing w:line="540" w:lineRule="exact"/>
        <w:rPr>
          <w:rStyle w:val="54"/>
          <w:rFonts w:ascii="宋体" w:hAnsi="宋体" w:cs="宋体"/>
          <w:sz w:val="20"/>
        </w:rPr>
      </w:pPr>
    </w:p>
    <w:p w14:paraId="20EA03BC">
      <w:pPr>
        <w:spacing w:line="540" w:lineRule="exact"/>
        <w:rPr>
          <w:rStyle w:val="54"/>
          <w:rFonts w:ascii="宋体" w:hAnsi="宋体" w:cs="宋体"/>
          <w:sz w:val="20"/>
        </w:rPr>
      </w:pPr>
    </w:p>
    <w:p w14:paraId="4C9E04B5">
      <w:pPr>
        <w:spacing w:line="540" w:lineRule="exact"/>
        <w:rPr>
          <w:rStyle w:val="54"/>
          <w:rFonts w:ascii="宋体" w:hAnsi="宋体" w:cs="宋体"/>
          <w:sz w:val="20"/>
        </w:rPr>
      </w:pPr>
    </w:p>
    <w:p w14:paraId="6527838C">
      <w:pPr>
        <w:spacing w:line="540" w:lineRule="exact"/>
        <w:rPr>
          <w:rStyle w:val="54"/>
          <w:rFonts w:ascii="宋体" w:hAnsi="宋体" w:cs="宋体"/>
          <w:sz w:val="20"/>
        </w:rPr>
      </w:pPr>
    </w:p>
    <w:p w14:paraId="37EE6C00">
      <w:pPr>
        <w:spacing w:line="540" w:lineRule="exact"/>
        <w:rPr>
          <w:rStyle w:val="54"/>
          <w:rFonts w:ascii="宋体" w:hAnsi="宋体" w:cs="宋体"/>
          <w:sz w:val="20"/>
        </w:rPr>
      </w:pPr>
    </w:p>
    <w:p w14:paraId="50B2032E">
      <w:pPr>
        <w:spacing w:line="540" w:lineRule="exact"/>
        <w:rPr>
          <w:rStyle w:val="54"/>
          <w:rFonts w:ascii="宋体" w:hAnsi="宋体" w:cs="宋体"/>
          <w:sz w:val="20"/>
        </w:rPr>
      </w:pPr>
    </w:p>
    <w:p w14:paraId="5830EAFA">
      <w:pPr>
        <w:spacing w:line="540" w:lineRule="exact"/>
        <w:rPr>
          <w:rStyle w:val="54"/>
          <w:rFonts w:ascii="宋体" w:hAnsi="宋体" w:cs="宋体"/>
          <w:sz w:val="20"/>
        </w:rPr>
      </w:pPr>
    </w:p>
    <w:p w14:paraId="67B36EE8">
      <w:pPr>
        <w:spacing w:line="540" w:lineRule="exact"/>
        <w:rPr>
          <w:rStyle w:val="54"/>
          <w:rFonts w:ascii="宋体" w:hAnsi="宋体" w:cs="宋体"/>
          <w:sz w:val="20"/>
        </w:rPr>
      </w:pPr>
    </w:p>
    <w:p w14:paraId="69B29E4F">
      <w:pPr>
        <w:spacing w:line="540" w:lineRule="exact"/>
        <w:rPr>
          <w:rStyle w:val="54"/>
          <w:rFonts w:ascii="宋体" w:hAnsi="宋体" w:cs="宋体"/>
          <w:sz w:val="20"/>
        </w:rPr>
      </w:pPr>
    </w:p>
    <w:p w14:paraId="04702959">
      <w:pPr>
        <w:spacing w:line="540" w:lineRule="exact"/>
        <w:rPr>
          <w:rStyle w:val="54"/>
          <w:rFonts w:ascii="宋体" w:hAnsi="宋体" w:cs="宋体"/>
          <w:sz w:val="20"/>
        </w:rPr>
      </w:pPr>
    </w:p>
    <w:p w14:paraId="5DEEFD58">
      <w:pPr>
        <w:spacing w:line="540" w:lineRule="exact"/>
        <w:rPr>
          <w:rStyle w:val="54"/>
          <w:rFonts w:ascii="宋体" w:hAnsi="宋体" w:cs="宋体"/>
          <w:sz w:val="20"/>
        </w:rPr>
      </w:pPr>
    </w:p>
    <w:p w14:paraId="3479F3C8">
      <w:pPr>
        <w:pStyle w:val="49"/>
        <w:snapToGrid w:val="0"/>
        <w:spacing w:before="100" w:after="100" w:line="240" w:lineRule="auto"/>
        <w:rPr>
          <w:rStyle w:val="54"/>
          <w:rFonts w:ascii="宋体" w:hAnsi="宋体" w:eastAsia="宋体" w:cs="宋体"/>
          <w:sz w:val="24"/>
          <w:szCs w:val="24"/>
        </w:rPr>
      </w:pPr>
      <w:r>
        <w:rPr>
          <w:rStyle w:val="54"/>
          <w:rFonts w:hint="eastAsia" w:ascii="宋体" w:hAnsi="宋体" w:eastAsia="宋体" w:cs="宋体"/>
          <w:sz w:val="24"/>
          <w:szCs w:val="24"/>
        </w:rPr>
        <w:br w:type="page"/>
      </w:r>
    </w:p>
    <w:p w14:paraId="458A1F31">
      <w:pPr>
        <w:snapToGrid w:val="0"/>
        <w:spacing w:before="100" w:after="100"/>
        <w:jc w:val="center"/>
        <w:outlineLvl w:val="1"/>
        <w:rPr>
          <w:rFonts w:ascii="宋体" w:hAnsi="宋体" w:cs="宋体"/>
          <w:b/>
          <w:bCs/>
          <w:kern w:val="0"/>
          <w:sz w:val="32"/>
          <w:szCs w:val="32"/>
        </w:rPr>
      </w:pPr>
      <w:r>
        <w:rPr>
          <w:rFonts w:hint="eastAsia" w:ascii="宋体" w:hAnsi="宋体" w:cs="宋体"/>
          <w:b/>
          <w:bCs/>
          <w:kern w:val="0"/>
          <w:sz w:val="32"/>
          <w:szCs w:val="32"/>
        </w:rPr>
        <w:t>一、磋商函</w:t>
      </w:r>
    </w:p>
    <w:p w14:paraId="5EDB64FA">
      <w:pPr>
        <w:spacing w:line="360" w:lineRule="auto"/>
        <w:rPr>
          <w:rStyle w:val="54"/>
          <w:rFonts w:ascii="宋体" w:hAnsi="宋体" w:cs="宋体"/>
          <w:sz w:val="24"/>
        </w:rPr>
      </w:pPr>
      <w:r>
        <w:rPr>
          <w:rStyle w:val="54"/>
          <w:rFonts w:hint="eastAsia" w:ascii="宋体" w:hAnsi="宋体" w:cs="宋体"/>
          <w:sz w:val="24"/>
          <w:u w:val="single" w:color="000000"/>
        </w:rPr>
        <w:t xml:space="preserve">                     </w:t>
      </w:r>
      <w:r>
        <w:rPr>
          <w:rStyle w:val="54"/>
          <w:rFonts w:hint="eastAsia" w:ascii="宋体" w:hAnsi="宋体" w:cs="宋体"/>
          <w:sz w:val="24"/>
        </w:rPr>
        <w:t>（采购人名称）:</w:t>
      </w:r>
    </w:p>
    <w:p w14:paraId="21BDC448">
      <w:pPr>
        <w:numPr>
          <w:ilvl w:val="0"/>
          <w:numId w:val="4"/>
        </w:numPr>
        <w:spacing w:line="360" w:lineRule="auto"/>
        <w:ind w:firstLine="480" w:firstLineChars="200"/>
        <w:rPr>
          <w:rStyle w:val="54"/>
          <w:rFonts w:ascii="宋体" w:hAnsi="宋体" w:cs="宋体"/>
          <w:sz w:val="24"/>
        </w:rPr>
      </w:pPr>
      <w:r>
        <w:rPr>
          <w:rStyle w:val="54"/>
          <w:rFonts w:hint="eastAsia" w:ascii="宋体" w:hAnsi="宋体" w:cs="宋体"/>
          <w:sz w:val="24"/>
        </w:rPr>
        <w:t>我方已仔细研究了</w:t>
      </w:r>
      <w:r>
        <w:rPr>
          <w:rStyle w:val="54"/>
          <w:rFonts w:hint="eastAsia" w:ascii="宋体" w:hAnsi="宋体" w:cs="宋体"/>
          <w:sz w:val="24"/>
          <w:u w:val="single" w:color="000000"/>
        </w:rPr>
        <w:t xml:space="preserve">                     </w:t>
      </w:r>
      <w:r>
        <w:rPr>
          <w:rStyle w:val="54"/>
          <w:rFonts w:hint="eastAsia" w:ascii="宋体" w:hAnsi="宋体" w:cs="宋体"/>
          <w:sz w:val="24"/>
        </w:rPr>
        <w:t>（项目名称）竞争性磋商文件的全部内容，我方愿意以大写</w:t>
      </w:r>
      <w:r>
        <w:rPr>
          <w:rStyle w:val="54"/>
          <w:rFonts w:hint="eastAsia" w:ascii="宋体" w:hAnsi="宋体" w:cs="宋体"/>
          <w:sz w:val="24"/>
          <w:u w:val="single" w:color="000000"/>
        </w:rPr>
        <w:t xml:space="preserve">          </w:t>
      </w:r>
      <w:r>
        <w:rPr>
          <w:rStyle w:val="54"/>
          <w:rFonts w:hint="eastAsia" w:ascii="宋体" w:hAnsi="宋体" w:cs="宋体"/>
          <w:sz w:val="24"/>
        </w:rPr>
        <w:t>，小写</w:t>
      </w:r>
      <w:r>
        <w:rPr>
          <w:rStyle w:val="54"/>
          <w:rFonts w:hint="eastAsia" w:ascii="宋体" w:hAnsi="宋体" w:cs="宋体"/>
          <w:sz w:val="24"/>
          <w:u w:val="single" w:color="000000"/>
        </w:rPr>
        <w:t xml:space="preserve">       </w:t>
      </w:r>
      <w:r>
        <w:rPr>
          <w:rStyle w:val="54"/>
          <w:rFonts w:hint="eastAsia" w:ascii="宋体" w:hAnsi="宋体" w:cs="宋体"/>
          <w:sz w:val="24"/>
        </w:rPr>
        <w:t>元的磋商总报价，作为第一轮报价参加磋商。服务期限自合同签订之日起</w:t>
      </w:r>
      <w:r>
        <w:rPr>
          <w:rStyle w:val="54"/>
          <w:rFonts w:hint="eastAsia" w:ascii="宋体" w:hAnsi="宋体" w:cs="宋体"/>
          <w:sz w:val="24"/>
          <w:u w:val="single"/>
        </w:rPr>
        <w:t xml:space="preserve">    </w:t>
      </w:r>
      <w:r>
        <w:rPr>
          <w:rStyle w:val="54"/>
          <w:rFonts w:hint="eastAsia" w:ascii="宋体" w:hAnsi="宋体" w:cs="宋体"/>
          <w:sz w:val="24"/>
        </w:rPr>
        <w:t xml:space="preserve">年，按合同约定实施和完成服务内容，服务要求达到 </w:t>
      </w:r>
      <w:r>
        <w:rPr>
          <w:rStyle w:val="54"/>
          <w:rFonts w:hint="eastAsia" w:ascii="宋体" w:hAnsi="宋体" w:cs="宋体"/>
          <w:sz w:val="24"/>
          <w:u w:val="single"/>
        </w:rPr>
        <w:t xml:space="preserve">          </w:t>
      </w:r>
      <w:r>
        <w:rPr>
          <w:rStyle w:val="54"/>
          <w:rFonts w:hint="eastAsia" w:ascii="宋体" w:hAnsi="宋体" w:cs="宋体"/>
          <w:sz w:val="24"/>
        </w:rPr>
        <w:t>。最终以磋商小组与我方代表谈判确定的成交价，实施和完成本项目。</w:t>
      </w:r>
    </w:p>
    <w:p w14:paraId="081FC27F">
      <w:pPr>
        <w:numPr>
          <w:ilvl w:val="0"/>
          <w:numId w:val="4"/>
        </w:numPr>
        <w:spacing w:line="360" w:lineRule="auto"/>
        <w:ind w:firstLine="480" w:firstLineChars="200"/>
        <w:rPr>
          <w:rStyle w:val="54"/>
          <w:rFonts w:ascii="宋体" w:hAnsi="宋体" w:cs="宋体"/>
          <w:sz w:val="24"/>
        </w:rPr>
      </w:pPr>
      <w:r>
        <w:rPr>
          <w:rStyle w:val="54"/>
          <w:rFonts w:hint="eastAsia" w:ascii="宋体" w:hAnsi="宋体" w:cs="宋体"/>
          <w:sz w:val="24"/>
        </w:rPr>
        <w:t>我方承诺在磋商有效期内不修改、撤销响应文件。</w:t>
      </w:r>
    </w:p>
    <w:p w14:paraId="4575286D">
      <w:pPr>
        <w:spacing w:line="360" w:lineRule="auto"/>
        <w:ind w:firstLine="480" w:firstLineChars="200"/>
        <w:rPr>
          <w:rStyle w:val="54"/>
          <w:rFonts w:ascii="宋体" w:hAnsi="宋体" w:cs="宋体"/>
          <w:sz w:val="24"/>
        </w:rPr>
      </w:pPr>
      <w:r>
        <w:rPr>
          <w:rStyle w:val="54"/>
          <w:rFonts w:hint="eastAsia" w:ascii="宋体" w:hAnsi="宋体" w:cs="宋体"/>
          <w:sz w:val="24"/>
        </w:rPr>
        <w:t>3．如我方中标：</w:t>
      </w:r>
    </w:p>
    <w:p w14:paraId="3A9CB078">
      <w:pPr>
        <w:spacing w:line="360" w:lineRule="auto"/>
        <w:ind w:firstLine="480" w:firstLineChars="200"/>
        <w:rPr>
          <w:rStyle w:val="54"/>
          <w:rFonts w:ascii="宋体" w:hAnsi="宋体" w:cs="宋体"/>
          <w:sz w:val="24"/>
        </w:rPr>
      </w:pPr>
      <w:r>
        <w:rPr>
          <w:rStyle w:val="54"/>
          <w:rFonts w:hint="eastAsia" w:ascii="宋体" w:hAnsi="宋体" w:cs="宋体"/>
          <w:sz w:val="24"/>
        </w:rPr>
        <w:t>(l)我们完全理解贵方不一定以最低报价确定中标。</w:t>
      </w:r>
    </w:p>
    <w:p w14:paraId="282AC163">
      <w:pPr>
        <w:spacing w:line="360" w:lineRule="auto"/>
        <w:ind w:firstLine="480" w:firstLineChars="200"/>
        <w:rPr>
          <w:rStyle w:val="54"/>
          <w:rFonts w:ascii="宋体" w:hAnsi="宋体" w:cs="宋体"/>
          <w:sz w:val="24"/>
        </w:rPr>
      </w:pPr>
      <w:r>
        <w:rPr>
          <w:rStyle w:val="54"/>
          <w:rFonts w:hint="eastAsia" w:ascii="宋体" w:hAnsi="宋体" w:cs="宋体"/>
          <w:sz w:val="24"/>
        </w:rPr>
        <w:t>(2)随同本磋商函递交的磋商函附录属于合同文件的组成部分。</w:t>
      </w:r>
    </w:p>
    <w:p w14:paraId="0B49CBFC">
      <w:pPr>
        <w:spacing w:line="360" w:lineRule="auto"/>
        <w:ind w:firstLine="480" w:firstLineChars="200"/>
        <w:rPr>
          <w:rStyle w:val="54"/>
          <w:rFonts w:ascii="宋体" w:hAnsi="宋体" w:cs="宋体"/>
          <w:sz w:val="24"/>
        </w:rPr>
      </w:pPr>
      <w:r>
        <w:rPr>
          <w:rStyle w:val="54"/>
          <w:rFonts w:hint="eastAsia" w:ascii="宋体" w:hAnsi="宋体" w:cs="宋体"/>
          <w:sz w:val="24"/>
        </w:rPr>
        <w:t>(3)我方承诺在收到成交通知书后，在成交通知书规定的期限内与你方签订合同。</w:t>
      </w:r>
    </w:p>
    <w:p w14:paraId="29232DEF">
      <w:pPr>
        <w:spacing w:line="360" w:lineRule="auto"/>
        <w:ind w:firstLine="480" w:firstLineChars="200"/>
        <w:rPr>
          <w:rStyle w:val="54"/>
          <w:rFonts w:ascii="宋体" w:hAnsi="宋体" w:cs="宋体"/>
          <w:sz w:val="24"/>
        </w:rPr>
      </w:pPr>
      <w:r>
        <w:rPr>
          <w:rStyle w:val="54"/>
          <w:rFonts w:hint="eastAsia" w:ascii="宋体" w:hAnsi="宋体" w:cs="宋体"/>
          <w:sz w:val="24"/>
        </w:rPr>
        <w:t>(4) 我方已详细审核全部竞争性磋商文件及其有效补充文件，我们知道必须放弃提出含糊不清或误解的问题的权利。</w:t>
      </w:r>
    </w:p>
    <w:p w14:paraId="45A5E3D2">
      <w:pPr>
        <w:spacing w:line="360" w:lineRule="auto"/>
        <w:ind w:firstLine="480" w:firstLineChars="200"/>
        <w:rPr>
          <w:rStyle w:val="54"/>
          <w:rFonts w:ascii="宋体" w:hAnsi="宋体" w:cs="宋体"/>
          <w:sz w:val="24"/>
        </w:rPr>
      </w:pPr>
      <w:r>
        <w:rPr>
          <w:rStyle w:val="54"/>
          <w:rFonts w:hint="eastAsia" w:ascii="宋体" w:hAnsi="宋体" w:cs="宋体"/>
          <w:sz w:val="24"/>
        </w:rPr>
        <w:t>(5) 我方同意从规定的开标时间起遵循本竞争性磋商响应文件，并在规定的磋商有效期期满之前均具有约束力。</w:t>
      </w:r>
    </w:p>
    <w:p w14:paraId="0821B966">
      <w:pPr>
        <w:spacing w:line="360" w:lineRule="auto"/>
        <w:ind w:firstLine="480" w:firstLineChars="200"/>
        <w:rPr>
          <w:rStyle w:val="54"/>
          <w:rFonts w:ascii="宋体" w:hAnsi="宋体" w:cs="宋体"/>
          <w:sz w:val="24"/>
        </w:rPr>
      </w:pPr>
      <w:r>
        <w:rPr>
          <w:rStyle w:val="54"/>
          <w:rFonts w:hint="eastAsia" w:ascii="宋体" w:hAnsi="宋体" w:cs="宋体"/>
          <w:sz w:val="24"/>
        </w:rPr>
        <w:t>(6) 同意向贵方提供贵方可能另外要求的与磋商有关的任何证据或资料。</w:t>
      </w:r>
    </w:p>
    <w:p w14:paraId="10D223D2">
      <w:pPr>
        <w:spacing w:line="360" w:lineRule="auto"/>
        <w:ind w:firstLine="480" w:firstLineChars="200"/>
        <w:rPr>
          <w:rStyle w:val="54"/>
          <w:rFonts w:ascii="宋体" w:hAnsi="宋体" w:cs="宋体"/>
          <w:sz w:val="24"/>
        </w:rPr>
      </w:pPr>
      <w:r>
        <w:rPr>
          <w:rStyle w:val="54"/>
          <w:rFonts w:hint="eastAsia" w:ascii="宋体" w:hAnsi="宋体" w:cs="宋体"/>
          <w:sz w:val="24"/>
        </w:rPr>
        <w:t>(7) 一旦我方中标，我们将严格遵守竞争性磋商文件的各项要求。</w:t>
      </w:r>
    </w:p>
    <w:p w14:paraId="68B4F7BE">
      <w:pPr>
        <w:spacing w:line="360" w:lineRule="auto"/>
        <w:ind w:firstLine="480" w:firstLineChars="200"/>
        <w:rPr>
          <w:rStyle w:val="54"/>
          <w:rFonts w:ascii="宋体" w:hAnsi="宋体" w:cs="宋体"/>
          <w:sz w:val="24"/>
        </w:rPr>
      </w:pPr>
      <w:r>
        <w:rPr>
          <w:rStyle w:val="54"/>
          <w:rFonts w:hint="eastAsia" w:ascii="宋体" w:hAnsi="宋体" w:cs="宋体"/>
          <w:sz w:val="24"/>
        </w:rPr>
        <w:t>4．我方在此声明，所递交的响应文件及有关资料内容完整、真实和准确。</w:t>
      </w:r>
    </w:p>
    <w:p w14:paraId="019126AB">
      <w:pPr>
        <w:spacing w:line="440" w:lineRule="exact"/>
        <w:ind w:firstLine="480" w:firstLineChars="200"/>
        <w:rPr>
          <w:rStyle w:val="54"/>
          <w:rFonts w:ascii="宋体" w:hAnsi="宋体" w:cs="宋体"/>
          <w:sz w:val="24"/>
        </w:rPr>
      </w:pPr>
    </w:p>
    <w:p w14:paraId="38851E27">
      <w:pPr>
        <w:pStyle w:val="78"/>
        <w:ind w:firstLine="0"/>
        <w:rPr>
          <w:rStyle w:val="54"/>
          <w:rFonts w:ascii="宋体" w:hAnsi="宋体" w:cs="宋体"/>
          <w:sz w:val="24"/>
        </w:rPr>
      </w:pPr>
    </w:p>
    <w:p w14:paraId="65E28234">
      <w:pPr>
        <w:spacing w:before="312"/>
        <w:jc w:val="right"/>
        <w:rPr>
          <w:rStyle w:val="54"/>
          <w:rFonts w:ascii="宋体" w:hAnsi="宋体" w:cs="宋体"/>
          <w:sz w:val="24"/>
        </w:rPr>
      </w:pPr>
      <w:r>
        <w:rPr>
          <w:rStyle w:val="54"/>
          <w:rFonts w:hint="eastAsia" w:ascii="宋体" w:hAnsi="宋体" w:cs="宋体"/>
          <w:sz w:val="24"/>
        </w:rPr>
        <w:t>供应商：</w:t>
      </w:r>
      <w:r>
        <w:rPr>
          <w:rStyle w:val="54"/>
          <w:rFonts w:hint="eastAsia" w:ascii="宋体" w:hAnsi="宋体" w:cs="宋体"/>
          <w:sz w:val="24"/>
          <w:u w:val="single" w:color="000000"/>
        </w:rPr>
        <w:t xml:space="preserve">                        </w:t>
      </w:r>
      <w:r>
        <w:rPr>
          <w:rStyle w:val="54"/>
          <w:rFonts w:hint="eastAsia" w:ascii="宋体" w:hAnsi="宋体" w:cs="宋体"/>
          <w:sz w:val="24"/>
        </w:rPr>
        <w:t xml:space="preserve">（电子印章） </w:t>
      </w:r>
    </w:p>
    <w:p w14:paraId="3DA9E77F">
      <w:pPr>
        <w:jc w:val="center"/>
        <w:rPr>
          <w:rStyle w:val="54"/>
          <w:rFonts w:ascii="宋体" w:hAnsi="宋体" w:cs="宋体"/>
          <w:sz w:val="24"/>
        </w:rPr>
      </w:pPr>
    </w:p>
    <w:p w14:paraId="3A22CE7A">
      <w:pPr>
        <w:jc w:val="right"/>
        <w:rPr>
          <w:rStyle w:val="54"/>
          <w:rFonts w:ascii="宋体" w:hAnsi="宋体" w:cs="宋体"/>
          <w:sz w:val="24"/>
          <w:u w:val="single"/>
        </w:rPr>
      </w:pPr>
      <w:r>
        <w:rPr>
          <w:rStyle w:val="54"/>
          <w:rFonts w:hint="eastAsia" w:ascii="宋体" w:hAnsi="宋体" w:cs="宋体"/>
          <w:sz w:val="24"/>
        </w:rPr>
        <w:t xml:space="preserve">      法定代表人：</w:t>
      </w:r>
      <w:r>
        <w:rPr>
          <w:rStyle w:val="54"/>
          <w:rFonts w:hint="eastAsia" w:ascii="宋体" w:hAnsi="宋体" w:cs="宋体"/>
          <w:sz w:val="24"/>
          <w:u w:val="single" w:color="000000"/>
        </w:rPr>
        <w:t xml:space="preserve">                    </w:t>
      </w:r>
      <w:r>
        <w:rPr>
          <w:rStyle w:val="54"/>
          <w:rFonts w:hint="eastAsia" w:ascii="宋体" w:hAnsi="宋体" w:cs="宋体"/>
          <w:sz w:val="24"/>
        </w:rPr>
        <w:t>（电子签章）</w:t>
      </w:r>
    </w:p>
    <w:p w14:paraId="6457E1E7">
      <w:pPr>
        <w:jc w:val="center"/>
        <w:rPr>
          <w:rStyle w:val="54"/>
          <w:rFonts w:ascii="宋体" w:hAnsi="宋体" w:cs="宋体"/>
          <w:sz w:val="24"/>
          <w:u w:val="single"/>
        </w:rPr>
      </w:pPr>
    </w:p>
    <w:p w14:paraId="1A8254FB">
      <w:pPr>
        <w:jc w:val="right"/>
        <w:rPr>
          <w:rStyle w:val="54"/>
          <w:rFonts w:ascii="宋体" w:hAnsi="宋体" w:cs="宋体"/>
          <w:sz w:val="24"/>
        </w:rPr>
      </w:pPr>
      <w:r>
        <w:rPr>
          <w:rStyle w:val="54"/>
          <w:rFonts w:hint="eastAsia" w:ascii="宋体" w:hAnsi="宋体" w:cs="宋体"/>
          <w:sz w:val="24"/>
        </w:rPr>
        <w:t xml:space="preserve">                   日期：</w:t>
      </w:r>
      <w:r>
        <w:rPr>
          <w:rStyle w:val="54"/>
          <w:rFonts w:hint="eastAsia" w:ascii="宋体" w:hAnsi="宋体" w:cs="宋体"/>
          <w:sz w:val="24"/>
          <w:u w:val="single" w:color="000000"/>
        </w:rPr>
        <w:t xml:space="preserve">       </w:t>
      </w:r>
      <w:r>
        <w:rPr>
          <w:rStyle w:val="54"/>
          <w:rFonts w:hint="eastAsia" w:ascii="宋体" w:hAnsi="宋体" w:cs="宋体"/>
          <w:sz w:val="24"/>
        </w:rPr>
        <w:t>年</w:t>
      </w:r>
      <w:r>
        <w:rPr>
          <w:rStyle w:val="54"/>
          <w:rFonts w:hint="eastAsia" w:ascii="宋体" w:hAnsi="宋体" w:cs="宋体"/>
          <w:sz w:val="24"/>
          <w:u w:val="single" w:color="000000"/>
        </w:rPr>
        <w:t xml:space="preserve">       </w:t>
      </w:r>
      <w:r>
        <w:rPr>
          <w:rStyle w:val="54"/>
          <w:rFonts w:hint="eastAsia" w:ascii="宋体" w:hAnsi="宋体" w:cs="宋体"/>
          <w:sz w:val="24"/>
        </w:rPr>
        <w:t>月</w:t>
      </w:r>
      <w:r>
        <w:rPr>
          <w:rStyle w:val="54"/>
          <w:rFonts w:hint="eastAsia" w:ascii="宋体" w:hAnsi="宋体" w:cs="宋体"/>
          <w:sz w:val="24"/>
          <w:u w:val="single" w:color="000000"/>
        </w:rPr>
        <w:t xml:space="preserve">       </w:t>
      </w:r>
      <w:r>
        <w:rPr>
          <w:rStyle w:val="54"/>
          <w:rFonts w:hint="eastAsia" w:ascii="宋体" w:hAnsi="宋体" w:cs="宋体"/>
          <w:sz w:val="24"/>
        </w:rPr>
        <w:t xml:space="preserve">日 </w:t>
      </w:r>
    </w:p>
    <w:p w14:paraId="1502D08B">
      <w:pPr>
        <w:pStyle w:val="78"/>
        <w:rPr>
          <w:rStyle w:val="54"/>
          <w:rFonts w:ascii="宋体" w:hAnsi="宋体" w:cs="宋体"/>
          <w:sz w:val="21"/>
          <w:szCs w:val="21"/>
        </w:rPr>
      </w:pPr>
    </w:p>
    <w:p w14:paraId="2807102E">
      <w:pPr>
        <w:spacing w:line="360" w:lineRule="auto"/>
        <w:ind w:firstLine="645"/>
        <w:rPr>
          <w:rStyle w:val="54"/>
          <w:rFonts w:ascii="宋体" w:hAnsi="宋体" w:cs="宋体"/>
          <w:sz w:val="24"/>
        </w:rPr>
      </w:pPr>
      <w:r>
        <w:rPr>
          <w:rStyle w:val="54"/>
          <w:rFonts w:hint="eastAsia" w:ascii="宋体" w:hAnsi="宋体" w:cs="宋体"/>
          <w:sz w:val="24"/>
        </w:rPr>
        <w:t xml:space="preserve"> </w:t>
      </w:r>
    </w:p>
    <w:p w14:paraId="32048A94">
      <w:pPr>
        <w:pStyle w:val="26"/>
        <w:ind w:firstLine="241"/>
        <w:rPr>
          <w:rStyle w:val="109"/>
          <w:rFonts w:ascii="宋体" w:hAnsi="宋体" w:eastAsia="宋体" w:cs="宋体"/>
        </w:rPr>
      </w:pPr>
      <w:r>
        <w:rPr>
          <w:rStyle w:val="54"/>
          <w:rFonts w:hint="eastAsia" w:ascii="宋体" w:hAnsi="宋体" w:cs="宋体"/>
          <w:b/>
          <w:sz w:val="24"/>
        </w:rPr>
        <w:br w:type="page"/>
      </w:r>
    </w:p>
    <w:p w14:paraId="73452FBF">
      <w:pPr>
        <w:snapToGrid w:val="0"/>
        <w:spacing w:before="100" w:after="100"/>
        <w:jc w:val="center"/>
        <w:outlineLvl w:val="1"/>
        <w:rPr>
          <w:rFonts w:ascii="宋体" w:hAnsi="宋体" w:cs="宋体"/>
          <w:b/>
          <w:bCs/>
          <w:kern w:val="0"/>
          <w:sz w:val="32"/>
          <w:szCs w:val="32"/>
        </w:rPr>
      </w:pPr>
      <w:r>
        <w:rPr>
          <w:rFonts w:hint="eastAsia" w:ascii="宋体" w:hAnsi="宋体" w:cs="宋体"/>
          <w:b/>
          <w:bCs/>
          <w:kern w:val="0"/>
          <w:sz w:val="32"/>
          <w:szCs w:val="32"/>
        </w:rPr>
        <w:t>二、磋商报价函附录</w:t>
      </w:r>
    </w:p>
    <w:p w14:paraId="4045A660">
      <w:pPr>
        <w:rPr>
          <w:rStyle w:val="54"/>
          <w:rFonts w:ascii="宋体" w:hAnsi="宋体" w:cs="宋体"/>
          <w:sz w:val="24"/>
        </w:rPr>
      </w:pPr>
    </w:p>
    <w:tbl>
      <w:tblPr>
        <w:tblStyle w:val="28"/>
        <w:tblW w:w="8519"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767"/>
        <w:gridCol w:w="1901"/>
        <w:gridCol w:w="5851"/>
      </w:tblGrid>
      <w:tr w14:paraId="37ED9F8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137" w:hRule="atLeast"/>
          <w:jc w:val="center"/>
        </w:trPr>
        <w:tc>
          <w:tcPr>
            <w:tcW w:w="2668" w:type="dxa"/>
            <w:gridSpan w:val="2"/>
            <w:tcBorders>
              <w:top w:val="single" w:color="000000" w:sz="12" w:space="0"/>
              <w:left w:val="single" w:color="000000" w:sz="12" w:space="0"/>
              <w:bottom w:val="single" w:color="000000" w:sz="6" w:space="0"/>
              <w:right w:val="single" w:color="000000" w:sz="6" w:space="0"/>
            </w:tcBorders>
            <w:vAlign w:val="center"/>
          </w:tcPr>
          <w:p w14:paraId="4B0C919B">
            <w:pPr>
              <w:pStyle w:val="95"/>
              <w:spacing w:line="440" w:lineRule="exact"/>
              <w:rPr>
                <w:rStyle w:val="54"/>
                <w:rFonts w:ascii="宋体" w:hAnsi="宋体" w:cs="宋体"/>
                <w:sz w:val="21"/>
                <w:szCs w:val="21"/>
              </w:rPr>
            </w:pPr>
            <w:r>
              <w:rPr>
                <w:rStyle w:val="54"/>
                <w:rFonts w:hint="eastAsia" w:ascii="宋体" w:hAnsi="宋体" w:cs="宋体"/>
                <w:sz w:val="21"/>
                <w:szCs w:val="21"/>
              </w:rPr>
              <w:t>项目名称</w:t>
            </w:r>
          </w:p>
        </w:tc>
        <w:tc>
          <w:tcPr>
            <w:tcW w:w="5851" w:type="dxa"/>
            <w:tcBorders>
              <w:top w:val="single" w:color="000000" w:sz="12" w:space="0"/>
              <w:left w:val="single" w:color="000000" w:sz="6" w:space="0"/>
              <w:bottom w:val="single" w:color="000000" w:sz="6" w:space="0"/>
              <w:right w:val="single" w:color="000000" w:sz="12" w:space="0"/>
            </w:tcBorders>
            <w:vAlign w:val="center"/>
          </w:tcPr>
          <w:p w14:paraId="3C3AD441">
            <w:pPr>
              <w:pStyle w:val="95"/>
              <w:spacing w:line="440" w:lineRule="exact"/>
              <w:rPr>
                <w:rStyle w:val="54"/>
                <w:rFonts w:ascii="宋体" w:hAnsi="宋体" w:cs="宋体"/>
                <w:sz w:val="21"/>
                <w:szCs w:val="21"/>
              </w:rPr>
            </w:pPr>
          </w:p>
        </w:tc>
      </w:tr>
      <w:tr w14:paraId="5149525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109" w:hRule="atLeast"/>
          <w:jc w:val="center"/>
        </w:trPr>
        <w:tc>
          <w:tcPr>
            <w:tcW w:w="767" w:type="dxa"/>
            <w:tcBorders>
              <w:top w:val="single" w:color="000000" w:sz="6" w:space="0"/>
              <w:left w:val="single" w:color="000000" w:sz="12" w:space="0"/>
              <w:bottom w:val="single" w:color="000000" w:sz="6" w:space="0"/>
              <w:right w:val="single" w:color="000000" w:sz="4" w:space="0"/>
            </w:tcBorders>
            <w:vAlign w:val="center"/>
          </w:tcPr>
          <w:p w14:paraId="320CBBD4">
            <w:pPr>
              <w:pStyle w:val="95"/>
              <w:spacing w:line="440" w:lineRule="exact"/>
              <w:rPr>
                <w:rStyle w:val="54"/>
                <w:rFonts w:ascii="宋体" w:hAnsi="宋体" w:cs="宋体"/>
                <w:sz w:val="21"/>
                <w:szCs w:val="21"/>
              </w:rPr>
            </w:pPr>
            <w:r>
              <w:rPr>
                <w:rStyle w:val="54"/>
                <w:rFonts w:hint="eastAsia" w:ascii="宋体" w:hAnsi="宋体" w:cs="宋体"/>
                <w:sz w:val="21"/>
                <w:szCs w:val="21"/>
              </w:rPr>
              <w:t>1</w:t>
            </w:r>
          </w:p>
        </w:tc>
        <w:tc>
          <w:tcPr>
            <w:tcW w:w="1901" w:type="dxa"/>
            <w:tcBorders>
              <w:top w:val="single" w:color="000000" w:sz="6" w:space="0"/>
              <w:left w:val="single" w:color="000000" w:sz="4" w:space="0"/>
              <w:bottom w:val="single" w:color="000000" w:sz="6" w:space="0"/>
              <w:right w:val="single" w:color="000000" w:sz="6" w:space="0"/>
            </w:tcBorders>
            <w:vAlign w:val="center"/>
          </w:tcPr>
          <w:p w14:paraId="2D8E950D">
            <w:pPr>
              <w:pStyle w:val="95"/>
              <w:spacing w:line="440" w:lineRule="exact"/>
              <w:rPr>
                <w:rStyle w:val="54"/>
                <w:rFonts w:ascii="宋体" w:hAnsi="宋体" w:cs="宋体"/>
                <w:sz w:val="21"/>
                <w:szCs w:val="21"/>
              </w:rPr>
            </w:pPr>
            <w:r>
              <w:rPr>
                <w:rStyle w:val="54"/>
                <w:rFonts w:hint="eastAsia" w:ascii="宋体" w:hAnsi="宋体" w:cs="宋体"/>
                <w:sz w:val="21"/>
                <w:szCs w:val="21"/>
              </w:rPr>
              <w:t>供应商名称</w:t>
            </w:r>
          </w:p>
        </w:tc>
        <w:tc>
          <w:tcPr>
            <w:tcW w:w="5851" w:type="dxa"/>
            <w:tcBorders>
              <w:top w:val="single" w:color="000000" w:sz="6" w:space="0"/>
              <w:left w:val="single" w:color="000000" w:sz="6" w:space="0"/>
              <w:bottom w:val="single" w:color="000000" w:sz="6" w:space="0"/>
              <w:right w:val="single" w:color="000000" w:sz="12" w:space="0"/>
            </w:tcBorders>
            <w:vAlign w:val="center"/>
          </w:tcPr>
          <w:p w14:paraId="51F8CFD0">
            <w:pPr>
              <w:pStyle w:val="95"/>
              <w:spacing w:line="440" w:lineRule="exact"/>
              <w:rPr>
                <w:rStyle w:val="54"/>
                <w:rFonts w:ascii="宋体" w:hAnsi="宋体" w:cs="宋体"/>
                <w:sz w:val="21"/>
                <w:szCs w:val="21"/>
              </w:rPr>
            </w:pPr>
          </w:p>
        </w:tc>
      </w:tr>
      <w:tr w14:paraId="3AC93DF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109" w:hRule="atLeast"/>
          <w:jc w:val="center"/>
        </w:trPr>
        <w:tc>
          <w:tcPr>
            <w:tcW w:w="767" w:type="dxa"/>
            <w:tcBorders>
              <w:top w:val="single" w:color="000000" w:sz="6" w:space="0"/>
              <w:left w:val="single" w:color="000000" w:sz="12" w:space="0"/>
              <w:bottom w:val="single" w:color="000000" w:sz="6" w:space="0"/>
              <w:right w:val="single" w:color="000000" w:sz="4" w:space="0"/>
            </w:tcBorders>
            <w:vAlign w:val="center"/>
          </w:tcPr>
          <w:p w14:paraId="04E82C59">
            <w:pPr>
              <w:pStyle w:val="95"/>
              <w:spacing w:line="440" w:lineRule="exact"/>
              <w:rPr>
                <w:rStyle w:val="54"/>
                <w:rFonts w:ascii="宋体" w:hAnsi="宋体" w:cs="宋体"/>
                <w:sz w:val="21"/>
                <w:szCs w:val="21"/>
              </w:rPr>
            </w:pPr>
            <w:r>
              <w:rPr>
                <w:rStyle w:val="54"/>
                <w:rFonts w:hint="eastAsia" w:ascii="宋体" w:hAnsi="宋体" w:cs="宋体"/>
                <w:sz w:val="21"/>
                <w:szCs w:val="21"/>
              </w:rPr>
              <w:t>2</w:t>
            </w:r>
          </w:p>
        </w:tc>
        <w:tc>
          <w:tcPr>
            <w:tcW w:w="1901" w:type="dxa"/>
            <w:tcBorders>
              <w:top w:val="single" w:color="000000" w:sz="6" w:space="0"/>
              <w:left w:val="single" w:color="000000" w:sz="4" w:space="0"/>
              <w:bottom w:val="single" w:color="000000" w:sz="6" w:space="0"/>
              <w:right w:val="single" w:color="000000" w:sz="6" w:space="0"/>
            </w:tcBorders>
            <w:vAlign w:val="center"/>
          </w:tcPr>
          <w:p w14:paraId="59F9FEEA">
            <w:pPr>
              <w:pStyle w:val="95"/>
              <w:spacing w:line="440" w:lineRule="exact"/>
              <w:rPr>
                <w:rStyle w:val="54"/>
                <w:rFonts w:ascii="宋体" w:hAnsi="宋体" w:cs="宋体"/>
                <w:sz w:val="21"/>
                <w:szCs w:val="21"/>
              </w:rPr>
            </w:pPr>
            <w:r>
              <w:rPr>
                <w:rStyle w:val="54"/>
                <w:rFonts w:hint="eastAsia" w:ascii="宋体" w:hAnsi="宋体" w:cs="宋体"/>
                <w:sz w:val="21"/>
                <w:szCs w:val="21"/>
              </w:rPr>
              <w:t>磋商总报价</w:t>
            </w:r>
          </w:p>
        </w:tc>
        <w:tc>
          <w:tcPr>
            <w:tcW w:w="5851" w:type="dxa"/>
            <w:tcBorders>
              <w:top w:val="single" w:color="000000" w:sz="6" w:space="0"/>
              <w:left w:val="single" w:color="000000" w:sz="6" w:space="0"/>
              <w:bottom w:val="single" w:color="000000" w:sz="6" w:space="0"/>
              <w:right w:val="single" w:color="000000" w:sz="12" w:space="0"/>
            </w:tcBorders>
            <w:vAlign w:val="center"/>
          </w:tcPr>
          <w:p w14:paraId="66B533C4">
            <w:pPr>
              <w:spacing w:line="440" w:lineRule="exact"/>
              <w:ind w:firstLine="840" w:firstLineChars="400"/>
              <w:rPr>
                <w:rStyle w:val="54"/>
                <w:rFonts w:ascii="宋体" w:hAnsi="宋体" w:cs="宋体"/>
                <w:dstrike/>
                <w:sz w:val="20"/>
                <w:szCs w:val="21"/>
                <w:u w:val="single"/>
              </w:rPr>
            </w:pPr>
            <w:r>
              <w:rPr>
                <w:rStyle w:val="54"/>
                <w:rFonts w:hint="eastAsia" w:ascii="宋体" w:hAnsi="宋体" w:cs="宋体"/>
                <w:szCs w:val="21"/>
              </w:rPr>
              <w:t>大写：</w:t>
            </w:r>
            <w:r>
              <w:rPr>
                <w:rStyle w:val="54"/>
                <w:rFonts w:hint="eastAsia" w:ascii="宋体" w:hAnsi="宋体" w:cs="宋体"/>
                <w:szCs w:val="21"/>
                <w:u w:val="single" w:color="000000"/>
              </w:rPr>
              <w:t xml:space="preserve">                    </w:t>
            </w:r>
          </w:p>
          <w:p w14:paraId="508FE176">
            <w:pPr>
              <w:spacing w:line="440" w:lineRule="exact"/>
              <w:ind w:firstLine="840" w:firstLineChars="400"/>
              <w:rPr>
                <w:rStyle w:val="54"/>
                <w:rFonts w:ascii="宋体" w:hAnsi="宋体" w:cs="宋体"/>
                <w:sz w:val="20"/>
                <w:szCs w:val="21"/>
              </w:rPr>
            </w:pPr>
            <w:r>
              <w:rPr>
                <w:rStyle w:val="54"/>
                <w:rFonts w:hint="eastAsia" w:ascii="宋体" w:hAnsi="宋体" w:cs="宋体"/>
                <w:szCs w:val="21"/>
              </w:rPr>
              <w:t>小写：</w:t>
            </w:r>
            <w:r>
              <w:rPr>
                <w:rStyle w:val="54"/>
                <w:rFonts w:hint="eastAsia" w:ascii="宋体" w:hAnsi="宋体" w:cs="宋体"/>
                <w:szCs w:val="21"/>
                <w:u w:val="single" w:color="000000"/>
              </w:rPr>
              <w:t xml:space="preserve">                    </w:t>
            </w:r>
            <w:r>
              <w:rPr>
                <w:rStyle w:val="54"/>
                <w:rFonts w:hint="eastAsia" w:ascii="宋体" w:hAnsi="宋体" w:cs="宋体"/>
                <w:szCs w:val="21"/>
              </w:rPr>
              <w:t>元</w:t>
            </w:r>
          </w:p>
        </w:tc>
      </w:tr>
      <w:tr w14:paraId="781B637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109" w:hRule="atLeast"/>
          <w:jc w:val="center"/>
        </w:trPr>
        <w:tc>
          <w:tcPr>
            <w:tcW w:w="767" w:type="dxa"/>
            <w:tcBorders>
              <w:top w:val="single" w:color="000000" w:sz="6" w:space="0"/>
              <w:left w:val="single" w:color="000000" w:sz="12" w:space="0"/>
              <w:bottom w:val="single" w:color="000000" w:sz="6" w:space="0"/>
              <w:right w:val="single" w:color="000000" w:sz="4" w:space="0"/>
            </w:tcBorders>
            <w:vAlign w:val="center"/>
          </w:tcPr>
          <w:p w14:paraId="555BEFBF">
            <w:pPr>
              <w:pStyle w:val="95"/>
              <w:spacing w:line="440" w:lineRule="exact"/>
              <w:rPr>
                <w:rFonts w:ascii="宋体" w:hAnsi="宋体" w:cs="宋体"/>
                <w:sz w:val="21"/>
                <w:szCs w:val="21"/>
              </w:rPr>
            </w:pPr>
            <w:r>
              <w:rPr>
                <w:rStyle w:val="54"/>
                <w:rFonts w:hint="eastAsia" w:ascii="宋体" w:hAnsi="宋体" w:cs="宋体"/>
                <w:sz w:val="21"/>
                <w:szCs w:val="21"/>
              </w:rPr>
              <w:t>3</w:t>
            </w:r>
          </w:p>
        </w:tc>
        <w:tc>
          <w:tcPr>
            <w:tcW w:w="1901" w:type="dxa"/>
            <w:tcBorders>
              <w:top w:val="single" w:color="000000" w:sz="6" w:space="0"/>
              <w:left w:val="single" w:color="000000" w:sz="4" w:space="0"/>
              <w:bottom w:val="single" w:color="000000" w:sz="6" w:space="0"/>
              <w:right w:val="single" w:color="000000" w:sz="6" w:space="0"/>
            </w:tcBorders>
            <w:vAlign w:val="center"/>
          </w:tcPr>
          <w:p w14:paraId="43094E40">
            <w:pPr>
              <w:pStyle w:val="95"/>
              <w:spacing w:line="440" w:lineRule="exact"/>
              <w:rPr>
                <w:rStyle w:val="54"/>
                <w:rFonts w:ascii="宋体" w:hAnsi="宋体" w:cs="宋体"/>
                <w:sz w:val="21"/>
                <w:szCs w:val="21"/>
              </w:rPr>
            </w:pPr>
            <w:r>
              <w:rPr>
                <w:rStyle w:val="54"/>
                <w:rFonts w:hint="eastAsia" w:ascii="宋体" w:hAnsi="宋体" w:cs="宋体"/>
                <w:sz w:val="21"/>
                <w:szCs w:val="21"/>
              </w:rPr>
              <w:t>服务期限</w:t>
            </w:r>
          </w:p>
        </w:tc>
        <w:tc>
          <w:tcPr>
            <w:tcW w:w="5851" w:type="dxa"/>
            <w:tcBorders>
              <w:top w:val="single" w:color="000000" w:sz="6" w:space="0"/>
              <w:left w:val="single" w:color="000000" w:sz="6" w:space="0"/>
              <w:bottom w:val="single" w:color="000000" w:sz="6" w:space="0"/>
              <w:right w:val="single" w:color="000000" w:sz="12" w:space="0"/>
            </w:tcBorders>
            <w:vAlign w:val="center"/>
          </w:tcPr>
          <w:p w14:paraId="570BBB40">
            <w:pPr>
              <w:spacing w:line="440" w:lineRule="exact"/>
              <w:jc w:val="left"/>
              <w:rPr>
                <w:rStyle w:val="54"/>
                <w:rFonts w:ascii="宋体" w:hAnsi="宋体" w:cs="宋体"/>
                <w:sz w:val="20"/>
                <w:szCs w:val="21"/>
              </w:rPr>
            </w:pPr>
          </w:p>
        </w:tc>
      </w:tr>
      <w:tr w14:paraId="014347F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109" w:hRule="atLeast"/>
          <w:jc w:val="center"/>
        </w:trPr>
        <w:tc>
          <w:tcPr>
            <w:tcW w:w="767" w:type="dxa"/>
            <w:tcBorders>
              <w:top w:val="single" w:color="000000" w:sz="6" w:space="0"/>
              <w:left w:val="single" w:color="000000" w:sz="12" w:space="0"/>
              <w:bottom w:val="single" w:color="000000" w:sz="6" w:space="0"/>
              <w:right w:val="single" w:color="000000" w:sz="4" w:space="0"/>
            </w:tcBorders>
            <w:vAlign w:val="center"/>
          </w:tcPr>
          <w:p w14:paraId="4DC37E35">
            <w:pPr>
              <w:pStyle w:val="95"/>
              <w:spacing w:line="440" w:lineRule="exact"/>
              <w:rPr>
                <w:rStyle w:val="54"/>
                <w:rFonts w:ascii="宋体" w:hAnsi="宋体" w:cs="宋体"/>
                <w:sz w:val="21"/>
                <w:szCs w:val="21"/>
              </w:rPr>
            </w:pPr>
            <w:r>
              <w:rPr>
                <w:rStyle w:val="54"/>
                <w:rFonts w:hint="eastAsia" w:ascii="宋体" w:hAnsi="宋体" w:cs="宋体"/>
                <w:sz w:val="21"/>
                <w:szCs w:val="21"/>
              </w:rPr>
              <w:t>4</w:t>
            </w:r>
          </w:p>
        </w:tc>
        <w:tc>
          <w:tcPr>
            <w:tcW w:w="1901" w:type="dxa"/>
            <w:tcBorders>
              <w:top w:val="single" w:color="000000" w:sz="6" w:space="0"/>
              <w:left w:val="single" w:color="000000" w:sz="4" w:space="0"/>
              <w:bottom w:val="single" w:color="000000" w:sz="6" w:space="0"/>
              <w:right w:val="single" w:color="000000" w:sz="6" w:space="0"/>
            </w:tcBorders>
            <w:vAlign w:val="center"/>
          </w:tcPr>
          <w:p w14:paraId="5FCD9716">
            <w:pPr>
              <w:pStyle w:val="95"/>
              <w:spacing w:line="440" w:lineRule="exact"/>
              <w:rPr>
                <w:rStyle w:val="54"/>
                <w:rFonts w:ascii="宋体" w:hAnsi="宋体" w:cs="宋体"/>
                <w:sz w:val="21"/>
                <w:szCs w:val="21"/>
              </w:rPr>
            </w:pPr>
            <w:r>
              <w:rPr>
                <w:rStyle w:val="54"/>
                <w:rFonts w:hint="eastAsia" w:ascii="宋体" w:hAnsi="宋体" w:cs="宋体"/>
                <w:sz w:val="21"/>
                <w:szCs w:val="21"/>
              </w:rPr>
              <w:t>服务要求</w:t>
            </w:r>
          </w:p>
        </w:tc>
        <w:tc>
          <w:tcPr>
            <w:tcW w:w="5851" w:type="dxa"/>
            <w:tcBorders>
              <w:top w:val="single" w:color="000000" w:sz="6" w:space="0"/>
              <w:left w:val="single" w:color="000000" w:sz="6" w:space="0"/>
              <w:bottom w:val="single" w:color="000000" w:sz="6" w:space="0"/>
              <w:right w:val="single" w:color="000000" w:sz="12" w:space="0"/>
            </w:tcBorders>
            <w:vAlign w:val="center"/>
          </w:tcPr>
          <w:p w14:paraId="6D2A0D0B">
            <w:pPr>
              <w:spacing w:line="440" w:lineRule="exact"/>
              <w:jc w:val="center"/>
              <w:rPr>
                <w:rStyle w:val="54"/>
                <w:rFonts w:ascii="宋体" w:hAnsi="宋体" w:cs="宋体"/>
                <w:sz w:val="20"/>
                <w:szCs w:val="21"/>
              </w:rPr>
            </w:pPr>
          </w:p>
        </w:tc>
      </w:tr>
      <w:tr w14:paraId="49B4092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109" w:hRule="atLeast"/>
          <w:jc w:val="center"/>
        </w:trPr>
        <w:tc>
          <w:tcPr>
            <w:tcW w:w="767" w:type="dxa"/>
            <w:tcBorders>
              <w:top w:val="single" w:color="000000" w:sz="6" w:space="0"/>
              <w:left w:val="single" w:color="000000" w:sz="12" w:space="0"/>
              <w:bottom w:val="single" w:color="000000" w:sz="6" w:space="0"/>
              <w:right w:val="single" w:color="000000" w:sz="4" w:space="0"/>
            </w:tcBorders>
            <w:vAlign w:val="center"/>
          </w:tcPr>
          <w:p w14:paraId="2452DBC6">
            <w:pPr>
              <w:pStyle w:val="95"/>
              <w:spacing w:line="440" w:lineRule="exact"/>
              <w:rPr>
                <w:rStyle w:val="54"/>
                <w:rFonts w:ascii="宋体" w:hAnsi="宋体" w:cs="宋体"/>
                <w:sz w:val="21"/>
                <w:szCs w:val="21"/>
              </w:rPr>
            </w:pPr>
            <w:r>
              <w:rPr>
                <w:rStyle w:val="54"/>
                <w:rFonts w:hint="eastAsia" w:ascii="宋体" w:hAnsi="宋体" w:cs="宋体"/>
                <w:sz w:val="21"/>
                <w:szCs w:val="21"/>
              </w:rPr>
              <w:t>5</w:t>
            </w:r>
          </w:p>
        </w:tc>
        <w:tc>
          <w:tcPr>
            <w:tcW w:w="1901" w:type="dxa"/>
            <w:tcBorders>
              <w:top w:val="single" w:color="000000" w:sz="6" w:space="0"/>
              <w:left w:val="single" w:color="000000" w:sz="4" w:space="0"/>
              <w:bottom w:val="single" w:color="000000" w:sz="6" w:space="0"/>
              <w:right w:val="single" w:color="000000" w:sz="6" w:space="0"/>
            </w:tcBorders>
            <w:vAlign w:val="center"/>
          </w:tcPr>
          <w:p w14:paraId="19C5FE71">
            <w:pPr>
              <w:pStyle w:val="95"/>
              <w:spacing w:line="440" w:lineRule="exact"/>
              <w:rPr>
                <w:rStyle w:val="54"/>
                <w:rFonts w:ascii="宋体" w:hAnsi="宋体" w:cs="宋体"/>
                <w:sz w:val="21"/>
                <w:szCs w:val="21"/>
              </w:rPr>
            </w:pPr>
            <w:r>
              <w:rPr>
                <w:rStyle w:val="54"/>
                <w:rFonts w:hint="eastAsia" w:ascii="宋体" w:hAnsi="宋体" w:cs="宋体"/>
                <w:sz w:val="21"/>
                <w:szCs w:val="21"/>
              </w:rPr>
              <w:t>磋商有效期</w:t>
            </w:r>
          </w:p>
        </w:tc>
        <w:tc>
          <w:tcPr>
            <w:tcW w:w="5851" w:type="dxa"/>
            <w:tcBorders>
              <w:top w:val="single" w:color="000000" w:sz="6" w:space="0"/>
              <w:left w:val="single" w:color="000000" w:sz="6" w:space="0"/>
              <w:bottom w:val="single" w:color="000000" w:sz="6" w:space="0"/>
              <w:right w:val="single" w:color="000000" w:sz="12" w:space="0"/>
            </w:tcBorders>
            <w:vAlign w:val="center"/>
          </w:tcPr>
          <w:p w14:paraId="5BBF01C7">
            <w:pPr>
              <w:spacing w:line="440" w:lineRule="exact"/>
              <w:jc w:val="center"/>
              <w:rPr>
                <w:rStyle w:val="54"/>
                <w:rFonts w:ascii="宋体" w:hAnsi="宋体" w:cs="宋体"/>
                <w:sz w:val="20"/>
                <w:szCs w:val="21"/>
              </w:rPr>
            </w:pPr>
          </w:p>
        </w:tc>
      </w:tr>
      <w:tr w14:paraId="194BD29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166" w:hRule="atLeast"/>
          <w:jc w:val="center"/>
        </w:trPr>
        <w:tc>
          <w:tcPr>
            <w:tcW w:w="8519" w:type="dxa"/>
            <w:gridSpan w:val="3"/>
            <w:tcBorders>
              <w:top w:val="single" w:color="000000" w:sz="6" w:space="0"/>
              <w:left w:val="single" w:color="000000" w:sz="12" w:space="0"/>
              <w:bottom w:val="single" w:color="000000" w:sz="12" w:space="0"/>
              <w:right w:val="single" w:color="000000" w:sz="12" w:space="0"/>
            </w:tcBorders>
            <w:vAlign w:val="center"/>
          </w:tcPr>
          <w:p w14:paraId="1ACF2F07">
            <w:pPr>
              <w:spacing w:line="440" w:lineRule="exact"/>
              <w:rPr>
                <w:rStyle w:val="54"/>
                <w:rFonts w:ascii="宋体" w:hAnsi="宋体" w:cs="宋体"/>
                <w:sz w:val="20"/>
                <w:szCs w:val="21"/>
              </w:rPr>
            </w:pPr>
            <w:r>
              <w:rPr>
                <w:rStyle w:val="54"/>
                <w:rFonts w:hint="eastAsia" w:ascii="宋体" w:hAnsi="宋体" w:cs="宋体"/>
                <w:szCs w:val="21"/>
              </w:rPr>
              <w:t>其他需要说明的问题：</w:t>
            </w:r>
          </w:p>
        </w:tc>
      </w:tr>
    </w:tbl>
    <w:p w14:paraId="0CD9F945">
      <w:pPr>
        <w:spacing w:before="312"/>
        <w:jc w:val="right"/>
        <w:rPr>
          <w:rStyle w:val="54"/>
          <w:rFonts w:ascii="宋体" w:hAnsi="宋体" w:cs="宋体"/>
          <w:sz w:val="24"/>
        </w:rPr>
      </w:pPr>
    </w:p>
    <w:p w14:paraId="213C7175">
      <w:pPr>
        <w:spacing w:before="312"/>
        <w:jc w:val="right"/>
        <w:rPr>
          <w:rStyle w:val="54"/>
          <w:rFonts w:ascii="宋体" w:hAnsi="宋体" w:cs="宋体"/>
          <w:sz w:val="24"/>
        </w:rPr>
      </w:pPr>
      <w:r>
        <w:rPr>
          <w:rStyle w:val="54"/>
          <w:rFonts w:hint="eastAsia" w:ascii="宋体" w:hAnsi="宋体" w:cs="宋体"/>
          <w:sz w:val="24"/>
        </w:rPr>
        <w:t xml:space="preserve">  供应商：</w:t>
      </w:r>
      <w:r>
        <w:rPr>
          <w:rStyle w:val="54"/>
          <w:rFonts w:hint="eastAsia" w:ascii="宋体" w:hAnsi="宋体" w:cs="宋体"/>
          <w:sz w:val="24"/>
          <w:u w:val="single" w:color="000000"/>
        </w:rPr>
        <w:t xml:space="preserve">                        </w:t>
      </w:r>
      <w:r>
        <w:rPr>
          <w:rStyle w:val="54"/>
          <w:rFonts w:hint="eastAsia" w:ascii="宋体" w:hAnsi="宋体" w:cs="宋体"/>
          <w:sz w:val="24"/>
        </w:rPr>
        <w:t xml:space="preserve">（电子印章） </w:t>
      </w:r>
    </w:p>
    <w:p w14:paraId="26D9617C">
      <w:pPr>
        <w:jc w:val="center"/>
        <w:rPr>
          <w:rStyle w:val="54"/>
          <w:rFonts w:ascii="宋体" w:hAnsi="宋体" w:cs="宋体"/>
          <w:sz w:val="24"/>
        </w:rPr>
      </w:pPr>
    </w:p>
    <w:p w14:paraId="7C7D8C90">
      <w:pPr>
        <w:jc w:val="center"/>
        <w:rPr>
          <w:rStyle w:val="54"/>
          <w:rFonts w:ascii="宋体" w:hAnsi="宋体" w:cs="宋体"/>
          <w:sz w:val="24"/>
        </w:rPr>
      </w:pPr>
    </w:p>
    <w:p w14:paraId="77866B31">
      <w:pPr>
        <w:jc w:val="right"/>
        <w:rPr>
          <w:rStyle w:val="54"/>
          <w:rFonts w:ascii="宋体" w:hAnsi="宋体" w:cs="宋体"/>
          <w:sz w:val="24"/>
          <w:u w:val="single"/>
        </w:rPr>
      </w:pPr>
      <w:r>
        <w:rPr>
          <w:rStyle w:val="54"/>
          <w:rFonts w:hint="eastAsia" w:ascii="宋体" w:hAnsi="宋体" w:cs="宋体"/>
          <w:sz w:val="24"/>
        </w:rPr>
        <w:t xml:space="preserve">      法定代表人：</w:t>
      </w:r>
      <w:r>
        <w:rPr>
          <w:rStyle w:val="54"/>
          <w:rFonts w:hint="eastAsia" w:ascii="宋体" w:hAnsi="宋体" w:cs="宋体"/>
          <w:sz w:val="24"/>
          <w:u w:val="single" w:color="000000"/>
        </w:rPr>
        <w:t xml:space="preserve">                    </w:t>
      </w:r>
      <w:r>
        <w:rPr>
          <w:rStyle w:val="54"/>
          <w:rFonts w:hint="eastAsia" w:ascii="宋体" w:hAnsi="宋体" w:cs="宋体"/>
          <w:sz w:val="24"/>
        </w:rPr>
        <w:t>（电子签章）</w:t>
      </w:r>
    </w:p>
    <w:p w14:paraId="7ACB32CE">
      <w:pPr>
        <w:jc w:val="center"/>
        <w:rPr>
          <w:rStyle w:val="54"/>
          <w:rFonts w:ascii="宋体" w:hAnsi="宋体" w:cs="宋体"/>
          <w:sz w:val="24"/>
          <w:u w:val="single"/>
        </w:rPr>
      </w:pPr>
    </w:p>
    <w:p w14:paraId="6068FA5A">
      <w:pPr>
        <w:jc w:val="center"/>
        <w:rPr>
          <w:rStyle w:val="54"/>
          <w:rFonts w:ascii="宋体" w:hAnsi="宋体" w:cs="宋体"/>
          <w:sz w:val="24"/>
          <w:u w:val="single"/>
        </w:rPr>
      </w:pPr>
    </w:p>
    <w:p w14:paraId="36592FBA">
      <w:pPr>
        <w:jc w:val="right"/>
        <w:rPr>
          <w:rStyle w:val="54"/>
          <w:rFonts w:ascii="宋体" w:hAnsi="宋体" w:cs="宋体"/>
          <w:sz w:val="24"/>
        </w:rPr>
      </w:pPr>
      <w:r>
        <w:rPr>
          <w:rStyle w:val="54"/>
          <w:rFonts w:hint="eastAsia" w:ascii="宋体" w:hAnsi="宋体" w:cs="宋体"/>
          <w:sz w:val="24"/>
        </w:rPr>
        <w:t xml:space="preserve">                   日期：</w:t>
      </w:r>
      <w:r>
        <w:rPr>
          <w:rStyle w:val="54"/>
          <w:rFonts w:hint="eastAsia" w:ascii="宋体" w:hAnsi="宋体" w:cs="宋体"/>
          <w:sz w:val="24"/>
          <w:u w:val="single" w:color="000000"/>
        </w:rPr>
        <w:t xml:space="preserve">       </w:t>
      </w:r>
      <w:r>
        <w:rPr>
          <w:rStyle w:val="54"/>
          <w:rFonts w:hint="eastAsia" w:ascii="宋体" w:hAnsi="宋体" w:cs="宋体"/>
          <w:sz w:val="24"/>
        </w:rPr>
        <w:t>年</w:t>
      </w:r>
      <w:r>
        <w:rPr>
          <w:rStyle w:val="54"/>
          <w:rFonts w:hint="eastAsia" w:ascii="宋体" w:hAnsi="宋体" w:cs="宋体"/>
          <w:sz w:val="24"/>
          <w:u w:val="single" w:color="000000"/>
        </w:rPr>
        <w:t xml:space="preserve">       </w:t>
      </w:r>
      <w:r>
        <w:rPr>
          <w:rStyle w:val="54"/>
          <w:rFonts w:hint="eastAsia" w:ascii="宋体" w:hAnsi="宋体" w:cs="宋体"/>
          <w:sz w:val="24"/>
        </w:rPr>
        <w:t>月</w:t>
      </w:r>
      <w:r>
        <w:rPr>
          <w:rStyle w:val="54"/>
          <w:rFonts w:hint="eastAsia" w:ascii="宋体" w:hAnsi="宋体" w:cs="宋体"/>
          <w:sz w:val="24"/>
          <w:u w:val="single" w:color="000000"/>
        </w:rPr>
        <w:t xml:space="preserve">       </w:t>
      </w:r>
      <w:r>
        <w:rPr>
          <w:rStyle w:val="54"/>
          <w:rFonts w:hint="eastAsia" w:ascii="宋体" w:hAnsi="宋体" w:cs="宋体"/>
          <w:sz w:val="24"/>
        </w:rPr>
        <w:t xml:space="preserve">日 </w:t>
      </w:r>
    </w:p>
    <w:p w14:paraId="1688D507">
      <w:pPr>
        <w:pStyle w:val="49"/>
        <w:snapToGrid w:val="0"/>
        <w:spacing w:before="100" w:after="100" w:line="240" w:lineRule="auto"/>
        <w:rPr>
          <w:rStyle w:val="109"/>
          <w:rFonts w:ascii="宋体" w:hAnsi="宋体" w:eastAsia="宋体" w:cs="宋体"/>
          <w:b/>
          <w:bCs/>
        </w:rPr>
      </w:pPr>
      <w:r>
        <w:rPr>
          <w:rStyle w:val="54"/>
          <w:rFonts w:hint="eastAsia" w:ascii="宋体" w:hAnsi="宋体" w:eastAsia="宋体" w:cs="宋体"/>
          <w:sz w:val="24"/>
          <w:szCs w:val="24"/>
        </w:rPr>
        <w:br w:type="page"/>
      </w:r>
    </w:p>
    <w:p w14:paraId="1A613AF2">
      <w:pPr>
        <w:pStyle w:val="49"/>
        <w:snapToGrid w:val="0"/>
        <w:spacing w:before="100" w:after="100" w:line="240" w:lineRule="auto"/>
        <w:outlineLvl w:val="1"/>
        <w:rPr>
          <w:rFonts w:ascii="宋体" w:hAnsi="宋体" w:eastAsia="宋体" w:cs="宋体"/>
          <w:color w:val="auto"/>
          <w:kern w:val="0"/>
        </w:rPr>
      </w:pPr>
      <w:r>
        <w:rPr>
          <w:rFonts w:hint="eastAsia" w:ascii="宋体" w:hAnsi="宋体" w:eastAsia="宋体" w:cs="宋体"/>
          <w:color w:val="auto"/>
          <w:kern w:val="0"/>
        </w:rPr>
        <w:t>三、法定代表人身份证明</w:t>
      </w:r>
    </w:p>
    <w:p w14:paraId="1F1F21BE">
      <w:pPr>
        <w:spacing w:line="600" w:lineRule="exact"/>
        <w:ind w:firstLine="720" w:firstLineChars="300"/>
        <w:rPr>
          <w:rStyle w:val="54"/>
          <w:rFonts w:ascii="宋体" w:hAnsi="宋体" w:cs="宋体"/>
          <w:sz w:val="24"/>
        </w:rPr>
      </w:pPr>
    </w:p>
    <w:p w14:paraId="085E48F9">
      <w:pPr>
        <w:spacing w:line="600" w:lineRule="exact"/>
        <w:ind w:firstLine="720" w:firstLineChars="300"/>
        <w:rPr>
          <w:rStyle w:val="54"/>
          <w:rFonts w:ascii="宋体" w:hAnsi="宋体" w:cs="宋体"/>
          <w:sz w:val="24"/>
          <w:u w:val="single"/>
        </w:rPr>
      </w:pPr>
      <w:r>
        <w:rPr>
          <w:rStyle w:val="54"/>
          <w:rFonts w:hint="eastAsia" w:ascii="宋体" w:hAnsi="宋体" w:cs="宋体"/>
          <w:sz w:val="24"/>
        </w:rPr>
        <w:t>企</w:t>
      </w:r>
      <w:r>
        <w:rPr>
          <w:rStyle w:val="54"/>
          <w:rFonts w:hint="eastAsia" w:ascii="宋体" w:hAnsi="宋体" w:cs="宋体"/>
          <w:sz w:val="24"/>
          <w:szCs w:val="22"/>
        </w:rPr>
        <w:t>业名称：</w:t>
      </w:r>
      <w:r>
        <w:rPr>
          <w:rStyle w:val="54"/>
          <w:rFonts w:hint="eastAsia" w:ascii="宋体" w:hAnsi="宋体" w:cs="宋体"/>
          <w:sz w:val="28"/>
          <w:szCs w:val="28"/>
          <w:u w:val="single" w:color="000000"/>
        </w:rPr>
        <w:t xml:space="preserve">                                    </w:t>
      </w:r>
    </w:p>
    <w:p w14:paraId="24222EDB">
      <w:pPr>
        <w:spacing w:line="600" w:lineRule="exact"/>
        <w:ind w:firstLine="720" w:firstLineChars="300"/>
        <w:rPr>
          <w:rStyle w:val="54"/>
          <w:rFonts w:ascii="宋体" w:hAnsi="宋体" w:cs="宋体"/>
          <w:sz w:val="24"/>
          <w:u w:val="single"/>
        </w:rPr>
      </w:pPr>
      <w:r>
        <w:rPr>
          <w:rStyle w:val="54"/>
          <w:rFonts w:hint="eastAsia" w:ascii="宋体" w:hAnsi="宋体" w:cs="宋体"/>
          <w:sz w:val="24"/>
        </w:rPr>
        <w:t>地    址：</w:t>
      </w:r>
      <w:r>
        <w:rPr>
          <w:rStyle w:val="54"/>
          <w:rFonts w:hint="eastAsia" w:ascii="宋体" w:hAnsi="宋体" w:cs="宋体"/>
          <w:sz w:val="24"/>
          <w:u w:val="single" w:color="000000"/>
        </w:rPr>
        <w:t xml:space="preserve">                                          </w:t>
      </w:r>
    </w:p>
    <w:p w14:paraId="4E6C5C74">
      <w:pPr>
        <w:spacing w:line="600" w:lineRule="exact"/>
        <w:ind w:firstLine="720" w:firstLineChars="300"/>
        <w:rPr>
          <w:rStyle w:val="54"/>
          <w:rFonts w:ascii="宋体" w:hAnsi="宋体" w:cs="宋体"/>
          <w:sz w:val="24"/>
          <w:u w:val="single"/>
        </w:rPr>
      </w:pPr>
      <w:r>
        <w:rPr>
          <w:rStyle w:val="54"/>
          <w:rFonts w:hint="eastAsia" w:ascii="宋体" w:hAnsi="宋体" w:cs="宋体"/>
          <w:sz w:val="24"/>
        </w:rPr>
        <w:t>姓    名：</w:t>
      </w:r>
      <w:r>
        <w:rPr>
          <w:rStyle w:val="54"/>
          <w:rFonts w:hint="eastAsia" w:ascii="宋体" w:hAnsi="宋体" w:cs="宋体"/>
          <w:sz w:val="24"/>
          <w:u w:val="single" w:color="000000"/>
        </w:rPr>
        <w:t xml:space="preserve">          </w:t>
      </w:r>
      <w:r>
        <w:rPr>
          <w:rStyle w:val="54"/>
          <w:rFonts w:hint="eastAsia" w:ascii="宋体" w:hAnsi="宋体" w:cs="宋体"/>
          <w:sz w:val="24"/>
        </w:rPr>
        <w:t xml:space="preserve">  性别：</w:t>
      </w:r>
      <w:r>
        <w:rPr>
          <w:rStyle w:val="54"/>
          <w:rFonts w:hint="eastAsia" w:ascii="宋体" w:hAnsi="宋体" w:cs="宋体"/>
          <w:sz w:val="24"/>
          <w:u w:val="single" w:color="000000"/>
        </w:rPr>
        <w:t xml:space="preserve">         </w:t>
      </w:r>
      <w:r>
        <w:rPr>
          <w:rStyle w:val="54"/>
          <w:rFonts w:hint="eastAsia" w:ascii="宋体" w:hAnsi="宋体" w:cs="宋体"/>
          <w:sz w:val="24"/>
        </w:rPr>
        <w:t xml:space="preserve"> 职务：</w:t>
      </w:r>
      <w:r>
        <w:rPr>
          <w:rStyle w:val="54"/>
          <w:rFonts w:hint="eastAsia" w:ascii="宋体" w:hAnsi="宋体" w:cs="宋体"/>
          <w:sz w:val="24"/>
          <w:u w:val="single" w:color="000000"/>
        </w:rPr>
        <w:t xml:space="preserve">          </w:t>
      </w:r>
      <w:r>
        <w:rPr>
          <w:rStyle w:val="54"/>
          <w:rFonts w:hint="eastAsia" w:ascii="宋体" w:hAnsi="宋体" w:cs="宋体"/>
          <w:sz w:val="24"/>
        </w:rPr>
        <w:t xml:space="preserve">           </w:t>
      </w:r>
    </w:p>
    <w:p w14:paraId="2E23A043">
      <w:pPr>
        <w:spacing w:line="600" w:lineRule="exact"/>
        <w:ind w:left="242" w:leftChars="-342" w:hanging="960" w:hangingChars="400"/>
        <w:rPr>
          <w:rStyle w:val="54"/>
          <w:rFonts w:ascii="宋体" w:hAnsi="宋体" w:cs="宋体"/>
          <w:sz w:val="24"/>
        </w:rPr>
      </w:pPr>
      <w:r>
        <w:rPr>
          <w:rStyle w:val="54"/>
          <w:rFonts w:hint="eastAsia" w:ascii="宋体" w:hAnsi="宋体" w:cs="宋体"/>
          <w:sz w:val="24"/>
        </w:rPr>
        <w:t xml:space="preserve">            系</w:t>
      </w:r>
      <w:r>
        <w:rPr>
          <w:rStyle w:val="54"/>
          <w:rFonts w:hint="eastAsia" w:ascii="宋体" w:hAnsi="宋体" w:cs="宋体"/>
          <w:sz w:val="24"/>
          <w:u w:val="single" w:color="000000"/>
        </w:rPr>
        <w:t xml:space="preserve">     （供应商名称）     </w:t>
      </w:r>
      <w:r>
        <w:rPr>
          <w:rStyle w:val="54"/>
          <w:rFonts w:hint="eastAsia" w:ascii="宋体" w:hAnsi="宋体" w:cs="宋体"/>
          <w:sz w:val="24"/>
        </w:rPr>
        <w:t>的法定代表人，能够为</w:t>
      </w:r>
      <w:r>
        <w:rPr>
          <w:rStyle w:val="54"/>
          <w:rFonts w:hint="eastAsia" w:ascii="宋体" w:hAnsi="宋体" w:cs="宋体"/>
          <w:sz w:val="24"/>
          <w:u w:val="single" w:color="000000"/>
        </w:rPr>
        <w:t xml:space="preserve"> （项目名称） </w:t>
      </w:r>
      <w:r>
        <w:rPr>
          <w:rStyle w:val="54"/>
          <w:rFonts w:hint="eastAsia" w:ascii="宋体" w:hAnsi="宋体" w:cs="宋体"/>
          <w:sz w:val="24"/>
        </w:rPr>
        <w:t>签署响应文件，进行合同谈判、签署合同及处理与之有关的一切事务。</w:t>
      </w:r>
    </w:p>
    <w:p w14:paraId="27C8072E">
      <w:pPr>
        <w:spacing w:line="440" w:lineRule="exact"/>
        <w:ind w:left="242" w:leftChars="-342" w:hanging="960" w:hangingChars="400"/>
        <w:rPr>
          <w:rStyle w:val="54"/>
          <w:rFonts w:ascii="宋体" w:hAnsi="宋体" w:cs="宋体"/>
          <w:sz w:val="24"/>
        </w:rPr>
      </w:pPr>
      <w:r>
        <w:rPr>
          <w:rStyle w:val="54"/>
          <w:rFonts w:hint="eastAsia" w:ascii="宋体" w:hAnsi="宋体" w:cs="宋体"/>
          <w:sz w:val="24"/>
        </w:rPr>
        <w:t xml:space="preserve">     </w:t>
      </w:r>
    </w:p>
    <w:p w14:paraId="3FC82536">
      <w:pPr>
        <w:spacing w:line="440" w:lineRule="exact"/>
        <w:ind w:left="242" w:leftChars="-342" w:hanging="960" w:hangingChars="400"/>
        <w:rPr>
          <w:rStyle w:val="54"/>
          <w:rFonts w:ascii="宋体" w:hAnsi="宋体" w:cs="宋体"/>
          <w:sz w:val="24"/>
        </w:rPr>
      </w:pPr>
    </w:p>
    <w:p w14:paraId="7C48569D">
      <w:pPr>
        <w:spacing w:line="440" w:lineRule="exact"/>
        <w:ind w:left="242" w:leftChars="-342" w:hanging="960" w:hangingChars="400"/>
        <w:rPr>
          <w:rStyle w:val="54"/>
          <w:rFonts w:ascii="宋体" w:hAnsi="宋体" w:cs="宋体"/>
          <w:sz w:val="24"/>
        </w:rPr>
      </w:pPr>
    </w:p>
    <w:p w14:paraId="7E2FC89B">
      <w:pPr>
        <w:spacing w:line="440" w:lineRule="exact"/>
        <w:ind w:left="239" w:leftChars="99" w:hanging="31" w:hangingChars="13"/>
        <w:rPr>
          <w:rStyle w:val="54"/>
          <w:rFonts w:ascii="宋体" w:hAnsi="宋体" w:cs="宋体"/>
          <w:sz w:val="24"/>
        </w:rPr>
      </w:pPr>
      <w:r>
        <w:rPr>
          <w:rStyle w:val="54"/>
          <w:rFonts w:hint="eastAsia" w:ascii="宋体" w:hAnsi="宋体" w:cs="宋体"/>
          <w:sz w:val="24"/>
        </w:rPr>
        <w:t xml:space="preserve">     特此证明。</w:t>
      </w:r>
    </w:p>
    <w:p w14:paraId="0A2FE104">
      <w:pPr>
        <w:spacing w:line="440" w:lineRule="exact"/>
        <w:ind w:left="239" w:leftChars="99" w:hanging="31" w:hangingChars="13"/>
        <w:rPr>
          <w:rStyle w:val="54"/>
          <w:rFonts w:ascii="宋体" w:hAnsi="宋体" w:cs="宋体"/>
          <w:sz w:val="24"/>
        </w:rPr>
      </w:pPr>
    </w:p>
    <w:p w14:paraId="69D80FEC">
      <w:pPr>
        <w:spacing w:line="440" w:lineRule="exact"/>
        <w:ind w:left="239" w:leftChars="99" w:hanging="31" w:hangingChars="13"/>
        <w:rPr>
          <w:rStyle w:val="54"/>
          <w:rFonts w:ascii="宋体" w:hAnsi="宋体" w:cs="宋体"/>
          <w:sz w:val="24"/>
        </w:rPr>
      </w:pPr>
    </w:p>
    <w:p w14:paraId="20E7B6CA">
      <w:pPr>
        <w:spacing w:line="440" w:lineRule="exact"/>
        <w:ind w:left="239" w:leftChars="99" w:hanging="31" w:hangingChars="13"/>
        <w:rPr>
          <w:rStyle w:val="54"/>
          <w:rFonts w:ascii="宋体" w:hAnsi="宋体" w:cs="宋体"/>
          <w:sz w:val="24"/>
        </w:rPr>
      </w:pPr>
    </w:p>
    <w:p w14:paraId="745C25FE">
      <w:pPr>
        <w:spacing w:line="440" w:lineRule="exact"/>
        <w:ind w:left="239" w:leftChars="99" w:hanging="31" w:hangingChars="13"/>
        <w:rPr>
          <w:rStyle w:val="54"/>
          <w:rFonts w:ascii="宋体" w:hAnsi="宋体" w:cs="宋体"/>
          <w:sz w:val="24"/>
        </w:rPr>
      </w:pPr>
    </w:p>
    <w:p w14:paraId="0E2A6D79">
      <w:pPr>
        <w:spacing w:line="440" w:lineRule="exact"/>
        <w:ind w:left="239" w:leftChars="99" w:hanging="31" w:hangingChars="13"/>
        <w:rPr>
          <w:rStyle w:val="54"/>
          <w:rFonts w:ascii="宋体" w:hAnsi="宋体" w:cs="宋体"/>
          <w:sz w:val="24"/>
        </w:rPr>
      </w:pPr>
    </w:p>
    <w:p w14:paraId="0CB67987">
      <w:pPr>
        <w:spacing w:before="312"/>
        <w:jc w:val="right"/>
        <w:rPr>
          <w:rStyle w:val="54"/>
          <w:rFonts w:ascii="宋体" w:hAnsi="宋体" w:cs="宋体"/>
          <w:sz w:val="24"/>
        </w:rPr>
      </w:pPr>
      <w:r>
        <w:rPr>
          <w:rStyle w:val="54"/>
          <w:rFonts w:hint="eastAsia" w:ascii="宋体" w:hAnsi="宋体" w:cs="宋体"/>
          <w:sz w:val="24"/>
        </w:rPr>
        <w:t xml:space="preserve"> 供应商：</w:t>
      </w:r>
      <w:r>
        <w:rPr>
          <w:rStyle w:val="54"/>
          <w:rFonts w:hint="eastAsia" w:ascii="宋体" w:hAnsi="宋体" w:cs="宋体"/>
          <w:sz w:val="24"/>
          <w:u w:val="single" w:color="000000"/>
        </w:rPr>
        <w:t xml:space="preserve">                        </w:t>
      </w:r>
      <w:r>
        <w:rPr>
          <w:rStyle w:val="54"/>
          <w:rFonts w:hint="eastAsia" w:ascii="宋体" w:hAnsi="宋体" w:cs="宋体"/>
          <w:sz w:val="24"/>
        </w:rPr>
        <w:t xml:space="preserve">（电子印章） </w:t>
      </w:r>
    </w:p>
    <w:p w14:paraId="4F60D6DB">
      <w:pPr>
        <w:jc w:val="center"/>
        <w:rPr>
          <w:rStyle w:val="54"/>
          <w:rFonts w:ascii="宋体" w:hAnsi="宋体" w:cs="宋体"/>
          <w:sz w:val="24"/>
        </w:rPr>
      </w:pPr>
    </w:p>
    <w:p w14:paraId="511F6CD8">
      <w:pPr>
        <w:jc w:val="center"/>
        <w:rPr>
          <w:rStyle w:val="54"/>
          <w:rFonts w:ascii="宋体" w:hAnsi="宋体" w:cs="宋体"/>
          <w:sz w:val="24"/>
        </w:rPr>
      </w:pPr>
    </w:p>
    <w:p w14:paraId="3D9F79C7">
      <w:pPr>
        <w:jc w:val="right"/>
        <w:rPr>
          <w:rStyle w:val="54"/>
          <w:rFonts w:ascii="宋体" w:hAnsi="宋体" w:cs="宋体"/>
          <w:sz w:val="24"/>
          <w:u w:val="single"/>
        </w:rPr>
      </w:pPr>
      <w:r>
        <w:rPr>
          <w:rStyle w:val="54"/>
          <w:rFonts w:hint="eastAsia" w:ascii="宋体" w:hAnsi="宋体" w:cs="宋体"/>
          <w:sz w:val="24"/>
        </w:rPr>
        <w:t xml:space="preserve">      法定代表人：</w:t>
      </w:r>
      <w:r>
        <w:rPr>
          <w:rStyle w:val="54"/>
          <w:rFonts w:hint="eastAsia" w:ascii="宋体" w:hAnsi="宋体" w:cs="宋体"/>
          <w:sz w:val="24"/>
          <w:u w:val="single" w:color="000000"/>
        </w:rPr>
        <w:t xml:space="preserve">                    </w:t>
      </w:r>
      <w:r>
        <w:rPr>
          <w:rStyle w:val="54"/>
          <w:rFonts w:hint="eastAsia" w:ascii="宋体" w:hAnsi="宋体" w:cs="宋体"/>
          <w:sz w:val="24"/>
        </w:rPr>
        <w:t>（电子签章）</w:t>
      </w:r>
    </w:p>
    <w:p w14:paraId="2A0FA2EF">
      <w:pPr>
        <w:jc w:val="center"/>
        <w:rPr>
          <w:rStyle w:val="54"/>
          <w:rFonts w:ascii="宋体" w:hAnsi="宋体" w:cs="宋体"/>
          <w:sz w:val="24"/>
          <w:u w:val="single"/>
        </w:rPr>
      </w:pPr>
    </w:p>
    <w:p w14:paraId="34EA63EC">
      <w:pPr>
        <w:jc w:val="center"/>
        <w:rPr>
          <w:rStyle w:val="54"/>
          <w:rFonts w:ascii="宋体" w:hAnsi="宋体" w:cs="宋体"/>
          <w:sz w:val="24"/>
          <w:u w:val="single"/>
        </w:rPr>
      </w:pPr>
    </w:p>
    <w:p w14:paraId="1F0817F3">
      <w:pPr>
        <w:jc w:val="right"/>
        <w:rPr>
          <w:rStyle w:val="54"/>
          <w:rFonts w:ascii="宋体" w:hAnsi="宋体" w:cs="宋体"/>
          <w:sz w:val="24"/>
        </w:rPr>
      </w:pPr>
      <w:r>
        <w:rPr>
          <w:rStyle w:val="54"/>
          <w:rFonts w:hint="eastAsia" w:ascii="宋体" w:hAnsi="宋体" w:cs="宋体"/>
          <w:sz w:val="24"/>
        </w:rPr>
        <w:t xml:space="preserve">                   日期：</w:t>
      </w:r>
      <w:r>
        <w:rPr>
          <w:rStyle w:val="54"/>
          <w:rFonts w:hint="eastAsia" w:ascii="宋体" w:hAnsi="宋体" w:cs="宋体"/>
          <w:sz w:val="24"/>
          <w:u w:val="single" w:color="000000"/>
        </w:rPr>
        <w:t xml:space="preserve">       </w:t>
      </w:r>
      <w:r>
        <w:rPr>
          <w:rStyle w:val="54"/>
          <w:rFonts w:hint="eastAsia" w:ascii="宋体" w:hAnsi="宋体" w:cs="宋体"/>
          <w:sz w:val="24"/>
        </w:rPr>
        <w:t>年</w:t>
      </w:r>
      <w:r>
        <w:rPr>
          <w:rStyle w:val="54"/>
          <w:rFonts w:hint="eastAsia" w:ascii="宋体" w:hAnsi="宋体" w:cs="宋体"/>
          <w:sz w:val="24"/>
          <w:u w:val="single" w:color="000000"/>
        </w:rPr>
        <w:t xml:space="preserve">       </w:t>
      </w:r>
      <w:r>
        <w:rPr>
          <w:rStyle w:val="54"/>
          <w:rFonts w:hint="eastAsia" w:ascii="宋体" w:hAnsi="宋体" w:cs="宋体"/>
          <w:sz w:val="24"/>
        </w:rPr>
        <w:t>月</w:t>
      </w:r>
      <w:r>
        <w:rPr>
          <w:rStyle w:val="54"/>
          <w:rFonts w:hint="eastAsia" w:ascii="宋体" w:hAnsi="宋体" w:cs="宋体"/>
          <w:sz w:val="24"/>
          <w:u w:val="single" w:color="000000"/>
        </w:rPr>
        <w:t xml:space="preserve">       </w:t>
      </w:r>
      <w:r>
        <w:rPr>
          <w:rStyle w:val="54"/>
          <w:rFonts w:hint="eastAsia" w:ascii="宋体" w:hAnsi="宋体" w:cs="宋体"/>
          <w:sz w:val="24"/>
        </w:rPr>
        <w:t xml:space="preserve">日 </w:t>
      </w:r>
    </w:p>
    <w:p w14:paraId="148B7622">
      <w:pPr>
        <w:spacing w:line="440" w:lineRule="exact"/>
        <w:jc w:val="right"/>
        <w:rPr>
          <w:rStyle w:val="54"/>
          <w:rFonts w:ascii="宋体" w:hAnsi="宋体" w:cs="宋体"/>
          <w:sz w:val="24"/>
        </w:rPr>
      </w:pPr>
      <w:r>
        <w:rPr>
          <w:rStyle w:val="54"/>
          <w:rFonts w:hint="eastAsia" w:ascii="宋体" w:hAnsi="宋体" w:cs="宋体"/>
          <w:sz w:val="24"/>
        </w:rPr>
        <w:t xml:space="preserve"> </w:t>
      </w:r>
    </w:p>
    <w:p w14:paraId="453FBA50">
      <w:pPr>
        <w:spacing w:line="440" w:lineRule="exact"/>
        <w:jc w:val="center"/>
        <w:rPr>
          <w:rStyle w:val="54"/>
          <w:rFonts w:ascii="宋体" w:hAnsi="宋体" w:cs="宋体"/>
          <w:b/>
          <w:sz w:val="24"/>
        </w:rPr>
      </w:pPr>
    </w:p>
    <w:p w14:paraId="38DB5F3D">
      <w:pPr>
        <w:spacing w:line="440" w:lineRule="exact"/>
        <w:jc w:val="center"/>
        <w:rPr>
          <w:rStyle w:val="54"/>
          <w:rFonts w:ascii="宋体" w:hAnsi="宋体" w:cs="宋体"/>
          <w:b/>
          <w:sz w:val="24"/>
        </w:rPr>
      </w:pPr>
    </w:p>
    <w:p w14:paraId="52E16846">
      <w:pPr>
        <w:jc w:val="center"/>
        <w:rPr>
          <w:rStyle w:val="54"/>
          <w:rFonts w:ascii="宋体" w:hAnsi="宋体" w:cs="宋体"/>
          <w:b/>
          <w:sz w:val="20"/>
          <w:szCs w:val="21"/>
        </w:rPr>
      </w:pPr>
    </w:p>
    <w:p w14:paraId="2C6A195A">
      <w:pPr>
        <w:rPr>
          <w:rStyle w:val="54"/>
          <w:rFonts w:ascii="宋体" w:hAnsi="宋体" w:cs="宋体"/>
          <w:b/>
          <w:sz w:val="32"/>
          <w:szCs w:val="32"/>
        </w:rPr>
      </w:pPr>
    </w:p>
    <w:p w14:paraId="7D5B55F4">
      <w:pPr>
        <w:pStyle w:val="83"/>
        <w:ind w:left="840" w:hanging="420"/>
        <w:rPr>
          <w:rStyle w:val="54"/>
          <w:rFonts w:ascii="宋体" w:hAnsi="宋体" w:cs="宋体"/>
        </w:rPr>
      </w:pPr>
    </w:p>
    <w:p w14:paraId="33FD5DB0">
      <w:pPr>
        <w:pStyle w:val="83"/>
        <w:ind w:left="840" w:hanging="420"/>
        <w:rPr>
          <w:rStyle w:val="54"/>
          <w:rFonts w:ascii="宋体" w:hAnsi="宋体" w:cs="宋体"/>
        </w:rPr>
      </w:pPr>
    </w:p>
    <w:p w14:paraId="1A000015">
      <w:pPr>
        <w:rPr>
          <w:rStyle w:val="54"/>
          <w:rFonts w:ascii="宋体" w:hAnsi="宋体" w:cs="宋体"/>
          <w:b/>
          <w:sz w:val="24"/>
        </w:rPr>
      </w:pPr>
    </w:p>
    <w:p w14:paraId="0D0FE2A0">
      <w:pPr>
        <w:pStyle w:val="49"/>
        <w:snapToGrid w:val="0"/>
        <w:spacing w:before="100" w:after="100" w:line="240" w:lineRule="auto"/>
        <w:outlineLvl w:val="1"/>
        <w:rPr>
          <w:rFonts w:ascii="宋体" w:hAnsi="宋体" w:eastAsia="宋体" w:cs="宋体"/>
          <w:color w:val="auto"/>
          <w:kern w:val="0"/>
        </w:rPr>
      </w:pPr>
      <w:r>
        <w:rPr>
          <w:rFonts w:hint="eastAsia" w:ascii="宋体" w:hAnsi="宋体" w:eastAsia="宋体" w:cs="宋体"/>
          <w:color w:val="auto"/>
          <w:kern w:val="0"/>
        </w:rPr>
        <w:t>四、授权委托书</w:t>
      </w:r>
    </w:p>
    <w:p w14:paraId="3575C20F">
      <w:pPr>
        <w:spacing w:line="360" w:lineRule="auto"/>
        <w:ind w:firstLine="480" w:firstLineChars="200"/>
        <w:rPr>
          <w:rStyle w:val="54"/>
          <w:rFonts w:ascii="宋体" w:hAnsi="宋体" w:cs="宋体"/>
          <w:sz w:val="24"/>
        </w:rPr>
      </w:pPr>
    </w:p>
    <w:p w14:paraId="01A27A31">
      <w:pPr>
        <w:spacing w:line="440" w:lineRule="exact"/>
        <w:ind w:firstLine="480" w:firstLineChars="200"/>
        <w:rPr>
          <w:rStyle w:val="54"/>
          <w:rFonts w:ascii="宋体" w:hAnsi="宋体" w:cs="宋体"/>
          <w:sz w:val="24"/>
        </w:rPr>
      </w:pPr>
      <w:r>
        <w:rPr>
          <w:rStyle w:val="54"/>
          <w:rFonts w:hint="eastAsia" w:ascii="宋体" w:hAnsi="宋体" w:cs="宋体"/>
          <w:sz w:val="24"/>
        </w:rPr>
        <w:t>本人</w:t>
      </w:r>
      <w:r>
        <w:rPr>
          <w:rStyle w:val="54"/>
          <w:rFonts w:hint="eastAsia" w:ascii="宋体" w:hAnsi="宋体" w:cs="宋体"/>
          <w:sz w:val="24"/>
          <w:u w:val="single" w:color="000000"/>
        </w:rPr>
        <w:t xml:space="preserve">   （姓名）  </w:t>
      </w:r>
      <w:r>
        <w:rPr>
          <w:rStyle w:val="54"/>
          <w:rFonts w:hint="eastAsia" w:ascii="宋体" w:hAnsi="宋体" w:cs="宋体"/>
          <w:sz w:val="24"/>
        </w:rPr>
        <w:t>系</w:t>
      </w:r>
      <w:r>
        <w:rPr>
          <w:rStyle w:val="54"/>
          <w:rFonts w:hint="eastAsia" w:ascii="宋体" w:hAnsi="宋体" w:cs="宋体"/>
          <w:sz w:val="24"/>
          <w:u w:val="single" w:color="000000"/>
        </w:rPr>
        <w:t xml:space="preserve">  （供应商名称）  </w:t>
      </w:r>
      <w:r>
        <w:rPr>
          <w:rStyle w:val="54"/>
          <w:rFonts w:hint="eastAsia" w:ascii="宋体" w:hAnsi="宋体" w:cs="宋体"/>
          <w:sz w:val="24"/>
        </w:rPr>
        <w:t>的法定代表人，现委托</w:t>
      </w:r>
      <w:r>
        <w:rPr>
          <w:rStyle w:val="54"/>
          <w:rFonts w:hint="eastAsia" w:ascii="宋体" w:hAnsi="宋体" w:cs="宋体"/>
          <w:sz w:val="24"/>
          <w:u w:val="single" w:color="000000"/>
        </w:rPr>
        <w:t>（姓名）</w:t>
      </w:r>
      <w:r>
        <w:rPr>
          <w:rStyle w:val="54"/>
          <w:rFonts w:hint="eastAsia" w:ascii="宋体" w:hAnsi="宋体" w:cs="宋体"/>
          <w:sz w:val="24"/>
        </w:rPr>
        <w:t>为我方代理人，联系方式</w:t>
      </w:r>
      <w:r>
        <w:rPr>
          <w:rStyle w:val="54"/>
          <w:rFonts w:hint="eastAsia" w:ascii="宋体" w:hAnsi="宋体" w:cs="宋体"/>
          <w:sz w:val="24"/>
          <w:u w:val="single" w:color="000000"/>
        </w:rPr>
        <w:t xml:space="preserve">     （务必提供准确）     </w:t>
      </w:r>
      <w:r>
        <w:rPr>
          <w:rStyle w:val="54"/>
          <w:rFonts w:hint="eastAsia" w:ascii="宋体" w:hAnsi="宋体" w:cs="宋体"/>
          <w:sz w:val="24"/>
        </w:rPr>
        <w:t>。代理人根据授权，以我方名义签署、澄清、说明、补正、递交、撤回、修改</w:t>
      </w:r>
      <w:r>
        <w:rPr>
          <w:rStyle w:val="54"/>
          <w:rFonts w:hint="eastAsia" w:ascii="宋体" w:hAnsi="宋体" w:cs="宋体"/>
          <w:sz w:val="24"/>
          <w:u w:val="single" w:color="000000"/>
        </w:rPr>
        <w:t>（项目名称）</w:t>
      </w:r>
      <w:r>
        <w:rPr>
          <w:rStyle w:val="54"/>
          <w:rFonts w:hint="eastAsia" w:ascii="宋体" w:hAnsi="宋体" w:cs="宋体"/>
          <w:sz w:val="24"/>
        </w:rPr>
        <w:t>响应文件、签订合同和处理有关事宜，其法律后果由我方承担。</w:t>
      </w:r>
    </w:p>
    <w:p w14:paraId="51365AE1">
      <w:pPr>
        <w:spacing w:line="440" w:lineRule="exact"/>
        <w:ind w:firstLine="480" w:firstLineChars="200"/>
        <w:rPr>
          <w:rStyle w:val="54"/>
          <w:rFonts w:ascii="宋体" w:hAnsi="宋体" w:cs="宋体"/>
          <w:sz w:val="24"/>
        </w:rPr>
      </w:pPr>
      <w:r>
        <w:rPr>
          <w:rStyle w:val="54"/>
          <w:rFonts w:hint="eastAsia" w:ascii="宋体" w:hAnsi="宋体" w:cs="宋体"/>
          <w:sz w:val="24"/>
        </w:rPr>
        <w:t>委托期限：</w:t>
      </w:r>
      <w:r>
        <w:rPr>
          <w:rStyle w:val="54"/>
          <w:rFonts w:hint="eastAsia" w:ascii="宋体" w:hAnsi="宋体" w:cs="宋体"/>
          <w:sz w:val="24"/>
          <w:u w:val="single" w:color="000000"/>
        </w:rPr>
        <w:t>自本授权委托书签署之日起至磋商有效期结束为止。</w:t>
      </w:r>
    </w:p>
    <w:p w14:paraId="2D49429B">
      <w:pPr>
        <w:spacing w:line="440" w:lineRule="exact"/>
        <w:ind w:firstLine="480" w:firstLineChars="200"/>
        <w:rPr>
          <w:rStyle w:val="54"/>
          <w:rFonts w:ascii="宋体" w:hAnsi="宋体" w:cs="宋体"/>
          <w:sz w:val="24"/>
        </w:rPr>
      </w:pPr>
      <w:r>
        <w:rPr>
          <w:rStyle w:val="54"/>
          <w:rFonts w:hint="eastAsia" w:ascii="宋体" w:hAnsi="宋体" w:cs="宋体"/>
          <w:sz w:val="24"/>
        </w:rPr>
        <w:t>代理人无转委托权，特此证明。</w:t>
      </w:r>
    </w:p>
    <w:p w14:paraId="6E8D0395">
      <w:pPr>
        <w:spacing w:line="440" w:lineRule="exact"/>
        <w:ind w:firstLine="480" w:firstLineChars="200"/>
        <w:rPr>
          <w:rStyle w:val="54"/>
          <w:rFonts w:ascii="宋体" w:hAnsi="宋体" w:cs="宋体"/>
          <w:sz w:val="24"/>
        </w:rPr>
      </w:pPr>
      <w:r>
        <w:rPr>
          <w:rStyle w:val="54"/>
          <w:rFonts w:hint="eastAsia" w:ascii="宋体" w:hAnsi="宋体" w:cs="宋体"/>
          <w:sz w:val="24"/>
        </w:rPr>
        <w:t>附：法定代表人身份证复印件</w:t>
      </w:r>
    </w:p>
    <w:p w14:paraId="32CF4BB6">
      <w:pPr>
        <w:spacing w:line="600" w:lineRule="exact"/>
        <w:ind w:firstLine="2700" w:firstLineChars="1125"/>
        <w:rPr>
          <w:rStyle w:val="54"/>
          <w:rFonts w:ascii="宋体" w:hAnsi="宋体" w:cs="宋体"/>
          <w:sz w:val="24"/>
        </w:rPr>
      </w:pPr>
    </w:p>
    <w:p w14:paraId="55986433">
      <w:pPr>
        <w:spacing w:line="600" w:lineRule="exact"/>
        <w:ind w:firstLine="1200" w:firstLineChars="500"/>
        <w:rPr>
          <w:rStyle w:val="54"/>
          <w:rFonts w:ascii="宋体" w:hAnsi="宋体" w:cs="宋体"/>
          <w:sz w:val="24"/>
        </w:rPr>
      </w:pPr>
      <w:r>
        <w:rPr>
          <w:rStyle w:val="54"/>
          <w:rFonts w:hint="eastAsia" w:ascii="宋体" w:hAnsi="宋体" w:cs="宋体"/>
          <w:sz w:val="24"/>
        </w:rPr>
        <w:t>供  应  商：</w:t>
      </w:r>
      <w:r>
        <w:rPr>
          <w:rStyle w:val="54"/>
          <w:rFonts w:hint="eastAsia" w:ascii="宋体" w:hAnsi="宋体" w:cs="宋体"/>
          <w:sz w:val="24"/>
          <w:u w:val="single" w:color="000000"/>
        </w:rPr>
        <w:t xml:space="preserve">                        </w:t>
      </w:r>
      <w:r>
        <w:rPr>
          <w:rStyle w:val="54"/>
          <w:rFonts w:hint="eastAsia" w:ascii="宋体" w:hAnsi="宋体" w:cs="宋体"/>
          <w:sz w:val="24"/>
        </w:rPr>
        <w:t>（电子印章）</w:t>
      </w:r>
    </w:p>
    <w:p w14:paraId="5248E59F">
      <w:pPr>
        <w:spacing w:line="600" w:lineRule="exact"/>
        <w:ind w:firstLine="1200" w:firstLineChars="500"/>
        <w:rPr>
          <w:rStyle w:val="54"/>
          <w:rFonts w:ascii="宋体" w:hAnsi="宋体" w:cs="宋体"/>
          <w:sz w:val="24"/>
        </w:rPr>
      </w:pPr>
      <w:r>
        <w:rPr>
          <w:rStyle w:val="54"/>
          <w:rFonts w:hint="eastAsia" w:ascii="宋体" w:hAnsi="宋体" w:cs="宋体"/>
          <w:sz w:val="24"/>
        </w:rPr>
        <w:t>法定代表人：</w:t>
      </w:r>
      <w:r>
        <w:rPr>
          <w:rStyle w:val="54"/>
          <w:rFonts w:hint="eastAsia" w:ascii="宋体" w:hAnsi="宋体" w:cs="宋体"/>
          <w:sz w:val="24"/>
          <w:u w:val="single" w:color="000000"/>
        </w:rPr>
        <w:t xml:space="preserve">                            </w:t>
      </w:r>
      <w:r>
        <w:rPr>
          <w:rStyle w:val="54"/>
          <w:rFonts w:hint="eastAsia" w:ascii="宋体" w:hAnsi="宋体" w:cs="宋体"/>
          <w:sz w:val="24"/>
        </w:rPr>
        <w:t>（电子签章）</w:t>
      </w:r>
    </w:p>
    <w:p w14:paraId="519DF095">
      <w:pPr>
        <w:spacing w:line="600" w:lineRule="exact"/>
        <w:ind w:firstLine="1200" w:firstLineChars="500"/>
        <w:rPr>
          <w:rStyle w:val="54"/>
          <w:rFonts w:ascii="宋体" w:hAnsi="宋体" w:cs="宋体"/>
          <w:sz w:val="24"/>
          <w:u w:val="single"/>
        </w:rPr>
      </w:pPr>
      <w:r>
        <w:rPr>
          <w:rStyle w:val="54"/>
          <w:rFonts w:hint="eastAsia" w:ascii="宋体" w:hAnsi="宋体" w:cs="宋体"/>
          <w:sz w:val="24"/>
        </w:rPr>
        <w:t>身份证号码：</w:t>
      </w:r>
      <w:r>
        <w:rPr>
          <w:rStyle w:val="54"/>
          <w:rFonts w:hint="eastAsia" w:ascii="宋体" w:hAnsi="宋体" w:cs="宋体"/>
          <w:sz w:val="24"/>
          <w:u w:val="single" w:color="000000"/>
        </w:rPr>
        <w:t xml:space="preserve">                        </w:t>
      </w:r>
    </w:p>
    <w:p w14:paraId="33236C94">
      <w:pPr>
        <w:spacing w:line="440" w:lineRule="exact"/>
        <w:ind w:firstLine="2520" w:firstLineChars="1050"/>
        <w:rPr>
          <w:rStyle w:val="54"/>
          <w:rFonts w:ascii="宋体" w:hAnsi="宋体" w:cs="宋体"/>
          <w:sz w:val="24"/>
          <w:u w:val="single"/>
        </w:rPr>
      </w:pPr>
    </w:p>
    <w:p w14:paraId="71094B8B">
      <w:pPr>
        <w:spacing w:line="440" w:lineRule="exact"/>
        <w:ind w:firstLine="4200" w:firstLineChars="1750"/>
        <w:rPr>
          <w:rStyle w:val="54"/>
          <w:rFonts w:ascii="宋体" w:hAnsi="宋体" w:cs="宋体"/>
          <w:sz w:val="24"/>
        </w:rPr>
      </w:pPr>
      <w:r>
        <w:rPr>
          <w:rStyle w:val="54"/>
          <w:rFonts w:hint="eastAsia" w:ascii="宋体" w:hAnsi="宋体" w:cs="宋体"/>
          <w:sz w:val="24"/>
          <w:u w:val="single" w:color="000000"/>
        </w:rPr>
        <w:t xml:space="preserve">        </w:t>
      </w:r>
      <w:r>
        <w:rPr>
          <w:rStyle w:val="54"/>
          <w:rFonts w:hint="eastAsia" w:ascii="宋体" w:hAnsi="宋体" w:cs="宋体"/>
          <w:sz w:val="24"/>
        </w:rPr>
        <w:t>年</w:t>
      </w:r>
      <w:r>
        <w:rPr>
          <w:rStyle w:val="54"/>
          <w:rFonts w:hint="eastAsia" w:ascii="宋体" w:hAnsi="宋体" w:cs="宋体"/>
          <w:sz w:val="24"/>
          <w:u w:val="single" w:color="000000"/>
        </w:rPr>
        <w:t xml:space="preserve">       </w:t>
      </w:r>
      <w:r>
        <w:rPr>
          <w:rStyle w:val="54"/>
          <w:rFonts w:hint="eastAsia" w:ascii="宋体" w:hAnsi="宋体" w:cs="宋体"/>
          <w:sz w:val="24"/>
        </w:rPr>
        <w:t>月</w:t>
      </w:r>
      <w:r>
        <w:rPr>
          <w:rStyle w:val="54"/>
          <w:rFonts w:hint="eastAsia" w:ascii="宋体" w:hAnsi="宋体" w:cs="宋体"/>
          <w:sz w:val="24"/>
          <w:u w:val="single" w:color="000000"/>
        </w:rPr>
        <w:t xml:space="preserve">       </w:t>
      </w:r>
      <w:r>
        <w:rPr>
          <w:rStyle w:val="54"/>
          <w:rFonts w:hint="eastAsia" w:ascii="宋体" w:hAnsi="宋体" w:cs="宋体"/>
          <w:sz w:val="24"/>
        </w:rPr>
        <w:t>日</w:t>
      </w:r>
    </w:p>
    <w:p w14:paraId="0CA41546">
      <w:pPr>
        <w:spacing w:line="360" w:lineRule="auto"/>
        <w:jc w:val="center"/>
        <w:rPr>
          <w:rStyle w:val="54"/>
          <w:rFonts w:ascii="宋体" w:hAnsi="宋体" w:cs="宋体"/>
          <w:sz w:val="20"/>
          <w:szCs w:val="21"/>
        </w:rPr>
      </w:pPr>
    </w:p>
    <w:tbl>
      <w:tblPr>
        <w:tblStyle w:val="28"/>
        <w:tblW w:w="9620"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4810"/>
        <w:gridCol w:w="4810"/>
      </w:tblGrid>
      <w:tr w14:paraId="2A910A5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129" w:hRule="atLeast"/>
          <w:jc w:val="center"/>
        </w:trPr>
        <w:tc>
          <w:tcPr>
            <w:tcW w:w="4810" w:type="dxa"/>
            <w:tcBorders>
              <w:top w:val="single" w:color="000000" w:sz="12" w:space="0"/>
              <w:left w:val="single" w:color="000000" w:sz="12" w:space="0"/>
              <w:bottom w:val="single" w:color="000000" w:sz="12" w:space="0"/>
              <w:right w:val="single" w:color="000000" w:sz="6" w:space="0"/>
            </w:tcBorders>
            <w:vAlign w:val="center"/>
          </w:tcPr>
          <w:p w14:paraId="0DD0E8FD">
            <w:pPr>
              <w:spacing w:line="440" w:lineRule="exact"/>
              <w:jc w:val="center"/>
              <w:rPr>
                <w:rStyle w:val="54"/>
                <w:rFonts w:ascii="宋体" w:hAnsi="宋体" w:cs="宋体"/>
                <w:sz w:val="20"/>
                <w:szCs w:val="21"/>
              </w:rPr>
            </w:pPr>
            <w:r>
              <w:rPr>
                <w:rStyle w:val="54"/>
                <w:rFonts w:hint="eastAsia" w:ascii="宋体" w:hAnsi="宋体" w:cs="宋体"/>
                <w:szCs w:val="21"/>
              </w:rPr>
              <w:t>法定代表人身份证复印件</w:t>
            </w:r>
          </w:p>
        </w:tc>
        <w:tc>
          <w:tcPr>
            <w:tcW w:w="4810" w:type="dxa"/>
            <w:tcBorders>
              <w:top w:val="single" w:color="000000" w:sz="12" w:space="0"/>
              <w:left w:val="single" w:color="000000" w:sz="6" w:space="0"/>
              <w:bottom w:val="single" w:color="000000" w:sz="12" w:space="0"/>
              <w:right w:val="single" w:color="000000" w:sz="12" w:space="0"/>
            </w:tcBorders>
            <w:vAlign w:val="center"/>
          </w:tcPr>
          <w:p w14:paraId="2286DB1F">
            <w:pPr>
              <w:spacing w:line="440" w:lineRule="exact"/>
              <w:jc w:val="center"/>
              <w:rPr>
                <w:rStyle w:val="54"/>
                <w:rFonts w:ascii="宋体" w:hAnsi="宋体" w:cs="宋体"/>
                <w:sz w:val="20"/>
                <w:szCs w:val="21"/>
              </w:rPr>
            </w:pPr>
            <w:r>
              <w:rPr>
                <w:rStyle w:val="54"/>
                <w:rFonts w:hint="eastAsia" w:ascii="宋体" w:hAnsi="宋体" w:cs="宋体"/>
                <w:szCs w:val="21"/>
              </w:rPr>
              <w:t>委托代理人身份证复印件</w:t>
            </w:r>
          </w:p>
        </w:tc>
      </w:tr>
    </w:tbl>
    <w:p w14:paraId="19471396">
      <w:pPr>
        <w:spacing w:line="360" w:lineRule="auto"/>
        <w:jc w:val="center"/>
        <w:rPr>
          <w:rStyle w:val="54"/>
          <w:rFonts w:ascii="宋体" w:hAnsi="宋体" w:cs="宋体"/>
          <w:sz w:val="20"/>
          <w:szCs w:val="21"/>
        </w:rPr>
      </w:pPr>
    </w:p>
    <w:p w14:paraId="56C722C1">
      <w:pPr>
        <w:spacing w:line="360" w:lineRule="auto"/>
        <w:jc w:val="center"/>
        <w:rPr>
          <w:rStyle w:val="54"/>
          <w:rFonts w:ascii="宋体" w:hAnsi="宋体" w:cs="宋体"/>
          <w:sz w:val="20"/>
          <w:szCs w:val="21"/>
        </w:rPr>
      </w:pPr>
    </w:p>
    <w:p w14:paraId="308D27F9">
      <w:pPr>
        <w:rPr>
          <w:rStyle w:val="54"/>
          <w:rFonts w:ascii="宋体" w:hAnsi="宋体" w:cs="宋体"/>
          <w:sz w:val="20"/>
          <w:szCs w:val="21"/>
        </w:rPr>
      </w:pPr>
      <w:r>
        <w:rPr>
          <w:rStyle w:val="54"/>
          <w:rFonts w:hint="eastAsia" w:ascii="宋体" w:hAnsi="宋体" w:cs="宋体"/>
          <w:sz w:val="20"/>
          <w:szCs w:val="21"/>
        </w:rPr>
        <w:br w:type="page"/>
      </w:r>
    </w:p>
    <w:p w14:paraId="460C7563">
      <w:pPr>
        <w:pStyle w:val="2"/>
      </w:pPr>
      <w:bookmarkStart w:id="132" w:name="_Toc8199"/>
      <w:r>
        <w:rPr>
          <w:rFonts w:hint="eastAsia"/>
        </w:rPr>
        <w:t>五、分项报价表</w:t>
      </w:r>
      <w:bookmarkEnd w:id="132"/>
    </w:p>
    <w:p w14:paraId="67002D0E">
      <w:pPr>
        <w:wordWrap w:val="0"/>
        <w:autoSpaceDE w:val="0"/>
        <w:autoSpaceDN w:val="0"/>
        <w:spacing w:line="600" w:lineRule="auto"/>
        <w:ind w:firstLine="480"/>
        <w:rPr>
          <w:rFonts w:cs="仿宋" w:asciiTheme="minorEastAsia" w:hAnsiTheme="minorEastAsia" w:eastAsiaTheme="minorEastAsia"/>
          <w:sz w:val="24"/>
          <w:u w:val="single"/>
        </w:rPr>
      </w:pPr>
      <w:r>
        <w:rPr>
          <w:rFonts w:hint="eastAsia" w:cs="仿宋" w:asciiTheme="minorEastAsia" w:hAnsiTheme="minorEastAsia" w:eastAsiaTheme="minorEastAsia"/>
          <w:bCs/>
          <w:sz w:val="24"/>
        </w:rPr>
        <w:t>项目名称：</w:t>
      </w:r>
      <w:r>
        <w:rPr>
          <w:rFonts w:hint="eastAsia" w:cs="仿宋" w:asciiTheme="minorEastAsia" w:hAnsiTheme="minorEastAsia" w:eastAsiaTheme="minorEastAsia"/>
          <w:bCs/>
          <w:sz w:val="24"/>
          <w:u w:val="single"/>
        </w:rPr>
        <w:t xml:space="preserve">         </w:t>
      </w:r>
      <w:r>
        <w:rPr>
          <w:rFonts w:hint="eastAsia" w:cs="仿宋" w:asciiTheme="minorEastAsia" w:hAnsiTheme="minorEastAsia" w:eastAsiaTheme="minorEastAsia"/>
          <w:sz w:val="24"/>
          <w:u w:val="single"/>
        </w:rPr>
        <w:t>（项目名称）</w:t>
      </w:r>
      <w:r>
        <w:rPr>
          <w:rFonts w:hint="eastAsia" w:cs="仿宋" w:asciiTheme="minorEastAsia" w:hAnsiTheme="minorEastAsia" w:eastAsiaTheme="minorEastAsia"/>
          <w:bCs/>
          <w:sz w:val="24"/>
          <w:u w:val="single"/>
        </w:rPr>
        <w:t xml:space="preserve">         </w:t>
      </w:r>
      <w:r>
        <w:rPr>
          <w:rFonts w:hint="eastAsia" w:cs="仿宋" w:asciiTheme="minorEastAsia" w:hAnsiTheme="minorEastAsia" w:eastAsiaTheme="minorEastAsia"/>
          <w:bCs/>
          <w:sz w:val="24"/>
        </w:rPr>
        <w:t xml:space="preserve">                         </w:t>
      </w:r>
      <w:r>
        <w:rPr>
          <w:rFonts w:hint="eastAsia" w:cs="仿宋" w:asciiTheme="minorEastAsia" w:hAnsiTheme="minorEastAsia" w:eastAsiaTheme="minorEastAsia"/>
          <w:sz w:val="24"/>
        </w:rPr>
        <w:t>单位：元</w:t>
      </w:r>
    </w:p>
    <w:tbl>
      <w:tblPr>
        <w:tblStyle w:val="28"/>
        <w:tblW w:w="101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4330"/>
        <w:gridCol w:w="900"/>
        <w:gridCol w:w="750"/>
        <w:gridCol w:w="1966"/>
        <w:gridCol w:w="1437"/>
      </w:tblGrid>
      <w:tr w14:paraId="17F3F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68" w:type="dxa"/>
            <w:vAlign w:val="center"/>
          </w:tcPr>
          <w:p w14:paraId="0CCD66FA">
            <w:pPr>
              <w:widowControl w:val="0"/>
              <w:spacing w:line="360" w:lineRule="auto"/>
              <w:jc w:val="center"/>
              <w:textAlignment w:val="auto"/>
              <w:rPr>
                <w:rFonts w:cs="仿宋" w:asciiTheme="minorEastAsia" w:hAnsiTheme="minorEastAsia" w:eastAsiaTheme="minorEastAsia"/>
                <w:b/>
                <w:bCs/>
                <w:sz w:val="24"/>
              </w:rPr>
            </w:pPr>
            <w:r>
              <w:rPr>
                <w:rFonts w:hint="eastAsia" w:cs="仿宋" w:asciiTheme="minorEastAsia" w:hAnsiTheme="minorEastAsia" w:eastAsiaTheme="minorEastAsia"/>
                <w:b/>
                <w:bCs/>
                <w:sz w:val="24"/>
              </w:rPr>
              <w:t>序号</w:t>
            </w:r>
          </w:p>
        </w:tc>
        <w:tc>
          <w:tcPr>
            <w:tcW w:w="4330" w:type="dxa"/>
            <w:vAlign w:val="center"/>
          </w:tcPr>
          <w:p w14:paraId="3EF44615">
            <w:pPr>
              <w:widowControl w:val="0"/>
              <w:spacing w:line="360" w:lineRule="auto"/>
              <w:jc w:val="center"/>
              <w:textAlignment w:val="auto"/>
              <w:rPr>
                <w:rFonts w:cs="仿宋" w:asciiTheme="minorEastAsia" w:hAnsiTheme="minorEastAsia" w:eastAsiaTheme="minorEastAsia"/>
                <w:b/>
                <w:bCs/>
                <w:sz w:val="24"/>
              </w:rPr>
            </w:pPr>
            <w:r>
              <w:rPr>
                <w:rFonts w:hint="eastAsia" w:cs="仿宋" w:asciiTheme="minorEastAsia" w:hAnsiTheme="minorEastAsia" w:eastAsiaTheme="minorEastAsia"/>
                <w:b/>
                <w:bCs/>
                <w:sz w:val="24"/>
              </w:rPr>
              <w:t>名称</w:t>
            </w:r>
          </w:p>
        </w:tc>
        <w:tc>
          <w:tcPr>
            <w:tcW w:w="900" w:type="dxa"/>
            <w:vAlign w:val="center"/>
          </w:tcPr>
          <w:p w14:paraId="3C31757C">
            <w:pPr>
              <w:widowControl w:val="0"/>
              <w:spacing w:line="360" w:lineRule="auto"/>
              <w:jc w:val="center"/>
              <w:textAlignment w:val="auto"/>
              <w:rPr>
                <w:rFonts w:cs="仿宋" w:asciiTheme="minorEastAsia" w:hAnsiTheme="minorEastAsia" w:eastAsiaTheme="minorEastAsia"/>
                <w:b/>
                <w:bCs/>
                <w:sz w:val="24"/>
              </w:rPr>
            </w:pPr>
            <w:r>
              <w:rPr>
                <w:rFonts w:hint="eastAsia" w:cs="仿宋" w:asciiTheme="minorEastAsia" w:hAnsiTheme="minorEastAsia" w:eastAsiaTheme="minorEastAsia"/>
                <w:b/>
                <w:bCs/>
                <w:sz w:val="24"/>
              </w:rPr>
              <w:t>单位</w:t>
            </w:r>
          </w:p>
        </w:tc>
        <w:tc>
          <w:tcPr>
            <w:tcW w:w="750" w:type="dxa"/>
            <w:vAlign w:val="center"/>
          </w:tcPr>
          <w:p w14:paraId="5074F86D">
            <w:pPr>
              <w:widowControl w:val="0"/>
              <w:spacing w:line="360" w:lineRule="auto"/>
              <w:jc w:val="center"/>
              <w:textAlignment w:val="auto"/>
              <w:rPr>
                <w:rFonts w:cs="仿宋" w:asciiTheme="minorEastAsia" w:hAnsiTheme="minorEastAsia" w:eastAsiaTheme="minorEastAsia"/>
                <w:b/>
                <w:bCs/>
                <w:sz w:val="24"/>
              </w:rPr>
            </w:pPr>
            <w:r>
              <w:rPr>
                <w:rFonts w:hint="eastAsia" w:cs="仿宋" w:asciiTheme="minorEastAsia" w:hAnsiTheme="minorEastAsia" w:eastAsiaTheme="minorEastAsia"/>
                <w:b/>
                <w:bCs/>
                <w:sz w:val="24"/>
              </w:rPr>
              <w:t>数量</w:t>
            </w:r>
          </w:p>
        </w:tc>
        <w:tc>
          <w:tcPr>
            <w:tcW w:w="1965" w:type="dxa"/>
            <w:vAlign w:val="center"/>
          </w:tcPr>
          <w:p w14:paraId="326B5A65">
            <w:pPr>
              <w:widowControl w:val="0"/>
              <w:spacing w:line="360" w:lineRule="auto"/>
              <w:jc w:val="center"/>
              <w:textAlignment w:val="auto"/>
              <w:rPr>
                <w:rFonts w:cs="仿宋" w:asciiTheme="minorEastAsia" w:hAnsiTheme="minorEastAsia" w:eastAsiaTheme="minorEastAsia"/>
                <w:b/>
                <w:bCs/>
                <w:sz w:val="24"/>
              </w:rPr>
            </w:pPr>
            <w:r>
              <w:rPr>
                <w:rFonts w:hint="eastAsia" w:cs="仿宋" w:asciiTheme="minorEastAsia" w:hAnsiTheme="minorEastAsia" w:eastAsiaTheme="minorEastAsia"/>
                <w:b/>
                <w:bCs/>
                <w:sz w:val="24"/>
              </w:rPr>
              <w:t>单价（元/年）</w:t>
            </w:r>
          </w:p>
        </w:tc>
        <w:tc>
          <w:tcPr>
            <w:tcW w:w="1437" w:type="dxa"/>
            <w:vAlign w:val="center"/>
          </w:tcPr>
          <w:p w14:paraId="5B77A4A3">
            <w:pPr>
              <w:widowControl w:val="0"/>
              <w:spacing w:line="360" w:lineRule="auto"/>
              <w:jc w:val="center"/>
              <w:textAlignment w:val="auto"/>
              <w:rPr>
                <w:rFonts w:cs="仿宋" w:asciiTheme="minorEastAsia" w:hAnsiTheme="minorEastAsia" w:eastAsiaTheme="minorEastAsia"/>
                <w:b/>
                <w:bCs/>
                <w:sz w:val="24"/>
              </w:rPr>
            </w:pPr>
            <w:r>
              <w:rPr>
                <w:rFonts w:hint="eastAsia" w:cs="仿宋" w:asciiTheme="minorEastAsia" w:hAnsiTheme="minorEastAsia" w:eastAsiaTheme="minorEastAsia"/>
                <w:b/>
                <w:bCs/>
                <w:sz w:val="24"/>
              </w:rPr>
              <w:t>合价（元）</w:t>
            </w:r>
          </w:p>
        </w:tc>
      </w:tr>
      <w:tr w14:paraId="04F3C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dxa"/>
            <w:vAlign w:val="center"/>
          </w:tcPr>
          <w:p w14:paraId="05D06417">
            <w:pPr>
              <w:spacing w:line="360" w:lineRule="auto"/>
              <w:jc w:val="center"/>
              <w:rPr>
                <w:rFonts w:cs="仿宋" w:asciiTheme="minorEastAsia" w:hAnsiTheme="minorEastAsia" w:eastAsiaTheme="minorEastAsia"/>
                <w:sz w:val="24"/>
                <w:lang w:val="zh-CN"/>
              </w:rPr>
            </w:pPr>
            <w:r>
              <w:rPr>
                <w:rFonts w:hint="eastAsia" w:cs="仿宋" w:asciiTheme="minorEastAsia" w:hAnsiTheme="minorEastAsia" w:eastAsiaTheme="minorEastAsia"/>
                <w:color w:val="000000"/>
                <w:sz w:val="24"/>
              </w:rPr>
              <w:t>1</w:t>
            </w:r>
          </w:p>
        </w:tc>
        <w:tc>
          <w:tcPr>
            <w:tcW w:w="4330" w:type="dxa"/>
            <w:vAlign w:val="center"/>
          </w:tcPr>
          <w:p w14:paraId="269C897E">
            <w:pPr>
              <w:spacing w:line="360" w:lineRule="auto"/>
              <w:rPr>
                <w:rFonts w:cs="仿宋" w:asciiTheme="minorEastAsia" w:hAnsiTheme="minorEastAsia" w:eastAsiaTheme="minorEastAsia"/>
                <w:color w:val="000000"/>
                <w:sz w:val="24"/>
                <w:lang w:val="zh-CN"/>
              </w:rPr>
            </w:pPr>
            <w:r>
              <w:rPr>
                <w:rFonts w:hint="eastAsia" w:cs="宋体" w:asciiTheme="minorEastAsia" w:hAnsiTheme="minorEastAsia" w:eastAsiaTheme="minorEastAsia"/>
                <w:color w:val="000000"/>
                <w:szCs w:val="21"/>
              </w:rPr>
              <w:t>政务外网机房环境及使用服务</w:t>
            </w:r>
          </w:p>
        </w:tc>
        <w:tc>
          <w:tcPr>
            <w:tcW w:w="900" w:type="dxa"/>
            <w:vAlign w:val="center"/>
          </w:tcPr>
          <w:p w14:paraId="5E537705">
            <w:pPr>
              <w:widowControl w:val="0"/>
              <w:spacing w:line="360" w:lineRule="auto"/>
              <w:jc w:val="center"/>
              <w:textAlignment w:val="auto"/>
              <w:rPr>
                <w:rFonts w:cs="仿宋" w:asciiTheme="minorEastAsia" w:hAnsiTheme="minorEastAsia" w:eastAsiaTheme="minorEastAsia"/>
                <w:color w:val="000000"/>
                <w:sz w:val="24"/>
              </w:rPr>
            </w:pPr>
            <w:r>
              <w:rPr>
                <w:rFonts w:hint="eastAsia" w:cs="仿宋" w:asciiTheme="minorEastAsia" w:hAnsiTheme="minorEastAsia" w:eastAsiaTheme="minorEastAsia"/>
                <w:color w:val="000000"/>
                <w:sz w:val="24"/>
              </w:rPr>
              <w:t>年</w:t>
            </w:r>
          </w:p>
        </w:tc>
        <w:tc>
          <w:tcPr>
            <w:tcW w:w="750" w:type="dxa"/>
            <w:vAlign w:val="center"/>
          </w:tcPr>
          <w:p w14:paraId="4309E943">
            <w:pPr>
              <w:spacing w:line="360" w:lineRule="auto"/>
              <w:jc w:val="center"/>
              <w:rPr>
                <w:rFonts w:cs="仿宋" w:asciiTheme="minorEastAsia" w:hAnsiTheme="minorEastAsia" w:eastAsiaTheme="minorEastAsia"/>
                <w:color w:val="000000"/>
                <w:sz w:val="24"/>
                <w:lang w:val="zh-CN"/>
              </w:rPr>
            </w:pPr>
            <w:r>
              <w:rPr>
                <w:rFonts w:hint="eastAsia" w:cs="仿宋" w:asciiTheme="minorEastAsia" w:hAnsiTheme="minorEastAsia" w:eastAsiaTheme="minorEastAsia"/>
                <w:color w:val="000000"/>
                <w:sz w:val="24"/>
                <w:lang w:val="zh-CN"/>
              </w:rPr>
              <w:t>1</w:t>
            </w:r>
          </w:p>
        </w:tc>
        <w:tc>
          <w:tcPr>
            <w:tcW w:w="1965" w:type="dxa"/>
            <w:vAlign w:val="center"/>
          </w:tcPr>
          <w:p w14:paraId="6E467F23">
            <w:pPr>
              <w:widowControl w:val="0"/>
              <w:spacing w:line="360" w:lineRule="auto"/>
              <w:jc w:val="center"/>
              <w:textAlignment w:val="auto"/>
              <w:rPr>
                <w:rFonts w:cs="仿宋" w:asciiTheme="minorEastAsia" w:hAnsiTheme="minorEastAsia" w:eastAsiaTheme="minorEastAsia"/>
                <w:b/>
                <w:bCs/>
                <w:sz w:val="24"/>
              </w:rPr>
            </w:pPr>
          </w:p>
        </w:tc>
        <w:tc>
          <w:tcPr>
            <w:tcW w:w="1437" w:type="dxa"/>
            <w:vAlign w:val="center"/>
          </w:tcPr>
          <w:p w14:paraId="21884CB7">
            <w:pPr>
              <w:widowControl w:val="0"/>
              <w:spacing w:line="360" w:lineRule="auto"/>
              <w:jc w:val="center"/>
              <w:textAlignment w:val="auto"/>
              <w:rPr>
                <w:rFonts w:cs="仿宋" w:asciiTheme="minorEastAsia" w:hAnsiTheme="minorEastAsia" w:eastAsiaTheme="minorEastAsia"/>
                <w:b/>
                <w:bCs/>
                <w:sz w:val="24"/>
              </w:rPr>
            </w:pPr>
          </w:p>
        </w:tc>
      </w:tr>
      <w:tr w14:paraId="286F9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dxa"/>
            <w:vAlign w:val="center"/>
          </w:tcPr>
          <w:p w14:paraId="17B1DE55">
            <w:pPr>
              <w:spacing w:line="360" w:lineRule="auto"/>
              <w:jc w:val="center"/>
              <w:rPr>
                <w:rFonts w:cs="仿宋" w:asciiTheme="minorEastAsia" w:hAnsiTheme="minorEastAsia" w:eastAsiaTheme="minorEastAsia"/>
                <w:sz w:val="24"/>
                <w:lang w:val="zh-CN"/>
              </w:rPr>
            </w:pPr>
            <w:r>
              <w:rPr>
                <w:rFonts w:hint="eastAsia" w:cs="仿宋" w:asciiTheme="minorEastAsia" w:hAnsiTheme="minorEastAsia" w:eastAsiaTheme="minorEastAsia"/>
                <w:sz w:val="24"/>
              </w:rPr>
              <w:t>2</w:t>
            </w:r>
          </w:p>
        </w:tc>
        <w:tc>
          <w:tcPr>
            <w:tcW w:w="4330" w:type="dxa"/>
            <w:vAlign w:val="center"/>
          </w:tcPr>
          <w:p w14:paraId="1DAB13CF">
            <w:pPr>
              <w:spacing w:line="360" w:lineRule="auto"/>
              <w:rPr>
                <w:rFonts w:cs="仿宋" w:asciiTheme="minorEastAsia" w:hAnsiTheme="minorEastAsia" w:eastAsiaTheme="minorEastAsia"/>
                <w:color w:val="000000"/>
                <w:sz w:val="24"/>
                <w:lang w:val="zh-CN"/>
              </w:rPr>
            </w:pPr>
            <w:r>
              <w:rPr>
                <w:rFonts w:hint="eastAsia" w:cs="宋体" w:asciiTheme="minorEastAsia" w:hAnsiTheme="minorEastAsia" w:eastAsiaTheme="minorEastAsia"/>
                <w:color w:val="000000"/>
                <w:szCs w:val="21"/>
              </w:rPr>
              <w:t>政务外网通信中心网络和安全服务</w:t>
            </w:r>
          </w:p>
        </w:tc>
        <w:tc>
          <w:tcPr>
            <w:tcW w:w="900" w:type="dxa"/>
          </w:tcPr>
          <w:p w14:paraId="4723B721">
            <w:pPr>
              <w:widowControl w:val="0"/>
              <w:spacing w:line="360" w:lineRule="auto"/>
              <w:jc w:val="center"/>
              <w:textAlignment w:val="auto"/>
              <w:rPr>
                <w:rFonts w:cs="仿宋" w:asciiTheme="minorEastAsia" w:hAnsiTheme="minorEastAsia" w:eastAsiaTheme="minorEastAsia"/>
                <w:color w:val="000000"/>
                <w:sz w:val="24"/>
                <w:lang w:val="zh-CN"/>
              </w:rPr>
            </w:pPr>
            <w:r>
              <w:rPr>
                <w:rFonts w:hint="eastAsia" w:cs="仿宋" w:asciiTheme="minorEastAsia" w:hAnsiTheme="minorEastAsia" w:eastAsiaTheme="minorEastAsia"/>
                <w:color w:val="000000"/>
                <w:sz w:val="24"/>
              </w:rPr>
              <w:t>年</w:t>
            </w:r>
          </w:p>
        </w:tc>
        <w:tc>
          <w:tcPr>
            <w:tcW w:w="750" w:type="dxa"/>
            <w:vAlign w:val="center"/>
          </w:tcPr>
          <w:p w14:paraId="4035390A">
            <w:pPr>
              <w:spacing w:line="360" w:lineRule="auto"/>
              <w:jc w:val="center"/>
              <w:rPr>
                <w:rFonts w:cs="仿宋" w:asciiTheme="minorEastAsia" w:hAnsiTheme="minorEastAsia" w:eastAsiaTheme="minorEastAsia"/>
                <w:color w:val="000000"/>
                <w:sz w:val="24"/>
                <w:lang w:val="zh-CN"/>
              </w:rPr>
            </w:pPr>
            <w:r>
              <w:rPr>
                <w:rFonts w:hint="eastAsia" w:cs="仿宋" w:asciiTheme="minorEastAsia" w:hAnsiTheme="minorEastAsia" w:eastAsiaTheme="minorEastAsia"/>
                <w:color w:val="000000"/>
                <w:sz w:val="24"/>
                <w:lang w:val="zh-CN"/>
              </w:rPr>
              <w:t>1</w:t>
            </w:r>
          </w:p>
        </w:tc>
        <w:tc>
          <w:tcPr>
            <w:tcW w:w="1965" w:type="dxa"/>
            <w:vAlign w:val="center"/>
          </w:tcPr>
          <w:p w14:paraId="54DA1C7C">
            <w:pPr>
              <w:widowControl w:val="0"/>
              <w:spacing w:line="360" w:lineRule="auto"/>
              <w:jc w:val="center"/>
              <w:textAlignment w:val="auto"/>
              <w:rPr>
                <w:rFonts w:cs="仿宋" w:asciiTheme="minorEastAsia" w:hAnsiTheme="minorEastAsia" w:eastAsiaTheme="minorEastAsia"/>
                <w:b/>
                <w:bCs/>
                <w:sz w:val="24"/>
              </w:rPr>
            </w:pPr>
          </w:p>
        </w:tc>
        <w:tc>
          <w:tcPr>
            <w:tcW w:w="1437" w:type="dxa"/>
            <w:vAlign w:val="center"/>
          </w:tcPr>
          <w:p w14:paraId="4E839172">
            <w:pPr>
              <w:widowControl w:val="0"/>
              <w:spacing w:line="360" w:lineRule="auto"/>
              <w:jc w:val="center"/>
              <w:textAlignment w:val="auto"/>
              <w:rPr>
                <w:rFonts w:cs="仿宋" w:asciiTheme="minorEastAsia" w:hAnsiTheme="minorEastAsia" w:eastAsiaTheme="minorEastAsia"/>
                <w:b/>
                <w:bCs/>
                <w:sz w:val="24"/>
              </w:rPr>
            </w:pPr>
          </w:p>
        </w:tc>
      </w:tr>
      <w:tr w14:paraId="31B37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dxa"/>
            <w:vAlign w:val="center"/>
          </w:tcPr>
          <w:p w14:paraId="5C37A1E1">
            <w:pPr>
              <w:spacing w:line="360" w:lineRule="auto"/>
              <w:jc w:val="center"/>
              <w:rPr>
                <w:rFonts w:cs="仿宋" w:asciiTheme="minorEastAsia" w:hAnsiTheme="minorEastAsia" w:eastAsiaTheme="minorEastAsia"/>
                <w:sz w:val="24"/>
                <w:lang w:val="zh-CN"/>
              </w:rPr>
            </w:pPr>
            <w:r>
              <w:rPr>
                <w:rFonts w:hint="eastAsia" w:cs="仿宋" w:asciiTheme="minorEastAsia" w:hAnsiTheme="minorEastAsia" w:eastAsiaTheme="minorEastAsia"/>
                <w:sz w:val="24"/>
              </w:rPr>
              <w:t>3</w:t>
            </w:r>
          </w:p>
        </w:tc>
        <w:tc>
          <w:tcPr>
            <w:tcW w:w="4330" w:type="dxa"/>
            <w:vAlign w:val="center"/>
          </w:tcPr>
          <w:p w14:paraId="5D4A207C">
            <w:pPr>
              <w:spacing w:line="360" w:lineRule="auto"/>
              <w:rPr>
                <w:rFonts w:cs="仿宋" w:asciiTheme="minorEastAsia" w:hAnsiTheme="minorEastAsia" w:eastAsiaTheme="minorEastAsia"/>
                <w:sz w:val="24"/>
                <w:lang w:val="zh-CN"/>
              </w:rPr>
            </w:pPr>
            <w:r>
              <w:rPr>
                <w:rFonts w:hint="eastAsia" w:cs="宋体" w:asciiTheme="minorEastAsia" w:hAnsiTheme="minorEastAsia" w:eastAsiaTheme="minorEastAsia"/>
                <w:color w:val="000000"/>
                <w:szCs w:val="21"/>
              </w:rPr>
              <w:t>政府门户网站群系统服务</w:t>
            </w:r>
          </w:p>
        </w:tc>
        <w:tc>
          <w:tcPr>
            <w:tcW w:w="900" w:type="dxa"/>
          </w:tcPr>
          <w:p w14:paraId="7FCD1686">
            <w:pPr>
              <w:widowControl w:val="0"/>
              <w:spacing w:line="360" w:lineRule="auto"/>
              <w:jc w:val="center"/>
              <w:textAlignment w:val="auto"/>
              <w:rPr>
                <w:rFonts w:cs="仿宋" w:asciiTheme="minorEastAsia" w:hAnsiTheme="minorEastAsia" w:eastAsiaTheme="minorEastAsia"/>
                <w:sz w:val="24"/>
                <w:lang w:val="zh-CN"/>
              </w:rPr>
            </w:pPr>
            <w:r>
              <w:rPr>
                <w:rFonts w:hint="eastAsia" w:cs="仿宋" w:asciiTheme="minorEastAsia" w:hAnsiTheme="minorEastAsia" w:eastAsiaTheme="minorEastAsia"/>
                <w:color w:val="000000"/>
                <w:sz w:val="24"/>
              </w:rPr>
              <w:t>年</w:t>
            </w:r>
          </w:p>
        </w:tc>
        <w:tc>
          <w:tcPr>
            <w:tcW w:w="750" w:type="dxa"/>
            <w:vAlign w:val="center"/>
          </w:tcPr>
          <w:p w14:paraId="79E61EF1">
            <w:pPr>
              <w:spacing w:line="360" w:lineRule="auto"/>
              <w:jc w:val="center"/>
              <w:rPr>
                <w:rFonts w:cs="仿宋" w:asciiTheme="minorEastAsia" w:hAnsiTheme="minorEastAsia" w:eastAsiaTheme="minorEastAsia"/>
                <w:sz w:val="24"/>
                <w:lang w:val="zh-CN"/>
              </w:rPr>
            </w:pPr>
            <w:r>
              <w:rPr>
                <w:rFonts w:hint="eastAsia" w:cs="仿宋" w:asciiTheme="minorEastAsia" w:hAnsiTheme="minorEastAsia" w:eastAsiaTheme="minorEastAsia"/>
                <w:sz w:val="24"/>
                <w:lang w:val="zh-CN"/>
              </w:rPr>
              <w:t>1</w:t>
            </w:r>
          </w:p>
        </w:tc>
        <w:tc>
          <w:tcPr>
            <w:tcW w:w="1965" w:type="dxa"/>
            <w:vAlign w:val="center"/>
          </w:tcPr>
          <w:p w14:paraId="0C3E04F5">
            <w:pPr>
              <w:widowControl w:val="0"/>
              <w:spacing w:line="360" w:lineRule="auto"/>
              <w:jc w:val="center"/>
              <w:textAlignment w:val="auto"/>
              <w:rPr>
                <w:rFonts w:cs="仿宋" w:asciiTheme="minorEastAsia" w:hAnsiTheme="minorEastAsia" w:eastAsiaTheme="minorEastAsia"/>
                <w:b/>
                <w:bCs/>
                <w:sz w:val="24"/>
              </w:rPr>
            </w:pPr>
          </w:p>
        </w:tc>
        <w:tc>
          <w:tcPr>
            <w:tcW w:w="1437" w:type="dxa"/>
            <w:vAlign w:val="center"/>
          </w:tcPr>
          <w:p w14:paraId="4250D2CB">
            <w:pPr>
              <w:widowControl w:val="0"/>
              <w:spacing w:line="360" w:lineRule="auto"/>
              <w:jc w:val="center"/>
              <w:textAlignment w:val="auto"/>
              <w:rPr>
                <w:rFonts w:cs="仿宋" w:asciiTheme="minorEastAsia" w:hAnsiTheme="minorEastAsia" w:eastAsiaTheme="minorEastAsia"/>
                <w:b/>
                <w:bCs/>
                <w:sz w:val="24"/>
              </w:rPr>
            </w:pPr>
          </w:p>
        </w:tc>
      </w:tr>
      <w:tr w14:paraId="47177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dxa"/>
            <w:vAlign w:val="center"/>
          </w:tcPr>
          <w:p w14:paraId="4D708381">
            <w:pPr>
              <w:spacing w:line="360" w:lineRule="auto"/>
              <w:jc w:val="center"/>
              <w:rPr>
                <w:rFonts w:cs="仿宋" w:asciiTheme="minorEastAsia" w:hAnsiTheme="minorEastAsia" w:eastAsiaTheme="minorEastAsia"/>
                <w:sz w:val="24"/>
                <w:lang w:val="zh-CN"/>
              </w:rPr>
            </w:pPr>
            <w:r>
              <w:rPr>
                <w:rFonts w:hint="eastAsia" w:cs="仿宋" w:asciiTheme="minorEastAsia" w:hAnsiTheme="minorEastAsia" w:eastAsiaTheme="minorEastAsia"/>
                <w:sz w:val="24"/>
              </w:rPr>
              <w:t>4</w:t>
            </w:r>
          </w:p>
        </w:tc>
        <w:tc>
          <w:tcPr>
            <w:tcW w:w="4330" w:type="dxa"/>
            <w:vAlign w:val="center"/>
          </w:tcPr>
          <w:p w14:paraId="7071CC5E">
            <w:pPr>
              <w:spacing w:line="360" w:lineRule="auto"/>
              <w:rPr>
                <w:rFonts w:cs="仿宋" w:asciiTheme="minorEastAsia" w:hAnsiTheme="minorEastAsia" w:eastAsiaTheme="minorEastAsia"/>
                <w:sz w:val="24"/>
                <w:lang w:val="zh-CN"/>
              </w:rPr>
            </w:pPr>
            <w:r>
              <w:rPr>
                <w:rFonts w:hint="eastAsia" w:cs="宋体" w:asciiTheme="minorEastAsia" w:hAnsiTheme="minorEastAsia" w:eastAsiaTheme="minorEastAsia"/>
                <w:szCs w:val="21"/>
              </w:rPr>
              <w:t>平顶山尼龙新材料开发区管委会</w:t>
            </w:r>
            <w:r>
              <w:rPr>
                <w:rFonts w:hint="eastAsia" w:cs="宋体" w:asciiTheme="minorEastAsia" w:hAnsiTheme="minorEastAsia" w:eastAsiaTheme="minorEastAsia"/>
                <w:color w:val="000000"/>
                <w:szCs w:val="21"/>
              </w:rPr>
              <w:t>电子政务外网运维服务</w:t>
            </w:r>
          </w:p>
        </w:tc>
        <w:tc>
          <w:tcPr>
            <w:tcW w:w="900" w:type="dxa"/>
          </w:tcPr>
          <w:p w14:paraId="58BA308D">
            <w:pPr>
              <w:widowControl w:val="0"/>
              <w:spacing w:line="360" w:lineRule="auto"/>
              <w:jc w:val="center"/>
              <w:textAlignment w:val="auto"/>
              <w:rPr>
                <w:rFonts w:cs="仿宋" w:asciiTheme="minorEastAsia" w:hAnsiTheme="minorEastAsia" w:eastAsiaTheme="minorEastAsia"/>
                <w:sz w:val="24"/>
                <w:lang w:val="zh-CN"/>
              </w:rPr>
            </w:pPr>
            <w:r>
              <w:rPr>
                <w:rFonts w:hint="eastAsia" w:cs="仿宋" w:asciiTheme="minorEastAsia" w:hAnsiTheme="minorEastAsia" w:eastAsiaTheme="minorEastAsia"/>
                <w:color w:val="000000"/>
                <w:sz w:val="24"/>
              </w:rPr>
              <w:t>年</w:t>
            </w:r>
          </w:p>
        </w:tc>
        <w:tc>
          <w:tcPr>
            <w:tcW w:w="750" w:type="dxa"/>
            <w:vAlign w:val="center"/>
          </w:tcPr>
          <w:p w14:paraId="79E57B8B">
            <w:pPr>
              <w:spacing w:line="360" w:lineRule="auto"/>
              <w:jc w:val="center"/>
              <w:rPr>
                <w:rFonts w:cs="仿宋" w:asciiTheme="minorEastAsia" w:hAnsiTheme="minorEastAsia" w:eastAsiaTheme="minorEastAsia"/>
                <w:sz w:val="24"/>
                <w:lang w:val="zh-CN"/>
              </w:rPr>
            </w:pPr>
            <w:r>
              <w:rPr>
                <w:rFonts w:hint="eastAsia" w:cs="仿宋" w:asciiTheme="minorEastAsia" w:hAnsiTheme="minorEastAsia" w:eastAsiaTheme="minorEastAsia"/>
                <w:sz w:val="24"/>
                <w:lang w:val="zh-CN"/>
              </w:rPr>
              <w:t>1</w:t>
            </w:r>
          </w:p>
        </w:tc>
        <w:tc>
          <w:tcPr>
            <w:tcW w:w="1965" w:type="dxa"/>
            <w:vAlign w:val="center"/>
          </w:tcPr>
          <w:p w14:paraId="73C17A08">
            <w:pPr>
              <w:widowControl w:val="0"/>
              <w:spacing w:line="360" w:lineRule="auto"/>
              <w:jc w:val="center"/>
              <w:textAlignment w:val="auto"/>
              <w:rPr>
                <w:rFonts w:cs="仿宋" w:asciiTheme="minorEastAsia" w:hAnsiTheme="minorEastAsia" w:eastAsiaTheme="minorEastAsia"/>
                <w:b/>
                <w:bCs/>
                <w:sz w:val="24"/>
              </w:rPr>
            </w:pPr>
          </w:p>
        </w:tc>
        <w:tc>
          <w:tcPr>
            <w:tcW w:w="1437" w:type="dxa"/>
            <w:vAlign w:val="center"/>
          </w:tcPr>
          <w:p w14:paraId="60736C88">
            <w:pPr>
              <w:widowControl w:val="0"/>
              <w:spacing w:line="360" w:lineRule="auto"/>
              <w:jc w:val="center"/>
              <w:textAlignment w:val="auto"/>
              <w:rPr>
                <w:rFonts w:cs="仿宋" w:asciiTheme="minorEastAsia" w:hAnsiTheme="minorEastAsia" w:eastAsiaTheme="minorEastAsia"/>
                <w:b/>
                <w:bCs/>
                <w:sz w:val="24"/>
              </w:rPr>
            </w:pPr>
          </w:p>
        </w:tc>
      </w:tr>
      <w:tr w14:paraId="49D43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dxa"/>
            <w:vAlign w:val="center"/>
          </w:tcPr>
          <w:p w14:paraId="1F0E7BE5">
            <w:pPr>
              <w:spacing w:line="360" w:lineRule="auto"/>
              <w:jc w:val="center"/>
              <w:rPr>
                <w:rFonts w:cs="仿宋" w:asciiTheme="minorEastAsia" w:hAnsiTheme="minorEastAsia" w:eastAsiaTheme="minorEastAsia"/>
                <w:sz w:val="24"/>
              </w:rPr>
            </w:pPr>
            <w:r>
              <w:rPr>
                <w:rFonts w:hint="eastAsia" w:cs="仿宋" w:asciiTheme="minorEastAsia" w:hAnsiTheme="minorEastAsia" w:eastAsiaTheme="minorEastAsia"/>
                <w:sz w:val="24"/>
              </w:rPr>
              <w:t>5</w:t>
            </w:r>
          </w:p>
        </w:tc>
        <w:tc>
          <w:tcPr>
            <w:tcW w:w="4330" w:type="dxa"/>
            <w:vAlign w:val="center"/>
          </w:tcPr>
          <w:p w14:paraId="09B3BCAA">
            <w:pPr>
              <w:spacing w:line="360" w:lineRule="auto"/>
              <w:rPr>
                <w:rFonts w:ascii="宋体" w:hAnsi="宋体" w:cs="宋体"/>
                <w:color w:val="000000"/>
              </w:rPr>
            </w:pPr>
            <w:r>
              <w:rPr>
                <w:rFonts w:hint="eastAsia" w:cs="宋体" w:asciiTheme="minorEastAsia" w:hAnsiTheme="minorEastAsia" w:eastAsiaTheme="minorEastAsia"/>
                <w:color w:val="000000"/>
                <w:szCs w:val="21"/>
              </w:rPr>
              <w:t>办公业务资源网机房环境及使用服务</w:t>
            </w:r>
          </w:p>
        </w:tc>
        <w:tc>
          <w:tcPr>
            <w:tcW w:w="900" w:type="dxa"/>
          </w:tcPr>
          <w:p w14:paraId="4F596946">
            <w:pPr>
              <w:widowControl w:val="0"/>
              <w:spacing w:line="360" w:lineRule="auto"/>
              <w:jc w:val="center"/>
              <w:textAlignment w:val="auto"/>
              <w:rPr>
                <w:rFonts w:cs="仿宋" w:asciiTheme="minorEastAsia" w:hAnsiTheme="minorEastAsia" w:eastAsiaTheme="minorEastAsia"/>
                <w:color w:val="000000"/>
                <w:sz w:val="24"/>
              </w:rPr>
            </w:pPr>
            <w:r>
              <w:rPr>
                <w:rFonts w:hint="eastAsia" w:cs="仿宋" w:asciiTheme="minorEastAsia" w:hAnsiTheme="minorEastAsia" w:eastAsiaTheme="minorEastAsia"/>
                <w:color w:val="000000"/>
                <w:sz w:val="24"/>
              </w:rPr>
              <w:t>年</w:t>
            </w:r>
          </w:p>
        </w:tc>
        <w:tc>
          <w:tcPr>
            <w:tcW w:w="750" w:type="dxa"/>
            <w:vAlign w:val="center"/>
          </w:tcPr>
          <w:p w14:paraId="34288004">
            <w:pPr>
              <w:spacing w:line="360" w:lineRule="auto"/>
              <w:jc w:val="center"/>
              <w:rPr>
                <w:rFonts w:cs="仿宋" w:asciiTheme="minorEastAsia" w:hAnsiTheme="minorEastAsia" w:eastAsiaTheme="minorEastAsia"/>
                <w:sz w:val="24"/>
                <w:lang w:val="zh-CN"/>
              </w:rPr>
            </w:pPr>
            <w:r>
              <w:rPr>
                <w:rFonts w:hint="eastAsia" w:cs="仿宋" w:asciiTheme="minorEastAsia" w:hAnsiTheme="minorEastAsia" w:eastAsiaTheme="minorEastAsia"/>
                <w:sz w:val="24"/>
                <w:lang w:val="zh-CN"/>
              </w:rPr>
              <w:t>1</w:t>
            </w:r>
          </w:p>
        </w:tc>
        <w:tc>
          <w:tcPr>
            <w:tcW w:w="1965" w:type="dxa"/>
            <w:vAlign w:val="center"/>
          </w:tcPr>
          <w:p w14:paraId="10C3EE46">
            <w:pPr>
              <w:widowControl w:val="0"/>
              <w:spacing w:line="360" w:lineRule="auto"/>
              <w:jc w:val="center"/>
              <w:textAlignment w:val="auto"/>
              <w:rPr>
                <w:rFonts w:cs="仿宋" w:asciiTheme="minorEastAsia" w:hAnsiTheme="minorEastAsia" w:eastAsiaTheme="minorEastAsia"/>
                <w:b/>
                <w:bCs/>
                <w:sz w:val="24"/>
              </w:rPr>
            </w:pPr>
          </w:p>
        </w:tc>
        <w:tc>
          <w:tcPr>
            <w:tcW w:w="1437" w:type="dxa"/>
            <w:vAlign w:val="center"/>
          </w:tcPr>
          <w:p w14:paraId="4798BE95">
            <w:pPr>
              <w:widowControl w:val="0"/>
              <w:spacing w:line="360" w:lineRule="auto"/>
              <w:jc w:val="center"/>
              <w:textAlignment w:val="auto"/>
              <w:rPr>
                <w:rFonts w:cs="仿宋" w:asciiTheme="minorEastAsia" w:hAnsiTheme="minorEastAsia" w:eastAsiaTheme="minorEastAsia"/>
                <w:b/>
                <w:bCs/>
                <w:sz w:val="24"/>
              </w:rPr>
            </w:pPr>
          </w:p>
        </w:tc>
      </w:tr>
      <w:tr w14:paraId="7B59F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dxa"/>
            <w:vAlign w:val="center"/>
          </w:tcPr>
          <w:p w14:paraId="31A420E1">
            <w:pPr>
              <w:spacing w:line="360" w:lineRule="auto"/>
              <w:jc w:val="center"/>
              <w:rPr>
                <w:rFonts w:cs="仿宋" w:asciiTheme="minorEastAsia" w:hAnsiTheme="minorEastAsia" w:eastAsiaTheme="minorEastAsia"/>
                <w:sz w:val="24"/>
              </w:rPr>
            </w:pPr>
            <w:r>
              <w:rPr>
                <w:rFonts w:hint="eastAsia" w:cs="仿宋" w:asciiTheme="minorEastAsia" w:hAnsiTheme="minorEastAsia" w:eastAsiaTheme="minorEastAsia"/>
                <w:sz w:val="24"/>
              </w:rPr>
              <w:t>6</w:t>
            </w:r>
          </w:p>
        </w:tc>
        <w:tc>
          <w:tcPr>
            <w:tcW w:w="4330" w:type="dxa"/>
            <w:vAlign w:val="center"/>
          </w:tcPr>
          <w:p w14:paraId="008E2871">
            <w:pPr>
              <w:spacing w:line="360" w:lineRule="auto"/>
              <w:rPr>
                <w:rFonts w:ascii="宋体" w:hAnsi="宋体" w:cs="宋体"/>
                <w:color w:val="000000"/>
              </w:rPr>
            </w:pPr>
            <w:r>
              <w:rPr>
                <w:rFonts w:hint="eastAsia" w:cs="宋体" w:asciiTheme="minorEastAsia" w:hAnsiTheme="minorEastAsia" w:eastAsiaTheme="minorEastAsia"/>
                <w:color w:val="000000"/>
                <w:szCs w:val="21"/>
              </w:rPr>
              <w:t>办公业务资源网通信中心网络和安全服务</w:t>
            </w:r>
          </w:p>
        </w:tc>
        <w:tc>
          <w:tcPr>
            <w:tcW w:w="900" w:type="dxa"/>
          </w:tcPr>
          <w:p w14:paraId="68B21C37">
            <w:pPr>
              <w:widowControl w:val="0"/>
              <w:spacing w:line="360" w:lineRule="auto"/>
              <w:jc w:val="center"/>
              <w:textAlignment w:val="auto"/>
              <w:rPr>
                <w:rFonts w:cs="仿宋" w:asciiTheme="minorEastAsia" w:hAnsiTheme="minorEastAsia" w:eastAsiaTheme="minorEastAsia"/>
                <w:color w:val="000000"/>
                <w:sz w:val="24"/>
              </w:rPr>
            </w:pPr>
            <w:r>
              <w:rPr>
                <w:rFonts w:hint="eastAsia" w:cs="仿宋" w:asciiTheme="minorEastAsia" w:hAnsiTheme="minorEastAsia" w:eastAsiaTheme="minorEastAsia"/>
                <w:color w:val="000000"/>
                <w:sz w:val="24"/>
              </w:rPr>
              <w:t>年</w:t>
            </w:r>
          </w:p>
        </w:tc>
        <w:tc>
          <w:tcPr>
            <w:tcW w:w="750" w:type="dxa"/>
            <w:vAlign w:val="center"/>
          </w:tcPr>
          <w:p w14:paraId="13F1476C">
            <w:pPr>
              <w:spacing w:line="360" w:lineRule="auto"/>
              <w:jc w:val="center"/>
              <w:rPr>
                <w:rFonts w:cs="仿宋" w:asciiTheme="minorEastAsia" w:hAnsiTheme="minorEastAsia" w:eastAsiaTheme="minorEastAsia"/>
                <w:sz w:val="24"/>
                <w:lang w:val="zh-CN"/>
              </w:rPr>
            </w:pPr>
            <w:r>
              <w:rPr>
                <w:rFonts w:hint="eastAsia" w:cs="仿宋" w:asciiTheme="minorEastAsia" w:hAnsiTheme="minorEastAsia" w:eastAsiaTheme="minorEastAsia"/>
                <w:sz w:val="24"/>
                <w:lang w:val="zh-CN"/>
              </w:rPr>
              <w:t>1</w:t>
            </w:r>
          </w:p>
        </w:tc>
        <w:tc>
          <w:tcPr>
            <w:tcW w:w="1965" w:type="dxa"/>
            <w:vAlign w:val="center"/>
          </w:tcPr>
          <w:p w14:paraId="2A4DA638">
            <w:pPr>
              <w:widowControl w:val="0"/>
              <w:spacing w:line="360" w:lineRule="auto"/>
              <w:jc w:val="center"/>
              <w:textAlignment w:val="auto"/>
              <w:rPr>
                <w:rFonts w:cs="仿宋" w:asciiTheme="minorEastAsia" w:hAnsiTheme="minorEastAsia" w:eastAsiaTheme="minorEastAsia"/>
                <w:b/>
                <w:bCs/>
                <w:sz w:val="24"/>
              </w:rPr>
            </w:pPr>
          </w:p>
        </w:tc>
        <w:tc>
          <w:tcPr>
            <w:tcW w:w="1437" w:type="dxa"/>
            <w:vAlign w:val="center"/>
          </w:tcPr>
          <w:p w14:paraId="7FEE7DB8">
            <w:pPr>
              <w:widowControl w:val="0"/>
              <w:spacing w:line="360" w:lineRule="auto"/>
              <w:jc w:val="center"/>
              <w:textAlignment w:val="auto"/>
              <w:rPr>
                <w:rFonts w:cs="仿宋" w:asciiTheme="minorEastAsia" w:hAnsiTheme="minorEastAsia" w:eastAsiaTheme="minorEastAsia"/>
                <w:b/>
                <w:bCs/>
                <w:sz w:val="24"/>
              </w:rPr>
            </w:pPr>
          </w:p>
        </w:tc>
      </w:tr>
      <w:tr w14:paraId="55F7E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dxa"/>
            <w:vAlign w:val="center"/>
          </w:tcPr>
          <w:p w14:paraId="58E49B06">
            <w:pPr>
              <w:spacing w:line="360" w:lineRule="auto"/>
              <w:jc w:val="center"/>
              <w:rPr>
                <w:rFonts w:cs="仿宋" w:asciiTheme="minorEastAsia" w:hAnsiTheme="minorEastAsia" w:eastAsiaTheme="minorEastAsia"/>
                <w:sz w:val="24"/>
              </w:rPr>
            </w:pPr>
            <w:r>
              <w:rPr>
                <w:rFonts w:hint="eastAsia" w:cs="仿宋" w:asciiTheme="minorEastAsia" w:hAnsiTheme="minorEastAsia" w:eastAsiaTheme="minorEastAsia"/>
                <w:sz w:val="24"/>
              </w:rPr>
              <w:t>7</w:t>
            </w:r>
          </w:p>
        </w:tc>
        <w:tc>
          <w:tcPr>
            <w:tcW w:w="4330" w:type="dxa"/>
            <w:vAlign w:val="center"/>
          </w:tcPr>
          <w:p w14:paraId="551C2A11">
            <w:pPr>
              <w:spacing w:line="360" w:lineRule="auto"/>
              <w:rPr>
                <w:rFonts w:ascii="宋体" w:hAnsi="宋体" w:cs="宋体"/>
                <w:color w:val="000000"/>
              </w:rPr>
            </w:pPr>
            <w:r>
              <w:rPr>
                <w:rFonts w:hint="eastAsia" w:cs="宋体" w:asciiTheme="minorEastAsia" w:hAnsiTheme="minorEastAsia" w:eastAsiaTheme="minorEastAsia"/>
                <w:color w:val="000000"/>
                <w:szCs w:val="21"/>
              </w:rPr>
              <w:t>办公业务资源网业务应用系统平台使用服务</w:t>
            </w:r>
          </w:p>
        </w:tc>
        <w:tc>
          <w:tcPr>
            <w:tcW w:w="900" w:type="dxa"/>
          </w:tcPr>
          <w:p w14:paraId="3486B5CD">
            <w:pPr>
              <w:widowControl w:val="0"/>
              <w:spacing w:line="360" w:lineRule="auto"/>
              <w:jc w:val="center"/>
              <w:textAlignment w:val="auto"/>
              <w:rPr>
                <w:rFonts w:cs="仿宋" w:asciiTheme="minorEastAsia" w:hAnsiTheme="minorEastAsia" w:eastAsiaTheme="minorEastAsia"/>
                <w:color w:val="000000"/>
                <w:sz w:val="24"/>
              </w:rPr>
            </w:pPr>
            <w:r>
              <w:rPr>
                <w:rFonts w:hint="eastAsia" w:cs="仿宋" w:asciiTheme="minorEastAsia" w:hAnsiTheme="minorEastAsia" w:eastAsiaTheme="minorEastAsia"/>
                <w:color w:val="000000"/>
                <w:sz w:val="24"/>
              </w:rPr>
              <w:t>年</w:t>
            </w:r>
          </w:p>
        </w:tc>
        <w:tc>
          <w:tcPr>
            <w:tcW w:w="750" w:type="dxa"/>
            <w:vAlign w:val="center"/>
          </w:tcPr>
          <w:p w14:paraId="2EF95B55">
            <w:pPr>
              <w:spacing w:line="360" w:lineRule="auto"/>
              <w:jc w:val="center"/>
              <w:rPr>
                <w:rFonts w:cs="仿宋" w:asciiTheme="minorEastAsia" w:hAnsiTheme="minorEastAsia" w:eastAsiaTheme="minorEastAsia"/>
                <w:sz w:val="24"/>
                <w:lang w:val="zh-CN"/>
              </w:rPr>
            </w:pPr>
            <w:r>
              <w:rPr>
                <w:rFonts w:hint="eastAsia" w:cs="仿宋" w:asciiTheme="minorEastAsia" w:hAnsiTheme="minorEastAsia" w:eastAsiaTheme="minorEastAsia"/>
                <w:sz w:val="24"/>
                <w:lang w:val="zh-CN"/>
              </w:rPr>
              <w:t>1</w:t>
            </w:r>
          </w:p>
        </w:tc>
        <w:tc>
          <w:tcPr>
            <w:tcW w:w="1965" w:type="dxa"/>
            <w:vAlign w:val="center"/>
          </w:tcPr>
          <w:p w14:paraId="2F3187E6">
            <w:pPr>
              <w:widowControl w:val="0"/>
              <w:spacing w:line="360" w:lineRule="auto"/>
              <w:jc w:val="center"/>
              <w:textAlignment w:val="auto"/>
              <w:rPr>
                <w:rFonts w:cs="仿宋" w:asciiTheme="minorEastAsia" w:hAnsiTheme="minorEastAsia" w:eastAsiaTheme="minorEastAsia"/>
                <w:b/>
                <w:bCs/>
                <w:sz w:val="24"/>
              </w:rPr>
            </w:pPr>
          </w:p>
        </w:tc>
        <w:tc>
          <w:tcPr>
            <w:tcW w:w="1437" w:type="dxa"/>
            <w:vAlign w:val="center"/>
          </w:tcPr>
          <w:p w14:paraId="1A3748FD">
            <w:pPr>
              <w:widowControl w:val="0"/>
              <w:spacing w:line="360" w:lineRule="auto"/>
              <w:jc w:val="center"/>
              <w:textAlignment w:val="auto"/>
              <w:rPr>
                <w:rFonts w:cs="仿宋" w:asciiTheme="minorEastAsia" w:hAnsiTheme="minorEastAsia" w:eastAsiaTheme="minorEastAsia"/>
                <w:b/>
                <w:bCs/>
                <w:sz w:val="24"/>
              </w:rPr>
            </w:pPr>
          </w:p>
        </w:tc>
      </w:tr>
      <w:tr w14:paraId="5165B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dxa"/>
            <w:vAlign w:val="center"/>
          </w:tcPr>
          <w:p w14:paraId="7DDA9635">
            <w:pPr>
              <w:spacing w:line="360" w:lineRule="auto"/>
              <w:jc w:val="center"/>
              <w:rPr>
                <w:rFonts w:cs="仿宋" w:asciiTheme="minorEastAsia" w:hAnsiTheme="minorEastAsia" w:eastAsiaTheme="minorEastAsia"/>
                <w:sz w:val="24"/>
              </w:rPr>
            </w:pPr>
            <w:r>
              <w:rPr>
                <w:rFonts w:hint="eastAsia" w:cs="仿宋" w:asciiTheme="minorEastAsia" w:hAnsiTheme="minorEastAsia" w:eastAsiaTheme="minorEastAsia"/>
                <w:sz w:val="24"/>
              </w:rPr>
              <w:t>8</w:t>
            </w:r>
          </w:p>
        </w:tc>
        <w:tc>
          <w:tcPr>
            <w:tcW w:w="4330" w:type="dxa"/>
            <w:vAlign w:val="center"/>
          </w:tcPr>
          <w:p w14:paraId="45C17321">
            <w:pPr>
              <w:spacing w:line="360" w:lineRule="auto"/>
              <w:rPr>
                <w:rFonts w:ascii="宋体" w:hAnsi="宋体" w:cs="宋体"/>
                <w:color w:val="000000"/>
              </w:rPr>
            </w:pPr>
            <w:r>
              <w:rPr>
                <w:rFonts w:hint="eastAsia" w:cs="宋体" w:asciiTheme="minorEastAsia" w:hAnsiTheme="minorEastAsia" w:eastAsiaTheme="minorEastAsia"/>
                <w:szCs w:val="21"/>
              </w:rPr>
              <w:t>平顶山尼龙新材料开发区管委会</w:t>
            </w:r>
            <w:r>
              <w:rPr>
                <w:rFonts w:hint="eastAsia" w:cs="宋体" w:asciiTheme="minorEastAsia" w:hAnsiTheme="minorEastAsia" w:eastAsiaTheme="minorEastAsia"/>
                <w:color w:val="000000"/>
                <w:szCs w:val="21"/>
              </w:rPr>
              <w:t>办公业务资源网运维服务</w:t>
            </w:r>
          </w:p>
        </w:tc>
        <w:tc>
          <w:tcPr>
            <w:tcW w:w="900" w:type="dxa"/>
          </w:tcPr>
          <w:p w14:paraId="296A86D7">
            <w:pPr>
              <w:widowControl w:val="0"/>
              <w:spacing w:line="360" w:lineRule="auto"/>
              <w:jc w:val="center"/>
              <w:textAlignment w:val="auto"/>
              <w:rPr>
                <w:rFonts w:cs="仿宋" w:asciiTheme="minorEastAsia" w:hAnsiTheme="minorEastAsia" w:eastAsiaTheme="minorEastAsia"/>
                <w:color w:val="000000"/>
                <w:sz w:val="24"/>
              </w:rPr>
            </w:pPr>
            <w:r>
              <w:rPr>
                <w:rFonts w:hint="eastAsia" w:cs="仿宋" w:asciiTheme="minorEastAsia" w:hAnsiTheme="minorEastAsia" w:eastAsiaTheme="minorEastAsia"/>
                <w:color w:val="000000"/>
                <w:sz w:val="24"/>
              </w:rPr>
              <w:t>年</w:t>
            </w:r>
          </w:p>
        </w:tc>
        <w:tc>
          <w:tcPr>
            <w:tcW w:w="750" w:type="dxa"/>
            <w:vAlign w:val="center"/>
          </w:tcPr>
          <w:p w14:paraId="76C3B560">
            <w:pPr>
              <w:spacing w:line="360" w:lineRule="auto"/>
              <w:jc w:val="center"/>
              <w:rPr>
                <w:rFonts w:cs="仿宋" w:asciiTheme="minorEastAsia" w:hAnsiTheme="minorEastAsia" w:eastAsiaTheme="minorEastAsia"/>
                <w:sz w:val="24"/>
                <w:lang w:val="zh-CN"/>
              </w:rPr>
            </w:pPr>
            <w:r>
              <w:rPr>
                <w:rFonts w:hint="eastAsia" w:cs="仿宋" w:asciiTheme="minorEastAsia" w:hAnsiTheme="minorEastAsia" w:eastAsiaTheme="minorEastAsia"/>
                <w:sz w:val="24"/>
                <w:lang w:val="zh-CN"/>
              </w:rPr>
              <w:t>1</w:t>
            </w:r>
          </w:p>
        </w:tc>
        <w:tc>
          <w:tcPr>
            <w:tcW w:w="1965" w:type="dxa"/>
            <w:vAlign w:val="center"/>
          </w:tcPr>
          <w:p w14:paraId="4D122AD2">
            <w:pPr>
              <w:widowControl w:val="0"/>
              <w:spacing w:line="360" w:lineRule="auto"/>
              <w:jc w:val="center"/>
              <w:textAlignment w:val="auto"/>
              <w:rPr>
                <w:rFonts w:cs="仿宋" w:asciiTheme="minorEastAsia" w:hAnsiTheme="minorEastAsia" w:eastAsiaTheme="minorEastAsia"/>
                <w:b/>
                <w:bCs/>
                <w:sz w:val="24"/>
              </w:rPr>
            </w:pPr>
          </w:p>
        </w:tc>
        <w:tc>
          <w:tcPr>
            <w:tcW w:w="1437" w:type="dxa"/>
            <w:vAlign w:val="center"/>
          </w:tcPr>
          <w:p w14:paraId="4D01995F">
            <w:pPr>
              <w:widowControl w:val="0"/>
              <w:spacing w:line="360" w:lineRule="auto"/>
              <w:jc w:val="center"/>
              <w:textAlignment w:val="auto"/>
              <w:rPr>
                <w:rFonts w:cs="仿宋" w:asciiTheme="minorEastAsia" w:hAnsiTheme="minorEastAsia" w:eastAsiaTheme="minorEastAsia"/>
                <w:b/>
                <w:bCs/>
                <w:sz w:val="24"/>
              </w:rPr>
            </w:pPr>
          </w:p>
        </w:tc>
      </w:tr>
      <w:tr w14:paraId="6F458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dxa"/>
            <w:vAlign w:val="center"/>
          </w:tcPr>
          <w:p w14:paraId="54F75A0C">
            <w:pPr>
              <w:spacing w:line="360" w:lineRule="auto"/>
              <w:jc w:val="center"/>
              <w:rPr>
                <w:rFonts w:cs="仿宋" w:asciiTheme="minorEastAsia" w:hAnsiTheme="minorEastAsia" w:eastAsiaTheme="minorEastAsia"/>
                <w:sz w:val="24"/>
              </w:rPr>
            </w:pPr>
            <w:r>
              <w:rPr>
                <w:rFonts w:hint="eastAsia" w:cs="仿宋" w:asciiTheme="minorEastAsia" w:hAnsiTheme="minorEastAsia" w:eastAsiaTheme="minorEastAsia"/>
                <w:sz w:val="24"/>
              </w:rPr>
              <w:t>9</w:t>
            </w:r>
          </w:p>
        </w:tc>
        <w:tc>
          <w:tcPr>
            <w:tcW w:w="4330" w:type="dxa"/>
            <w:vAlign w:val="center"/>
          </w:tcPr>
          <w:p w14:paraId="30465EA5">
            <w:pPr>
              <w:spacing w:line="360" w:lineRule="auto"/>
              <w:rPr>
                <w:rFonts w:ascii="宋体" w:hAnsi="宋体" w:cs="宋体"/>
                <w:color w:val="000000"/>
              </w:rPr>
            </w:pPr>
            <w:r>
              <w:rPr>
                <w:rFonts w:hint="eastAsia" w:cs="宋体" w:asciiTheme="minorEastAsia" w:hAnsiTheme="minorEastAsia" w:eastAsiaTheme="minorEastAsia"/>
                <w:szCs w:val="21"/>
              </w:rPr>
              <w:t>平顶山尼龙新材料开发区管委会</w:t>
            </w:r>
            <w:r>
              <w:rPr>
                <w:rFonts w:hint="eastAsia" w:cs="宋体" w:asciiTheme="minorEastAsia" w:hAnsiTheme="minorEastAsia" w:eastAsiaTheme="minorEastAsia"/>
                <w:color w:val="000000"/>
                <w:szCs w:val="21"/>
              </w:rPr>
              <w:t>政府门户网站等级保护三级测评服务</w:t>
            </w:r>
          </w:p>
        </w:tc>
        <w:tc>
          <w:tcPr>
            <w:tcW w:w="900" w:type="dxa"/>
          </w:tcPr>
          <w:p w14:paraId="16A9A314">
            <w:pPr>
              <w:widowControl w:val="0"/>
              <w:spacing w:line="360" w:lineRule="auto"/>
              <w:jc w:val="center"/>
              <w:textAlignment w:val="auto"/>
              <w:rPr>
                <w:rFonts w:cs="仿宋" w:asciiTheme="minorEastAsia" w:hAnsiTheme="minorEastAsia" w:eastAsiaTheme="minorEastAsia"/>
                <w:color w:val="000000"/>
                <w:sz w:val="24"/>
              </w:rPr>
            </w:pPr>
            <w:r>
              <w:rPr>
                <w:rFonts w:hint="eastAsia" w:cs="仿宋" w:asciiTheme="minorEastAsia" w:hAnsiTheme="minorEastAsia" w:eastAsiaTheme="minorEastAsia"/>
                <w:color w:val="000000"/>
                <w:sz w:val="24"/>
              </w:rPr>
              <w:t>年</w:t>
            </w:r>
          </w:p>
        </w:tc>
        <w:tc>
          <w:tcPr>
            <w:tcW w:w="750" w:type="dxa"/>
            <w:vAlign w:val="center"/>
          </w:tcPr>
          <w:p w14:paraId="04E20685">
            <w:pPr>
              <w:spacing w:line="360" w:lineRule="auto"/>
              <w:jc w:val="center"/>
              <w:rPr>
                <w:rFonts w:cs="仿宋" w:asciiTheme="minorEastAsia" w:hAnsiTheme="minorEastAsia" w:eastAsiaTheme="minorEastAsia"/>
                <w:sz w:val="24"/>
                <w:lang w:val="zh-CN"/>
              </w:rPr>
            </w:pPr>
            <w:r>
              <w:rPr>
                <w:rFonts w:hint="eastAsia" w:cs="仿宋" w:asciiTheme="minorEastAsia" w:hAnsiTheme="minorEastAsia" w:eastAsiaTheme="minorEastAsia"/>
                <w:sz w:val="24"/>
                <w:lang w:val="zh-CN"/>
              </w:rPr>
              <w:t>1</w:t>
            </w:r>
          </w:p>
        </w:tc>
        <w:tc>
          <w:tcPr>
            <w:tcW w:w="1965" w:type="dxa"/>
            <w:vAlign w:val="center"/>
          </w:tcPr>
          <w:p w14:paraId="6E20BE08">
            <w:pPr>
              <w:widowControl w:val="0"/>
              <w:spacing w:line="360" w:lineRule="auto"/>
              <w:jc w:val="center"/>
              <w:textAlignment w:val="auto"/>
              <w:rPr>
                <w:rFonts w:cs="仿宋" w:asciiTheme="minorEastAsia" w:hAnsiTheme="minorEastAsia" w:eastAsiaTheme="minorEastAsia"/>
                <w:b/>
                <w:bCs/>
                <w:sz w:val="24"/>
              </w:rPr>
            </w:pPr>
          </w:p>
        </w:tc>
        <w:tc>
          <w:tcPr>
            <w:tcW w:w="1437" w:type="dxa"/>
            <w:vAlign w:val="center"/>
          </w:tcPr>
          <w:p w14:paraId="79272F11">
            <w:pPr>
              <w:widowControl w:val="0"/>
              <w:spacing w:line="360" w:lineRule="auto"/>
              <w:jc w:val="center"/>
              <w:textAlignment w:val="auto"/>
              <w:rPr>
                <w:rFonts w:cs="仿宋" w:asciiTheme="minorEastAsia" w:hAnsiTheme="minorEastAsia" w:eastAsiaTheme="minorEastAsia"/>
                <w:b/>
                <w:bCs/>
                <w:sz w:val="24"/>
              </w:rPr>
            </w:pPr>
          </w:p>
        </w:tc>
      </w:tr>
      <w:tr w14:paraId="56D10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dxa"/>
            <w:vAlign w:val="center"/>
          </w:tcPr>
          <w:p w14:paraId="2ABC5724">
            <w:pPr>
              <w:spacing w:line="360" w:lineRule="auto"/>
              <w:jc w:val="center"/>
              <w:rPr>
                <w:rFonts w:cs="仿宋" w:asciiTheme="minorEastAsia" w:hAnsiTheme="minorEastAsia" w:eastAsiaTheme="minorEastAsia"/>
                <w:sz w:val="24"/>
              </w:rPr>
            </w:pPr>
            <w:r>
              <w:rPr>
                <w:rFonts w:hint="eastAsia" w:cs="仿宋" w:asciiTheme="minorEastAsia" w:hAnsiTheme="minorEastAsia" w:eastAsiaTheme="minorEastAsia"/>
                <w:sz w:val="24"/>
              </w:rPr>
              <w:t>10</w:t>
            </w:r>
          </w:p>
        </w:tc>
        <w:tc>
          <w:tcPr>
            <w:tcW w:w="4330" w:type="dxa"/>
            <w:vAlign w:val="center"/>
          </w:tcPr>
          <w:p w14:paraId="1667C4A4">
            <w:pPr>
              <w:spacing w:line="360" w:lineRule="auto"/>
              <w:rPr>
                <w:rFonts w:cs="宋体" w:asciiTheme="minorEastAsia" w:hAnsiTheme="minorEastAsia" w:eastAsiaTheme="minorEastAsia"/>
                <w:szCs w:val="21"/>
              </w:rPr>
            </w:pPr>
            <w:r>
              <w:rPr>
                <w:rFonts w:cs="宋体" w:asciiTheme="minorEastAsia" w:hAnsiTheme="minorEastAsia" w:eastAsiaTheme="minorEastAsia"/>
                <w:szCs w:val="21"/>
              </w:rPr>
              <w:t>…</w:t>
            </w:r>
          </w:p>
        </w:tc>
        <w:tc>
          <w:tcPr>
            <w:tcW w:w="900" w:type="dxa"/>
          </w:tcPr>
          <w:p w14:paraId="25EF82C6">
            <w:pPr>
              <w:widowControl w:val="0"/>
              <w:spacing w:line="360" w:lineRule="auto"/>
              <w:jc w:val="center"/>
              <w:textAlignment w:val="auto"/>
              <w:rPr>
                <w:rFonts w:cs="仿宋" w:asciiTheme="minorEastAsia" w:hAnsiTheme="minorEastAsia" w:eastAsiaTheme="minorEastAsia"/>
                <w:color w:val="000000"/>
                <w:sz w:val="24"/>
              </w:rPr>
            </w:pPr>
          </w:p>
        </w:tc>
        <w:tc>
          <w:tcPr>
            <w:tcW w:w="750" w:type="dxa"/>
            <w:vAlign w:val="center"/>
          </w:tcPr>
          <w:p w14:paraId="7078AC6F">
            <w:pPr>
              <w:spacing w:line="360" w:lineRule="auto"/>
              <w:jc w:val="center"/>
              <w:rPr>
                <w:rFonts w:cs="仿宋" w:asciiTheme="minorEastAsia" w:hAnsiTheme="minorEastAsia" w:eastAsiaTheme="minorEastAsia"/>
                <w:sz w:val="24"/>
                <w:lang w:val="zh-CN"/>
              </w:rPr>
            </w:pPr>
          </w:p>
        </w:tc>
        <w:tc>
          <w:tcPr>
            <w:tcW w:w="1965" w:type="dxa"/>
            <w:vAlign w:val="center"/>
          </w:tcPr>
          <w:p w14:paraId="607C1B9A">
            <w:pPr>
              <w:widowControl w:val="0"/>
              <w:spacing w:line="360" w:lineRule="auto"/>
              <w:jc w:val="center"/>
              <w:textAlignment w:val="auto"/>
              <w:rPr>
                <w:rFonts w:cs="仿宋" w:asciiTheme="minorEastAsia" w:hAnsiTheme="minorEastAsia" w:eastAsiaTheme="minorEastAsia"/>
                <w:b/>
                <w:bCs/>
                <w:sz w:val="24"/>
              </w:rPr>
            </w:pPr>
          </w:p>
        </w:tc>
        <w:tc>
          <w:tcPr>
            <w:tcW w:w="1437" w:type="dxa"/>
            <w:vAlign w:val="center"/>
          </w:tcPr>
          <w:p w14:paraId="143BD7C3">
            <w:pPr>
              <w:widowControl w:val="0"/>
              <w:spacing w:line="360" w:lineRule="auto"/>
              <w:jc w:val="center"/>
              <w:textAlignment w:val="auto"/>
              <w:rPr>
                <w:rFonts w:cs="仿宋" w:asciiTheme="minorEastAsia" w:hAnsiTheme="minorEastAsia" w:eastAsiaTheme="minorEastAsia"/>
                <w:b/>
                <w:bCs/>
                <w:sz w:val="24"/>
              </w:rPr>
            </w:pPr>
          </w:p>
        </w:tc>
      </w:tr>
      <w:tr w14:paraId="2FEA9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4" w:type="dxa"/>
            <w:gridSpan w:val="5"/>
            <w:vAlign w:val="center"/>
          </w:tcPr>
          <w:p w14:paraId="6B7CEF97">
            <w:pPr>
              <w:widowControl w:val="0"/>
              <w:spacing w:line="360" w:lineRule="auto"/>
              <w:jc w:val="center"/>
              <w:textAlignment w:val="auto"/>
              <w:rPr>
                <w:rFonts w:cs="仿宋" w:asciiTheme="minorEastAsia" w:hAnsiTheme="minorEastAsia" w:eastAsiaTheme="minorEastAsia"/>
                <w:b/>
                <w:bCs/>
                <w:sz w:val="24"/>
              </w:rPr>
            </w:pPr>
            <w:r>
              <w:rPr>
                <w:rFonts w:hint="eastAsia" w:cs="仿宋" w:asciiTheme="minorEastAsia" w:hAnsiTheme="minorEastAsia" w:eastAsiaTheme="minorEastAsia"/>
                <w:b/>
                <w:bCs/>
                <w:sz w:val="24"/>
              </w:rPr>
              <w:t>总价</w:t>
            </w:r>
          </w:p>
        </w:tc>
        <w:tc>
          <w:tcPr>
            <w:tcW w:w="1437" w:type="dxa"/>
            <w:vAlign w:val="center"/>
          </w:tcPr>
          <w:p w14:paraId="33005C88">
            <w:pPr>
              <w:widowControl w:val="0"/>
              <w:spacing w:line="360" w:lineRule="auto"/>
              <w:jc w:val="center"/>
              <w:textAlignment w:val="auto"/>
              <w:rPr>
                <w:rFonts w:cs="仿宋" w:asciiTheme="minorEastAsia" w:hAnsiTheme="minorEastAsia" w:eastAsiaTheme="minorEastAsia"/>
                <w:b/>
                <w:bCs/>
                <w:sz w:val="24"/>
              </w:rPr>
            </w:pPr>
          </w:p>
        </w:tc>
      </w:tr>
    </w:tbl>
    <w:p w14:paraId="56B4BDDA">
      <w:pPr>
        <w:tabs>
          <w:tab w:val="left" w:pos="0"/>
        </w:tabs>
        <w:wordWrap w:val="0"/>
        <w:autoSpaceDE w:val="0"/>
        <w:autoSpaceDN w:val="0"/>
        <w:spacing w:line="600" w:lineRule="auto"/>
        <w:ind w:right="67" w:rightChars="32" w:firstLine="480"/>
        <w:jc w:val="left"/>
        <w:textAlignment w:val="top"/>
        <w:rPr>
          <w:rFonts w:cs="仿宋" w:asciiTheme="minorEastAsia" w:hAnsiTheme="minorEastAsia" w:eastAsiaTheme="minorEastAsia"/>
          <w:bCs/>
          <w:sz w:val="24"/>
        </w:rPr>
      </w:pPr>
      <w:r>
        <w:rPr>
          <w:rFonts w:hint="eastAsia" w:cs="仿宋" w:asciiTheme="minorEastAsia" w:hAnsiTheme="minorEastAsia" w:eastAsiaTheme="minorEastAsia"/>
          <w:bCs/>
          <w:sz w:val="24"/>
        </w:rPr>
        <w:t>注：</w:t>
      </w:r>
      <w:r>
        <w:rPr>
          <w:rFonts w:hint="eastAsia" w:cs="仿宋" w:asciiTheme="minorEastAsia" w:hAnsiTheme="minorEastAsia" w:eastAsiaTheme="minorEastAsia"/>
          <w:sz w:val="24"/>
        </w:rPr>
        <w:t>供应商</w:t>
      </w:r>
      <w:r>
        <w:rPr>
          <w:rFonts w:hint="eastAsia" w:cs="仿宋" w:asciiTheme="minorEastAsia" w:hAnsiTheme="minorEastAsia" w:eastAsiaTheme="minorEastAsia"/>
          <w:bCs/>
          <w:sz w:val="24"/>
        </w:rPr>
        <w:t>提供的响应报价应包含软件调试、检验检测、系统认证以及运维服务期限内的所有人员工资、社会保险费、奖金、办公费、差旅费、水电费等应当由投标人承担的所有费用，以及软、硬件产品的采购（包括采购标的物及运维服务期间内标的物的更新）、包装、运输、装卸、保险、税金、伴随服务以及安装所需的全部配件（不再单独报价）等的所有费用。</w:t>
      </w:r>
    </w:p>
    <w:p w14:paraId="6EE4421D">
      <w:pPr>
        <w:autoSpaceDE w:val="0"/>
        <w:autoSpaceDN w:val="0"/>
        <w:spacing w:line="600" w:lineRule="auto"/>
        <w:ind w:firstLine="480"/>
        <w:jc w:val="left"/>
        <w:rPr>
          <w:rFonts w:cs="仿宋" w:asciiTheme="minorEastAsia" w:hAnsiTheme="minorEastAsia" w:eastAsiaTheme="minorEastAsia"/>
          <w:sz w:val="24"/>
        </w:rPr>
      </w:pPr>
      <w:r>
        <w:rPr>
          <w:rFonts w:hint="eastAsia" w:cs="仿宋" w:asciiTheme="minorEastAsia" w:hAnsiTheme="minorEastAsia" w:eastAsiaTheme="minorEastAsia"/>
          <w:sz w:val="24"/>
        </w:rPr>
        <w:t>供应商名称：</w:t>
      </w:r>
      <w:r>
        <w:rPr>
          <w:rFonts w:hint="eastAsia" w:cs="仿宋" w:asciiTheme="minorEastAsia" w:hAnsiTheme="minorEastAsia" w:eastAsiaTheme="minorEastAsia"/>
          <w:sz w:val="24"/>
          <w:u w:val="single"/>
        </w:rPr>
        <w:t xml:space="preserve">                                </w:t>
      </w:r>
      <w:r>
        <w:rPr>
          <w:rStyle w:val="54"/>
          <w:rFonts w:hint="eastAsia" w:ascii="宋体" w:hAnsi="宋体" w:cs="宋体"/>
          <w:sz w:val="24"/>
        </w:rPr>
        <w:t>（电子印章）</w:t>
      </w:r>
    </w:p>
    <w:p w14:paraId="45C93E48">
      <w:pPr>
        <w:autoSpaceDE w:val="0"/>
        <w:autoSpaceDN w:val="0"/>
        <w:spacing w:line="600" w:lineRule="auto"/>
        <w:ind w:firstLine="480"/>
        <w:jc w:val="left"/>
        <w:rPr>
          <w:rFonts w:cs="仿宋" w:asciiTheme="minorEastAsia" w:hAnsiTheme="minorEastAsia" w:eastAsiaTheme="minorEastAsia"/>
          <w:sz w:val="24"/>
        </w:rPr>
      </w:pPr>
      <w:r>
        <w:rPr>
          <w:rFonts w:hint="eastAsia" w:cs="仿宋" w:asciiTheme="minorEastAsia" w:hAnsiTheme="minorEastAsia" w:eastAsiaTheme="minorEastAsia"/>
          <w:sz w:val="24"/>
        </w:rPr>
        <w:t>日      期：</w:t>
      </w:r>
      <w:r>
        <w:rPr>
          <w:rFonts w:hint="eastAsia" w:cs="仿宋" w:asciiTheme="minorEastAsia" w:hAnsiTheme="minorEastAsia" w:eastAsiaTheme="minorEastAsia"/>
          <w:sz w:val="24"/>
          <w:u w:val="single"/>
        </w:rPr>
        <w:t xml:space="preserve">     </w:t>
      </w:r>
      <w:r>
        <w:rPr>
          <w:rFonts w:hint="eastAsia" w:cs="仿宋" w:asciiTheme="minorEastAsia" w:hAnsiTheme="minorEastAsia" w:eastAsiaTheme="minorEastAsia"/>
          <w:sz w:val="24"/>
        </w:rPr>
        <w:t>年</w:t>
      </w:r>
      <w:r>
        <w:rPr>
          <w:rFonts w:hint="eastAsia" w:cs="仿宋" w:asciiTheme="minorEastAsia" w:hAnsiTheme="minorEastAsia" w:eastAsiaTheme="minorEastAsia"/>
          <w:sz w:val="24"/>
          <w:u w:val="single"/>
        </w:rPr>
        <w:t xml:space="preserve">     </w:t>
      </w:r>
      <w:r>
        <w:rPr>
          <w:rFonts w:hint="eastAsia" w:cs="仿宋" w:asciiTheme="minorEastAsia" w:hAnsiTheme="minorEastAsia" w:eastAsiaTheme="minorEastAsia"/>
          <w:sz w:val="24"/>
        </w:rPr>
        <w:t>月</w:t>
      </w:r>
      <w:r>
        <w:rPr>
          <w:rFonts w:hint="eastAsia" w:cs="仿宋" w:asciiTheme="minorEastAsia" w:hAnsiTheme="minorEastAsia" w:eastAsiaTheme="minorEastAsia"/>
          <w:sz w:val="24"/>
          <w:u w:val="single"/>
        </w:rPr>
        <w:t xml:space="preserve">     </w:t>
      </w:r>
      <w:r>
        <w:rPr>
          <w:rFonts w:hint="eastAsia" w:cs="仿宋" w:asciiTheme="minorEastAsia" w:hAnsiTheme="minorEastAsia" w:eastAsiaTheme="minorEastAsia"/>
          <w:sz w:val="24"/>
        </w:rPr>
        <w:t>日</w:t>
      </w:r>
    </w:p>
    <w:p w14:paraId="1949EC44">
      <w:pPr>
        <w:autoSpaceDE w:val="0"/>
        <w:autoSpaceDN w:val="0"/>
        <w:jc w:val="center"/>
        <w:rPr>
          <w:rFonts w:ascii="宋体" w:hAnsi="宋体" w:cs="仿宋"/>
          <w:b/>
          <w:sz w:val="24"/>
        </w:rPr>
      </w:pPr>
      <w:r>
        <w:rPr>
          <w:rFonts w:hint="eastAsia" w:ascii="仿宋" w:hAnsi="仿宋" w:eastAsia="仿宋" w:cs="仿宋"/>
        </w:rPr>
        <w:br w:type="page"/>
      </w:r>
      <w:r>
        <w:rPr>
          <w:rFonts w:hint="eastAsia" w:ascii="宋体" w:hAnsi="宋体" w:cs="仿宋"/>
          <w:b/>
          <w:sz w:val="32"/>
          <w:szCs w:val="32"/>
        </w:rPr>
        <w:t>六、</w:t>
      </w:r>
      <w:bookmarkStart w:id="133" w:name="_Hlk169187768"/>
      <w:bookmarkStart w:id="134" w:name="_Hlk169106575"/>
      <w:r>
        <w:rPr>
          <w:rFonts w:hint="eastAsia" w:ascii="宋体" w:hAnsi="宋体" w:cs="仿宋"/>
          <w:b/>
          <w:sz w:val="32"/>
          <w:szCs w:val="32"/>
        </w:rPr>
        <w:t>服务内容及</w:t>
      </w:r>
      <w:bookmarkEnd w:id="133"/>
      <w:r>
        <w:rPr>
          <w:rFonts w:hint="eastAsia" w:ascii="宋体" w:hAnsi="宋体" w:cs="仿宋"/>
          <w:b/>
          <w:sz w:val="32"/>
          <w:szCs w:val="32"/>
        </w:rPr>
        <w:t>要求响应偏离表</w:t>
      </w:r>
      <w:bookmarkEnd w:id="134"/>
    </w:p>
    <w:tbl>
      <w:tblPr>
        <w:tblStyle w:val="28"/>
        <w:tblW w:w="98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0"/>
        <w:gridCol w:w="2036"/>
        <w:gridCol w:w="1857"/>
        <w:gridCol w:w="2141"/>
        <w:gridCol w:w="2726"/>
      </w:tblGrid>
      <w:tr w14:paraId="4F0FF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0" w:type="dxa"/>
            <w:vAlign w:val="center"/>
          </w:tcPr>
          <w:p w14:paraId="43F9AD11">
            <w:pPr>
              <w:widowControl w:val="0"/>
              <w:jc w:val="center"/>
              <w:textAlignment w:val="auto"/>
              <w:rPr>
                <w:rFonts w:ascii="宋体" w:hAnsi="宋体" w:cs="仿宋"/>
                <w:bCs/>
                <w:sz w:val="24"/>
              </w:rPr>
            </w:pPr>
            <w:r>
              <w:rPr>
                <w:rFonts w:hint="eastAsia" w:ascii="宋体" w:hAnsi="宋体" w:cs="仿宋"/>
                <w:bCs/>
                <w:sz w:val="24"/>
              </w:rPr>
              <w:t>序号</w:t>
            </w:r>
          </w:p>
        </w:tc>
        <w:tc>
          <w:tcPr>
            <w:tcW w:w="2036" w:type="dxa"/>
            <w:vAlign w:val="center"/>
          </w:tcPr>
          <w:p w14:paraId="5C714023">
            <w:pPr>
              <w:widowControl w:val="0"/>
              <w:jc w:val="center"/>
              <w:textAlignment w:val="auto"/>
              <w:rPr>
                <w:rFonts w:ascii="宋体" w:hAnsi="宋体" w:cs="仿宋"/>
                <w:bCs/>
                <w:sz w:val="24"/>
              </w:rPr>
            </w:pPr>
            <w:r>
              <w:rPr>
                <w:rFonts w:hint="eastAsia" w:ascii="宋体" w:hAnsi="宋体" w:cs="仿宋"/>
                <w:bCs/>
                <w:sz w:val="24"/>
              </w:rPr>
              <w:t>服务名称</w:t>
            </w:r>
          </w:p>
        </w:tc>
        <w:tc>
          <w:tcPr>
            <w:tcW w:w="1857" w:type="dxa"/>
            <w:vAlign w:val="center"/>
          </w:tcPr>
          <w:p w14:paraId="7FB66C2E">
            <w:pPr>
              <w:widowControl w:val="0"/>
              <w:jc w:val="center"/>
              <w:textAlignment w:val="auto"/>
              <w:rPr>
                <w:rFonts w:ascii="宋体" w:hAnsi="宋体" w:cs="仿宋"/>
                <w:bCs/>
                <w:sz w:val="24"/>
              </w:rPr>
            </w:pPr>
            <w:r>
              <w:rPr>
                <w:rFonts w:hint="eastAsia" w:ascii="宋体" w:hAnsi="宋体" w:cs="仿宋"/>
                <w:bCs/>
                <w:sz w:val="24"/>
              </w:rPr>
              <w:t>采购文件要求</w:t>
            </w:r>
          </w:p>
        </w:tc>
        <w:tc>
          <w:tcPr>
            <w:tcW w:w="2141" w:type="dxa"/>
            <w:vAlign w:val="center"/>
          </w:tcPr>
          <w:p w14:paraId="14612F61">
            <w:pPr>
              <w:widowControl w:val="0"/>
              <w:jc w:val="center"/>
              <w:textAlignment w:val="auto"/>
              <w:rPr>
                <w:rFonts w:ascii="宋体" w:hAnsi="宋体" w:cs="仿宋"/>
                <w:bCs/>
                <w:sz w:val="24"/>
              </w:rPr>
            </w:pPr>
            <w:r>
              <w:rPr>
                <w:rFonts w:hint="eastAsia" w:ascii="宋体" w:hAnsi="宋体" w:cs="仿宋"/>
                <w:bCs/>
                <w:sz w:val="24"/>
              </w:rPr>
              <w:t>投标响应内容</w:t>
            </w:r>
          </w:p>
        </w:tc>
        <w:tc>
          <w:tcPr>
            <w:tcW w:w="2726" w:type="dxa"/>
            <w:vAlign w:val="center"/>
          </w:tcPr>
          <w:p w14:paraId="6F6349B8">
            <w:pPr>
              <w:widowControl w:val="0"/>
              <w:jc w:val="center"/>
              <w:textAlignment w:val="auto"/>
              <w:rPr>
                <w:rFonts w:ascii="宋体" w:hAnsi="宋体" w:cs="仿宋"/>
                <w:bCs/>
                <w:sz w:val="24"/>
              </w:rPr>
            </w:pPr>
            <w:r>
              <w:rPr>
                <w:rFonts w:hint="eastAsia" w:ascii="宋体" w:hAnsi="宋体" w:cs="仿宋"/>
                <w:bCs/>
                <w:sz w:val="24"/>
              </w:rPr>
              <w:t>偏差</w:t>
            </w:r>
          </w:p>
        </w:tc>
      </w:tr>
      <w:tr w14:paraId="6915A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0" w:type="dxa"/>
          </w:tcPr>
          <w:p w14:paraId="33302775">
            <w:pPr>
              <w:widowControl w:val="0"/>
              <w:textAlignment w:val="auto"/>
              <w:rPr>
                <w:rFonts w:ascii="宋体" w:hAnsi="宋体" w:cs="仿宋"/>
                <w:bCs/>
                <w:sz w:val="24"/>
              </w:rPr>
            </w:pPr>
          </w:p>
        </w:tc>
        <w:tc>
          <w:tcPr>
            <w:tcW w:w="2036" w:type="dxa"/>
          </w:tcPr>
          <w:p w14:paraId="596671B1">
            <w:pPr>
              <w:widowControl w:val="0"/>
              <w:textAlignment w:val="auto"/>
              <w:rPr>
                <w:rFonts w:ascii="宋体" w:hAnsi="宋体" w:cs="仿宋"/>
                <w:bCs/>
                <w:sz w:val="24"/>
              </w:rPr>
            </w:pPr>
          </w:p>
        </w:tc>
        <w:tc>
          <w:tcPr>
            <w:tcW w:w="1857" w:type="dxa"/>
          </w:tcPr>
          <w:p w14:paraId="4A248A5D">
            <w:pPr>
              <w:widowControl w:val="0"/>
              <w:textAlignment w:val="auto"/>
              <w:rPr>
                <w:rFonts w:ascii="宋体" w:hAnsi="宋体" w:cs="仿宋"/>
                <w:bCs/>
                <w:sz w:val="24"/>
              </w:rPr>
            </w:pPr>
          </w:p>
        </w:tc>
        <w:tc>
          <w:tcPr>
            <w:tcW w:w="2141" w:type="dxa"/>
          </w:tcPr>
          <w:p w14:paraId="76DCDD4F">
            <w:pPr>
              <w:widowControl w:val="0"/>
              <w:textAlignment w:val="auto"/>
              <w:rPr>
                <w:rFonts w:ascii="宋体" w:hAnsi="宋体" w:cs="仿宋"/>
                <w:bCs/>
                <w:sz w:val="24"/>
              </w:rPr>
            </w:pPr>
          </w:p>
        </w:tc>
        <w:tc>
          <w:tcPr>
            <w:tcW w:w="2726" w:type="dxa"/>
          </w:tcPr>
          <w:p w14:paraId="12232380">
            <w:pPr>
              <w:widowControl w:val="0"/>
              <w:textAlignment w:val="auto"/>
              <w:rPr>
                <w:rFonts w:ascii="宋体" w:hAnsi="宋体" w:cs="仿宋"/>
                <w:bCs/>
                <w:sz w:val="24"/>
              </w:rPr>
            </w:pPr>
          </w:p>
        </w:tc>
      </w:tr>
      <w:tr w14:paraId="317B9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0" w:type="dxa"/>
          </w:tcPr>
          <w:p w14:paraId="7F85DEDD">
            <w:pPr>
              <w:widowControl w:val="0"/>
              <w:textAlignment w:val="auto"/>
              <w:rPr>
                <w:rFonts w:ascii="宋体" w:hAnsi="宋体" w:cs="仿宋"/>
                <w:bCs/>
                <w:sz w:val="24"/>
              </w:rPr>
            </w:pPr>
          </w:p>
        </w:tc>
        <w:tc>
          <w:tcPr>
            <w:tcW w:w="2036" w:type="dxa"/>
          </w:tcPr>
          <w:p w14:paraId="4DC3C6BC">
            <w:pPr>
              <w:widowControl w:val="0"/>
              <w:textAlignment w:val="auto"/>
              <w:rPr>
                <w:rFonts w:ascii="宋体" w:hAnsi="宋体" w:cs="仿宋"/>
                <w:bCs/>
                <w:sz w:val="24"/>
              </w:rPr>
            </w:pPr>
          </w:p>
        </w:tc>
        <w:tc>
          <w:tcPr>
            <w:tcW w:w="1857" w:type="dxa"/>
          </w:tcPr>
          <w:p w14:paraId="6AABFD46">
            <w:pPr>
              <w:widowControl w:val="0"/>
              <w:textAlignment w:val="auto"/>
              <w:rPr>
                <w:rFonts w:ascii="宋体" w:hAnsi="宋体" w:cs="仿宋"/>
                <w:bCs/>
                <w:sz w:val="24"/>
              </w:rPr>
            </w:pPr>
          </w:p>
        </w:tc>
        <w:tc>
          <w:tcPr>
            <w:tcW w:w="2141" w:type="dxa"/>
          </w:tcPr>
          <w:p w14:paraId="6320649B">
            <w:pPr>
              <w:widowControl w:val="0"/>
              <w:textAlignment w:val="auto"/>
              <w:rPr>
                <w:rFonts w:ascii="宋体" w:hAnsi="宋体" w:cs="仿宋"/>
                <w:bCs/>
                <w:sz w:val="24"/>
              </w:rPr>
            </w:pPr>
          </w:p>
        </w:tc>
        <w:tc>
          <w:tcPr>
            <w:tcW w:w="2726" w:type="dxa"/>
          </w:tcPr>
          <w:p w14:paraId="6CC08A03">
            <w:pPr>
              <w:widowControl w:val="0"/>
              <w:textAlignment w:val="auto"/>
              <w:rPr>
                <w:rFonts w:ascii="宋体" w:hAnsi="宋体" w:cs="仿宋"/>
                <w:bCs/>
                <w:sz w:val="24"/>
              </w:rPr>
            </w:pPr>
          </w:p>
        </w:tc>
      </w:tr>
      <w:tr w14:paraId="6DEEE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0" w:type="dxa"/>
          </w:tcPr>
          <w:p w14:paraId="6C775770">
            <w:pPr>
              <w:widowControl w:val="0"/>
              <w:textAlignment w:val="auto"/>
              <w:rPr>
                <w:rFonts w:ascii="宋体" w:hAnsi="宋体" w:cs="仿宋"/>
                <w:bCs/>
                <w:sz w:val="24"/>
              </w:rPr>
            </w:pPr>
          </w:p>
        </w:tc>
        <w:tc>
          <w:tcPr>
            <w:tcW w:w="2036" w:type="dxa"/>
          </w:tcPr>
          <w:p w14:paraId="39624FBC">
            <w:pPr>
              <w:widowControl w:val="0"/>
              <w:textAlignment w:val="auto"/>
              <w:rPr>
                <w:rFonts w:ascii="宋体" w:hAnsi="宋体" w:cs="仿宋"/>
                <w:bCs/>
                <w:sz w:val="24"/>
              </w:rPr>
            </w:pPr>
          </w:p>
        </w:tc>
        <w:tc>
          <w:tcPr>
            <w:tcW w:w="1857" w:type="dxa"/>
          </w:tcPr>
          <w:p w14:paraId="0B99B671">
            <w:pPr>
              <w:widowControl w:val="0"/>
              <w:textAlignment w:val="auto"/>
              <w:rPr>
                <w:rFonts w:ascii="宋体" w:hAnsi="宋体" w:cs="仿宋"/>
                <w:bCs/>
                <w:sz w:val="24"/>
              </w:rPr>
            </w:pPr>
          </w:p>
        </w:tc>
        <w:tc>
          <w:tcPr>
            <w:tcW w:w="2141" w:type="dxa"/>
          </w:tcPr>
          <w:p w14:paraId="22F8CA0B">
            <w:pPr>
              <w:widowControl w:val="0"/>
              <w:textAlignment w:val="auto"/>
              <w:rPr>
                <w:rFonts w:ascii="宋体" w:hAnsi="宋体" w:cs="仿宋"/>
                <w:bCs/>
                <w:sz w:val="24"/>
              </w:rPr>
            </w:pPr>
          </w:p>
        </w:tc>
        <w:tc>
          <w:tcPr>
            <w:tcW w:w="2726" w:type="dxa"/>
          </w:tcPr>
          <w:p w14:paraId="3D6BDC4A">
            <w:pPr>
              <w:widowControl w:val="0"/>
              <w:textAlignment w:val="auto"/>
              <w:rPr>
                <w:rFonts w:ascii="宋体" w:hAnsi="宋体" w:cs="仿宋"/>
                <w:bCs/>
                <w:sz w:val="24"/>
              </w:rPr>
            </w:pPr>
          </w:p>
        </w:tc>
      </w:tr>
      <w:tr w14:paraId="52D06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0" w:type="dxa"/>
          </w:tcPr>
          <w:p w14:paraId="01933FFE">
            <w:pPr>
              <w:widowControl w:val="0"/>
              <w:textAlignment w:val="auto"/>
              <w:rPr>
                <w:rFonts w:ascii="宋体" w:hAnsi="宋体" w:cs="仿宋"/>
                <w:bCs/>
                <w:sz w:val="24"/>
              </w:rPr>
            </w:pPr>
          </w:p>
        </w:tc>
        <w:tc>
          <w:tcPr>
            <w:tcW w:w="2036" w:type="dxa"/>
          </w:tcPr>
          <w:p w14:paraId="090AA5DB">
            <w:pPr>
              <w:widowControl w:val="0"/>
              <w:textAlignment w:val="auto"/>
              <w:rPr>
                <w:rFonts w:ascii="宋体" w:hAnsi="宋体" w:cs="仿宋"/>
                <w:bCs/>
                <w:sz w:val="24"/>
              </w:rPr>
            </w:pPr>
          </w:p>
        </w:tc>
        <w:tc>
          <w:tcPr>
            <w:tcW w:w="1857" w:type="dxa"/>
          </w:tcPr>
          <w:p w14:paraId="788966F9">
            <w:pPr>
              <w:widowControl w:val="0"/>
              <w:textAlignment w:val="auto"/>
              <w:rPr>
                <w:rFonts w:ascii="宋体" w:hAnsi="宋体" w:cs="仿宋"/>
                <w:bCs/>
                <w:sz w:val="24"/>
              </w:rPr>
            </w:pPr>
          </w:p>
        </w:tc>
        <w:tc>
          <w:tcPr>
            <w:tcW w:w="2141" w:type="dxa"/>
          </w:tcPr>
          <w:p w14:paraId="4A404E70">
            <w:pPr>
              <w:widowControl w:val="0"/>
              <w:textAlignment w:val="auto"/>
              <w:rPr>
                <w:rFonts w:ascii="宋体" w:hAnsi="宋体" w:cs="仿宋"/>
                <w:bCs/>
                <w:sz w:val="24"/>
              </w:rPr>
            </w:pPr>
          </w:p>
        </w:tc>
        <w:tc>
          <w:tcPr>
            <w:tcW w:w="2726" w:type="dxa"/>
          </w:tcPr>
          <w:p w14:paraId="200DF72E">
            <w:pPr>
              <w:widowControl w:val="0"/>
              <w:textAlignment w:val="auto"/>
              <w:rPr>
                <w:rFonts w:ascii="宋体" w:hAnsi="宋体" w:cs="仿宋"/>
                <w:bCs/>
                <w:sz w:val="24"/>
              </w:rPr>
            </w:pPr>
          </w:p>
        </w:tc>
      </w:tr>
      <w:tr w14:paraId="662D1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0" w:type="dxa"/>
          </w:tcPr>
          <w:p w14:paraId="200DE7D7">
            <w:pPr>
              <w:widowControl w:val="0"/>
              <w:textAlignment w:val="auto"/>
              <w:rPr>
                <w:rFonts w:ascii="宋体" w:hAnsi="宋体" w:cs="仿宋"/>
                <w:bCs/>
                <w:sz w:val="24"/>
              </w:rPr>
            </w:pPr>
          </w:p>
        </w:tc>
        <w:tc>
          <w:tcPr>
            <w:tcW w:w="2036" w:type="dxa"/>
          </w:tcPr>
          <w:p w14:paraId="5083EA96">
            <w:pPr>
              <w:widowControl w:val="0"/>
              <w:textAlignment w:val="auto"/>
              <w:rPr>
                <w:rFonts w:ascii="宋体" w:hAnsi="宋体" w:cs="仿宋"/>
                <w:bCs/>
                <w:sz w:val="24"/>
              </w:rPr>
            </w:pPr>
          </w:p>
        </w:tc>
        <w:tc>
          <w:tcPr>
            <w:tcW w:w="1857" w:type="dxa"/>
          </w:tcPr>
          <w:p w14:paraId="6FCB6145">
            <w:pPr>
              <w:widowControl w:val="0"/>
              <w:textAlignment w:val="auto"/>
              <w:rPr>
                <w:rFonts w:ascii="宋体" w:hAnsi="宋体" w:cs="仿宋"/>
                <w:bCs/>
                <w:sz w:val="24"/>
              </w:rPr>
            </w:pPr>
          </w:p>
        </w:tc>
        <w:tc>
          <w:tcPr>
            <w:tcW w:w="2141" w:type="dxa"/>
          </w:tcPr>
          <w:p w14:paraId="685F79AB">
            <w:pPr>
              <w:widowControl w:val="0"/>
              <w:textAlignment w:val="auto"/>
              <w:rPr>
                <w:rFonts w:ascii="宋体" w:hAnsi="宋体" w:cs="仿宋"/>
                <w:bCs/>
                <w:sz w:val="24"/>
              </w:rPr>
            </w:pPr>
          </w:p>
        </w:tc>
        <w:tc>
          <w:tcPr>
            <w:tcW w:w="2726" w:type="dxa"/>
          </w:tcPr>
          <w:p w14:paraId="31CB7AA6">
            <w:pPr>
              <w:widowControl w:val="0"/>
              <w:textAlignment w:val="auto"/>
              <w:rPr>
                <w:rFonts w:ascii="宋体" w:hAnsi="宋体" w:cs="仿宋"/>
                <w:bCs/>
                <w:sz w:val="24"/>
              </w:rPr>
            </w:pPr>
          </w:p>
        </w:tc>
      </w:tr>
      <w:tr w14:paraId="556B9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0" w:type="dxa"/>
          </w:tcPr>
          <w:p w14:paraId="69ECD0F7">
            <w:pPr>
              <w:widowControl w:val="0"/>
              <w:textAlignment w:val="auto"/>
              <w:rPr>
                <w:rFonts w:ascii="宋体" w:hAnsi="宋体" w:cs="仿宋"/>
                <w:bCs/>
                <w:sz w:val="24"/>
              </w:rPr>
            </w:pPr>
          </w:p>
        </w:tc>
        <w:tc>
          <w:tcPr>
            <w:tcW w:w="2036" w:type="dxa"/>
          </w:tcPr>
          <w:p w14:paraId="3D197609">
            <w:pPr>
              <w:widowControl w:val="0"/>
              <w:textAlignment w:val="auto"/>
              <w:rPr>
                <w:rFonts w:ascii="宋体" w:hAnsi="宋体" w:cs="仿宋"/>
                <w:bCs/>
                <w:sz w:val="24"/>
              </w:rPr>
            </w:pPr>
          </w:p>
        </w:tc>
        <w:tc>
          <w:tcPr>
            <w:tcW w:w="1857" w:type="dxa"/>
          </w:tcPr>
          <w:p w14:paraId="14D21D1A">
            <w:pPr>
              <w:widowControl w:val="0"/>
              <w:textAlignment w:val="auto"/>
              <w:rPr>
                <w:rFonts w:ascii="宋体" w:hAnsi="宋体" w:cs="仿宋"/>
                <w:bCs/>
                <w:sz w:val="24"/>
              </w:rPr>
            </w:pPr>
          </w:p>
        </w:tc>
        <w:tc>
          <w:tcPr>
            <w:tcW w:w="2141" w:type="dxa"/>
          </w:tcPr>
          <w:p w14:paraId="5BB31C26">
            <w:pPr>
              <w:widowControl w:val="0"/>
              <w:textAlignment w:val="auto"/>
              <w:rPr>
                <w:rFonts w:ascii="宋体" w:hAnsi="宋体" w:cs="仿宋"/>
                <w:bCs/>
                <w:sz w:val="24"/>
              </w:rPr>
            </w:pPr>
          </w:p>
        </w:tc>
        <w:tc>
          <w:tcPr>
            <w:tcW w:w="2726" w:type="dxa"/>
          </w:tcPr>
          <w:p w14:paraId="014BD65E">
            <w:pPr>
              <w:widowControl w:val="0"/>
              <w:textAlignment w:val="auto"/>
              <w:rPr>
                <w:rFonts w:ascii="宋体" w:hAnsi="宋体" w:cs="仿宋"/>
                <w:bCs/>
                <w:sz w:val="24"/>
              </w:rPr>
            </w:pPr>
          </w:p>
        </w:tc>
      </w:tr>
      <w:tr w14:paraId="3F8DD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0" w:type="dxa"/>
          </w:tcPr>
          <w:p w14:paraId="1ABD259A">
            <w:pPr>
              <w:widowControl w:val="0"/>
              <w:textAlignment w:val="auto"/>
              <w:rPr>
                <w:rFonts w:ascii="宋体" w:hAnsi="宋体" w:cs="仿宋"/>
                <w:bCs/>
                <w:sz w:val="24"/>
              </w:rPr>
            </w:pPr>
          </w:p>
        </w:tc>
        <w:tc>
          <w:tcPr>
            <w:tcW w:w="2036" w:type="dxa"/>
          </w:tcPr>
          <w:p w14:paraId="6558386B">
            <w:pPr>
              <w:widowControl w:val="0"/>
              <w:textAlignment w:val="auto"/>
              <w:rPr>
                <w:rFonts w:ascii="宋体" w:hAnsi="宋体" w:cs="仿宋"/>
                <w:bCs/>
                <w:sz w:val="24"/>
              </w:rPr>
            </w:pPr>
          </w:p>
        </w:tc>
        <w:tc>
          <w:tcPr>
            <w:tcW w:w="1857" w:type="dxa"/>
          </w:tcPr>
          <w:p w14:paraId="047958E9">
            <w:pPr>
              <w:widowControl w:val="0"/>
              <w:textAlignment w:val="auto"/>
              <w:rPr>
                <w:rFonts w:ascii="宋体" w:hAnsi="宋体" w:cs="仿宋"/>
                <w:bCs/>
                <w:sz w:val="24"/>
              </w:rPr>
            </w:pPr>
          </w:p>
        </w:tc>
        <w:tc>
          <w:tcPr>
            <w:tcW w:w="2141" w:type="dxa"/>
          </w:tcPr>
          <w:p w14:paraId="3E5495AC">
            <w:pPr>
              <w:widowControl w:val="0"/>
              <w:textAlignment w:val="auto"/>
              <w:rPr>
                <w:rFonts w:ascii="宋体" w:hAnsi="宋体" w:cs="仿宋"/>
                <w:bCs/>
                <w:sz w:val="24"/>
              </w:rPr>
            </w:pPr>
          </w:p>
        </w:tc>
        <w:tc>
          <w:tcPr>
            <w:tcW w:w="2726" w:type="dxa"/>
          </w:tcPr>
          <w:p w14:paraId="4DFEB5B6">
            <w:pPr>
              <w:widowControl w:val="0"/>
              <w:textAlignment w:val="auto"/>
              <w:rPr>
                <w:rFonts w:ascii="宋体" w:hAnsi="宋体" w:cs="仿宋"/>
                <w:bCs/>
                <w:sz w:val="24"/>
              </w:rPr>
            </w:pPr>
          </w:p>
        </w:tc>
      </w:tr>
      <w:tr w14:paraId="5F80F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0" w:type="dxa"/>
          </w:tcPr>
          <w:p w14:paraId="3EDF80FD">
            <w:pPr>
              <w:widowControl w:val="0"/>
              <w:textAlignment w:val="auto"/>
              <w:rPr>
                <w:rFonts w:ascii="宋体" w:hAnsi="宋体" w:cs="仿宋"/>
                <w:bCs/>
                <w:sz w:val="24"/>
              </w:rPr>
            </w:pPr>
          </w:p>
        </w:tc>
        <w:tc>
          <w:tcPr>
            <w:tcW w:w="2036" w:type="dxa"/>
          </w:tcPr>
          <w:p w14:paraId="1F644ACB">
            <w:pPr>
              <w:widowControl w:val="0"/>
              <w:textAlignment w:val="auto"/>
              <w:rPr>
                <w:rFonts w:ascii="宋体" w:hAnsi="宋体" w:cs="仿宋"/>
                <w:bCs/>
                <w:sz w:val="24"/>
              </w:rPr>
            </w:pPr>
          </w:p>
        </w:tc>
        <w:tc>
          <w:tcPr>
            <w:tcW w:w="1857" w:type="dxa"/>
          </w:tcPr>
          <w:p w14:paraId="65962243">
            <w:pPr>
              <w:widowControl w:val="0"/>
              <w:textAlignment w:val="auto"/>
              <w:rPr>
                <w:rFonts w:ascii="宋体" w:hAnsi="宋体" w:cs="仿宋"/>
                <w:bCs/>
                <w:sz w:val="24"/>
              </w:rPr>
            </w:pPr>
          </w:p>
        </w:tc>
        <w:tc>
          <w:tcPr>
            <w:tcW w:w="2141" w:type="dxa"/>
          </w:tcPr>
          <w:p w14:paraId="4BAD6059">
            <w:pPr>
              <w:widowControl w:val="0"/>
              <w:textAlignment w:val="auto"/>
              <w:rPr>
                <w:rFonts w:ascii="宋体" w:hAnsi="宋体" w:cs="仿宋"/>
                <w:bCs/>
                <w:sz w:val="24"/>
              </w:rPr>
            </w:pPr>
          </w:p>
        </w:tc>
        <w:tc>
          <w:tcPr>
            <w:tcW w:w="2726" w:type="dxa"/>
          </w:tcPr>
          <w:p w14:paraId="55560169">
            <w:pPr>
              <w:widowControl w:val="0"/>
              <w:textAlignment w:val="auto"/>
              <w:rPr>
                <w:rFonts w:ascii="宋体" w:hAnsi="宋体" w:cs="仿宋"/>
                <w:bCs/>
                <w:sz w:val="24"/>
              </w:rPr>
            </w:pPr>
          </w:p>
        </w:tc>
      </w:tr>
      <w:tr w14:paraId="4B395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90" w:type="dxa"/>
          </w:tcPr>
          <w:p w14:paraId="70FC3EF5">
            <w:pPr>
              <w:widowControl w:val="0"/>
              <w:textAlignment w:val="auto"/>
              <w:rPr>
                <w:rFonts w:ascii="宋体" w:hAnsi="宋体" w:cs="仿宋"/>
                <w:bCs/>
                <w:sz w:val="24"/>
              </w:rPr>
            </w:pPr>
          </w:p>
        </w:tc>
        <w:tc>
          <w:tcPr>
            <w:tcW w:w="2036" w:type="dxa"/>
          </w:tcPr>
          <w:p w14:paraId="18083484">
            <w:pPr>
              <w:widowControl w:val="0"/>
              <w:textAlignment w:val="auto"/>
              <w:rPr>
                <w:rFonts w:ascii="宋体" w:hAnsi="宋体" w:cs="仿宋"/>
                <w:bCs/>
                <w:sz w:val="24"/>
              </w:rPr>
            </w:pPr>
          </w:p>
        </w:tc>
        <w:tc>
          <w:tcPr>
            <w:tcW w:w="1857" w:type="dxa"/>
          </w:tcPr>
          <w:p w14:paraId="0DD37B02">
            <w:pPr>
              <w:widowControl w:val="0"/>
              <w:textAlignment w:val="auto"/>
              <w:rPr>
                <w:rFonts w:ascii="宋体" w:hAnsi="宋体" w:cs="仿宋"/>
                <w:bCs/>
                <w:sz w:val="24"/>
              </w:rPr>
            </w:pPr>
          </w:p>
        </w:tc>
        <w:tc>
          <w:tcPr>
            <w:tcW w:w="2141" w:type="dxa"/>
          </w:tcPr>
          <w:p w14:paraId="0522A10B">
            <w:pPr>
              <w:widowControl w:val="0"/>
              <w:textAlignment w:val="auto"/>
              <w:rPr>
                <w:rFonts w:ascii="宋体" w:hAnsi="宋体" w:cs="仿宋"/>
                <w:bCs/>
                <w:sz w:val="24"/>
              </w:rPr>
            </w:pPr>
          </w:p>
        </w:tc>
        <w:tc>
          <w:tcPr>
            <w:tcW w:w="2726" w:type="dxa"/>
          </w:tcPr>
          <w:p w14:paraId="1C88E802">
            <w:pPr>
              <w:widowControl w:val="0"/>
              <w:textAlignment w:val="auto"/>
              <w:rPr>
                <w:rFonts w:ascii="宋体" w:hAnsi="宋体" w:cs="仿宋"/>
                <w:bCs/>
                <w:sz w:val="24"/>
              </w:rPr>
            </w:pPr>
          </w:p>
        </w:tc>
      </w:tr>
    </w:tbl>
    <w:p w14:paraId="397C731B">
      <w:pPr>
        <w:jc w:val="left"/>
        <w:textAlignment w:val="auto"/>
        <w:rPr>
          <w:rFonts w:ascii="宋体" w:hAnsi="宋体" w:cs="宋体"/>
          <w:b/>
          <w:bCs/>
          <w:kern w:val="0"/>
          <w:sz w:val="24"/>
        </w:rPr>
      </w:pPr>
    </w:p>
    <w:p w14:paraId="19821C00">
      <w:pPr>
        <w:jc w:val="left"/>
        <w:textAlignment w:val="auto"/>
        <w:rPr>
          <w:rFonts w:ascii="宋体" w:hAnsi="宋体" w:cs="宋体"/>
          <w:b/>
          <w:bCs/>
          <w:kern w:val="0"/>
          <w:sz w:val="32"/>
          <w:szCs w:val="32"/>
        </w:rPr>
      </w:pPr>
      <w:r>
        <w:rPr>
          <w:rFonts w:ascii="宋体" w:hAnsi="宋体" w:cs="宋体"/>
          <w:b/>
          <w:bCs/>
          <w:kern w:val="0"/>
          <w:sz w:val="32"/>
          <w:szCs w:val="32"/>
        </w:rPr>
        <w:br w:type="page"/>
      </w:r>
    </w:p>
    <w:p w14:paraId="49BD45AE">
      <w:pPr>
        <w:snapToGrid w:val="0"/>
        <w:spacing w:before="100" w:after="100"/>
        <w:jc w:val="center"/>
        <w:outlineLvl w:val="1"/>
        <w:rPr>
          <w:rFonts w:ascii="宋体" w:hAnsi="宋体" w:cs="宋体"/>
          <w:b/>
          <w:bCs/>
          <w:kern w:val="0"/>
          <w:sz w:val="32"/>
          <w:szCs w:val="32"/>
        </w:rPr>
      </w:pPr>
      <w:r>
        <w:rPr>
          <w:rFonts w:hint="eastAsia" w:ascii="宋体" w:hAnsi="宋体" w:cs="宋体"/>
          <w:b/>
          <w:bCs/>
          <w:kern w:val="0"/>
          <w:sz w:val="32"/>
          <w:szCs w:val="32"/>
        </w:rPr>
        <w:t>七、商务部分及技术部分</w:t>
      </w:r>
    </w:p>
    <w:p w14:paraId="3243377A">
      <w:pPr>
        <w:snapToGrid w:val="0"/>
        <w:spacing w:before="100" w:after="100"/>
        <w:jc w:val="center"/>
        <w:outlineLvl w:val="1"/>
        <w:rPr>
          <w:rFonts w:ascii="宋体" w:hAnsi="宋体" w:cs="宋体"/>
          <w:b/>
          <w:bCs/>
          <w:kern w:val="0"/>
          <w:sz w:val="32"/>
          <w:szCs w:val="32"/>
        </w:rPr>
      </w:pPr>
      <w:r>
        <w:rPr>
          <w:rFonts w:hint="eastAsia" w:ascii="宋体" w:hAnsi="宋体" w:cs="宋体"/>
          <w:b/>
          <w:bCs/>
          <w:kern w:val="0"/>
          <w:sz w:val="32"/>
          <w:szCs w:val="32"/>
        </w:rPr>
        <w:t>（格式自定）</w:t>
      </w:r>
    </w:p>
    <w:p w14:paraId="57B409C0">
      <w:pPr>
        <w:rPr>
          <w:rFonts w:ascii="宋体" w:hAnsi="宋体" w:cs="宋体"/>
          <w:b/>
          <w:bCs/>
          <w:kern w:val="0"/>
          <w:sz w:val="32"/>
          <w:szCs w:val="32"/>
        </w:rPr>
      </w:pPr>
      <w:r>
        <w:rPr>
          <w:rFonts w:hint="eastAsia" w:ascii="宋体" w:hAnsi="宋体" w:cs="宋体"/>
          <w:b/>
          <w:bCs/>
          <w:kern w:val="0"/>
          <w:sz w:val="32"/>
          <w:szCs w:val="32"/>
        </w:rPr>
        <w:br w:type="page"/>
      </w:r>
    </w:p>
    <w:p w14:paraId="30E70110">
      <w:pPr>
        <w:pStyle w:val="2"/>
      </w:pPr>
      <w:bookmarkStart w:id="135" w:name="_Toc335435280"/>
      <w:r>
        <w:rPr>
          <w:rFonts w:hint="eastAsia"/>
        </w:rPr>
        <w:t>八、</w:t>
      </w:r>
      <w:bookmarkEnd w:id="135"/>
      <w:r>
        <w:rPr>
          <w:rFonts w:hint="eastAsia"/>
        </w:rPr>
        <w:t>资格审查资料</w:t>
      </w:r>
    </w:p>
    <w:p w14:paraId="29209563">
      <w:pPr>
        <w:spacing w:line="360" w:lineRule="auto"/>
        <w:rPr>
          <w:rFonts w:ascii="宋体" w:hAnsi="宋体" w:cs="宋体"/>
          <w:kern w:val="0"/>
          <w:sz w:val="20"/>
          <w:szCs w:val="21"/>
        </w:rPr>
      </w:pPr>
    </w:p>
    <w:p w14:paraId="67695552">
      <w:pPr>
        <w:pStyle w:val="5"/>
        <w:spacing w:before="0" w:after="0" w:line="360" w:lineRule="auto"/>
        <w:ind w:firstLine="482"/>
        <w:rPr>
          <w:rFonts w:ascii="宋体" w:hAnsi="宋体" w:eastAsia="宋体" w:cs="仿宋"/>
          <w:sz w:val="24"/>
          <w:szCs w:val="24"/>
          <w:lang w:eastAsia="zh-CN"/>
        </w:rPr>
      </w:pPr>
      <w:r>
        <w:rPr>
          <w:rFonts w:hint="eastAsia" w:ascii="宋体" w:hAnsi="宋体" w:eastAsia="宋体" w:cs="仿宋"/>
          <w:sz w:val="24"/>
          <w:szCs w:val="24"/>
          <w:lang w:eastAsia="zh-CN"/>
        </w:rPr>
        <w:t>（一）供应商基本情况表</w:t>
      </w:r>
    </w:p>
    <w:tbl>
      <w:tblPr>
        <w:tblStyle w:val="28"/>
        <w:tblW w:w="10473"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36"/>
        <w:gridCol w:w="1272"/>
        <w:gridCol w:w="1163"/>
        <w:gridCol w:w="1541"/>
        <w:gridCol w:w="1794"/>
        <w:gridCol w:w="1052"/>
        <w:gridCol w:w="1715"/>
      </w:tblGrid>
      <w:tr w14:paraId="091729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936" w:type="dxa"/>
            <w:tcBorders>
              <w:top w:val="single" w:color="auto" w:sz="4" w:space="0"/>
              <w:bottom w:val="single" w:color="auto" w:sz="4" w:space="0"/>
              <w:right w:val="single" w:color="auto" w:sz="4" w:space="0"/>
            </w:tcBorders>
            <w:vAlign w:val="center"/>
          </w:tcPr>
          <w:p w14:paraId="4EFB103E">
            <w:pPr>
              <w:widowControl w:val="0"/>
              <w:jc w:val="center"/>
              <w:textAlignment w:val="auto"/>
              <w:rPr>
                <w:rFonts w:ascii="宋体" w:hAnsi="宋体" w:cs="仿宋"/>
                <w:sz w:val="24"/>
              </w:rPr>
            </w:pPr>
            <w:r>
              <w:rPr>
                <w:rFonts w:hint="eastAsia" w:ascii="宋体" w:hAnsi="宋体" w:cs="仿宋"/>
                <w:sz w:val="24"/>
              </w:rPr>
              <w:t>供应商名称</w:t>
            </w:r>
          </w:p>
        </w:tc>
        <w:tc>
          <w:tcPr>
            <w:tcW w:w="8537" w:type="dxa"/>
            <w:gridSpan w:val="6"/>
            <w:tcBorders>
              <w:top w:val="single" w:color="auto" w:sz="4" w:space="0"/>
              <w:left w:val="single" w:color="auto" w:sz="4" w:space="0"/>
              <w:bottom w:val="single" w:color="auto" w:sz="4" w:space="0"/>
            </w:tcBorders>
            <w:vAlign w:val="center"/>
          </w:tcPr>
          <w:p w14:paraId="10AAF21E">
            <w:pPr>
              <w:widowControl w:val="0"/>
              <w:jc w:val="center"/>
              <w:textAlignment w:val="auto"/>
              <w:rPr>
                <w:rFonts w:ascii="宋体" w:hAnsi="宋体" w:cs="仿宋"/>
                <w:sz w:val="24"/>
              </w:rPr>
            </w:pPr>
          </w:p>
        </w:tc>
      </w:tr>
      <w:tr w14:paraId="56F2F0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4" w:hRule="atLeast"/>
        </w:trPr>
        <w:tc>
          <w:tcPr>
            <w:tcW w:w="1936" w:type="dxa"/>
            <w:tcBorders>
              <w:top w:val="single" w:color="auto" w:sz="4" w:space="0"/>
              <w:bottom w:val="single" w:color="auto" w:sz="4" w:space="0"/>
              <w:right w:val="single" w:color="auto" w:sz="4" w:space="0"/>
            </w:tcBorders>
            <w:vAlign w:val="center"/>
          </w:tcPr>
          <w:p w14:paraId="5899AA2C">
            <w:pPr>
              <w:widowControl w:val="0"/>
              <w:jc w:val="center"/>
              <w:textAlignment w:val="auto"/>
              <w:rPr>
                <w:rFonts w:ascii="宋体" w:hAnsi="宋体" w:cs="仿宋"/>
                <w:sz w:val="24"/>
              </w:rPr>
            </w:pPr>
            <w:r>
              <w:rPr>
                <w:rFonts w:hint="eastAsia" w:ascii="宋体" w:hAnsi="宋体" w:cs="仿宋"/>
                <w:sz w:val="24"/>
              </w:rPr>
              <w:t>注册地址</w:t>
            </w:r>
          </w:p>
        </w:tc>
        <w:tc>
          <w:tcPr>
            <w:tcW w:w="3976" w:type="dxa"/>
            <w:gridSpan w:val="3"/>
            <w:tcBorders>
              <w:top w:val="single" w:color="auto" w:sz="4" w:space="0"/>
              <w:left w:val="single" w:color="auto" w:sz="4" w:space="0"/>
              <w:bottom w:val="single" w:color="auto" w:sz="4" w:space="0"/>
              <w:right w:val="single" w:color="auto" w:sz="4" w:space="0"/>
            </w:tcBorders>
            <w:vAlign w:val="center"/>
          </w:tcPr>
          <w:p w14:paraId="1A224356">
            <w:pPr>
              <w:widowControl w:val="0"/>
              <w:jc w:val="center"/>
              <w:textAlignment w:val="auto"/>
              <w:rPr>
                <w:rFonts w:ascii="宋体" w:hAnsi="宋体" w:cs="仿宋"/>
                <w:sz w:val="24"/>
              </w:rPr>
            </w:pPr>
          </w:p>
        </w:tc>
        <w:tc>
          <w:tcPr>
            <w:tcW w:w="1794" w:type="dxa"/>
            <w:tcBorders>
              <w:top w:val="single" w:color="auto" w:sz="4" w:space="0"/>
              <w:left w:val="single" w:color="auto" w:sz="4" w:space="0"/>
              <w:bottom w:val="single" w:color="auto" w:sz="4" w:space="0"/>
              <w:right w:val="single" w:color="auto" w:sz="4" w:space="0"/>
            </w:tcBorders>
            <w:vAlign w:val="center"/>
          </w:tcPr>
          <w:p w14:paraId="2F7DFC8E">
            <w:pPr>
              <w:widowControl w:val="0"/>
              <w:jc w:val="center"/>
              <w:textAlignment w:val="auto"/>
              <w:rPr>
                <w:rFonts w:ascii="宋体" w:hAnsi="宋体" w:cs="仿宋"/>
                <w:sz w:val="24"/>
              </w:rPr>
            </w:pPr>
            <w:r>
              <w:rPr>
                <w:rFonts w:hint="eastAsia" w:ascii="宋体" w:hAnsi="宋体" w:cs="仿宋"/>
                <w:sz w:val="24"/>
              </w:rPr>
              <w:t>邮政编码</w:t>
            </w:r>
          </w:p>
        </w:tc>
        <w:tc>
          <w:tcPr>
            <w:tcW w:w="2766" w:type="dxa"/>
            <w:gridSpan w:val="2"/>
            <w:tcBorders>
              <w:top w:val="single" w:color="auto" w:sz="4" w:space="0"/>
              <w:left w:val="single" w:color="auto" w:sz="4" w:space="0"/>
              <w:bottom w:val="single" w:color="auto" w:sz="4" w:space="0"/>
            </w:tcBorders>
            <w:vAlign w:val="center"/>
          </w:tcPr>
          <w:p w14:paraId="0F4EA3EA">
            <w:pPr>
              <w:widowControl w:val="0"/>
              <w:jc w:val="center"/>
              <w:textAlignment w:val="auto"/>
              <w:rPr>
                <w:rFonts w:ascii="宋体" w:hAnsi="宋体" w:cs="仿宋"/>
                <w:sz w:val="24"/>
              </w:rPr>
            </w:pPr>
          </w:p>
        </w:tc>
      </w:tr>
      <w:tr w14:paraId="51A241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9" w:hRule="atLeast"/>
        </w:trPr>
        <w:tc>
          <w:tcPr>
            <w:tcW w:w="1936" w:type="dxa"/>
            <w:vMerge w:val="restart"/>
            <w:tcBorders>
              <w:top w:val="single" w:color="auto" w:sz="4" w:space="0"/>
              <w:bottom w:val="single" w:color="auto" w:sz="4" w:space="0"/>
              <w:right w:val="single" w:color="auto" w:sz="4" w:space="0"/>
            </w:tcBorders>
            <w:vAlign w:val="center"/>
          </w:tcPr>
          <w:p w14:paraId="4108A858">
            <w:pPr>
              <w:widowControl w:val="0"/>
              <w:jc w:val="center"/>
              <w:textAlignment w:val="auto"/>
              <w:rPr>
                <w:rFonts w:ascii="宋体" w:hAnsi="宋体" w:cs="仿宋"/>
                <w:sz w:val="24"/>
              </w:rPr>
            </w:pPr>
            <w:r>
              <w:rPr>
                <w:rFonts w:hint="eastAsia" w:ascii="宋体" w:hAnsi="宋体" w:cs="仿宋"/>
                <w:sz w:val="24"/>
              </w:rPr>
              <w:t>联系方式</w:t>
            </w:r>
          </w:p>
        </w:tc>
        <w:tc>
          <w:tcPr>
            <w:tcW w:w="1272" w:type="dxa"/>
            <w:tcBorders>
              <w:top w:val="single" w:color="auto" w:sz="4" w:space="0"/>
              <w:left w:val="single" w:color="auto" w:sz="4" w:space="0"/>
              <w:bottom w:val="single" w:color="auto" w:sz="4" w:space="0"/>
              <w:right w:val="single" w:color="auto" w:sz="4" w:space="0"/>
            </w:tcBorders>
            <w:vAlign w:val="center"/>
          </w:tcPr>
          <w:p w14:paraId="042EFCFB">
            <w:pPr>
              <w:widowControl w:val="0"/>
              <w:jc w:val="center"/>
              <w:textAlignment w:val="auto"/>
              <w:rPr>
                <w:rFonts w:ascii="宋体" w:hAnsi="宋体" w:cs="仿宋"/>
                <w:sz w:val="24"/>
              </w:rPr>
            </w:pPr>
            <w:r>
              <w:rPr>
                <w:rFonts w:hint="eastAsia" w:ascii="宋体" w:hAnsi="宋体" w:cs="仿宋"/>
                <w:sz w:val="24"/>
              </w:rPr>
              <w:t>联系人</w:t>
            </w:r>
          </w:p>
        </w:tc>
        <w:tc>
          <w:tcPr>
            <w:tcW w:w="2703" w:type="dxa"/>
            <w:gridSpan w:val="2"/>
            <w:tcBorders>
              <w:top w:val="single" w:color="auto" w:sz="4" w:space="0"/>
              <w:left w:val="single" w:color="auto" w:sz="4" w:space="0"/>
              <w:bottom w:val="single" w:color="auto" w:sz="4" w:space="0"/>
              <w:right w:val="single" w:color="auto" w:sz="4" w:space="0"/>
            </w:tcBorders>
            <w:vAlign w:val="center"/>
          </w:tcPr>
          <w:p w14:paraId="19ABE7D4">
            <w:pPr>
              <w:widowControl w:val="0"/>
              <w:jc w:val="center"/>
              <w:textAlignment w:val="auto"/>
              <w:rPr>
                <w:rFonts w:ascii="宋体" w:hAnsi="宋体" w:cs="仿宋"/>
                <w:sz w:val="24"/>
              </w:rPr>
            </w:pPr>
          </w:p>
        </w:tc>
        <w:tc>
          <w:tcPr>
            <w:tcW w:w="1794" w:type="dxa"/>
            <w:tcBorders>
              <w:top w:val="single" w:color="auto" w:sz="4" w:space="0"/>
              <w:left w:val="single" w:color="auto" w:sz="4" w:space="0"/>
              <w:bottom w:val="single" w:color="auto" w:sz="4" w:space="0"/>
              <w:right w:val="single" w:color="auto" w:sz="4" w:space="0"/>
            </w:tcBorders>
            <w:vAlign w:val="center"/>
          </w:tcPr>
          <w:p w14:paraId="72E95DCB">
            <w:pPr>
              <w:widowControl w:val="0"/>
              <w:jc w:val="center"/>
              <w:textAlignment w:val="auto"/>
              <w:rPr>
                <w:rFonts w:ascii="宋体" w:hAnsi="宋体" w:cs="仿宋"/>
                <w:sz w:val="24"/>
              </w:rPr>
            </w:pPr>
            <w:r>
              <w:rPr>
                <w:rFonts w:hint="eastAsia" w:ascii="宋体" w:hAnsi="宋体" w:cs="仿宋"/>
                <w:sz w:val="24"/>
              </w:rPr>
              <w:t>电  话</w:t>
            </w:r>
          </w:p>
        </w:tc>
        <w:tc>
          <w:tcPr>
            <w:tcW w:w="2766" w:type="dxa"/>
            <w:gridSpan w:val="2"/>
            <w:tcBorders>
              <w:top w:val="single" w:color="auto" w:sz="4" w:space="0"/>
              <w:left w:val="single" w:color="auto" w:sz="4" w:space="0"/>
              <w:bottom w:val="single" w:color="auto" w:sz="4" w:space="0"/>
            </w:tcBorders>
            <w:vAlign w:val="center"/>
          </w:tcPr>
          <w:p w14:paraId="7DC03445">
            <w:pPr>
              <w:widowControl w:val="0"/>
              <w:jc w:val="center"/>
              <w:textAlignment w:val="auto"/>
              <w:rPr>
                <w:rFonts w:ascii="宋体" w:hAnsi="宋体" w:cs="仿宋"/>
                <w:sz w:val="24"/>
              </w:rPr>
            </w:pPr>
          </w:p>
        </w:tc>
      </w:tr>
      <w:tr w14:paraId="7A8E31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01" w:hRule="atLeast"/>
        </w:trPr>
        <w:tc>
          <w:tcPr>
            <w:tcW w:w="1936" w:type="dxa"/>
            <w:vMerge w:val="continue"/>
            <w:tcBorders>
              <w:top w:val="single" w:color="auto" w:sz="4" w:space="0"/>
              <w:bottom w:val="single" w:color="auto" w:sz="4" w:space="0"/>
              <w:right w:val="single" w:color="auto" w:sz="4" w:space="0"/>
            </w:tcBorders>
            <w:vAlign w:val="center"/>
          </w:tcPr>
          <w:p w14:paraId="58AE8D77">
            <w:pPr>
              <w:widowControl w:val="0"/>
              <w:jc w:val="center"/>
              <w:textAlignment w:val="auto"/>
              <w:rPr>
                <w:rFonts w:ascii="宋体" w:hAnsi="宋体" w:cs="仿宋"/>
                <w:sz w:val="24"/>
              </w:rPr>
            </w:pPr>
          </w:p>
        </w:tc>
        <w:tc>
          <w:tcPr>
            <w:tcW w:w="1272" w:type="dxa"/>
            <w:tcBorders>
              <w:top w:val="single" w:color="auto" w:sz="4" w:space="0"/>
              <w:left w:val="single" w:color="auto" w:sz="4" w:space="0"/>
              <w:bottom w:val="single" w:color="auto" w:sz="4" w:space="0"/>
              <w:right w:val="single" w:color="auto" w:sz="4" w:space="0"/>
            </w:tcBorders>
            <w:vAlign w:val="center"/>
          </w:tcPr>
          <w:p w14:paraId="3B75FE2D">
            <w:pPr>
              <w:widowControl w:val="0"/>
              <w:jc w:val="center"/>
              <w:textAlignment w:val="auto"/>
              <w:rPr>
                <w:rFonts w:ascii="宋体" w:hAnsi="宋体" w:cs="仿宋"/>
                <w:sz w:val="24"/>
              </w:rPr>
            </w:pPr>
            <w:r>
              <w:rPr>
                <w:rFonts w:hint="eastAsia" w:ascii="宋体" w:hAnsi="宋体" w:cs="仿宋"/>
                <w:sz w:val="24"/>
              </w:rPr>
              <w:t>传  真</w:t>
            </w:r>
          </w:p>
        </w:tc>
        <w:tc>
          <w:tcPr>
            <w:tcW w:w="2703" w:type="dxa"/>
            <w:gridSpan w:val="2"/>
            <w:tcBorders>
              <w:top w:val="single" w:color="auto" w:sz="4" w:space="0"/>
              <w:left w:val="single" w:color="auto" w:sz="4" w:space="0"/>
              <w:bottom w:val="single" w:color="auto" w:sz="4" w:space="0"/>
              <w:right w:val="single" w:color="auto" w:sz="4" w:space="0"/>
            </w:tcBorders>
            <w:vAlign w:val="center"/>
          </w:tcPr>
          <w:p w14:paraId="38A4C60F">
            <w:pPr>
              <w:widowControl w:val="0"/>
              <w:jc w:val="center"/>
              <w:textAlignment w:val="auto"/>
              <w:rPr>
                <w:rFonts w:ascii="宋体" w:hAnsi="宋体" w:cs="仿宋"/>
                <w:sz w:val="24"/>
              </w:rPr>
            </w:pPr>
          </w:p>
        </w:tc>
        <w:tc>
          <w:tcPr>
            <w:tcW w:w="1794" w:type="dxa"/>
            <w:tcBorders>
              <w:top w:val="single" w:color="auto" w:sz="4" w:space="0"/>
              <w:left w:val="single" w:color="auto" w:sz="4" w:space="0"/>
              <w:bottom w:val="single" w:color="auto" w:sz="4" w:space="0"/>
              <w:right w:val="single" w:color="auto" w:sz="4" w:space="0"/>
            </w:tcBorders>
            <w:vAlign w:val="center"/>
          </w:tcPr>
          <w:p w14:paraId="244F12C1">
            <w:pPr>
              <w:widowControl w:val="0"/>
              <w:jc w:val="center"/>
              <w:textAlignment w:val="auto"/>
              <w:rPr>
                <w:rFonts w:ascii="宋体" w:hAnsi="宋体" w:cs="仿宋"/>
                <w:sz w:val="24"/>
              </w:rPr>
            </w:pPr>
            <w:r>
              <w:rPr>
                <w:rFonts w:hint="eastAsia" w:ascii="宋体" w:hAnsi="宋体" w:cs="仿宋"/>
                <w:sz w:val="24"/>
              </w:rPr>
              <w:t>网  址</w:t>
            </w:r>
          </w:p>
        </w:tc>
        <w:tc>
          <w:tcPr>
            <w:tcW w:w="2766" w:type="dxa"/>
            <w:gridSpan w:val="2"/>
            <w:tcBorders>
              <w:top w:val="single" w:color="auto" w:sz="4" w:space="0"/>
              <w:left w:val="single" w:color="auto" w:sz="4" w:space="0"/>
              <w:bottom w:val="single" w:color="auto" w:sz="4" w:space="0"/>
            </w:tcBorders>
            <w:vAlign w:val="center"/>
          </w:tcPr>
          <w:p w14:paraId="088F3FC6">
            <w:pPr>
              <w:widowControl w:val="0"/>
              <w:jc w:val="center"/>
              <w:textAlignment w:val="auto"/>
              <w:rPr>
                <w:rFonts w:ascii="宋体" w:hAnsi="宋体" w:cs="仿宋"/>
                <w:sz w:val="24"/>
              </w:rPr>
            </w:pPr>
          </w:p>
        </w:tc>
      </w:tr>
      <w:tr w14:paraId="074CE9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936" w:type="dxa"/>
            <w:tcBorders>
              <w:top w:val="single" w:color="auto" w:sz="4" w:space="0"/>
              <w:bottom w:val="single" w:color="auto" w:sz="4" w:space="0"/>
              <w:right w:val="single" w:color="auto" w:sz="4" w:space="0"/>
            </w:tcBorders>
            <w:vAlign w:val="center"/>
          </w:tcPr>
          <w:p w14:paraId="3C041F12">
            <w:pPr>
              <w:widowControl w:val="0"/>
              <w:jc w:val="center"/>
              <w:textAlignment w:val="auto"/>
              <w:rPr>
                <w:rFonts w:ascii="宋体" w:hAnsi="宋体" w:cs="仿宋"/>
                <w:sz w:val="24"/>
              </w:rPr>
            </w:pPr>
            <w:r>
              <w:rPr>
                <w:rFonts w:hint="eastAsia" w:ascii="宋体" w:hAnsi="宋体" w:cs="仿宋"/>
                <w:sz w:val="24"/>
              </w:rPr>
              <w:t>组织结构</w:t>
            </w:r>
          </w:p>
        </w:tc>
        <w:tc>
          <w:tcPr>
            <w:tcW w:w="8537" w:type="dxa"/>
            <w:gridSpan w:val="6"/>
            <w:tcBorders>
              <w:top w:val="single" w:color="auto" w:sz="4" w:space="0"/>
              <w:left w:val="single" w:color="auto" w:sz="4" w:space="0"/>
              <w:bottom w:val="single" w:color="auto" w:sz="4" w:space="0"/>
            </w:tcBorders>
            <w:vAlign w:val="center"/>
          </w:tcPr>
          <w:p w14:paraId="0528BFA6">
            <w:pPr>
              <w:widowControl w:val="0"/>
              <w:jc w:val="center"/>
              <w:textAlignment w:val="auto"/>
              <w:rPr>
                <w:rFonts w:ascii="宋体" w:hAnsi="宋体" w:cs="仿宋"/>
                <w:sz w:val="24"/>
              </w:rPr>
            </w:pPr>
          </w:p>
        </w:tc>
      </w:tr>
      <w:tr w14:paraId="0ECA73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936" w:type="dxa"/>
            <w:tcBorders>
              <w:top w:val="single" w:color="auto" w:sz="4" w:space="0"/>
              <w:bottom w:val="single" w:color="auto" w:sz="4" w:space="0"/>
              <w:right w:val="single" w:color="auto" w:sz="4" w:space="0"/>
            </w:tcBorders>
            <w:vAlign w:val="center"/>
          </w:tcPr>
          <w:p w14:paraId="2C961FFF">
            <w:pPr>
              <w:widowControl w:val="0"/>
              <w:jc w:val="center"/>
              <w:textAlignment w:val="auto"/>
              <w:rPr>
                <w:rFonts w:ascii="宋体" w:hAnsi="宋体" w:cs="仿宋"/>
                <w:sz w:val="24"/>
              </w:rPr>
            </w:pPr>
            <w:r>
              <w:rPr>
                <w:rFonts w:hint="eastAsia" w:ascii="宋体" w:hAnsi="宋体" w:cs="仿宋"/>
                <w:sz w:val="24"/>
              </w:rPr>
              <w:t>法定代表人</w:t>
            </w:r>
          </w:p>
        </w:tc>
        <w:tc>
          <w:tcPr>
            <w:tcW w:w="1272" w:type="dxa"/>
            <w:tcBorders>
              <w:top w:val="single" w:color="auto" w:sz="4" w:space="0"/>
              <w:left w:val="single" w:color="auto" w:sz="4" w:space="0"/>
              <w:bottom w:val="single" w:color="auto" w:sz="4" w:space="0"/>
              <w:right w:val="single" w:color="auto" w:sz="4" w:space="0"/>
            </w:tcBorders>
            <w:vAlign w:val="center"/>
          </w:tcPr>
          <w:p w14:paraId="165645EB">
            <w:pPr>
              <w:widowControl w:val="0"/>
              <w:jc w:val="center"/>
              <w:textAlignment w:val="auto"/>
              <w:rPr>
                <w:rFonts w:ascii="宋体" w:hAnsi="宋体" w:cs="仿宋"/>
                <w:sz w:val="24"/>
              </w:rPr>
            </w:pPr>
            <w:r>
              <w:rPr>
                <w:rFonts w:hint="eastAsia" w:ascii="宋体" w:hAnsi="宋体" w:cs="仿宋"/>
                <w:sz w:val="24"/>
              </w:rPr>
              <w:t>姓名</w:t>
            </w:r>
          </w:p>
        </w:tc>
        <w:tc>
          <w:tcPr>
            <w:tcW w:w="1163" w:type="dxa"/>
            <w:tcBorders>
              <w:top w:val="single" w:color="auto" w:sz="4" w:space="0"/>
              <w:left w:val="single" w:color="auto" w:sz="4" w:space="0"/>
              <w:bottom w:val="single" w:color="auto" w:sz="4" w:space="0"/>
              <w:right w:val="single" w:color="auto" w:sz="4" w:space="0"/>
            </w:tcBorders>
            <w:vAlign w:val="center"/>
          </w:tcPr>
          <w:p w14:paraId="06C4F867">
            <w:pPr>
              <w:widowControl w:val="0"/>
              <w:jc w:val="center"/>
              <w:textAlignment w:val="auto"/>
              <w:rPr>
                <w:rFonts w:ascii="宋体" w:hAnsi="宋体" w:cs="仿宋"/>
                <w:sz w:val="24"/>
              </w:rPr>
            </w:pPr>
          </w:p>
        </w:tc>
        <w:tc>
          <w:tcPr>
            <w:tcW w:w="1540" w:type="dxa"/>
            <w:tcBorders>
              <w:top w:val="single" w:color="auto" w:sz="4" w:space="0"/>
              <w:left w:val="single" w:color="auto" w:sz="4" w:space="0"/>
              <w:bottom w:val="single" w:color="auto" w:sz="4" w:space="0"/>
              <w:right w:val="single" w:color="auto" w:sz="4" w:space="0"/>
            </w:tcBorders>
            <w:vAlign w:val="center"/>
          </w:tcPr>
          <w:p w14:paraId="4D7A4B74">
            <w:pPr>
              <w:widowControl w:val="0"/>
              <w:jc w:val="center"/>
              <w:textAlignment w:val="auto"/>
              <w:rPr>
                <w:rFonts w:ascii="宋体" w:hAnsi="宋体" w:cs="仿宋"/>
                <w:sz w:val="24"/>
              </w:rPr>
            </w:pPr>
            <w:r>
              <w:rPr>
                <w:rFonts w:hint="eastAsia" w:ascii="宋体" w:hAnsi="宋体" w:cs="仿宋"/>
                <w:sz w:val="24"/>
              </w:rPr>
              <w:t>技术职称</w:t>
            </w:r>
          </w:p>
        </w:tc>
        <w:tc>
          <w:tcPr>
            <w:tcW w:w="1794" w:type="dxa"/>
            <w:tcBorders>
              <w:top w:val="single" w:color="auto" w:sz="4" w:space="0"/>
              <w:left w:val="single" w:color="auto" w:sz="4" w:space="0"/>
              <w:bottom w:val="single" w:color="auto" w:sz="4" w:space="0"/>
              <w:right w:val="single" w:color="auto" w:sz="4" w:space="0"/>
            </w:tcBorders>
            <w:vAlign w:val="center"/>
          </w:tcPr>
          <w:p w14:paraId="67AD7848">
            <w:pPr>
              <w:widowControl w:val="0"/>
              <w:jc w:val="center"/>
              <w:textAlignment w:val="auto"/>
              <w:rPr>
                <w:rFonts w:ascii="宋体" w:hAnsi="宋体" w:cs="仿宋"/>
                <w:sz w:val="24"/>
              </w:rPr>
            </w:pPr>
          </w:p>
        </w:tc>
        <w:tc>
          <w:tcPr>
            <w:tcW w:w="1052" w:type="dxa"/>
            <w:tcBorders>
              <w:top w:val="single" w:color="auto" w:sz="4" w:space="0"/>
              <w:left w:val="single" w:color="auto" w:sz="4" w:space="0"/>
              <w:bottom w:val="single" w:color="auto" w:sz="4" w:space="0"/>
              <w:right w:val="single" w:color="auto" w:sz="4" w:space="0"/>
            </w:tcBorders>
            <w:vAlign w:val="center"/>
          </w:tcPr>
          <w:p w14:paraId="04EC4584">
            <w:pPr>
              <w:widowControl w:val="0"/>
              <w:jc w:val="center"/>
              <w:textAlignment w:val="auto"/>
              <w:rPr>
                <w:rFonts w:ascii="宋体" w:hAnsi="宋体" w:cs="仿宋"/>
                <w:sz w:val="24"/>
              </w:rPr>
            </w:pPr>
            <w:r>
              <w:rPr>
                <w:rFonts w:hint="eastAsia" w:ascii="宋体" w:hAnsi="宋体" w:cs="仿宋"/>
                <w:sz w:val="24"/>
              </w:rPr>
              <w:t>电话</w:t>
            </w:r>
          </w:p>
        </w:tc>
        <w:tc>
          <w:tcPr>
            <w:tcW w:w="1713" w:type="dxa"/>
            <w:tcBorders>
              <w:top w:val="single" w:color="auto" w:sz="4" w:space="0"/>
              <w:left w:val="single" w:color="auto" w:sz="4" w:space="0"/>
              <w:bottom w:val="single" w:color="auto" w:sz="4" w:space="0"/>
            </w:tcBorders>
            <w:vAlign w:val="center"/>
          </w:tcPr>
          <w:p w14:paraId="773386E2">
            <w:pPr>
              <w:widowControl w:val="0"/>
              <w:jc w:val="center"/>
              <w:textAlignment w:val="auto"/>
              <w:rPr>
                <w:rFonts w:ascii="宋体" w:hAnsi="宋体" w:cs="仿宋"/>
                <w:sz w:val="24"/>
              </w:rPr>
            </w:pPr>
          </w:p>
        </w:tc>
      </w:tr>
      <w:tr w14:paraId="592BF5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4" w:hRule="atLeast"/>
        </w:trPr>
        <w:tc>
          <w:tcPr>
            <w:tcW w:w="1936" w:type="dxa"/>
            <w:tcBorders>
              <w:top w:val="single" w:color="auto" w:sz="4" w:space="0"/>
              <w:bottom w:val="single" w:color="auto" w:sz="4" w:space="0"/>
              <w:right w:val="single" w:color="auto" w:sz="4" w:space="0"/>
            </w:tcBorders>
            <w:vAlign w:val="center"/>
          </w:tcPr>
          <w:p w14:paraId="07B26956">
            <w:pPr>
              <w:widowControl w:val="0"/>
              <w:jc w:val="center"/>
              <w:textAlignment w:val="auto"/>
              <w:rPr>
                <w:rFonts w:ascii="宋体" w:hAnsi="宋体" w:cs="仿宋"/>
                <w:sz w:val="24"/>
              </w:rPr>
            </w:pPr>
            <w:r>
              <w:rPr>
                <w:rFonts w:hint="eastAsia" w:ascii="宋体" w:hAnsi="宋体" w:cs="仿宋"/>
                <w:sz w:val="24"/>
              </w:rPr>
              <w:t>成立时间</w:t>
            </w:r>
          </w:p>
        </w:tc>
        <w:tc>
          <w:tcPr>
            <w:tcW w:w="8537" w:type="dxa"/>
            <w:gridSpan w:val="6"/>
            <w:tcBorders>
              <w:top w:val="single" w:color="auto" w:sz="4" w:space="0"/>
              <w:left w:val="single" w:color="auto" w:sz="4" w:space="0"/>
              <w:bottom w:val="single" w:color="auto" w:sz="4" w:space="0"/>
            </w:tcBorders>
            <w:vAlign w:val="center"/>
          </w:tcPr>
          <w:p w14:paraId="627FBABE">
            <w:pPr>
              <w:widowControl w:val="0"/>
              <w:textAlignment w:val="auto"/>
              <w:rPr>
                <w:rFonts w:ascii="宋体" w:hAnsi="宋体" w:cs="仿宋"/>
                <w:sz w:val="24"/>
              </w:rPr>
            </w:pPr>
          </w:p>
        </w:tc>
      </w:tr>
      <w:tr w14:paraId="2BF8A8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9" w:hRule="atLeast"/>
        </w:trPr>
        <w:tc>
          <w:tcPr>
            <w:tcW w:w="1936" w:type="dxa"/>
            <w:tcBorders>
              <w:top w:val="single" w:color="auto" w:sz="4" w:space="0"/>
              <w:bottom w:val="single" w:color="auto" w:sz="4" w:space="0"/>
              <w:right w:val="single" w:color="auto" w:sz="4" w:space="0"/>
            </w:tcBorders>
            <w:vAlign w:val="center"/>
          </w:tcPr>
          <w:p w14:paraId="066A67C5">
            <w:pPr>
              <w:widowControl w:val="0"/>
              <w:jc w:val="center"/>
              <w:textAlignment w:val="auto"/>
              <w:rPr>
                <w:rFonts w:ascii="宋体" w:hAnsi="宋体" w:cs="仿宋"/>
                <w:sz w:val="24"/>
              </w:rPr>
            </w:pPr>
            <w:r>
              <w:rPr>
                <w:rFonts w:hint="eastAsia" w:ascii="宋体" w:hAnsi="宋体" w:cs="仿宋"/>
                <w:sz w:val="24"/>
              </w:rPr>
              <w:t>营业执照号</w:t>
            </w:r>
          </w:p>
        </w:tc>
        <w:tc>
          <w:tcPr>
            <w:tcW w:w="8537" w:type="dxa"/>
            <w:gridSpan w:val="6"/>
            <w:tcBorders>
              <w:top w:val="single" w:color="auto" w:sz="4" w:space="0"/>
              <w:left w:val="single" w:color="auto" w:sz="4" w:space="0"/>
              <w:bottom w:val="single" w:color="auto" w:sz="4" w:space="0"/>
            </w:tcBorders>
            <w:vAlign w:val="center"/>
          </w:tcPr>
          <w:p w14:paraId="3B1B938F">
            <w:pPr>
              <w:widowControl w:val="0"/>
              <w:jc w:val="center"/>
              <w:textAlignment w:val="auto"/>
              <w:rPr>
                <w:rFonts w:ascii="宋体" w:hAnsi="宋体" w:cs="仿宋"/>
                <w:sz w:val="24"/>
              </w:rPr>
            </w:pPr>
          </w:p>
        </w:tc>
      </w:tr>
      <w:tr w14:paraId="5D8C93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9" w:hRule="atLeast"/>
        </w:trPr>
        <w:tc>
          <w:tcPr>
            <w:tcW w:w="1936" w:type="dxa"/>
            <w:tcBorders>
              <w:top w:val="single" w:color="auto" w:sz="4" w:space="0"/>
              <w:bottom w:val="single" w:color="auto" w:sz="4" w:space="0"/>
              <w:right w:val="single" w:color="auto" w:sz="4" w:space="0"/>
            </w:tcBorders>
            <w:vAlign w:val="center"/>
          </w:tcPr>
          <w:p w14:paraId="7D567890">
            <w:pPr>
              <w:widowControl w:val="0"/>
              <w:jc w:val="center"/>
              <w:textAlignment w:val="auto"/>
              <w:rPr>
                <w:rFonts w:ascii="宋体" w:hAnsi="宋体" w:cs="仿宋"/>
                <w:sz w:val="24"/>
              </w:rPr>
            </w:pPr>
            <w:r>
              <w:rPr>
                <w:rFonts w:hint="eastAsia" w:ascii="宋体" w:hAnsi="宋体" w:cs="仿宋"/>
                <w:sz w:val="24"/>
              </w:rPr>
              <w:t>注册资金</w:t>
            </w:r>
          </w:p>
        </w:tc>
        <w:tc>
          <w:tcPr>
            <w:tcW w:w="8537" w:type="dxa"/>
            <w:gridSpan w:val="6"/>
            <w:tcBorders>
              <w:top w:val="single" w:color="auto" w:sz="4" w:space="0"/>
              <w:left w:val="single" w:color="auto" w:sz="4" w:space="0"/>
              <w:bottom w:val="single" w:color="auto" w:sz="4" w:space="0"/>
            </w:tcBorders>
            <w:vAlign w:val="center"/>
          </w:tcPr>
          <w:p w14:paraId="795C1B34">
            <w:pPr>
              <w:widowControl w:val="0"/>
              <w:jc w:val="center"/>
              <w:textAlignment w:val="auto"/>
              <w:rPr>
                <w:rFonts w:ascii="宋体" w:hAnsi="宋体" w:cs="仿宋"/>
                <w:sz w:val="24"/>
              </w:rPr>
            </w:pPr>
          </w:p>
        </w:tc>
      </w:tr>
      <w:tr w14:paraId="7021D6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4" w:hRule="atLeast"/>
        </w:trPr>
        <w:tc>
          <w:tcPr>
            <w:tcW w:w="1936" w:type="dxa"/>
            <w:tcBorders>
              <w:top w:val="single" w:color="auto" w:sz="4" w:space="0"/>
              <w:bottom w:val="single" w:color="auto" w:sz="4" w:space="0"/>
              <w:right w:val="single" w:color="auto" w:sz="4" w:space="0"/>
            </w:tcBorders>
            <w:vAlign w:val="center"/>
          </w:tcPr>
          <w:p w14:paraId="750367D8">
            <w:pPr>
              <w:widowControl w:val="0"/>
              <w:jc w:val="center"/>
              <w:textAlignment w:val="auto"/>
              <w:rPr>
                <w:rFonts w:ascii="宋体" w:hAnsi="宋体" w:cs="仿宋"/>
                <w:sz w:val="24"/>
              </w:rPr>
            </w:pPr>
            <w:r>
              <w:rPr>
                <w:rFonts w:hint="eastAsia" w:ascii="宋体" w:hAnsi="宋体" w:cs="仿宋"/>
                <w:sz w:val="24"/>
              </w:rPr>
              <w:t>开户银行</w:t>
            </w:r>
          </w:p>
        </w:tc>
        <w:tc>
          <w:tcPr>
            <w:tcW w:w="8537" w:type="dxa"/>
            <w:gridSpan w:val="6"/>
            <w:tcBorders>
              <w:top w:val="single" w:color="auto" w:sz="4" w:space="0"/>
              <w:left w:val="single" w:color="auto" w:sz="4" w:space="0"/>
              <w:bottom w:val="single" w:color="auto" w:sz="4" w:space="0"/>
            </w:tcBorders>
            <w:vAlign w:val="center"/>
          </w:tcPr>
          <w:p w14:paraId="1EB3BB36">
            <w:pPr>
              <w:widowControl w:val="0"/>
              <w:jc w:val="center"/>
              <w:textAlignment w:val="auto"/>
              <w:rPr>
                <w:rFonts w:ascii="宋体" w:hAnsi="宋体" w:cs="仿宋"/>
                <w:sz w:val="24"/>
              </w:rPr>
            </w:pPr>
          </w:p>
        </w:tc>
      </w:tr>
      <w:tr w14:paraId="3A1C2A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9" w:hRule="atLeast"/>
        </w:trPr>
        <w:tc>
          <w:tcPr>
            <w:tcW w:w="1936" w:type="dxa"/>
            <w:tcBorders>
              <w:top w:val="single" w:color="auto" w:sz="4" w:space="0"/>
              <w:bottom w:val="single" w:color="auto" w:sz="4" w:space="0"/>
              <w:right w:val="single" w:color="auto" w:sz="4" w:space="0"/>
            </w:tcBorders>
            <w:vAlign w:val="center"/>
          </w:tcPr>
          <w:p w14:paraId="5D25CBC3">
            <w:pPr>
              <w:widowControl w:val="0"/>
              <w:jc w:val="center"/>
              <w:textAlignment w:val="auto"/>
              <w:rPr>
                <w:rFonts w:ascii="宋体" w:hAnsi="宋体" w:cs="仿宋"/>
                <w:sz w:val="24"/>
              </w:rPr>
            </w:pPr>
            <w:r>
              <w:rPr>
                <w:rFonts w:hint="eastAsia" w:ascii="宋体" w:hAnsi="宋体" w:cs="仿宋"/>
                <w:sz w:val="24"/>
              </w:rPr>
              <w:t>账号</w:t>
            </w:r>
          </w:p>
        </w:tc>
        <w:tc>
          <w:tcPr>
            <w:tcW w:w="8537" w:type="dxa"/>
            <w:gridSpan w:val="6"/>
            <w:tcBorders>
              <w:top w:val="single" w:color="auto" w:sz="4" w:space="0"/>
              <w:left w:val="single" w:color="auto" w:sz="4" w:space="0"/>
              <w:bottom w:val="single" w:color="auto" w:sz="4" w:space="0"/>
            </w:tcBorders>
            <w:vAlign w:val="center"/>
          </w:tcPr>
          <w:p w14:paraId="0E06E8C3">
            <w:pPr>
              <w:widowControl w:val="0"/>
              <w:jc w:val="center"/>
              <w:textAlignment w:val="auto"/>
              <w:rPr>
                <w:rFonts w:ascii="宋体" w:hAnsi="宋体" w:cs="仿宋"/>
                <w:sz w:val="24"/>
              </w:rPr>
            </w:pPr>
          </w:p>
        </w:tc>
      </w:tr>
      <w:tr w14:paraId="28859D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4" w:hRule="atLeast"/>
        </w:trPr>
        <w:tc>
          <w:tcPr>
            <w:tcW w:w="1936" w:type="dxa"/>
            <w:tcBorders>
              <w:top w:val="single" w:color="auto" w:sz="4" w:space="0"/>
              <w:right w:val="single" w:color="auto" w:sz="4" w:space="0"/>
            </w:tcBorders>
            <w:vAlign w:val="center"/>
          </w:tcPr>
          <w:p w14:paraId="65860AD0">
            <w:pPr>
              <w:widowControl w:val="0"/>
              <w:jc w:val="center"/>
              <w:textAlignment w:val="auto"/>
              <w:rPr>
                <w:rFonts w:ascii="宋体" w:hAnsi="宋体" w:cs="仿宋"/>
                <w:sz w:val="24"/>
              </w:rPr>
            </w:pPr>
            <w:r>
              <w:rPr>
                <w:rFonts w:hint="eastAsia" w:ascii="宋体" w:hAnsi="宋体" w:cs="仿宋"/>
                <w:sz w:val="24"/>
              </w:rPr>
              <w:t>经营范围</w:t>
            </w:r>
          </w:p>
        </w:tc>
        <w:tc>
          <w:tcPr>
            <w:tcW w:w="8537" w:type="dxa"/>
            <w:gridSpan w:val="6"/>
            <w:tcBorders>
              <w:top w:val="single" w:color="auto" w:sz="4" w:space="0"/>
              <w:left w:val="single" w:color="auto" w:sz="4" w:space="0"/>
            </w:tcBorders>
            <w:vAlign w:val="center"/>
          </w:tcPr>
          <w:p w14:paraId="6259C273">
            <w:pPr>
              <w:widowControl w:val="0"/>
              <w:jc w:val="center"/>
              <w:textAlignment w:val="auto"/>
              <w:rPr>
                <w:rFonts w:ascii="宋体" w:hAnsi="宋体" w:cs="仿宋"/>
                <w:sz w:val="24"/>
              </w:rPr>
            </w:pPr>
          </w:p>
        </w:tc>
      </w:tr>
      <w:tr w14:paraId="1F101E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936" w:type="dxa"/>
            <w:tcBorders>
              <w:top w:val="single" w:color="auto" w:sz="4" w:space="0"/>
              <w:bottom w:val="single" w:color="auto" w:sz="4" w:space="0"/>
              <w:right w:val="single" w:color="auto" w:sz="4" w:space="0"/>
            </w:tcBorders>
            <w:vAlign w:val="center"/>
          </w:tcPr>
          <w:p w14:paraId="28F45A47">
            <w:pPr>
              <w:widowControl w:val="0"/>
              <w:jc w:val="center"/>
              <w:textAlignment w:val="auto"/>
              <w:rPr>
                <w:rFonts w:ascii="宋体" w:hAnsi="宋体" w:cs="仿宋"/>
                <w:sz w:val="24"/>
              </w:rPr>
            </w:pPr>
            <w:r>
              <w:rPr>
                <w:rFonts w:hint="eastAsia" w:ascii="宋体" w:hAnsi="宋体" w:cs="仿宋"/>
                <w:sz w:val="24"/>
              </w:rPr>
              <w:t>备注</w:t>
            </w:r>
          </w:p>
        </w:tc>
        <w:tc>
          <w:tcPr>
            <w:tcW w:w="8537" w:type="dxa"/>
            <w:gridSpan w:val="6"/>
            <w:tcBorders>
              <w:top w:val="single" w:color="auto" w:sz="4" w:space="0"/>
              <w:left w:val="single" w:color="auto" w:sz="4" w:space="0"/>
              <w:bottom w:val="single" w:color="auto" w:sz="4" w:space="0"/>
            </w:tcBorders>
            <w:vAlign w:val="center"/>
          </w:tcPr>
          <w:p w14:paraId="413811D0">
            <w:pPr>
              <w:widowControl w:val="0"/>
              <w:jc w:val="center"/>
              <w:textAlignment w:val="auto"/>
              <w:rPr>
                <w:rFonts w:ascii="宋体" w:hAnsi="宋体" w:cs="仿宋"/>
                <w:sz w:val="24"/>
              </w:rPr>
            </w:pPr>
          </w:p>
        </w:tc>
      </w:tr>
    </w:tbl>
    <w:p w14:paraId="620FB0E2">
      <w:pPr>
        <w:spacing w:line="360" w:lineRule="auto"/>
        <w:rPr>
          <w:rFonts w:ascii="宋体" w:hAnsi="宋体" w:cs="宋体"/>
          <w:kern w:val="0"/>
          <w:sz w:val="20"/>
          <w:szCs w:val="21"/>
        </w:rPr>
      </w:pPr>
    </w:p>
    <w:p w14:paraId="0F01B79B">
      <w:pPr>
        <w:rPr>
          <w:rFonts w:ascii="宋体" w:hAnsi="宋体" w:cs="宋体"/>
          <w:sz w:val="20"/>
        </w:rPr>
      </w:pPr>
    </w:p>
    <w:p w14:paraId="4FED5F31">
      <w:pPr>
        <w:rPr>
          <w:rFonts w:ascii="宋体" w:hAnsi="宋体" w:cs="宋体"/>
          <w:b/>
          <w:bCs/>
          <w:sz w:val="24"/>
        </w:rPr>
      </w:pPr>
      <w:r>
        <w:rPr>
          <w:rFonts w:hint="eastAsia" w:ascii="宋体" w:hAnsi="宋体" w:cs="仿宋"/>
          <w:b/>
          <w:bCs/>
          <w:kern w:val="0"/>
          <w:sz w:val="24"/>
        </w:rPr>
        <w:t>（二）</w:t>
      </w:r>
      <w:r>
        <w:rPr>
          <w:rFonts w:hint="eastAsia" w:cs="仿宋"/>
          <w:b/>
          <w:bCs/>
          <w:kern w:val="0"/>
          <w:sz w:val="24"/>
        </w:rPr>
        <w:t>供应商资格要求的所有内容</w:t>
      </w:r>
    </w:p>
    <w:p w14:paraId="6069C93E">
      <w:pPr>
        <w:rPr>
          <w:rFonts w:ascii="宋体" w:hAnsi="宋体" w:cs="宋体"/>
          <w:sz w:val="20"/>
        </w:rPr>
      </w:pPr>
    </w:p>
    <w:p w14:paraId="555A45AF">
      <w:pPr>
        <w:rPr>
          <w:rFonts w:ascii="宋体" w:hAnsi="宋体" w:cs="宋体"/>
          <w:sz w:val="20"/>
        </w:rPr>
      </w:pPr>
    </w:p>
    <w:p w14:paraId="03303593">
      <w:pPr>
        <w:rPr>
          <w:rFonts w:ascii="宋体" w:hAnsi="宋体" w:cs="宋体"/>
          <w:sz w:val="20"/>
        </w:rPr>
      </w:pPr>
    </w:p>
    <w:p w14:paraId="6B840A90">
      <w:pPr>
        <w:rPr>
          <w:rFonts w:ascii="宋体" w:hAnsi="宋体" w:cs="宋体"/>
          <w:sz w:val="20"/>
        </w:rPr>
      </w:pPr>
    </w:p>
    <w:p w14:paraId="43961F11">
      <w:pPr>
        <w:rPr>
          <w:rFonts w:ascii="宋体" w:hAnsi="宋体" w:cs="宋体"/>
          <w:sz w:val="20"/>
        </w:rPr>
      </w:pPr>
    </w:p>
    <w:p w14:paraId="7132972E">
      <w:pPr>
        <w:rPr>
          <w:rFonts w:ascii="宋体" w:hAnsi="宋体" w:cs="宋体"/>
          <w:sz w:val="20"/>
        </w:rPr>
      </w:pPr>
    </w:p>
    <w:p w14:paraId="3CDEAEE8">
      <w:pPr>
        <w:rPr>
          <w:rFonts w:ascii="宋体" w:hAnsi="宋体" w:cs="宋体"/>
          <w:sz w:val="20"/>
        </w:rPr>
      </w:pPr>
    </w:p>
    <w:p w14:paraId="45E8C309">
      <w:pPr>
        <w:rPr>
          <w:rFonts w:ascii="宋体" w:hAnsi="宋体" w:cs="宋体"/>
          <w:sz w:val="20"/>
        </w:rPr>
      </w:pPr>
    </w:p>
    <w:p w14:paraId="7487ADD3">
      <w:pPr>
        <w:rPr>
          <w:rFonts w:ascii="宋体" w:hAnsi="宋体" w:cs="宋体"/>
          <w:b/>
          <w:bCs/>
          <w:sz w:val="36"/>
        </w:rPr>
      </w:pPr>
      <w:bookmarkStart w:id="136" w:name="_Toc335435281"/>
    </w:p>
    <w:p w14:paraId="14245E9B">
      <w:pPr>
        <w:pStyle w:val="2"/>
      </w:pPr>
      <w:r>
        <w:rPr>
          <w:rFonts w:hint="eastAsia"/>
        </w:rPr>
        <w:t>九、</w:t>
      </w:r>
      <w:bookmarkEnd w:id="136"/>
      <w:bookmarkStart w:id="137" w:name="_Hlk169106649"/>
      <w:r>
        <w:rPr>
          <w:rFonts w:hint="eastAsia"/>
        </w:rPr>
        <w:t>供应商认为应附的其他资料</w:t>
      </w:r>
      <w:bookmarkEnd w:id="137"/>
    </w:p>
    <w:p w14:paraId="524E29F6">
      <w:pPr>
        <w:rPr>
          <w:rFonts w:ascii="宋体" w:hAnsi="宋体" w:cs="宋体"/>
          <w:sz w:val="20"/>
        </w:rPr>
      </w:pPr>
    </w:p>
    <w:p w14:paraId="338EA01A">
      <w:pPr>
        <w:pStyle w:val="12"/>
        <w:ind w:left="0" w:leftChars="0" w:firstLine="0" w:firstLineChars="0"/>
        <w:jc w:val="left"/>
        <w:rPr>
          <w:rFonts w:ascii="宋体" w:hAnsi="宋体" w:cs="宋体"/>
          <w:b/>
          <w:bCs/>
          <w:kern w:val="0"/>
          <w:sz w:val="22"/>
          <w:szCs w:val="22"/>
        </w:rPr>
      </w:pPr>
      <w:r>
        <w:rPr>
          <w:rFonts w:hint="eastAsia" w:ascii="宋体" w:hAnsi="宋体" w:cs="宋体"/>
          <w:b/>
          <w:kern w:val="0"/>
          <w:sz w:val="24"/>
          <w:szCs w:val="20"/>
        </w:rPr>
        <w:br w:type="page"/>
      </w:r>
      <w:r>
        <w:rPr>
          <w:rFonts w:hint="eastAsia" w:ascii="宋体" w:hAnsi="宋体" w:cs="宋体"/>
          <w:b/>
          <w:bCs/>
          <w:kern w:val="0"/>
          <w:sz w:val="22"/>
          <w:szCs w:val="22"/>
        </w:rPr>
        <w:t>附件：</w:t>
      </w:r>
    </w:p>
    <w:p w14:paraId="4137230D">
      <w:pPr>
        <w:tabs>
          <w:tab w:val="left" w:pos="4200"/>
        </w:tabs>
        <w:autoSpaceDE w:val="0"/>
        <w:autoSpaceDN w:val="0"/>
        <w:adjustRightInd w:val="0"/>
        <w:spacing w:before="1" w:line="360" w:lineRule="auto"/>
        <w:ind w:right="-214"/>
        <w:jc w:val="center"/>
        <w:rPr>
          <w:rFonts w:ascii="宋体" w:hAnsi="宋体" w:cs="宋体"/>
          <w:b/>
          <w:sz w:val="40"/>
          <w:szCs w:val="40"/>
        </w:rPr>
      </w:pPr>
      <w:r>
        <w:rPr>
          <w:rFonts w:hint="eastAsia" w:ascii="宋体" w:hAnsi="宋体" w:cs="宋体"/>
          <w:b/>
          <w:sz w:val="36"/>
          <w:szCs w:val="36"/>
        </w:rPr>
        <w:t>反商业贿赂承诺书</w:t>
      </w:r>
    </w:p>
    <w:p w14:paraId="7B4886DB">
      <w:pPr>
        <w:spacing w:line="360" w:lineRule="auto"/>
        <w:rPr>
          <w:rFonts w:ascii="宋体" w:hAnsi="宋体" w:cs="宋体"/>
          <w:sz w:val="24"/>
        </w:rPr>
      </w:pPr>
    </w:p>
    <w:p w14:paraId="286A774C">
      <w:pPr>
        <w:spacing w:line="360" w:lineRule="auto"/>
        <w:rPr>
          <w:rFonts w:ascii="宋体" w:hAnsi="宋体" w:cs="宋体"/>
          <w:szCs w:val="21"/>
        </w:rPr>
      </w:pPr>
      <w:r>
        <w:rPr>
          <w:rFonts w:hint="eastAsia" w:ascii="宋体" w:hAnsi="宋体" w:cs="宋体"/>
          <w:szCs w:val="21"/>
        </w:rPr>
        <w:t>我公司承诺：</w:t>
      </w:r>
    </w:p>
    <w:p w14:paraId="176F5C47">
      <w:pPr>
        <w:spacing w:line="360" w:lineRule="auto"/>
        <w:ind w:firstLine="555"/>
        <w:rPr>
          <w:rFonts w:ascii="宋体" w:hAnsi="宋体" w:cs="宋体"/>
          <w:szCs w:val="21"/>
        </w:rPr>
      </w:pPr>
      <w:r>
        <w:rPr>
          <w:rFonts w:hint="eastAsia" w:ascii="宋体" w:hAnsi="宋体" w:cs="宋体"/>
          <w:szCs w:val="21"/>
        </w:rPr>
        <w:t>在</w:t>
      </w:r>
      <w:r>
        <w:rPr>
          <w:rFonts w:hint="eastAsia" w:ascii="宋体" w:hAnsi="宋体" w:cs="宋体"/>
          <w:szCs w:val="21"/>
          <w:u w:val="single"/>
        </w:rPr>
        <w:t xml:space="preserve"> （项目名称）</w:t>
      </w:r>
      <w:r>
        <w:rPr>
          <w:rFonts w:hint="eastAsia" w:ascii="宋体" w:hAnsi="宋体" w:cs="宋体"/>
          <w:szCs w:val="21"/>
        </w:rPr>
        <w:t>采购活动中，我公司保证做到：</w:t>
      </w:r>
    </w:p>
    <w:p w14:paraId="2633D614">
      <w:pPr>
        <w:spacing w:line="360" w:lineRule="auto"/>
        <w:ind w:firstLine="555"/>
        <w:rPr>
          <w:rFonts w:ascii="宋体" w:hAnsi="宋体" w:cs="宋体"/>
          <w:szCs w:val="21"/>
        </w:rPr>
      </w:pPr>
      <w:r>
        <w:rPr>
          <w:rFonts w:hint="eastAsia" w:ascii="宋体" w:hAnsi="宋体" w:cs="宋体"/>
          <w:szCs w:val="21"/>
        </w:rPr>
        <w:t>一、公平竞争参加本次采购活动。</w:t>
      </w:r>
    </w:p>
    <w:p w14:paraId="2DA87F47">
      <w:pPr>
        <w:spacing w:line="360" w:lineRule="auto"/>
        <w:ind w:firstLine="555"/>
        <w:rPr>
          <w:rFonts w:ascii="宋体" w:hAnsi="宋体" w:cs="宋体"/>
          <w:szCs w:val="21"/>
        </w:rPr>
      </w:pPr>
      <w:r>
        <w:rPr>
          <w:rFonts w:hint="eastAsia" w:ascii="宋体" w:hAnsi="宋体" w:cs="宋体"/>
          <w:szCs w:val="21"/>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3427A19B">
      <w:pPr>
        <w:spacing w:line="360" w:lineRule="auto"/>
        <w:ind w:firstLine="555"/>
        <w:rPr>
          <w:rFonts w:ascii="宋体" w:hAnsi="宋体" w:cs="宋体"/>
          <w:szCs w:val="21"/>
        </w:rPr>
      </w:pPr>
      <w:r>
        <w:rPr>
          <w:rFonts w:hint="eastAsia" w:ascii="宋体" w:hAnsi="宋体" w:cs="宋体"/>
          <w:szCs w:val="21"/>
        </w:rPr>
        <w:t>三、若出现上述行为，我公司及参与投标的工作人员愿意接受按照国家法律法规等有关规定给予的处罚。</w:t>
      </w:r>
    </w:p>
    <w:p w14:paraId="6F6F96D7">
      <w:pPr>
        <w:spacing w:line="360" w:lineRule="auto"/>
        <w:ind w:firstLine="1470" w:firstLineChars="700"/>
        <w:rPr>
          <w:rFonts w:ascii="宋体" w:hAnsi="宋体" w:cs="宋体"/>
          <w:szCs w:val="21"/>
        </w:rPr>
      </w:pPr>
    </w:p>
    <w:p w14:paraId="26FAA6A6">
      <w:pPr>
        <w:spacing w:line="360" w:lineRule="auto"/>
        <w:ind w:firstLine="1470" w:firstLineChars="700"/>
        <w:rPr>
          <w:rFonts w:ascii="宋体" w:hAnsi="宋体" w:cs="宋体"/>
          <w:szCs w:val="21"/>
        </w:rPr>
      </w:pPr>
    </w:p>
    <w:p w14:paraId="78D8018C">
      <w:pPr>
        <w:spacing w:line="360" w:lineRule="auto"/>
        <w:ind w:firstLine="555"/>
        <w:jc w:val="center"/>
        <w:rPr>
          <w:rFonts w:ascii="宋体" w:hAnsi="宋体" w:cs="宋体"/>
          <w:szCs w:val="21"/>
        </w:rPr>
      </w:pPr>
      <w:r>
        <w:rPr>
          <w:rFonts w:hint="eastAsia" w:ascii="宋体" w:hAnsi="宋体" w:cs="宋体"/>
          <w:szCs w:val="21"/>
        </w:rPr>
        <w:t xml:space="preserve">                     </w:t>
      </w:r>
      <w:bookmarkStart w:id="138" w:name="_Toc28316_WPSOffice_Level2"/>
      <w:bookmarkStart w:id="139" w:name="_Toc5473_WPSOffice_Level2"/>
      <w:bookmarkStart w:id="140" w:name="_Toc364_WPSOffice_Level2"/>
      <w:r>
        <w:rPr>
          <w:rFonts w:hint="eastAsia" w:ascii="宋体" w:hAnsi="宋体" w:cs="宋体"/>
          <w:szCs w:val="21"/>
        </w:rPr>
        <w:t>供应商名称(盖公章):_____________</w:t>
      </w:r>
      <w:bookmarkEnd w:id="138"/>
      <w:bookmarkEnd w:id="139"/>
      <w:bookmarkEnd w:id="140"/>
    </w:p>
    <w:p w14:paraId="11C0507F">
      <w:pPr>
        <w:spacing w:line="360" w:lineRule="auto"/>
        <w:ind w:firstLine="555"/>
        <w:jc w:val="right"/>
        <w:rPr>
          <w:rFonts w:ascii="宋体" w:hAnsi="宋体" w:cs="宋体"/>
          <w:szCs w:val="21"/>
        </w:rPr>
      </w:pPr>
      <w:r>
        <w:rPr>
          <w:rFonts w:hint="eastAsia" w:ascii="宋体" w:hAnsi="宋体" w:cs="宋体"/>
          <w:szCs w:val="21"/>
        </w:rPr>
        <w:t xml:space="preserve"> 法定代表人(负责人）或授权代理人（签字或盖章）：__________</w:t>
      </w:r>
    </w:p>
    <w:p w14:paraId="19DCDCB3">
      <w:pPr>
        <w:spacing w:line="360" w:lineRule="auto"/>
        <w:ind w:firstLine="1470" w:firstLineChars="700"/>
        <w:rPr>
          <w:rFonts w:ascii="宋体" w:hAnsi="宋体" w:cs="宋体"/>
          <w:szCs w:val="21"/>
        </w:rPr>
      </w:pPr>
    </w:p>
    <w:p w14:paraId="490B7A38">
      <w:pPr>
        <w:spacing w:line="360" w:lineRule="auto"/>
        <w:ind w:firstLine="555"/>
        <w:rPr>
          <w:rFonts w:ascii="宋体" w:hAnsi="宋体" w:cs="宋体"/>
          <w:szCs w:val="21"/>
        </w:rPr>
      </w:pPr>
      <w:r>
        <w:rPr>
          <w:rFonts w:hint="eastAsia" w:ascii="宋体" w:hAnsi="宋体" w:cs="宋体"/>
          <w:szCs w:val="21"/>
        </w:rPr>
        <w:t xml:space="preserve">                                            </w:t>
      </w:r>
    </w:p>
    <w:p w14:paraId="585CA337">
      <w:pPr>
        <w:spacing w:line="360" w:lineRule="auto"/>
        <w:ind w:firstLine="5558" w:firstLineChars="2647"/>
        <w:rPr>
          <w:rFonts w:ascii="宋体" w:hAnsi="宋体" w:cs="宋体"/>
          <w:szCs w:val="21"/>
        </w:rPr>
      </w:pPr>
      <w:r>
        <w:rPr>
          <w:rFonts w:hint="eastAsia" w:ascii="宋体" w:hAnsi="宋体" w:cs="宋体"/>
          <w:szCs w:val="21"/>
        </w:rPr>
        <w:t>年   月   日</w:t>
      </w:r>
    </w:p>
    <w:p w14:paraId="2F8EE564">
      <w:pPr>
        <w:jc w:val="left"/>
        <w:textAlignment w:val="auto"/>
        <w:rPr>
          <w:rFonts w:ascii="宋体" w:hAnsi="宋体" w:cs="宋体"/>
          <w:b/>
          <w:kern w:val="0"/>
          <w:sz w:val="22"/>
          <w:szCs w:val="22"/>
        </w:rPr>
      </w:pPr>
      <w:r>
        <w:rPr>
          <w:rFonts w:ascii="宋体" w:hAnsi="宋体" w:cs="宋体"/>
          <w:b/>
          <w:kern w:val="0"/>
          <w:sz w:val="22"/>
          <w:szCs w:val="22"/>
        </w:rPr>
        <w:br w:type="page"/>
      </w:r>
    </w:p>
    <w:p w14:paraId="01A0D0E7">
      <w:pPr>
        <w:spacing w:line="500" w:lineRule="exact"/>
        <w:jc w:val="center"/>
        <w:rPr>
          <w:rFonts w:ascii="宋体" w:hAnsi="宋体" w:cs="宋体"/>
          <w:b/>
          <w:kern w:val="0"/>
          <w:sz w:val="22"/>
          <w:szCs w:val="22"/>
        </w:rPr>
      </w:pPr>
      <w:r>
        <w:rPr>
          <w:rFonts w:hint="eastAsia" w:ascii="宋体" w:hAnsi="宋体" w:cs="宋体"/>
          <w:b/>
          <w:kern w:val="0"/>
          <w:sz w:val="22"/>
          <w:szCs w:val="22"/>
        </w:rPr>
        <w:t>1. 中小企业声明函（服务）</w:t>
      </w:r>
    </w:p>
    <w:p w14:paraId="117ADE06">
      <w:pPr>
        <w:spacing w:line="500" w:lineRule="exact"/>
        <w:ind w:firstLine="440" w:firstLineChars="200"/>
        <w:rPr>
          <w:rFonts w:ascii="宋体" w:hAnsi="宋体" w:cs="宋体"/>
          <w:kern w:val="0"/>
          <w:sz w:val="22"/>
          <w:szCs w:val="22"/>
        </w:rPr>
      </w:pPr>
      <w:r>
        <w:rPr>
          <w:rFonts w:hint="eastAsia" w:ascii="宋体" w:hAnsi="宋体" w:cs="宋体"/>
          <w:kern w:val="0"/>
          <w:sz w:val="22"/>
          <w:szCs w:val="22"/>
        </w:rPr>
        <w:t>本公司（联合体）郑重声明，根据《政府采购促进中小企业发展管理办法》（财库﹝2020﹞46 号）的规定，本公司 （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31A4572F">
      <w:pPr>
        <w:spacing w:line="500" w:lineRule="exact"/>
        <w:ind w:firstLine="440" w:firstLineChars="200"/>
        <w:rPr>
          <w:rFonts w:ascii="宋体" w:hAnsi="宋体" w:cs="宋体"/>
          <w:kern w:val="0"/>
          <w:sz w:val="22"/>
          <w:szCs w:val="22"/>
        </w:rPr>
      </w:pPr>
      <w:r>
        <w:rPr>
          <w:rFonts w:hint="eastAsia" w:ascii="宋体" w:hAnsi="宋体" w:cs="宋体"/>
          <w:kern w:val="0"/>
          <w:sz w:val="22"/>
          <w:szCs w:val="22"/>
        </w:rPr>
        <w:t xml:space="preserve"> 1. </w:t>
      </w:r>
      <w:r>
        <w:rPr>
          <w:rFonts w:hint="eastAsia" w:ascii="宋体" w:hAnsi="宋体" w:cs="宋体"/>
          <w:kern w:val="0"/>
          <w:sz w:val="22"/>
          <w:szCs w:val="22"/>
          <w:u w:val="single"/>
        </w:rPr>
        <w:t xml:space="preserve">  （标的名称）  </w:t>
      </w:r>
      <w:r>
        <w:rPr>
          <w:rFonts w:hint="eastAsia" w:ascii="宋体" w:hAnsi="宋体" w:cs="宋体"/>
          <w:kern w:val="0"/>
          <w:sz w:val="22"/>
          <w:szCs w:val="22"/>
        </w:rPr>
        <w:t>，属于</w:t>
      </w:r>
      <w:r>
        <w:rPr>
          <w:rFonts w:hint="eastAsia" w:ascii="宋体" w:hAnsi="宋体" w:cs="宋体"/>
          <w:kern w:val="0"/>
          <w:sz w:val="22"/>
          <w:szCs w:val="22"/>
          <w:u w:val="single"/>
        </w:rPr>
        <w:t xml:space="preserve">  （采购文件中明确的所属行业）   </w:t>
      </w:r>
      <w:r>
        <w:rPr>
          <w:rFonts w:hint="eastAsia" w:ascii="宋体" w:hAnsi="宋体" w:cs="宋体"/>
          <w:kern w:val="0"/>
          <w:sz w:val="22"/>
          <w:szCs w:val="22"/>
        </w:rPr>
        <w:t>； 承建（承接）企业为</w:t>
      </w:r>
      <w:r>
        <w:rPr>
          <w:rFonts w:hint="eastAsia" w:ascii="宋体" w:hAnsi="宋体" w:cs="宋体"/>
          <w:kern w:val="0"/>
          <w:sz w:val="22"/>
          <w:szCs w:val="22"/>
          <w:u w:val="single"/>
        </w:rPr>
        <w:t>（企业名称）</w:t>
      </w:r>
      <w:r>
        <w:rPr>
          <w:rFonts w:hint="eastAsia" w:ascii="宋体" w:hAnsi="宋体" w:cs="宋体"/>
          <w:kern w:val="0"/>
          <w:sz w:val="22"/>
          <w:szCs w:val="22"/>
        </w:rPr>
        <w:t>，从业人员</w:t>
      </w:r>
      <w:r>
        <w:rPr>
          <w:rFonts w:hint="eastAsia" w:ascii="宋体" w:hAnsi="宋体" w:cs="宋体"/>
          <w:kern w:val="0"/>
          <w:sz w:val="22"/>
          <w:szCs w:val="22"/>
          <w:u w:val="single"/>
        </w:rPr>
        <w:t xml:space="preserve">    </w:t>
      </w:r>
      <w:r>
        <w:rPr>
          <w:rFonts w:hint="eastAsia" w:ascii="宋体" w:hAnsi="宋体" w:cs="宋体"/>
          <w:kern w:val="0"/>
          <w:sz w:val="22"/>
          <w:szCs w:val="22"/>
        </w:rPr>
        <w:t>人，营业 收入为</w:t>
      </w:r>
      <w:r>
        <w:rPr>
          <w:rFonts w:hint="eastAsia" w:ascii="宋体" w:hAnsi="宋体" w:cs="宋体"/>
          <w:kern w:val="0"/>
          <w:sz w:val="22"/>
          <w:szCs w:val="22"/>
          <w:u w:val="single"/>
        </w:rPr>
        <w:t xml:space="preserve">   </w:t>
      </w:r>
      <w:r>
        <w:rPr>
          <w:rFonts w:hint="eastAsia" w:ascii="宋体" w:hAnsi="宋体" w:cs="宋体"/>
          <w:kern w:val="0"/>
          <w:sz w:val="22"/>
          <w:szCs w:val="22"/>
        </w:rPr>
        <w:t>万元，资产总额为</w:t>
      </w:r>
      <w:r>
        <w:rPr>
          <w:rFonts w:hint="eastAsia" w:ascii="宋体" w:hAnsi="宋体" w:cs="宋体"/>
          <w:kern w:val="0"/>
          <w:sz w:val="22"/>
          <w:szCs w:val="22"/>
          <w:u w:val="single"/>
        </w:rPr>
        <w:t xml:space="preserve">   </w:t>
      </w:r>
      <w:r>
        <w:rPr>
          <w:rFonts w:hint="eastAsia" w:ascii="宋体" w:hAnsi="宋体" w:cs="宋体"/>
          <w:kern w:val="0"/>
          <w:sz w:val="22"/>
          <w:szCs w:val="22"/>
        </w:rPr>
        <w:t>万元 1，属于</w:t>
      </w:r>
      <w:r>
        <w:rPr>
          <w:rFonts w:hint="eastAsia" w:ascii="宋体" w:hAnsi="宋体" w:cs="宋体"/>
          <w:kern w:val="0"/>
          <w:sz w:val="22"/>
          <w:szCs w:val="22"/>
          <w:u w:val="single"/>
        </w:rPr>
        <w:t>（中型企业、 小型企业、微型企业）</w:t>
      </w:r>
      <w:r>
        <w:rPr>
          <w:rFonts w:hint="eastAsia" w:ascii="宋体" w:hAnsi="宋体" w:cs="宋体"/>
          <w:kern w:val="0"/>
          <w:sz w:val="22"/>
          <w:szCs w:val="22"/>
        </w:rPr>
        <w:t>；</w:t>
      </w:r>
    </w:p>
    <w:p w14:paraId="08B1849A">
      <w:pPr>
        <w:spacing w:line="500" w:lineRule="exact"/>
        <w:ind w:firstLine="440" w:firstLineChars="200"/>
        <w:rPr>
          <w:rFonts w:ascii="宋体" w:hAnsi="宋体" w:cs="宋体"/>
          <w:kern w:val="0"/>
          <w:sz w:val="22"/>
          <w:szCs w:val="22"/>
        </w:rPr>
      </w:pPr>
      <w:r>
        <w:rPr>
          <w:rFonts w:hint="eastAsia" w:ascii="宋体" w:hAnsi="宋体" w:cs="宋体"/>
          <w:kern w:val="0"/>
          <w:sz w:val="22"/>
          <w:szCs w:val="22"/>
        </w:rPr>
        <w:t xml:space="preserve"> 2. </w:t>
      </w:r>
      <w:r>
        <w:rPr>
          <w:rFonts w:hint="eastAsia" w:ascii="宋体" w:hAnsi="宋体" w:cs="宋体"/>
          <w:kern w:val="0"/>
          <w:sz w:val="22"/>
          <w:szCs w:val="22"/>
          <w:u w:val="single"/>
        </w:rPr>
        <w:t>（标的名称）</w:t>
      </w:r>
      <w:r>
        <w:rPr>
          <w:rFonts w:hint="eastAsia" w:ascii="宋体" w:hAnsi="宋体" w:cs="宋体"/>
          <w:kern w:val="0"/>
          <w:sz w:val="22"/>
          <w:szCs w:val="22"/>
        </w:rPr>
        <w:t xml:space="preserve"> ，属于</w:t>
      </w:r>
      <w:r>
        <w:rPr>
          <w:rFonts w:hint="eastAsia" w:ascii="宋体" w:hAnsi="宋体" w:cs="宋体"/>
          <w:kern w:val="0"/>
          <w:sz w:val="22"/>
          <w:szCs w:val="22"/>
          <w:u w:val="single"/>
        </w:rPr>
        <w:t>（采购文件中明确的所属行业）</w:t>
      </w:r>
      <w:r>
        <w:rPr>
          <w:rFonts w:hint="eastAsia" w:ascii="宋体" w:hAnsi="宋体" w:cs="宋体"/>
          <w:kern w:val="0"/>
          <w:sz w:val="22"/>
          <w:szCs w:val="22"/>
        </w:rPr>
        <w:t>； 承建（承接）企业为</w:t>
      </w:r>
      <w:r>
        <w:rPr>
          <w:rFonts w:hint="eastAsia" w:ascii="宋体" w:hAnsi="宋体" w:cs="宋体"/>
          <w:kern w:val="0"/>
          <w:sz w:val="22"/>
          <w:szCs w:val="22"/>
          <w:u w:val="single"/>
        </w:rPr>
        <w:t>（企业名称）</w:t>
      </w:r>
      <w:r>
        <w:rPr>
          <w:rFonts w:hint="eastAsia" w:ascii="宋体" w:hAnsi="宋体" w:cs="宋体"/>
          <w:kern w:val="0"/>
          <w:sz w:val="22"/>
          <w:szCs w:val="22"/>
        </w:rPr>
        <w:t xml:space="preserve">，从业人员 </w:t>
      </w:r>
      <w:r>
        <w:rPr>
          <w:rFonts w:hint="eastAsia" w:ascii="宋体" w:hAnsi="宋体" w:cs="宋体"/>
          <w:kern w:val="0"/>
          <w:sz w:val="22"/>
          <w:szCs w:val="22"/>
          <w:u w:val="single"/>
        </w:rPr>
        <w:t xml:space="preserve">    </w:t>
      </w:r>
      <w:r>
        <w:rPr>
          <w:rFonts w:hint="eastAsia" w:ascii="宋体" w:hAnsi="宋体" w:cs="宋体"/>
          <w:kern w:val="0"/>
          <w:sz w:val="22"/>
          <w:szCs w:val="22"/>
        </w:rPr>
        <w:t>人，营业 收入为</w:t>
      </w:r>
      <w:r>
        <w:rPr>
          <w:rFonts w:hint="eastAsia" w:ascii="宋体" w:hAnsi="宋体" w:cs="宋体"/>
          <w:kern w:val="0"/>
          <w:sz w:val="22"/>
          <w:szCs w:val="22"/>
          <w:u w:val="single"/>
        </w:rPr>
        <w:t xml:space="preserve">    </w:t>
      </w:r>
      <w:r>
        <w:rPr>
          <w:rFonts w:hint="eastAsia" w:ascii="宋体" w:hAnsi="宋体" w:cs="宋体"/>
          <w:kern w:val="0"/>
          <w:sz w:val="22"/>
          <w:szCs w:val="22"/>
        </w:rPr>
        <w:t>万元，资产总额为</w:t>
      </w:r>
      <w:r>
        <w:rPr>
          <w:rFonts w:hint="eastAsia" w:ascii="宋体" w:hAnsi="宋体" w:cs="宋体"/>
          <w:kern w:val="0"/>
          <w:sz w:val="22"/>
          <w:szCs w:val="22"/>
          <w:u w:val="single"/>
        </w:rPr>
        <w:t xml:space="preserve">   </w:t>
      </w:r>
      <w:r>
        <w:rPr>
          <w:rFonts w:hint="eastAsia" w:ascii="宋体" w:hAnsi="宋体" w:cs="宋体"/>
          <w:kern w:val="0"/>
          <w:sz w:val="22"/>
          <w:szCs w:val="22"/>
        </w:rPr>
        <w:t>万元，属于</w:t>
      </w:r>
      <w:r>
        <w:rPr>
          <w:rFonts w:hint="eastAsia" w:ascii="宋体" w:hAnsi="宋体" w:cs="宋体"/>
          <w:kern w:val="0"/>
          <w:sz w:val="22"/>
          <w:szCs w:val="22"/>
          <w:u w:val="single"/>
        </w:rPr>
        <w:t>（中型企业、 小型企业、微型企业）</w:t>
      </w:r>
      <w:r>
        <w:rPr>
          <w:rFonts w:hint="eastAsia" w:ascii="宋体" w:hAnsi="宋体" w:cs="宋体"/>
          <w:kern w:val="0"/>
          <w:sz w:val="22"/>
          <w:szCs w:val="22"/>
        </w:rPr>
        <w:t xml:space="preserve">； </w:t>
      </w:r>
    </w:p>
    <w:p w14:paraId="1D38AD99">
      <w:pPr>
        <w:spacing w:line="500" w:lineRule="exact"/>
        <w:ind w:firstLine="440" w:firstLineChars="200"/>
        <w:rPr>
          <w:rFonts w:ascii="宋体" w:hAnsi="宋体" w:cs="宋体"/>
          <w:kern w:val="0"/>
          <w:sz w:val="22"/>
          <w:szCs w:val="22"/>
        </w:rPr>
      </w:pPr>
      <w:r>
        <w:rPr>
          <w:rFonts w:hint="eastAsia" w:ascii="宋体" w:hAnsi="宋体" w:cs="宋体"/>
          <w:kern w:val="0"/>
          <w:sz w:val="22"/>
          <w:szCs w:val="22"/>
        </w:rPr>
        <w:t xml:space="preserve">…… </w:t>
      </w:r>
    </w:p>
    <w:p w14:paraId="226897C5">
      <w:pPr>
        <w:spacing w:line="500" w:lineRule="exact"/>
        <w:ind w:firstLine="440" w:firstLineChars="200"/>
        <w:rPr>
          <w:rFonts w:ascii="宋体" w:hAnsi="宋体" w:cs="宋体"/>
          <w:kern w:val="0"/>
          <w:sz w:val="22"/>
          <w:szCs w:val="22"/>
        </w:rPr>
      </w:pPr>
      <w:r>
        <w:rPr>
          <w:rFonts w:hint="eastAsia" w:ascii="宋体" w:hAnsi="宋体" w:cs="宋体"/>
          <w:kern w:val="0"/>
          <w:sz w:val="22"/>
          <w:szCs w:val="22"/>
        </w:rPr>
        <w:t>以上企业，不属于大企业的分支机构，不存在控股股东为大企业的情形，也不存在与大企业的负责人为同一人的情形。</w:t>
      </w:r>
    </w:p>
    <w:p w14:paraId="21931FD8">
      <w:pPr>
        <w:spacing w:line="500" w:lineRule="exact"/>
        <w:jc w:val="center"/>
        <w:rPr>
          <w:rFonts w:ascii="宋体" w:hAnsi="宋体" w:cs="宋体"/>
          <w:kern w:val="0"/>
          <w:sz w:val="22"/>
          <w:szCs w:val="22"/>
        </w:rPr>
      </w:pPr>
      <w:r>
        <w:rPr>
          <w:rFonts w:hint="eastAsia" w:ascii="宋体" w:hAnsi="宋体" w:cs="宋体"/>
          <w:kern w:val="0"/>
          <w:sz w:val="22"/>
          <w:szCs w:val="22"/>
        </w:rPr>
        <w:t>本企业对上述声明内容的真实性负责。如有虚假，将依法承担相应责任。</w:t>
      </w:r>
    </w:p>
    <w:p w14:paraId="2439774D">
      <w:pPr>
        <w:spacing w:line="500" w:lineRule="exact"/>
        <w:ind w:right="420" w:firstLine="3300" w:firstLineChars="1500"/>
        <w:rPr>
          <w:rFonts w:ascii="宋体" w:hAnsi="宋体" w:cs="宋体"/>
          <w:kern w:val="0"/>
          <w:sz w:val="22"/>
          <w:szCs w:val="22"/>
        </w:rPr>
      </w:pPr>
    </w:p>
    <w:p w14:paraId="4BA28E4A">
      <w:pPr>
        <w:spacing w:line="360" w:lineRule="auto"/>
        <w:jc w:val="right"/>
        <w:rPr>
          <w:rFonts w:ascii="宋体" w:hAnsi="宋体" w:cs="宋体"/>
          <w:kern w:val="0"/>
          <w:sz w:val="22"/>
          <w:szCs w:val="22"/>
        </w:rPr>
      </w:pPr>
      <w:r>
        <w:rPr>
          <w:rFonts w:hint="eastAsia" w:ascii="宋体" w:hAnsi="宋体" w:cs="宋体"/>
          <w:kern w:val="0"/>
          <w:sz w:val="22"/>
          <w:szCs w:val="22"/>
        </w:rPr>
        <w:t>供应商：</w:t>
      </w:r>
      <w:r>
        <w:rPr>
          <w:rFonts w:hint="eastAsia" w:ascii="宋体" w:hAnsi="宋体" w:cs="宋体"/>
          <w:kern w:val="0"/>
          <w:sz w:val="22"/>
          <w:szCs w:val="22"/>
          <w:u w:val="single"/>
        </w:rPr>
        <w:t xml:space="preserve">                             </w:t>
      </w:r>
      <w:r>
        <w:rPr>
          <w:rFonts w:hint="eastAsia" w:ascii="宋体" w:hAnsi="宋体" w:cs="宋体"/>
          <w:kern w:val="0"/>
          <w:sz w:val="22"/>
          <w:szCs w:val="22"/>
        </w:rPr>
        <w:t>（盖章）</w:t>
      </w:r>
    </w:p>
    <w:p w14:paraId="36398FC0">
      <w:pPr>
        <w:spacing w:line="360" w:lineRule="auto"/>
        <w:jc w:val="right"/>
        <w:rPr>
          <w:rFonts w:ascii="宋体" w:hAnsi="宋体" w:cs="宋体"/>
          <w:kern w:val="0"/>
          <w:sz w:val="22"/>
          <w:szCs w:val="22"/>
        </w:rPr>
      </w:pPr>
      <w:r>
        <w:rPr>
          <w:rFonts w:hint="eastAsia" w:ascii="宋体" w:hAnsi="宋体" w:cs="宋体"/>
          <w:kern w:val="0"/>
          <w:sz w:val="22"/>
          <w:szCs w:val="22"/>
        </w:rPr>
        <w:t>法定代表人或授权委托人：</w:t>
      </w:r>
      <w:r>
        <w:rPr>
          <w:rFonts w:hint="eastAsia" w:ascii="宋体" w:hAnsi="宋体" w:cs="宋体"/>
          <w:kern w:val="0"/>
          <w:sz w:val="22"/>
          <w:szCs w:val="22"/>
          <w:u w:val="single"/>
        </w:rPr>
        <w:t xml:space="preserve">           </w:t>
      </w:r>
      <w:r>
        <w:rPr>
          <w:rFonts w:hint="eastAsia" w:ascii="宋体" w:hAnsi="宋体" w:cs="宋体"/>
          <w:kern w:val="0"/>
          <w:sz w:val="22"/>
          <w:szCs w:val="22"/>
        </w:rPr>
        <w:t>（签字或盖章）</w:t>
      </w:r>
    </w:p>
    <w:p w14:paraId="594C9942">
      <w:pPr>
        <w:spacing w:line="360" w:lineRule="auto"/>
        <w:jc w:val="right"/>
        <w:rPr>
          <w:rFonts w:ascii="宋体" w:hAnsi="宋体" w:cs="宋体"/>
          <w:kern w:val="0"/>
          <w:sz w:val="22"/>
          <w:szCs w:val="22"/>
        </w:rPr>
      </w:pPr>
    </w:p>
    <w:p w14:paraId="6AA05104">
      <w:pPr>
        <w:spacing w:line="360" w:lineRule="auto"/>
        <w:jc w:val="right"/>
        <w:rPr>
          <w:rFonts w:ascii="宋体" w:hAnsi="宋体" w:cs="宋体"/>
          <w:kern w:val="0"/>
          <w:sz w:val="22"/>
          <w:szCs w:val="22"/>
        </w:rPr>
      </w:pPr>
      <w:r>
        <w:rPr>
          <w:rFonts w:hint="eastAsia" w:ascii="宋体" w:hAnsi="宋体" w:cs="宋体"/>
          <w:kern w:val="0"/>
          <w:sz w:val="22"/>
          <w:szCs w:val="22"/>
          <w:u w:val="single"/>
        </w:rPr>
        <w:t xml:space="preserve">          </w:t>
      </w:r>
      <w:r>
        <w:rPr>
          <w:rFonts w:hint="eastAsia" w:ascii="宋体" w:hAnsi="宋体" w:cs="宋体"/>
          <w:kern w:val="0"/>
          <w:sz w:val="22"/>
          <w:szCs w:val="22"/>
        </w:rPr>
        <w:t>年</w:t>
      </w:r>
      <w:r>
        <w:rPr>
          <w:rFonts w:hint="eastAsia" w:ascii="宋体" w:hAnsi="宋体" w:cs="宋体"/>
          <w:kern w:val="0"/>
          <w:sz w:val="22"/>
          <w:szCs w:val="22"/>
          <w:u w:val="single"/>
        </w:rPr>
        <w:t xml:space="preserve">        </w:t>
      </w:r>
      <w:r>
        <w:rPr>
          <w:rFonts w:hint="eastAsia" w:ascii="宋体" w:hAnsi="宋体" w:cs="宋体"/>
          <w:kern w:val="0"/>
          <w:sz w:val="22"/>
          <w:szCs w:val="22"/>
        </w:rPr>
        <w:t>月</w:t>
      </w:r>
      <w:r>
        <w:rPr>
          <w:rFonts w:hint="eastAsia" w:ascii="宋体" w:hAnsi="宋体" w:cs="宋体"/>
          <w:kern w:val="0"/>
          <w:sz w:val="22"/>
          <w:szCs w:val="22"/>
          <w:u w:val="single"/>
        </w:rPr>
        <w:t xml:space="preserve">        </w:t>
      </w:r>
      <w:r>
        <w:rPr>
          <w:rFonts w:hint="eastAsia" w:ascii="宋体" w:hAnsi="宋体" w:cs="宋体"/>
          <w:kern w:val="0"/>
          <w:sz w:val="22"/>
          <w:szCs w:val="22"/>
        </w:rPr>
        <w:t>日</w:t>
      </w:r>
    </w:p>
    <w:p w14:paraId="2350F0B4">
      <w:pPr>
        <w:spacing w:line="360" w:lineRule="auto"/>
        <w:ind w:firstLine="440" w:firstLineChars="200"/>
        <w:rPr>
          <w:rFonts w:ascii="宋体" w:hAnsi="宋体" w:cs="宋体"/>
          <w:kern w:val="0"/>
          <w:sz w:val="22"/>
          <w:szCs w:val="22"/>
        </w:rPr>
      </w:pPr>
    </w:p>
    <w:p w14:paraId="732EF298">
      <w:pPr>
        <w:pStyle w:val="111"/>
        <w:ind w:firstLine="440"/>
        <w:rPr>
          <w:rFonts w:ascii="宋体" w:hAnsi="宋体" w:cs="宋体"/>
          <w:sz w:val="22"/>
          <w:szCs w:val="22"/>
        </w:rPr>
      </w:pPr>
      <w:r>
        <w:rPr>
          <w:rFonts w:hint="eastAsia" w:ascii="宋体" w:hAnsi="宋体" w:cs="宋体"/>
          <w:kern w:val="0"/>
          <w:sz w:val="22"/>
          <w:szCs w:val="22"/>
        </w:rPr>
        <w:br w:type="page"/>
      </w:r>
    </w:p>
    <w:p w14:paraId="6B1D9CD0">
      <w:pPr>
        <w:spacing w:line="500" w:lineRule="exact"/>
        <w:jc w:val="center"/>
        <w:rPr>
          <w:rFonts w:ascii="宋体" w:hAnsi="宋体" w:cs="宋体"/>
          <w:b/>
          <w:kern w:val="0"/>
          <w:sz w:val="22"/>
          <w:szCs w:val="22"/>
          <w:lang w:val="zh-CN"/>
        </w:rPr>
      </w:pPr>
      <w:bookmarkStart w:id="141" w:name="_Toc31854"/>
      <w:r>
        <w:rPr>
          <w:rFonts w:hint="eastAsia" w:ascii="宋体" w:hAnsi="宋体" w:cs="宋体"/>
          <w:b/>
          <w:kern w:val="0"/>
          <w:sz w:val="22"/>
          <w:szCs w:val="22"/>
        </w:rPr>
        <w:t>2.</w:t>
      </w:r>
      <w:r>
        <w:rPr>
          <w:rFonts w:hint="eastAsia" w:ascii="宋体" w:hAnsi="宋体" w:cs="宋体"/>
          <w:b/>
          <w:kern w:val="0"/>
          <w:sz w:val="22"/>
          <w:szCs w:val="22"/>
          <w:lang w:val="zh-CN"/>
        </w:rPr>
        <w:t>残疾人福利性单位声明函（如为残疾人福利性单位）</w:t>
      </w:r>
      <w:bookmarkEnd w:id="141"/>
    </w:p>
    <w:p w14:paraId="6A15D178">
      <w:pPr>
        <w:pStyle w:val="26"/>
        <w:tabs>
          <w:tab w:val="left" w:pos="1104"/>
        </w:tabs>
        <w:ind w:firstLine="0" w:firstLineChars="0"/>
        <w:rPr>
          <w:rFonts w:ascii="宋体" w:hAnsi="宋体" w:cs="宋体"/>
          <w:sz w:val="20"/>
          <w:szCs w:val="22"/>
          <w:lang w:val="zh-CN"/>
        </w:rPr>
      </w:pPr>
    </w:p>
    <w:p w14:paraId="6211D6D0">
      <w:pPr>
        <w:snapToGrid w:val="0"/>
        <w:spacing w:line="480" w:lineRule="auto"/>
        <w:ind w:firstLine="539" w:firstLineChars="245"/>
        <w:rPr>
          <w:rFonts w:ascii="宋体" w:hAnsi="宋体" w:cs="宋体"/>
          <w:bCs/>
          <w:sz w:val="22"/>
          <w:szCs w:val="22"/>
          <w:lang w:val="zh-CN"/>
        </w:rPr>
      </w:pPr>
      <w:r>
        <w:rPr>
          <w:rFonts w:hint="eastAsia" w:ascii="宋体" w:hAnsi="宋体" w:cs="宋体"/>
          <w:bCs/>
          <w:sz w:val="22"/>
          <w:szCs w:val="22"/>
          <w:lang w:val="zh-CN"/>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16ACAD1">
      <w:pPr>
        <w:pStyle w:val="17"/>
        <w:rPr>
          <w:rFonts w:ascii="宋体" w:hAnsi="宋体" w:cs="宋体"/>
          <w:sz w:val="22"/>
          <w:szCs w:val="22"/>
        </w:rPr>
      </w:pPr>
      <w:r>
        <w:rPr>
          <w:rFonts w:hint="eastAsia" w:ascii="宋体" w:hAnsi="宋体" w:cs="宋体"/>
          <w:bCs/>
          <w:sz w:val="22"/>
          <w:szCs w:val="22"/>
          <w:lang w:val="zh-CN"/>
        </w:rPr>
        <w:t>本单位对上述声明的真实性负责。如有虚假，将依法承担相应责任。</w:t>
      </w:r>
    </w:p>
    <w:p w14:paraId="58F3AB49">
      <w:pPr>
        <w:pStyle w:val="17"/>
        <w:rPr>
          <w:rFonts w:ascii="宋体" w:hAnsi="宋体" w:cs="宋体"/>
          <w:sz w:val="22"/>
          <w:szCs w:val="22"/>
        </w:rPr>
      </w:pPr>
    </w:p>
    <w:p w14:paraId="16FEF6EC">
      <w:pPr>
        <w:pStyle w:val="17"/>
        <w:rPr>
          <w:rFonts w:ascii="宋体" w:hAnsi="宋体" w:cs="宋体"/>
          <w:sz w:val="28"/>
          <w:szCs w:val="22"/>
        </w:rPr>
      </w:pPr>
    </w:p>
    <w:p w14:paraId="4E5388AF">
      <w:pPr>
        <w:pStyle w:val="17"/>
        <w:rPr>
          <w:rFonts w:ascii="宋体" w:hAnsi="宋体" w:cs="宋体"/>
        </w:rPr>
      </w:pPr>
    </w:p>
    <w:p w14:paraId="75AF9051">
      <w:pPr>
        <w:pStyle w:val="43"/>
        <w:ind w:firstLine="300"/>
        <w:rPr>
          <w:rStyle w:val="54"/>
          <w:rFonts w:ascii="宋体" w:hAnsi="宋体" w:cs="宋体"/>
          <w:sz w:val="30"/>
          <w:szCs w:val="30"/>
        </w:rPr>
      </w:pPr>
    </w:p>
    <w:p w14:paraId="6B405F18">
      <w:pPr>
        <w:pStyle w:val="43"/>
        <w:ind w:firstLine="300"/>
        <w:rPr>
          <w:rStyle w:val="54"/>
          <w:rFonts w:ascii="宋体" w:hAnsi="宋体" w:cs="宋体"/>
          <w:sz w:val="30"/>
          <w:szCs w:val="30"/>
        </w:rPr>
      </w:pPr>
    </w:p>
    <w:p w14:paraId="1F8D1CAC">
      <w:pPr>
        <w:pStyle w:val="17"/>
        <w:rPr>
          <w:rFonts w:ascii="宋体" w:hAnsi="宋体" w:cs="宋体"/>
        </w:rPr>
      </w:pPr>
    </w:p>
    <w:p w14:paraId="0391BD31">
      <w:pPr>
        <w:pStyle w:val="17"/>
        <w:rPr>
          <w:rFonts w:ascii="宋体" w:hAnsi="宋体" w:cs="宋体"/>
        </w:rPr>
      </w:pPr>
    </w:p>
    <w:p w14:paraId="0913B7F4">
      <w:pPr>
        <w:pStyle w:val="17"/>
        <w:rPr>
          <w:rFonts w:ascii="宋体" w:hAnsi="宋体" w:cs="宋体"/>
        </w:rPr>
      </w:pPr>
    </w:p>
    <w:p w14:paraId="5484B320">
      <w:pPr>
        <w:pStyle w:val="17"/>
        <w:rPr>
          <w:rFonts w:ascii="宋体" w:hAnsi="宋体" w:cs="宋体"/>
        </w:rPr>
      </w:pPr>
    </w:p>
    <w:p w14:paraId="01D8C844">
      <w:pPr>
        <w:pStyle w:val="17"/>
        <w:rPr>
          <w:rFonts w:ascii="宋体" w:hAnsi="宋体" w:cs="宋体"/>
        </w:rPr>
      </w:pPr>
    </w:p>
    <w:p w14:paraId="748792EB">
      <w:pPr>
        <w:pStyle w:val="43"/>
        <w:ind w:firstLine="300"/>
        <w:rPr>
          <w:rStyle w:val="54"/>
          <w:rFonts w:ascii="宋体" w:hAnsi="宋体" w:cs="宋体"/>
          <w:sz w:val="30"/>
          <w:szCs w:val="30"/>
        </w:rPr>
      </w:pPr>
    </w:p>
    <w:p w14:paraId="101C46C0">
      <w:pPr>
        <w:pStyle w:val="43"/>
        <w:ind w:firstLine="300"/>
        <w:rPr>
          <w:rStyle w:val="54"/>
          <w:rFonts w:ascii="宋体" w:hAnsi="宋体" w:cs="宋体"/>
          <w:sz w:val="30"/>
          <w:szCs w:val="30"/>
        </w:rPr>
      </w:pPr>
    </w:p>
    <w:p w14:paraId="27D2E43B">
      <w:pPr>
        <w:pStyle w:val="43"/>
        <w:ind w:firstLine="300"/>
        <w:rPr>
          <w:rStyle w:val="54"/>
          <w:rFonts w:ascii="宋体" w:hAnsi="宋体" w:cs="宋体"/>
          <w:sz w:val="30"/>
          <w:szCs w:val="30"/>
        </w:rPr>
      </w:pPr>
    </w:p>
    <w:p w14:paraId="608A72EA">
      <w:pPr>
        <w:pStyle w:val="43"/>
        <w:ind w:firstLine="300"/>
        <w:rPr>
          <w:rStyle w:val="54"/>
          <w:rFonts w:ascii="宋体" w:hAnsi="宋体" w:cs="宋体"/>
          <w:sz w:val="30"/>
          <w:szCs w:val="30"/>
        </w:rPr>
      </w:pPr>
    </w:p>
    <w:p w14:paraId="3A675FC9">
      <w:pPr>
        <w:pStyle w:val="112"/>
        <w:ind w:firstLine="480"/>
        <w:rPr>
          <w:rFonts w:cs="宋体"/>
          <w:sz w:val="24"/>
          <w:szCs w:val="21"/>
          <w:lang w:val="zh-CN"/>
        </w:rPr>
      </w:pPr>
    </w:p>
    <w:p w14:paraId="47818AEE">
      <w:pPr>
        <w:spacing w:line="500" w:lineRule="exact"/>
        <w:jc w:val="center"/>
        <w:rPr>
          <w:rFonts w:ascii="宋体" w:hAnsi="宋体" w:cs="宋体"/>
          <w:b/>
          <w:kern w:val="0"/>
          <w:sz w:val="22"/>
          <w:szCs w:val="22"/>
        </w:rPr>
      </w:pPr>
    </w:p>
    <w:p w14:paraId="2AD287A0">
      <w:pPr>
        <w:spacing w:line="500" w:lineRule="exact"/>
        <w:jc w:val="center"/>
        <w:rPr>
          <w:rFonts w:ascii="宋体" w:hAnsi="宋体" w:cs="宋体"/>
          <w:b/>
          <w:kern w:val="0"/>
          <w:sz w:val="22"/>
          <w:szCs w:val="22"/>
        </w:rPr>
      </w:pPr>
      <w:r>
        <w:rPr>
          <w:rFonts w:hint="eastAsia" w:ascii="宋体" w:hAnsi="宋体" w:cs="宋体"/>
          <w:b/>
          <w:kern w:val="0"/>
          <w:sz w:val="22"/>
          <w:szCs w:val="22"/>
        </w:rPr>
        <w:t>3.关于监狱企业（如有）</w:t>
      </w:r>
    </w:p>
    <w:p w14:paraId="69A9C44A">
      <w:pPr>
        <w:ind w:firstLine="422" w:firstLineChars="192"/>
        <w:rPr>
          <w:rFonts w:ascii="宋体" w:hAnsi="宋体" w:cs="宋体"/>
          <w:kern w:val="0"/>
          <w:sz w:val="22"/>
          <w:szCs w:val="22"/>
        </w:rPr>
      </w:pPr>
    </w:p>
    <w:p w14:paraId="30DC2972">
      <w:pPr>
        <w:snapToGrid w:val="0"/>
        <w:spacing w:line="480" w:lineRule="auto"/>
        <w:ind w:firstLine="539" w:firstLineChars="245"/>
        <w:rPr>
          <w:rFonts w:ascii="宋体" w:hAnsi="宋体" w:cs="宋体"/>
          <w:kern w:val="0"/>
          <w:sz w:val="22"/>
          <w:szCs w:val="22"/>
        </w:rPr>
      </w:pPr>
      <w:r>
        <w:rPr>
          <w:rFonts w:hint="eastAsia" w:ascii="宋体" w:hAnsi="宋体" w:cs="宋体"/>
          <w:kern w:val="0"/>
          <w:sz w:val="22"/>
          <w:szCs w:val="22"/>
        </w:rPr>
        <w:t>1、政府采购政策</w:t>
      </w:r>
    </w:p>
    <w:p w14:paraId="092EB6BC">
      <w:pPr>
        <w:snapToGrid w:val="0"/>
        <w:spacing w:line="480" w:lineRule="auto"/>
        <w:ind w:firstLine="539" w:firstLineChars="245"/>
        <w:rPr>
          <w:rFonts w:ascii="宋体" w:hAnsi="宋体" w:cs="宋体"/>
          <w:kern w:val="0"/>
          <w:sz w:val="22"/>
          <w:szCs w:val="22"/>
        </w:rPr>
      </w:pPr>
      <w:r>
        <w:rPr>
          <w:rFonts w:hint="eastAsia" w:ascii="宋体" w:hAnsi="宋体" w:cs="宋体"/>
          <w:kern w:val="0"/>
          <w:sz w:val="22"/>
          <w:szCs w:val="22"/>
        </w:rPr>
        <w:t>财政部、司法部关于政府采购支持监狱企业发展有关问题的通知（财库【2014】68 号）。</w:t>
      </w:r>
    </w:p>
    <w:p w14:paraId="6025063D">
      <w:pPr>
        <w:snapToGrid w:val="0"/>
        <w:spacing w:line="480" w:lineRule="auto"/>
        <w:ind w:firstLine="539" w:firstLineChars="245"/>
        <w:rPr>
          <w:rFonts w:ascii="宋体" w:hAnsi="宋体" w:cs="宋体"/>
          <w:kern w:val="0"/>
          <w:sz w:val="22"/>
          <w:szCs w:val="22"/>
        </w:rPr>
      </w:pPr>
      <w:r>
        <w:rPr>
          <w:rFonts w:hint="eastAsia" w:ascii="宋体" w:hAnsi="宋体" w:cs="宋体"/>
          <w:kern w:val="0"/>
          <w:sz w:val="22"/>
          <w:szCs w:val="22"/>
        </w:rPr>
        <w:t>2 、附证明材料</w:t>
      </w:r>
    </w:p>
    <w:p w14:paraId="429D79EA">
      <w:pPr>
        <w:snapToGrid w:val="0"/>
        <w:spacing w:line="480" w:lineRule="auto"/>
        <w:ind w:firstLine="539" w:firstLineChars="245"/>
        <w:rPr>
          <w:rFonts w:ascii="宋体" w:hAnsi="宋体" w:cs="宋体"/>
          <w:kern w:val="0"/>
          <w:sz w:val="22"/>
          <w:szCs w:val="22"/>
        </w:rPr>
      </w:pPr>
      <w:r>
        <w:rPr>
          <w:rFonts w:hint="eastAsia" w:ascii="宋体" w:hAnsi="宋体" w:cs="宋体"/>
          <w:kern w:val="0"/>
          <w:sz w:val="22"/>
          <w:szCs w:val="22"/>
        </w:rPr>
        <w:t>提供由省级以上监狱管理局、戒毒管理局（含新疆生产建设兵团）出具的属于监狱企业的证明文件。</w:t>
      </w:r>
    </w:p>
    <w:p w14:paraId="2E5AEFF5">
      <w:pPr>
        <w:pStyle w:val="112"/>
        <w:ind w:firstLine="480"/>
        <w:rPr>
          <w:rFonts w:cs="宋体"/>
          <w:sz w:val="24"/>
          <w:szCs w:val="21"/>
          <w:lang w:val="zh-CN"/>
        </w:rPr>
      </w:pPr>
    </w:p>
    <w:p w14:paraId="71B45DB2">
      <w:pPr>
        <w:spacing w:line="500" w:lineRule="exact"/>
        <w:jc w:val="center"/>
        <w:rPr>
          <w:rFonts w:ascii="宋体" w:hAnsi="宋体" w:cs="宋体"/>
          <w:b/>
          <w:kern w:val="0"/>
          <w:sz w:val="22"/>
          <w:szCs w:val="22"/>
        </w:rPr>
      </w:pPr>
      <w:r>
        <w:rPr>
          <w:rFonts w:hint="eastAsia" w:ascii="宋体" w:hAnsi="宋体" w:cs="宋体"/>
          <w:b/>
          <w:kern w:val="0"/>
          <w:sz w:val="22"/>
          <w:szCs w:val="22"/>
        </w:rPr>
        <w:t>4.其他政府采购政策及证明材料（如有）</w:t>
      </w:r>
    </w:p>
    <w:p w14:paraId="2F7B71BF">
      <w:pPr>
        <w:pStyle w:val="12"/>
        <w:ind w:left="0" w:leftChars="0" w:firstLine="0" w:firstLineChars="0"/>
        <w:jc w:val="left"/>
        <w:rPr>
          <w:rFonts w:ascii="宋体" w:hAnsi="宋体" w:cs="宋体"/>
          <w:b/>
          <w:bCs/>
          <w:kern w:val="0"/>
          <w:sz w:val="22"/>
          <w:szCs w:val="22"/>
        </w:rPr>
      </w:pPr>
    </w:p>
    <w:p w14:paraId="2DC77E6F">
      <w:pPr>
        <w:spacing w:line="360" w:lineRule="auto"/>
        <w:jc w:val="center"/>
        <w:rPr>
          <w:rFonts w:ascii="宋体" w:hAnsi="宋体" w:cs="宋体"/>
          <w:b/>
          <w:kern w:val="0"/>
          <w:sz w:val="22"/>
          <w:szCs w:val="22"/>
        </w:rPr>
      </w:pPr>
      <w:r>
        <w:rPr>
          <w:rFonts w:hint="eastAsia" w:ascii="宋体" w:hAnsi="宋体" w:cs="宋体"/>
          <w:b/>
          <w:kern w:val="0"/>
          <w:sz w:val="22"/>
          <w:szCs w:val="22"/>
        </w:rPr>
        <w:t>（一）银政易贷</w:t>
      </w:r>
    </w:p>
    <w:p w14:paraId="594A3E31">
      <w:pPr>
        <w:spacing w:line="360" w:lineRule="auto"/>
        <w:rPr>
          <w:rFonts w:ascii="宋体" w:hAnsi="宋体" w:cs="宋体"/>
          <w:kern w:val="0"/>
          <w:sz w:val="22"/>
          <w:szCs w:val="22"/>
        </w:rPr>
      </w:pPr>
      <w:r>
        <w:rPr>
          <w:rFonts w:hint="eastAsia" w:ascii="宋体" w:hAnsi="宋体" w:cs="宋体"/>
          <w:kern w:val="0"/>
          <w:sz w:val="22"/>
          <w:szCs w:val="22"/>
        </w:rPr>
        <w:t>尊敬的政府采购供应商：</w:t>
      </w:r>
    </w:p>
    <w:p w14:paraId="1040BDCA">
      <w:pPr>
        <w:spacing w:line="360" w:lineRule="auto"/>
        <w:ind w:firstLine="440" w:firstLineChars="200"/>
        <w:rPr>
          <w:rFonts w:ascii="宋体" w:hAnsi="宋体" w:cs="宋体"/>
          <w:kern w:val="0"/>
          <w:sz w:val="22"/>
          <w:szCs w:val="22"/>
        </w:rPr>
      </w:pPr>
      <w:r>
        <w:rPr>
          <w:rFonts w:hint="eastAsia" w:ascii="宋体" w:hAnsi="宋体" w:cs="宋体"/>
          <w:kern w:val="0"/>
          <w:sz w:val="22"/>
          <w:szCs w:val="22"/>
        </w:rPr>
        <w:t>您好！</w:t>
      </w:r>
    </w:p>
    <w:p w14:paraId="1EBD95A6">
      <w:pPr>
        <w:spacing w:line="360" w:lineRule="auto"/>
        <w:ind w:firstLine="440" w:firstLineChars="200"/>
        <w:rPr>
          <w:rFonts w:ascii="宋体" w:hAnsi="宋体" w:cs="宋体"/>
          <w:kern w:val="0"/>
          <w:sz w:val="22"/>
          <w:szCs w:val="22"/>
        </w:rPr>
      </w:pPr>
      <w:r>
        <w:rPr>
          <w:rFonts w:hint="eastAsia" w:ascii="宋体" w:hAnsi="宋体" w:cs="宋体"/>
          <w:kern w:val="0"/>
          <w:sz w:val="22"/>
          <w:szCs w:val="22"/>
        </w:rPr>
        <w:t>欢迎您参与政府采购业务！感谢您对我区经济社会发展做出的贡献！</w:t>
      </w:r>
    </w:p>
    <w:p w14:paraId="6A22BBAC">
      <w:pPr>
        <w:spacing w:line="360" w:lineRule="auto"/>
        <w:ind w:firstLine="440" w:firstLineChars="200"/>
        <w:rPr>
          <w:rFonts w:ascii="宋体" w:hAnsi="宋体" w:cs="宋体"/>
          <w:kern w:val="0"/>
          <w:sz w:val="22"/>
          <w:szCs w:val="22"/>
        </w:rPr>
      </w:pPr>
      <w:r>
        <w:rPr>
          <w:rFonts w:hint="eastAsia" w:ascii="宋体" w:hAnsi="宋体" w:cs="宋体"/>
          <w:kern w:val="0"/>
          <w:sz w:val="22"/>
          <w:szCs w:val="22"/>
        </w:rPr>
        <w:t>为进一步优化平顶山市营商环境，切实缓解中小微企业融资难、融资贵的问题2018年平顶山市财政局与平顶山银行签署战略合作协议，帮助在政府采购项目中中标的供应商解决融资问题，平顶山银行推出了用于借款人履行政府采购合同的 “银政易贷”贷款业务，开通了政府采购合同融资绿色通道，配备专业人员定向服务，提高融资服务效率。同时，依靠政府采购合同资金支付的保障，提供免评估、免抵押、免担保、低利率、授信额度在 3000 元-500 万元的贷款业务，在融资审查、审批流程、利率优惠等方面切实给予中小微企业快捷高效融资支持。</w:t>
      </w:r>
    </w:p>
    <w:p w14:paraId="5186A26E">
      <w:pPr>
        <w:spacing w:line="360" w:lineRule="auto"/>
        <w:ind w:firstLine="440" w:firstLineChars="200"/>
        <w:rPr>
          <w:rFonts w:ascii="宋体" w:hAnsi="宋体" w:cs="宋体"/>
          <w:kern w:val="0"/>
          <w:sz w:val="22"/>
          <w:szCs w:val="22"/>
        </w:rPr>
      </w:pPr>
      <w:r>
        <w:rPr>
          <w:rFonts w:hint="eastAsia" w:ascii="宋体" w:hAnsi="宋体" w:cs="宋体"/>
          <w:kern w:val="0"/>
          <w:sz w:val="22"/>
          <w:szCs w:val="22"/>
        </w:rPr>
        <w:t>目前，平顶山银行和市政府采购合同融资工作已全面开始，如有意向享受我市政府采购合同融资政策，请登录平顶山市政府采购网（http：//pingdingshan.hngp.gov.cn）或</w:t>
      </w:r>
    </w:p>
    <w:p w14:paraId="351233D9">
      <w:pPr>
        <w:spacing w:line="360" w:lineRule="auto"/>
        <w:rPr>
          <w:rFonts w:ascii="宋体" w:hAnsi="宋体" w:cs="宋体"/>
          <w:kern w:val="0"/>
          <w:sz w:val="22"/>
          <w:szCs w:val="22"/>
        </w:rPr>
      </w:pPr>
      <w:r>
        <w:rPr>
          <w:rFonts w:hint="eastAsia" w:ascii="宋体" w:hAnsi="宋体" w:cs="宋体"/>
          <w:kern w:val="0"/>
          <w:sz w:val="22"/>
          <w:szCs w:val="22"/>
        </w:rPr>
        <w:t>拨打平顶山银行联系电话 0375-2980538 自主选择融资服务机构，按程序进行融资。</w:t>
      </w:r>
    </w:p>
    <w:p w14:paraId="165BD62A">
      <w:pPr>
        <w:spacing w:line="360" w:lineRule="auto"/>
        <w:ind w:firstLine="440" w:firstLineChars="200"/>
        <w:rPr>
          <w:rFonts w:ascii="宋体" w:hAnsi="宋体" w:cs="宋体"/>
          <w:kern w:val="0"/>
          <w:sz w:val="22"/>
          <w:szCs w:val="22"/>
        </w:rPr>
      </w:pPr>
      <w:r>
        <w:rPr>
          <w:rFonts w:hint="eastAsia" w:ascii="宋体" w:hAnsi="宋体" w:cs="宋体"/>
          <w:kern w:val="0"/>
          <w:sz w:val="22"/>
          <w:szCs w:val="22"/>
        </w:rPr>
        <w:t>期待您一如既往支持政府采购工作！</w:t>
      </w:r>
    </w:p>
    <w:p w14:paraId="5C33C3ED">
      <w:pPr>
        <w:spacing w:line="360" w:lineRule="auto"/>
        <w:jc w:val="center"/>
        <w:rPr>
          <w:rFonts w:ascii="宋体" w:hAnsi="宋体" w:cs="宋体"/>
          <w:b/>
          <w:kern w:val="0"/>
          <w:sz w:val="22"/>
          <w:szCs w:val="22"/>
        </w:rPr>
      </w:pPr>
      <w:r>
        <w:rPr>
          <w:rFonts w:hint="eastAsia" w:ascii="宋体" w:hAnsi="宋体" w:cs="宋体"/>
          <w:kern w:val="0"/>
          <w:sz w:val="22"/>
          <w:szCs w:val="22"/>
        </w:rPr>
        <w:br w:type="page"/>
      </w:r>
      <w:r>
        <w:rPr>
          <w:rFonts w:hint="eastAsia" w:ascii="宋体" w:hAnsi="宋体" w:cs="宋体"/>
          <w:b/>
          <w:kern w:val="0"/>
          <w:sz w:val="22"/>
          <w:szCs w:val="22"/>
        </w:rPr>
        <w:t>（二）河南省政府采购合同融资政策告知函</w:t>
      </w:r>
    </w:p>
    <w:p w14:paraId="48F03D8E">
      <w:pPr>
        <w:spacing w:line="360" w:lineRule="auto"/>
        <w:rPr>
          <w:rFonts w:ascii="宋体" w:hAnsi="宋体" w:cs="宋体"/>
          <w:kern w:val="0"/>
          <w:sz w:val="22"/>
          <w:szCs w:val="22"/>
        </w:rPr>
      </w:pPr>
      <w:r>
        <w:rPr>
          <w:rFonts w:hint="eastAsia" w:ascii="宋体" w:hAnsi="宋体" w:cs="宋体"/>
          <w:kern w:val="0"/>
          <w:sz w:val="22"/>
          <w:szCs w:val="22"/>
        </w:rPr>
        <w:t>各供应商∶</w:t>
      </w:r>
    </w:p>
    <w:p w14:paraId="43763DFD">
      <w:pPr>
        <w:spacing w:line="360" w:lineRule="auto"/>
        <w:ind w:firstLine="440" w:firstLineChars="200"/>
        <w:rPr>
          <w:rFonts w:ascii="宋体" w:hAnsi="宋体" w:cs="宋体"/>
          <w:kern w:val="0"/>
          <w:sz w:val="22"/>
          <w:szCs w:val="22"/>
        </w:rPr>
      </w:pPr>
      <w:r>
        <w:rPr>
          <w:rFonts w:hint="eastAsia" w:ascii="宋体" w:hAnsi="宋体" w:cs="宋体"/>
          <w:kern w:val="0"/>
          <w:sz w:val="22"/>
          <w:szCs w:val="22"/>
        </w:rPr>
        <w:t>欢迎贵公司参与河南省政府采购活动!</w:t>
      </w:r>
    </w:p>
    <w:p w14:paraId="2A34DEBD">
      <w:pPr>
        <w:spacing w:line="360" w:lineRule="auto"/>
        <w:ind w:firstLine="440" w:firstLineChars="200"/>
        <w:rPr>
          <w:rFonts w:ascii="宋体" w:hAnsi="宋体" w:cs="宋体"/>
          <w:kern w:val="0"/>
          <w:sz w:val="22"/>
          <w:szCs w:val="22"/>
        </w:rPr>
      </w:pPr>
      <w:r>
        <w:rPr>
          <w:rFonts w:hint="eastAsia" w:ascii="宋体" w:hAnsi="宋体" w:cs="宋体"/>
          <w:kern w:val="0"/>
          <w:sz w:val="22"/>
          <w:szCs w:val="22"/>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4951CB9B">
      <w:pPr>
        <w:spacing w:line="360" w:lineRule="auto"/>
        <w:ind w:firstLine="440" w:firstLineChars="200"/>
        <w:rPr>
          <w:rFonts w:ascii="宋体" w:hAnsi="宋体" w:cs="宋体"/>
          <w:kern w:val="0"/>
          <w:sz w:val="22"/>
          <w:szCs w:val="22"/>
        </w:rPr>
      </w:pPr>
      <w:r>
        <w:rPr>
          <w:rFonts w:hint="eastAsia" w:ascii="宋体" w:hAnsi="宋体" w:cs="宋体"/>
          <w:kern w:val="0"/>
          <w:sz w:val="22"/>
          <w:szCs w:val="22"/>
        </w:rPr>
        <w:t>贷款渠道和提供贷款的金融机构，可在河南省政府采购网"河南省政府采购合同融资平台"查询联系。</w:t>
      </w:r>
    </w:p>
    <w:p w14:paraId="61FCD611">
      <w:pPr>
        <w:spacing w:line="360" w:lineRule="auto"/>
        <w:rPr>
          <w:rFonts w:ascii="宋体" w:hAnsi="宋体" w:cs="宋体"/>
          <w:kern w:val="0"/>
          <w:sz w:val="22"/>
          <w:szCs w:val="18"/>
        </w:rPr>
      </w:pPr>
    </w:p>
    <w:p w14:paraId="3BAD456F">
      <w:pPr>
        <w:pStyle w:val="17"/>
        <w:rPr>
          <w:rStyle w:val="54"/>
          <w:rFonts w:ascii="宋体" w:hAnsi="宋体" w:cs="宋体"/>
          <w:sz w:val="30"/>
          <w:szCs w:val="30"/>
        </w:rPr>
      </w:pPr>
    </w:p>
    <w:p w14:paraId="014D8573">
      <w:pPr>
        <w:pStyle w:val="17"/>
        <w:rPr>
          <w:rStyle w:val="54"/>
          <w:rFonts w:ascii="宋体" w:hAnsi="宋体" w:cs="宋体"/>
          <w:sz w:val="30"/>
          <w:szCs w:val="30"/>
        </w:rPr>
      </w:pPr>
    </w:p>
    <w:p w14:paraId="16054341">
      <w:pPr>
        <w:pStyle w:val="17"/>
        <w:rPr>
          <w:rStyle w:val="54"/>
          <w:rFonts w:ascii="宋体" w:hAnsi="宋体" w:cs="宋体"/>
          <w:sz w:val="30"/>
          <w:szCs w:val="30"/>
        </w:rPr>
      </w:pPr>
    </w:p>
    <w:p w14:paraId="62F1CA1D">
      <w:pPr>
        <w:pStyle w:val="17"/>
        <w:rPr>
          <w:rStyle w:val="54"/>
          <w:rFonts w:ascii="宋体" w:hAnsi="宋体" w:cs="宋体"/>
          <w:sz w:val="30"/>
          <w:szCs w:val="30"/>
        </w:rPr>
      </w:pPr>
    </w:p>
    <w:p w14:paraId="70E39409">
      <w:pPr>
        <w:pStyle w:val="17"/>
        <w:rPr>
          <w:rStyle w:val="54"/>
          <w:rFonts w:ascii="宋体" w:hAnsi="宋体" w:cs="宋体"/>
          <w:sz w:val="30"/>
          <w:szCs w:val="30"/>
        </w:rPr>
      </w:pPr>
    </w:p>
    <w:p w14:paraId="65B3092A">
      <w:pPr>
        <w:pStyle w:val="17"/>
        <w:rPr>
          <w:rStyle w:val="54"/>
          <w:rFonts w:ascii="宋体" w:hAnsi="宋体" w:cs="宋体"/>
          <w:sz w:val="30"/>
          <w:szCs w:val="30"/>
        </w:rPr>
      </w:pPr>
    </w:p>
    <w:p w14:paraId="20737FAE">
      <w:pPr>
        <w:pStyle w:val="17"/>
        <w:rPr>
          <w:rStyle w:val="54"/>
          <w:rFonts w:ascii="宋体" w:hAnsi="宋体" w:cs="宋体"/>
          <w:sz w:val="30"/>
          <w:szCs w:val="30"/>
        </w:rPr>
      </w:pPr>
    </w:p>
    <w:p w14:paraId="09F5ED83">
      <w:pPr>
        <w:pStyle w:val="17"/>
        <w:rPr>
          <w:rStyle w:val="54"/>
          <w:rFonts w:ascii="宋体" w:hAnsi="宋体" w:cs="宋体"/>
          <w:sz w:val="30"/>
          <w:szCs w:val="30"/>
        </w:rPr>
      </w:pPr>
    </w:p>
    <w:p w14:paraId="3AA57004">
      <w:pPr>
        <w:pStyle w:val="17"/>
        <w:rPr>
          <w:rStyle w:val="54"/>
          <w:rFonts w:ascii="宋体" w:hAnsi="宋体" w:cs="宋体"/>
          <w:sz w:val="30"/>
          <w:szCs w:val="30"/>
        </w:rPr>
      </w:pPr>
    </w:p>
    <w:p w14:paraId="77C7107B">
      <w:pPr>
        <w:pStyle w:val="17"/>
        <w:rPr>
          <w:rStyle w:val="54"/>
          <w:rFonts w:ascii="宋体" w:hAnsi="宋体" w:cs="宋体"/>
          <w:sz w:val="30"/>
          <w:szCs w:val="30"/>
        </w:rPr>
      </w:pPr>
    </w:p>
    <w:p w14:paraId="2AD04661">
      <w:pPr>
        <w:pStyle w:val="17"/>
        <w:rPr>
          <w:rStyle w:val="54"/>
          <w:rFonts w:ascii="宋体" w:hAnsi="宋体" w:cs="宋体"/>
          <w:sz w:val="30"/>
          <w:szCs w:val="30"/>
        </w:rPr>
      </w:pPr>
    </w:p>
    <w:p w14:paraId="1328CF48">
      <w:pPr>
        <w:pStyle w:val="17"/>
        <w:rPr>
          <w:rStyle w:val="54"/>
          <w:rFonts w:ascii="宋体" w:hAnsi="宋体" w:cs="宋体"/>
          <w:sz w:val="30"/>
          <w:szCs w:val="30"/>
        </w:rPr>
      </w:pPr>
    </w:p>
    <w:p w14:paraId="1FA4C10B">
      <w:pPr>
        <w:pStyle w:val="17"/>
        <w:rPr>
          <w:rStyle w:val="54"/>
          <w:rFonts w:ascii="宋体" w:hAnsi="宋体" w:cs="宋体"/>
          <w:sz w:val="30"/>
          <w:szCs w:val="30"/>
        </w:rPr>
      </w:pPr>
    </w:p>
    <w:p w14:paraId="0E8E8C34">
      <w:pPr>
        <w:rPr>
          <w:rStyle w:val="54"/>
          <w:rFonts w:ascii="宋体" w:hAnsi="宋体" w:cs="宋体"/>
          <w:sz w:val="30"/>
          <w:szCs w:val="30"/>
        </w:rPr>
      </w:pPr>
    </w:p>
    <w:p w14:paraId="21E55566">
      <w:pPr>
        <w:spacing w:line="330" w:lineRule="atLeast"/>
        <w:jc w:val="center"/>
        <w:rPr>
          <w:rFonts w:ascii="宋体" w:hAnsi="宋体" w:cs="宋体"/>
          <w:b/>
          <w:bCs/>
          <w:color w:val="000000"/>
          <w:kern w:val="0"/>
          <w:sz w:val="36"/>
          <w:szCs w:val="32"/>
        </w:rPr>
      </w:pPr>
    </w:p>
    <w:p w14:paraId="0DA56C21">
      <w:pPr>
        <w:spacing w:line="330" w:lineRule="atLeast"/>
        <w:jc w:val="center"/>
        <w:rPr>
          <w:rFonts w:ascii="宋体" w:hAnsi="宋体" w:cs="宋体"/>
          <w:b/>
          <w:bCs/>
          <w:color w:val="000000"/>
          <w:kern w:val="0"/>
          <w:sz w:val="36"/>
          <w:szCs w:val="32"/>
        </w:rPr>
      </w:pPr>
      <w:r>
        <w:rPr>
          <w:rFonts w:hint="eastAsia" w:ascii="宋体" w:hAnsi="宋体" w:cs="宋体"/>
          <w:b/>
          <w:bCs/>
          <w:color w:val="000000"/>
          <w:kern w:val="0"/>
          <w:sz w:val="36"/>
          <w:szCs w:val="32"/>
        </w:rPr>
        <w:t>统计上大中小微型企业划分标准</w:t>
      </w:r>
    </w:p>
    <w:tbl>
      <w:tblPr>
        <w:tblStyle w:val="28"/>
        <w:tblW w:w="89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91"/>
        <w:gridCol w:w="1366"/>
        <w:gridCol w:w="707"/>
        <w:gridCol w:w="1122"/>
        <w:gridCol w:w="1697"/>
        <w:gridCol w:w="1423"/>
        <w:gridCol w:w="990"/>
      </w:tblGrid>
      <w:tr w14:paraId="16EFD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57" w:hRule="exact"/>
          <w:jc w:val="center"/>
        </w:trPr>
        <w:tc>
          <w:tcPr>
            <w:tcW w:w="1691" w:type="dxa"/>
            <w:vAlign w:val="center"/>
          </w:tcPr>
          <w:p w14:paraId="1E31DB2C">
            <w:pPr>
              <w:spacing w:line="240" w:lineRule="exact"/>
              <w:jc w:val="center"/>
              <w:rPr>
                <w:rFonts w:ascii="宋体" w:hAnsi="宋体" w:cs="宋体"/>
                <w:b/>
                <w:bCs/>
                <w:color w:val="000000"/>
                <w:kern w:val="0"/>
                <w:sz w:val="18"/>
                <w:szCs w:val="21"/>
              </w:rPr>
            </w:pPr>
            <w:r>
              <w:rPr>
                <w:rFonts w:hint="eastAsia" w:ascii="宋体" w:hAnsi="宋体" w:cs="宋体"/>
                <w:b/>
                <w:bCs/>
                <w:color w:val="000000"/>
                <w:kern w:val="0"/>
                <w:sz w:val="18"/>
                <w:szCs w:val="21"/>
              </w:rPr>
              <w:t>行业名称</w:t>
            </w:r>
          </w:p>
        </w:tc>
        <w:tc>
          <w:tcPr>
            <w:tcW w:w="1366" w:type="dxa"/>
            <w:vAlign w:val="center"/>
          </w:tcPr>
          <w:p w14:paraId="79B1EEC3">
            <w:pPr>
              <w:jc w:val="center"/>
              <w:rPr>
                <w:rFonts w:ascii="宋体" w:hAnsi="宋体" w:cs="宋体"/>
                <w:b/>
                <w:bCs/>
                <w:color w:val="000000"/>
                <w:kern w:val="0"/>
                <w:sz w:val="18"/>
                <w:szCs w:val="18"/>
              </w:rPr>
            </w:pPr>
            <w:r>
              <w:rPr>
                <w:rFonts w:hint="eastAsia" w:ascii="宋体" w:hAnsi="宋体" w:cs="宋体"/>
                <w:b/>
                <w:bCs/>
                <w:color w:val="000000"/>
                <w:kern w:val="0"/>
                <w:sz w:val="18"/>
                <w:szCs w:val="18"/>
              </w:rPr>
              <w:t>指标名称</w:t>
            </w:r>
          </w:p>
        </w:tc>
        <w:tc>
          <w:tcPr>
            <w:tcW w:w="707" w:type="dxa"/>
            <w:vAlign w:val="center"/>
          </w:tcPr>
          <w:p w14:paraId="3A21AF7E">
            <w:pPr>
              <w:jc w:val="center"/>
              <w:rPr>
                <w:rFonts w:ascii="宋体" w:hAnsi="宋体" w:cs="宋体"/>
                <w:b/>
                <w:bCs/>
                <w:color w:val="000000"/>
                <w:kern w:val="0"/>
                <w:sz w:val="18"/>
                <w:szCs w:val="18"/>
              </w:rPr>
            </w:pPr>
            <w:r>
              <w:rPr>
                <w:rFonts w:hint="eastAsia" w:ascii="宋体" w:hAnsi="宋体" w:cs="宋体"/>
                <w:b/>
                <w:bCs/>
                <w:color w:val="000000"/>
                <w:kern w:val="0"/>
                <w:sz w:val="18"/>
                <w:szCs w:val="18"/>
              </w:rPr>
              <w:t>计量</w:t>
            </w:r>
          </w:p>
          <w:p w14:paraId="395649F8">
            <w:pPr>
              <w:jc w:val="center"/>
              <w:rPr>
                <w:rFonts w:ascii="宋体" w:hAnsi="宋体" w:cs="宋体"/>
                <w:b/>
                <w:bCs/>
                <w:color w:val="000000"/>
                <w:kern w:val="0"/>
                <w:sz w:val="18"/>
                <w:szCs w:val="18"/>
              </w:rPr>
            </w:pPr>
            <w:r>
              <w:rPr>
                <w:rFonts w:hint="eastAsia" w:ascii="宋体" w:hAnsi="宋体" w:cs="宋体"/>
                <w:b/>
                <w:bCs/>
                <w:color w:val="000000"/>
                <w:kern w:val="0"/>
                <w:sz w:val="18"/>
                <w:szCs w:val="18"/>
              </w:rPr>
              <w:t>单位</w:t>
            </w:r>
          </w:p>
        </w:tc>
        <w:tc>
          <w:tcPr>
            <w:tcW w:w="1122" w:type="dxa"/>
            <w:vAlign w:val="center"/>
          </w:tcPr>
          <w:p w14:paraId="3E6076BA">
            <w:pPr>
              <w:jc w:val="center"/>
              <w:rPr>
                <w:rFonts w:ascii="宋体" w:hAnsi="宋体" w:cs="宋体"/>
                <w:b/>
                <w:bCs/>
                <w:color w:val="000000"/>
                <w:kern w:val="0"/>
                <w:sz w:val="18"/>
                <w:szCs w:val="18"/>
              </w:rPr>
            </w:pPr>
            <w:r>
              <w:rPr>
                <w:rFonts w:hint="eastAsia" w:ascii="宋体" w:hAnsi="宋体" w:cs="宋体"/>
                <w:b/>
                <w:bCs/>
                <w:color w:val="000000"/>
                <w:kern w:val="0"/>
                <w:sz w:val="18"/>
                <w:szCs w:val="18"/>
              </w:rPr>
              <w:t>大型</w:t>
            </w:r>
          </w:p>
        </w:tc>
        <w:tc>
          <w:tcPr>
            <w:tcW w:w="1697" w:type="dxa"/>
            <w:vAlign w:val="center"/>
          </w:tcPr>
          <w:p w14:paraId="15B789ED">
            <w:pPr>
              <w:jc w:val="center"/>
              <w:rPr>
                <w:rFonts w:ascii="宋体" w:hAnsi="宋体" w:cs="宋体"/>
                <w:b/>
                <w:bCs/>
                <w:color w:val="000000"/>
                <w:kern w:val="0"/>
                <w:sz w:val="18"/>
                <w:szCs w:val="18"/>
              </w:rPr>
            </w:pPr>
            <w:r>
              <w:rPr>
                <w:rFonts w:hint="eastAsia" w:ascii="宋体" w:hAnsi="宋体" w:cs="宋体"/>
                <w:b/>
                <w:bCs/>
                <w:color w:val="000000"/>
                <w:kern w:val="0"/>
                <w:sz w:val="18"/>
                <w:szCs w:val="18"/>
              </w:rPr>
              <w:t>中型</w:t>
            </w:r>
          </w:p>
        </w:tc>
        <w:tc>
          <w:tcPr>
            <w:tcW w:w="1423" w:type="dxa"/>
            <w:vAlign w:val="center"/>
          </w:tcPr>
          <w:p w14:paraId="3D330018">
            <w:pPr>
              <w:jc w:val="center"/>
              <w:rPr>
                <w:rFonts w:ascii="宋体" w:hAnsi="宋体" w:cs="宋体"/>
                <w:b/>
                <w:bCs/>
                <w:color w:val="000000"/>
                <w:kern w:val="0"/>
                <w:sz w:val="18"/>
                <w:szCs w:val="18"/>
              </w:rPr>
            </w:pPr>
            <w:r>
              <w:rPr>
                <w:rFonts w:hint="eastAsia" w:ascii="宋体" w:hAnsi="宋体" w:cs="宋体"/>
                <w:b/>
                <w:bCs/>
                <w:color w:val="000000"/>
                <w:kern w:val="0"/>
                <w:sz w:val="18"/>
                <w:szCs w:val="18"/>
              </w:rPr>
              <w:t>小型</w:t>
            </w:r>
          </w:p>
        </w:tc>
        <w:tc>
          <w:tcPr>
            <w:tcW w:w="990" w:type="dxa"/>
            <w:vAlign w:val="center"/>
          </w:tcPr>
          <w:p w14:paraId="68977EFE">
            <w:pPr>
              <w:jc w:val="center"/>
              <w:rPr>
                <w:rFonts w:ascii="宋体" w:hAnsi="宋体" w:cs="宋体"/>
                <w:b/>
                <w:bCs/>
                <w:color w:val="000000"/>
                <w:kern w:val="0"/>
                <w:sz w:val="18"/>
                <w:szCs w:val="18"/>
              </w:rPr>
            </w:pPr>
            <w:r>
              <w:rPr>
                <w:rFonts w:hint="eastAsia" w:ascii="宋体" w:hAnsi="宋体" w:cs="宋体"/>
                <w:b/>
                <w:bCs/>
                <w:color w:val="000000"/>
                <w:kern w:val="0"/>
                <w:sz w:val="18"/>
                <w:szCs w:val="18"/>
              </w:rPr>
              <w:t>微型</w:t>
            </w:r>
          </w:p>
        </w:tc>
      </w:tr>
      <w:tr w14:paraId="21A29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exact"/>
          <w:jc w:val="center"/>
        </w:trPr>
        <w:tc>
          <w:tcPr>
            <w:tcW w:w="1691" w:type="dxa"/>
            <w:vAlign w:val="center"/>
          </w:tcPr>
          <w:p w14:paraId="09AABC01">
            <w:pPr>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农、林、牧、渔业</w:t>
            </w:r>
          </w:p>
        </w:tc>
        <w:tc>
          <w:tcPr>
            <w:tcW w:w="1366" w:type="dxa"/>
            <w:vAlign w:val="center"/>
          </w:tcPr>
          <w:p w14:paraId="75FB320D">
            <w:pPr>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7" w:type="dxa"/>
            <w:vAlign w:val="center"/>
          </w:tcPr>
          <w:p w14:paraId="40BC05B3">
            <w:pPr>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2" w:type="dxa"/>
            <w:vAlign w:val="center"/>
          </w:tcPr>
          <w:p w14:paraId="083369F0">
            <w:pPr>
              <w:jc w:val="center"/>
              <w:rPr>
                <w:rFonts w:ascii="宋体" w:hAnsi="宋体" w:cs="宋体"/>
                <w:color w:val="000000"/>
                <w:kern w:val="0"/>
                <w:sz w:val="18"/>
                <w:szCs w:val="18"/>
              </w:rPr>
            </w:pPr>
            <w:r>
              <w:rPr>
                <w:rFonts w:hint="eastAsia" w:ascii="宋体" w:hAnsi="宋体" w:cs="宋体"/>
                <w:color w:val="000000"/>
                <w:kern w:val="0"/>
                <w:sz w:val="18"/>
                <w:szCs w:val="18"/>
              </w:rPr>
              <w:t>Y≥20000</w:t>
            </w:r>
          </w:p>
        </w:tc>
        <w:tc>
          <w:tcPr>
            <w:tcW w:w="1697" w:type="dxa"/>
            <w:vAlign w:val="center"/>
          </w:tcPr>
          <w:p w14:paraId="3773E1B9">
            <w:pPr>
              <w:jc w:val="center"/>
              <w:rPr>
                <w:rFonts w:ascii="宋体" w:hAnsi="宋体" w:cs="宋体"/>
                <w:color w:val="000000"/>
                <w:kern w:val="0"/>
                <w:sz w:val="18"/>
                <w:szCs w:val="18"/>
              </w:rPr>
            </w:pPr>
            <w:r>
              <w:rPr>
                <w:rFonts w:hint="eastAsia" w:ascii="宋体" w:hAnsi="宋体" w:cs="宋体"/>
                <w:color w:val="000000"/>
                <w:kern w:val="0"/>
                <w:sz w:val="18"/>
                <w:szCs w:val="18"/>
              </w:rPr>
              <w:t xml:space="preserve"> 500≤Y＜20000</w:t>
            </w:r>
          </w:p>
        </w:tc>
        <w:tc>
          <w:tcPr>
            <w:tcW w:w="1423" w:type="dxa"/>
            <w:vAlign w:val="center"/>
          </w:tcPr>
          <w:p w14:paraId="73A73F42">
            <w:pPr>
              <w:jc w:val="center"/>
              <w:rPr>
                <w:rFonts w:ascii="宋体" w:hAnsi="宋体" w:cs="宋体"/>
                <w:color w:val="000000"/>
                <w:kern w:val="0"/>
                <w:sz w:val="18"/>
                <w:szCs w:val="18"/>
              </w:rPr>
            </w:pPr>
            <w:r>
              <w:rPr>
                <w:rFonts w:hint="eastAsia" w:ascii="宋体" w:hAnsi="宋体" w:cs="宋体"/>
                <w:color w:val="000000"/>
                <w:kern w:val="0"/>
                <w:sz w:val="18"/>
                <w:szCs w:val="18"/>
              </w:rPr>
              <w:t xml:space="preserve"> 50≤Y＜500</w:t>
            </w:r>
          </w:p>
        </w:tc>
        <w:tc>
          <w:tcPr>
            <w:tcW w:w="990" w:type="dxa"/>
            <w:vAlign w:val="center"/>
          </w:tcPr>
          <w:p w14:paraId="7232CAFF">
            <w:pPr>
              <w:jc w:val="center"/>
              <w:rPr>
                <w:rFonts w:ascii="宋体" w:hAnsi="宋体" w:cs="宋体"/>
                <w:color w:val="000000"/>
                <w:kern w:val="0"/>
                <w:sz w:val="18"/>
                <w:szCs w:val="18"/>
              </w:rPr>
            </w:pPr>
            <w:r>
              <w:rPr>
                <w:rFonts w:hint="eastAsia" w:ascii="宋体" w:hAnsi="宋体" w:cs="宋体"/>
                <w:color w:val="000000"/>
                <w:kern w:val="0"/>
                <w:sz w:val="18"/>
                <w:szCs w:val="18"/>
              </w:rPr>
              <w:t>Y＜50</w:t>
            </w:r>
          </w:p>
        </w:tc>
      </w:tr>
      <w:tr w14:paraId="664D0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exact"/>
          <w:jc w:val="center"/>
        </w:trPr>
        <w:tc>
          <w:tcPr>
            <w:tcW w:w="1691" w:type="dxa"/>
            <w:vMerge w:val="restart"/>
            <w:vAlign w:val="center"/>
          </w:tcPr>
          <w:p w14:paraId="761EBE3A">
            <w:pPr>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工业 *</w:t>
            </w:r>
          </w:p>
        </w:tc>
        <w:tc>
          <w:tcPr>
            <w:tcW w:w="1366" w:type="dxa"/>
            <w:vAlign w:val="center"/>
          </w:tcPr>
          <w:p w14:paraId="1474BD7F">
            <w:pPr>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7" w:type="dxa"/>
            <w:vAlign w:val="center"/>
          </w:tcPr>
          <w:p w14:paraId="5D965F84">
            <w:pPr>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2" w:type="dxa"/>
            <w:vAlign w:val="center"/>
          </w:tcPr>
          <w:p w14:paraId="6CDB3580">
            <w:pPr>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697" w:type="dxa"/>
            <w:vAlign w:val="center"/>
          </w:tcPr>
          <w:p w14:paraId="30A05494">
            <w:pPr>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3" w:type="dxa"/>
            <w:vAlign w:val="center"/>
          </w:tcPr>
          <w:p w14:paraId="11D98CF5">
            <w:pPr>
              <w:jc w:val="center"/>
              <w:rPr>
                <w:rFonts w:ascii="宋体" w:hAnsi="宋体" w:cs="宋体"/>
                <w:color w:val="000000"/>
                <w:kern w:val="0"/>
                <w:sz w:val="18"/>
                <w:szCs w:val="18"/>
              </w:rPr>
            </w:pPr>
            <w:r>
              <w:rPr>
                <w:rFonts w:hint="eastAsia" w:ascii="宋体" w:hAnsi="宋体" w:cs="宋体"/>
                <w:color w:val="000000"/>
                <w:kern w:val="0"/>
                <w:sz w:val="18"/>
                <w:szCs w:val="18"/>
              </w:rPr>
              <w:t xml:space="preserve"> 20≤X＜300</w:t>
            </w:r>
          </w:p>
        </w:tc>
        <w:tc>
          <w:tcPr>
            <w:tcW w:w="990" w:type="dxa"/>
            <w:vAlign w:val="center"/>
          </w:tcPr>
          <w:p w14:paraId="620148A7">
            <w:pPr>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24524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exact"/>
          <w:jc w:val="center"/>
        </w:trPr>
        <w:tc>
          <w:tcPr>
            <w:tcW w:w="1691" w:type="dxa"/>
            <w:vMerge w:val="continue"/>
            <w:vAlign w:val="center"/>
          </w:tcPr>
          <w:p w14:paraId="349CB147">
            <w:pPr>
              <w:jc w:val="left"/>
              <w:rPr>
                <w:rFonts w:ascii="宋体" w:hAnsi="宋体" w:cs="宋体"/>
                <w:color w:val="000000"/>
                <w:kern w:val="0"/>
                <w:sz w:val="18"/>
                <w:szCs w:val="18"/>
              </w:rPr>
            </w:pPr>
          </w:p>
        </w:tc>
        <w:tc>
          <w:tcPr>
            <w:tcW w:w="1366" w:type="dxa"/>
            <w:vAlign w:val="center"/>
          </w:tcPr>
          <w:p w14:paraId="7A49C9E1">
            <w:pPr>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7" w:type="dxa"/>
            <w:vAlign w:val="center"/>
          </w:tcPr>
          <w:p w14:paraId="7BD2BBD0">
            <w:pPr>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2" w:type="dxa"/>
            <w:vAlign w:val="center"/>
          </w:tcPr>
          <w:p w14:paraId="5E7C1D29">
            <w:pPr>
              <w:jc w:val="center"/>
              <w:rPr>
                <w:rFonts w:ascii="宋体" w:hAnsi="宋体" w:cs="宋体"/>
                <w:color w:val="000000"/>
                <w:kern w:val="0"/>
                <w:sz w:val="18"/>
                <w:szCs w:val="18"/>
              </w:rPr>
            </w:pPr>
            <w:r>
              <w:rPr>
                <w:rFonts w:hint="eastAsia" w:ascii="宋体" w:hAnsi="宋体" w:cs="宋体"/>
                <w:color w:val="000000"/>
                <w:kern w:val="0"/>
                <w:sz w:val="18"/>
                <w:szCs w:val="18"/>
              </w:rPr>
              <w:t>Y≥40000</w:t>
            </w:r>
          </w:p>
        </w:tc>
        <w:tc>
          <w:tcPr>
            <w:tcW w:w="1697" w:type="dxa"/>
            <w:vAlign w:val="center"/>
          </w:tcPr>
          <w:p w14:paraId="5A779ECF">
            <w:pPr>
              <w:jc w:val="center"/>
              <w:rPr>
                <w:rFonts w:ascii="宋体" w:hAnsi="宋体" w:cs="宋体"/>
                <w:color w:val="000000"/>
                <w:kern w:val="0"/>
                <w:sz w:val="18"/>
                <w:szCs w:val="18"/>
              </w:rPr>
            </w:pPr>
            <w:r>
              <w:rPr>
                <w:rFonts w:hint="eastAsia" w:ascii="宋体" w:hAnsi="宋体" w:cs="宋体"/>
                <w:color w:val="000000"/>
                <w:kern w:val="0"/>
                <w:sz w:val="18"/>
                <w:szCs w:val="18"/>
              </w:rPr>
              <w:t>2000≤Y＜40000</w:t>
            </w:r>
          </w:p>
        </w:tc>
        <w:tc>
          <w:tcPr>
            <w:tcW w:w="1423" w:type="dxa"/>
            <w:vAlign w:val="center"/>
          </w:tcPr>
          <w:p w14:paraId="3A146123">
            <w:pPr>
              <w:jc w:val="center"/>
              <w:rPr>
                <w:rFonts w:ascii="宋体" w:hAnsi="宋体" w:cs="宋体"/>
                <w:color w:val="000000"/>
                <w:kern w:val="0"/>
                <w:sz w:val="18"/>
                <w:szCs w:val="18"/>
              </w:rPr>
            </w:pPr>
            <w:r>
              <w:rPr>
                <w:rFonts w:hint="eastAsia" w:ascii="宋体" w:hAnsi="宋体" w:cs="宋体"/>
                <w:color w:val="000000"/>
                <w:kern w:val="0"/>
                <w:sz w:val="18"/>
                <w:szCs w:val="18"/>
              </w:rPr>
              <w:t xml:space="preserve"> 300≤Y＜2000</w:t>
            </w:r>
          </w:p>
        </w:tc>
        <w:tc>
          <w:tcPr>
            <w:tcW w:w="990" w:type="dxa"/>
            <w:vAlign w:val="center"/>
          </w:tcPr>
          <w:p w14:paraId="3ADF51CF">
            <w:pPr>
              <w:jc w:val="center"/>
              <w:rPr>
                <w:rFonts w:ascii="宋体" w:hAnsi="宋体" w:cs="宋体"/>
                <w:color w:val="000000"/>
                <w:kern w:val="0"/>
                <w:sz w:val="18"/>
                <w:szCs w:val="18"/>
              </w:rPr>
            </w:pPr>
            <w:r>
              <w:rPr>
                <w:rFonts w:hint="eastAsia" w:ascii="宋体" w:hAnsi="宋体" w:cs="宋体"/>
                <w:color w:val="000000"/>
                <w:kern w:val="0"/>
                <w:sz w:val="18"/>
                <w:szCs w:val="18"/>
              </w:rPr>
              <w:t>Y＜300</w:t>
            </w:r>
          </w:p>
        </w:tc>
      </w:tr>
      <w:tr w14:paraId="4C157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exact"/>
          <w:jc w:val="center"/>
        </w:trPr>
        <w:tc>
          <w:tcPr>
            <w:tcW w:w="1691" w:type="dxa"/>
            <w:vMerge w:val="restart"/>
            <w:vAlign w:val="center"/>
          </w:tcPr>
          <w:p w14:paraId="0289E0D6">
            <w:pPr>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建筑业</w:t>
            </w:r>
          </w:p>
        </w:tc>
        <w:tc>
          <w:tcPr>
            <w:tcW w:w="1366" w:type="dxa"/>
            <w:vAlign w:val="center"/>
          </w:tcPr>
          <w:p w14:paraId="7E832D3B">
            <w:pPr>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7" w:type="dxa"/>
            <w:vAlign w:val="center"/>
          </w:tcPr>
          <w:p w14:paraId="096B392F">
            <w:pPr>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2" w:type="dxa"/>
            <w:vAlign w:val="center"/>
          </w:tcPr>
          <w:p w14:paraId="717D7725">
            <w:pPr>
              <w:jc w:val="center"/>
              <w:rPr>
                <w:rFonts w:ascii="宋体" w:hAnsi="宋体" w:cs="宋体"/>
                <w:color w:val="000000"/>
                <w:kern w:val="0"/>
                <w:sz w:val="18"/>
                <w:szCs w:val="18"/>
              </w:rPr>
            </w:pPr>
            <w:r>
              <w:rPr>
                <w:rFonts w:hint="eastAsia" w:ascii="宋体" w:hAnsi="宋体" w:cs="宋体"/>
                <w:color w:val="000000"/>
                <w:kern w:val="0"/>
                <w:sz w:val="18"/>
                <w:szCs w:val="18"/>
              </w:rPr>
              <w:t>Y≥80000</w:t>
            </w:r>
          </w:p>
        </w:tc>
        <w:tc>
          <w:tcPr>
            <w:tcW w:w="1697" w:type="dxa"/>
            <w:vAlign w:val="center"/>
          </w:tcPr>
          <w:p w14:paraId="7550B3AF">
            <w:pPr>
              <w:jc w:val="center"/>
              <w:rPr>
                <w:rFonts w:ascii="宋体" w:hAnsi="宋体" w:cs="宋体"/>
                <w:color w:val="000000"/>
                <w:kern w:val="0"/>
                <w:sz w:val="18"/>
                <w:szCs w:val="18"/>
              </w:rPr>
            </w:pPr>
            <w:r>
              <w:rPr>
                <w:rFonts w:hint="eastAsia" w:ascii="宋体" w:hAnsi="宋体" w:cs="宋体"/>
                <w:color w:val="000000"/>
                <w:kern w:val="0"/>
                <w:sz w:val="18"/>
                <w:szCs w:val="18"/>
              </w:rPr>
              <w:t>6000≤Y＜80000</w:t>
            </w:r>
          </w:p>
        </w:tc>
        <w:tc>
          <w:tcPr>
            <w:tcW w:w="1423" w:type="dxa"/>
            <w:vAlign w:val="center"/>
          </w:tcPr>
          <w:p w14:paraId="340A3A7C">
            <w:pPr>
              <w:jc w:val="center"/>
              <w:rPr>
                <w:rFonts w:ascii="宋体" w:hAnsi="宋体" w:cs="宋体"/>
                <w:color w:val="000000"/>
                <w:kern w:val="0"/>
                <w:sz w:val="18"/>
                <w:szCs w:val="18"/>
              </w:rPr>
            </w:pPr>
            <w:r>
              <w:rPr>
                <w:rFonts w:hint="eastAsia" w:ascii="宋体" w:hAnsi="宋体" w:cs="宋体"/>
                <w:color w:val="000000"/>
                <w:kern w:val="0"/>
                <w:sz w:val="18"/>
                <w:szCs w:val="18"/>
              </w:rPr>
              <w:t xml:space="preserve"> 300≤Y＜6000</w:t>
            </w:r>
          </w:p>
        </w:tc>
        <w:tc>
          <w:tcPr>
            <w:tcW w:w="990" w:type="dxa"/>
            <w:vAlign w:val="center"/>
          </w:tcPr>
          <w:p w14:paraId="07726EE8">
            <w:pPr>
              <w:jc w:val="center"/>
              <w:rPr>
                <w:rFonts w:ascii="宋体" w:hAnsi="宋体" w:cs="宋体"/>
                <w:color w:val="000000"/>
                <w:kern w:val="0"/>
                <w:sz w:val="18"/>
                <w:szCs w:val="18"/>
              </w:rPr>
            </w:pPr>
            <w:r>
              <w:rPr>
                <w:rFonts w:hint="eastAsia" w:ascii="宋体" w:hAnsi="宋体" w:cs="宋体"/>
                <w:color w:val="000000"/>
                <w:kern w:val="0"/>
                <w:sz w:val="18"/>
                <w:szCs w:val="18"/>
              </w:rPr>
              <w:t>Y＜300</w:t>
            </w:r>
          </w:p>
        </w:tc>
      </w:tr>
      <w:tr w14:paraId="6E7F5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exact"/>
          <w:jc w:val="center"/>
        </w:trPr>
        <w:tc>
          <w:tcPr>
            <w:tcW w:w="1691" w:type="dxa"/>
            <w:vMerge w:val="continue"/>
            <w:vAlign w:val="center"/>
          </w:tcPr>
          <w:p w14:paraId="6E3D1058">
            <w:pPr>
              <w:jc w:val="left"/>
              <w:rPr>
                <w:rFonts w:ascii="宋体" w:hAnsi="宋体" w:cs="宋体"/>
                <w:color w:val="000000"/>
                <w:kern w:val="0"/>
                <w:sz w:val="18"/>
                <w:szCs w:val="18"/>
              </w:rPr>
            </w:pPr>
          </w:p>
        </w:tc>
        <w:tc>
          <w:tcPr>
            <w:tcW w:w="1366" w:type="dxa"/>
            <w:vAlign w:val="center"/>
          </w:tcPr>
          <w:p w14:paraId="37A8E75F">
            <w:pPr>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资产总额(Z)</w:t>
            </w:r>
          </w:p>
        </w:tc>
        <w:tc>
          <w:tcPr>
            <w:tcW w:w="707" w:type="dxa"/>
            <w:vAlign w:val="center"/>
          </w:tcPr>
          <w:p w14:paraId="65C0F476">
            <w:pPr>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2" w:type="dxa"/>
            <w:vAlign w:val="center"/>
          </w:tcPr>
          <w:p w14:paraId="366F419D">
            <w:pPr>
              <w:jc w:val="center"/>
              <w:rPr>
                <w:rFonts w:ascii="宋体" w:hAnsi="宋体" w:cs="宋体"/>
                <w:color w:val="000000"/>
                <w:kern w:val="0"/>
                <w:sz w:val="18"/>
                <w:szCs w:val="18"/>
              </w:rPr>
            </w:pPr>
            <w:r>
              <w:rPr>
                <w:rFonts w:hint="eastAsia" w:ascii="宋体" w:hAnsi="宋体" w:cs="宋体"/>
                <w:color w:val="000000"/>
                <w:kern w:val="0"/>
                <w:sz w:val="18"/>
                <w:szCs w:val="18"/>
              </w:rPr>
              <w:t>Z≥80000</w:t>
            </w:r>
          </w:p>
        </w:tc>
        <w:tc>
          <w:tcPr>
            <w:tcW w:w="1697" w:type="dxa"/>
            <w:vAlign w:val="center"/>
          </w:tcPr>
          <w:p w14:paraId="6534E958">
            <w:pPr>
              <w:jc w:val="center"/>
              <w:rPr>
                <w:rFonts w:ascii="宋体" w:hAnsi="宋体" w:cs="宋体"/>
                <w:color w:val="000000"/>
                <w:kern w:val="0"/>
                <w:sz w:val="18"/>
                <w:szCs w:val="18"/>
              </w:rPr>
            </w:pPr>
            <w:r>
              <w:rPr>
                <w:rFonts w:hint="eastAsia" w:ascii="宋体" w:hAnsi="宋体" w:cs="宋体"/>
                <w:color w:val="000000"/>
                <w:kern w:val="0"/>
                <w:sz w:val="18"/>
                <w:szCs w:val="18"/>
              </w:rPr>
              <w:t>5000≤Z＜80000</w:t>
            </w:r>
          </w:p>
        </w:tc>
        <w:tc>
          <w:tcPr>
            <w:tcW w:w="1423" w:type="dxa"/>
            <w:vAlign w:val="center"/>
          </w:tcPr>
          <w:p w14:paraId="39E8AF7C">
            <w:pPr>
              <w:jc w:val="center"/>
              <w:rPr>
                <w:rFonts w:ascii="宋体" w:hAnsi="宋体" w:cs="宋体"/>
                <w:color w:val="000000"/>
                <w:kern w:val="0"/>
                <w:sz w:val="18"/>
                <w:szCs w:val="18"/>
              </w:rPr>
            </w:pPr>
            <w:r>
              <w:rPr>
                <w:rFonts w:hint="eastAsia" w:ascii="宋体" w:hAnsi="宋体" w:cs="宋体"/>
                <w:color w:val="000000"/>
                <w:kern w:val="0"/>
                <w:sz w:val="18"/>
                <w:szCs w:val="18"/>
              </w:rPr>
              <w:t xml:space="preserve"> 300≤Z＜5000</w:t>
            </w:r>
          </w:p>
        </w:tc>
        <w:tc>
          <w:tcPr>
            <w:tcW w:w="990" w:type="dxa"/>
            <w:vAlign w:val="center"/>
          </w:tcPr>
          <w:p w14:paraId="2EA0EBB5">
            <w:pPr>
              <w:jc w:val="center"/>
              <w:rPr>
                <w:rFonts w:ascii="宋体" w:hAnsi="宋体" w:cs="宋体"/>
                <w:color w:val="000000"/>
                <w:kern w:val="0"/>
                <w:sz w:val="18"/>
                <w:szCs w:val="18"/>
              </w:rPr>
            </w:pPr>
            <w:r>
              <w:rPr>
                <w:rFonts w:hint="eastAsia" w:ascii="宋体" w:hAnsi="宋体" w:cs="宋体"/>
                <w:color w:val="000000"/>
                <w:kern w:val="0"/>
                <w:sz w:val="18"/>
                <w:szCs w:val="18"/>
              </w:rPr>
              <w:t>Z＜300</w:t>
            </w:r>
          </w:p>
        </w:tc>
      </w:tr>
      <w:tr w14:paraId="1ACC5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exact"/>
          <w:jc w:val="center"/>
        </w:trPr>
        <w:tc>
          <w:tcPr>
            <w:tcW w:w="1691" w:type="dxa"/>
            <w:vMerge w:val="restart"/>
            <w:vAlign w:val="center"/>
          </w:tcPr>
          <w:p w14:paraId="26962F78">
            <w:pPr>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批发业</w:t>
            </w:r>
          </w:p>
        </w:tc>
        <w:tc>
          <w:tcPr>
            <w:tcW w:w="1366" w:type="dxa"/>
            <w:vAlign w:val="center"/>
          </w:tcPr>
          <w:p w14:paraId="6AA7E116">
            <w:pPr>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7" w:type="dxa"/>
            <w:vAlign w:val="center"/>
          </w:tcPr>
          <w:p w14:paraId="457308AC">
            <w:pPr>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2" w:type="dxa"/>
            <w:vAlign w:val="center"/>
          </w:tcPr>
          <w:p w14:paraId="692075BD">
            <w:pPr>
              <w:jc w:val="center"/>
              <w:rPr>
                <w:rFonts w:ascii="宋体" w:hAnsi="宋体" w:cs="宋体"/>
                <w:color w:val="000000"/>
                <w:kern w:val="0"/>
                <w:sz w:val="18"/>
                <w:szCs w:val="18"/>
              </w:rPr>
            </w:pPr>
            <w:r>
              <w:rPr>
                <w:rFonts w:hint="eastAsia" w:ascii="宋体" w:hAnsi="宋体" w:cs="宋体"/>
                <w:color w:val="000000"/>
                <w:kern w:val="0"/>
                <w:sz w:val="18"/>
                <w:szCs w:val="18"/>
              </w:rPr>
              <w:t>X≥200</w:t>
            </w:r>
          </w:p>
        </w:tc>
        <w:tc>
          <w:tcPr>
            <w:tcW w:w="1697" w:type="dxa"/>
            <w:vAlign w:val="center"/>
          </w:tcPr>
          <w:p w14:paraId="1D51C9E6">
            <w:pPr>
              <w:jc w:val="center"/>
              <w:rPr>
                <w:rFonts w:ascii="宋体" w:hAnsi="宋体" w:cs="宋体"/>
                <w:color w:val="000000"/>
                <w:kern w:val="0"/>
                <w:sz w:val="18"/>
                <w:szCs w:val="18"/>
              </w:rPr>
            </w:pPr>
            <w:r>
              <w:rPr>
                <w:rFonts w:hint="eastAsia" w:ascii="宋体" w:hAnsi="宋体" w:cs="宋体"/>
                <w:color w:val="000000"/>
                <w:kern w:val="0"/>
                <w:sz w:val="18"/>
                <w:szCs w:val="18"/>
              </w:rPr>
              <w:t>20≤X＜200</w:t>
            </w:r>
          </w:p>
        </w:tc>
        <w:tc>
          <w:tcPr>
            <w:tcW w:w="1423" w:type="dxa"/>
            <w:vAlign w:val="center"/>
          </w:tcPr>
          <w:p w14:paraId="65BB4828">
            <w:pPr>
              <w:jc w:val="center"/>
              <w:rPr>
                <w:rFonts w:ascii="宋体" w:hAnsi="宋体" w:cs="宋体"/>
                <w:color w:val="000000"/>
                <w:kern w:val="0"/>
                <w:sz w:val="18"/>
                <w:szCs w:val="18"/>
              </w:rPr>
            </w:pPr>
            <w:r>
              <w:rPr>
                <w:rFonts w:hint="eastAsia" w:ascii="宋体" w:hAnsi="宋体" w:cs="宋体"/>
                <w:color w:val="000000"/>
                <w:kern w:val="0"/>
                <w:sz w:val="18"/>
                <w:szCs w:val="18"/>
              </w:rPr>
              <w:t xml:space="preserve"> 5≤X＜20</w:t>
            </w:r>
          </w:p>
        </w:tc>
        <w:tc>
          <w:tcPr>
            <w:tcW w:w="990" w:type="dxa"/>
            <w:vAlign w:val="center"/>
          </w:tcPr>
          <w:p w14:paraId="5CCC0AEF">
            <w:pPr>
              <w:jc w:val="center"/>
              <w:rPr>
                <w:rFonts w:ascii="宋体" w:hAnsi="宋体" w:cs="宋体"/>
                <w:color w:val="000000"/>
                <w:kern w:val="0"/>
                <w:sz w:val="18"/>
                <w:szCs w:val="18"/>
              </w:rPr>
            </w:pPr>
            <w:r>
              <w:rPr>
                <w:rFonts w:hint="eastAsia" w:ascii="宋体" w:hAnsi="宋体" w:cs="宋体"/>
                <w:color w:val="000000"/>
                <w:kern w:val="0"/>
                <w:sz w:val="18"/>
                <w:szCs w:val="18"/>
              </w:rPr>
              <w:t>X＜5</w:t>
            </w:r>
          </w:p>
        </w:tc>
      </w:tr>
      <w:tr w14:paraId="50578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exact"/>
          <w:jc w:val="center"/>
        </w:trPr>
        <w:tc>
          <w:tcPr>
            <w:tcW w:w="1691" w:type="dxa"/>
            <w:vMerge w:val="continue"/>
            <w:vAlign w:val="center"/>
          </w:tcPr>
          <w:p w14:paraId="2CF04D0C">
            <w:pPr>
              <w:jc w:val="left"/>
              <w:rPr>
                <w:rFonts w:ascii="宋体" w:hAnsi="宋体" w:cs="宋体"/>
                <w:color w:val="000000"/>
                <w:kern w:val="0"/>
                <w:sz w:val="18"/>
                <w:szCs w:val="18"/>
              </w:rPr>
            </w:pPr>
          </w:p>
        </w:tc>
        <w:tc>
          <w:tcPr>
            <w:tcW w:w="1366" w:type="dxa"/>
            <w:vAlign w:val="center"/>
          </w:tcPr>
          <w:p w14:paraId="19C8A20C">
            <w:pPr>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7" w:type="dxa"/>
            <w:vAlign w:val="center"/>
          </w:tcPr>
          <w:p w14:paraId="40FD7449">
            <w:pPr>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2" w:type="dxa"/>
            <w:vAlign w:val="center"/>
          </w:tcPr>
          <w:p w14:paraId="5662EAC3">
            <w:pPr>
              <w:jc w:val="center"/>
              <w:rPr>
                <w:rFonts w:ascii="宋体" w:hAnsi="宋体" w:cs="宋体"/>
                <w:color w:val="000000"/>
                <w:kern w:val="0"/>
                <w:sz w:val="18"/>
                <w:szCs w:val="18"/>
              </w:rPr>
            </w:pPr>
            <w:r>
              <w:rPr>
                <w:rFonts w:hint="eastAsia" w:ascii="宋体" w:hAnsi="宋体" w:cs="宋体"/>
                <w:color w:val="000000"/>
                <w:kern w:val="0"/>
                <w:sz w:val="18"/>
                <w:szCs w:val="18"/>
              </w:rPr>
              <w:t>Y≥40000</w:t>
            </w:r>
          </w:p>
        </w:tc>
        <w:tc>
          <w:tcPr>
            <w:tcW w:w="1697" w:type="dxa"/>
            <w:vAlign w:val="center"/>
          </w:tcPr>
          <w:p w14:paraId="2BD5174E">
            <w:pPr>
              <w:jc w:val="center"/>
              <w:rPr>
                <w:rFonts w:ascii="宋体" w:hAnsi="宋体" w:cs="宋体"/>
                <w:color w:val="000000"/>
                <w:kern w:val="0"/>
                <w:sz w:val="18"/>
                <w:szCs w:val="18"/>
              </w:rPr>
            </w:pPr>
            <w:r>
              <w:rPr>
                <w:rFonts w:hint="eastAsia" w:ascii="宋体" w:hAnsi="宋体" w:cs="宋体"/>
                <w:color w:val="000000"/>
                <w:kern w:val="0"/>
                <w:sz w:val="18"/>
                <w:szCs w:val="18"/>
              </w:rPr>
              <w:t>5000≤Y＜40000</w:t>
            </w:r>
          </w:p>
        </w:tc>
        <w:tc>
          <w:tcPr>
            <w:tcW w:w="1423" w:type="dxa"/>
            <w:vAlign w:val="center"/>
          </w:tcPr>
          <w:p w14:paraId="28EBC45C">
            <w:pPr>
              <w:ind w:left="-1" w:leftChars="-1" w:hanging="1"/>
              <w:jc w:val="center"/>
              <w:rPr>
                <w:rFonts w:ascii="宋体" w:hAnsi="宋体" w:cs="宋体"/>
                <w:color w:val="000000"/>
                <w:kern w:val="0"/>
                <w:sz w:val="18"/>
                <w:szCs w:val="18"/>
              </w:rPr>
            </w:pPr>
            <w:r>
              <w:rPr>
                <w:rFonts w:hint="eastAsia" w:ascii="宋体" w:hAnsi="宋体" w:cs="宋体"/>
                <w:color w:val="000000"/>
                <w:kern w:val="0"/>
                <w:sz w:val="18"/>
                <w:szCs w:val="18"/>
              </w:rPr>
              <w:t>1000≤Y＜5000</w:t>
            </w:r>
          </w:p>
        </w:tc>
        <w:tc>
          <w:tcPr>
            <w:tcW w:w="990" w:type="dxa"/>
            <w:vAlign w:val="center"/>
          </w:tcPr>
          <w:p w14:paraId="77D8B9A9">
            <w:pPr>
              <w:jc w:val="center"/>
              <w:rPr>
                <w:rFonts w:ascii="宋体" w:hAnsi="宋体" w:cs="宋体"/>
                <w:color w:val="000000"/>
                <w:kern w:val="0"/>
                <w:sz w:val="18"/>
                <w:szCs w:val="18"/>
              </w:rPr>
            </w:pPr>
            <w:r>
              <w:rPr>
                <w:rFonts w:hint="eastAsia" w:ascii="宋体" w:hAnsi="宋体" w:cs="宋体"/>
                <w:color w:val="000000"/>
                <w:kern w:val="0"/>
                <w:sz w:val="18"/>
                <w:szCs w:val="18"/>
              </w:rPr>
              <w:t>Y＜1000</w:t>
            </w:r>
          </w:p>
        </w:tc>
      </w:tr>
      <w:tr w14:paraId="06DB6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exact"/>
          <w:jc w:val="center"/>
        </w:trPr>
        <w:tc>
          <w:tcPr>
            <w:tcW w:w="1691" w:type="dxa"/>
            <w:vMerge w:val="restart"/>
            <w:vAlign w:val="center"/>
          </w:tcPr>
          <w:p w14:paraId="4959A4BE">
            <w:pPr>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零售业</w:t>
            </w:r>
          </w:p>
        </w:tc>
        <w:tc>
          <w:tcPr>
            <w:tcW w:w="1366" w:type="dxa"/>
            <w:vAlign w:val="center"/>
          </w:tcPr>
          <w:p w14:paraId="0F11E7B1">
            <w:pPr>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7" w:type="dxa"/>
            <w:vAlign w:val="center"/>
          </w:tcPr>
          <w:p w14:paraId="3CF21C89">
            <w:pPr>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2" w:type="dxa"/>
            <w:vAlign w:val="center"/>
          </w:tcPr>
          <w:p w14:paraId="2F3D8631">
            <w:pPr>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697" w:type="dxa"/>
            <w:vAlign w:val="center"/>
          </w:tcPr>
          <w:p w14:paraId="6651D825">
            <w:pPr>
              <w:jc w:val="center"/>
              <w:rPr>
                <w:rFonts w:ascii="宋体" w:hAnsi="宋体" w:cs="宋体"/>
                <w:color w:val="000000"/>
                <w:kern w:val="0"/>
                <w:sz w:val="18"/>
                <w:szCs w:val="18"/>
              </w:rPr>
            </w:pPr>
            <w:r>
              <w:rPr>
                <w:rFonts w:hint="eastAsia" w:ascii="宋体" w:hAnsi="宋体" w:cs="宋体"/>
                <w:color w:val="000000"/>
                <w:kern w:val="0"/>
                <w:sz w:val="18"/>
                <w:szCs w:val="18"/>
              </w:rPr>
              <w:t>50≤X＜300</w:t>
            </w:r>
          </w:p>
        </w:tc>
        <w:tc>
          <w:tcPr>
            <w:tcW w:w="1423" w:type="dxa"/>
            <w:vAlign w:val="center"/>
          </w:tcPr>
          <w:p w14:paraId="6CDDF52E">
            <w:pPr>
              <w:ind w:left="-1" w:leftChars="-1" w:hanging="1"/>
              <w:jc w:val="center"/>
              <w:rPr>
                <w:rFonts w:ascii="宋体" w:hAnsi="宋体" w:cs="宋体"/>
                <w:color w:val="000000"/>
                <w:kern w:val="0"/>
                <w:sz w:val="18"/>
                <w:szCs w:val="18"/>
              </w:rPr>
            </w:pPr>
            <w:r>
              <w:rPr>
                <w:rFonts w:hint="eastAsia" w:ascii="宋体" w:hAnsi="宋体" w:cs="宋体"/>
                <w:color w:val="000000"/>
                <w:kern w:val="0"/>
                <w:sz w:val="18"/>
                <w:szCs w:val="18"/>
              </w:rPr>
              <w:t xml:space="preserve">10≤X＜50 </w:t>
            </w:r>
          </w:p>
        </w:tc>
        <w:tc>
          <w:tcPr>
            <w:tcW w:w="990" w:type="dxa"/>
            <w:vAlign w:val="center"/>
          </w:tcPr>
          <w:p w14:paraId="1A13DB93">
            <w:pPr>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5D4B6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exact"/>
          <w:jc w:val="center"/>
        </w:trPr>
        <w:tc>
          <w:tcPr>
            <w:tcW w:w="1691" w:type="dxa"/>
            <w:vMerge w:val="continue"/>
            <w:vAlign w:val="center"/>
          </w:tcPr>
          <w:p w14:paraId="29D59E90">
            <w:pPr>
              <w:jc w:val="left"/>
              <w:rPr>
                <w:rFonts w:ascii="宋体" w:hAnsi="宋体" w:cs="宋体"/>
                <w:color w:val="000000"/>
                <w:kern w:val="0"/>
                <w:sz w:val="18"/>
                <w:szCs w:val="18"/>
              </w:rPr>
            </w:pPr>
          </w:p>
        </w:tc>
        <w:tc>
          <w:tcPr>
            <w:tcW w:w="1366" w:type="dxa"/>
            <w:vAlign w:val="center"/>
          </w:tcPr>
          <w:p w14:paraId="0330B715">
            <w:pPr>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7" w:type="dxa"/>
            <w:vAlign w:val="center"/>
          </w:tcPr>
          <w:p w14:paraId="7EEC6004">
            <w:pPr>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2" w:type="dxa"/>
            <w:vAlign w:val="center"/>
          </w:tcPr>
          <w:p w14:paraId="4D2C6CEB">
            <w:pPr>
              <w:jc w:val="center"/>
              <w:rPr>
                <w:rFonts w:ascii="宋体" w:hAnsi="宋体" w:cs="宋体"/>
                <w:color w:val="000000"/>
                <w:kern w:val="0"/>
                <w:sz w:val="18"/>
                <w:szCs w:val="18"/>
              </w:rPr>
            </w:pPr>
            <w:r>
              <w:rPr>
                <w:rFonts w:hint="eastAsia" w:ascii="宋体" w:hAnsi="宋体" w:cs="宋体"/>
                <w:color w:val="000000"/>
                <w:kern w:val="0"/>
                <w:sz w:val="18"/>
                <w:szCs w:val="18"/>
              </w:rPr>
              <w:t>Y≥20000</w:t>
            </w:r>
          </w:p>
        </w:tc>
        <w:tc>
          <w:tcPr>
            <w:tcW w:w="1697" w:type="dxa"/>
            <w:vAlign w:val="center"/>
          </w:tcPr>
          <w:p w14:paraId="3C5B60B1">
            <w:pPr>
              <w:jc w:val="center"/>
              <w:rPr>
                <w:rFonts w:ascii="宋体" w:hAnsi="宋体" w:cs="宋体"/>
                <w:color w:val="000000"/>
                <w:kern w:val="0"/>
                <w:sz w:val="18"/>
                <w:szCs w:val="18"/>
              </w:rPr>
            </w:pPr>
            <w:r>
              <w:rPr>
                <w:rFonts w:hint="eastAsia" w:ascii="宋体" w:hAnsi="宋体" w:cs="宋体"/>
                <w:color w:val="000000"/>
                <w:kern w:val="0"/>
                <w:sz w:val="18"/>
                <w:szCs w:val="18"/>
              </w:rPr>
              <w:t xml:space="preserve"> 500≤Y＜20000</w:t>
            </w:r>
          </w:p>
        </w:tc>
        <w:tc>
          <w:tcPr>
            <w:tcW w:w="1423" w:type="dxa"/>
            <w:vAlign w:val="center"/>
          </w:tcPr>
          <w:p w14:paraId="189940AB">
            <w:pPr>
              <w:ind w:left="-1" w:leftChars="-1" w:hanging="1"/>
              <w:jc w:val="center"/>
              <w:rPr>
                <w:rFonts w:ascii="宋体" w:hAnsi="宋体" w:cs="宋体"/>
                <w:color w:val="000000"/>
                <w:kern w:val="0"/>
                <w:sz w:val="18"/>
                <w:szCs w:val="18"/>
              </w:rPr>
            </w:pPr>
            <w:r>
              <w:rPr>
                <w:rFonts w:hint="eastAsia" w:ascii="宋体" w:hAnsi="宋体" w:cs="宋体"/>
                <w:color w:val="000000"/>
                <w:kern w:val="0"/>
                <w:sz w:val="18"/>
                <w:szCs w:val="18"/>
              </w:rPr>
              <w:t xml:space="preserve">100≤Y＜500 </w:t>
            </w:r>
          </w:p>
        </w:tc>
        <w:tc>
          <w:tcPr>
            <w:tcW w:w="990" w:type="dxa"/>
            <w:vAlign w:val="center"/>
          </w:tcPr>
          <w:p w14:paraId="4A5295D8">
            <w:pPr>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20393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exact"/>
          <w:jc w:val="center"/>
        </w:trPr>
        <w:tc>
          <w:tcPr>
            <w:tcW w:w="1691" w:type="dxa"/>
            <w:vMerge w:val="restart"/>
            <w:vAlign w:val="center"/>
          </w:tcPr>
          <w:p w14:paraId="3009CDB9">
            <w:pPr>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交通运输业 *</w:t>
            </w:r>
          </w:p>
        </w:tc>
        <w:tc>
          <w:tcPr>
            <w:tcW w:w="1366" w:type="dxa"/>
            <w:vAlign w:val="center"/>
          </w:tcPr>
          <w:p w14:paraId="03260BAD">
            <w:pPr>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7" w:type="dxa"/>
            <w:vAlign w:val="center"/>
          </w:tcPr>
          <w:p w14:paraId="659A9AAD">
            <w:pPr>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2" w:type="dxa"/>
            <w:vAlign w:val="center"/>
          </w:tcPr>
          <w:p w14:paraId="772CCCD7">
            <w:pPr>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697" w:type="dxa"/>
            <w:vAlign w:val="center"/>
          </w:tcPr>
          <w:p w14:paraId="0CBB5DD4">
            <w:pPr>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3" w:type="dxa"/>
            <w:vAlign w:val="center"/>
          </w:tcPr>
          <w:p w14:paraId="0B0B3C1A">
            <w:pPr>
              <w:jc w:val="center"/>
              <w:rPr>
                <w:rFonts w:ascii="宋体" w:hAnsi="宋体" w:cs="宋体"/>
                <w:color w:val="000000"/>
                <w:kern w:val="0"/>
                <w:sz w:val="18"/>
                <w:szCs w:val="18"/>
              </w:rPr>
            </w:pPr>
            <w:r>
              <w:rPr>
                <w:rFonts w:hint="eastAsia" w:ascii="宋体" w:hAnsi="宋体" w:cs="宋体"/>
                <w:color w:val="000000"/>
                <w:kern w:val="0"/>
                <w:sz w:val="18"/>
                <w:szCs w:val="18"/>
              </w:rPr>
              <w:t xml:space="preserve"> 20≤X＜300</w:t>
            </w:r>
          </w:p>
        </w:tc>
        <w:tc>
          <w:tcPr>
            <w:tcW w:w="990" w:type="dxa"/>
            <w:vAlign w:val="center"/>
          </w:tcPr>
          <w:p w14:paraId="490D59C2">
            <w:pPr>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05170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exact"/>
          <w:jc w:val="center"/>
        </w:trPr>
        <w:tc>
          <w:tcPr>
            <w:tcW w:w="1691" w:type="dxa"/>
            <w:vMerge w:val="continue"/>
            <w:vAlign w:val="center"/>
          </w:tcPr>
          <w:p w14:paraId="4DF36476">
            <w:pPr>
              <w:jc w:val="left"/>
              <w:rPr>
                <w:rFonts w:ascii="宋体" w:hAnsi="宋体" w:cs="宋体"/>
                <w:color w:val="000000"/>
                <w:kern w:val="0"/>
                <w:sz w:val="18"/>
                <w:szCs w:val="18"/>
              </w:rPr>
            </w:pPr>
          </w:p>
        </w:tc>
        <w:tc>
          <w:tcPr>
            <w:tcW w:w="1366" w:type="dxa"/>
            <w:vAlign w:val="center"/>
          </w:tcPr>
          <w:p w14:paraId="0D61E600">
            <w:pPr>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7" w:type="dxa"/>
            <w:vAlign w:val="center"/>
          </w:tcPr>
          <w:p w14:paraId="7FC14D63">
            <w:pPr>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2" w:type="dxa"/>
            <w:vAlign w:val="center"/>
          </w:tcPr>
          <w:p w14:paraId="35C2C26E">
            <w:pPr>
              <w:jc w:val="center"/>
              <w:rPr>
                <w:rFonts w:ascii="宋体" w:hAnsi="宋体" w:cs="宋体"/>
                <w:color w:val="000000"/>
                <w:kern w:val="0"/>
                <w:sz w:val="18"/>
                <w:szCs w:val="18"/>
              </w:rPr>
            </w:pPr>
            <w:r>
              <w:rPr>
                <w:rFonts w:hint="eastAsia" w:ascii="宋体" w:hAnsi="宋体" w:cs="宋体"/>
                <w:color w:val="000000"/>
                <w:kern w:val="0"/>
                <w:sz w:val="18"/>
                <w:szCs w:val="18"/>
              </w:rPr>
              <w:t>Y≥30000</w:t>
            </w:r>
          </w:p>
        </w:tc>
        <w:tc>
          <w:tcPr>
            <w:tcW w:w="1697" w:type="dxa"/>
            <w:vAlign w:val="center"/>
          </w:tcPr>
          <w:p w14:paraId="0BA9CC5B">
            <w:pPr>
              <w:jc w:val="center"/>
              <w:rPr>
                <w:rFonts w:ascii="宋体" w:hAnsi="宋体" w:cs="宋体"/>
                <w:color w:val="000000"/>
                <w:kern w:val="0"/>
                <w:sz w:val="18"/>
                <w:szCs w:val="18"/>
              </w:rPr>
            </w:pPr>
            <w:r>
              <w:rPr>
                <w:rFonts w:hint="eastAsia" w:ascii="宋体" w:hAnsi="宋体" w:cs="宋体"/>
                <w:color w:val="000000"/>
                <w:kern w:val="0"/>
                <w:sz w:val="18"/>
                <w:szCs w:val="18"/>
              </w:rPr>
              <w:t>3000≤Y＜30000</w:t>
            </w:r>
          </w:p>
        </w:tc>
        <w:tc>
          <w:tcPr>
            <w:tcW w:w="1423" w:type="dxa"/>
            <w:vAlign w:val="center"/>
          </w:tcPr>
          <w:p w14:paraId="0C118319">
            <w:pPr>
              <w:jc w:val="center"/>
              <w:rPr>
                <w:rFonts w:ascii="宋体" w:hAnsi="宋体" w:cs="宋体"/>
                <w:color w:val="000000"/>
                <w:kern w:val="0"/>
                <w:sz w:val="18"/>
                <w:szCs w:val="18"/>
              </w:rPr>
            </w:pPr>
            <w:r>
              <w:rPr>
                <w:rFonts w:hint="eastAsia" w:ascii="宋体" w:hAnsi="宋体" w:cs="宋体"/>
                <w:color w:val="000000"/>
                <w:kern w:val="0"/>
                <w:sz w:val="18"/>
                <w:szCs w:val="18"/>
              </w:rPr>
              <w:t xml:space="preserve"> 200≤Y＜3000</w:t>
            </w:r>
          </w:p>
        </w:tc>
        <w:tc>
          <w:tcPr>
            <w:tcW w:w="990" w:type="dxa"/>
            <w:vAlign w:val="center"/>
          </w:tcPr>
          <w:p w14:paraId="16DF06DD">
            <w:pPr>
              <w:jc w:val="center"/>
              <w:rPr>
                <w:rFonts w:ascii="宋体" w:hAnsi="宋体" w:cs="宋体"/>
                <w:color w:val="000000"/>
                <w:kern w:val="0"/>
                <w:sz w:val="18"/>
                <w:szCs w:val="18"/>
              </w:rPr>
            </w:pPr>
            <w:r>
              <w:rPr>
                <w:rFonts w:hint="eastAsia" w:ascii="宋体" w:hAnsi="宋体" w:cs="宋体"/>
                <w:color w:val="000000"/>
                <w:kern w:val="0"/>
                <w:sz w:val="18"/>
                <w:szCs w:val="18"/>
              </w:rPr>
              <w:t>Y＜200</w:t>
            </w:r>
          </w:p>
        </w:tc>
      </w:tr>
      <w:tr w14:paraId="1C0E3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exact"/>
          <w:jc w:val="center"/>
        </w:trPr>
        <w:tc>
          <w:tcPr>
            <w:tcW w:w="1691" w:type="dxa"/>
            <w:vMerge w:val="restart"/>
            <w:vAlign w:val="center"/>
          </w:tcPr>
          <w:p w14:paraId="5FCBBD16">
            <w:pPr>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仓储业*</w:t>
            </w:r>
          </w:p>
        </w:tc>
        <w:tc>
          <w:tcPr>
            <w:tcW w:w="1366" w:type="dxa"/>
            <w:vAlign w:val="center"/>
          </w:tcPr>
          <w:p w14:paraId="2621DC18">
            <w:pPr>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7" w:type="dxa"/>
            <w:vAlign w:val="center"/>
          </w:tcPr>
          <w:p w14:paraId="7C055C28">
            <w:pPr>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2" w:type="dxa"/>
            <w:vAlign w:val="center"/>
          </w:tcPr>
          <w:p w14:paraId="74AD69C2">
            <w:pPr>
              <w:jc w:val="center"/>
              <w:rPr>
                <w:rFonts w:ascii="宋体" w:hAnsi="宋体" w:cs="宋体"/>
                <w:color w:val="000000"/>
                <w:kern w:val="0"/>
                <w:sz w:val="18"/>
                <w:szCs w:val="18"/>
              </w:rPr>
            </w:pPr>
            <w:r>
              <w:rPr>
                <w:rFonts w:hint="eastAsia" w:ascii="宋体" w:hAnsi="宋体" w:cs="宋体"/>
                <w:color w:val="000000"/>
                <w:kern w:val="0"/>
                <w:sz w:val="18"/>
                <w:szCs w:val="18"/>
              </w:rPr>
              <w:t>X≥200</w:t>
            </w:r>
          </w:p>
        </w:tc>
        <w:tc>
          <w:tcPr>
            <w:tcW w:w="1697" w:type="dxa"/>
            <w:vAlign w:val="center"/>
          </w:tcPr>
          <w:p w14:paraId="3BBF21CD">
            <w:pPr>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100≤X＜200</w:t>
            </w:r>
          </w:p>
        </w:tc>
        <w:tc>
          <w:tcPr>
            <w:tcW w:w="1423" w:type="dxa"/>
            <w:vAlign w:val="center"/>
          </w:tcPr>
          <w:p w14:paraId="2E8085B9">
            <w:pPr>
              <w:jc w:val="center"/>
              <w:rPr>
                <w:rFonts w:ascii="宋体" w:hAnsi="宋体" w:cs="宋体"/>
                <w:color w:val="000000"/>
                <w:kern w:val="0"/>
                <w:sz w:val="18"/>
                <w:szCs w:val="18"/>
              </w:rPr>
            </w:pPr>
            <w:r>
              <w:rPr>
                <w:rFonts w:hint="eastAsia" w:ascii="宋体" w:hAnsi="宋体" w:cs="宋体"/>
                <w:color w:val="000000"/>
                <w:kern w:val="0"/>
                <w:sz w:val="18"/>
                <w:szCs w:val="18"/>
              </w:rPr>
              <w:t xml:space="preserve"> 20≤X＜100</w:t>
            </w:r>
          </w:p>
        </w:tc>
        <w:tc>
          <w:tcPr>
            <w:tcW w:w="990" w:type="dxa"/>
            <w:vAlign w:val="center"/>
          </w:tcPr>
          <w:p w14:paraId="1396D24B">
            <w:pPr>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253A8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exact"/>
          <w:jc w:val="center"/>
        </w:trPr>
        <w:tc>
          <w:tcPr>
            <w:tcW w:w="1691" w:type="dxa"/>
            <w:vMerge w:val="continue"/>
            <w:vAlign w:val="center"/>
          </w:tcPr>
          <w:p w14:paraId="676E6E35">
            <w:pPr>
              <w:jc w:val="left"/>
              <w:rPr>
                <w:rFonts w:ascii="宋体" w:hAnsi="宋体" w:cs="宋体"/>
                <w:color w:val="000000"/>
                <w:kern w:val="0"/>
                <w:sz w:val="18"/>
                <w:szCs w:val="18"/>
              </w:rPr>
            </w:pPr>
          </w:p>
        </w:tc>
        <w:tc>
          <w:tcPr>
            <w:tcW w:w="1366" w:type="dxa"/>
            <w:vAlign w:val="center"/>
          </w:tcPr>
          <w:p w14:paraId="1286CFC8">
            <w:pPr>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7" w:type="dxa"/>
            <w:vAlign w:val="center"/>
          </w:tcPr>
          <w:p w14:paraId="58DDEE0B">
            <w:pPr>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2" w:type="dxa"/>
            <w:vAlign w:val="center"/>
          </w:tcPr>
          <w:p w14:paraId="5501F349">
            <w:pPr>
              <w:jc w:val="center"/>
              <w:rPr>
                <w:rFonts w:ascii="宋体" w:hAnsi="宋体" w:cs="宋体"/>
                <w:color w:val="000000"/>
                <w:kern w:val="0"/>
                <w:sz w:val="18"/>
                <w:szCs w:val="18"/>
              </w:rPr>
            </w:pPr>
            <w:r>
              <w:rPr>
                <w:rFonts w:hint="eastAsia" w:ascii="宋体" w:hAnsi="宋体" w:cs="宋体"/>
                <w:color w:val="000000"/>
                <w:kern w:val="0"/>
                <w:sz w:val="18"/>
                <w:szCs w:val="18"/>
              </w:rPr>
              <w:t>Y≥30000</w:t>
            </w:r>
          </w:p>
        </w:tc>
        <w:tc>
          <w:tcPr>
            <w:tcW w:w="1697" w:type="dxa"/>
            <w:vAlign w:val="center"/>
          </w:tcPr>
          <w:p w14:paraId="46DF28D0">
            <w:pPr>
              <w:jc w:val="center"/>
              <w:rPr>
                <w:rFonts w:ascii="宋体" w:hAnsi="宋体" w:cs="宋体"/>
                <w:color w:val="000000"/>
                <w:kern w:val="0"/>
                <w:sz w:val="18"/>
                <w:szCs w:val="18"/>
              </w:rPr>
            </w:pPr>
            <w:r>
              <w:rPr>
                <w:rFonts w:hint="eastAsia" w:ascii="宋体" w:hAnsi="宋体" w:cs="宋体"/>
                <w:color w:val="000000"/>
                <w:kern w:val="0"/>
                <w:sz w:val="18"/>
                <w:szCs w:val="18"/>
              </w:rPr>
              <w:t>1000≤Y＜30000</w:t>
            </w:r>
          </w:p>
        </w:tc>
        <w:tc>
          <w:tcPr>
            <w:tcW w:w="1423" w:type="dxa"/>
            <w:vAlign w:val="center"/>
          </w:tcPr>
          <w:p w14:paraId="7A2D7F9D">
            <w:pPr>
              <w:jc w:val="center"/>
              <w:rPr>
                <w:rFonts w:ascii="宋体" w:hAnsi="宋体" w:cs="宋体"/>
                <w:color w:val="000000"/>
                <w:kern w:val="0"/>
                <w:sz w:val="18"/>
                <w:szCs w:val="18"/>
              </w:rPr>
            </w:pPr>
            <w:r>
              <w:rPr>
                <w:rFonts w:hint="eastAsia" w:ascii="宋体" w:hAnsi="宋体" w:cs="宋体"/>
                <w:color w:val="000000"/>
                <w:kern w:val="0"/>
                <w:sz w:val="18"/>
                <w:szCs w:val="18"/>
              </w:rPr>
              <w:t xml:space="preserve"> 100≤Y＜1000</w:t>
            </w:r>
          </w:p>
        </w:tc>
        <w:tc>
          <w:tcPr>
            <w:tcW w:w="990" w:type="dxa"/>
            <w:vAlign w:val="center"/>
          </w:tcPr>
          <w:p w14:paraId="3E8591E3">
            <w:pPr>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5084E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exact"/>
          <w:jc w:val="center"/>
        </w:trPr>
        <w:tc>
          <w:tcPr>
            <w:tcW w:w="1691" w:type="dxa"/>
            <w:vMerge w:val="restart"/>
            <w:vAlign w:val="center"/>
          </w:tcPr>
          <w:p w14:paraId="509A910B">
            <w:pPr>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邮政业</w:t>
            </w:r>
          </w:p>
        </w:tc>
        <w:tc>
          <w:tcPr>
            <w:tcW w:w="1366" w:type="dxa"/>
            <w:vAlign w:val="center"/>
          </w:tcPr>
          <w:p w14:paraId="54BB38AC">
            <w:pPr>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7" w:type="dxa"/>
            <w:vAlign w:val="center"/>
          </w:tcPr>
          <w:p w14:paraId="2D7A0AFB">
            <w:pPr>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2" w:type="dxa"/>
            <w:vAlign w:val="center"/>
          </w:tcPr>
          <w:p w14:paraId="3E04199F">
            <w:pPr>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697" w:type="dxa"/>
            <w:vAlign w:val="center"/>
          </w:tcPr>
          <w:p w14:paraId="3E57CBD1">
            <w:pPr>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3" w:type="dxa"/>
            <w:vAlign w:val="center"/>
          </w:tcPr>
          <w:p w14:paraId="4932EFB6">
            <w:pPr>
              <w:jc w:val="center"/>
              <w:rPr>
                <w:rFonts w:ascii="宋体" w:hAnsi="宋体" w:cs="宋体"/>
                <w:color w:val="000000"/>
                <w:kern w:val="0"/>
                <w:sz w:val="18"/>
                <w:szCs w:val="18"/>
              </w:rPr>
            </w:pPr>
            <w:r>
              <w:rPr>
                <w:rFonts w:hint="eastAsia" w:ascii="宋体" w:hAnsi="宋体" w:cs="宋体"/>
                <w:color w:val="000000"/>
                <w:kern w:val="0"/>
                <w:sz w:val="18"/>
                <w:szCs w:val="18"/>
              </w:rPr>
              <w:t xml:space="preserve"> 20≤X＜300</w:t>
            </w:r>
          </w:p>
        </w:tc>
        <w:tc>
          <w:tcPr>
            <w:tcW w:w="990" w:type="dxa"/>
            <w:vAlign w:val="center"/>
          </w:tcPr>
          <w:p w14:paraId="4222EA57">
            <w:pPr>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52FA9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exact"/>
          <w:jc w:val="center"/>
        </w:trPr>
        <w:tc>
          <w:tcPr>
            <w:tcW w:w="1691" w:type="dxa"/>
            <w:vMerge w:val="continue"/>
            <w:vAlign w:val="center"/>
          </w:tcPr>
          <w:p w14:paraId="14CD9ED0">
            <w:pPr>
              <w:jc w:val="left"/>
              <w:rPr>
                <w:rFonts w:ascii="宋体" w:hAnsi="宋体" w:cs="宋体"/>
                <w:color w:val="000000"/>
                <w:kern w:val="0"/>
                <w:sz w:val="18"/>
                <w:szCs w:val="18"/>
              </w:rPr>
            </w:pPr>
          </w:p>
        </w:tc>
        <w:tc>
          <w:tcPr>
            <w:tcW w:w="1366" w:type="dxa"/>
            <w:vAlign w:val="center"/>
          </w:tcPr>
          <w:p w14:paraId="2F525B12">
            <w:pPr>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7" w:type="dxa"/>
            <w:vAlign w:val="center"/>
          </w:tcPr>
          <w:p w14:paraId="057C7C49">
            <w:pPr>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2" w:type="dxa"/>
            <w:vAlign w:val="center"/>
          </w:tcPr>
          <w:p w14:paraId="13B8BF95">
            <w:pPr>
              <w:jc w:val="center"/>
              <w:rPr>
                <w:rFonts w:ascii="宋体" w:hAnsi="宋体" w:cs="宋体"/>
                <w:color w:val="000000"/>
                <w:kern w:val="0"/>
                <w:sz w:val="18"/>
                <w:szCs w:val="18"/>
              </w:rPr>
            </w:pPr>
            <w:r>
              <w:rPr>
                <w:rFonts w:hint="eastAsia" w:ascii="宋体" w:hAnsi="宋体" w:cs="宋体"/>
                <w:color w:val="000000"/>
                <w:kern w:val="0"/>
                <w:sz w:val="18"/>
                <w:szCs w:val="18"/>
              </w:rPr>
              <w:t>Y≥30000</w:t>
            </w:r>
          </w:p>
        </w:tc>
        <w:tc>
          <w:tcPr>
            <w:tcW w:w="1697" w:type="dxa"/>
            <w:vAlign w:val="center"/>
          </w:tcPr>
          <w:p w14:paraId="319A8069">
            <w:pPr>
              <w:jc w:val="center"/>
              <w:rPr>
                <w:rFonts w:ascii="宋体" w:hAnsi="宋体" w:cs="宋体"/>
                <w:color w:val="000000"/>
                <w:kern w:val="0"/>
                <w:sz w:val="18"/>
                <w:szCs w:val="18"/>
              </w:rPr>
            </w:pPr>
            <w:r>
              <w:rPr>
                <w:rFonts w:hint="eastAsia" w:ascii="宋体" w:hAnsi="宋体" w:cs="宋体"/>
                <w:color w:val="000000"/>
                <w:kern w:val="0"/>
                <w:sz w:val="18"/>
                <w:szCs w:val="18"/>
              </w:rPr>
              <w:t>2000≤Y＜30000</w:t>
            </w:r>
          </w:p>
        </w:tc>
        <w:tc>
          <w:tcPr>
            <w:tcW w:w="1423" w:type="dxa"/>
            <w:vAlign w:val="center"/>
          </w:tcPr>
          <w:p w14:paraId="0F3D085A">
            <w:pPr>
              <w:jc w:val="center"/>
              <w:rPr>
                <w:rFonts w:ascii="宋体" w:hAnsi="宋体" w:cs="宋体"/>
                <w:color w:val="000000"/>
                <w:kern w:val="0"/>
                <w:sz w:val="18"/>
                <w:szCs w:val="18"/>
              </w:rPr>
            </w:pPr>
            <w:r>
              <w:rPr>
                <w:rFonts w:hint="eastAsia" w:ascii="宋体" w:hAnsi="宋体" w:cs="宋体"/>
                <w:color w:val="000000"/>
                <w:kern w:val="0"/>
                <w:sz w:val="18"/>
                <w:szCs w:val="18"/>
              </w:rPr>
              <w:t xml:space="preserve"> 100≤Y＜2000</w:t>
            </w:r>
          </w:p>
        </w:tc>
        <w:tc>
          <w:tcPr>
            <w:tcW w:w="990" w:type="dxa"/>
            <w:vAlign w:val="center"/>
          </w:tcPr>
          <w:p w14:paraId="33760DC2">
            <w:pPr>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34147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exact"/>
          <w:jc w:val="center"/>
        </w:trPr>
        <w:tc>
          <w:tcPr>
            <w:tcW w:w="1691" w:type="dxa"/>
            <w:vMerge w:val="restart"/>
            <w:vAlign w:val="center"/>
          </w:tcPr>
          <w:p w14:paraId="71FE849E">
            <w:pPr>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住宿业</w:t>
            </w:r>
          </w:p>
        </w:tc>
        <w:tc>
          <w:tcPr>
            <w:tcW w:w="1366" w:type="dxa"/>
            <w:vAlign w:val="center"/>
          </w:tcPr>
          <w:p w14:paraId="4C328846">
            <w:pPr>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7" w:type="dxa"/>
            <w:vAlign w:val="center"/>
          </w:tcPr>
          <w:p w14:paraId="49A2CE67">
            <w:pPr>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2" w:type="dxa"/>
            <w:vAlign w:val="center"/>
          </w:tcPr>
          <w:p w14:paraId="05D5319E">
            <w:pPr>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697" w:type="dxa"/>
            <w:vAlign w:val="center"/>
          </w:tcPr>
          <w:p w14:paraId="5EDD38F6">
            <w:pPr>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3" w:type="dxa"/>
            <w:vAlign w:val="center"/>
          </w:tcPr>
          <w:p w14:paraId="67DF28E8">
            <w:pPr>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0" w:type="dxa"/>
            <w:vAlign w:val="center"/>
          </w:tcPr>
          <w:p w14:paraId="77312990">
            <w:pPr>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22D41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exact"/>
          <w:jc w:val="center"/>
        </w:trPr>
        <w:tc>
          <w:tcPr>
            <w:tcW w:w="1691" w:type="dxa"/>
            <w:vMerge w:val="continue"/>
            <w:vAlign w:val="center"/>
          </w:tcPr>
          <w:p w14:paraId="11586530">
            <w:pPr>
              <w:jc w:val="left"/>
              <w:rPr>
                <w:rFonts w:ascii="宋体" w:hAnsi="宋体" w:cs="宋体"/>
                <w:color w:val="000000"/>
                <w:kern w:val="0"/>
                <w:sz w:val="18"/>
                <w:szCs w:val="18"/>
              </w:rPr>
            </w:pPr>
          </w:p>
        </w:tc>
        <w:tc>
          <w:tcPr>
            <w:tcW w:w="1366" w:type="dxa"/>
            <w:vAlign w:val="center"/>
          </w:tcPr>
          <w:p w14:paraId="072E9B89">
            <w:pPr>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7" w:type="dxa"/>
            <w:vAlign w:val="center"/>
          </w:tcPr>
          <w:p w14:paraId="221199FB">
            <w:pPr>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2" w:type="dxa"/>
            <w:vAlign w:val="center"/>
          </w:tcPr>
          <w:p w14:paraId="184D0967">
            <w:pPr>
              <w:jc w:val="center"/>
              <w:rPr>
                <w:rFonts w:ascii="宋体" w:hAnsi="宋体" w:cs="宋体"/>
                <w:color w:val="000000"/>
                <w:kern w:val="0"/>
                <w:sz w:val="18"/>
                <w:szCs w:val="18"/>
              </w:rPr>
            </w:pPr>
            <w:r>
              <w:rPr>
                <w:rFonts w:hint="eastAsia" w:ascii="宋体" w:hAnsi="宋体" w:cs="宋体"/>
                <w:color w:val="000000"/>
                <w:kern w:val="0"/>
                <w:sz w:val="18"/>
                <w:szCs w:val="18"/>
              </w:rPr>
              <w:t>Y≥10000</w:t>
            </w:r>
          </w:p>
        </w:tc>
        <w:tc>
          <w:tcPr>
            <w:tcW w:w="1697" w:type="dxa"/>
            <w:vAlign w:val="center"/>
          </w:tcPr>
          <w:p w14:paraId="5E6E7860">
            <w:pPr>
              <w:jc w:val="center"/>
              <w:rPr>
                <w:rFonts w:ascii="宋体" w:hAnsi="宋体" w:cs="宋体"/>
                <w:color w:val="000000"/>
                <w:kern w:val="0"/>
                <w:sz w:val="18"/>
                <w:szCs w:val="18"/>
              </w:rPr>
            </w:pPr>
            <w:r>
              <w:rPr>
                <w:rFonts w:hint="eastAsia" w:ascii="宋体" w:hAnsi="宋体" w:cs="宋体"/>
                <w:color w:val="000000"/>
                <w:kern w:val="0"/>
                <w:sz w:val="18"/>
                <w:szCs w:val="18"/>
              </w:rPr>
              <w:t>2000≤Y＜10000</w:t>
            </w:r>
          </w:p>
        </w:tc>
        <w:tc>
          <w:tcPr>
            <w:tcW w:w="1423" w:type="dxa"/>
            <w:vAlign w:val="center"/>
          </w:tcPr>
          <w:p w14:paraId="4F0CF169">
            <w:pPr>
              <w:jc w:val="center"/>
              <w:rPr>
                <w:rFonts w:ascii="宋体" w:hAnsi="宋体" w:cs="宋体"/>
                <w:color w:val="000000"/>
                <w:kern w:val="0"/>
                <w:sz w:val="18"/>
                <w:szCs w:val="18"/>
              </w:rPr>
            </w:pPr>
            <w:r>
              <w:rPr>
                <w:rFonts w:hint="eastAsia" w:ascii="宋体" w:hAnsi="宋体" w:cs="宋体"/>
                <w:color w:val="000000"/>
                <w:kern w:val="0"/>
                <w:sz w:val="18"/>
                <w:szCs w:val="18"/>
              </w:rPr>
              <w:t xml:space="preserve"> 100≤Y＜2000</w:t>
            </w:r>
          </w:p>
        </w:tc>
        <w:tc>
          <w:tcPr>
            <w:tcW w:w="990" w:type="dxa"/>
            <w:vAlign w:val="center"/>
          </w:tcPr>
          <w:p w14:paraId="3E96309F">
            <w:pPr>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3A4A6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exact"/>
          <w:jc w:val="center"/>
        </w:trPr>
        <w:tc>
          <w:tcPr>
            <w:tcW w:w="1691" w:type="dxa"/>
            <w:vMerge w:val="restart"/>
            <w:vAlign w:val="center"/>
          </w:tcPr>
          <w:p w14:paraId="3D9D58D6">
            <w:pPr>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餐饮业</w:t>
            </w:r>
          </w:p>
        </w:tc>
        <w:tc>
          <w:tcPr>
            <w:tcW w:w="1366" w:type="dxa"/>
            <w:vAlign w:val="center"/>
          </w:tcPr>
          <w:p w14:paraId="5865CF6D">
            <w:pPr>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7" w:type="dxa"/>
            <w:vAlign w:val="center"/>
          </w:tcPr>
          <w:p w14:paraId="54D35F97">
            <w:pPr>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2" w:type="dxa"/>
            <w:vAlign w:val="center"/>
          </w:tcPr>
          <w:p w14:paraId="4C06F946">
            <w:pPr>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697" w:type="dxa"/>
            <w:vAlign w:val="center"/>
          </w:tcPr>
          <w:p w14:paraId="4295CEF7">
            <w:pPr>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3" w:type="dxa"/>
            <w:vAlign w:val="center"/>
          </w:tcPr>
          <w:p w14:paraId="0831C016">
            <w:pPr>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0" w:type="dxa"/>
            <w:vAlign w:val="center"/>
          </w:tcPr>
          <w:p w14:paraId="77A2C41C">
            <w:pPr>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75AE5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exact"/>
          <w:jc w:val="center"/>
        </w:trPr>
        <w:tc>
          <w:tcPr>
            <w:tcW w:w="1691" w:type="dxa"/>
            <w:vMerge w:val="continue"/>
            <w:vAlign w:val="center"/>
          </w:tcPr>
          <w:p w14:paraId="538E1F50">
            <w:pPr>
              <w:jc w:val="left"/>
              <w:rPr>
                <w:rFonts w:ascii="宋体" w:hAnsi="宋体" w:cs="宋体"/>
                <w:color w:val="000000"/>
                <w:kern w:val="0"/>
                <w:sz w:val="18"/>
                <w:szCs w:val="18"/>
              </w:rPr>
            </w:pPr>
          </w:p>
        </w:tc>
        <w:tc>
          <w:tcPr>
            <w:tcW w:w="1366" w:type="dxa"/>
            <w:vAlign w:val="center"/>
          </w:tcPr>
          <w:p w14:paraId="0E542585">
            <w:pPr>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7" w:type="dxa"/>
            <w:vAlign w:val="center"/>
          </w:tcPr>
          <w:p w14:paraId="4D30108B">
            <w:pPr>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2" w:type="dxa"/>
            <w:vAlign w:val="center"/>
          </w:tcPr>
          <w:p w14:paraId="47F78B4C">
            <w:pPr>
              <w:jc w:val="center"/>
              <w:rPr>
                <w:rFonts w:ascii="宋体" w:hAnsi="宋体" w:cs="宋体"/>
                <w:color w:val="000000"/>
                <w:kern w:val="0"/>
                <w:sz w:val="18"/>
                <w:szCs w:val="18"/>
              </w:rPr>
            </w:pPr>
            <w:r>
              <w:rPr>
                <w:rFonts w:hint="eastAsia" w:ascii="宋体" w:hAnsi="宋体" w:cs="宋体"/>
                <w:color w:val="000000"/>
                <w:kern w:val="0"/>
                <w:sz w:val="18"/>
                <w:szCs w:val="18"/>
              </w:rPr>
              <w:t>Y≥10000</w:t>
            </w:r>
          </w:p>
        </w:tc>
        <w:tc>
          <w:tcPr>
            <w:tcW w:w="1697" w:type="dxa"/>
            <w:vAlign w:val="center"/>
          </w:tcPr>
          <w:p w14:paraId="7EA7C48A">
            <w:pPr>
              <w:jc w:val="center"/>
              <w:rPr>
                <w:rFonts w:ascii="宋体" w:hAnsi="宋体" w:cs="宋体"/>
                <w:color w:val="000000"/>
                <w:kern w:val="0"/>
                <w:sz w:val="18"/>
                <w:szCs w:val="18"/>
              </w:rPr>
            </w:pPr>
            <w:r>
              <w:rPr>
                <w:rFonts w:hint="eastAsia" w:ascii="宋体" w:hAnsi="宋体" w:cs="宋体"/>
                <w:color w:val="000000"/>
                <w:kern w:val="0"/>
                <w:sz w:val="18"/>
                <w:szCs w:val="18"/>
              </w:rPr>
              <w:t>2000≤Y＜10000</w:t>
            </w:r>
          </w:p>
        </w:tc>
        <w:tc>
          <w:tcPr>
            <w:tcW w:w="1423" w:type="dxa"/>
            <w:vAlign w:val="center"/>
          </w:tcPr>
          <w:p w14:paraId="052BCB7C">
            <w:pPr>
              <w:jc w:val="center"/>
              <w:rPr>
                <w:rFonts w:ascii="宋体" w:hAnsi="宋体" w:cs="宋体"/>
                <w:color w:val="000000"/>
                <w:kern w:val="0"/>
                <w:sz w:val="18"/>
                <w:szCs w:val="18"/>
              </w:rPr>
            </w:pPr>
            <w:r>
              <w:rPr>
                <w:rFonts w:hint="eastAsia" w:ascii="宋体" w:hAnsi="宋体" w:cs="宋体"/>
                <w:color w:val="000000"/>
                <w:kern w:val="0"/>
                <w:sz w:val="18"/>
                <w:szCs w:val="18"/>
              </w:rPr>
              <w:t xml:space="preserve"> 100≤Y＜2000</w:t>
            </w:r>
          </w:p>
        </w:tc>
        <w:tc>
          <w:tcPr>
            <w:tcW w:w="990" w:type="dxa"/>
            <w:vAlign w:val="center"/>
          </w:tcPr>
          <w:p w14:paraId="7C2A1681">
            <w:pPr>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25496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exact"/>
          <w:jc w:val="center"/>
        </w:trPr>
        <w:tc>
          <w:tcPr>
            <w:tcW w:w="1691" w:type="dxa"/>
            <w:vMerge w:val="restart"/>
            <w:vAlign w:val="center"/>
          </w:tcPr>
          <w:p w14:paraId="3C5F1D5E">
            <w:pPr>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信息传输业 *</w:t>
            </w:r>
          </w:p>
        </w:tc>
        <w:tc>
          <w:tcPr>
            <w:tcW w:w="1366" w:type="dxa"/>
            <w:vAlign w:val="center"/>
          </w:tcPr>
          <w:p w14:paraId="27F67997">
            <w:pPr>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7" w:type="dxa"/>
            <w:vAlign w:val="center"/>
          </w:tcPr>
          <w:p w14:paraId="35A3528C">
            <w:pPr>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2" w:type="dxa"/>
            <w:vAlign w:val="center"/>
          </w:tcPr>
          <w:p w14:paraId="55A2A3A5">
            <w:pPr>
              <w:jc w:val="center"/>
              <w:rPr>
                <w:rFonts w:ascii="宋体" w:hAnsi="宋体" w:cs="宋体"/>
                <w:color w:val="000000"/>
                <w:kern w:val="0"/>
                <w:sz w:val="18"/>
                <w:szCs w:val="18"/>
              </w:rPr>
            </w:pPr>
            <w:r>
              <w:rPr>
                <w:rFonts w:hint="eastAsia" w:ascii="宋体" w:hAnsi="宋体" w:cs="宋体"/>
                <w:color w:val="000000"/>
                <w:kern w:val="0"/>
                <w:sz w:val="18"/>
                <w:szCs w:val="18"/>
              </w:rPr>
              <w:t>X≥2000</w:t>
            </w:r>
          </w:p>
        </w:tc>
        <w:tc>
          <w:tcPr>
            <w:tcW w:w="1697" w:type="dxa"/>
            <w:vAlign w:val="center"/>
          </w:tcPr>
          <w:p w14:paraId="5B6CC22A">
            <w:pPr>
              <w:jc w:val="center"/>
              <w:rPr>
                <w:rFonts w:ascii="宋体" w:hAnsi="宋体" w:cs="宋体"/>
                <w:color w:val="000000"/>
                <w:kern w:val="0"/>
                <w:sz w:val="18"/>
                <w:szCs w:val="18"/>
              </w:rPr>
            </w:pPr>
            <w:r>
              <w:rPr>
                <w:rFonts w:hint="eastAsia" w:ascii="宋体" w:hAnsi="宋体" w:cs="宋体"/>
                <w:color w:val="000000"/>
                <w:kern w:val="0"/>
                <w:sz w:val="18"/>
                <w:szCs w:val="18"/>
              </w:rPr>
              <w:t>100≤X＜2000</w:t>
            </w:r>
          </w:p>
        </w:tc>
        <w:tc>
          <w:tcPr>
            <w:tcW w:w="1423" w:type="dxa"/>
            <w:vAlign w:val="center"/>
          </w:tcPr>
          <w:p w14:paraId="76619B33">
            <w:pPr>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0" w:type="dxa"/>
            <w:vAlign w:val="center"/>
          </w:tcPr>
          <w:p w14:paraId="198BDA7B">
            <w:pPr>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28224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exact"/>
          <w:jc w:val="center"/>
        </w:trPr>
        <w:tc>
          <w:tcPr>
            <w:tcW w:w="1691" w:type="dxa"/>
            <w:vMerge w:val="continue"/>
            <w:vAlign w:val="center"/>
          </w:tcPr>
          <w:p w14:paraId="0C81544A">
            <w:pPr>
              <w:jc w:val="left"/>
              <w:rPr>
                <w:rFonts w:ascii="宋体" w:hAnsi="宋体" w:cs="宋体"/>
                <w:color w:val="000000"/>
                <w:kern w:val="0"/>
                <w:sz w:val="18"/>
                <w:szCs w:val="18"/>
              </w:rPr>
            </w:pPr>
          </w:p>
        </w:tc>
        <w:tc>
          <w:tcPr>
            <w:tcW w:w="1366" w:type="dxa"/>
            <w:vAlign w:val="center"/>
          </w:tcPr>
          <w:p w14:paraId="588B55B3">
            <w:pPr>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7" w:type="dxa"/>
            <w:vAlign w:val="center"/>
          </w:tcPr>
          <w:p w14:paraId="7463A46B">
            <w:pPr>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2" w:type="dxa"/>
            <w:vAlign w:val="center"/>
          </w:tcPr>
          <w:p w14:paraId="2DA78865">
            <w:pPr>
              <w:jc w:val="center"/>
              <w:rPr>
                <w:rFonts w:ascii="宋体" w:hAnsi="宋体" w:cs="宋体"/>
                <w:color w:val="000000"/>
                <w:kern w:val="0"/>
                <w:sz w:val="18"/>
                <w:szCs w:val="18"/>
              </w:rPr>
            </w:pPr>
            <w:r>
              <w:rPr>
                <w:rFonts w:hint="eastAsia" w:ascii="宋体" w:hAnsi="宋体" w:cs="宋体"/>
                <w:color w:val="000000"/>
                <w:kern w:val="0"/>
                <w:sz w:val="18"/>
                <w:szCs w:val="18"/>
              </w:rPr>
              <w:t>Y≥100000</w:t>
            </w:r>
          </w:p>
        </w:tc>
        <w:tc>
          <w:tcPr>
            <w:tcW w:w="1697" w:type="dxa"/>
            <w:vAlign w:val="center"/>
          </w:tcPr>
          <w:p w14:paraId="0F285759">
            <w:pPr>
              <w:jc w:val="center"/>
              <w:rPr>
                <w:rFonts w:ascii="宋体" w:hAnsi="宋体" w:cs="宋体"/>
                <w:color w:val="000000"/>
                <w:kern w:val="0"/>
                <w:sz w:val="18"/>
                <w:szCs w:val="18"/>
              </w:rPr>
            </w:pPr>
            <w:r>
              <w:rPr>
                <w:rFonts w:hint="eastAsia" w:ascii="宋体" w:hAnsi="宋体" w:cs="宋体"/>
                <w:color w:val="000000"/>
                <w:kern w:val="0"/>
                <w:sz w:val="18"/>
                <w:szCs w:val="18"/>
              </w:rPr>
              <w:t xml:space="preserve"> 1000≤Y＜100000</w:t>
            </w:r>
          </w:p>
        </w:tc>
        <w:tc>
          <w:tcPr>
            <w:tcW w:w="1423" w:type="dxa"/>
            <w:vAlign w:val="center"/>
          </w:tcPr>
          <w:p w14:paraId="19AB9DD8">
            <w:pPr>
              <w:jc w:val="center"/>
              <w:rPr>
                <w:rFonts w:ascii="宋体" w:hAnsi="宋体" w:cs="宋体"/>
                <w:color w:val="000000"/>
                <w:kern w:val="0"/>
                <w:sz w:val="18"/>
                <w:szCs w:val="18"/>
              </w:rPr>
            </w:pPr>
            <w:r>
              <w:rPr>
                <w:rFonts w:hint="eastAsia" w:ascii="宋体" w:hAnsi="宋体" w:cs="宋体"/>
                <w:color w:val="000000"/>
                <w:kern w:val="0"/>
                <w:sz w:val="18"/>
                <w:szCs w:val="18"/>
              </w:rPr>
              <w:t xml:space="preserve"> 100≤Y＜1000</w:t>
            </w:r>
          </w:p>
        </w:tc>
        <w:tc>
          <w:tcPr>
            <w:tcW w:w="990" w:type="dxa"/>
            <w:vAlign w:val="center"/>
          </w:tcPr>
          <w:p w14:paraId="67D316E5">
            <w:pPr>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6972D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8" w:hRule="exact"/>
          <w:jc w:val="center"/>
        </w:trPr>
        <w:tc>
          <w:tcPr>
            <w:tcW w:w="1691" w:type="dxa"/>
            <w:vMerge w:val="restart"/>
            <w:vAlign w:val="center"/>
          </w:tcPr>
          <w:p w14:paraId="472D08C9">
            <w:pPr>
              <w:spacing w:line="240" w:lineRule="exact"/>
              <w:jc w:val="left"/>
              <w:rPr>
                <w:rFonts w:ascii="宋体" w:hAnsi="宋体" w:cs="宋体"/>
                <w:color w:val="000000"/>
                <w:spacing w:val="-12"/>
                <w:kern w:val="0"/>
                <w:sz w:val="18"/>
                <w:szCs w:val="18"/>
              </w:rPr>
            </w:pPr>
            <w:r>
              <w:rPr>
                <w:rFonts w:hint="eastAsia" w:ascii="宋体" w:hAnsi="宋体" w:cs="宋体"/>
                <w:color w:val="000000"/>
                <w:spacing w:val="-12"/>
                <w:kern w:val="0"/>
                <w:sz w:val="18"/>
                <w:szCs w:val="18"/>
              </w:rPr>
              <w:t>软件和信息技术服</w:t>
            </w:r>
            <w:r>
              <w:rPr>
                <w:rFonts w:hint="eastAsia" w:ascii="宋体" w:hAnsi="宋体" w:cs="宋体"/>
                <w:color w:val="000000"/>
                <w:kern w:val="0"/>
                <w:sz w:val="18"/>
                <w:szCs w:val="18"/>
              </w:rPr>
              <w:t>务业</w:t>
            </w:r>
          </w:p>
        </w:tc>
        <w:tc>
          <w:tcPr>
            <w:tcW w:w="1366" w:type="dxa"/>
            <w:vAlign w:val="center"/>
          </w:tcPr>
          <w:p w14:paraId="25B6E761">
            <w:pPr>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7" w:type="dxa"/>
            <w:vAlign w:val="center"/>
          </w:tcPr>
          <w:p w14:paraId="74D73E57">
            <w:pPr>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2" w:type="dxa"/>
            <w:vAlign w:val="center"/>
          </w:tcPr>
          <w:p w14:paraId="007F821A">
            <w:pPr>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697" w:type="dxa"/>
            <w:vAlign w:val="center"/>
          </w:tcPr>
          <w:p w14:paraId="36AEC18A">
            <w:pPr>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3" w:type="dxa"/>
            <w:vAlign w:val="center"/>
          </w:tcPr>
          <w:p w14:paraId="69439769">
            <w:pPr>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0" w:type="dxa"/>
            <w:vAlign w:val="center"/>
          </w:tcPr>
          <w:p w14:paraId="61147900">
            <w:pPr>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3147D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8" w:hRule="exact"/>
          <w:jc w:val="center"/>
        </w:trPr>
        <w:tc>
          <w:tcPr>
            <w:tcW w:w="1691" w:type="dxa"/>
            <w:vMerge w:val="continue"/>
            <w:vAlign w:val="center"/>
          </w:tcPr>
          <w:p w14:paraId="75BD9108">
            <w:pPr>
              <w:jc w:val="left"/>
              <w:rPr>
                <w:rFonts w:ascii="宋体" w:hAnsi="宋体" w:cs="宋体"/>
                <w:color w:val="000000"/>
                <w:spacing w:val="-12"/>
                <w:kern w:val="0"/>
                <w:sz w:val="18"/>
                <w:szCs w:val="18"/>
              </w:rPr>
            </w:pPr>
          </w:p>
        </w:tc>
        <w:tc>
          <w:tcPr>
            <w:tcW w:w="1366" w:type="dxa"/>
            <w:vAlign w:val="center"/>
          </w:tcPr>
          <w:p w14:paraId="0471D639">
            <w:pPr>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7" w:type="dxa"/>
            <w:vAlign w:val="center"/>
          </w:tcPr>
          <w:p w14:paraId="1E33F4FE">
            <w:pPr>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2" w:type="dxa"/>
            <w:vAlign w:val="center"/>
          </w:tcPr>
          <w:p w14:paraId="4A4A7529">
            <w:pPr>
              <w:jc w:val="center"/>
              <w:rPr>
                <w:rFonts w:ascii="宋体" w:hAnsi="宋体" w:cs="宋体"/>
                <w:color w:val="000000"/>
                <w:kern w:val="0"/>
                <w:sz w:val="18"/>
                <w:szCs w:val="18"/>
              </w:rPr>
            </w:pPr>
            <w:r>
              <w:rPr>
                <w:rFonts w:hint="eastAsia" w:ascii="宋体" w:hAnsi="宋体" w:cs="宋体"/>
                <w:color w:val="000000"/>
                <w:kern w:val="0"/>
                <w:sz w:val="18"/>
                <w:szCs w:val="18"/>
              </w:rPr>
              <w:t>Y≥10000</w:t>
            </w:r>
          </w:p>
        </w:tc>
        <w:tc>
          <w:tcPr>
            <w:tcW w:w="1697" w:type="dxa"/>
            <w:vAlign w:val="center"/>
          </w:tcPr>
          <w:p w14:paraId="257D8B46">
            <w:pPr>
              <w:jc w:val="center"/>
              <w:rPr>
                <w:rFonts w:ascii="宋体" w:hAnsi="宋体" w:cs="宋体"/>
                <w:color w:val="000000"/>
                <w:kern w:val="0"/>
                <w:sz w:val="18"/>
                <w:szCs w:val="18"/>
              </w:rPr>
            </w:pPr>
            <w:r>
              <w:rPr>
                <w:rFonts w:hint="eastAsia" w:ascii="宋体" w:hAnsi="宋体" w:cs="宋体"/>
                <w:color w:val="000000"/>
                <w:kern w:val="0"/>
                <w:sz w:val="18"/>
                <w:szCs w:val="18"/>
              </w:rPr>
              <w:t>1000≤Y＜10000</w:t>
            </w:r>
          </w:p>
        </w:tc>
        <w:tc>
          <w:tcPr>
            <w:tcW w:w="1423" w:type="dxa"/>
            <w:vAlign w:val="center"/>
          </w:tcPr>
          <w:p w14:paraId="5C54CD0D">
            <w:pPr>
              <w:jc w:val="center"/>
              <w:rPr>
                <w:rFonts w:ascii="宋体" w:hAnsi="宋体" w:cs="宋体"/>
                <w:color w:val="000000"/>
                <w:kern w:val="0"/>
                <w:sz w:val="18"/>
                <w:szCs w:val="18"/>
              </w:rPr>
            </w:pPr>
            <w:r>
              <w:rPr>
                <w:rFonts w:hint="eastAsia" w:ascii="宋体" w:hAnsi="宋体" w:cs="宋体"/>
                <w:color w:val="000000"/>
                <w:kern w:val="0"/>
                <w:sz w:val="18"/>
                <w:szCs w:val="18"/>
              </w:rPr>
              <w:t xml:space="preserve">  50≤Y＜1000</w:t>
            </w:r>
          </w:p>
        </w:tc>
        <w:tc>
          <w:tcPr>
            <w:tcW w:w="990" w:type="dxa"/>
            <w:vAlign w:val="center"/>
          </w:tcPr>
          <w:p w14:paraId="3C4B56A5">
            <w:pPr>
              <w:jc w:val="center"/>
              <w:rPr>
                <w:rFonts w:ascii="宋体" w:hAnsi="宋体" w:cs="宋体"/>
                <w:color w:val="000000"/>
                <w:kern w:val="0"/>
                <w:sz w:val="18"/>
                <w:szCs w:val="18"/>
              </w:rPr>
            </w:pPr>
            <w:r>
              <w:rPr>
                <w:rFonts w:hint="eastAsia" w:ascii="宋体" w:hAnsi="宋体" w:cs="宋体"/>
                <w:color w:val="000000"/>
                <w:kern w:val="0"/>
                <w:sz w:val="18"/>
                <w:szCs w:val="18"/>
              </w:rPr>
              <w:t>Y＜50</w:t>
            </w:r>
          </w:p>
        </w:tc>
      </w:tr>
      <w:tr w14:paraId="791EE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8" w:hRule="exact"/>
          <w:jc w:val="center"/>
        </w:trPr>
        <w:tc>
          <w:tcPr>
            <w:tcW w:w="1691" w:type="dxa"/>
            <w:vMerge w:val="restart"/>
            <w:vAlign w:val="center"/>
          </w:tcPr>
          <w:p w14:paraId="2C6FCA02">
            <w:pPr>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房地产开发经营</w:t>
            </w:r>
          </w:p>
        </w:tc>
        <w:tc>
          <w:tcPr>
            <w:tcW w:w="1366" w:type="dxa"/>
            <w:vAlign w:val="center"/>
          </w:tcPr>
          <w:p w14:paraId="57A585A4">
            <w:pPr>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7" w:type="dxa"/>
            <w:vAlign w:val="center"/>
          </w:tcPr>
          <w:p w14:paraId="0404D965">
            <w:pPr>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2" w:type="dxa"/>
            <w:vAlign w:val="center"/>
          </w:tcPr>
          <w:p w14:paraId="4914B1FC">
            <w:pPr>
              <w:jc w:val="center"/>
              <w:rPr>
                <w:rFonts w:ascii="宋体" w:hAnsi="宋体" w:cs="宋体"/>
                <w:color w:val="000000"/>
                <w:kern w:val="0"/>
                <w:sz w:val="18"/>
                <w:szCs w:val="18"/>
              </w:rPr>
            </w:pPr>
            <w:r>
              <w:rPr>
                <w:rFonts w:hint="eastAsia" w:ascii="宋体" w:hAnsi="宋体" w:cs="宋体"/>
                <w:color w:val="000000"/>
                <w:kern w:val="0"/>
                <w:sz w:val="18"/>
                <w:szCs w:val="18"/>
              </w:rPr>
              <w:t>Y≥200000</w:t>
            </w:r>
          </w:p>
        </w:tc>
        <w:tc>
          <w:tcPr>
            <w:tcW w:w="1697" w:type="dxa"/>
            <w:vAlign w:val="center"/>
          </w:tcPr>
          <w:p w14:paraId="39FCF686">
            <w:pPr>
              <w:jc w:val="center"/>
              <w:rPr>
                <w:rFonts w:ascii="宋体" w:hAnsi="宋体" w:cs="宋体"/>
                <w:color w:val="000000"/>
                <w:kern w:val="0"/>
                <w:sz w:val="18"/>
                <w:szCs w:val="18"/>
              </w:rPr>
            </w:pPr>
            <w:r>
              <w:rPr>
                <w:rFonts w:hint="eastAsia" w:ascii="宋体" w:hAnsi="宋体" w:cs="宋体"/>
                <w:color w:val="000000"/>
                <w:kern w:val="0"/>
                <w:sz w:val="18"/>
                <w:szCs w:val="18"/>
              </w:rPr>
              <w:t xml:space="preserve"> 1000≤Y＜200000</w:t>
            </w:r>
          </w:p>
        </w:tc>
        <w:tc>
          <w:tcPr>
            <w:tcW w:w="1423" w:type="dxa"/>
            <w:vAlign w:val="center"/>
          </w:tcPr>
          <w:p w14:paraId="388A54B0">
            <w:pPr>
              <w:jc w:val="center"/>
              <w:rPr>
                <w:rFonts w:ascii="宋体" w:hAnsi="宋体" w:cs="宋体"/>
                <w:color w:val="000000"/>
                <w:kern w:val="0"/>
                <w:sz w:val="18"/>
                <w:szCs w:val="18"/>
              </w:rPr>
            </w:pPr>
            <w:r>
              <w:rPr>
                <w:rFonts w:hint="eastAsia" w:ascii="宋体" w:hAnsi="宋体" w:cs="宋体"/>
                <w:color w:val="000000"/>
                <w:kern w:val="0"/>
                <w:sz w:val="18"/>
                <w:szCs w:val="18"/>
              </w:rPr>
              <w:t xml:space="preserve"> 100≤Y＜1000</w:t>
            </w:r>
          </w:p>
        </w:tc>
        <w:tc>
          <w:tcPr>
            <w:tcW w:w="990" w:type="dxa"/>
            <w:vAlign w:val="center"/>
          </w:tcPr>
          <w:p w14:paraId="2DDFADE5">
            <w:pPr>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01E89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8" w:hRule="exact"/>
          <w:jc w:val="center"/>
        </w:trPr>
        <w:tc>
          <w:tcPr>
            <w:tcW w:w="1691" w:type="dxa"/>
            <w:vMerge w:val="continue"/>
            <w:vAlign w:val="center"/>
          </w:tcPr>
          <w:p w14:paraId="31C5C84D">
            <w:pPr>
              <w:jc w:val="left"/>
              <w:rPr>
                <w:rFonts w:ascii="宋体" w:hAnsi="宋体" w:cs="宋体"/>
                <w:color w:val="000000"/>
                <w:kern w:val="0"/>
                <w:sz w:val="18"/>
                <w:szCs w:val="18"/>
              </w:rPr>
            </w:pPr>
          </w:p>
        </w:tc>
        <w:tc>
          <w:tcPr>
            <w:tcW w:w="1366" w:type="dxa"/>
            <w:vAlign w:val="center"/>
          </w:tcPr>
          <w:p w14:paraId="0BA1FD94">
            <w:pPr>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资产总额(Z)</w:t>
            </w:r>
          </w:p>
        </w:tc>
        <w:tc>
          <w:tcPr>
            <w:tcW w:w="707" w:type="dxa"/>
            <w:vAlign w:val="center"/>
          </w:tcPr>
          <w:p w14:paraId="6089D4CE">
            <w:pPr>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2" w:type="dxa"/>
            <w:vAlign w:val="center"/>
          </w:tcPr>
          <w:p w14:paraId="22B5CBF6">
            <w:pPr>
              <w:jc w:val="center"/>
              <w:rPr>
                <w:rFonts w:ascii="宋体" w:hAnsi="宋体" w:cs="宋体"/>
                <w:color w:val="000000"/>
                <w:kern w:val="0"/>
                <w:sz w:val="18"/>
                <w:szCs w:val="18"/>
              </w:rPr>
            </w:pPr>
            <w:r>
              <w:rPr>
                <w:rFonts w:hint="eastAsia" w:ascii="宋体" w:hAnsi="宋体" w:cs="宋体"/>
                <w:color w:val="000000"/>
                <w:kern w:val="0"/>
                <w:sz w:val="18"/>
                <w:szCs w:val="18"/>
              </w:rPr>
              <w:t>Z≥10000</w:t>
            </w:r>
          </w:p>
        </w:tc>
        <w:tc>
          <w:tcPr>
            <w:tcW w:w="1697" w:type="dxa"/>
            <w:vAlign w:val="center"/>
          </w:tcPr>
          <w:p w14:paraId="335E7023">
            <w:pPr>
              <w:jc w:val="center"/>
              <w:rPr>
                <w:rFonts w:ascii="宋体" w:hAnsi="宋体" w:cs="宋体"/>
                <w:color w:val="000000"/>
                <w:kern w:val="0"/>
                <w:sz w:val="18"/>
                <w:szCs w:val="18"/>
              </w:rPr>
            </w:pPr>
            <w:r>
              <w:rPr>
                <w:rFonts w:hint="eastAsia" w:ascii="宋体" w:hAnsi="宋体" w:cs="宋体"/>
                <w:color w:val="000000"/>
                <w:kern w:val="0"/>
                <w:sz w:val="18"/>
                <w:szCs w:val="18"/>
              </w:rPr>
              <w:t>5000≤Z＜10000</w:t>
            </w:r>
          </w:p>
        </w:tc>
        <w:tc>
          <w:tcPr>
            <w:tcW w:w="1423" w:type="dxa"/>
            <w:vAlign w:val="center"/>
          </w:tcPr>
          <w:p w14:paraId="4900CB67">
            <w:pPr>
              <w:jc w:val="center"/>
              <w:rPr>
                <w:rFonts w:ascii="宋体" w:hAnsi="宋体" w:cs="宋体"/>
                <w:color w:val="000000"/>
                <w:kern w:val="0"/>
                <w:sz w:val="18"/>
                <w:szCs w:val="18"/>
              </w:rPr>
            </w:pPr>
            <w:r>
              <w:rPr>
                <w:rFonts w:hint="eastAsia" w:ascii="宋体" w:hAnsi="宋体" w:cs="宋体"/>
                <w:color w:val="000000"/>
                <w:kern w:val="0"/>
                <w:sz w:val="18"/>
                <w:szCs w:val="18"/>
              </w:rPr>
              <w:t xml:space="preserve">2000≤Z＜5000   </w:t>
            </w:r>
          </w:p>
        </w:tc>
        <w:tc>
          <w:tcPr>
            <w:tcW w:w="990" w:type="dxa"/>
            <w:vAlign w:val="center"/>
          </w:tcPr>
          <w:p w14:paraId="3E87FC58">
            <w:pPr>
              <w:jc w:val="center"/>
              <w:rPr>
                <w:rFonts w:ascii="宋体" w:hAnsi="宋体" w:cs="宋体"/>
                <w:color w:val="000000"/>
                <w:kern w:val="0"/>
                <w:sz w:val="18"/>
                <w:szCs w:val="18"/>
              </w:rPr>
            </w:pPr>
            <w:r>
              <w:rPr>
                <w:rFonts w:hint="eastAsia" w:ascii="宋体" w:hAnsi="宋体" w:cs="宋体"/>
                <w:color w:val="000000"/>
                <w:kern w:val="0"/>
                <w:sz w:val="18"/>
                <w:szCs w:val="18"/>
              </w:rPr>
              <w:t>Z＜2000</w:t>
            </w:r>
          </w:p>
        </w:tc>
      </w:tr>
      <w:tr w14:paraId="46E5C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8" w:hRule="exact"/>
          <w:jc w:val="center"/>
        </w:trPr>
        <w:tc>
          <w:tcPr>
            <w:tcW w:w="1691" w:type="dxa"/>
            <w:vMerge w:val="restart"/>
            <w:vAlign w:val="center"/>
          </w:tcPr>
          <w:p w14:paraId="523DFE14">
            <w:pPr>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物业管理</w:t>
            </w:r>
          </w:p>
        </w:tc>
        <w:tc>
          <w:tcPr>
            <w:tcW w:w="1366" w:type="dxa"/>
            <w:vAlign w:val="center"/>
          </w:tcPr>
          <w:p w14:paraId="2F4924A7">
            <w:pPr>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7" w:type="dxa"/>
            <w:vAlign w:val="center"/>
          </w:tcPr>
          <w:p w14:paraId="240FEDEA">
            <w:pPr>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2" w:type="dxa"/>
            <w:vAlign w:val="center"/>
          </w:tcPr>
          <w:p w14:paraId="1226FC48">
            <w:pPr>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697" w:type="dxa"/>
            <w:vAlign w:val="center"/>
          </w:tcPr>
          <w:p w14:paraId="7CA91A90">
            <w:pPr>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3" w:type="dxa"/>
            <w:vAlign w:val="center"/>
          </w:tcPr>
          <w:p w14:paraId="7E6D004B">
            <w:pPr>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990" w:type="dxa"/>
            <w:vAlign w:val="center"/>
          </w:tcPr>
          <w:p w14:paraId="36B1325C">
            <w:pPr>
              <w:jc w:val="center"/>
              <w:rPr>
                <w:rFonts w:ascii="宋体" w:hAnsi="宋体" w:cs="宋体"/>
                <w:color w:val="000000"/>
                <w:kern w:val="0"/>
                <w:sz w:val="18"/>
                <w:szCs w:val="18"/>
              </w:rPr>
            </w:pPr>
            <w:r>
              <w:rPr>
                <w:rFonts w:hint="eastAsia" w:ascii="宋体" w:hAnsi="宋体" w:cs="宋体"/>
                <w:color w:val="000000"/>
                <w:kern w:val="0"/>
                <w:sz w:val="18"/>
                <w:szCs w:val="18"/>
              </w:rPr>
              <w:t>X＜100</w:t>
            </w:r>
          </w:p>
        </w:tc>
      </w:tr>
      <w:tr w14:paraId="23F4B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8" w:hRule="exact"/>
          <w:jc w:val="center"/>
        </w:trPr>
        <w:tc>
          <w:tcPr>
            <w:tcW w:w="1691" w:type="dxa"/>
            <w:vMerge w:val="continue"/>
            <w:vAlign w:val="center"/>
          </w:tcPr>
          <w:p w14:paraId="78765B37">
            <w:pPr>
              <w:jc w:val="left"/>
              <w:rPr>
                <w:rFonts w:ascii="宋体" w:hAnsi="宋体" w:cs="宋体"/>
                <w:color w:val="000000"/>
                <w:kern w:val="0"/>
                <w:sz w:val="18"/>
                <w:szCs w:val="18"/>
              </w:rPr>
            </w:pPr>
          </w:p>
        </w:tc>
        <w:tc>
          <w:tcPr>
            <w:tcW w:w="1366" w:type="dxa"/>
            <w:vAlign w:val="center"/>
          </w:tcPr>
          <w:p w14:paraId="6F9652BA">
            <w:pPr>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7" w:type="dxa"/>
            <w:vAlign w:val="center"/>
          </w:tcPr>
          <w:p w14:paraId="74F08C3F">
            <w:pPr>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2" w:type="dxa"/>
            <w:vAlign w:val="center"/>
          </w:tcPr>
          <w:p w14:paraId="4B4155A1">
            <w:pPr>
              <w:jc w:val="center"/>
              <w:rPr>
                <w:rFonts w:ascii="宋体" w:hAnsi="宋体" w:cs="宋体"/>
                <w:color w:val="000000"/>
                <w:kern w:val="0"/>
                <w:sz w:val="18"/>
                <w:szCs w:val="18"/>
              </w:rPr>
            </w:pPr>
            <w:r>
              <w:rPr>
                <w:rFonts w:hint="eastAsia" w:ascii="宋体" w:hAnsi="宋体" w:cs="宋体"/>
                <w:color w:val="000000"/>
                <w:kern w:val="0"/>
                <w:sz w:val="18"/>
                <w:szCs w:val="18"/>
              </w:rPr>
              <w:t>Y≥5000</w:t>
            </w:r>
          </w:p>
        </w:tc>
        <w:tc>
          <w:tcPr>
            <w:tcW w:w="1697" w:type="dxa"/>
            <w:vAlign w:val="center"/>
          </w:tcPr>
          <w:p w14:paraId="247EEE5C">
            <w:pPr>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1000≤Y＜5000 </w:t>
            </w:r>
          </w:p>
        </w:tc>
        <w:tc>
          <w:tcPr>
            <w:tcW w:w="1423" w:type="dxa"/>
            <w:vAlign w:val="center"/>
          </w:tcPr>
          <w:p w14:paraId="348B1657">
            <w:pPr>
              <w:jc w:val="center"/>
              <w:rPr>
                <w:rFonts w:ascii="宋体" w:hAnsi="宋体" w:cs="宋体"/>
                <w:color w:val="000000"/>
                <w:kern w:val="0"/>
                <w:sz w:val="18"/>
                <w:szCs w:val="18"/>
              </w:rPr>
            </w:pPr>
            <w:r>
              <w:rPr>
                <w:rFonts w:hint="eastAsia" w:ascii="宋体" w:hAnsi="宋体" w:cs="宋体"/>
                <w:color w:val="000000"/>
                <w:kern w:val="0"/>
                <w:sz w:val="18"/>
                <w:szCs w:val="18"/>
              </w:rPr>
              <w:t xml:space="preserve"> 500≤Y＜1000</w:t>
            </w:r>
          </w:p>
        </w:tc>
        <w:tc>
          <w:tcPr>
            <w:tcW w:w="990" w:type="dxa"/>
            <w:vAlign w:val="center"/>
          </w:tcPr>
          <w:p w14:paraId="56E4D60E">
            <w:pPr>
              <w:jc w:val="center"/>
              <w:rPr>
                <w:rFonts w:ascii="宋体" w:hAnsi="宋体" w:cs="宋体"/>
                <w:color w:val="000000"/>
                <w:kern w:val="0"/>
                <w:sz w:val="18"/>
                <w:szCs w:val="18"/>
              </w:rPr>
            </w:pPr>
            <w:r>
              <w:rPr>
                <w:rFonts w:hint="eastAsia" w:ascii="宋体" w:hAnsi="宋体" w:cs="宋体"/>
                <w:color w:val="000000"/>
                <w:kern w:val="0"/>
                <w:sz w:val="18"/>
                <w:szCs w:val="18"/>
              </w:rPr>
              <w:t>Y＜500</w:t>
            </w:r>
          </w:p>
        </w:tc>
      </w:tr>
      <w:tr w14:paraId="5EA0C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8" w:hRule="exact"/>
          <w:jc w:val="center"/>
        </w:trPr>
        <w:tc>
          <w:tcPr>
            <w:tcW w:w="1691" w:type="dxa"/>
            <w:vMerge w:val="restart"/>
            <w:vAlign w:val="center"/>
          </w:tcPr>
          <w:p w14:paraId="7E39D9FF">
            <w:pPr>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租赁和商务服务业</w:t>
            </w:r>
          </w:p>
        </w:tc>
        <w:tc>
          <w:tcPr>
            <w:tcW w:w="1366" w:type="dxa"/>
            <w:vAlign w:val="center"/>
          </w:tcPr>
          <w:p w14:paraId="0C6D1402">
            <w:pPr>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7" w:type="dxa"/>
            <w:vAlign w:val="center"/>
          </w:tcPr>
          <w:p w14:paraId="4FA55AAE">
            <w:pPr>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2" w:type="dxa"/>
            <w:vAlign w:val="center"/>
          </w:tcPr>
          <w:p w14:paraId="1594A9C5">
            <w:pPr>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697" w:type="dxa"/>
            <w:vAlign w:val="center"/>
          </w:tcPr>
          <w:p w14:paraId="034194E8">
            <w:pPr>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3" w:type="dxa"/>
            <w:vAlign w:val="center"/>
          </w:tcPr>
          <w:p w14:paraId="05FA2D73">
            <w:pPr>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0" w:type="dxa"/>
            <w:vAlign w:val="center"/>
          </w:tcPr>
          <w:p w14:paraId="69AE4BDA">
            <w:pPr>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19EBD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8" w:hRule="exact"/>
          <w:jc w:val="center"/>
        </w:trPr>
        <w:tc>
          <w:tcPr>
            <w:tcW w:w="1691" w:type="dxa"/>
            <w:vMerge w:val="continue"/>
            <w:vAlign w:val="center"/>
          </w:tcPr>
          <w:p w14:paraId="59283BF2">
            <w:pPr>
              <w:jc w:val="left"/>
              <w:rPr>
                <w:rFonts w:ascii="宋体" w:hAnsi="宋体" w:cs="宋体"/>
                <w:color w:val="000000"/>
                <w:kern w:val="0"/>
                <w:sz w:val="18"/>
                <w:szCs w:val="18"/>
              </w:rPr>
            </w:pPr>
          </w:p>
        </w:tc>
        <w:tc>
          <w:tcPr>
            <w:tcW w:w="1366" w:type="dxa"/>
            <w:vAlign w:val="center"/>
          </w:tcPr>
          <w:p w14:paraId="779091D8">
            <w:pPr>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资产总额(Z)</w:t>
            </w:r>
          </w:p>
        </w:tc>
        <w:tc>
          <w:tcPr>
            <w:tcW w:w="707" w:type="dxa"/>
            <w:vAlign w:val="center"/>
          </w:tcPr>
          <w:p w14:paraId="003810FF">
            <w:pPr>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2" w:type="dxa"/>
            <w:vAlign w:val="center"/>
          </w:tcPr>
          <w:p w14:paraId="01F0AE21">
            <w:pPr>
              <w:jc w:val="center"/>
              <w:rPr>
                <w:rFonts w:ascii="宋体" w:hAnsi="宋体" w:cs="宋体"/>
                <w:color w:val="000000"/>
                <w:kern w:val="0"/>
                <w:sz w:val="18"/>
                <w:szCs w:val="18"/>
              </w:rPr>
            </w:pPr>
            <w:r>
              <w:rPr>
                <w:rFonts w:hint="eastAsia" w:ascii="宋体" w:hAnsi="宋体" w:cs="宋体"/>
                <w:color w:val="000000"/>
                <w:kern w:val="0"/>
                <w:sz w:val="18"/>
                <w:szCs w:val="18"/>
              </w:rPr>
              <w:t>Z≥120000</w:t>
            </w:r>
          </w:p>
        </w:tc>
        <w:tc>
          <w:tcPr>
            <w:tcW w:w="1697" w:type="dxa"/>
            <w:vAlign w:val="center"/>
          </w:tcPr>
          <w:p w14:paraId="0954D0E7">
            <w:pPr>
              <w:jc w:val="center"/>
              <w:rPr>
                <w:rFonts w:ascii="宋体" w:hAnsi="宋体" w:cs="宋体"/>
                <w:color w:val="000000"/>
                <w:kern w:val="0"/>
                <w:sz w:val="18"/>
                <w:szCs w:val="18"/>
              </w:rPr>
            </w:pPr>
            <w:r>
              <w:rPr>
                <w:rFonts w:hint="eastAsia" w:ascii="宋体" w:hAnsi="宋体" w:cs="宋体"/>
                <w:color w:val="000000"/>
                <w:kern w:val="0"/>
                <w:sz w:val="18"/>
                <w:szCs w:val="18"/>
              </w:rPr>
              <w:t xml:space="preserve"> 8000≤Z＜120000</w:t>
            </w:r>
          </w:p>
        </w:tc>
        <w:tc>
          <w:tcPr>
            <w:tcW w:w="1423" w:type="dxa"/>
            <w:vAlign w:val="center"/>
          </w:tcPr>
          <w:p w14:paraId="15DEF684">
            <w:pPr>
              <w:jc w:val="center"/>
              <w:rPr>
                <w:rFonts w:ascii="宋体" w:hAnsi="宋体" w:cs="宋体"/>
                <w:color w:val="000000"/>
                <w:kern w:val="0"/>
                <w:sz w:val="18"/>
                <w:szCs w:val="18"/>
              </w:rPr>
            </w:pPr>
            <w:r>
              <w:rPr>
                <w:rFonts w:hint="eastAsia" w:ascii="宋体" w:hAnsi="宋体" w:cs="宋体"/>
                <w:color w:val="000000"/>
                <w:kern w:val="0"/>
                <w:sz w:val="18"/>
                <w:szCs w:val="18"/>
              </w:rPr>
              <w:t xml:space="preserve"> 100≤Z＜8000</w:t>
            </w:r>
          </w:p>
        </w:tc>
        <w:tc>
          <w:tcPr>
            <w:tcW w:w="990" w:type="dxa"/>
            <w:vAlign w:val="center"/>
          </w:tcPr>
          <w:p w14:paraId="25A3D9EB">
            <w:pPr>
              <w:jc w:val="center"/>
              <w:rPr>
                <w:rFonts w:ascii="宋体" w:hAnsi="宋体" w:cs="宋体"/>
                <w:color w:val="000000"/>
                <w:kern w:val="0"/>
                <w:sz w:val="18"/>
                <w:szCs w:val="18"/>
              </w:rPr>
            </w:pPr>
            <w:r>
              <w:rPr>
                <w:rFonts w:hint="eastAsia" w:ascii="宋体" w:hAnsi="宋体" w:cs="宋体"/>
                <w:color w:val="000000"/>
                <w:kern w:val="0"/>
                <w:sz w:val="18"/>
                <w:szCs w:val="18"/>
              </w:rPr>
              <w:t>Z＜100</w:t>
            </w:r>
          </w:p>
        </w:tc>
      </w:tr>
      <w:tr w14:paraId="66371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exact"/>
          <w:jc w:val="center"/>
        </w:trPr>
        <w:tc>
          <w:tcPr>
            <w:tcW w:w="1691" w:type="dxa"/>
            <w:vAlign w:val="center"/>
          </w:tcPr>
          <w:p w14:paraId="06DC2A89">
            <w:pPr>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其他未列明行业 *</w:t>
            </w:r>
          </w:p>
        </w:tc>
        <w:tc>
          <w:tcPr>
            <w:tcW w:w="1366" w:type="dxa"/>
            <w:vAlign w:val="center"/>
          </w:tcPr>
          <w:p w14:paraId="47587411">
            <w:pPr>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7" w:type="dxa"/>
            <w:vAlign w:val="center"/>
          </w:tcPr>
          <w:p w14:paraId="27698B67">
            <w:pPr>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2" w:type="dxa"/>
            <w:vAlign w:val="center"/>
          </w:tcPr>
          <w:p w14:paraId="1715BAB3">
            <w:pPr>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697" w:type="dxa"/>
            <w:vAlign w:val="center"/>
          </w:tcPr>
          <w:p w14:paraId="37A8150F">
            <w:pPr>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3" w:type="dxa"/>
            <w:vAlign w:val="center"/>
          </w:tcPr>
          <w:p w14:paraId="463CA47C">
            <w:pPr>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0" w:type="dxa"/>
            <w:vAlign w:val="center"/>
          </w:tcPr>
          <w:p w14:paraId="1F7F0031">
            <w:pPr>
              <w:jc w:val="center"/>
              <w:rPr>
                <w:rFonts w:ascii="宋体" w:hAnsi="宋体" w:cs="宋体"/>
                <w:color w:val="000000"/>
                <w:kern w:val="0"/>
                <w:sz w:val="18"/>
                <w:szCs w:val="18"/>
              </w:rPr>
            </w:pPr>
            <w:r>
              <w:rPr>
                <w:rFonts w:hint="eastAsia" w:ascii="宋体" w:hAnsi="宋体" w:cs="宋体"/>
                <w:color w:val="000000"/>
                <w:kern w:val="0"/>
                <w:sz w:val="18"/>
                <w:szCs w:val="18"/>
              </w:rPr>
              <w:t>X＜10</w:t>
            </w:r>
          </w:p>
        </w:tc>
      </w:tr>
    </w:tbl>
    <w:p w14:paraId="6A25840A">
      <w:pPr>
        <w:spacing w:line="540" w:lineRule="exact"/>
        <w:rPr>
          <w:rFonts w:ascii="宋体" w:hAnsi="宋体" w:cs="宋体"/>
          <w:szCs w:val="21"/>
        </w:rPr>
      </w:pPr>
    </w:p>
    <w:p w14:paraId="3C475ABC">
      <w:pPr>
        <w:spacing w:line="540" w:lineRule="exact"/>
        <w:rPr>
          <w:rFonts w:ascii="宋体" w:hAnsi="宋体" w:cs="宋体"/>
          <w:sz w:val="22"/>
          <w:szCs w:val="22"/>
        </w:rPr>
      </w:pPr>
      <w:r>
        <w:rPr>
          <w:rFonts w:hint="eastAsia" w:ascii="宋体" w:hAnsi="宋体" w:cs="宋体"/>
          <w:sz w:val="22"/>
          <w:szCs w:val="22"/>
        </w:rPr>
        <w:t>说明：</w:t>
      </w:r>
    </w:p>
    <w:p w14:paraId="1870B5BE">
      <w:pPr>
        <w:spacing w:line="540" w:lineRule="exact"/>
        <w:rPr>
          <w:rFonts w:ascii="宋体" w:hAnsi="宋体" w:cs="宋体"/>
          <w:sz w:val="22"/>
          <w:szCs w:val="22"/>
        </w:rPr>
      </w:pPr>
      <w:r>
        <w:rPr>
          <w:rFonts w:hint="eastAsia" w:ascii="宋体" w:hAnsi="宋体" w:cs="宋体"/>
          <w:sz w:val="22"/>
          <w:szCs w:val="22"/>
        </w:rPr>
        <w:t>　　1.大型、中型和小型企业须同时满足所列指标的下限，否则下划一档；微型企业只须满足所列指标中的一项即可。</w:t>
      </w:r>
    </w:p>
    <w:p w14:paraId="36F8EC87">
      <w:pPr>
        <w:spacing w:line="540" w:lineRule="exact"/>
        <w:rPr>
          <w:rFonts w:ascii="宋体" w:hAnsi="宋体" w:cs="宋体"/>
          <w:sz w:val="22"/>
          <w:szCs w:val="22"/>
        </w:rPr>
      </w:pPr>
      <w:r>
        <w:rPr>
          <w:rFonts w:hint="eastAsia" w:ascii="宋体" w:hAnsi="宋体" w:cs="宋体"/>
          <w:sz w:val="22"/>
          <w:szCs w:val="22"/>
        </w:rPr>
        <w:t>　　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0696BADB">
      <w:pPr>
        <w:spacing w:line="540" w:lineRule="exact"/>
        <w:rPr>
          <w:rFonts w:ascii="宋体" w:hAnsi="宋体" w:cs="宋体"/>
          <w:sz w:val="22"/>
          <w:szCs w:val="22"/>
        </w:rPr>
      </w:pPr>
      <w:r>
        <w:rPr>
          <w:rFonts w:hint="eastAsia" w:ascii="宋体" w:hAnsi="宋体" w:cs="宋体"/>
          <w:sz w:val="22"/>
          <w:szCs w:val="22"/>
        </w:rPr>
        <w:t>　　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5F8B25CB">
      <w:pPr>
        <w:ind w:firstLine="420"/>
        <w:rPr>
          <w:rFonts w:ascii="宋体" w:hAnsi="宋体" w:cs="宋体"/>
          <w:sz w:val="22"/>
          <w:szCs w:val="22"/>
        </w:rPr>
      </w:pPr>
    </w:p>
    <w:p w14:paraId="7835CC76">
      <w:pPr>
        <w:ind w:firstLine="420"/>
        <w:rPr>
          <w:rFonts w:ascii="宋体" w:hAnsi="宋体" w:cs="宋体"/>
          <w:sz w:val="22"/>
          <w:szCs w:val="22"/>
        </w:rPr>
      </w:pPr>
      <w:r>
        <w:rPr>
          <w:rFonts w:hint="eastAsia" w:ascii="宋体" w:hAnsi="宋体" w:cs="宋体"/>
          <w:sz w:val="22"/>
          <w:szCs w:val="22"/>
        </w:rPr>
        <w:t>根据本项目实际情况，符合中华人民共和国国家标准国民经济行业分类。</w:t>
      </w:r>
    </w:p>
    <w:p w14:paraId="42F1C467">
      <w:pPr>
        <w:ind w:firstLine="420"/>
        <w:rPr>
          <w:rFonts w:ascii="宋体" w:hAnsi="宋体" w:cs="宋体"/>
          <w:sz w:val="22"/>
          <w:szCs w:val="22"/>
        </w:rPr>
      </w:pPr>
    </w:p>
    <w:p w14:paraId="50086EDF">
      <w:pPr>
        <w:ind w:firstLine="420"/>
        <w:rPr>
          <w:rFonts w:ascii="宋体" w:hAnsi="宋体" w:cs="宋体"/>
          <w:szCs w:val="21"/>
        </w:rPr>
      </w:pPr>
    </w:p>
    <w:p w14:paraId="6E92377A">
      <w:pPr>
        <w:ind w:firstLine="420"/>
        <w:rPr>
          <w:rFonts w:ascii="宋体" w:hAnsi="宋体" w:cs="宋体"/>
          <w:szCs w:val="21"/>
        </w:rPr>
      </w:pPr>
    </w:p>
    <w:p w14:paraId="7A6734AF">
      <w:pPr>
        <w:pStyle w:val="17"/>
        <w:ind w:firstLine="0"/>
        <w:rPr>
          <w:rStyle w:val="54"/>
          <w:rFonts w:ascii="宋体" w:hAnsi="宋体" w:cs="宋体"/>
          <w:sz w:val="30"/>
          <w:szCs w:val="30"/>
        </w:rPr>
      </w:pPr>
    </w:p>
    <w:p w14:paraId="645D1708">
      <w:pPr>
        <w:pStyle w:val="17"/>
        <w:rPr>
          <w:rStyle w:val="54"/>
          <w:rFonts w:ascii="宋体" w:hAnsi="宋体" w:cs="宋体"/>
          <w:sz w:val="30"/>
          <w:szCs w:val="30"/>
        </w:rPr>
      </w:pPr>
    </w:p>
    <w:p w14:paraId="624978AD">
      <w:pPr>
        <w:rPr>
          <w:rFonts w:ascii="宋体" w:hAnsi="宋体" w:cs="宋体"/>
          <w:sz w:val="28"/>
          <w:szCs w:val="22"/>
        </w:rPr>
      </w:pPr>
      <w:r>
        <w:rPr>
          <w:rFonts w:hint="eastAsia" w:ascii="宋体" w:hAnsi="宋体" w:cs="宋体"/>
          <w:sz w:val="28"/>
          <w:szCs w:val="22"/>
        </w:rPr>
        <w:br w:type="page"/>
      </w:r>
    </w:p>
    <w:p w14:paraId="37A77ED5">
      <w:pPr>
        <w:spacing w:line="440" w:lineRule="exact"/>
        <w:jc w:val="center"/>
        <w:rPr>
          <w:rStyle w:val="54"/>
          <w:rFonts w:ascii="宋体" w:hAnsi="宋体" w:cs="宋体"/>
          <w:b/>
          <w:bCs/>
          <w:sz w:val="30"/>
          <w:szCs w:val="30"/>
        </w:rPr>
      </w:pPr>
      <w:bookmarkStart w:id="142" w:name="_Toc31939"/>
      <w:r>
        <w:rPr>
          <w:rStyle w:val="54"/>
          <w:rFonts w:hint="eastAsia" w:ascii="宋体" w:hAnsi="宋体" w:cs="宋体"/>
          <w:b/>
          <w:bCs/>
          <w:sz w:val="30"/>
          <w:szCs w:val="30"/>
        </w:rPr>
        <w:t>全流程电子化交易注意事项</w:t>
      </w:r>
      <w:bookmarkEnd w:id="142"/>
    </w:p>
    <w:p w14:paraId="2FB98021">
      <w:pPr>
        <w:spacing w:line="440" w:lineRule="exact"/>
        <w:ind w:firstLine="315" w:firstLineChars="150"/>
        <w:rPr>
          <w:rStyle w:val="54"/>
          <w:rFonts w:ascii="宋体" w:hAnsi="宋体" w:cs="宋体"/>
          <w:sz w:val="20"/>
          <w:szCs w:val="22"/>
        </w:rPr>
      </w:pPr>
      <w:r>
        <w:rPr>
          <w:rStyle w:val="54"/>
          <w:rFonts w:hint="eastAsia" w:ascii="宋体" w:hAnsi="宋体" w:cs="宋体"/>
          <w:szCs w:val="22"/>
        </w:rPr>
        <w:t>电子化交易项目响应文件是供应商、供应商（以下简称“供应商”）通过中心响应文件制作系统制作，并经过签章和加密后生成的电子版响应文件。（电子化响应文件具体制作教材请供应商通过CA证书登录公共资源电子化交易系统在右上角“组件下载”中查看）制作电子化响应文件，需仔细阅读以下条款。</w:t>
      </w:r>
    </w:p>
    <w:p w14:paraId="7A754827">
      <w:pPr>
        <w:spacing w:line="440" w:lineRule="exact"/>
        <w:rPr>
          <w:rStyle w:val="54"/>
          <w:rFonts w:ascii="宋体" w:hAnsi="宋体" w:cs="宋体"/>
          <w:sz w:val="20"/>
          <w:szCs w:val="22"/>
        </w:rPr>
      </w:pPr>
      <w:bookmarkStart w:id="143" w:name="_Toc23210"/>
      <w:r>
        <w:rPr>
          <w:rStyle w:val="54"/>
          <w:rFonts w:hint="eastAsia" w:ascii="宋体" w:hAnsi="宋体" w:cs="宋体"/>
          <w:szCs w:val="22"/>
        </w:rPr>
        <w:t>一、电子化投标</w:t>
      </w:r>
      <w:bookmarkEnd w:id="143"/>
    </w:p>
    <w:p w14:paraId="005DFC07">
      <w:pPr>
        <w:spacing w:line="440" w:lineRule="exact"/>
        <w:rPr>
          <w:rStyle w:val="54"/>
          <w:rFonts w:ascii="宋体" w:hAnsi="宋体" w:cs="宋体"/>
          <w:sz w:val="20"/>
          <w:szCs w:val="22"/>
        </w:rPr>
      </w:pPr>
      <w:r>
        <w:rPr>
          <w:rStyle w:val="54"/>
          <w:rFonts w:hint="eastAsia" w:ascii="宋体" w:hAnsi="宋体" w:cs="宋体"/>
          <w:szCs w:val="22"/>
        </w:rPr>
        <w:t>（一）网上投标保证金的缴纳</w:t>
      </w:r>
    </w:p>
    <w:p w14:paraId="309A55C3">
      <w:pPr>
        <w:spacing w:line="440" w:lineRule="exact"/>
        <w:rPr>
          <w:rStyle w:val="54"/>
          <w:rFonts w:ascii="宋体" w:hAnsi="宋体" w:cs="宋体"/>
          <w:sz w:val="20"/>
          <w:szCs w:val="22"/>
        </w:rPr>
      </w:pPr>
      <w:r>
        <w:rPr>
          <w:rStyle w:val="54"/>
          <w:rFonts w:hint="eastAsia" w:ascii="宋体" w:hAnsi="宋体" w:cs="宋体"/>
          <w:szCs w:val="22"/>
        </w:rPr>
        <w:t>1、递交形式: 供应商的投标保证金必须通过供应商基本账户以转账或电汇的形式缴纳（账户必须是已加入平顶山市公共资源交易供应商或供应商诚信库中的账户）。</w:t>
      </w:r>
    </w:p>
    <w:p w14:paraId="2BD8DCAE">
      <w:pPr>
        <w:spacing w:line="440" w:lineRule="exact"/>
        <w:rPr>
          <w:rStyle w:val="54"/>
          <w:rFonts w:ascii="宋体" w:hAnsi="宋体" w:cs="宋体"/>
          <w:sz w:val="20"/>
          <w:szCs w:val="22"/>
        </w:rPr>
      </w:pPr>
      <w:r>
        <w:rPr>
          <w:rStyle w:val="54"/>
          <w:rFonts w:hint="eastAsia" w:ascii="宋体" w:hAnsi="宋体" w:cs="宋体"/>
          <w:szCs w:val="22"/>
        </w:rPr>
        <w:t>2、供应商缴纳投标保证金后，应在规定的缴纳截止时间前通过平顶山市公共资源电子化交易系统将保证金成功绑定至所投标项目和标段。保证金绑定操作手册，请登录平顶山市公共资源交易中心网站在办事指南中网上投标栏目查看。</w:t>
      </w:r>
    </w:p>
    <w:p w14:paraId="3996C1F9">
      <w:pPr>
        <w:spacing w:line="440" w:lineRule="exact"/>
        <w:rPr>
          <w:rStyle w:val="54"/>
          <w:rFonts w:ascii="宋体" w:hAnsi="宋体" w:cs="宋体"/>
          <w:sz w:val="20"/>
          <w:szCs w:val="22"/>
        </w:rPr>
      </w:pPr>
      <w:r>
        <w:rPr>
          <w:rStyle w:val="54"/>
          <w:rFonts w:hint="eastAsia" w:ascii="宋体" w:hAnsi="宋体" w:cs="宋体"/>
          <w:szCs w:val="22"/>
        </w:rPr>
        <w:t>3、供应商在成功绑定后，可以将系统生成的回执单图片制作在响应文件中，作为缴纳保证金的依据。</w:t>
      </w:r>
    </w:p>
    <w:p w14:paraId="679C413A">
      <w:pPr>
        <w:spacing w:line="440" w:lineRule="exact"/>
        <w:rPr>
          <w:rStyle w:val="54"/>
          <w:rFonts w:ascii="宋体" w:hAnsi="宋体" w:cs="宋体"/>
          <w:sz w:val="20"/>
          <w:szCs w:val="22"/>
        </w:rPr>
      </w:pPr>
      <w:r>
        <w:rPr>
          <w:rStyle w:val="54"/>
          <w:rFonts w:hint="eastAsia" w:ascii="宋体" w:hAnsi="宋体" w:cs="宋体"/>
          <w:szCs w:val="22"/>
        </w:rPr>
        <w:t>4、供应商应仔细阅读操作手册并充分考虑异地跨行转账到账时间等因素，因供应商操作不当或银行到账时间等问题造成保证金无法正常绑定影响投标的，由供应商自行承担后果。</w:t>
      </w:r>
    </w:p>
    <w:p w14:paraId="707F2AC1">
      <w:pPr>
        <w:spacing w:line="440" w:lineRule="exact"/>
        <w:rPr>
          <w:rStyle w:val="54"/>
          <w:rFonts w:ascii="宋体" w:hAnsi="宋体" w:cs="宋体"/>
          <w:sz w:val="20"/>
          <w:szCs w:val="22"/>
        </w:rPr>
      </w:pPr>
      <w:r>
        <w:rPr>
          <w:rStyle w:val="54"/>
          <w:rFonts w:hint="eastAsia" w:ascii="宋体" w:hAnsi="宋体" w:cs="宋体"/>
          <w:szCs w:val="22"/>
        </w:rPr>
        <w:t>5、未中标供应商的投标保证金在项目结束后，由中介服务机构向中心项目负责人提出退款申请，项目负责人同意并经财务部门核对后，通过中心交易平台退还给供应商。</w:t>
      </w:r>
    </w:p>
    <w:p w14:paraId="59982267">
      <w:pPr>
        <w:spacing w:line="440" w:lineRule="exact"/>
        <w:rPr>
          <w:rStyle w:val="54"/>
          <w:rFonts w:ascii="宋体" w:hAnsi="宋体" w:cs="宋体"/>
          <w:sz w:val="20"/>
          <w:szCs w:val="22"/>
        </w:rPr>
      </w:pPr>
      <w:r>
        <w:rPr>
          <w:rStyle w:val="54"/>
          <w:rFonts w:hint="eastAsia" w:ascii="宋体" w:hAnsi="宋体" w:cs="宋体"/>
          <w:szCs w:val="22"/>
        </w:rPr>
        <w:t>（二）电子化响应文件的签章</w:t>
      </w:r>
    </w:p>
    <w:p w14:paraId="3C6C9FA9">
      <w:pPr>
        <w:spacing w:line="440" w:lineRule="exact"/>
        <w:rPr>
          <w:rStyle w:val="54"/>
          <w:rFonts w:ascii="宋体" w:hAnsi="宋体" w:cs="宋体"/>
          <w:sz w:val="20"/>
          <w:szCs w:val="22"/>
        </w:rPr>
      </w:pPr>
      <w:r>
        <w:rPr>
          <w:rStyle w:val="54"/>
          <w:rFonts w:hint="eastAsia" w:ascii="宋体" w:hAnsi="宋体" w:cs="宋体"/>
          <w:szCs w:val="22"/>
        </w:rPr>
        <w:t>1、供应商在生成电子化响应文件后，应对电子化响应文件进行签章，未进行签章的视为无效投标。</w:t>
      </w:r>
    </w:p>
    <w:p w14:paraId="2E35F2DC">
      <w:pPr>
        <w:spacing w:line="440" w:lineRule="exact"/>
        <w:rPr>
          <w:rStyle w:val="54"/>
          <w:rFonts w:ascii="宋体" w:hAnsi="宋体" w:cs="宋体"/>
          <w:sz w:val="20"/>
          <w:szCs w:val="22"/>
        </w:rPr>
      </w:pPr>
      <w:r>
        <w:rPr>
          <w:rStyle w:val="54"/>
          <w:rFonts w:hint="eastAsia" w:ascii="宋体" w:hAnsi="宋体" w:cs="宋体"/>
          <w:szCs w:val="22"/>
        </w:rPr>
        <w:t>2、竞争性磋商文件中要求法定代表人或授权委托人签字或盖章的，供应商在进行电子化响应文件签章时，以签盖法定代表人签章为准。电子化响应文件具体制作教材请供应商通过CA证书登录平顶山市公共资源电子化交易系统在右上角“组建下载”中查看。</w:t>
      </w:r>
    </w:p>
    <w:p w14:paraId="66B29AF1">
      <w:pPr>
        <w:spacing w:line="440" w:lineRule="exact"/>
        <w:rPr>
          <w:rStyle w:val="54"/>
          <w:rFonts w:ascii="宋体" w:hAnsi="宋体" w:cs="宋体"/>
          <w:sz w:val="20"/>
          <w:szCs w:val="22"/>
        </w:rPr>
      </w:pPr>
      <w:r>
        <w:rPr>
          <w:rStyle w:val="54"/>
          <w:rFonts w:hint="eastAsia" w:ascii="宋体" w:hAnsi="宋体" w:cs="宋体"/>
          <w:szCs w:val="22"/>
        </w:rPr>
        <w:t>（三）电子化响应文件的格式及上传投标</w:t>
      </w:r>
    </w:p>
    <w:p w14:paraId="6CEEF227">
      <w:pPr>
        <w:spacing w:line="440" w:lineRule="exact"/>
        <w:rPr>
          <w:rStyle w:val="54"/>
          <w:rFonts w:ascii="宋体" w:hAnsi="宋体" w:cs="宋体"/>
          <w:sz w:val="20"/>
          <w:szCs w:val="22"/>
        </w:rPr>
      </w:pPr>
      <w:r>
        <w:rPr>
          <w:rStyle w:val="54"/>
          <w:rFonts w:hint="eastAsia" w:ascii="宋体" w:hAnsi="宋体" w:cs="宋体"/>
          <w:szCs w:val="22"/>
        </w:rPr>
        <w:t>1、供应商所上传的电子化响应文件，应是通过中心响应文件制作系统制作的，经过签章和加密后生成的电子版响应文件。生成的电子版响应文件包含用于响应文件上传的主文件（项目文件格式为：xxx公司_ 项目名称.file）和用于应急补救的响应文件备份文件（项目文件格式为：xxx公司_ 项目名称.bin），备份文件主要用于电子化开标出现技术问题后的补救，请供应商随身携带。</w:t>
      </w:r>
    </w:p>
    <w:p w14:paraId="25CCC3DF">
      <w:pPr>
        <w:spacing w:line="440" w:lineRule="exact"/>
        <w:rPr>
          <w:rStyle w:val="54"/>
          <w:rFonts w:ascii="宋体" w:hAnsi="宋体" w:cs="宋体"/>
          <w:b/>
          <w:bCs/>
          <w:sz w:val="20"/>
          <w:szCs w:val="22"/>
        </w:rPr>
      </w:pPr>
      <w:r>
        <w:rPr>
          <w:rStyle w:val="54"/>
          <w:rFonts w:hint="eastAsia" w:ascii="宋体" w:hAnsi="宋体" w:cs="宋体"/>
          <w:b/>
          <w:bCs/>
          <w:szCs w:val="22"/>
        </w:rPr>
        <w:t>注：（1）供应商投报多个标段的，根据标段制作各个标段的响应文件后上传</w:t>
      </w:r>
    </w:p>
    <w:p w14:paraId="3B8305AC">
      <w:pPr>
        <w:spacing w:line="440" w:lineRule="exact"/>
        <w:rPr>
          <w:rStyle w:val="54"/>
          <w:rFonts w:ascii="宋体" w:hAnsi="宋体" w:cs="宋体"/>
          <w:sz w:val="20"/>
          <w:szCs w:val="22"/>
        </w:rPr>
      </w:pPr>
      <w:r>
        <w:rPr>
          <w:rStyle w:val="54"/>
          <w:rFonts w:hint="eastAsia" w:ascii="宋体" w:hAnsi="宋体" w:cs="宋体"/>
          <w:szCs w:val="22"/>
        </w:rPr>
        <w:t>2、电子化响应文件应在投标截止时间前成功上传至平顶山市公共资源电子化交易系统。至投标截止时间止，仍未上传成功的电子化响应文件将不予接收。</w:t>
      </w:r>
    </w:p>
    <w:p w14:paraId="2C7D7226">
      <w:pPr>
        <w:spacing w:line="440" w:lineRule="exact"/>
        <w:rPr>
          <w:rStyle w:val="54"/>
          <w:rFonts w:ascii="宋体" w:hAnsi="宋体" w:cs="宋体"/>
          <w:b/>
          <w:bCs/>
          <w:sz w:val="20"/>
          <w:szCs w:val="22"/>
        </w:rPr>
      </w:pPr>
      <w:r>
        <w:rPr>
          <w:rStyle w:val="54"/>
          <w:rFonts w:hint="eastAsia" w:ascii="宋体" w:hAnsi="宋体" w:cs="宋体"/>
          <w:b/>
          <w:bCs/>
          <w:szCs w:val="22"/>
        </w:rPr>
        <w:t>注：如按照电子化投标操作教材制作完成的电子化响应文件无法上传的，供应商应在投标截止时间前尽早的联系中心技术人员，以便有充分的时间进行处理。供应商应充分考虑到处理技术问题和上传数据等工作所需的时间问题，响应文件未在投标截止时间前成功上传的，其响应文件不予接收。</w:t>
      </w:r>
    </w:p>
    <w:p w14:paraId="6390ED66">
      <w:pPr>
        <w:spacing w:line="440" w:lineRule="exact"/>
        <w:rPr>
          <w:rStyle w:val="54"/>
          <w:rFonts w:ascii="宋体" w:hAnsi="宋体" w:cs="宋体"/>
          <w:sz w:val="20"/>
          <w:szCs w:val="22"/>
        </w:rPr>
      </w:pPr>
      <w:r>
        <w:rPr>
          <w:rStyle w:val="54"/>
          <w:rFonts w:hint="eastAsia" w:ascii="宋体" w:hAnsi="宋体" w:cs="宋体"/>
          <w:szCs w:val="22"/>
        </w:rPr>
        <w:t>（四）电子化项目开标、解密、唱标、评标</w:t>
      </w:r>
    </w:p>
    <w:p w14:paraId="49F05AD7">
      <w:pPr>
        <w:spacing w:line="440" w:lineRule="exact"/>
        <w:rPr>
          <w:rStyle w:val="54"/>
          <w:rFonts w:ascii="宋体" w:hAnsi="宋体" w:cs="宋体"/>
          <w:sz w:val="20"/>
          <w:szCs w:val="22"/>
        </w:rPr>
      </w:pPr>
      <w:r>
        <w:rPr>
          <w:rStyle w:val="54"/>
          <w:rFonts w:hint="eastAsia" w:ascii="宋体" w:hAnsi="宋体" w:cs="宋体"/>
          <w:szCs w:val="22"/>
        </w:rPr>
        <w:t>1、</w:t>
      </w:r>
      <w:r>
        <w:rPr>
          <w:rStyle w:val="54"/>
          <w:rFonts w:hint="eastAsia" w:ascii="宋体" w:hAnsi="宋体" w:cs="宋体"/>
          <w:kern w:val="0"/>
          <w:szCs w:val="21"/>
        </w:rPr>
        <w:t>电子化响应文件采用加密方式。开标时，由供应商使用CA证书，在规定时间内对其电子化响应文件进行解密</w:t>
      </w:r>
      <w:r>
        <w:rPr>
          <w:rStyle w:val="54"/>
          <w:rFonts w:hint="eastAsia" w:ascii="宋体" w:hAnsi="宋体" w:cs="宋体"/>
          <w:szCs w:val="22"/>
        </w:rPr>
        <w:t>。</w:t>
      </w:r>
    </w:p>
    <w:p w14:paraId="24D9BC74">
      <w:pPr>
        <w:spacing w:line="440" w:lineRule="exact"/>
        <w:rPr>
          <w:rStyle w:val="54"/>
          <w:rFonts w:ascii="宋体" w:hAnsi="宋体" w:cs="宋体"/>
          <w:sz w:val="20"/>
          <w:szCs w:val="22"/>
        </w:rPr>
      </w:pPr>
      <w:r>
        <w:rPr>
          <w:rStyle w:val="54"/>
          <w:rFonts w:hint="eastAsia" w:ascii="宋体" w:hAnsi="宋体" w:cs="宋体"/>
          <w:szCs w:val="22"/>
        </w:rPr>
        <w:t>2、电子化响应文件解密异常的处理</w:t>
      </w:r>
    </w:p>
    <w:p w14:paraId="501F7985">
      <w:pPr>
        <w:spacing w:line="440" w:lineRule="exact"/>
        <w:rPr>
          <w:rStyle w:val="54"/>
          <w:rFonts w:ascii="宋体" w:hAnsi="宋体" w:cs="宋体"/>
          <w:sz w:val="20"/>
          <w:szCs w:val="22"/>
        </w:rPr>
      </w:pPr>
      <w:r>
        <w:rPr>
          <w:rStyle w:val="54"/>
          <w:rFonts w:hint="eastAsia" w:ascii="宋体" w:hAnsi="宋体" w:cs="宋体"/>
          <w:szCs w:val="22"/>
        </w:rPr>
        <w:t>如出现供应商的电子响应文件无法解密的情况，供应商应及时联系中介服务机构说明。响应文件解密异常，按以下步骤进行处理：</w:t>
      </w:r>
    </w:p>
    <w:p w14:paraId="6285B2D0">
      <w:pPr>
        <w:spacing w:line="440" w:lineRule="exact"/>
        <w:rPr>
          <w:rStyle w:val="54"/>
          <w:rFonts w:ascii="宋体" w:hAnsi="宋体" w:cs="宋体"/>
          <w:sz w:val="20"/>
          <w:szCs w:val="22"/>
        </w:rPr>
      </w:pPr>
      <w:r>
        <w:rPr>
          <w:rStyle w:val="54"/>
          <w:rFonts w:hint="eastAsia" w:ascii="宋体" w:hAnsi="宋体" w:cs="宋体"/>
          <w:szCs w:val="22"/>
        </w:rPr>
        <w:t>（1）首先由技术人员进行问题排查。</w:t>
      </w:r>
    </w:p>
    <w:p w14:paraId="3E29CB0D">
      <w:pPr>
        <w:spacing w:line="440" w:lineRule="exact"/>
        <w:rPr>
          <w:rStyle w:val="54"/>
          <w:rFonts w:ascii="宋体" w:hAnsi="宋体" w:cs="宋体"/>
          <w:sz w:val="20"/>
          <w:szCs w:val="22"/>
        </w:rPr>
      </w:pPr>
      <w:r>
        <w:rPr>
          <w:rStyle w:val="54"/>
          <w:rFonts w:hint="eastAsia" w:ascii="宋体" w:hAnsi="宋体" w:cs="宋体"/>
          <w:szCs w:val="22"/>
        </w:rPr>
        <w:t>（2）经技术人员排查后，是供应商文件自身问题导致响应文件无法解密的，该响应文件将不予接收、解密和唱标，开标会议继续进行。</w:t>
      </w:r>
    </w:p>
    <w:p w14:paraId="645F845E">
      <w:pPr>
        <w:spacing w:line="440" w:lineRule="exact"/>
        <w:rPr>
          <w:rStyle w:val="54"/>
          <w:rFonts w:ascii="宋体" w:hAnsi="宋体" w:cs="宋体"/>
          <w:sz w:val="20"/>
          <w:szCs w:val="22"/>
        </w:rPr>
      </w:pPr>
      <w:r>
        <w:rPr>
          <w:rStyle w:val="54"/>
          <w:rFonts w:hint="eastAsia" w:ascii="宋体" w:hAnsi="宋体" w:cs="宋体"/>
          <w:szCs w:val="22"/>
        </w:rPr>
        <w:t>（3）经技术人员排查后，如果是电子化交易系统问题造成响应文件无法解密的，将由技术人员对问题进行处理。如短时间内问题无法解决的，将由中介服务机构向监督部门申请，经监督部门同意后，暂停开标会议，待问题解决后继续开标。</w:t>
      </w:r>
    </w:p>
    <w:p w14:paraId="3F65F166">
      <w:pPr>
        <w:spacing w:line="440" w:lineRule="exact"/>
        <w:rPr>
          <w:rStyle w:val="54"/>
          <w:rFonts w:ascii="宋体" w:hAnsi="宋体" w:cs="宋体"/>
          <w:sz w:val="20"/>
          <w:szCs w:val="22"/>
        </w:rPr>
      </w:pPr>
      <w:r>
        <w:rPr>
          <w:rStyle w:val="54"/>
          <w:rFonts w:hint="eastAsia" w:ascii="宋体" w:hAnsi="宋体" w:cs="宋体"/>
          <w:szCs w:val="22"/>
        </w:rPr>
        <w:t>3、待所有供应商响应文件解密完成后，由中介服务机构操作，对所有已解密响应文件进行唱标。</w:t>
      </w:r>
    </w:p>
    <w:p w14:paraId="44EABB6F">
      <w:pPr>
        <w:spacing w:line="440" w:lineRule="exact"/>
        <w:rPr>
          <w:rStyle w:val="54"/>
          <w:rFonts w:ascii="宋体" w:hAnsi="宋体" w:cs="宋体"/>
          <w:sz w:val="20"/>
          <w:szCs w:val="22"/>
        </w:rPr>
      </w:pPr>
      <w:r>
        <w:rPr>
          <w:rStyle w:val="54"/>
          <w:rFonts w:hint="eastAsia" w:ascii="宋体" w:hAnsi="宋体" w:cs="宋体"/>
          <w:szCs w:val="22"/>
        </w:rPr>
        <w:t>4、评标时，评标委员会对电子化响应文件有质疑的，将通过电子化交易系统对供应商发起质疑。质疑回复内容确认后，供应商的回复文件必须以经过供应商和其法定代表人签章的PDF格式文件为准，并通过电子化交易系统提交至评标委员会。</w:t>
      </w:r>
    </w:p>
    <w:p w14:paraId="7C2561F2">
      <w:pPr>
        <w:spacing w:line="440" w:lineRule="exact"/>
        <w:rPr>
          <w:rStyle w:val="54"/>
          <w:rFonts w:ascii="宋体" w:hAnsi="宋体" w:cs="宋体"/>
          <w:sz w:val="20"/>
          <w:szCs w:val="22"/>
        </w:rPr>
      </w:pPr>
      <w:r>
        <w:rPr>
          <w:rStyle w:val="54"/>
          <w:rFonts w:hint="eastAsia" w:ascii="宋体" w:hAnsi="宋体" w:cs="宋体"/>
          <w:szCs w:val="22"/>
        </w:rPr>
        <w:t>5、如评标委员会对需要回复的供应商回复内容有异议的，经过几次回复仍不清楚的，需在监督下进行免提电话进行质疑。</w:t>
      </w:r>
    </w:p>
    <w:p w14:paraId="412B6BD6">
      <w:pPr>
        <w:spacing w:line="440" w:lineRule="exact"/>
        <w:rPr>
          <w:rStyle w:val="54"/>
          <w:rFonts w:ascii="宋体" w:hAnsi="宋体" w:cs="宋体"/>
          <w:sz w:val="20"/>
          <w:szCs w:val="22"/>
        </w:rPr>
      </w:pPr>
      <w:r>
        <w:rPr>
          <w:rStyle w:val="54"/>
          <w:rFonts w:hint="eastAsia" w:ascii="宋体" w:hAnsi="宋体" w:cs="宋体"/>
          <w:szCs w:val="22"/>
        </w:rPr>
        <w:t>6、评标时如因系统异常、停电、电脑病毒、网络堵塞等原因无法正常进行的，由技术人员排查解决，短时间无法解决的，经监督部门同意后，暂停评标活动，待问题解决后继续评标。</w:t>
      </w:r>
    </w:p>
    <w:p w14:paraId="39D4D260">
      <w:pPr>
        <w:pStyle w:val="78"/>
        <w:spacing w:line="440" w:lineRule="exact"/>
        <w:ind w:firstLine="0"/>
        <w:rPr>
          <w:rStyle w:val="54"/>
          <w:rFonts w:ascii="宋体" w:hAnsi="宋体" w:cs="宋体"/>
        </w:rPr>
      </w:pPr>
    </w:p>
    <w:sectPr>
      <w:headerReference r:id="rId7" w:type="first"/>
      <w:footerReference r:id="rId9" w:type="first"/>
      <w:headerReference r:id="rId6" w:type="default"/>
      <w:footerReference r:id="rId8" w:type="default"/>
      <w:pgSz w:w="11906" w:h="16838"/>
      <w:pgMar w:top="1440" w:right="991" w:bottom="1440" w:left="993" w:header="964"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onsolas">
    <w:panose1 w:val="020B0609020204030204"/>
    <w:charset w:val="00"/>
    <w:family w:val="modern"/>
    <w:pitch w:val="default"/>
    <w:sig w:usb0="E00006FF" w:usb1="0000FCFF" w:usb2="00000001" w:usb3="00000000" w:csb0="600001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DF5A9">
    <w:pPr>
      <w:pStyle w:val="19"/>
      <w:tabs>
        <w:tab w:val="center" w:pos="4819"/>
        <w:tab w:val="clear" w:pos="4153"/>
      </w:tabs>
    </w:pPr>
    <w:r>
      <w:rPr>
        <w:rFonts w:hint="eastAsia" w:ascii="宋体" w:hAnsi="宋体" w:cs="宋体"/>
        <w:sz w:val="17"/>
        <w:lang w:val="zh-CN"/>
      </w:rPr>
      <mc:AlternateContent>
        <mc:Choice Requires="wps">
          <w:drawing>
            <wp:anchor distT="0" distB="0" distL="114300" distR="114300" simplePos="0" relativeHeight="251659264" behindDoc="0" locked="0" layoutInCell="1" allowOverlap="1">
              <wp:simplePos x="0" y="0"/>
              <wp:positionH relativeFrom="column">
                <wp:posOffset>336550</wp:posOffset>
              </wp:positionH>
              <wp:positionV relativeFrom="paragraph">
                <wp:posOffset>461645</wp:posOffset>
              </wp:positionV>
              <wp:extent cx="5264150" cy="635"/>
              <wp:effectExtent l="0" t="28575" r="12700" b="46990"/>
              <wp:wrapNone/>
              <wp:docPr id="3" name="直接连接符 3"/>
              <wp:cNvGraphicFramePr/>
              <a:graphic xmlns:a="http://schemas.openxmlformats.org/drawingml/2006/main">
                <a:graphicData uri="http://schemas.microsoft.com/office/word/2010/wordprocessingShape">
                  <wps:wsp>
                    <wps:cNvCnPr/>
                    <wps:spPr>
                      <a:xfrm flipV="1">
                        <a:off x="0" y="0"/>
                        <a:ext cx="5264150" cy="635"/>
                      </a:xfrm>
                      <a:prstGeom prst="line">
                        <a:avLst/>
                      </a:prstGeom>
                      <a:ln w="57150" cap="flat" cmpd="thinThick">
                        <a:solidFill>
                          <a:srgbClr val="800080"/>
                        </a:solidFill>
                        <a:prstDash val="solid"/>
                        <a:headEnd type="none" w="med" len="med"/>
                        <a:tailEnd type="none" w="med" len="med"/>
                      </a:ln>
                    </wps:spPr>
                    <wps:bodyPr/>
                  </wps:wsp>
                </a:graphicData>
              </a:graphic>
            </wp:anchor>
          </w:drawing>
        </mc:Choice>
        <mc:Fallback>
          <w:pict>
            <v:line id="_x0000_s1026" o:spid="_x0000_s1026" o:spt="20" style="position:absolute;left:0pt;flip:y;margin-left:26.5pt;margin-top:36.35pt;height:0.05pt;width:414.5pt;z-index:251659264;mso-width-relative:page;mso-height-relative:page;" filled="f" stroked="t" coordsize="21600,21600" o:gfxdata="UEsDBAoAAAAAAIdO4kAAAAAAAAAAAAAAAAAEAAAAZHJzL1BLAwQUAAAACACHTuJAh/EDIdcAAAAI&#10;AQAADwAAAGRycy9kb3ducmV2LnhtbE2PwU7DMBBE70j8g7VIXBB1GkQbhTg9IMGtqkj7AU68TSLs&#10;dRo7acvXsz3BcWdGs2+KzcVZMeMYek8KlosEBFLjTU+tgsP+4zkDEaImo60nVHDFAJvy/q7QufFn&#10;+sK5iq3gEgq5VtDFOORShqZDp8PCD0jsHf3odORzbKUZ9ZnLnZVpkqyk0z3xh04P+N5h811NTsF0&#10;qJ/0Z2WDX/2cTrvtcb5O251Sjw/L5A1ExEv8C8MNn9GhZKbaT2SCsApeX3hKVLBO1yDYz7KUhfom&#10;ZCDLQv4fUP4CUEsDBBQAAAAIAIdO4kAMErfL+wEAAOsDAAAOAAAAZHJzL2Uyb0RvYy54bWytU72O&#10;EzEQ7pF4B8s92U1CQrTK5ooLR4PgJA76iX+yFv6T7csmL8ELINFBRXk9b8PxGIy9IcDRpKCx7Jnx&#10;N/N9/ry82BtNdiJE5WxLx6OaEmGZ48puW/r25urJgpKYwHLQzoqWHkSkF6vHj5a9b8TEdU5zEQiC&#10;2Nj0vqVdSr6pqsg6YSCOnBcWk9IFAwmPYVvxAD2iG11N6npe9S5wHxwTMWJ0PSTpETGcA+ikVEys&#10;Hbs1wqYBNQgNCSnFTvlIV2VaKQVLr6WMIhHdUmSayopNcL/Ja7VaQrMN4DvFjiPAOSM84GRAWWx6&#10;glpDAnIb1D9QRrHgopNpxJypBiJFEWQxrh9o86YDLwoXlDr6k+jx/8GyV7vrQBRv6ZQSCwYf/P7j&#10;3fcPn398+4Tr/dcvZJpF6n1ssPbSXofjKfrrkBnvZTBEauXfoZuKBsiK7IvEh5PEYp8Iw+BsMn86&#10;nqH6DHPz6SxjVwNIBvMhphfCGZI3LdXKZv7QwO5lTEPpr5Ic1pb0iPlsQAR0o0QXILjxyCh1yt7g&#10;u74vENFpxa+U1vliDNvNpQ5kB+iLRV3Xi2IFnOSvstxrDbEb6kpqcEwngD+3nKSDR8UsfhSaJzGC&#10;U6IF/qu8w3mhSaD0OZXYWlvUIgs9SJt3G8cPRfESRw8UtY5+zSb781xu//6jq5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H8QMh1wAAAAgBAAAPAAAAAAAAAAEAIAAAACIAAABkcnMvZG93bnJldi54&#10;bWxQSwECFAAUAAAACACHTuJADBK3y/sBAADrAwAADgAAAAAAAAABACAAAAAmAQAAZHJzL2Uyb0Rv&#10;Yy54bWxQSwUGAAAAAAYABgBZAQAAkwUAAAAA&#10;">
              <v:fill on="f" focussize="0,0"/>
              <v:stroke weight="4.5pt" color="#800080" linestyle="thinThick" joinstyle="round"/>
              <v:imagedata o:title=""/>
              <o:lock v:ext="edit" aspectratio="f"/>
            </v:line>
          </w:pict>
        </mc:Fallback>
      </mc:AlternateContent>
    </w: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15C26">
    <w:pPr>
      <w:pStyle w:val="58"/>
      <w:rPr>
        <w:rStyle w:val="54"/>
      </w:rPr>
    </w:pPr>
    <w: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6576FB">
                          <w:pPr>
                            <w:pStyle w:val="1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14:paraId="2F6576FB">
                    <w:pPr>
                      <w:pStyle w:val="19"/>
                    </w:pPr>
                    <w:r>
                      <w:fldChar w:fldCharType="begin"/>
                    </w:r>
                    <w:r>
                      <w:instrText xml:space="preserve"> PAGE  \* MERGEFORMAT </w:instrText>
                    </w:r>
                    <w:r>
                      <w:fldChar w:fldCharType="separate"/>
                    </w:r>
                    <w:r>
                      <w:t>2</w:t>
                    </w:r>
                    <w:r>
                      <w:fldChar w:fldCharType="end"/>
                    </w:r>
                  </w:p>
                </w:txbxContent>
              </v:textbox>
            </v:shape>
          </w:pict>
        </mc:Fallback>
      </mc:AlternateContent>
    </w:r>
    <w:r>
      <w:rPr>
        <w:rStyle w:val="54"/>
      </w:rPr>
      <mc:AlternateContent>
        <mc:Choice Requires="wps">
          <w:drawing>
            <wp:anchor distT="0" distB="0" distL="114300" distR="114300" simplePos="0" relativeHeight="251660288"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7" name="自选图形 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wps:cNvSpPr>
                    <wps:spPr>
                      <a:xfrm>
                        <a:off x="0" y="0"/>
                        <a:ext cx="635000" cy="635000"/>
                      </a:xfrm>
                      <a:custGeom>
                        <a:avLst/>
                        <a:gdLst/>
                        <a:ahLst/>
                        <a:cxnLst/>
                        <a:rect l="0" t="0" r="0" b="0"/>
                        <a:pathLst/>
                      </a:custGeom>
                      <a:noFill/>
                      <a:ln w="9525">
                        <a:noFill/>
                      </a:ln>
                    </wps:spPr>
                    <wps:bodyPr upright="1"/>
                  </wps:wsp>
                </a:graphicData>
              </a:graphic>
            </wp:anchor>
          </w:drawing>
        </mc:Choice>
        <mc:Fallback>
          <w:pict>
            <v:shape id="自选图形 5" o:spid="_x0000_s1026" o:spt="100" style="position:absolute;left:0pt;margin-left:0pt;margin-top:0pt;height:50pt;width:50pt;visibility:hidden;z-index:251660288;mso-width-relative:page;mso-height-relative:page;" filled="f" stroked="f" coordsize="635000,635000" o:gfxdata="UEsDBAoAAAAAAIdO4kAAAAAAAAAAAAAAAAAEAAAAZHJzL1BLAwQUAAAACACHTuJApj916c8AAAAF&#10;AQAADwAAAGRycy9kb3ducmV2LnhtbE2PT0/DMAzF70h8h8hI3FhSDmMqTSf+iDPaqBDcvMa0FYlT&#10;Ne42vj0ZQoKL5adnPf9etT4Gr/Y0pSGyhWJhQBG30Q3cWWhenq5WoJIgO/SRycIXJVjX52cVli4e&#10;eEP7rXQqh3Aq0UIvMpZap7angGkRR+LsfcQpoGQ5ddpNeMjhwetrY5Y64MD5Q48jPfTUfm7nYKF9&#10;w7l5ltf3Yumbm/u7ld48irb28qIwt6CEjvJ3DCf8jA51ZtrFmV1S3kIuIj/z5BmT5e530XWl/9PX&#10;31BLAwQUAAAACACHTuJAmY99c80BAAC1AwAADgAAAGRycy9lMm9Eb2MueG1srVNLbtswEN0X6B0I&#10;7mspLpy2guVsjHQTtAHcHoAhRxZR/sChLXnXXdEzdNdl79DeJkB6i45o2fkUCLLIRhhyOG/mvTea&#10;n/XWsC1E1N7V/GRScgZOeqXduuafP52/essZJuGUMN5BzXeA/Gzx8sW8CxVMfeuNgsgIxGHVhZq3&#10;KYWqKFC2YAVOfABHycZHKxId47pQUXSEbk0xLcvTovNRheglINLtcp/kI2J8CqBvGi1h6eXGgkt7&#10;1AhGJKKErQ7IF3napgGZPjYNQmKm5sQ05S81ofhq+BaLuajWUYRWy3EE8ZQRHnCyQjtqeoRaiiTY&#10;Jur/oKyW0aNv0kR6W+yJZEWIxUn5QJtVKwJkLiQ1hqPo+Hyw8sP2MjKtav6GMycsGX7z7dffr9+v&#10;f/y5/v2TzThrtVIwrMogVhewoppVuIwDXQwXXn5B5vwKDIk9viruPRsOOBb0TbRDITFnfbZhd7QB&#10;+sQkXZ6+npUlGSQpNcbUuRDVoVhuML0Hn4HE9gLT3kV1iER7iGTvDmGk8R7dgiDSWEet7rZw/lwb&#10;k3sYx7qav5tNZ9ntY4YqjKMZb6kO0ZVXO1J3E6Jet/e0ITczo3HzhnW5e85It3/b4h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mP3XpzwAAAAUBAAAPAAAAAAAAAAEAIAAAACIAAABkcnMvZG93bnJl&#10;di54bWxQSwECFAAUAAAACACHTuJAmY99c80BAAC1AwAADgAAAAAAAAABACAAAAAeAQAAZHJzL2Uy&#10;b0RvYy54bWxQSwUGAAAAAAYABgBZAQAAXQUAAAAA&#10;">
              <v:fill on="f" focussize="0,0"/>
              <v:stroke on="f"/>
              <v:imagedata o:title=""/>
              <o:lock v:ext="edit" selection="t" aspectratio="f"/>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89B72">
    <w:pPr>
      <w:pStyle w:val="58"/>
    </w:pPr>
    <w: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ECA8E8">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LJ1z8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dTSjRTqPjl+7fL&#10;j1+Xn18JziBQY/0ccTuLyNC+NS3aZjj3OIy829Kp+AUjAj/kPV/lFW0gPF6aTWezMVwcvmED/Ozx&#10;unU+vBNGkWjk1KF+SVZ22vrQhQ4hMZs2m1rKVEOpSZPTm9dvxunC1QNwqZEjkugeG63Q7tue2d4U&#10;ZxBzpusNb/mmRvIt8+GBOTQDHoxxCfdYSmmQxPQWJZVxX/51HuNRI3gpadBcOdWYJUrke43aATAM&#10;hhuM/WDoo7oz6NYJxtDyZOKCC3IwS2fUZ8zQKuaAi2mOTDkNg3kXugbHDHKxWqUgdJtlYat3lkfo&#10;KJ63q2OAgEnXKEqnRK8V+i1Vpp+N2NB/7lPU4/9g+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snXPywCAABXBAAADgAAAAAAAAABACAAAAAfAQAAZHJzL2Uyb0RvYy54bWxQSwUGAAAAAAYA&#10;BgBZAQAAvQUAAAAA&#10;">
              <v:fill on="f" focussize="0,0"/>
              <v:stroke on="f" weight="0.5pt"/>
              <v:imagedata o:title=""/>
              <o:lock v:ext="edit" aspectratio="f"/>
              <v:textbox inset="0mm,0mm,0mm,0mm" style="mso-fit-shape-to-text:t;">
                <w:txbxContent>
                  <w:p w14:paraId="15ECA8E8">
                    <w:pPr>
                      <w:pStyle w:val="19"/>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margin">
                <wp:posOffset>5149850</wp:posOffset>
              </wp:positionH>
              <wp:positionV relativeFrom="paragraph">
                <wp:posOffset>0</wp:posOffset>
              </wp:positionV>
              <wp:extent cx="1828800" cy="1828800"/>
              <wp:effectExtent l="0" t="0" r="0" b="0"/>
              <wp:wrapNone/>
              <wp:docPr id="13"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4F7F54EA"/>
                      </w:txbxContent>
                    </wps:txbx>
                    <wps:bodyPr wrap="none" lIns="0" tIns="0" rIns="0" bIns="0" upright="1">
                      <a:spAutoFit/>
                    </wps:bodyPr>
                  </wps:wsp>
                </a:graphicData>
              </a:graphic>
            </wp:anchor>
          </w:drawing>
        </mc:Choice>
        <mc:Fallback>
          <w:pict>
            <v:shape id="文本框 11" o:spid="_x0000_s1026" o:spt="202" type="#_x0000_t202" style="position:absolute;left:0pt;margin-left:405.5pt;margin-top:0pt;height:144pt;width:144pt;mso-position-horizontal-relative:margin;mso-wrap-style:none;z-index:251663360;mso-width-relative:page;mso-height-relative:page;" filled="f" stroked="f" coordsize="21600,21600" o:gfxdata="UEsDBAoAAAAAAIdO4kAAAAAAAAAAAAAAAAAEAAAAZHJzL1BLAwQUAAAACACHTuJAUa9jftUAAAAJ&#10;AQAADwAAAGRycy9kb3ducmV2LnhtbE2PMU/DMBCFd6T+B+uQ2KidDuCmcTpU6sJGQUhsbnyNI+xz&#10;ZLtp8u9xJ1hOd3pP777X7Gfv2IQxDYEUVGsBDKkLZqBewefH8VkCS1mT0S4QKlgwwb5dPTS6NuFG&#10;7zidcs9KCKVaK7A5jzXnqbPodVqHEalolxC9zuWMPTdR30q4d3wjxAv3eqDyweoRDxa7n9PVK3id&#10;vwKOCQ/4fZm6aIdFurdFqafHSuyAZZzznxnu+AUd2sJ0DlcyiTkFsqpKl6ygzLssttuynRVspBTA&#10;24b/b9D+AlBLAwQUAAAACACHTuJA4+LRudMBAACkAwAADgAAAGRycy9lMm9Eb2MueG1srVPNjtMw&#10;EL4j7TtYvm+TFC0qUdMVqFqEhABp4QFcx24s+U8et0lfAN6AExfuPFefg7GTdFe7lz1wcWY842/m&#10;+2ayvh2MJkcRQDnb0GpRUiIsd62y+4Z+/3Z3vaIEIrMt086Khp4E0NvN1at172uxdJ3TrQgEQSzU&#10;vW9oF6OviwJ4JwyDhfPCYlC6YFhEN+yLNrAe0Y0ulmX5puhdaH1wXADg7XYM0gkxvATQSam42Dp+&#10;MMLGETUIzSJSgk55oJvcrZSCxy9SgohENxSZxnxiEbR36Sw2a1bvA/Od4lML7CUtPOFkmLJY9AK1&#10;ZZGRQ1DPoIziwYGTccGdKUYiWRFkUZVPtLnvmBeZC0oN/iI6/D9Y/vn4NRDV4ia8psQygxM///p5&#10;/v33/OcHqaokUO+hxrx7j5lxeO8GTJ7vAS8T70EGk77IiGAc5T1d5BVDJDw9Wi1XqxJDHGOzg/jF&#10;w3MfIH4QzpBkNDTg/LKs7PgJ4pg6p6Rq1t0prfMMtSV9Q9/eLG/yg0sEwbXFGonE2Gyy4rAbJmY7&#10;156QWI870FCLK0+J/mhR4rQusxFmYzcbBx/UvsMeq1wP/LtDxG5yk6nCCDsVxuFlmtOipe147Oes&#10;h59r8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Rr2N+1QAAAAkBAAAPAAAAAAAAAAEAIAAAACIA&#10;AABkcnMvZG93bnJldi54bWxQSwECFAAUAAAACACHTuJA4+LRudMBAACkAwAADgAAAAAAAAABACAA&#10;AAAkAQAAZHJzL2Uyb0RvYy54bWxQSwUGAAAAAAYABgBZAQAAaQUAAAAA&#10;">
              <v:fill on="f" focussize="0,0"/>
              <v:stroke on="f"/>
              <v:imagedata o:title=""/>
              <o:lock v:ext="edit" aspectratio="f"/>
              <v:textbox inset="0mm,0mm,0mm,0mm" style="mso-fit-shape-to-text:t;">
                <w:txbxContent>
                  <w:p w14:paraId="4F7F54EA"/>
                </w:txbxContent>
              </v:textbox>
            </v:shape>
          </w:pict>
        </mc:Fallback>
      </mc:AlternateContent>
    </w:r>
    <w:r>
      <w:rPr>
        <w:rStyle w:val="54"/>
      </w:rPr>
      <mc:AlternateContent>
        <mc:Choice Requires="wps">
          <w:drawing>
            <wp:anchor distT="0" distB="0" distL="114300" distR="114300" simplePos="0" relativeHeight="251662336"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11" name="自选图形 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wps:cNvSpPr>
                    <wps:spPr>
                      <a:xfrm>
                        <a:off x="0" y="0"/>
                        <a:ext cx="635000" cy="635000"/>
                      </a:xfrm>
                      <a:custGeom>
                        <a:avLst/>
                        <a:gdLst/>
                        <a:ahLst/>
                        <a:cxnLst/>
                        <a:rect l="0" t="0" r="0" b="0"/>
                        <a:pathLst/>
                      </a:custGeom>
                      <a:noFill/>
                      <a:ln w="9525">
                        <a:noFill/>
                      </a:ln>
                    </wps:spPr>
                    <wps:bodyPr upright="1"/>
                  </wps:wsp>
                </a:graphicData>
              </a:graphic>
            </wp:anchor>
          </w:drawing>
        </mc:Choice>
        <mc:Fallback>
          <w:pict>
            <v:shape id="自选图形 9" o:spid="_x0000_s1026" o:spt="100" style="position:absolute;left:0pt;margin-left:0pt;margin-top:0pt;height:50pt;width:50pt;visibility:hidden;z-index:251662336;mso-width-relative:page;mso-height-relative:page;" filled="f" stroked="f" coordsize="635000,635000" o:gfxdata="UEsDBAoAAAAAAIdO4kAAAAAAAAAAAAAAAAAEAAAAZHJzL1BLAwQUAAAACACHTuJApj916c8AAAAF&#10;AQAADwAAAGRycy9kb3ducmV2LnhtbE2PT0/DMAzF70h8h8hI3FhSDmMqTSf+iDPaqBDcvMa0FYlT&#10;Ne42vj0ZQoKL5adnPf9etT4Gr/Y0pSGyhWJhQBG30Q3cWWhenq5WoJIgO/SRycIXJVjX52cVli4e&#10;eEP7rXQqh3Aq0UIvMpZap7angGkRR+LsfcQpoGQ5ddpNeMjhwetrY5Y64MD5Q48jPfTUfm7nYKF9&#10;w7l5ltf3Yumbm/u7ld48irb28qIwt6CEjvJ3DCf8jA51ZtrFmV1S3kIuIj/z5BmT5e530XWl/9PX&#10;31BLAwQUAAAACACHTuJA3u7VEM4BAAC2AwAADgAAAGRycy9lMm9Eb2MueG1srVPNjtMwEL4j8Q6W&#10;7zRpUVds1HQv1XJZwUqFB/DaTmNheyyP26Q3bohn4MaRd4C3WYl9CyZu2v1BQnvgEo09nm/m+77J&#10;4qJ3lu10RAO+5tNJyZn2EpTxm5p//HD56g1nmIRXwoLXNd9r5BfLly8WXaj0DFqwSkdGIB6rLtS8&#10;TSlURYGy1U7gBIL2lGwgOpHoGDeFiqIjdGeLWVmeFR1EFSJIjUi3q0OSj4jxOYDQNEbqFcit0z4d&#10;UKO2IhElbE1AvszTNo2W6X3ToE7M1pyYpvylJhTfDN9iuRDVJorQGjmOIJ4zwhNOThhPTU9QK5EE&#10;20bzF5QzMgJCkyYSXHEgkhUhFtPyiTbrVgSduZDUGE6i4/+Dle9215EZRZsw5cwLR47//vLj7vPX&#10;22+/bn9+Z+ectUYpPezKoFYXsKKidbiOA18MVyA/IfOw1pbUHl8Vj54NBxwL+ia6oZCosz77sD/5&#10;oPvEJF2evZ6XJTkkKTXG1LkQ1bFYbjG91ZCBxO4K08FGdYxEe4xk749hpPH+uQZBpLGOWj1s4eHS&#10;WJt7WM+6mp/PZ/Ns9ylDFdbTjPdUh+gG1J7k3YZoNu0jbcjOzGhcvWFfHp4z0v3vtvw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pj916c8AAAAFAQAADwAAAAAAAAABACAAAAAiAAAAZHJzL2Rvd25y&#10;ZXYueG1sUEsBAhQAFAAAAAgAh07iQN7u1RDOAQAAtgMAAA4AAAAAAAAAAQAgAAAAHgEAAGRycy9l&#10;Mm9Eb2MueG1sUEsFBgAAAAAGAAYAWQEAAF4FAAAAAA==&#10;">
              <v:fill on="f" focussize="0,0"/>
              <v:stroke on="f"/>
              <v:imagedata o:title=""/>
              <o:lock v:ext="edit" selection="t" aspectratio="f"/>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B9F16">
    <w:pPr>
      <w:pStyle w:val="10"/>
      <w:pBdr>
        <w:bottom w:val="none" w:color="auto" w:sz="0" w:space="1"/>
      </w:pBdr>
      <w:tabs>
        <w:tab w:val="right" w:pos="9660"/>
        <w:tab w:val="clear" w:pos="8306"/>
      </w:tabs>
      <w:jc w:val="both"/>
      <w:rPr>
        <w:rFonts w:ascii="宋体" w:hAnsi="宋体" w:cs="宋体"/>
        <w:sz w:val="21"/>
        <w:szCs w:val="21"/>
      </w:rPr>
    </w:pPr>
  </w:p>
  <w:p w14:paraId="03A2C791">
    <w:pPr>
      <w:pStyle w:val="10"/>
      <w:pBdr>
        <w:bottom w:val="none" w:color="auto" w:sz="0" w:space="1"/>
      </w:pBdr>
      <w:tabs>
        <w:tab w:val="right" w:pos="9660"/>
        <w:tab w:val="clear" w:pos="8306"/>
      </w:tabs>
      <w:jc w:val="both"/>
      <w:rPr>
        <w:rFonts w:ascii="宋体" w:hAnsi="宋体" w:cs="宋体"/>
        <w:sz w:val="21"/>
        <w:szCs w:val="21"/>
      </w:rPr>
    </w:pPr>
    <w:r>
      <w:rPr>
        <w:rFonts w:hint="eastAsia" w:ascii="宋体" w:hAnsi="宋体" w:cs="宋体"/>
        <w:sz w:val="21"/>
        <w:szCs w:val="21"/>
        <w:lang w:val="zh-CN"/>
      </w:rPr>
      <mc:AlternateContent>
        <mc:Choice Requires="wps">
          <w:drawing>
            <wp:anchor distT="0" distB="0" distL="114300" distR="114300" simplePos="0" relativeHeight="251661312" behindDoc="0" locked="0" layoutInCell="1" allowOverlap="1">
              <wp:simplePos x="0" y="0"/>
              <wp:positionH relativeFrom="column">
                <wp:posOffset>-8255</wp:posOffset>
              </wp:positionH>
              <wp:positionV relativeFrom="paragraph">
                <wp:posOffset>240665</wp:posOffset>
              </wp:positionV>
              <wp:extent cx="5264150" cy="635"/>
              <wp:effectExtent l="0" t="28575" r="12700" b="46990"/>
              <wp:wrapNone/>
              <wp:docPr id="2" name="直接连接符 2"/>
              <wp:cNvGraphicFramePr/>
              <a:graphic xmlns:a="http://schemas.openxmlformats.org/drawingml/2006/main">
                <a:graphicData uri="http://schemas.microsoft.com/office/word/2010/wordprocessingShape">
                  <wps:wsp>
                    <wps:cNvCnPr/>
                    <wps:spPr>
                      <a:xfrm flipV="1">
                        <a:off x="0" y="0"/>
                        <a:ext cx="5264150" cy="635"/>
                      </a:xfrm>
                      <a:prstGeom prst="line">
                        <a:avLst/>
                      </a:prstGeom>
                      <a:ln w="57150" cap="flat" cmpd="thinThick">
                        <a:solidFill>
                          <a:srgbClr val="800080"/>
                        </a:solidFill>
                        <a:prstDash val="solid"/>
                        <a:headEnd type="none" w="med" len="med"/>
                        <a:tailEnd type="none" w="med" len="med"/>
                      </a:ln>
                    </wps:spPr>
                    <wps:bodyPr/>
                  </wps:wsp>
                </a:graphicData>
              </a:graphic>
            </wp:anchor>
          </w:drawing>
        </mc:Choice>
        <mc:Fallback>
          <w:pict>
            <v:line id="_x0000_s1026" o:spid="_x0000_s1026" o:spt="20" style="position:absolute;left:0pt;flip:y;margin-left:-0.65pt;margin-top:18.95pt;height:0.05pt;width:414.5pt;z-index:251661312;mso-width-relative:page;mso-height-relative:page;" filled="f" stroked="t" coordsize="21600,21600" o:gfxdata="UEsDBAoAAAAAAIdO4kAAAAAAAAAAAAAAAAAEAAAAZHJzL1BLAwQUAAAACACHTuJA6uSP59gAAAAI&#10;AQAADwAAAGRycy9kb3ducmV2LnhtbE2PwU7DMBBE70j8g7VIXFBrp5WakMbpAQluVUXoB2xiN4lq&#10;r9PYSVu+HnOC4+yMZt4Wu5s1bNaj7x1JSJYCmKbGqZ5aCcev90UGzAckhcaRlnDXHnbl40OBuXJX&#10;+tRzFVoWS8jnKKELYcg5902nLfqlGzRF7+RGiyHKseVqxGsst4avhNhwiz3FhQ4H/dbp5lxNVsJ0&#10;rF/wozLebb4vl8P+NN+n/UHK56dEbIEFfQt/YfjFj+hQRqbaTaQ8MxIWyTomJazTV2DRz1ZpCqyO&#10;h0wALwv+/4HyB1BLAwQUAAAACACHTuJAvITTzfsBAADrAwAADgAAAGRycy9lMm9Eb2MueG1srVO9&#10;jhMxEO6ReAfLPdlNICFaZXPFhaNBEInj+ol/shb+k+3LJi/BCyDRQUVJz9twPAZjby7A0aSgseyZ&#10;8Tfzff68uNgbTXYiROVsS8ejmhJhmePKblv67vrqyZySmMBy0M6Klh5EpBfLx48WvW/ExHVOcxEI&#10;gtjY9L6lXUq+qarIOmEgjpwXFpPSBQMJj2Fb8QA9ohtdTep6VvUucB8cEzFidDUk6RExnAPopFRM&#10;rBy7NcKmATUIDQkpxU75SJdlWikFS2+kjCIR3VJkmsqKTXC/yWu1XECzDeA7xY4jwDkjPOBkQFls&#10;eoJaQQJyG9Q/UEax4KKTacScqQYiRRFkMa4faPO2Ay8KF5Q6+pPo8f/Bste7dSCKt3RCiQWDD373&#10;8duPD59/fv+E693XL2SSRep9bLD20q7D8RT9OmTGexkMkVr5G3RT0QBZkX2R+HCSWOwTYRicTmbP&#10;xlNUn2Fu9nSasasBJIP5ENNL4QzJm5ZqZTN/aGD3Kqah9L4kh7UlPWI+HxAB3SjRBQhuPDJKnbLX&#10;+K7vC0R0WvErpXW+GMN2c6kD2QH6Yl7X9bxYASf5qyz3WkHshrqSGhzTCeAvLCfp4FExix+F5kmM&#10;4JRogf8q73BeaBIofU4lttYWtchCD9Lm3cbxQ1G8xNEDRa2jX7PJ/jyX27//6PI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6uSP59gAAAAIAQAADwAAAAAAAAABACAAAAAiAAAAZHJzL2Rvd25yZXYu&#10;eG1sUEsBAhQAFAAAAAgAh07iQLyE0837AQAA6wMAAA4AAAAAAAAAAQAgAAAAJwEAAGRycy9lMm9E&#10;b2MueG1sUEsFBgAAAAAGAAYAWQEAAJQFAAAAAA==&#10;">
              <v:fill on="f" focussize="0,0"/>
              <v:stroke weight="4.5pt" color="#800080" linestyle="thinThick" joinstyle="round"/>
              <v:imagedata o:title=""/>
              <o:lock v:ext="edit" aspectratio="f"/>
            </v:line>
          </w:pict>
        </mc:Fallback>
      </mc:AlternateContent>
    </w:r>
    <w:r>
      <w:rPr>
        <w:rFonts w:hint="eastAsia" w:ascii="宋体" w:hAnsi="宋体" w:cs="宋体"/>
        <w:sz w:val="21"/>
        <w:szCs w:val="21"/>
      </w:rPr>
      <w:t>平顶山市南水北调工程运行保障中心南水北调中线河南段防洪影响处理工程（平顶山）用地手续组卷报批            竞争性磋商文件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C8FC3">
    <w:pPr>
      <w:pStyle w:val="10"/>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49078">
    <w:pPr>
      <w:pStyle w:val="10"/>
      <w:rPr>
        <w:rStyle w:val="5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2F045">
    <w:pPr>
      <w:pStyle w:val="1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D4C3FC"/>
    <w:multiLevelType w:val="singleLevel"/>
    <w:tmpl w:val="8FD4C3FC"/>
    <w:lvl w:ilvl="0" w:tentative="0">
      <w:start w:val="9"/>
      <w:numFmt w:val="chineseCounting"/>
      <w:suff w:val="nothing"/>
      <w:lvlText w:val="%1、"/>
      <w:lvlJc w:val="left"/>
      <w:rPr>
        <w:rFonts w:hint="eastAsia"/>
      </w:rPr>
    </w:lvl>
  </w:abstractNum>
  <w:abstractNum w:abstractNumId="1">
    <w:nsid w:val="0A58D7D8"/>
    <w:multiLevelType w:val="singleLevel"/>
    <w:tmpl w:val="0A58D7D8"/>
    <w:lvl w:ilvl="0" w:tentative="0">
      <w:start w:val="1"/>
      <w:numFmt w:val="decimal"/>
      <w:suff w:val="nothing"/>
      <w:lvlText w:val="%1．"/>
      <w:lvlJc w:val="left"/>
    </w:lvl>
  </w:abstractNum>
  <w:abstractNum w:abstractNumId="2">
    <w:nsid w:val="2B7E2DA0"/>
    <w:multiLevelType w:val="singleLevel"/>
    <w:tmpl w:val="2B7E2DA0"/>
    <w:lvl w:ilvl="0" w:tentative="0">
      <w:start w:val="1"/>
      <w:numFmt w:val="decimal"/>
      <w:suff w:val="nothing"/>
      <w:lvlText w:val="%1、"/>
      <w:lvlJc w:val="left"/>
    </w:lvl>
  </w:abstractNum>
  <w:abstractNum w:abstractNumId="3">
    <w:nsid w:val="55C86112"/>
    <w:multiLevelType w:val="singleLevel"/>
    <w:tmpl w:val="55C86112"/>
    <w:lvl w:ilvl="0" w:tentative="0">
      <w:start w:val="1"/>
      <w:numFmt w:val="chineseCounting"/>
      <w:suff w:val="nothing"/>
      <w:lvlText w:val="%1、"/>
      <w:lvlJc w:val="left"/>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oNotUseMarginsForDrawingGridOrigin w:val="1"/>
  <w:drawingGridHorizontalOrigin w:val="1800"/>
  <w:drawingGridVerticalOrigin w:val="1440"/>
  <w:noPunctuationKerning w:val="1"/>
  <w:characterSpacingControl w:val="doNotCompress"/>
  <w:compat>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QyMWUyNDQ4NjBjZGJjNDczNzgzODNiY2RjZjNhMDMifQ=="/>
  </w:docVars>
  <w:rsids>
    <w:rsidRoot w:val="00C56B0B"/>
    <w:rsid w:val="000001B9"/>
    <w:rsid w:val="000052A8"/>
    <w:rsid w:val="000208C6"/>
    <w:rsid w:val="00021898"/>
    <w:rsid w:val="00024D3C"/>
    <w:rsid w:val="00047194"/>
    <w:rsid w:val="0005432F"/>
    <w:rsid w:val="0006532E"/>
    <w:rsid w:val="00072D5A"/>
    <w:rsid w:val="00090F10"/>
    <w:rsid w:val="0009137B"/>
    <w:rsid w:val="00093A04"/>
    <w:rsid w:val="000A0DAA"/>
    <w:rsid w:val="000B6CDB"/>
    <w:rsid w:val="000B7D59"/>
    <w:rsid w:val="000D7208"/>
    <w:rsid w:val="00131D0F"/>
    <w:rsid w:val="0018496F"/>
    <w:rsid w:val="00193EBD"/>
    <w:rsid w:val="001B2845"/>
    <w:rsid w:val="001C1236"/>
    <w:rsid w:val="001C1F7D"/>
    <w:rsid w:val="001D2779"/>
    <w:rsid w:val="001D4245"/>
    <w:rsid w:val="00205F3F"/>
    <w:rsid w:val="002136E3"/>
    <w:rsid w:val="00221C16"/>
    <w:rsid w:val="00237A6E"/>
    <w:rsid w:val="00246B03"/>
    <w:rsid w:val="00254D29"/>
    <w:rsid w:val="00257989"/>
    <w:rsid w:val="00292BDC"/>
    <w:rsid w:val="002B4532"/>
    <w:rsid w:val="002B64AB"/>
    <w:rsid w:val="002D4C68"/>
    <w:rsid w:val="002E280C"/>
    <w:rsid w:val="00327F5D"/>
    <w:rsid w:val="00333CFC"/>
    <w:rsid w:val="00335E8D"/>
    <w:rsid w:val="003542EB"/>
    <w:rsid w:val="00362CC8"/>
    <w:rsid w:val="003639D3"/>
    <w:rsid w:val="00380DEA"/>
    <w:rsid w:val="003858FF"/>
    <w:rsid w:val="003C182A"/>
    <w:rsid w:val="003D6069"/>
    <w:rsid w:val="00421A69"/>
    <w:rsid w:val="0043408C"/>
    <w:rsid w:val="00436A8E"/>
    <w:rsid w:val="00450E00"/>
    <w:rsid w:val="004576E9"/>
    <w:rsid w:val="00462831"/>
    <w:rsid w:val="00462BB4"/>
    <w:rsid w:val="004664D8"/>
    <w:rsid w:val="0046693A"/>
    <w:rsid w:val="00466FF1"/>
    <w:rsid w:val="00476E84"/>
    <w:rsid w:val="00494F1A"/>
    <w:rsid w:val="004954E9"/>
    <w:rsid w:val="00495C34"/>
    <w:rsid w:val="004A6D50"/>
    <w:rsid w:val="004B41C6"/>
    <w:rsid w:val="004C676A"/>
    <w:rsid w:val="00501EE6"/>
    <w:rsid w:val="00503650"/>
    <w:rsid w:val="00514502"/>
    <w:rsid w:val="0053222A"/>
    <w:rsid w:val="005370CE"/>
    <w:rsid w:val="005460A1"/>
    <w:rsid w:val="005509E6"/>
    <w:rsid w:val="00566B06"/>
    <w:rsid w:val="00584C82"/>
    <w:rsid w:val="005D251B"/>
    <w:rsid w:val="005E545C"/>
    <w:rsid w:val="005E7B1A"/>
    <w:rsid w:val="005F23A5"/>
    <w:rsid w:val="00600454"/>
    <w:rsid w:val="006072CE"/>
    <w:rsid w:val="00621077"/>
    <w:rsid w:val="006237E6"/>
    <w:rsid w:val="0063269D"/>
    <w:rsid w:val="00650735"/>
    <w:rsid w:val="00676625"/>
    <w:rsid w:val="006836D3"/>
    <w:rsid w:val="006850F6"/>
    <w:rsid w:val="00697D21"/>
    <w:rsid w:val="006B63DC"/>
    <w:rsid w:val="006C5D40"/>
    <w:rsid w:val="006D207C"/>
    <w:rsid w:val="006D3A01"/>
    <w:rsid w:val="006D56E9"/>
    <w:rsid w:val="006E569A"/>
    <w:rsid w:val="006F6351"/>
    <w:rsid w:val="007166D0"/>
    <w:rsid w:val="00720C7C"/>
    <w:rsid w:val="00725A0E"/>
    <w:rsid w:val="00727C5A"/>
    <w:rsid w:val="00731A68"/>
    <w:rsid w:val="00740650"/>
    <w:rsid w:val="0076779B"/>
    <w:rsid w:val="0077547F"/>
    <w:rsid w:val="0078227A"/>
    <w:rsid w:val="007837DF"/>
    <w:rsid w:val="007947A9"/>
    <w:rsid w:val="007A108D"/>
    <w:rsid w:val="007B075C"/>
    <w:rsid w:val="007B15C5"/>
    <w:rsid w:val="007E2602"/>
    <w:rsid w:val="007F77D0"/>
    <w:rsid w:val="00804E67"/>
    <w:rsid w:val="0081134F"/>
    <w:rsid w:val="00825055"/>
    <w:rsid w:val="00831B8E"/>
    <w:rsid w:val="00836F15"/>
    <w:rsid w:val="00841C6E"/>
    <w:rsid w:val="00854697"/>
    <w:rsid w:val="00857D53"/>
    <w:rsid w:val="00873EDC"/>
    <w:rsid w:val="00893ABC"/>
    <w:rsid w:val="008A3619"/>
    <w:rsid w:val="008B76FF"/>
    <w:rsid w:val="008C2073"/>
    <w:rsid w:val="008E15E0"/>
    <w:rsid w:val="008E4560"/>
    <w:rsid w:val="008F2AC9"/>
    <w:rsid w:val="00906B24"/>
    <w:rsid w:val="00915EC3"/>
    <w:rsid w:val="00922153"/>
    <w:rsid w:val="00923448"/>
    <w:rsid w:val="00927A28"/>
    <w:rsid w:val="00932A45"/>
    <w:rsid w:val="00936C79"/>
    <w:rsid w:val="009407DE"/>
    <w:rsid w:val="00951FEE"/>
    <w:rsid w:val="00953BFC"/>
    <w:rsid w:val="00975B11"/>
    <w:rsid w:val="00994BDA"/>
    <w:rsid w:val="00995C09"/>
    <w:rsid w:val="009B2E22"/>
    <w:rsid w:val="009B5879"/>
    <w:rsid w:val="009D5F31"/>
    <w:rsid w:val="009E4663"/>
    <w:rsid w:val="009E6B4B"/>
    <w:rsid w:val="00A0574E"/>
    <w:rsid w:val="00A062EF"/>
    <w:rsid w:val="00A12FC9"/>
    <w:rsid w:val="00A30ED9"/>
    <w:rsid w:val="00A3342C"/>
    <w:rsid w:val="00A37FFE"/>
    <w:rsid w:val="00A442CD"/>
    <w:rsid w:val="00A566D5"/>
    <w:rsid w:val="00A701C8"/>
    <w:rsid w:val="00A73ED9"/>
    <w:rsid w:val="00A753DA"/>
    <w:rsid w:val="00A92D81"/>
    <w:rsid w:val="00A97142"/>
    <w:rsid w:val="00AA4DCB"/>
    <w:rsid w:val="00AA6A1B"/>
    <w:rsid w:val="00AB08B4"/>
    <w:rsid w:val="00AC05E5"/>
    <w:rsid w:val="00AC7EA4"/>
    <w:rsid w:val="00AC7FA3"/>
    <w:rsid w:val="00AE5325"/>
    <w:rsid w:val="00B3384D"/>
    <w:rsid w:val="00B43378"/>
    <w:rsid w:val="00B67912"/>
    <w:rsid w:val="00BA249D"/>
    <w:rsid w:val="00BE7FBE"/>
    <w:rsid w:val="00BF2723"/>
    <w:rsid w:val="00BF5403"/>
    <w:rsid w:val="00C02685"/>
    <w:rsid w:val="00C12DE3"/>
    <w:rsid w:val="00C170F5"/>
    <w:rsid w:val="00C176A1"/>
    <w:rsid w:val="00C27927"/>
    <w:rsid w:val="00C331BD"/>
    <w:rsid w:val="00C42EB2"/>
    <w:rsid w:val="00C46BCD"/>
    <w:rsid w:val="00C5455D"/>
    <w:rsid w:val="00C5487C"/>
    <w:rsid w:val="00C56B0B"/>
    <w:rsid w:val="00C6083F"/>
    <w:rsid w:val="00C60F2A"/>
    <w:rsid w:val="00C839A6"/>
    <w:rsid w:val="00CC5027"/>
    <w:rsid w:val="00CD66A3"/>
    <w:rsid w:val="00CE46BB"/>
    <w:rsid w:val="00D3129E"/>
    <w:rsid w:val="00D32935"/>
    <w:rsid w:val="00D47AE9"/>
    <w:rsid w:val="00D53BF3"/>
    <w:rsid w:val="00D54C83"/>
    <w:rsid w:val="00D733E8"/>
    <w:rsid w:val="00D9743C"/>
    <w:rsid w:val="00DA0100"/>
    <w:rsid w:val="00DA525B"/>
    <w:rsid w:val="00DC2873"/>
    <w:rsid w:val="00DC5D2A"/>
    <w:rsid w:val="00DD4E1A"/>
    <w:rsid w:val="00DD6C14"/>
    <w:rsid w:val="00DE287E"/>
    <w:rsid w:val="00DE75B0"/>
    <w:rsid w:val="00E0291B"/>
    <w:rsid w:val="00E10991"/>
    <w:rsid w:val="00E15126"/>
    <w:rsid w:val="00E15B5A"/>
    <w:rsid w:val="00E5596C"/>
    <w:rsid w:val="00E60DC7"/>
    <w:rsid w:val="00E75575"/>
    <w:rsid w:val="00E77234"/>
    <w:rsid w:val="00E820B1"/>
    <w:rsid w:val="00E85F40"/>
    <w:rsid w:val="00EA5B57"/>
    <w:rsid w:val="00EC0489"/>
    <w:rsid w:val="00EC6591"/>
    <w:rsid w:val="00EC7CA6"/>
    <w:rsid w:val="00EE3D87"/>
    <w:rsid w:val="00EF15C6"/>
    <w:rsid w:val="00EF1A17"/>
    <w:rsid w:val="00EF3EA7"/>
    <w:rsid w:val="00F04335"/>
    <w:rsid w:val="00F12491"/>
    <w:rsid w:val="00F22FCC"/>
    <w:rsid w:val="00F2553E"/>
    <w:rsid w:val="00F43C94"/>
    <w:rsid w:val="00F520BF"/>
    <w:rsid w:val="00F716C5"/>
    <w:rsid w:val="00F8143B"/>
    <w:rsid w:val="00FC0112"/>
    <w:rsid w:val="00FC1574"/>
    <w:rsid w:val="01001B5E"/>
    <w:rsid w:val="0102173A"/>
    <w:rsid w:val="01051580"/>
    <w:rsid w:val="01070DAF"/>
    <w:rsid w:val="01161381"/>
    <w:rsid w:val="01410E2F"/>
    <w:rsid w:val="01767417"/>
    <w:rsid w:val="01A13512"/>
    <w:rsid w:val="01AA1571"/>
    <w:rsid w:val="01AF53B7"/>
    <w:rsid w:val="01CD6C0F"/>
    <w:rsid w:val="022356B1"/>
    <w:rsid w:val="023B6939"/>
    <w:rsid w:val="0247179D"/>
    <w:rsid w:val="026D327B"/>
    <w:rsid w:val="02922C89"/>
    <w:rsid w:val="02987B74"/>
    <w:rsid w:val="029E7165"/>
    <w:rsid w:val="02AF52B6"/>
    <w:rsid w:val="02BB150A"/>
    <w:rsid w:val="02E96621"/>
    <w:rsid w:val="02F11CF9"/>
    <w:rsid w:val="02F84563"/>
    <w:rsid w:val="030A1FC4"/>
    <w:rsid w:val="03127926"/>
    <w:rsid w:val="0317343D"/>
    <w:rsid w:val="03373831"/>
    <w:rsid w:val="03447DA5"/>
    <w:rsid w:val="03580D6C"/>
    <w:rsid w:val="03653EFA"/>
    <w:rsid w:val="037800D1"/>
    <w:rsid w:val="038A7E04"/>
    <w:rsid w:val="038B3334"/>
    <w:rsid w:val="039170F4"/>
    <w:rsid w:val="039A127A"/>
    <w:rsid w:val="039F2BD8"/>
    <w:rsid w:val="03AF3779"/>
    <w:rsid w:val="03B1713F"/>
    <w:rsid w:val="03D4649F"/>
    <w:rsid w:val="03DB3E2F"/>
    <w:rsid w:val="03E05C76"/>
    <w:rsid w:val="03EC7ADB"/>
    <w:rsid w:val="0410030A"/>
    <w:rsid w:val="041B12E7"/>
    <w:rsid w:val="042F4230"/>
    <w:rsid w:val="043062BF"/>
    <w:rsid w:val="0443587C"/>
    <w:rsid w:val="04532D85"/>
    <w:rsid w:val="04773CE9"/>
    <w:rsid w:val="049C7DEF"/>
    <w:rsid w:val="04A9250C"/>
    <w:rsid w:val="04C465CF"/>
    <w:rsid w:val="04C70D83"/>
    <w:rsid w:val="04E35A1E"/>
    <w:rsid w:val="04EA0D61"/>
    <w:rsid w:val="04FB2CFC"/>
    <w:rsid w:val="05341397"/>
    <w:rsid w:val="053B7711"/>
    <w:rsid w:val="05461B09"/>
    <w:rsid w:val="05502988"/>
    <w:rsid w:val="056703FD"/>
    <w:rsid w:val="05790236"/>
    <w:rsid w:val="05796ED0"/>
    <w:rsid w:val="05A122D2"/>
    <w:rsid w:val="05C375FE"/>
    <w:rsid w:val="05D01395"/>
    <w:rsid w:val="05D022F6"/>
    <w:rsid w:val="05E170CA"/>
    <w:rsid w:val="060158DB"/>
    <w:rsid w:val="061D337E"/>
    <w:rsid w:val="06367DD0"/>
    <w:rsid w:val="063858F6"/>
    <w:rsid w:val="0641641E"/>
    <w:rsid w:val="06520544"/>
    <w:rsid w:val="065D35AE"/>
    <w:rsid w:val="06710E08"/>
    <w:rsid w:val="067F7144"/>
    <w:rsid w:val="068648B3"/>
    <w:rsid w:val="069D7E4F"/>
    <w:rsid w:val="06BD73A5"/>
    <w:rsid w:val="06F15928"/>
    <w:rsid w:val="06F64A1B"/>
    <w:rsid w:val="07051E5D"/>
    <w:rsid w:val="07067E76"/>
    <w:rsid w:val="0708176C"/>
    <w:rsid w:val="0747038E"/>
    <w:rsid w:val="075E138C"/>
    <w:rsid w:val="0768045D"/>
    <w:rsid w:val="077741FC"/>
    <w:rsid w:val="07A9025E"/>
    <w:rsid w:val="07B146E8"/>
    <w:rsid w:val="07BD37F5"/>
    <w:rsid w:val="07C75183"/>
    <w:rsid w:val="07CA07D7"/>
    <w:rsid w:val="07DB7DA9"/>
    <w:rsid w:val="07E64E03"/>
    <w:rsid w:val="07EB18DA"/>
    <w:rsid w:val="08123F24"/>
    <w:rsid w:val="08172AB4"/>
    <w:rsid w:val="082F2D28"/>
    <w:rsid w:val="08356208"/>
    <w:rsid w:val="08363508"/>
    <w:rsid w:val="08381BDD"/>
    <w:rsid w:val="085409E1"/>
    <w:rsid w:val="085602B5"/>
    <w:rsid w:val="088210AA"/>
    <w:rsid w:val="08943269"/>
    <w:rsid w:val="08A75AA7"/>
    <w:rsid w:val="08B33959"/>
    <w:rsid w:val="08DA7138"/>
    <w:rsid w:val="08DD4532"/>
    <w:rsid w:val="08F16230"/>
    <w:rsid w:val="08FF26FB"/>
    <w:rsid w:val="09173EE8"/>
    <w:rsid w:val="091F29AE"/>
    <w:rsid w:val="093548F6"/>
    <w:rsid w:val="09473996"/>
    <w:rsid w:val="09507470"/>
    <w:rsid w:val="09534F7D"/>
    <w:rsid w:val="095F034E"/>
    <w:rsid w:val="096133B5"/>
    <w:rsid w:val="09751936"/>
    <w:rsid w:val="09782142"/>
    <w:rsid w:val="0983157E"/>
    <w:rsid w:val="09832281"/>
    <w:rsid w:val="09926ADE"/>
    <w:rsid w:val="09961B4D"/>
    <w:rsid w:val="09D17088"/>
    <w:rsid w:val="09DD62D9"/>
    <w:rsid w:val="09DE605C"/>
    <w:rsid w:val="09E236E2"/>
    <w:rsid w:val="09E30EA7"/>
    <w:rsid w:val="09F96843"/>
    <w:rsid w:val="09FD7F5E"/>
    <w:rsid w:val="0A0C1F4E"/>
    <w:rsid w:val="0A202D6A"/>
    <w:rsid w:val="0A4707FD"/>
    <w:rsid w:val="0A742C74"/>
    <w:rsid w:val="0A7D0316"/>
    <w:rsid w:val="0A8455AD"/>
    <w:rsid w:val="0A88375A"/>
    <w:rsid w:val="0A8B7EEA"/>
    <w:rsid w:val="0A8C3FD1"/>
    <w:rsid w:val="0AA07F0D"/>
    <w:rsid w:val="0AAA0F3B"/>
    <w:rsid w:val="0ABC77C9"/>
    <w:rsid w:val="0AC717FC"/>
    <w:rsid w:val="0AD1695A"/>
    <w:rsid w:val="0ADD6FD8"/>
    <w:rsid w:val="0AE2386A"/>
    <w:rsid w:val="0AEE07C8"/>
    <w:rsid w:val="0AF81AF7"/>
    <w:rsid w:val="0B0D3833"/>
    <w:rsid w:val="0B145A0F"/>
    <w:rsid w:val="0B3514F3"/>
    <w:rsid w:val="0B3568A8"/>
    <w:rsid w:val="0B3A2110"/>
    <w:rsid w:val="0B4E1640"/>
    <w:rsid w:val="0B7B7615"/>
    <w:rsid w:val="0B8B471A"/>
    <w:rsid w:val="0BA457DB"/>
    <w:rsid w:val="0BB974D9"/>
    <w:rsid w:val="0BF50D0F"/>
    <w:rsid w:val="0BF93DC2"/>
    <w:rsid w:val="0C152235"/>
    <w:rsid w:val="0C1A5FD4"/>
    <w:rsid w:val="0C2C7CAB"/>
    <w:rsid w:val="0C4D5E73"/>
    <w:rsid w:val="0C4E23EE"/>
    <w:rsid w:val="0C565493"/>
    <w:rsid w:val="0C6A2581"/>
    <w:rsid w:val="0C6B22D3"/>
    <w:rsid w:val="0C937D2A"/>
    <w:rsid w:val="0C963376"/>
    <w:rsid w:val="0CB34126"/>
    <w:rsid w:val="0CB94AAB"/>
    <w:rsid w:val="0CD41483"/>
    <w:rsid w:val="0CDC4D59"/>
    <w:rsid w:val="0CDF20AB"/>
    <w:rsid w:val="0CE032CB"/>
    <w:rsid w:val="0CE95B9C"/>
    <w:rsid w:val="0D0C6270"/>
    <w:rsid w:val="0D255744"/>
    <w:rsid w:val="0D5B3087"/>
    <w:rsid w:val="0D5D758D"/>
    <w:rsid w:val="0D657115"/>
    <w:rsid w:val="0D7033CF"/>
    <w:rsid w:val="0D703BC7"/>
    <w:rsid w:val="0D814026"/>
    <w:rsid w:val="0D85580F"/>
    <w:rsid w:val="0D881FEC"/>
    <w:rsid w:val="0DDD102E"/>
    <w:rsid w:val="0DDD6A62"/>
    <w:rsid w:val="0DDF2AFB"/>
    <w:rsid w:val="0E1B7FD7"/>
    <w:rsid w:val="0E200E1F"/>
    <w:rsid w:val="0E203577"/>
    <w:rsid w:val="0E344BF5"/>
    <w:rsid w:val="0E4806A0"/>
    <w:rsid w:val="0E5F4D19"/>
    <w:rsid w:val="0E9E30FE"/>
    <w:rsid w:val="0EA738D3"/>
    <w:rsid w:val="0EB257D1"/>
    <w:rsid w:val="0ED331AF"/>
    <w:rsid w:val="0ED5423F"/>
    <w:rsid w:val="0ED65CAC"/>
    <w:rsid w:val="0ED67644"/>
    <w:rsid w:val="0EF80318"/>
    <w:rsid w:val="0F0D771A"/>
    <w:rsid w:val="0F11268E"/>
    <w:rsid w:val="0F1F58A5"/>
    <w:rsid w:val="0F221D3F"/>
    <w:rsid w:val="0F2A5FF8"/>
    <w:rsid w:val="0F2C331B"/>
    <w:rsid w:val="0F36630C"/>
    <w:rsid w:val="0F7C2CF7"/>
    <w:rsid w:val="0F7C7C88"/>
    <w:rsid w:val="0FA439F4"/>
    <w:rsid w:val="0FC5269C"/>
    <w:rsid w:val="0FC53528"/>
    <w:rsid w:val="0FCC2BF8"/>
    <w:rsid w:val="0FD2596D"/>
    <w:rsid w:val="0FD541B5"/>
    <w:rsid w:val="0FF42F7C"/>
    <w:rsid w:val="1020103F"/>
    <w:rsid w:val="1034712E"/>
    <w:rsid w:val="10352EA6"/>
    <w:rsid w:val="1058746E"/>
    <w:rsid w:val="10614AC3"/>
    <w:rsid w:val="10696DDC"/>
    <w:rsid w:val="106F63B8"/>
    <w:rsid w:val="10727C56"/>
    <w:rsid w:val="107734BE"/>
    <w:rsid w:val="1098291A"/>
    <w:rsid w:val="10AC760C"/>
    <w:rsid w:val="10B44971"/>
    <w:rsid w:val="10C04999"/>
    <w:rsid w:val="10D765E7"/>
    <w:rsid w:val="10EB7CDD"/>
    <w:rsid w:val="10F160F5"/>
    <w:rsid w:val="11376993"/>
    <w:rsid w:val="114836F8"/>
    <w:rsid w:val="11697F94"/>
    <w:rsid w:val="11766E95"/>
    <w:rsid w:val="117A290E"/>
    <w:rsid w:val="11A65EF9"/>
    <w:rsid w:val="11B87827"/>
    <w:rsid w:val="11DA2BCF"/>
    <w:rsid w:val="11E132E5"/>
    <w:rsid w:val="122E5D3C"/>
    <w:rsid w:val="1230067E"/>
    <w:rsid w:val="123D6042"/>
    <w:rsid w:val="12591F6D"/>
    <w:rsid w:val="125C719F"/>
    <w:rsid w:val="12842AFC"/>
    <w:rsid w:val="128458B6"/>
    <w:rsid w:val="12974A5E"/>
    <w:rsid w:val="129F6BB0"/>
    <w:rsid w:val="12CA1FCB"/>
    <w:rsid w:val="12D41F2A"/>
    <w:rsid w:val="12FA77C3"/>
    <w:rsid w:val="12FE7EC7"/>
    <w:rsid w:val="13060188"/>
    <w:rsid w:val="13163DDE"/>
    <w:rsid w:val="131E4564"/>
    <w:rsid w:val="13214F33"/>
    <w:rsid w:val="132629DA"/>
    <w:rsid w:val="13350A62"/>
    <w:rsid w:val="13394A5B"/>
    <w:rsid w:val="133C1126"/>
    <w:rsid w:val="13441D7E"/>
    <w:rsid w:val="13737F6D"/>
    <w:rsid w:val="13861656"/>
    <w:rsid w:val="139D2702"/>
    <w:rsid w:val="13A740DC"/>
    <w:rsid w:val="13AA18ED"/>
    <w:rsid w:val="13BA4B3F"/>
    <w:rsid w:val="13C530B3"/>
    <w:rsid w:val="13C724CC"/>
    <w:rsid w:val="13CB5D21"/>
    <w:rsid w:val="13D71DC6"/>
    <w:rsid w:val="13FF09B7"/>
    <w:rsid w:val="143811B7"/>
    <w:rsid w:val="14447B5C"/>
    <w:rsid w:val="14BF01D2"/>
    <w:rsid w:val="1519307B"/>
    <w:rsid w:val="153406E8"/>
    <w:rsid w:val="154F35C2"/>
    <w:rsid w:val="158C2B6D"/>
    <w:rsid w:val="1594241D"/>
    <w:rsid w:val="1598015F"/>
    <w:rsid w:val="15A27D51"/>
    <w:rsid w:val="15AA7E92"/>
    <w:rsid w:val="15B666A0"/>
    <w:rsid w:val="15C165E2"/>
    <w:rsid w:val="15CD58CE"/>
    <w:rsid w:val="15D87981"/>
    <w:rsid w:val="15DD70BD"/>
    <w:rsid w:val="15E035E2"/>
    <w:rsid w:val="15E105E8"/>
    <w:rsid w:val="15E10B13"/>
    <w:rsid w:val="15FA54EF"/>
    <w:rsid w:val="16077093"/>
    <w:rsid w:val="16104199"/>
    <w:rsid w:val="16161345"/>
    <w:rsid w:val="16227EC2"/>
    <w:rsid w:val="166B5DAC"/>
    <w:rsid w:val="166C7839"/>
    <w:rsid w:val="167069E6"/>
    <w:rsid w:val="167F30CD"/>
    <w:rsid w:val="16900E36"/>
    <w:rsid w:val="16A11614"/>
    <w:rsid w:val="16BA4105"/>
    <w:rsid w:val="16C9314A"/>
    <w:rsid w:val="16CB7A76"/>
    <w:rsid w:val="16DC051F"/>
    <w:rsid w:val="16DE7DF3"/>
    <w:rsid w:val="16E6314C"/>
    <w:rsid w:val="16E83864"/>
    <w:rsid w:val="17003CBD"/>
    <w:rsid w:val="17070390"/>
    <w:rsid w:val="1714464B"/>
    <w:rsid w:val="171E4F1C"/>
    <w:rsid w:val="172E021F"/>
    <w:rsid w:val="173670EC"/>
    <w:rsid w:val="17430721"/>
    <w:rsid w:val="17546308"/>
    <w:rsid w:val="17553F47"/>
    <w:rsid w:val="175C1B45"/>
    <w:rsid w:val="175E0860"/>
    <w:rsid w:val="17780248"/>
    <w:rsid w:val="179A5BB4"/>
    <w:rsid w:val="17A4103D"/>
    <w:rsid w:val="17AB0450"/>
    <w:rsid w:val="17C4348D"/>
    <w:rsid w:val="17C83E76"/>
    <w:rsid w:val="17DB4A19"/>
    <w:rsid w:val="17EB083E"/>
    <w:rsid w:val="17F378CF"/>
    <w:rsid w:val="18056D01"/>
    <w:rsid w:val="181F5BF0"/>
    <w:rsid w:val="1833416F"/>
    <w:rsid w:val="18542E61"/>
    <w:rsid w:val="18573AD1"/>
    <w:rsid w:val="186B1DE4"/>
    <w:rsid w:val="18873274"/>
    <w:rsid w:val="18A4229E"/>
    <w:rsid w:val="18C474BD"/>
    <w:rsid w:val="18EF05CF"/>
    <w:rsid w:val="190E3705"/>
    <w:rsid w:val="19134EFC"/>
    <w:rsid w:val="191D4971"/>
    <w:rsid w:val="19250647"/>
    <w:rsid w:val="192561AE"/>
    <w:rsid w:val="192D5723"/>
    <w:rsid w:val="195E16BF"/>
    <w:rsid w:val="195E6FCA"/>
    <w:rsid w:val="197D0507"/>
    <w:rsid w:val="19AB44DF"/>
    <w:rsid w:val="19B60574"/>
    <w:rsid w:val="19C239FC"/>
    <w:rsid w:val="19DD160D"/>
    <w:rsid w:val="19F142E2"/>
    <w:rsid w:val="19F271E1"/>
    <w:rsid w:val="1A1A24C7"/>
    <w:rsid w:val="1A206975"/>
    <w:rsid w:val="1A44283E"/>
    <w:rsid w:val="1A452F3B"/>
    <w:rsid w:val="1A494C3B"/>
    <w:rsid w:val="1A5B79AD"/>
    <w:rsid w:val="1AA94BBC"/>
    <w:rsid w:val="1AB84DFF"/>
    <w:rsid w:val="1AD009D0"/>
    <w:rsid w:val="1ADD108A"/>
    <w:rsid w:val="1AEB6F83"/>
    <w:rsid w:val="1AEF6008"/>
    <w:rsid w:val="1AF305FE"/>
    <w:rsid w:val="1B157B5C"/>
    <w:rsid w:val="1B1A1616"/>
    <w:rsid w:val="1B231B41"/>
    <w:rsid w:val="1B332CC7"/>
    <w:rsid w:val="1B3A7F27"/>
    <w:rsid w:val="1B3D5397"/>
    <w:rsid w:val="1B410951"/>
    <w:rsid w:val="1B4A698D"/>
    <w:rsid w:val="1B5A7C65"/>
    <w:rsid w:val="1B5E6E4A"/>
    <w:rsid w:val="1B9118D8"/>
    <w:rsid w:val="1B974A15"/>
    <w:rsid w:val="1B985C9A"/>
    <w:rsid w:val="1B99078D"/>
    <w:rsid w:val="1B9A0DE0"/>
    <w:rsid w:val="1B9C41D1"/>
    <w:rsid w:val="1B9D1AC0"/>
    <w:rsid w:val="1B9F03B4"/>
    <w:rsid w:val="1BA212C8"/>
    <w:rsid w:val="1BB06883"/>
    <w:rsid w:val="1BC86542"/>
    <w:rsid w:val="1BE452F6"/>
    <w:rsid w:val="1C0F11F5"/>
    <w:rsid w:val="1C0F4EF3"/>
    <w:rsid w:val="1C474767"/>
    <w:rsid w:val="1C60574F"/>
    <w:rsid w:val="1C682FA0"/>
    <w:rsid w:val="1C6968E7"/>
    <w:rsid w:val="1C8C20A0"/>
    <w:rsid w:val="1C940F54"/>
    <w:rsid w:val="1C9A0C60"/>
    <w:rsid w:val="1CB243E2"/>
    <w:rsid w:val="1CC47A8B"/>
    <w:rsid w:val="1CF95EC2"/>
    <w:rsid w:val="1CFC7799"/>
    <w:rsid w:val="1D0241A5"/>
    <w:rsid w:val="1D091942"/>
    <w:rsid w:val="1D0E4770"/>
    <w:rsid w:val="1D1C08E6"/>
    <w:rsid w:val="1D1F1166"/>
    <w:rsid w:val="1D237194"/>
    <w:rsid w:val="1D33076D"/>
    <w:rsid w:val="1D3E084E"/>
    <w:rsid w:val="1D525097"/>
    <w:rsid w:val="1D620EFE"/>
    <w:rsid w:val="1D63403D"/>
    <w:rsid w:val="1D681A43"/>
    <w:rsid w:val="1D7B2840"/>
    <w:rsid w:val="1D7F1C04"/>
    <w:rsid w:val="1D813101"/>
    <w:rsid w:val="1D9B7467"/>
    <w:rsid w:val="1DAA4ED3"/>
    <w:rsid w:val="1DAA6C81"/>
    <w:rsid w:val="1DB04001"/>
    <w:rsid w:val="1DC85359"/>
    <w:rsid w:val="1E2E6541"/>
    <w:rsid w:val="1E470974"/>
    <w:rsid w:val="1E6A5E28"/>
    <w:rsid w:val="1E78301C"/>
    <w:rsid w:val="1E8E64A3"/>
    <w:rsid w:val="1E960FB4"/>
    <w:rsid w:val="1E964396"/>
    <w:rsid w:val="1E9B481C"/>
    <w:rsid w:val="1EA35C7E"/>
    <w:rsid w:val="1EC51899"/>
    <w:rsid w:val="1EDB10BC"/>
    <w:rsid w:val="1EE54151"/>
    <w:rsid w:val="1EE541A6"/>
    <w:rsid w:val="1EE629FB"/>
    <w:rsid w:val="1EE71D60"/>
    <w:rsid w:val="1EE91A2B"/>
    <w:rsid w:val="1EFF68CD"/>
    <w:rsid w:val="1F0D49CB"/>
    <w:rsid w:val="1F185E6D"/>
    <w:rsid w:val="1F1D16D5"/>
    <w:rsid w:val="1F376D86"/>
    <w:rsid w:val="1F380E7F"/>
    <w:rsid w:val="1F494278"/>
    <w:rsid w:val="1F5A193A"/>
    <w:rsid w:val="1F601FC1"/>
    <w:rsid w:val="1F711151"/>
    <w:rsid w:val="1F7D68B0"/>
    <w:rsid w:val="1F971487"/>
    <w:rsid w:val="1FCC518F"/>
    <w:rsid w:val="1FDF70F2"/>
    <w:rsid w:val="1FF70178"/>
    <w:rsid w:val="1FF83D99"/>
    <w:rsid w:val="1FFE5A83"/>
    <w:rsid w:val="20297200"/>
    <w:rsid w:val="2039632D"/>
    <w:rsid w:val="204A02A8"/>
    <w:rsid w:val="20615FBF"/>
    <w:rsid w:val="208E288A"/>
    <w:rsid w:val="20964C3C"/>
    <w:rsid w:val="20C51B6F"/>
    <w:rsid w:val="20C75D9C"/>
    <w:rsid w:val="20C8153E"/>
    <w:rsid w:val="20E71F9A"/>
    <w:rsid w:val="210E39CB"/>
    <w:rsid w:val="2122550F"/>
    <w:rsid w:val="212D1A39"/>
    <w:rsid w:val="21391E60"/>
    <w:rsid w:val="21472D9D"/>
    <w:rsid w:val="214B077B"/>
    <w:rsid w:val="216774B2"/>
    <w:rsid w:val="21861184"/>
    <w:rsid w:val="21A33A0A"/>
    <w:rsid w:val="21A659B2"/>
    <w:rsid w:val="21B800A4"/>
    <w:rsid w:val="21E50769"/>
    <w:rsid w:val="21E74C23"/>
    <w:rsid w:val="220B7F0B"/>
    <w:rsid w:val="22101FCA"/>
    <w:rsid w:val="223C421A"/>
    <w:rsid w:val="223C6316"/>
    <w:rsid w:val="225271FC"/>
    <w:rsid w:val="2257731E"/>
    <w:rsid w:val="226338A3"/>
    <w:rsid w:val="2290783A"/>
    <w:rsid w:val="22C95DFC"/>
    <w:rsid w:val="22F83FEB"/>
    <w:rsid w:val="22FC67B2"/>
    <w:rsid w:val="22FE5379"/>
    <w:rsid w:val="23033B66"/>
    <w:rsid w:val="231377CC"/>
    <w:rsid w:val="2369138D"/>
    <w:rsid w:val="236C3211"/>
    <w:rsid w:val="236C6B05"/>
    <w:rsid w:val="23757D31"/>
    <w:rsid w:val="23764185"/>
    <w:rsid w:val="239F4DAE"/>
    <w:rsid w:val="23A82B56"/>
    <w:rsid w:val="23C75886"/>
    <w:rsid w:val="24024E59"/>
    <w:rsid w:val="240C271D"/>
    <w:rsid w:val="24173548"/>
    <w:rsid w:val="244D2189"/>
    <w:rsid w:val="24612064"/>
    <w:rsid w:val="24B3118E"/>
    <w:rsid w:val="24B65F0C"/>
    <w:rsid w:val="24BE1D02"/>
    <w:rsid w:val="24C450DE"/>
    <w:rsid w:val="24C93D14"/>
    <w:rsid w:val="24D62BCA"/>
    <w:rsid w:val="24E41DDD"/>
    <w:rsid w:val="24EE1B49"/>
    <w:rsid w:val="25277CBA"/>
    <w:rsid w:val="25457290"/>
    <w:rsid w:val="25653F58"/>
    <w:rsid w:val="256B78EF"/>
    <w:rsid w:val="2589581E"/>
    <w:rsid w:val="25987569"/>
    <w:rsid w:val="259F7ADA"/>
    <w:rsid w:val="25AE4599"/>
    <w:rsid w:val="25B67D38"/>
    <w:rsid w:val="25BF34E6"/>
    <w:rsid w:val="25E44CFA"/>
    <w:rsid w:val="25EB6089"/>
    <w:rsid w:val="25EC4515"/>
    <w:rsid w:val="25EE1E6D"/>
    <w:rsid w:val="25FF1A96"/>
    <w:rsid w:val="26155346"/>
    <w:rsid w:val="261900D1"/>
    <w:rsid w:val="26325526"/>
    <w:rsid w:val="263A001B"/>
    <w:rsid w:val="263C2F25"/>
    <w:rsid w:val="26557F29"/>
    <w:rsid w:val="265F4130"/>
    <w:rsid w:val="26884680"/>
    <w:rsid w:val="268912D4"/>
    <w:rsid w:val="269404CF"/>
    <w:rsid w:val="269A360B"/>
    <w:rsid w:val="269C23B4"/>
    <w:rsid w:val="26A526DC"/>
    <w:rsid w:val="26AF29F3"/>
    <w:rsid w:val="26C50688"/>
    <w:rsid w:val="26C568DA"/>
    <w:rsid w:val="26CA2142"/>
    <w:rsid w:val="26CD45F3"/>
    <w:rsid w:val="26D134D1"/>
    <w:rsid w:val="26D958FD"/>
    <w:rsid w:val="26FC4863"/>
    <w:rsid w:val="26FD4E16"/>
    <w:rsid w:val="27003DB6"/>
    <w:rsid w:val="270A06EA"/>
    <w:rsid w:val="27201D62"/>
    <w:rsid w:val="272476D4"/>
    <w:rsid w:val="272E7452"/>
    <w:rsid w:val="27483067"/>
    <w:rsid w:val="275859A0"/>
    <w:rsid w:val="277349FE"/>
    <w:rsid w:val="277974F7"/>
    <w:rsid w:val="278047B0"/>
    <w:rsid w:val="27933D41"/>
    <w:rsid w:val="27A21AE5"/>
    <w:rsid w:val="27AD45D6"/>
    <w:rsid w:val="27BC13F2"/>
    <w:rsid w:val="27C172D8"/>
    <w:rsid w:val="27D72C66"/>
    <w:rsid w:val="27ED3892"/>
    <w:rsid w:val="27FF406E"/>
    <w:rsid w:val="282615FA"/>
    <w:rsid w:val="282910EA"/>
    <w:rsid w:val="28357EC9"/>
    <w:rsid w:val="283D6944"/>
    <w:rsid w:val="284D4DD9"/>
    <w:rsid w:val="287C121A"/>
    <w:rsid w:val="28821961"/>
    <w:rsid w:val="288E0F4E"/>
    <w:rsid w:val="289E3886"/>
    <w:rsid w:val="28CF05E8"/>
    <w:rsid w:val="28DB0637"/>
    <w:rsid w:val="28F13390"/>
    <w:rsid w:val="28FD53A9"/>
    <w:rsid w:val="29126EC4"/>
    <w:rsid w:val="29467817"/>
    <w:rsid w:val="29483920"/>
    <w:rsid w:val="29697D5F"/>
    <w:rsid w:val="29712D49"/>
    <w:rsid w:val="29866F20"/>
    <w:rsid w:val="2987431B"/>
    <w:rsid w:val="29A44ECD"/>
    <w:rsid w:val="29A63D6E"/>
    <w:rsid w:val="29B570DA"/>
    <w:rsid w:val="29C66851"/>
    <w:rsid w:val="29C70DEA"/>
    <w:rsid w:val="29CE094C"/>
    <w:rsid w:val="29D94B04"/>
    <w:rsid w:val="29F554B9"/>
    <w:rsid w:val="2A111E36"/>
    <w:rsid w:val="2A364FFF"/>
    <w:rsid w:val="2A4C3A10"/>
    <w:rsid w:val="2A561322"/>
    <w:rsid w:val="2A5E3DF4"/>
    <w:rsid w:val="2A6A2C93"/>
    <w:rsid w:val="2A6D1762"/>
    <w:rsid w:val="2A790107"/>
    <w:rsid w:val="2A8C5A13"/>
    <w:rsid w:val="2A944F41"/>
    <w:rsid w:val="2A9D36CA"/>
    <w:rsid w:val="2AA131BA"/>
    <w:rsid w:val="2AB465EA"/>
    <w:rsid w:val="2AC93ACD"/>
    <w:rsid w:val="2ACB6489"/>
    <w:rsid w:val="2ACD3B57"/>
    <w:rsid w:val="2AD91C3E"/>
    <w:rsid w:val="2B0D3BD9"/>
    <w:rsid w:val="2B1035B9"/>
    <w:rsid w:val="2B186C76"/>
    <w:rsid w:val="2B1A67F6"/>
    <w:rsid w:val="2B2B2D43"/>
    <w:rsid w:val="2B2D1560"/>
    <w:rsid w:val="2B30453E"/>
    <w:rsid w:val="2B5F26F9"/>
    <w:rsid w:val="2B661EE4"/>
    <w:rsid w:val="2B9810D6"/>
    <w:rsid w:val="2BA52D9D"/>
    <w:rsid w:val="2BA56CDA"/>
    <w:rsid w:val="2BA656B7"/>
    <w:rsid w:val="2BBC75B5"/>
    <w:rsid w:val="2BC41856"/>
    <w:rsid w:val="2BCE1D39"/>
    <w:rsid w:val="2BD30282"/>
    <w:rsid w:val="2C2F6B6E"/>
    <w:rsid w:val="2C300C99"/>
    <w:rsid w:val="2C33078A"/>
    <w:rsid w:val="2C3C4A15"/>
    <w:rsid w:val="2C472431"/>
    <w:rsid w:val="2C5B7434"/>
    <w:rsid w:val="2C6A1518"/>
    <w:rsid w:val="2C73502A"/>
    <w:rsid w:val="2C7768C8"/>
    <w:rsid w:val="2C863520"/>
    <w:rsid w:val="2C9A6F3E"/>
    <w:rsid w:val="2CA174A1"/>
    <w:rsid w:val="2CAC2C30"/>
    <w:rsid w:val="2CAF267A"/>
    <w:rsid w:val="2CBB6303"/>
    <w:rsid w:val="2CCD473A"/>
    <w:rsid w:val="2CCD533B"/>
    <w:rsid w:val="2CD07D87"/>
    <w:rsid w:val="2CDB518F"/>
    <w:rsid w:val="2CE175BF"/>
    <w:rsid w:val="2CFA7C72"/>
    <w:rsid w:val="2D1B54A6"/>
    <w:rsid w:val="2D595F45"/>
    <w:rsid w:val="2D656721"/>
    <w:rsid w:val="2D687FBF"/>
    <w:rsid w:val="2D9042F7"/>
    <w:rsid w:val="2D9F35F4"/>
    <w:rsid w:val="2DBB27BA"/>
    <w:rsid w:val="2DC838B3"/>
    <w:rsid w:val="2DD32EED"/>
    <w:rsid w:val="2DD55EA1"/>
    <w:rsid w:val="2DE87F44"/>
    <w:rsid w:val="2DF247B2"/>
    <w:rsid w:val="2E0B376C"/>
    <w:rsid w:val="2E1A5DE0"/>
    <w:rsid w:val="2E352597"/>
    <w:rsid w:val="2E4C168F"/>
    <w:rsid w:val="2E4F04AE"/>
    <w:rsid w:val="2E4F0AB3"/>
    <w:rsid w:val="2E67296D"/>
    <w:rsid w:val="2E682787"/>
    <w:rsid w:val="2E732CDE"/>
    <w:rsid w:val="2E7413FE"/>
    <w:rsid w:val="2E743721"/>
    <w:rsid w:val="2E975000"/>
    <w:rsid w:val="2E9E7D49"/>
    <w:rsid w:val="2EB07E70"/>
    <w:rsid w:val="2EB57E94"/>
    <w:rsid w:val="2EB86D24"/>
    <w:rsid w:val="2ED474AF"/>
    <w:rsid w:val="2EE50545"/>
    <w:rsid w:val="2F063F34"/>
    <w:rsid w:val="2F06587C"/>
    <w:rsid w:val="2F1A353B"/>
    <w:rsid w:val="2F293477"/>
    <w:rsid w:val="2F556148"/>
    <w:rsid w:val="2F6831DA"/>
    <w:rsid w:val="2FBD0A96"/>
    <w:rsid w:val="2FC4562E"/>
    <w:rsid w:val="303754A7"/>
    <w:rsid w:val="304545E8"/>
    <w:rsid w:val="3049057C"/>
    <w:rsid w:val="30682246"/>
    <w:rsid w:val="307F796E"/>
    <w:rsid w:val="30901354"/>
    <w:rsid w:val="309E1693"/>
    <w:rsid w:val="30A07C9C"/>
    <w:rsid w:val="30BF53FA"/>
    <w:rsid w:val="30EC1AAF"/>
    <w:rsid w:val="30FF6C0F"/>
    <w:rsid w:val="310F03A2"/>
    <w:rsid w:val="3120566D"/>
    <w:rsid w:val="31556AAC"/>
    <w:rsid w:val="31592A40"/>
    <w:rsid w:val="315D2F51"/>
    <w:rsid w:val="31750BD8"/>
    <w:rsid w:val="31804F78"/>
    <w:rsid w:val="31921AAF"/>
    <w:rsid w:val="31A6555A"/>
    <w:rsid w:val="31B22151"/>
    <w:rsid w:val="31B45EC9"/>
    <w:rsid w:val="31B83782"/>
    <w:rsid w:val="31C37E8D"/>
    <w:rsid w:val="31CB23EC"/>
    <w:rsid w:val="31CE075D"/>
    <w:rsid w:val="31D125D7"/>
    <w:rsid w:val="31D16A7B"/>
    <w:rsid w:val="31D8738E"/>
    <w:rsid w:val="31E35CBC"/>
    <w:rsid w:val="31EE46F0"/>
    <w:rsid w:val="31F110A5"/>
    <w:rsid w:val="31F91B2E"/>
    <w:rsid w:val="31FA744B"/>
    <w:rsid w:val="31FF0E52"/>
    <w:rsid w:val="32015C64"/>
    <w:rsid w:val="32087FC3"/>
    <w:rsid w:val="32146967"/>
    <w:rsid w:val="321B1AA4"/>
    <w:rsid w:val="322654A4"/>
    <w:rsid w:val="322A618B"/>
    <w:rsid w:val="32456B21"/>
    <w:rsid w:val="32513718"/>
    <w:rsid w:val="327B69E7"/>
    <w:rsid w:val="32867465"/>
    <w:rsid w:val="32DC5BDF"/>
    <w:rsid w:val="32EB1CC0"/>
    <w:rsid w:val="32EC2044"/>
    <w:rsid w:val="32FA4ADC"/>
    <w:rsid w:val="32FC7B27"/>
    <w:rsid w:val="32FD6CA5"/>
    <w:rsid w:val="33072F51"/>
    <w:rsid w:val="3310712F"/>
    <w:rsid w:val="33152997"/>
    <w:rsid w:val="3322419B"/>
    <w:rsid w:val="33323549"/>
    <w:rsid w:val="33450489"/>
    <w:rsid w:val="337C3BA8"/>
    <w:rsid w:val="337C6DA8"/>
    <w:rsid w:val="337C76FE"/>
    <w:rsid w:val="337C7BDE"/>
    <w:rsid w:val="338D64EF"/>
    <w:rsid w:val="33986FD1"/>
    <w:rsid w:val="33CB3A17"/>
    <w:rsid w:val="33D740F0"/>
    <w:rsid w:val="33E81E5A"/>
    <w:rsid w:val="33F151B2"/>
    <w:rsid w:val="33F425AD"/>
    <w:rsid w:val="33FB3400"/>
    <w:rsid w:val="34170E0C"/>
    <w:rsid w:val="34212A82"/>
    <w:rsid w:val="342509B8"/>
    <w:rsid w:val="34536288"/>
    <w:rsid w:val="346F27CD"/>
    <w:rsid w:val="347D5188"/>
    <w:rsid w:val="348230F1"/>
    <w:rsid w:val="34942106"/>
    <w:rsid w:val="34CA155F"/>
    <w:rsid w:val="34CD705B"/>
    <w:rsid w:val="34D8176A"/>
    <w:rsid w:val="34EB25F9"/>
    <w:rsid w:val="3504481E"/>
    <w:rsid w:val="3509109B"/>
    <w:rsid w:val="351C1704"/>
    <w:rsid w:val="35284C04"/>
    <w:rsid w:val="3579427A"/>
    <w:rsid w:val="3579479B"/>
    <w:rsid w:val="357B70FF"/>
    <w:rsid w:val="357C05CA"/>
    <w:rsid w:val="358931C8"/>
    <w:rsid w:val="358D0710"/>
    <w:rsid w:val="35BB0C9B"/>
    <w:rsid w:val="35D1688B"/>
    <w:rsid w:val="35D95EFE"/>
    <w:rsid w:val="35E37DD2"/>
    <w:rsid w:val="35EF127D"/>
    <w:rsid w:val="35F03248"/>
    <w:rsid w:val="361C0A23"/>
    <w:rsid w:val="362F5FAF"/>
    <w:rsid w:val="363200CE"/>
    <w:rsid w:val="366547E1"/>
    <w:rsid w:val="367C171C"/>
    <w:rsid w:val="367E2601"/>
    <w:rsid w:val="369501FC"/>
    <w:rsid w:val="3695639C"/>
    <w:rsid w:val="36AC40C5"/>
    <w:rsid w:val="36E37CD8"/>
    <w:rsid w:val="37110DB1"/>
    <w:rsid w:val="372928E1"/>
    <w:rsid w:val="375608F6"/>
    <w:rsid w:val="37757EA8"/>
    <w:rsid w:val="37797999"/>
    <w:rsid w:val="378314EB"/>
    <w:rsid w:val="37A96D82"/>
    <w:rsid w:val="37B75A65"/>
    <w:rsid w:val="37C37465"/>
    <w:rsid w:val="37D552C5"/>
    <w:rsid w:val="37E54E97"/>
    <w:rsid w:val="381762AC"/>
    <w:rsid w:val="381C3783"/>
    <w:rsid w:val="387826B4"/>
    <w:rsid w:val="388462EA"/>
    <w:rsid w:val="3887165D"/>
    <w:rsid w:val="38985CFA"/>
    <w:rsid w:val="38A07FD8"/>
    <w:rsid w:val="38A7325E"/>
    <w:rsid w:val="38A9721D"/>
    <w:rsid w:val="38BA0CAA"/>
    <w:rsid w:val="38BB5D8F"/>
    <w:rsid w:val="38C1347A"/>
    <w:rsid w:val="38CF4E2E"/>
    <w:rsid w:val="38DF7CCF"/>
    <w:rsid w:val="39131727"/>
    <w:rsid w:val="39273424"/>
    <w:rsid w:val="394526EF"/>
    <w:rsid w:val="39604AD5"/>
    <w:rsid w:val="39783C80"/>
    <w:rsid w:val="397B4C7C"/>
    <w:rsid w:val="39900AFD"/>
    <w:rsid w:val="39A84565"/>
    <w:rsid w:val="39AB5E03"/>
    <w:rsid w:val="39BF4CE3"/>
    <w:rsid w:val="39CC1749"/>
    <w:rsid w:val="3A085004"/>
    <w:rsid w:val="3A114B89"/>
    <w:rsid w:val="3A257A15"/>
    <w:rsid w:val="3A31592F"/>
    <w:rsid w:val="3A502507"/>
    <w:rsid w:val="3A5244D1"/>
    <w:rsid w:val="3A5C4538"/>
    <w:rsid w:val="3A5C534F"/>
    <w:rsid w:val="3A601A2D"/>
    <w:rsid w:val="3A614880"/>
    <w:rsid w:val="3A6A181A"/>
    <w:rsid w:val="3A7324E8"/>
    <w:rsid w:val="3A7C039E"/>
    <w:rsid w:val="3A850402"/>
    <w:rsid w:val="3A887EF3"/>
    <w:rsid w:val="3AAA60BB"/>
    <w:rsid w:val="3ABD5E67"/>
    <w:rsid w:val="3AC727C9"/>
    <w:rsid w:val="3AF45C7A"/>
    <w:rsid w:val="3B003CFD"/>
    <w:rsid w:val="3B067ACA"/>
    <w:rsid w:val="3B091033"/>
    <w:rsid w:val="3B0A4DAB"/>
    <w:rsid w:val="3B0D10F9"/>
    <w:rsid w:val="3B114451"/>
    <w:rsid w:val="3B2209A6"/>
    <w:rsid w:val="3B431986"/>
    <w:rsid w:val="3B4B7AB8"/>
    <w:rsid w:val="3B4F3C61"/>
    <w:rsid w:val="3B650BDE"/>
    <w:rsid w:val="3B657DE7"/>
    <w:rsid w:val="3B707D29"/>
    <w:rsid w:val="3B853093"/>
    <w:rsid w:val="3B8A79A6"/>
    <w:rsid w:val="3B9F28A6"/>
    <w:rsid w:val="3BE06E4F"/>
    <w:rsid w:val="3BEA6BCF"/>
    <w:rsid w:val="3BF33A92"/>
    <w:rsid w:val="3C0251D9"/>
    <w:rsid w:val="3C05561A"/>
    <w:rsid w:val="3C243C4B"/>
    <w:rsid w:val="3C460564"/>
    <w:rsid w:val="3C5C5DA2"/>
    <w:rsid w:val="3C68688C"/>
    <w:rsid w:val="3C7A386B"/>
    <w:rsid w:val="3C7E15AD"/>
    <w:rsid w:val="3CB93DB5"/>
    <w:rsid w:val="3CBD05D0"/>
    <w:rsid w:val="3CC044AA"/>
    <w:rsid w:val="3CC80C92"/>
    <w:rsid w:val="3CD45671"/>
    <w:rsid w:val="3CD53F32"/>
    <w:rsid w:val="3D167A38"/>
    <w:rsid w:val="3D1B504E"/>
    <w:rsid w:val="3D225820"/>
    <w:rsid w:val="3D297E04"/>
    <w:rsid w:val="3D6562C9"/>
    <w:rsid w:val="3D6803C1"/>
    <w:rsid w:val="3D714C6E"/>
    <w:rsid w:val="3D73685D"/>
    <w:rsid w:val="3D830CDF"/>
    <w:rsid w:val="3D9A4AE2"/>
    <w:rsid w:val="3DB5195A"/>
    <w:rsid w:val="3DD27436"/>
    <w:rsid w:val="3DDB4D41"/>
    <w:rsid w:val="3DE73182"/>
    <w:rsid w:val="3DEB3B26"/>
    <w:rsid w:val="3DF06FD3"/>
    <w:rsid w:val="3E027EF9"/>
    <w:rsid w:val="3E0B6E71"/>
    <w:rsid w:val="3E125570"/>
    <w:rsid w:val="3E171CB9"/>
    <w:rsid w:val="3E1760CD"/>
    <w:rsid w:val="3E2919ED"/>
    <w:rsid w:val="3E313DF9"/>
    <w:rsid w:val="3E32264F"/>
    <w:rsid w:val="3E6A3B8E"/>
    <w:rsid w:val="3E8B7476"/>
    <w:rsid w:val="3EAC5D88"/>
    <w:rsid w:val="3EAD7F28"/>
    <w:rsid w:val="3EBB3166"/>
    <w:rsid w:val="3EC84D74"/>
    <w:rsid w:val="3EF562B2"/>
    <w:rsid w:val="3EFB1385"/>
    <w:rsid w:val="3F0D09C6"/>
    <w:rsid w:val="3F204B9E"/>
    <w:rsid w:val="3F266D20"/>
    <w:rsid w:val="3F271549"/>
    <w:rsid w:val="3F276077"/>
    <w:rsid w:val="3F3C7A7A"/>
    <w:rsid w:val="3F3D5750"/>
    <w:rsid w:val="3F5A0851"/>
    <w:rsid w:val="3F5B7984"/>
    <w:rsid w:val="3F5F315E"/>
    <w:rsid w:val="3F60143E"/>
    <w:rsid w:val="3F833963"/>
    <w:rsid w:val="3F8B786D"/>
    <w:rsid w:val="3FA248DA"/>
    <w:rsid w:val="3FAF0295"/>
    <w:rsid w:val="3FB0757D"/>
    <w:rsid w:val="3FB63A39"/>
    <w:rsid w:val="3FD02F63"/>
    <w:rsid w:val="3FE148A8"/>
    <w:rsid w:val="3FED6268"/>
    <w:rsid w:val="40064FCB"/>
    <w:rsid w:val="40095632"/>
    <w:rsid w:val="40202A1A"/>
    <w:rsid w:val="40384169"/>
    <w:rsid w:val="404216CE"/>
    <w:rsid w:val="4053700E"/>
    <w:rsid w:val="406475DE"/>
    <w:rsid w:val="40793AFC"/>
    <w:rsid w:val="407B6FAE"/>
    <w:rsid w:val="40832EB9"/>
    <w:rsid w:val="408E39C5"/>
    <w:rsid w:val="40955248"/>
    <w:rsid w:val="40A315E2"/>
    <w:rsid w:val="40AA0ACB"/>
    <w:rsid w:val="40C64944"/>
    <w:rsid w:val="40D440FA"/>
    <w:rsid w:val="40D9599A"/>
    <w:rsid w:val="40EC1C4D"/>
    <w:rsid w:val="40F0234E"/>
    <w:rsid w:val="40F64105"/>
    <w:rsid w:val="40FE0F0E"/>
    <w:rsid w:val="410762AC"/>
    <w:rsid w:val="41175B2C"/>
    <w:rsid w:val="415F1367"/>
    <w:rsid w:val="41811F47"/>
    <w:rsid w:val="41831414"/>
    <w:rsid w:val="418778AE"/>
    <w:rsid w:val="419161B0"/>
    <w:rsid w:val="41A1154B"/>
    <w:rsid w:val="41A24AFA"/>
    <w:rsid w:val="41A5482C"/>
    <w:rsid w:val="41D27482"/>
    <w:rsid w:val="41D352B9"/>
    <w:rsid w:val="41EC5B50"/>
    <w:rsid w:val="41F06AA9"/>
    <w:rsid w:val="41F55645"/>
    <w:rsid w:val="41F61BE6"/>
    <w:rsid w:val="420846C6"/>
    <w:rsid w:val="420B7FD6"/>
    <w:rsid w:val="42112E56"/>
    <w:rsid w:val="42127B77"/>
    <w:rsid w:val="4221632B"/>
    <w:rsid w:val="422624CB"/>
    <w:rsid w:val="42292E12"/>
    <w:rsid w:val="42375CE3"/>
    <w:rsid w:val="42723962"/>
    <w:rsid w:val="427A285A"/>
    <w:rsid w:val="42980106"/>
    <w:rsid w:val="42992F7B"/>
    <w:rsid w:val="42A91834"/>
    <w:rsid w:val="42AC2BBB"/>
    <w:rsid w:val="42AE426E"/>
    <w:rsid w:val="42B555FD"/>
    <w:rsid w:val="42C9490C"/>
    <w:rsid w:val="42D33CD5"/>
    <w:rsid w:val="42EE2457"/>
    <w:rsid w:val="42FC322C"/>
    <w:rsid w:val="4335725C"/>
    <w:rsid w:val="43387B79"/>
    <w:rsid w:val="433E1F91"/>
    <w:rsid w:val="434714CE"/>
    <w:rsid w:val="43471A7D"/>
    <w:rsid w:val="436220D8"/>
    <w:rsid w:val="4374370A"/>
    <w:rsid w:val="439A26DB"/>
    <w:rsid w:val="439B3F9B"/>
    <w:rsid w:val="43A22025"/>
    <w:rsid w:val="43A9223A"/>
    <w:rsid w:val="43C77F4C"/>
    <w:rsid w:val="43C9059C"/>
    <w:rsid w:val="43D16168"/>
    <w:rsid w:val="43D30430"/>
    <w:rsid w:val="43D61CCF"/>
    <w:rsid w:val="43D737DB"/>
    <w:rsid w:val="43FA3FAE"/>
    <w:rsid w:val="44091D8D"/>
    <w:rsid w:val="44372799"/>
    <w:rsid w:val="4439023B"/>
    <w:rsid w:val="445D10F1"/>
    <w:rsid w:val="4469669F"/>
    <w:rsid w:val="448548CE"/>
    <w:rsid w:val="448E082A"/>
    <w:rsid w:val="449F7191"/>
    <w:rsid w:val="44C05764"/>
    <w:rsid w:val="44D22496"/>
    <w:rsid w:val="44DB1BC1"/>
    <w:rsid w:val="45115CA5"/>
    <w:rsid w:val="451707F1"/>
    <w:rsid w:val="45204638"/>
    <w:rsid w:val="453749EF"/>
    <w:rsid w:val="453E7B2C"/>
    <w:rsid w:val="454055B7"/>
    <w:rsid w:val="454A2974"/>
    <w:rsid w:val="45703D8E"/>
    <w:rsid w:val="458B0897"/>
    <w:rsid w:val="45BA4865"/>
    <w:rsid w:val="45CF0D73"/>
    <w:rsid w:val="45EC7588"/>
    <w:rsid w:val="45F6213A"/>
    <w:rsid w:val="460D74FE"/>
    <w:rsid w:val="46326F64"/>
    <w:rsid w:val="4636236A"/>
    <w:rsid w:val="463E4A86"/>
    <w:rsid w:val="464A4F47"/>
    <w:rsid w:val="467D0B27"/>
    <w:rsid w:val="46800BCF"/>
    <w:rsid w:val="468571CB"/>
    <w:rsid w:val="46877101"/>
    <w:rsid w:val="46924E11"/>
    <w:rsid w:val="46940544"/>
    <w:rsid w:val="4696608A"/>
    <w:rsid w:val="46AD74C0"/>
    <w:rsid w:val="46CC1167"/>
    <w:rsid w:val="47015524"/>
    <w:rsid w:val="47121270"/>
    <w:rsid w:val="471B7507"/>
    <w:rsid w:val="4732071F"/>
    <w:rsid w:val="47507FEA"/>
    <w:rsid w:val="47737835"/>
    <w:rsid w:val="477E0F7D"/>
    <w:rsid w:val="4799478F"/>
    <w:rsid w:val="47E25CA0"/>
    <w:rsid w:val="47EC35F1"/>
    <w:rsid w:val="47EF15B1"/>
    <w:rsid w:val="47F34A07"/>
    <w:rsid w:val="480B1257"/>
    <w:rsid w:val="48253F09"/>
    <w:rsid w:val="484C06EB"/>
    <w:rsid w:val="487E46E3"/>
    <w:rsid w:val="489F2FD7"/>
    <w:rsid w:val="48B86ACB"/>
    <w:rsid w:val="48BB3728"/>
    <w:rsid w:val="48DA04AD"/>
    <w:rsid w:val="48DB1B35"/>
    <w:rsid w:val="48E70771"/>
    <w:rsid w:val="48F970EB"/>
    <w:rsid w:val="49336B7A"/>
    <w:rsid w:val="49675177"/>
    <w:rsid w:val="49706721"/>
    <w:rsid w:val="49776424"/>
    <w:rsid w:val="49873370"/>
    <w:rsid w:val="49A15FD5"/>
    <w:rsid w:val="49AD5280"/>
    <w:rsid w:val="49AF0FF8"/>
    <w:rsid w:val="49C2211A"/>
    <w:rsid w:val="49E64CD4"/>
    <w:rsid w:val="4A00113E"/>
    <w:rsid w:val="4A453854"/>
    <w:rsid w:val="4A485E3D"/>
    <w:rsid w:val="4A4A275F"/>
    <w:rsid w:val="4A972D4D"/>
    <w:rsid w:val="4AC706BA"/>
    <w:rsid w:val="4ADC1EA6"/>
    <w:rsid w:val="4AF8593C"/>
    <w:rsid w:val="4B137364"/>
    <w:rsid w:val="4B257F02"/>
    <w:rsid w:val="4B3D7D6C"/>
    <w:rsid w:val="4B3F7901"/>
    <w:rsid w:val="4B453A6A"/>
    <w:rsid w:val="4B6127C6"/>
    <w:rsid w:val="4B63653E"/>
    <w:rsid w:val="4B6B694A"/>
    <w:rsid w:val="4B6C4CC7"/>
    <w:rsid w:val="4B726781"/>
    <w:rsid w:val="4B791B01"/>
    <w:rsid w:val="4BAA4E70"/>
    <w:rsid w:val="4BAD53ED"/>
    <w:rsid w:val="4BB1640C"/>
    <w:rsid w:val="4BE3351E"/>
    <w:rsid w:val="4BE6646F"/>
    <w:rsid w:val="4BFF3A59"/>
    <w:rsid w:val="4C101847"/>
    <w:rsid w:val="4C1E2465"/>
    <w:rsid w:val="4C201914"/>
    <w:rsid w:val="4C25173A"/>
    <w:rsid w:val="4C6A56DB"/>
    <w:rsid w:val="4C765DFD"/>
    <w:rsid w:val="4C7D5E09"/>
    <w:rsid w:val="4C991AEB"/>
    <w:rsid w:val="4C9E507B"/>
    <w:rsid w:val="4CC96874"/>
    <w:rsid w:val="4CE125FB"/>
    <w:rsid w:val="4D26222E"/>
    <w:rsid w:val="4D2978BE"/>
    <w:rsid w:val="4D447CA9"/>
    <w:rsid w:val="4D46170C"/>
    <w:rsid w:val="4D517020"/>
    <w:rsid w:val="4D53613E"/>
    <w:rsid w:val="4D6E5660"/>
    <w:rsid w:val="4D80546F"/>
    <w:rsid w:val="4DA87CCB"/>
    <w:rsid w:val="4DE9191A"/>
    <w:rsid w:val="4E3B2004"/>
    <w:rsid w:val="4E4067A5"/>
    <w:rsid w:val="4E4C2974"/>
    <w:rsid w:val="4E77423C"/>
    <w:rsid w:val="4E9E4ABB"/>
    <w:rsid w:val="4EA85D29"/>
    <w:rsid w:val="4EB41746"/>
    <w:rsid w:val="4EB41B10"/>
    <w:rsid w:val="4EBB21ED"/>
    <w:rsid w:val="4EC92BF2"/>
    <w:rsid w:val="4ED05D2B"/>
    <w:rsid w:val="4ED359A1"/>
    <w:rsid w:val="4F07064F"/>
    <w:rsid w:val="4F275AD4"/>
    <w:rsid w:val="4F29725E"/>
    <w:rsid w:val="4F493C9D"/>
    <w:rsid w:val="4F4C6E93"/>
    <w:rsid w:val="4F5B6E02"/>
    <w:rsid w:val="4F7A79D4"/>
    <w:rsid w:val="4F9752EA"/>
    <w:rsid w:val="4F9B29A4"/>
    <w:rsid w:val="4FA80C84"/>
    <w:rsid w:val="4FB42A47"/>
    <w:rsid w:val="4FD722DD"/>
    <w:rsid w:val="4FE65048"/>
    <w:rsid w:val="4FEA143A"/>
    <w:rsid w:val="4FEC5E2A"/>
    <w:rsid w:val="4FEE03A0"/>
    <w:rsid w:val="4FFF2962"/>
    <w:rsid w:val="50003430"/>
    <w:rsid w:val="50102399"/>
    <w:rsid w:val="50146059"/>
    <w:rsid w:val="5015758F"/>
    <w:rsid w:val="502B5150"/>
    <w:rsid w:val="505271DD"/>
    <w:rsid w:val="50603D11"/>
    <w:rsid w:val="50884275"/>
    <w:rsid w:val="509C1285"/>
    <w:rsid w:val="509C7DFC"/>
    <w:rsid w:val="50B403BA"/>
    <w:rsid w:val="50C21573"/>
    <w:rsid w:val="50F95AC8"/>
    <w:rsid w:val="51163A90"/>
    <w:rsid w:val="51523EF4"/>
    <w:rsid w:val="516923D4"/>
    <w:rsid w:val="51856FE9"/>
    <w:rsid w:val="518B2E7D"/>
    <w:rsid w:val="518B66FF"/>
    <w:rsid w:val="51CE2237"/>
    <w:rsid w:val="51E21E03"/>
    <w:rsid w:val="51E60623"/>
    <w:rsid w:val="51FA00CE"/>
    <w:rsid w:val="52021EE1"/>
    <w:rsid w:val="52173BDE"/>
    <w:rsid w:val="521C4BC1"/>
    <w:rsid w:val="525841F1"/>
    <w:rsid w:val="526846E3"/>
    <w:rsid w:val="52734677"/>
    <w:rsid w:val="529D4107"/>
    <w:rsid w:val="52A64D4E"/>
    <w:rsid w:val="52C04276"/>
    <w:rsid w:val="52EC2B8F"/>
    <w:rsid w:val="52F7756C"/>
    <w:rsid w:val="530D09CE"/>
    <w:rsid w:val="5311062D"/>
    <w:rsid w:val="53177C0E"/>
    <w:rsid w:val="532B166D"/>
    <w:rsid w:val="533E1C15"/>
    <w:rsid w:val="534722A1"/>
    <w:rsid w:val="53586555"/>
    <w:rsid w:val="537B2EE9"/>
    <w:rsid w:val="537E1F08"/>
    <w:rsid w:val="538F3332"/>
    <w:rsid w:val="53B06098"/>
    <w:rsid w:val="53C125EB"/>
    <w:rsid w:val="53C96671"/>
    <w:rsid w:val="53F234A3"/>
    <w:rsid w:val="54064A4B"/>
    <w:rsid w:val="540F394E"/>
    <w:rsid w:val="54382AC1"/>
    <w:rsid w:val="54547DDD"/>
    <w:rsid w:val="546F792A"/>
    <w:rsid w:val="54A1378A"/>
    <w:rsid w:val="54A92AE8"/>
    <w:rsid w:val="54AE00FE"/>
    <w:rsid w:val="54B93851"/>
    <w:rsid w:val="54BF687E"/>
    <w:rsid w:val="54C22E5E"/>
    <w:rsid w:val="54D97871"/>
    <w:rsid w:val="54FB4092"/>
    <w:rsid w:val="551132D1"/>
    <w:rsid w:val="5513285D"/>
    <w:rsid w:val="55220042"/>
    <w:rsid w:val="552A3C28"/>
    <w:rsid w:val="557430F6"/>
    <w:rsid w:val="558465DA"/>
    <w:rsid w:val="558A2919"/>
    <w:rsid w:val="558F179A"/>
    <w:rsid w:val="55935C72"/>
    <w:rsid w:val="559B2D78"/>
    <w:rsid w:val="559D2AC2"/>
    <w:rsid w:val="55A90EEB"/>
    <w:rsid w:val="55A92E1B"/>
    <w:rsid w:val="55D63329"/>
    <w:rsid w:val="55FD2487"/>
    <w:rsid w:val="560A661A"/>
    <w:rsid w:val="562468CA"/>
    <w:rsid w:val="56327AE8"/>
    <w:rsid w:val="56334A87"/>
    <w:rsid w:val="564725B8"/>
    <w:rsid w:val="5657542A"/>
    <w:rsid w:val="56727CCF"/>
    <w:rsid w:val="56830265"/>
    <w:rsid w:val="56B92F3A"/>
    <w:rsid w:val="56BD287A"/>
    <w:rsid w:val="56D71B8E"/>
    <w:rsid w:val="56EA18C1"/>
    <w:rsid w:val="570B28E1"/>
    <w:rsid w:val="57171802"/>
    <w:rsid w:val="57274170"/>
    <w:rsid w:val="574808E2"/>
    <w:rsid w:val="574B5FAF"/>
    <w:rsid w:val="576F5677"/>
    <w:rsid w:val="57754B48"/>
    <w:rsid w:val="5783244D"/>
    <w:rsid w:val="5785783C"/>
    <w:rsid w:val="579706B0"/>
    <w:rsid w:val="579C4AA3"/>
    <w:rsid w:val="57B63E99"/>
    <w:rsid w:val="57B8376D"/>
    <w:rsid w:val="57BB325E"/>
    <w:rsid w:val="57E00F16"/>
    <w:rsid w:val="57EE718F"/>
    <w:rsid w:val="57F33E97"/>
    <w:rsid w:val="57F47922"/>
    <w:rsid w:val="58020E8D"/>
    <w:rsid w:val="58164938"/>
    <w:rsid w:val="58360B36"/>
    <w:rsid w:val="584F7BB2"/>
    <w:rsid w:val="585D1668"/>
    <w:rsid w:val="586E02D0"/>
    <w:rsid w:val="587A0104"/>
    <w:rsid w:val="589B1425"/>
    <w:rsid w:val="58B03E98"/>
    <w:rsid w:val="58B77EC9"/>
    <w:rsid w:val="590F5161"/>
    <w:rsid w:val="59401642"/>
    <w:rsid w:val="59462ADB"/>
    <w:rsid w:val="594E7E1F"/>
    <w:rsid w:val="59571442"/>
    <w:rsid w:val="5970554F"/>
    <w:rsid w:val="59822285"/>
    <w:rsid w:val="59870C77"/>
    <w:rsid w:val="59984768"/>
    <w:rsid w:val="59A3044D"/>
    <w:rsid w:val="59A8760E"/>
    <w:rsid w:val="59C072E0"/>
    <w:rsid w:val="59CA1B78"/>
    <w:rsid w:val="59CF35C4"/>
    <w:rsid w:val="59F00D9B"/>
    <w:rsid w:val="59F80029"/>
    <w:rsid w:val="5A037476"/>
    <w:rsid w:val="5A124C8D"/>
    <w:rsid w:val="5A1428B8"/>
    <w:rsid w:val="5A1E6DFA"/>
    <w:rsid w:val="5A482CEA"/>
    <w:rsid w:val="5A8C5871"/>
    <w:rsid w:val="5A9046E0"/>
    <w:rsid w:val="5A991D5E"/>
    <w:rsid w:val="5A9957E5"/>
    <w:rsid w:val="5AD74B78"/>
    <w:rsid w:val="5AEA5A56"/>
    <w:rsid w:val="5AEE67C9"/>
    <w:rsid w:val="5AF27E32"/>
    <w:rsid w:val="5AF947C9"/>
    <w:rsid w:val="5AFB62AB"/>
    <w:rsid w:val="5B411677"/>
    <w:rsid w:val="5B4F39A0"/>
    <w:rsid w:val="5B677D41"/>
    <w:rsid w:val="5B7E0CAC"/>
    <w:rsid w:val="5B885B4D"/>
    <w:rsid w:val="5B91209A"/>
    <w:rsid w:val="5BA760CF"/>
    <w:rsid w:val="5BB16E51"/>
    <w:rsid w:val="5BC42B0D"/>
    <w:rsid w:val="5BDB5C7C"/>
    <w:rsid w:val="5BDD0420"/>
    <w:rsid w:val="5BE90B4B"/>
    <w:rsid w:val="5BEB1E09"/>
    <w:rsid w:val="5BFA61D6"/>
    <w:rsid w:val="5BFD32B2"/>
    <w:rsid w:val="5BFE7BBD"/>
    <w:rsid w:val="5C0712A4"/>
    <w:rsid w:val="5C0F2BE8"/>
    <w:rsid w:val="5C1D5ED6"/>
    <w:rsid w:val="5C2E2250"/>
    <w:rsid w:val="5C337866"/>
    <w:rsid w:val="5C553C81"/>
    <w:rsid w:val="5C6C777E"/>
    <w:rsid w:val="5C767826"/>
    <w:rsid w:val="5C7873AC"/>
    <w:rsid w:val="5C8D74BC"/>
    <w:rsid w:val="5C921518"/>
    <w:rsid w:val="5CA02A22"/>
    <w:rsid w:val="5CC901CB"/>
    <w:rsid w:val="5CCC735B"/>
    <w:rsid w:val="5CD21BE8"/>
    <w:rsid w:val="5CDD3C76"/>
    <w:rsid w:val="5CDD7952"/>
    <w:rsid w:val="5CF616EC"/>
    <w:rsid w:val="5D066D29"/>
    <w:rsid w:val="5D107BA8"/>
    <w:rsid w:val="5D143D2E"/>
    <w:rsid w:val="5D16412F"/>
    <w:rsid w:val="5D1934F3"/>
    <w:rsid w:val="5D395350"/>
    <w:rsid w:val="5D593283"/>
    <w:rsid w:val="5D771BCF"/>
    <w:rsid w:val="5D7B3DA5"/>
    <w:rsid w:val="5D7E5416"/>
    <w:rsid w:val="5D810AA5"/>
    <w:rsid w:val="5D8904AA"/>
    <w:rsid w:val="5DA675B5"/>
    <w:rsid w:val="5DAB5B22"/>
    <w:rsid w:val="5DB42C29"/>
    <w:rsid w:val="5DD76796"/>
    <w:rsid w:val="5DDC7A8A"/>
    <w:rsid w:val="5DE17897"/>
    <w:rsid w:val="5DE57C3A"/>
    <w:rsid w:val="5DED7EE9"/>
    <w:rsid w:val="5DFE3574"/>
    <w:rsid w:val="5E076966"/>
    <w:rsid w:val="5E263388"/>
    <w:rsid w:val="5E2D6537"/>
    <w:rsid w:val="5E403756"/>
    <w:rsid w:val="5E453DF6"/>
    <w:rsid w:val="5E645E56"/>
    <w:rsid w:val="5E7D74BF"/>
    <w:rsid w:val="5E8738E6"/>
    <w:rsid w:val="5EA902B4"/>
    <w:rsid w:val="5EAC56AE"/>
    <w:rsid w:val="5EB31988"/>
    <w:rsid w:val="5EBA2A98"/>
    <w:rsid w:val="5EE70DDC"/>
    <w:rsid w:val="5F103E8F"/>
    <w:rsid w:val="5F1871E8"/>
    <w:rsid w:val="5F1E4539"/>
    <w:rsid w:val="5F267B8D"/>
    <w:rsid w:val="5F5521EA"/>
    <w:rsid w:val="5F6B7317"/>
    <w:rsid w:val="5F747055"/>
    <w:rsid w:val="5F7672EE"/>
    <w:rsid w:val="5FAD5B82"/>
    <w:rsid w:val="5FB77CB6"/>
    <w:rsid w:val="5FE570CA"/>
    <w:rsid w:val="5FEE730D"/>
    <w:rsid w:val="5FF02172"/>
    <w:rsid w:val="5FFF4436"/>
    <w:rsid w:val="60017C7C"/>
    <w:rsid w:val="600A4CAC"/>
    <w:rsid w:val="602A5424"/>
    <w:rsid w:val="602C4CF9"/>
    <w:rsid w:val="603B7FBE"/>
    <w:rsid w:val="60714E01"/>
    <w:rsid w:val="60860A6C"/>
    <w:rsid w:val="60996BC3"/>
    <w:rsid w:val="60A07B78"/>
    <w:rsid w:val="60B86DE1"/>
    <w:rsid w:val="60C97B96"/>
    <w:rsid w:val="60CC028A"/>
    <w:rsid w:val="60DB254D"/>
    <w:rsid w:val="610A61A7"/>
    <w:rsid w:val="61102908"/>
    <w:rsid w:val="611D0AE5"/>
    <w:rsid w:val="61271964"/>
    <w:rsid w:val="612D3DC8"/>
    <w:rsid w:val="613320B7"/>
    <w:rsid w:val="61332CC6"/>
    <w:rsid w:val="613A7ADA"/>
    <w:rsid w:val="614C3F22"/>
    <w:rsid w:val="615441A5"/>
    <w:rsid w:val="6166423A"/>
    <w:rsid w:val="6175526B"/>
    <w:rsid w:val="6183110F"/>
    <w:rsid w:val="61973FBE"/>
    <w:rsid w:val="619F5CE1"/>
    <w:rsid w:val="61BF7E40"/>
    <w:rsid w:val="61CA79ED"/>
    <w:rsid w:val="61D533F6"/>
    <w:rsid w:val="620E33D6"/>
    <w:rsid w:val="620F6680"/>
    <w:rsid w:val="62136969"/>
    <w:rsid w:val="62314614"/>
    <w:rsid w:val="62352AAD"/>
    <w:rsid w:val="623E6F65"/>
    <w:rsid w:val="624B2EF1"/>
    <w:rsid w:val="625100CF"/>
    <w:rsid w:val="62585735"/>
    <w:rsid w:val="625C2881"/>
    <w:rsid w:val="625E7607"/>
    <w:rsid w:val="62646871"/>
    <w:rsid w:val="62652744"/>
    <w:rsid w:val="626D15F8"/>
    <w:rsid w:val="626E4F74"/>
    <w:rsid w:val="62905F25"/>
    <w:rsid w:val="62AC4CE6"/>
    <w:rsid w:val="62CE06A4"/>
    <w:rsid w:val="62D40616"/>
    <w:rsid w:val="62E05084"/>
    <w:rsid w:val="62EC4C13"/>
    <w:rsid w:val="630E06AB"/>
    <w:rsid w:val="631371A9"/>
    <w:rsid w:val="63185A08"/>
    <w:rsid w:val="632843A1"/>
    <w:rsid w:val="63316ACA"/>
    <w:rsid w:val="633F4209"/>
    <w:rsid w:val="63416261"/>
    <w:rsid w:val="637864C7"/>
    <w:rsid w:val="63837783"/>
    <w:rsid w:val="63937D6D"/>
    <w:rsid w:val="63BA1E3B"/>
    <w:rsid w:val="63E66949"/>
    <w:rsid w:val="63FB48D6"/>
    <w:rsid w:val="640A4D9B"/>
    <w:rsid w:val="640B3E5A"/>
    <w:rsid w:val="6411213F"/>
    <w:rsid w:val="641F4B74"/>
    <w:rsid w:val="642C6F17"/>
    <w:rsid w:val="6447166C"/>
    <w:rsid w:val="64523F9E"/>
    <w:rsid w:val="6475543F"/>
    <w:rsid w:val="648A0240"/>
    <w:rsid w:val="64971857"/>
    <w:rsid w:val="649B244D"/>
    <w:rsid w:val="64A5151D"/>
    <w:rsid w:val="64AC7C92"/>
    <w:rsid w:val="64AE6021"/>
    <w:rsid w:val="64C2571E"/>
    <w:rsid w:val="64C407B3"/>
    <w:rsid w:val="64CE3E8C"/>
    <w:rsid w:val="64DB229C"/>
    <w:rsid w:val="64DB3147"/>
    <w:rsid w:val="651009B6"/>
    <w:rsid w:val="65121CCF"/>
    <w:rsid w:val="652E506F"/>
    <w:rsid w:val="6568162F"/>
    <w:rsid w:val="656942F9"/>
    <w:rsid w:val="657A22EF"/>
    <w:rsid w:val="658D70B3"/>
    <w:rsid w:val="660C18D5"/>
    <w:rsid w:val="661276C7"/>
    <w:rsid w:val="66230756"/>
    <w:rsid w:val="662A20DC"/>
    <w:rsid w:val="662D3578"/>
    <w:rsid w:val="663A283E"/>
    <w:rsid w:val="6647654D"/>
    <w:rsid w:val="66506F9B"/>
    <w:rsid w:val="668B4B0B"/>
    <w:rsid w:val="66A11BB7"/>
    <w:rsid w:val="66AD7BBB"/>
    <w:rsid w:val="66C739CD"/>
    <w:rsid w:val="66D61F61"/>
    <w:rsid w:val="66F527A2"/>
    <w:rsid w:val="670F452D"/>
    <w:rsid w:val="67191D4F"/>
    <w:rsid w:val="675F76AF"/>
    <w:rsid w:val="678770D4"/>
    <w:rsid w:val="679A039B"/>
    <w:rsid w:val="679E64F6"/>
    <w:rsid w:val="67A13DDA"/>
    <w:rsid w:val="67B049B7"/>
    <w:rsid w:val="67C27D3C"/>
    <w:rsid w:val="67F26828"/>
    <w:rsid w:val="680E2F36"/>
    <w:rsid w:val="6816660D"/>
    <w:rsid w:val="6832131A"/>
    <w:rsid w:val="68574218"/>
    <w:rsid w:val="689540B4"/>
    <w:rsid w:val="689A6532"/>
    <w:rsid w:val="68A200B2"/>
    <w:rsid w:val="6901315B"/>
    <w:rsid w:val="69032938"/>
    <w:rsid w:val="690479E8"/>
    <w:rsid w:val="69074555"/>
    <w:rsid w:val="690E087A"/>
    <w:rsid w:val="691D3DEB"/>
    <w:rsid w:val="691E2488"/>
    <w:rsid w:val="6920121B"/>
    <w:rsid w:val="69382960"/>
    <w:rsid w:val="69715E72"/>
    <w:rsid w:val="69A2427D"/>
    <w:rsid w:val="69BA3375"/>
    <w:rsid w:val="69C545F2"/>
    <w:rsid w:val="69CE3464"/>
    <w:rsid w:val="69E403F2"/>
    <w:rsid w:val="69E671CD"/>
    <w:rsid w:val="69F6766B"/>
    <w:rsid w:val="6A014B2D"/>
    <w:rsid w:val="6A0171F6"/>
    <w:rsid w:val="6A0E6430"/>
    <w:rsid w:val="6A137530"/>
    <w:rsid w:val="6A3D026A"/>
    <w:rsid w:val="6A3E20E8"/>
    <w:rsid w:val="6A696B49"/>
    <w:rsid w:val="6A6D03E7"/>
    <w:rsid w:val="6A70612A"/>
    <w:rsid w:val="6AA227D7"/>
    <w:rsid w:val="6AA50301"/>
    <w:rsid w:val="6ACB60EC"/>
    <w:rsid w:val="6ACF5D07"/>
    <w:rsid w:val="6AEA0D00"/>
    <w:rsid w:val="6AF24D91"/>
    <w:rsid w:val="6AFC4283"/>
    <w:rsid w:val="6B2C02A3"/>
    <w:rsid w:val="6B2F1B41"/>
    <w:rsid w:val="6B453112"/>
    <w:rsid w:val="6B482C03"/>
    <w:rsid w:val="6B6317EA"/>
    <w:rsid w:val="6B6A0DCB"/>
    <w:rsid w:val="6B6B60A4"/>
    <w:rsid w:val="6B767770"/>
    <w:rsid w:val="6B8634DE"/>
    <w:rsid w:val="6B9C50B4"/>
    <w:rsid w:val="6BA0659B"/>
    <w:rsid w:val="6BB41D08"/>
    <w:rsid w:val="6BEE5558"/>
    <w:rsid w:val="6C007039"/>
    <w:rsid w:val="6C1D2925"/>
    <w:rsid w:val="6C2B2697"/>
    <w:rsid w:val="6C306931"/>
    <w:rsid w:val="6CAD71C1"/>
    <w:rsid w:val="6CAF7DEA"/>
    <w:rsid w:val="6CBC4683"/>
    <w:rsid w:val="6CBF160C"/>
    <w:rsid w:val="6CD97FB6"/>
    <w:rsid w:val="6CEA1E65"/>
    <w:rsid w:val="6CEF5F85"/>
    <w:rsid w:val="6D056A5A"/>
    <w:rsid w:val="6D0711FB"/>
    <w:rsid w:val="6D0B038C"/>
    <w:rsid w:val="6D54588F"/>
    <w:rsid w:val="6D654FC5"/>
    <w:rsid w:val="6D68133A"/>
    <w:rsid w:val="6D81581D"/>
    <w:rsid w:val="6D851EEC"/>
    <w:rsid w:val="6DAA54AF"/>
    <w:rsid w:val="6DB17AC5"/>
    <w:rsid w:val="6DB24ECA"/>
    <w:rsid w:val="6DB90C6E"/>
    <w:rsid w:val="6DE4429F"/>
    <w:rsid w:val="6DF13018"/>
    <w:rsid w:val="6E100475"/>
    <w:rsid w:val="6E1158A4"/>
    <w:rsid w:val="6E154013"/>
    <w:rsid w:val="6E182C62"/>
    <w:rsid w:val="6E1D78E5"/>
    <w:rsid w:val="6E5878D0"/>
    <w:rsid w:val="6E851A78"/>
    <w:rsid w:val="6EB9031F"/>
    <w:rsid w:val="6EBA75AC"/>
    <w:rsid w:val="6EE90259"/>
    <w:rsid w:val="6EEE74AB"/>
    <w:rsid w:val="6EF94940"/>
    <w:rsid w:val="6F1A1EFF"/>
    <w:rsid w:val="6F203995"/>
    <w:rsid w:val="6F2A2D4B"/>
    <w:rsid w:val="6F327E52"/>
    <w:rsid w:val="6F41471F"/>
    <w:rsid w:val="6F475D8B"/>
    <w:rsid w:val="6F4C49FE"/>
    <w:rsid w:val="6F5674CC"/>
    <w:rsid w:val="6F9A7296"/>
    <w:rsid w:val="6FB1710D"/>
    <w:rsid w:val="6FCD051B"/>
    <w:rsid w:val="6FCF744E"/>
    <w:rsid w:val="6FEE2E3B"/>
    <w:rsid w:val="6FFB3A1D"/>
    <w:rsid w:val="7034509D"/>
    <w:rsid w:val="703518BB"/>
    <w:rsid w:val="704F058F"/>
    <w:rsid w:val="706E438C"/>
    <w:rsid w:val="70752122"/>
    <w:rsid w:val="708E5489"/>
    <w:rsid w:val="709F46F8"/>
    <w:rsid w:val="70B86135"/>
    <w:rsid w:val="70CA2906"/>
    <w:rsid w:val="70D56CE6"/>
    <w:rsid w:val="70DD1385"/>
    <w:rsid w:val="70E5073F"/>
    <w:rsid w:val="70F14631"/>
    <w:rsid w:val="70F96E79"/>
    <w:rsid w:val="710659DC"/>
    <w:rsid w:val="71177576"/>
    <w:rsid w:val="714D0F73"/>
    <w:rsid w:val="7157594D"/>
    <w:rsid w:val="71661369"/>
    <w:rsid w:val="71722787"/>
    <w:rsid w:val="7174257D"/>
    <w:rsid w:val="718012A5"/>
    <w:rsid w:val="71836742"/>
    <w:rsid w:val="71957F00"/>
    <w:rsid w:val="71F15DA2"/>
    <w:rsid w:val="71F31C95"/>
    <w:rsid w:val="72127AC6"/>
    <w:rsid w:val="722925F7"/>
    <w:rsid w:val="723927B1"/>
    <w:rsid w:val="723C500A"/>
    <w:rsid w:val="7254670A"/>
    <w:rsid w:val="72696DE9"/>
    <w:rsid w:val="72807126"/>
    <w:rsid w:val="72860FB0"/>
    <w:rsid w:val="729C1C14"/>
    <w:rsid w:val="729F135A"/>
    <w:rsid w:val="72A15411"/>
    <w:rsid w:val="72CE2C27"/>
    <w:rsid w:val="72D21B37"/>
    <w:rsid w:val="72DB6181"/>
    <w:rsid w:val="72E17BC5"/>
    <w:rsid w:val="72EC6569"/>
    <w:rsid w:val="72FE5161"/>
    <w:rsid w:val="73102E08"/>
    <w:rsid w:val="73174659"/>
    <w:rsid w:val="731923B2"/>
    <w:rsid w:val="732361B8"/>
    <w:rsid w:val="73246D5F"/>
    <w:rsid w:val="732775A1"/>
    <w:rsid w:val="73AD7AA7"/>
    <w:rsid w:val="73B76B77"/>
    <w:rsid w:val="73B9644B"/>
    <w:rsid w:val="73BF77DA"/>
    <w:rsid w:val="73D04E25"/>
    <w:rsid w:val="73D5156F"/>
    <w:rsid w:val="73D70FC8"/>
    <w:rsid w:val="73E07E7C"/>
    <w:rsid w:val="73F315DA"/>
    <w:rsid w:val="73FB4CB6"/>
    <w:rsid w:val="74026044"/>
    <w:rsid w:val="740C6EC3"/>
    <w:rsid w:val="741E6BF6"/>
    <w:rsid w:val="74273754"/>
    <w:rsid w:val="742C78C5"/>
    <w:rsid w:val="74365CEE"/>
    <w:rsid w:val="743D156D"/>
    <w:rsid w:val="74473095"/>
    <w:rsid w:val="74504A30"/>
    <w:rsid w:val="745B7503"/>
    <w:rsid w:val="749B3DA3"/>
    <w:rsid w:val="74C2084F"/>
    <w:rsid w:val="74CE6C19"/>
    <w:rsid w:val="74D3682D"/>
    <w:rsid w:val="74DB177E"/>
    <w:rsid w:val="74FF07D6"/>
    <w:rsid w:val="75047B9A"/>
    <w:rsid w:val="75114D13"/>
    <w:rsid w:val="751853F4"/>
    <w:rsid w:val="75405E5A"/>
    <w:rsid w:val="754D1541"/>
    <w:rsid w:val="754D7793"/>
    <w:rsid w:val="75525B30"/>
    <w:rsid w:val="755C3229"/>
    <w:rsid w:val="75734D20"/>
    <w:rsid w:val="75A83DDC"/>
    <w:rsid w:val="75D2260E"/>
    <w:rsid w:val="75DA08FB"/>
    <w:rsid w:val="76206C56"/>
    <w:rsid w:val="762229DD"/>
    <w:rsid w:val="762278D9"/>
    <w:rsid w:val="763F53B7"/>
    <w:rsid w:val="76612DCA"/>
    <w:rsid w:val="76654669"/>
    <w:rsid w:val="767E572A"/>
    <w:rsid w:val="768878B7"/>
    <w:rsid w:val="76A85F53"/>
    <w:rsid w:val="76BD26F7"/>
    <w:rsid w:val="76BF405E"/>
    <w:rsid w:val="76C07E98"/>
    <w:rsid w:val="76D87530"/>
    <w:rsid w:val="76F1130B"/>
    <w:rsid w:val="77334767"/>
    <w:rsid w:val="77366F86"/>
    <w:rsid w:val="77466345"/>
    <w:rsid w:val="774C5BDF"/>
    <w:rsid w:val="774F1267"/>
    <w:rsid w:val="776E530D"/>
    <w:rsid w:val="77734624"/>
    <w:rsid w:val="777C7FB1"/>
    <w:rsid w:val="7787338B"/>
    <w:rsid w:val="779034C8"/>
    <w:rsid w:val="77B02653"/>
    <w:rsid w:val="77E1450D"/>
    <w:rsid w:val="780F6F82"/>
    <w:rsid w:val="781505A2"/>
    <w:rsid w:val="783033E6"/>
    <w:rsid w:val="7842794C"/>
    <w:rsid w:val="784A7FBA"/>
    <w:rsid w:val="78526E6F"/>
    <w:rsid w:val="785D19EF"/>
    <w:rsid w:val="785E1CB7"/>
    <w:rsid w:val="78795779"/>
    <w:rsid w:val="78915CF7"/>
    <w:rsid w:val="78A27DF6"/>
    <w:rsid w:val="78B35B5F"/>
    <w:rsid w:val="78B50A95"/>
    <w:rsid w:val="78C25DA2"/>
    <w:rsid w:val="78CF7782"/>
    <w:rsid w:val="78DC2602"/>
    <w:rsid w:val="78E8332F"/>
    <w:rsid w:val="78E92622"/>
    <w:rsid w:val="78F46178"/>
    <w:rsid w:val="79570BE0"/>
    <w:rsid w:val="797D616D"/>
    <w:rsid w:val="79891BE0"/>
    <w:rsid w:val="79A42666"/>
    <w:rsid w:val="79AE02B1"/>
    <w:rsid w:val="79B25E17"/>
    <w:rsid w:val="79B6062C"/>
    <w:rsid w:val="79E461EC"/>
    <w:rsid w:val="79E652AA"/>
    <w:rsid w:val="79F10DF4"/>
    <w:rsid w:val="7A007E8B"/>
    <w:rsid w:val="7A1268B5"/>
    <w:rsid w:val="7A37631C"/>
    <w:rsid w:val="7A442BC1"/>
    <w:rsid w:val="7A6C7BE6"/>
    <w:rsid w:val="7A7E6AD3"/>
    <w:rsid w:val="7A8E2B69"/>
    <w:rsid w:val="7ABE6A3D"/>
    <w:rsid w:val="7AC027B5"/>
    <w:rsid w:val="7ADF4571"/>
    <w:rsid w:val="7AE310F7"/>
    <w:rsid w:val="7AE97D8C"/>
    <w:rsid w:val="7AEA7832"/>
    <w:rsid w:val="7B310FBD"/>
    <w:rsid w:val="7B4C02AA"/>
    <w:rsid w:val="7B72400B"/>
    <w:rsid w:val="7B734932"/>
    <w:rsid w:val="7B766BD6"/>
    <w:rsid w:val="7B8E4662"/>
    <w:rsid w:val="7B966729"/>
    <w:rsid w:val="7BB045D8"/>
    <w:rsid w:val="7BC340BC"/>
    <w:rsid w:val="7BCB0FD1"/>
    <w:rsid w:val="7BD82794"/>
    <w:rsid w:val="7BFA1CF7"/>
    <w:rsid w:val="7BFC6324"/>
    <w:rsid w:val="7C02316B"/>
    <w:rsid w:val="7C0E023B"/>
    <w:rsid w:val="7C134B67"/>
    <w:rsid w:val="7C246D74"/>
    <w:rsid w:val="7C2F7514"/>
    <w:rsid w:val="7C3A0194"/>
    <w:rsid w:val="7C410F0E"/>
    <w:rsid w:val="7C544DBC"/>
    <w:rsid w:val="7C611D76"/>
    <w:rsid w:val="7C775546"/>
    <w:rsid w:val="7C921F30"/>
    <w:rsid w:val="7CD42548"/>
    <w:rsid w:val="7CF40C2C"/>
    <w:rsid w:val="7D037132"/>
    <w:rsid w:val="7D082C53"/>
    <w:rsid w:val="7D376ABB"/>
    <w:rsid w:val="7D3D1E9B"/>
    <w:rsid w:val="7D4A306F"/>
    <w:rsid w:val="7D63567A"/>
    <w:rsid w:val="7D6571C4"/>
    <w:rsid w:val="7D7B55AA"/>
    <w:rsid w:val="7D80622C"/>
    <w:rsid w:val="7D890D46"/>
    <w:rsid w:val="7D9961BB"/>
    <w:rsid w:val="7DA92E68"/>
    <w:rsid w:val="7DAC7936"/>
    <w:rsid w:val="7DB45FD6"/>
    <w:rsid w:val="7DC72998"/>
    <w:rsid w:val="7DCE6802"/>
    <w:rsid w:val="7DD07BE0"/>
    <w:rsid w:val="7DEC2C2B"/>
    <w:rsid w:val="7E0F52D7"/>
    <w:rsid w:val="7E6A7610"/>
    <w:rsid w:val="7E7538B7"/>
    <w:rsid w:val="7E7C4C45"/>
    <w:rsid w:val="7E866FDE"/>
    <w:rsid w:val="7E9E696A"/>
    <w:rsid w:val="7EC108AA"/>
    <w:rsid w:val="7EC42148"/>
    <w:rsid w:val="7EE051D4"/>
    <w:rsid w:val="7EE356F9"/>
    <w:rsid w:val="7EE969F8"/>
    <w:rsid w:val="7F160BF6"/>
    <w:rsid w:val="7F330F44"/>
    <w:rsid w:val="7F390D88"/>
    <w:rsid w:val="7F477C96"/>
    <w:rsid w:val="7F5B6882"/>
    <w:rsid w:val="7F604567"/>
    <w:rsid w:val="7F645E05"/>
    <w:rsid w:val="7F743B6E"/>
    <w:rsid w:val="7F9C565E"/>
    <w:rsid w:val="7FA442D5"/>
    <w:rsid w:val="7FC219AC"/>
    <w:rsid w:val="7FF151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iPriority="99" w:semiHidden="0"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textAlignment w:val="baseline"/>
    </w:pPr>
    <w:rPr>
      <w:rFonts w:ascii="Times New Roman" w:hAnsi="Times New Roman" w:eastAsia="宋体" w:cs="Times New Roman"/>
      <w:kern w:val="2"/>
      <w:sz w:val="21"/>
      <w:szCs w:val="24"/>
      <w:lang w:val="en-US" w:eastAsia="zh-CN" w:bidi="ar-SA"/>
    </w:rPr>
  </w:style>
  <w:style w:type="paragraph" w:styleId="4">
    <w:name w:val="heading 1"/>
    <w:basedOn w:val="1"/>
    <w:next w:val="1"/>
    <w:autoRedefine/>
    <w:qFormat/>
    <w:uiPriority w:val="0"/>
    <w:pPr>
      <w:keepNext/>
      <w:keepLines/>
      <w:spacing w:before="340" w:after="330" w:line="576" w:lineRule="auto"/>
      <w:outlineLvl w:val="0"/>
    </w:pPr>
    <w:rPr>
      <w:b/>
      <w:bCs/>
      <w:kern w:val="44"/>
      <w:sz w:val="44"/>
      <w:szCs w:val="44"/>
    </w:rPr>
  </w:style>
  <w:style w:type="paragraph" w:styleId="2">
    <w:name w:val="heading 2"/>
    <w:basedOn w:val="1"/>
    <w:next w:val="3"/>
    <w:link w:val="109"/>
    <w:autoRedefine/>
    <w:qFormat/>
    <w:uiPriority w:val="0"/>
    <w:pPr>
      <w:keepNext/>
      <w:keepLines/>
      <w:spacing w:line="360" w:lineRule="auto"/>
      <w:jc w:val="center"/>
      <w:outlineLvl w:val="1"/>
    </w:pPr>
    <w:rPr>
      <w:rFonts w:ascii="Arial" w:hAnsi="Arial" w:eastAsia="黑体"/>
      <w:b/>
      <w:bCs/>
      <w:kern w:val="0"/>
      <w:sz w:val="32"/>
      <w:szCs w:val="32"/>
    </w:rPr>
  </w:style>
  <w:style w:type="paragraph" w:styleId="5">
    <w:name w:val="heading 3"/>
    <w:basedOn w:val="1"/>
    <w:next w:val="1"/>
    <w:link w:val="166"/>
    <w:semiHidden/>
    <w:unhideWhenUsed/>
    <w:qFormat/>
    <w:uiPriority w:val="9"/>
    <w:pPr>
      <w:keepNext/>
      <w:keepLines/>
      <w:widowControl w:val="0"/>
      <w:spacing w:before="260" w:after="260" w:line="416" w:lineRule="auto"/>
      <w:jc w:val="left"/>
      <w:textAlignment w:val="auto"/>
      <w:outlineLvl w:val="2"/>
    </w:pPr>
    <w:rPr>
      <w:rFonts w:eastAsia="Calibri"/>
      <w:b/>
      <w:bCs/>
      <w:kern w:val="0"/>
      <w:sz w:val="32"/>
      <w:szCs w:val="32"/>
      <w:lang w:eastAsia="en-US"/>
    </w:rPr>
  </w:style>
  <w:style w:type="paragraph" w:styleId="6">
    <w:name w:val="heading 4"/>
    <w:basedOn w:val="1"/>
    <w:next w:val="1"/>
    <w:link w:val="167"/>
    <w:semiHidden/>
    <w:unhideWhenUsed/>
    <w:qFormat/>
    <w:uiPriority w:val="9"/>
    <w:pPr>
      <w:keepNext/>
      <w:keepLines/>
      <w:widowControl w:val="0"/>
      <w:spacing w:before="280" w:after="290" w:line="376" w:lineRule="auto"/>
      <w:jc w:val="left"/>
      <w:textAlignment w:val="auto"/>
      <w:outlineLvl w:val="3"/>
    </w:pPr>
    <w:rPr>
      <w:rFonts w:asciiTheme="majorHAnsi" w:hAnsiTheme="majorHAnsi" w:eastAsiaTheme="majorEastAsia" w:cstheme="majorBidi"/>
      <w:b/>
      <w:bCs/>
      <w:kern w:val="0"/>
      <w:sz w:val="28"/>
      <w:szCs w:val="28"/>
      <w:lang w:eastAsia="en-US"/>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autoRedefine/>
    <w:qFormat/>
    <w:uiPriority w:val="0"/>
    <w:pPr>
      <w:ind w:firstLine="420"/>
    </w:pPr>
  </w:style>
  <w:style w:type="paragraph" w:styleId="7">
    <w:name w:val="caption"/>
    <w:basedOn w:val="1"/>
    <w:next w:val="1"/>
    <w:autoRedefine/>
    <w:qFormat/>
    <w:uiPriority w:val="0"/>
    <w:rPr>
      <w:rFonts w:ascii="Cambria" w:hAnsi="Cambria" w:eastAsia="黑体"/>
      <w:sz w:val="20"/>
      <w:szCs w:val="20"/>
    </w:rPr>
  </w:style>
  <w:style w:type="paragraph" w:styleId="8">
    <w:name w:val="Body Text"/>
    <w:basedOn w:val="1"/>
    <w:next w:val="9"/>
    <w:link w:val="110"/>
    <w:autoRedefine/>
    <w:qFormat/>
    <w:uiPriority w:val="0"/>
    <w:pPr>
      <w:ind w:left="378"/>
    </w:pPr>
    <w:rPr>
      <w:szCs w:val="21"/>
    </w:rPr>
  </w:style>
  <w:style w:type="paragraph" w:customStyle="1" w:styleId="9">
    <w:name w:val="Default"/>
    <w:next w:val="10"/>
    <w:autoRedefine/>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10">
    <w:name w:val="header"/>
    <w:basedOn w:val="1"/>
    <w:link w:val="10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Body Text Indent"/>
    <w:basedOn w:val="1"/>
    <w:next w:val="1"/>
    <w:link w:val="165"/>
    <w:autoRedefine/>
    <w:qFormat/>
    <w:uiPriority w:val="99"/>
    <w:pPr>
      <w:spacing w:line="480" w:lineRule="exact"/>
      <w:ind w:firstLine="640" w:firstLineChars="200"/>
    </w:pPr>
    <w:rPr>
      <w:rFonts w:eastAsia="楷体_GB2312"/>
      <w:kern w:val="0"/>
      <w:sz w:val="32"/>
      <w:szCs w:val="20"/>
    </w:rPr>
  </w:style>
  <w:style w:type="paragraph" w:styleId="12">
    <w:name w:val="List 2"/>
    <w:basedOn w:val="1"/>
    <w:autoRedefine/>
    <w:unhideWhenUsed/>
    <w:qFormat/>
    <w:uiPriority w:val="99"/>
    <w:pPr>
      <w:ind w:left="100" w:leftChars="200" w:hanging="200" w:hangingChars="200"/>
      <w:contextualSpacing/>
    </w:pPr>
  </w:style>
  <w:style w:type="paragraph" w:styleId="13">
    <w:name w:val="index 4"/>
    <w:basedOn w:val="1"/>
    <w:next w:val="1"/>
    <w:autoRedefine/>
    <w:unhideWhenUsed/>
    <w:qFormat/>
    <w:uiPriority w:val="99"/>
    <w:pPr>
      <w:ind w:left="600" w:leftChars="600"/>
    </w:pPr>
  </w:style>
  <w:style w:type="paragraph" w:styleId="14">
    <w:name w:val="toc 5"/>
    <w:basedOn w:val="1"/>
    <w:next w:val="1"/>
    <w:autoRedefine/>
    <w:qFormat/>
    <w:uiPriority w:val="0"/>
    <w:pPr>
      <w:ind w:left="1680" w:leftChars="800"/>
    </w:pPr>
  </w:style>
  <w:style w:type="paragraph" w:styleId="15">
    <w:name w:val="Plain Text"/>
    <w:basedOn w:val="1"/>
    <w:next w:val="14"/>
    <w:autoRedefine/>
    <w:qFormat/>
    <w:uiPriority w:val="0"/>
    <w:rPr>
      <w:rFonts w:ascii="宋体" w:hAnsi="Courier New"/>
      <w:kern w:val="0"/>
      <w:sz w:val="19"/>
      <w:szCs w:val="20"/>
    </w:rPr>
  </w:style>
  <w:style w:type="paragraph" w:styleId="16">
    <w:name w:val="Date"/>
    <w:basedOn w:val="1"/>
    <w:next w:val="1"/>
    <w:link w:val="64"/>
    <w:autoRedefine/>
    <w:qFormat/>
    <w:uiPriority w:val="0"/>
    <w:pPr>
      <w:ind w:left="100" w:leftChars="2500"/>
    </w:pPr>
  </w:style>
  <w:style w:type="paragraph" w:styleId="17">
    <w:name w:val="Body Text Indent 2"/>
    <w:basedOn w:val="1"/>
    <w:autoRedefine/>
    <w:qFormat/>
    <w:uiPriority w:val="0"/>
    <w:pPr>
      <w:ind w:firstLine="570"/>
    </w:pPr>
    <w:rPr>
      <w:sz w:val="32"/>
    </w:rPr>
  </w:style>
  <w:style w:type="paragraph" w:styleId="18">
    <w:name w:val="Balloon Text"/>
    <w:basedOn w:val="1"/>
    <w:link w:val="108"/>
    <w:autoRedefine/>
    <w:semiHidden/>
    <w:unhideWhenUsed/>
    <w:qFormat/>
    <w:uiPriority w:val="99"/>
    <w:rPr>
      <w:sz w:val="18"/>
      <w:szCs w:val="18"/>
    </w:rPr>
  </w:style>
  <w:style w:type="paragraph" w:styleId="19">
    <w:name w:val="footer"/>
    <w:basedOn w:val="1"/>
    <w:link w:val="101"/>
    <w:autoRedefine/>
    <w:unhideWhenUsed/>
    <w:qFormat/>
    <w:uiPriority w:val="99"/>
    <w:pPr>
      <w:tabs>
        <w:tab w:val="center" w:pos="4153"/>
        <w:tab w:val="right" w:pos="8306"/>
      </w:tabs>
      <w:snapToGrid w:val="0"/>
      <w:jc w:val="left"/>
    </w:pPr>
    <w:rPr>
      <w:sz w:val="18"/>
      <w:szCs w:val="18"/>
    </w:rPr>
  </w:style>
  <w:style w:type="paragraph" w:styleId="20">
    <w:name w:val="envelope return"/>
    <w:basedOn w:val="1"/>
    <w:autoRedefine/>
    <w:qFormat/>
    <w:uiPriority w:val="0"/>
    <w:pPr>
      <w:snapToGrid w:val="0"/>
    </w:pPr>
    <w:rPr>
      <w:rFonts w:ascii="Arial" w:hAnsi="Arial"/>
    </w:rPr>
  </w:style>
  <w:style w:type="paragraph" w:styleId="21">
    <w:name w:val="toc 1"/>
    <w:basedOn w:val="1"/>
    <w:next w:val="1"/>
    <w:autoRedefine/>
    <w:semiHidden/>
    <w:unhideWhenUsed/>
    <w:qFormat/>
    <w:uiPriority w:val="39"/>
  </w:style>
  <w:style w:type="paragraph" w:styleId="22">
    <w:name w:val="footnote text"/>
    <w:basedOn w:val="1"/>
    <w:link w:val="164"/>
    <w:qFormat/>
    <w:uiPriority w:val="0"/>
    <w:pPr>
      <w:widowControl w:val="0"/>
      <w:spacing w:line="360" w:lineRule="auto"/>
      <w:ind w:firstLine="420" w:firstLineChars="200"/>
      <w:textAlignment w:val="auto"/>
    </w:pPr>
    <w:rPr>
      <w:sz w:val="20"/>
      <w:szCs w:val="20"/>
    </w:rPr>
  </w:style>
  <w:style w:type="paragraph" w:styleId="23">
    <w:name w:val="Body Text 2"/>
    <w:basedOn w:val="1"/>
    <w:autoRedefine/>
    <w:qFormat/>
    <w:uiPriority w:val="0"/>
    <w:pPr>
      <w:jc w:val="center"/>
    </w:pPr>
  </w:style>
  <w:style w:type="paragraph" w:styleId="24">
    <w:name w:val="Message Header"/>
    <w:basedOn w:val="1"/>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25">
    <w:name w:val="Title"/>
    <w:basedOn w:val="1"/>
    <w:next w:val="1"/>
    <w:autoRedefine/>
    <w:qFormat/>
    <w:uiPriority w:val="0"/>
    <w:pPr>
      <w:spacing w:before="240" w:after="60"/>
      <w:jc w:val="center"/>
    </w:pPr>
    <w:rPr>
      <w:rFonts w:ascii="Calibri Light" w:hAnsi="Calibri Light"/>
      <w:b/>
      <w:bCs/>
      <w:sz w:val="32"/>
      <w:szCs w:val="32"/>
    </w:rPr>
  </w:style>
  <w:style w:type="paragraph" w:styleId="26">
    <w:name w:val="Body Text First Indent"/>
    <w:basedOn w:val="8"/>
    <w:next w:val="27"/>
    <w:autoRedefine/>
    <w:qFormat/>
    <w:uiPriority w:val="0"/>
    <w:pPr>
      <w:ind w:firstLine="420" w:firstLineChars="100"/>
    </w:pPr>
  </w:style>
  <w:style w:type="paragraph" w:styleId="27">
    <w:name w:val="Body Text First Indent 2"/>
    <w:basedOn w:val="11"/>
    <w:next w:val="3"/>
    <w:autoRedefine/>
    <w:qFormat/>
    <w:uiPriority w:val="0"/>
    <w:pPr>
      <w:ind w:firstLine="420"/>
    </w:pPr>
  </w:style>
  <w:style w:type="table" w:styleId="29">
    <w:name w:val="Table Grid"/>
    <w:basedOn w:val="28"/>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autoRedefine/>
    <w:qFormat/>
    <w:uiPriority w:val="0"/>
    <w:rPr>
      <w:b/>
      <w:sz w:val="24"/>
      <w:szCs w:val="24"/>
    </w:rPr>
  </w:style>
  <w:style w:type="character" w:styleId="32">
    <w:name w:val="FollowedHyperlink"/>
    <w:autoRedefine/>
    <w:qFormat/>
    <w:uiPriority w:val="0"/>
    <w:rPr>
      <w:rFonts w:ascii="微软雅黑" w:hAnsi="微软雅黑" w:eastAsia="微软雅黑"/>
      <w:color w:val="02396F"/>
      <w:u w:val="single"/>
    </w:rPr>
  </w:style>
  <w:style w:type="character" w:styleId="33">
    <w:name w:val="Emphasis"/>
    <w:autoRedefine/>
    <w:qFormat/>
    <w:uiPriority w:val="0"/>
    <w:rPr>
      <w:color w:val="CC0000"/>
      <w:sz w:val="24"/>
      <w:szCs w:val="24"/>
    </w:rPr>
  </w:style>
  <w:style w:type="character" w:styleId="34">
    <w:name w:val="HTML Definition"/>
    <w:basedOn w:val="30"/>
    <w:autoRedefine/>
    <w:semiHidden/>
    <w:unhideWhenUsed/>
    <w:qFormat/>
    <w:uiPriority w:val="99"/>
    <w:rPr>
      <w:i/>
      <w:iCs/>
    </w:rPr>
  </w:style>
  <w:style w:type="character" w:styleId="35">
    <w:name w:val="Hyperlink"/>
    <w:autoRedefine/>
    <w:qFormat/>
    <w:uiPriority w:val="0"/>
    <w:rPr>
      <w:rFonts w:ascii="微软雅黑" w:hAnsi="微软雅黑" w:eastAsia="微软雅黑"/>
      <w:color w:val="02396F"/>
      <w:u w:val="single"/>
    </w:rPr>
  </w:style>
  <w:style w:type="character" w:styleId="36">
    <w:name w:val="HTML Code"/>
    <w:basedOn w:val="30"/>
    <w:autoRedefine/>
    <w:semiHidden/>
    <w:unhideWhenUsed/>
    <w:qFormat/>
    <w:uiPriority w:val="99"/>
    <w:rPr>
      <w:rFonts w:ascii="Consolas" w:hAnsi="Consolas" w:eastAsia="Consolas" w:cs="Consolas"/>
      <w:color w:val="C7254E"/>
      <w:sz w:val="21"/>
      <w:szCs w:val="21"/>
      <w:shd w:val="clear" w:color="auto" w:fill="F9F2F4"/>
    </w:rPr>
  </w:style>
  <w:style w:type="character" w:styleId="37">
    <w:name w:val="HTML Keyboard"/>
    <w:basedOn w:val="30"/>
    <w:autoRedefine/>
    <w:semiHidden/>
    <w:unhideWhenUsed/>
    <w:qFormat/>
    <w:uiPriority w:val="99"/>
    <w:rPr>
      <w:rFonts w:hint="default" w:ascii="Consolas" w:hAnsi="Consolas" w:eastAsia="Consolas" w:cs="Consolas"/>
      <w:color w:val="FFFFFF"/>
      <w:sz w:val="21"/>
      <w:szCs w:val="21"/>
      <w:shd w:val="clear" w:color="auto" w:fill="333333"/>
    </w:rPr>
  </w:style>
  <w:style w:type="character" w:styleId="38">
    <w:name w:val="HTML Sample"/>
    <w:basedOn w:val="30"/>
    <w:autoRedefine/>
    <w:semiHidden/>
    <w:unhideWhenUsed/>
    <w:qFormat/>
    <w:uiPriority w:val="99"/>
    <w:rPr>
      <w:rFonts w:hint="default" w:ascii="Consolas" w:hAnsi="Consolas" w:eastAsia="Consolas" w:cs="Consolas"/>
      <w:sz w:val="21"/>
      <w:szCs w:val="21"/>
    </w:rPr>
  </w:style>
  <w:style w:type="paragraph" w:customStyle="1" w:styleId="39">
    <w:name w:val="无间隔1"/>
    <w:next w:val="7"/>
    <w:autoRedefine/>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40">
    <w:name w:val="style4"/>
    <w:basedOn w:val="1"/>
    <w:next w:val="41"/>
    <w:autoRedefine/>
    <w:qFormat/>
    <w:uiPriority w:val="0"/>
    <w:pPr>
      <w:spacing w:before="100" w:beforeAutospacing="1" w:after="100" w:afterAutospacing="1"/>
    </w:pPr>
    <w:rPr>
      <w:sz w:val="18"/>
      <w:szCs w:val="18"/>
    </w:rPr>
  </w:style>
  <w:style w:type="paragraph" w:customStyle="1" w:styleId="41">
    <w:name w:val="2"/>
    <w:next w:val="1"/>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
    <w:name w:val="Body Text Indent 21"/>
    <w:basedOn w:val="1"/>
    <w:autoRedefine/>
    <w:qFormat/>
    <w:uiPriority w:val="0"/>
    <w:pPr>
      <w:ind w:firstLine="570"/>
    </w:pPr>
    <w:rPr>
      <w:sz w:val="32"/>
    </w:rPr>
  </w:style>
  <w:style w:type="paragraph" w:customStyle="1" w:styleId="43">
    <w:name w:val="BodyText1I"/>
    <w:basedOn w:val="44"/>
    <w:next w:val="45"/>
    <w:autoRedefine/>
    <w:qFormat/>
    <w:uiPriority w:val="0"/>
    <w:pPr>
      <w:ind w:firstLine="420" w:firstLineChars="100"/>
    </w:pPr>
  </w:style>
  <w:style w:type="paragraph" w:customStyle="1" w:styleId="44">
    <w:name w:val="BodyText"/>
    <w:basedOn w:val="1"/>
    <w:next w:val="1"/>
    <w:link w:val="62"/>
    <w:autoRedefine/>
    <w:qFormat/>
    <w:uiPriority w:val="0"/>
    <w:pPr>
      <w:spacing w:after="120"/>
    </w:pPr>
    <w:rPr>
      <w:szCs w:val="20"/>
    </w:rPr>
  </w:style>
  <w:style w:type="paragraph" w:customStyle="1" w:styleId="45">
    <w:name w:val="BodyText1I2"/>
    <w:basedOn w:val="46"/>
    <w:autoRedefine/>
    <w:qFormat/>
    <w:uiPriority w:val="0"/>
  </w:style>
  <w:style w:type="paragraph" w:customStyle="1" w:styleId="46">
    <w:name w:val="BodyTextIndent"/>
    <w:basedOn w:val="1"/>
    <w:next w:val="47"/>
    <w:autoRedefine/>
    <w:qFormat/>
    <w:uiPriority w:val="0"/>
    <w:pPr>
      <w:spacing w:line="360" w:lineRule="auto"/>
      <w:ind w:firstLine="420" w:firstLineChars="200"/>
    </w:pPr>
    <w:rPr>
      <w:color w:val="000000"/>
    </w:rPr>
  </w:style>
  <w:style w:type="paragraph" w:customStyle="1" w:styleId="47">
    <w:name w:val="EnvelopeReturn"/>
    <w:basedOn w:val="1"/>
    <w:autoRedefine/>
    <w:qFormat/>
    <w:uiPriority w:val="0"/>
    <w:pPr>
      <w:snapToGrid w:val="0"/>
    </w:pPr>
    <w:rPr>
      <w:rFonts w:ascii="Arial" w:hAnsi="Arial"/>
    </w:rPr>
  </w:style>
  <w:style w:type="paragraph" w:customStyle="1" w:styleId="48">
    <w:name w:val="Heading1"/>
    <w:basedOn w:val="1"/>
    <w:next w:val="1"/>
    <w:link w:val="75"/>
    <w:autoRedefine/>
    <w:qFormat/>
    <w:uiPriority w:val="0"/>
    <w:pPr>
      <w:keepNext/>
      <w:keepLines/>
      <w:spacing w:before="340" w:after="330" w:line="576" w:lineRule="auto"/>
    </w:pPr>
    <w:rPr>
      <w:b/>
      <w:bCs/>
      <w:kern w:val="44"/>
      <w:sz w:val="44"/>
      <w:szCs w:val="44"/>
    </w:rPr>
  </w:style>
  <w:style w:type="paragraph" w:customStyle="1" w:styleId="49">
    <w:name w:val="Heading2"/>
    <w:basedOn w:val="1"/>
    <w:next w:val="1"/>
    <w:link w:val="68"/>
    <w:autoRedefine/>
    <w:qFormat/>
    <w:uiPriority w:val="0"/>
    <w:pPr>
      <w:keepNext/>
      <w:keepLines/>
      <w:spacing w:before="120" w:after="120" w:line="360" w:lineRule="auto"/>
      <w:jc w:val="center"/>
    </w:pPr>
    <w:rPr>
      <w:rFonts w:ascii="Arial" w:hAnsi="Arial" w:eastAsia="黑体"/>
      <w:b/>
      <w:bCs/>
      <w:color w:val="000000"/>
      <w:sz w:val="32"/>
      <w:szCs w:val="32"/>
    </w:rPr>
  </w:style>
  <w:style w:type="paragraph" w:customStyle="1" w:styleId="50">
    <w:name w:val="Heading3"/>
    <w:basedOn w:val="51"/>
    <w:next w:val="1"/>
    <w:link w:val="63"/>
    <w:autoRedefine/>
    <w:qFormat/>
    <w:uiPriority w:val="0"/>
    <w:pPr>
      <w:ind w:left="840" w:leftChars="400"/>
      <w:jc w:val="both"/>
    </w:pPr>
    <w:rPr>
      <w:rFonts w:ascii="宋体" w:hAnsi="宋体" w:eastAsia="仿宋_GB2312"/>
      <w:i w:val="0"/>
      <w:iCs w:val="0"/>
      <w:color w:val="000000"/>
      <w:sz w:val="21"/>
      <w:szCs w:val="28"/>
    </w:rPr>
  </w:style>
  <w:style w:type="paragraph" w:customStyle="1" w:styleId="51">
    <w:name w:val="TOC3"/>
    <w:basedOn w:val="1"/>
    <w:next w:val="1"/>
    <w:autoRedefine/>
    <w:qFormat/>
    <w:uiPriority w:val="0"/>
    <w:pPr>
      <w:ind w:left="420"/>
      <w:jc w:val="left"/>
    </w:pPr>
    <w:rPr>
      <w:i/>
      <w:iCs/>
      <w:sz w:val="20"/>
      <w:szCs w:val="20"/>
    </w:rPr>
  </w:style>
  <w:style w:type="paragraph" w:customStyle="1" w:styleId="52">
    <w:name w:val="Heading4"/>
    <w:basedOn w:val="1"/>
    <w:next w:val="1"/>
    <w:link w:val="80"/>
    <w:autoRedefine/>
    <w:qFormat/>
    <w:uiPriority w:val="0"/>
    <w:pPr>
      <w:keepNext/>
      <w:keepLines/>
      <w:spacing w:before="280" w:after="290" w:line="372" w:lineRule="auto"/>
    </w:pPr>
    <w:rPr>
      <w:rFonts w:ascii="Arial" w:hAnsi="Arial" w:eastAsia="黑体"/>
      <w:b/>
      <w:bCs/>
      <w:sz w:val="28"/>
      <w:szCs w:val="28"/>
    </w:rPr>
  </w:style>
  <w:style w:type="paragraph" w:customStyle="1" w:styleId="53">
    <w:name w:val="Heading8"/>
    <w:basedOn w:val="1"/>
    <w:next w:val="1"/>
    <w:link w:val="79"/>
    <w:autoRedefine/>
    <w:qFormat/>
    <w:uiPriority w:val="0"/>
    <w:pPr>
      <w:keepNext/>
      <w:keepLines/>
      <w:spacing w:before="240" w:after="64" w:line="320" w:lineRule="auto"/>
    </w:pPr>
    <w:rPr>
      <w:rFonts w:ascii="Cambria" w:hAnsi="Cambria"/>
      <w:sz w:val="24"/>
    </w:rPr>
  </w:style>
  <w:style w:type="character" w:customStyle="1" w:styleId="54">
    <w:name w:val="NormalCharacter"/>
    <w:basedOn w:val="30"/>
    <w:autoRedefine/>
    <w:qFormat/>
    <w:uiPriority w:val="0"/>
  </w:style>
  <w:style w:type="table" w:customStyle="1" w:styleId="55">
    <w:name w:val="TableNormal"/>
    <w:autoRedefine/>
    <w:qFormat/>
    <w:uiPriority w:val="0"/>
    <w:tblPr>
      <w:tblCellMar>
        <w:top w:w="0" w:type="dxa"/>
        <w:left w:w="0" w:type="dxa"/>
        <w:bottom w:w="0" w:type="dxa"/>
        <w:right w:w="0" w:type="dxa"/>
      </w:tblCellMar>
    </w:tblPr>
  </w:style>
  <w:style w:type="character" w:customStyle="1" w:styleId="56">
    <w:name w:val="HtmlCite"/>
    <w:autoRedefine/>
    <w:qFormat/>
    <w:uiPriority w:val="0"/>
    <w:rPr>
      <w:sz w:val="24"/>
      <w:szCs w:val="24"/>
    </w:rPr>
  </w:style>
  <w:style w:type="character" w:customStyle="1" w:styleId="57">
    <w:name w:val="UserStyle_0"/>
    <w:link w:val="58"/>
    <w:autoRedefine/>
    <w:qFormat/>
    <w:uiPriority w:val="0"/>
    <w:rPr>
      <w:kern w:val="2"/>
      <w:sz w:val="18"/>
      <w:szCs w:val="24"/>
    </w:rPr>
  </w:style>
  <w:style w:type="paragraph" w:customStyle="1" w:styleId="58">
    <w:name w:val="页脚1"/>
    <w:basedOn w:val="1"/>
    <w:link w:val="57"/>
    <w:autoRedefine/>
    <w:qFormat/>
    <w:uiPriority w:val="0"/>
    <w:pPr>
      <w:tabs>
        <w:tab w:val="center" w:pos="4153"/>
        <w:tab w:val="right" w:pos="8306"/>
      </w:tabs>
      <w:snapToGrid w:val="0"/>
      <w:jc w:val="left"/>
    </w:pPr>
    <w:rPr>
      <w:sz w:val="18"/>
    </w:rPr>
  </w:style>
  <w:style w:type="character" w:customStyle="1" w:styleId="59">
    <w:name w:val="PageNumber"/>
    <w:basedOn w:val="54"/>
    <w:autoRedefine/>
    <w:qFormat/>
    <w:uiPriority w:val="0"/>
  </w:style>
  <w:style w:type="character" w:customStyle="1" w:styleId="60">
    <w:name w:val="UserStyle_1"/>
    <w:autoRedefine/>
    <w:qFormat/>
    <w:uiPriority w:val="0"/>
    <w:rPr>
      <w:color w:val="333333"/>
      <w:sz w:val="18"/>
      <w:szCs w:val="18"/>
    </w:rPr>
  </w:style>
  <w:style w:type="character" w:customStyle="1" w:styleId="61">
    <w:name w:val="UserStyle_2"/>
    <w:autoRedefine/>
    <w:qFormat/>
    <w:uiPriority w:val="0"/>
    <w:rPr>
      <w:color w:val="FFFFFF"/>
      <w:shd w:val="clear" w:color="auto" w:fill="A00000"/>
    </w:rPr>
  </w:style>
  <w:style w:type="character" w:customStyle="1" w:styleId="62">
    <w:name w:val="UserStyle_3"/>
    <w:link w:val="44"/>
    <w:autoRedefine/>
    <w:qFormat/>
    <w:uiPriority w:val="0"/>
    <w:rPr>
      <w:kern w:val="2"/>
      <w:sz w:val="21"/>
    </w:rPr>
  </w:style>
  <w:style w:type="character" w:customStyle="1" w:styleId="63">
    <w:name w:val="UserStyle_4"/>
    <w:link w:val="50"/>
    <w:autoRedefine/>
    <w:qFormat/>
    <w:uiPriority w:val="0"/>
    <w:rPr>
      <w:rFonts w:ascii="宋体" w:hAnsi="宋体" w:eastAsia="仿宋_GB2312"/>
      <w:color w:val="000000"/>
      <w:kern w:val="2"/>
      <w:sz w:val="21"/>
      <w:szCs w:val="28"/>
    </w:rPr>
  </w:style>
  <w:style w:type="character" w:customStyle="1" w:styleId="64">
    <w:name w:val="日期 字符"/>
    <w:link w:val="16"/>
    <w:autoRedefine/>
    <w:semiHidden/>
    <w:qFormat/>
    <w:uiPriority w:val="0"/>
    <w:rPr>
      <w:kern w:val="2"/>
      <w:sz w:val="21"/>
      <w:szCs w:val="24"/>
    </w:rPr>
  </w:style>
  <w:style w:type="character" w:customStyle="1" w:styleId="65">
    <w:name w:val="UserStyle_6"/>
    <w:autoRedefine/>
    <w:qFormat/>
    <w:uiPriority w:val="0"/>
    <w:rPr>
      <w:rFonts w:ascii="Arial" w:hAnsi="Arial" w:eastAsia="黑体"/>
      <w:b/>
      <w:kern w:val="2"/>
      <w:sz w:val="32"/>
      <w:lang w:val="en-US" w:eastAsia="zh-CN"/>
    </w:rPr>
  </w:style>
  <w:style w:type="character" w:customStyle="1" w:styleId="66">
    <w:name w:val="UserStyle_7"/>
    <w:autoRedefine/>
    <w:qFormat/>
    <w:uiPriority w:val="0"/>
    <w:rPr>
      <w:color w:val="333333"/>
      <w:sz w:val="18"/>
      <w:szCs w:val="18"/>
    </w:rPr>
  </w:style>
  <w:style w:type="character" w:customStyle="1" w:styleId="67">
    <w:name w:val="UserStyle_8"/>
    <w:basedOn w:val="54"/>
    <w:autoRedefine/>
    <w:qFormat/>
    <w:uiPriority w:val="0"/>
  </w:style>
  <w:style w:type="character" w:customStyle="1" w:styleId="68">
    <w:name w:val="UserStyle_9"/>
    <w:link w:val="49"/>
    <w:autoRedefine/>
    <w:qFormat/>
    <w:uiPriority w:val="0"/>
    <w:rPr>
      <w:rFonts w:ascii="Arial" w:hAnsi="Arial" w:eastAsia="黑体" w:cs="Times New Roman"/>
      <w:b/>
      <w:bCs/>
      <w:color w:val="000000"/>
      <w:kern w:val="2"/>
      <w:sz w:val="32"/>
      <w:szCs w:val="32"/>
      <w:lang w:val="en-US" w:eastAsia="zh-CN" w:bidi="ar-SA"/>
    </w:rPr>
  </w:style>
  <w:style w:type="character" w:customStyle="1" w:styleId="69">
    <w:name w:val="UserStyle_10"/>
    <w:link w:val="70"/>
    <w:autoRedefine/>
    <w:qFormat/>
    <w:uiPriority w:val="0"/>
    <w:rPr>
      <w:rFonts w:ascii="宋体" w:hAnsi="Courier New"/>
      <w:kern w:val="2"/>
      <w:sz w:val="19"/>
    </w:rPr>
  </w:style>
  <w:style w:type="paragraph" w:customStyle="1" w:styleId="70">
    <w:name w:val="PlainText"/>
    <w:basedOn w:val="1"/>
    <w:link w:val="69"/>
    <w:autoRedefine/>
    <w:qFormat/>
    <w:uiPriority w:val="0"/>
    <w:rPr>
      <w:rFonts w:ascii="宋体" w:hAnsi="Courier New"/>
      <w:sz w:val="19"/>
      <w:szCs w:val="20"/>
    </w:rPr>
  </w:style>
  <w:style w:type="character" w:customStyle="1" w:styleId="71">
    <w:name w:val="UserStyle_11"/>
    <w:autoRedefine/>
    <w:qFormat/>
    <w:uiPriority w:val="0"/>
    <w:rPr>
      <w:rFonts w:ascii="Times New Roman" w:hAnsi="Times New Roman"/>
      <w:color w:val="0000FF"/>
      <w:u w:val="single"/>
    </w:rPr>
  </w:style>
  <w:style w:type="character" w:customStyle="1" w:styleId="72">
    <w:name w:val="UserStyle_12"/>
    <w:link w:val="73"/>
    <w:autoRedefine/>
    <w:qFormat/>
    <w:uiPriority w:val="0"/>
    <w:rPr>
      <w:kern w:val="2"/>
      <w:sz w:val="18"/>
      <w:szCs w:val="24"/>
    </w:rPr>
  </w:style>
  <w:style w:type="paragraph" w:customStyle="1" w:styleId="73">
    <w:name w:val="页眉1"/>
    <w:basedOn w:val="1"/>
    <w:link w:val="72"/>
    <w:autoRedefine/>
    <w:qFormat/>
    <w:uiPriority w:val="0"/>
    <w:pPr>
      <w:pBdr>
        <w:top w:val="none" w:color="000000" w:sz="0" w:space="1"/>
        <w:left w:val="none" w:color="000000" w:sz="0" w:space="4"/>
        <w:bottom w:val="none" w:color="000000" w:sz="0" w:space="1"/>
        <w:right w:val="none" w:color="000000" w:sz="0" w:space="4"/>
      </w:pBdr>
      <w:tabs>
        <w:tab w:val="center" w:pos="4153"/>
        <w:tab w:val="right" w:pos="8306"/>
      </w:tabs>
      <w:snapToGrid w:val="0"/>
    </w:pPr>
    <w:rPr>
      <w:sz w:val="18"/>
    </w:rPr>
  </w:style>
  <w:style w:type="character" w:customStyle="1" w:styleId="74">
    <w:name w:val="UserStyle_13"/>
    <w:autoRedefine/>
    <w:qFormat/>
    <w:uiPriority w:val="0"/>
    <w:rPr>
      <w:color w:val="BA2636"/>
      <w:sz w:val="18"/>
      <w:szCs w:val="18"/>
    </w:rPr>
  </w:style>
  <w:style w:type="character" w:customStyle="1" w:styleId="75">
    <w:name w:val="UserStyle_14"/>
    <w:link w:val="48"/>
    <w:autoRedefine/>
    <w:qFormat/>
    <w:uiPriority w:val="0"/>
    <w:rPr>
      <w:rFonts w:cs="Times New Roman"/>
      <w:b/>
      <w:bCs/>
      <w:kern w:val="44"/>
      <w:sz w:val="44"/>
      <w:szCs w:val="44"/>
    </w:rPr>
  </w:style>
  <w:style w:type="character" w:customStyle="1" w:styleId="76">
    <w:name w:val="UserStyle_15"/>
    <w:autoRedefine/>
    <w:qFormat/>
    <w:uiPriority w:val="0"/>
    <w:rPr>
      <w:color w:val="BA2636"/>
      <w:sz w:val="18"/>
      <w:szCs w:val="18"/>
    </w:rPr>
  </w:style>
  <w:style w:type="character" w:customStyle="1" w:styleId="77">
    <w:name w:val="UserStyle_16"/>
    <w:link w:val="78"/>
    <w:autoRedefine/>
    <w:qFormat/>
    <w:uiPriority w:val="0"/>
    <w:rPr>
      <w:kern w:val="2"/>
      <w:sz w:val="32"/>
      <w:szCs w:val="24"/>
    </w:rPr>
  </w:style>
  <w:style w:type="paragraph" w:customStyle="1" w:styleId="78">
    <w:name w:val="BodyTextIndent2"/>
    <w:basedOn w:val="1"/>
    <w:link w:val="77"/>
    <w:autoRedefine/>
    <w:qFormat/>
    <w:uiPriority w:val="0"/>
    <w:pPr>
      <w:ind w:firstLine="570"/>
    </w:pPr>
    <w:rPr>
      <w:sz w:val="32"/>
    </w:rPr>
  </w:style>
  <w:style w:type="character" w:customStyle="1" w:styleId="79">
    <w:name w:val="UserStyle_17"/>
    <w:link w:val="53"/>
    <w:autoRedefine/>
    <w:semiHidden/>
    <w:qFormat/>
    <w:uiPriority w:val="0"/>
    <w:rPr>
      <w:rFonts w:ascii="Cambria" w:hAnsi="Cambria" w:eastAsia="宋体"/>
      <w:kern w:val="2"/>
      <w:sz w:val="24"/>
      <w:szCs w:val="24"/>
    </w:rPr>
  </w:style>
  <w:style w:type="character" w:customStyle="1" w:styleId="80">
    <w:name w:val="UserStyle_18"/>
    <w:link w:val="52"/>
    <w:autoRedefine/>
    <w:qFormat/>
    <w:uiPriority w:val="0"/>
    <w:rPr>
      <w:rFonts w:ascii="Arial" w:hAnsi="Arial" w:eastAsia="黑体" w:cs="Times New Roman"/>
      <w:b/>
      <w:bCs/>
      <w:kern w:val="2"/>
      <w:sz w:val="28"/>
      <w:szCs w:val="28"/>
    </w:rPr>
  </w:style>
  <w:style w:type="character" w:customStyle="1" w:styleId="81">
    <w:name w:val="UserStyle_19"/>
    <w:link w:val="82"/>
    <w:autoRedefine/>
    <w:qFormat/>
    <w:uiPriority w:val="0"/>
    <w:rPr>
      <w:kern w:val="2"/>
      <w:sz w:val="21"/>
    </w:rPr>
  </w:style>
  <w:style w:type="paragraph" w:customStyle="1" w:styleId="82">
    <w:name w:val="AnnotationText"/>
    <w:basedOn w:val="1"/>
    <w:link w:val="81"/>
    <w:autoRedefine/>
    <w:qFormat/>
    <w:uiPriority w:val="0"/>
    <w:pPr>
      <w:jc w:val="left"/>
    </w:pPr>
    <w:rPr>
      <w:szCs w:val="20"/>
    </w:rPr>
  </w:style>
  <w:style w:type="paragraph" w:customStyle="1" w:styleId="83">
    <w:name w:val="List2"/>
    <w:basedOn w:val="1"/>
    <w:autoRedefine/>
    <w:qFormat/>
    <w:uiPriority w:val="0"/>
    <w:pPr>
      <w:ind w:left="100" w:leftChars="200" w:hanging="200" w:hangingChars="200"/>
      <w:contextualSpacing/>
    </w:pPr>
  </w:style>
  <w:style w:type="paragraph" w:customStyle="1" w:styleId="84">
    <w:name w:val="TOC1"/>
    <w:basedOn w:val="1"/>
    <w:next w:val="1"/>
    <w:autoRedefine/>
    <w:qFormat/>
    <w:uiPriority w:val="0"/>
    <w:pPr>
      <w:spacing w:before="120" w:after="120"/>
      <w:jc w:val="left"/>
    </w:pPr>
    <w:rPr>
      <w:b/>
      <w:bCs/>
      <w:caps/>
      <w:sz w:val="20"/>
      <w:szCs w:val="20"/>
    </w:rPr>
  </w:style>
  <w:style w:type="paragraph" w:customStyle="1" w:styleId="85">
    <w:name w:val="MessageHeader"/>
    <w:basedOn w:val="1"/>
    <w:autoRedefine/>
    <w:qFormat/>
    <w:uiPriority w:val="0"/>
    <w:pPr>
      <w:pBdr>
        <w:top w:val="single" w:color="000000" w:sz="6" w:space="1"/>
        <w:left w:val="single" w:color="000000" w:sz="6" w:space="1"/>
        <w:bottom w:val="single" w:color="000000" w:sz="6" w:space="1"/>
        <w:right w:val="single" w:color="000000" w:sz="6" w:space="1"/>
      </w:pBdr>
      <w:ind w:left="1080" w:leftChars="500" w:hanging="1080" w:hangingChars="500"/>
    </w:pPr>
    <w:rPr>
      <w:rFonts w:ascii="Cambria" w:hAnsi="Cambria"/>
      <w:sz w:val="24"/>
    </w:rPr>
  </w:style>
  <w:style w:type="paragraph" w:customStyle="1" w:styleId="86">
    <w:name w:val="HtmlPre"/>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customStyle="1" w:styleId="87">
    <w:name w:val="HtmlNormal"/>
    <w:basedOn w:val="1"/>
    <w:autoRedefine/>
    <w:qFormat/>
    <w:uiPriority w:val="0"/>
    <w:pPr>
      <w:spacing w:before="100" w:beforeAutospacing="1" w:after="100" w:afterAutospacing="1"/>
      <w:jc w:val="left"/>
    </w:pPr>
    <w:rPr>
      <w:rFonts w:ascii="宋体" w:hAnsi="宋体"/>
      <w:kern w:val="0"/>
      <w:sz w:val="24"/>
    </w:rPr>
  </w:style>
  <w:style w:type="paragraph" w:customStyle="1" w:styleId="88">
    <w:name w:val="TOC2"/>
    <w:basedOn w:val="1"/>
    <w:next w:val="1"/>
    <w:autoRedefine/>
    <w:qFormat/>
    <w:uiPriority w:val="0"/>
    <w:pPr>
      <w:ind w:left="210"/>
      <w:jc w:val="left"/>
    </w:pPr>
    <w:rPr>
      <w:smallCaps/>
      <w:sz w:val="20"/>
      <w:szCs w:val="20"/>
    </w:rPr>
  </w:style>
  <w:style w:type="paragraph" w:customStyle="1" w:styleId="89">
    <w:name w:val="UserStyle_20"/>
    <w:basedOn w:val="49"/>
    <w:autoRedefine/>
    <w:qFormat/>
    <w:uiPriority w:val="0"/>
    <w:pPr>
      <w:spacing w:before="100" w:after="0" w:line="400" w:lineRule="exact"/>
    </w:pPr>
    <w:rPr>
      <w:rFonts w:ascii="Times New Roman" w:hAnsi="Times New Roman"/>
      <w:b w:val="0"/>
      <w:bCs w:val="0"/>
      <w:sz w:val="28"/>
      <w:szCs w:val="20"/>
    </w:rPr>
  </w:style>
  <w:style w:type="paragraph" w:customStyle="1" w:styleId="90">
    <w:name w:val="266"/>
    <w:basedOn w:val="48"/>
    <w:next w:val="1"/>
    <w:autoRedefine/>
    <w:qFormat/>
    <w:uiPriority w:val="0"/>
    <w:pPr>
      <w:spacing w:line="578" w:lineRule="auto"/>
    </w:pPr>
  </w:style>
  <w:style w:type="paragraph" w:customStyle="1" w:styleId="91">
    <w:name w:val="UserStyle_21"/>
    <w:basedOn w:val="48"/>
    <w:next w:val="1"/>
    <w:autoRedefine/>
    <w:qFormat/>
    <w:uiPriority w:val="0"/>
    <w:pPr>
      <w:ind w:firstLine="883" w:firstLineChars="200"/>
    </w:pPr>
    <w:rPr>
      <w:rFonts w:ascii="宋体" w:hAnsi="宋体" w:eastAsia="黑体" w:cs="宋体"/>
      <w:kern w:val="2"/>
      <w:szCs w:val="20"/>
    </w:rPr>
  </w:style>
  <w:style w:type="paragraph" w:customStyle="1" w:styleId="92">
    <w:name w:val="UserStyle_22"/>
    <w:basedOn w:val="1"/>
    <w:autoRedefine/>
    <w:qFormat/>
    <w:uiPriority w:val="0"/>
    <w:pPr>
      <w:jc w:val="left"/>
    </w:pPr>
    <w:rPr>
      <w:kern w:val="0"/>
      <w:sz w:val="20"/>
      <w:szCs w:val="20"/>
    </w:rPr>
  </w:style>
  <w:style w:type="paragraph" w:customStyle="1" w:styleId="93">
    <w:name w:val="UserStyle_23"/>
    <w:autoRedefine/>
    <w:qFormat/>
    <w:uiPriority w:val="0"/>
    <w:pPr>
      <w:spacing w:line="360" w:lineRule="auto"/>
      <w:ind w:firstLine="200" w:firstLineChars="200"/>
      <w:textAlignment w:val="baseline"/>
    </w:pPr>
    <w:rPr>
      <w:rFonts w:ascii="宋体" w:hAnsi="宋体" w:eastAsia="宋体" w:cs="Times New Roman"/>
      <w:kern w:val="2"/>
      <w:sz w:val="28"/>
      <w:szCs w:val="22"/>
      <w:lang w:val="en-US" w:eastAsia="zh-CN" w:bidi="ar-SA"/>
    </w:rPr>
  </w:style>
  <w:style w:type="paragraph" w:customStyle="1" w:styleId="94">
    <w:name w:val="UserStyle_24"/>
    <w:basedOn w:val="1"/>
    <w:autoRedefine/>
    <w:qFormat/>
    <w:uiPriority w:val="0"/>
    <w:pPr>
      <w:ind w:firstLine="570"/>
    </w:pPr>
    <w:rPr>
      <w:sz w:val="32"/>
    </w:rPr>
  </w:style>
  <w:style w:type="paragraph" w:customStyle="1" w:styleId="95">
    <w:name w:val="UserStyle_25"/>
    <w:basedOn w:val="1"/>
    <w:next w:val="1"/>
    <w:autoRedefine/>
    <w:qFormat/>
    <w:uiPriority w:val="0"/>
    <w:pPr>
      <w:spacing w:line="578" w:lineRule="atLeast"/>
      <w:jc w:val="center"/>
    </w:pPr>
    <w:rPr>
      <w:color w:val="000000"/>
      <w:kern w:val="0"/>
      <w:sz w:val="28"/>
    </w:rPr>
  </w:style>
  <w:style w:type="paragraph" w:customStyle="1" w:styleId="96">
    <w:name w:val="179"/>
    <w:basedOn w:val="1"/>
    <w:autoRedefine/>
    <w:qFormat/>
    <w:uiPriority w:val="0"/>
    <w:pPr>
      <w:ind w:firstLine="420" w:firstLineChars="200"/>
    </w:pPr>
  </w:style>
  <w:style w:type="paragraph" w:customStyle="1" w:styleId="97">
    <w:name w:val="UserStyle_26"/>
    <w:basedOn w:val="1"/>
    <w:autoRedefine/>
    <w:qFormat/>
    <w:uiPriority w:val="0"/>
    <w:rPr>
      <w:rFonts w:hAnsi="宋体"/>
    </w:rPr>
  </w:style>
  <w:style w:type="paragraph" w:customStyle="1" w:styleId="98">
    <w:name w:val="UserStyle_27"/>
    <w:basedOn w:val="1"/>
    <w:autoRedefine/>
    <w:qFormat/>
    <w:uiPriority w:val="0"/>
  </w:style>
  <w:style w:type="table" w:customStyle="1" w:styleId="99">
    <w:name w:val="TableGrid"/>
    <w:basedOn w:val="55"/>
    <w:autoRedefine/>
    <w:qFormat/>
    <w:uiPriority w:val="0"/>
  </w:style>
  <w:style w:type="character" w:customStyle="1" w:styleId="100">
    <w:name w:val="页眉 字符"/>
    <w:basedOn w:val="30"/>
    <w:link w:val="10"/>
    <w:autoRedefine/>
    <w:qFormat/>
    <w:uiPriority w:val="99"/>
    <w:rPr>
      <w:kern w:val="2"/>
      <w:sz w:val="18"/>
      <w:szCs w:val="18"/>
    </w:rPr>
  </w:style>
  <w:style w:type="character" w:customStyle="1" w:styleId="101">
    <w:name w:val="页脚 字符"/>
    <w:basedOn w:val="30"/>
    <w:link w:val="19"/>
    <w:autoRedefine/>
    <w:qFormat/>
    <w:uiPriority w:val="99"/>
    <w:rPr>
      <w:kern w:val="2"/>
      <w:sz w:val="18"/>
      <w:szCs w:val="18"/>
    </w:rPr>
  </w:style>
  <w:style w:type="paragraph" w:customStyle="1" w:styleId="102">
    <w:name w:val="WPSOffice手动目录 1"/>
    <w:autoRedefine/>
    <w:qFormat/>
    <w:uiPriority w:val="0"/>
    <w:rPr>
      <w:rFonts w:ascii="Times New Roman" w:hAnsi="Times New Roman" w:eastAsia="宋体" w:cs="Times New Roman"/>
      <w:lang w:val="en-US" w:eastAsia="zh-CN" w:bidi="ar-SA"/>
    </w:rPr>
  </w:style>
  <w:style w:type="character" w:customStyle="1" w:styleId="103">
    <w:name w:val="hover"/>
    <w:basedOn w:val="30"/>
    <w:autoRedefine/>
    <w:qFormat/>
    <w:uiPriority w:val="0"/>
  </w:style>
  <w:style w:type="character" w:customStyle="1" w:styleId="104">
    <w:name w:val="blue"/>
    <w:basedOn w:val="30"/>
    <w:autoRedefine/>
    <w:qFormat/>
    <w:uiPriority w:val="0"/>
    <w:rPr>
      <w:color w:val="0371C6"/>
      <w:sz w:val="21"/>
      <w:szCs w:val="21"/>
    </w:rPr>
  </w:style>
  <w:style w:type="character" w:customStyle="1" w:styleId="105">
    <w:name w:val="gb-jt"/>
    <w:basedOn w:val="30"/>
    <w:autoRedefine/>
    <w:qFormat/>
    <w:uiPriority w:val="0"/>
  </w:style>
  <w:style w:type="character" w:customStyle="1" w:styleId="106">
    <w:name w:val="right"/>
    <w:basedOn w:val="30"/>
    <w:autoRedefine/>
    <w:qFormat/>
    <w:uiPriority w:val="0"/>
    <w:rPr>
      <w:color w:val="999999"/>
    </w:rPr>
  </w:style>
  <w:style w:type="character" w:customStyle="1" w:styleId="107">
    <w:name w:val="hover13"/>
    <w:basedOn w:val="30"/>
    <w:autoRedefine/>
    <w:qFormat/>
    <w:uiPriority w:val="0"/>
  </w:style>
  <w:style w:type="character" w:customStyle="1" w:styleId="108">
    <w:name w:val="批注框文本 字符"/>
    <w:basedOn w:val="30"/>
    <w:link w:val="18"/>
    <w:autoRedefine/>
    <w:semiHidden/>
    <w:qFormat/>
    <w:uiPriority w:val="99"/>
    <w:rPr>
      <w:kern w:val="2"/>
      <w:sz w:val="18"/>
      <w:szCs w:val="18"/>
    </w:rPr>
  </w:style>
  <w:style w:type="character" w:customStyle="1" w:styleId="109">
    <w:name w:val="标题 2 字符"/>
    <w:link w:val="2"/>
    <w:autoRedefine/>
    <w:qFormat/>
    <w:uiPriority w:val="0"/>
    <w:rPr>
      <w:rFonts w:ascii="Arial" w:hAnsi="Arial" w:eastAsia="黑体"/>
      <w:b/>
      <w:bCs/>
      <w:sz w:val="32"/>
      <w:szCs w:val="32"/>
    </w:rPr>
  </w:style>
  <w:style w:type="character" w:customStyle="1" w:styleId="110">
    <w:name w:val="正文文本 字符"/>
    <w:basedOn w:val="30"/>
    <w:link w:val="8"/>
    <w:autoRedefine/>
    <w:qFormat/>
    <w:uiPriority w:val="0"/>
    <w:rPr>
      <w:kern w:val="2"/>
      <w:sz w:val="21"/>
      <w:szCs w:val="21"/>
    </w:rPr>
  </w:style>
  <w:style w:type="paragraph" w:customStyle="1" w:styleId="111">
    <w:name w:val="正文缩进1"/>
    <w:basedOn w:val="1"/>
    <w:autoRedefine/>
    <w:qFormat/>
    <w:uiPriority w:val="0"/>
    <w:pPr>
      <w:ind w:firstLine="420" w:firstLineChars="200"/>
    </w:pPr>
    <w:rPr>
      <w:rFonts w:ascii="Calibri" w:hAnsi="Calibri"/>
    </w:rPr>
  </w:style>
  <w:style w:type="paragraph" w:customStyle="1" w:styleId="112">
    <w:name w:val="正文格式"/>
    <w:autoRedefine/>
    <w:qFormat/>
    <w:uiPriority w:val="99"/>
    <w:pPr>
      <w:spacing w:line="360" w:lineRule="auto"/>
      <w:ind w:firstLine="200" w:firstLineChars="200"/>
    </w:pPr>
    <w:rPr>
      <w:rFonts w:ascii="宋体" w:hAnsi="宋体" w:eastAsia="宋体" w:cs="Times New Roman"/>
      <w:kern w:val="2"/>
      <w:sz w:val="28"/>
      <w:szCs w:val="22"/>
      <w:lang w:val="en-US" w:eastAsia="zh-CN" w:bidi="ar-SA"/>
    </w:rPr>
  </w:style>
  <w:style w:type="character" w:customStyle="1" w:styleId="113">
    <w:name w:val="color-blue"/>
    <w:basedOn w:val="30"/>
    <w:autoRedefine/>
    <w:qFormat/>
    <w:uiPriority w:val="0"/>
    <w:rPr>
      <w:color w:val="1890FF"/>
      <w:sz w:val="18"/>
      <w:szCs w:val="18"/>
      <w:bdr w:val="single" w:color="1890FF" w:sz="6" w:space="0"/>
    </w:rPr>
  </w:style>
  <w:style w:type="character" w:customStyle="1" w:styleId="114">
    <w:name w:val="l_15"/>
    <w:basedOn w:val="30"/>
    <w:autoRedefine/>
    <w:qFormat/>
    <w:uiPriority w:val="0"/>
  </w:style>
  <w:style w:type="character" w:customStyle="1" w:styleId="115">
    <w:name w:val="l_1"/>
    <w:basedOn w:val="30"/>
    <w:autoRedefine/>
    <w:qFormat/>
    <w:uiPriority w:val="0"/>
  </w:style>
  <w:style w:type="character" w:customStyle="1" w:styleId="116">
    <w:name w:val="l_5"/>
    <w:basedOn w:val="30"/>
    <w:autoRedefine/>
    <w:qFormat/>
    <w:uiPriority w:val="0"/>
  </w:style>
  <w:style w:type="character" w:customStyle="1" w:styleId="117">
    <w:name w:val="l_4"/>
    <w:basedOn w:val="30"/>
    <w:autoRedefine/>
    <w:qFormat/>
    <w:uiPriority w:val="0"/>
  </w:style>
  <w:style w:type="character" w:customStyle="1" w:styleId="118">
    <w:name w:val="l_41"/>
    <w:basedOn w:val="30"/>
    <w:autoRedefine/>
    <w:qFormat/>
    <w:uiPriority w:val="0"/>
  </w:style>
  <w:style w:type="character" w:customStyle="1" w:styleId="119">
    <w:name w:val="icon_cxktbr"/>
    <w:basedOn w:val="30"/>
    <w:autoRedefine/>
    <w:qFormat/>
    <w:uiPriority w:val="0"/>
  </w:style>
  <w:style w:type="character" w:customStyle="1" w:styleId="120">
    <w:name w:val="l_10"/>
    <w:basedOn w:val="30"/>
    <w:autoRedefine/>
    <w:qFormat/>
    <w:uiPriority w:val="0"/>
  </w:style>
  <w:style w:type="character" w:customStyle="1" w:styleId="121">
    <w:name w:val="color-yellow"/>
    <w:basedOn w:val="30"/>
    <w:autoRedefine/>
    <w:qFormat/>
    <w:uiPriority w:val="0"/>
    <w:rPr>
      <w:color w:val="FAAD14"/>
      <w:sz w:val="18"/>
      <w:szCs w:val="18"/>
      <w:bdr w:val="single" w:color="FAAD14" w:sz="6" w:space="0"/>
    </w:rPr>
  </w:style>
  <w:style w:type="character" w:customStyle="1" w:styleId="122">
    <w:name w:val="color-yellow1"/>
    <w:basedOn w:val="30"/>
    <w:autoRedefine/>
    <w:qFormat/>
    <w:uiPriority w:val="0"/>
    <w:rPr>
      <w:color w:val="FAAD14"/>
      <w:sz w:val="18"/>
      <w:szCs w:val="18"/>
      <w:bdr w:val="single" w:color="FAAD14" w:sz="6" w:space="0"/>
    </w:rPr>
  </w:style>
  <w:style w:type="character" w:customStyle="1" w:styleId="123">
    <w:name w:val="first-child"/>
    <w:basedOn w:val="30"/>
    <w:autoRedefine/>
    <w:qFormat/>
    <w:uiPriority w:val="0"/>
  </w:style>
  <w:style w:type="character" w:customStyle="1" w:styleId="124">
    <w:name w:val="l_7"/>
    <w:basedOn w:val="30"/>
    <w:autoRedefine/>
    <w:qFormat/>
    <w:uiPriority w:val="0"/>
  </w:style>
  <w:style w:type="character" w:customStyle="1" w:styleId="125">
    <w:name w:val="icon_gzkj"/>
    <w:basedOn w:val="30"/>
    <w:autoRedefine/>
    <w:qFormat/>
    <w:uiPriority w:val="0"/>
  </w:style>
  <w:style w:type="character" w:customStyle="1" w:styleId="126">
    <w:name w:val="l_0"/>
    <w:basedOn w:val="30"/>
    <w:autoRedefine/>
    <w:qFormat/>
    <w:uiPriority w:val="0"/>
  </w:style>
  <w:style w:type="character" w:customStyle="1" w:styleId="127">
    <w:name w:val="icon_dljg"/>
    <w:basedOn w:val="30"/>
    <w:autoRedefine/>
    <w:qFormat/>
    <w:uiPriority w:val="0"/>
  </w:style>
  <w:style w:type="character" w:customStyle="1" w:styleId="128">
    <w:name w:val="layui-laypage-curr"/>
    <w:basedOn w:val="30"/>
    <w:autoRedefine/>
    <w:qFormat/>
    <w:uiPriority w:val="0"/>
  </w:style>
  <w:style w:type="character" w:customStyle="1" w:styleId="129">
    <w:name w:val="l_11"/>
    <w:basedOn w:val="30"/>
    <w:autoRedefine/>
    <w:qFormat/>
    <w:uiPriority w:val="0"/>
  </w:style>
  <w:style w:type="character" w:customStyle="1" w:styleId="130">
    <w:name w:val="l_111"/>
    <w:basedOn w:val="30"/>
    <w:autoRedefine/>
    <w:qFormat/>
    <w:uiPriority w:val="0"/>
  </w:style>
  <w:style w:type="character" w:customStyle="1" w:styleId="131">
    <w:name w:val="icon_lzrz"/>
    <w:basedOn w:val="30"/>
    <w:autoRedefine/>
    <w:qFormat/>
    <w:uiPriority w:val="0"/>
  </w:style>
  <w:style w:type="character" w:customStyle="1" w:styleId="132">
    <w:name w:val="l_2"/>
    <w:basedOn w:val="30"/>
    <w:autoRedefine/>
    <w:qFormat/>
    <w:uiPriority w:val="0"/>
  </w:style>
  <w:style w:type="character" w:customStyle="1" w:styleId="133">
    <w:name w:val="icon_cxkcyry"/>
    <w:basedOn w:val="30"/>
    <w:autoRedefine/>
    <w:qFormat/>
    <w:uiPriority w:val="0"/>
  </w:style>
  <w:style w:type="character" w:customStyle="1" w:styleId="134">
    <w:name w:val="color_cdyy"/>
    <w:basedOn w:val="30"/>
    <w:autoRedefine/>
    <w:qFormat/>
    <w:uiPriority w:val="0"/>
    <w:rPr>
      <w:color w:val="FFFFFF"/>
      <w:bdr w:val="single" w:color="FFFFFF" w:sz="6" w:space="0"/>
    </w:rPr>
  </w:style>
  <w:style w:type="character" w:customStyle="1" w:styleId="135">
    <w:name w:val="l_14"/>
    <w:basedOn w:val="30"/>
    <w:autoRedefine/>
    <w:qFormat/>
    <w:uiPriority w:val="0"/>
  </w:style>
  <w:style w:type="character" w:customStyle="1" w:styleId="136">
    <w:name w:val="m-text"/>
    <w:basedOn w:val="30"/>
    <w:autoRedefine/>
    <w:qFormat/>
    <w:uiPriority w:val="0"/>
  </w:style>
  <w:style w:type="character" w:customStyle="1" w:styleId="137">
    <w:name w:val="l_12"/>
    <w:basedOn w:val="30"/>
    <w:autoRedefine/>
    <w:qFormat/>
    <w:uiPriority w:val="0"/>
  </w:style>
  <w:style w:type="character" w:customStyle="1" w:styleId="138">
    <w:name w:val="l_121"/>
    <w:basedOn w:val="30"/>
    <w:autoRedefine/>
    <w:qFormat/>
    <w:uiPriority w:val="0"/>
  </w:style>
  <w:style w:type="character" w:customStyle="1" w:styleId="139">
    <w:name w:val="l_13"/>
    <w:basedOn w:val="30"/>
    <w:autoRedefine/>
    <w:qFormat/>
    <w:uiPriority w:val="0"/>
  </w:style>
  <w:style w:type="character" w:customStyle="1" w:styleId="140">
    <w:name w:val="l_131"/>
    <w:basedOn w:val="30"/>
    <w:autoRedefine/>
    <w:qFormat/>
    <w:uiPriority w:val="0"/>
  </w:style>
  <w:style w:type="character" w:customStyle="1" w:styleId="141">
    <w:name w:val="l_3"/>
    <w:basedOn w:val="30"/>
    <w:autoRedefine/>
    <w:qFormat/>
    <w:uiPriority w:val="0"/>
  </w:style>
  <w:style w:type="character" w:customStyle="1" w:styleId="142">
    <w:name w:val="l_31"/>
    <w:basedOn w:val="30"/>
    <w:autoRedefine/>
    <w:qFormat/>
    <w:uiPriority w:val="0"/>
  </w:style>
  <w:style w:type="character" w:customStyle="1" w:styleId="143">
    <w:name w:val="l_6"/>
    <w:basedOn w:val="30"/>
    <w:autoRedefine/>
    <w:qFormat/>
    <w:uiPriority w:val="0"/>
  </w:style>
  <w:style w:type="character" w:customStyle="1" w:styleId="144">
    <w:name w:val="l_61"/>
    <w:basedOn w:val="30"/>
    <w:autoRedefine/>
    <w:qFormat/>
    <w:uiPriority w:val="0"/>
  </w:style>
  <w:style w:type="character" w:customStyle="1" w:styleId="145">
    <w:name w:val="l_8"/>
    <w:basedOn w:val="30"/>
    <w:autoRedefine/>
    <w:qFormat/>
    <w:uiPriority w:val="0"/>
  </w:style>
  <w:style w:type="character" w:customStyle="1" w:styleId="146">
    <w:name w:val="l_81"/>
    <w:basedOn w:val="30"/>
    <w:autoRedefine/>
    <w:qFormat/>
    <w:uiPriority w:val="0"/>
  </w:style>
  <w:style w:type="character" w:customStyle="1" w:styleId="147">
    <w:name w:val="l_9"/>
    <w:basedOn w:val="30"/>
    <w:autoRedefine/>
    <w:qFormat/>
    <w:uiPriority w:val="0"/>
  </w:style>
  <w:style w:type="character" w:customStyle="1" w:styleId="148">
    <w:name w:val="l_91"/>
    <w:basedOn w:val="30"/>
    <w:autoRedefine/>
    <w:qFormat/>
    <w:uiPriority w:val="0"/>
  </w:style>
  <w:style w:type="character" w:customStyle="1" w:styleId="149">
    <w:name w:val="icon_xzry"/>
    <w:basedOn w:val="30"/>
    <w:autoRedefine/>
    <w:qFormat/>
    <w:uiPriority w:val="0"/>
  </w:style>
  <w:style w:type="character" w:customStyle="1" w:styleId="150">
    <w:name w:val="icon_xglc"/>
    <w:basedOn w:val="30"/>
    <w:autoRedefine/>
    <w:qFormat/>
    <w:uiPriority w:val="0"/>
  </w:style>
  <w:style w:type="character" w:customStyle="1" w:styleId="151">
    <w:name w:val="l_51"/>
    <w:basedOn w:val="30"/>
    <w:autoRedefine/>
    <w:qFormat/>
    <w:uiPriority w:val="0"/>
  </w:style>
  <w:style w:type="character" w:customStyle="1" w:styleId="152">
    <w:name w:val="l_141"/>
    <w:basedOn w:val="30"/>
    <w:autoRedefine/>
    <w:qFormat/>
    <w:uiPriority w:val="0"/>
  </w:style>
  <w:style w:type="character" w:customStyle="1" w:styleId="153">
    <w:name w:val="first-child1"/>
    <w:basedOn w:val="30"/>
    <w:autoRedefine/>
    <w:qFormat/>
    <w:uiPriority w:val="0"/>
  </w:style>
  <w:style w:type="character" w:customStyle="1" w:styleId="154">
    <w:name w:val="l_21"/>
    <w:basedOn w:val="30"/>
    <w:autoRedefine/>
    <w:qFormat/>
    <w:uiPriority w:val="0"/>
  </w:style>
  <w:style w:type="character" w:customStyle="1" w:styleId="155">
    <w:name w:val="l_101"/>
    <w:basedOn w:val="30"/>
    <w:autoRedefine/>
    <w:qFormat/>
    <w:uiPriority w:val="0"/>
  </w:style>
  <w:style w:type="character" w:customStyle="1" w:styleId="156">
    <w:name w:val="l_01"/>
    <w:basedOn w:val="30"/>
    <w:autoRedefine/>
    <w:qFormat/>
    <w:uiPriority w:val="0"/>
  </w:style>
  <w:style w:type="character" w:customStyle="1" w:styleId="157">
    <w:name w:val="l_71"/>
    <w:basedOn w:val="30"/>
    <w:autoRedefine/>
    <w:qFormat/>
    <w:uiPriority w:val="0"/>
  </w:style>
  <w:style w:type="paragraph" w:styleId="158">
    <w:name w:val="List Paragraph"/>
    <w:basedOn w:val="1"/>
    <w:autoRedefine/>
    <w:qFormat/>
    <w:uiPriority w:val="34"/>
    <w:pPr>
      <w:ind w:firstLine="420" w:firstLineChars="200"/>
    </w:pPr>
  </w:style>
  <w:style w:type="character" w:customStyle="1" w:styleId="159">
    <w:name w:val="icon_ds"/>
    <w:basedOn w:val="30"/>
    <w:autoRedefine/>
    <w:qFormat/>
    <w:uiPriority w:val="0"/>
    <w:rPr>
      <w:sz w:val="21"/>
      <w:szCs w:val="21"/>
    </w:rPr>
  </w:style>
  <w:style w:type="character" w:customStyle="1" w:styleId="160">
    <w:name w:val="icon_ds1"/>
    <w:basedOn w:val="30"/>
    <w:autoRedefine/>
    <w:qFormat/>
    <w:uiPriority w:val="0"/>
  </w:style>
  <w:style w:type="character" w:customStyle="1" w:styleId="161">
    <w:name w:val="fr"/>
    <w:basedOn w:val="30"/>
    <w:autoRedefine/>
    <w:qFormat/>
    <w:uiPriority w:val="0"/>
  </w:style>
  <w:style w:type="character" w:customStyle="1" w:styleId="162">
    <w:name w:val="icon_gys"/>
    <w:basedOn w:val="30"/>
    <w:autoRedefine/>
    <w:qFormat/>
    <w:uiPriority w:val="0"/>
    <w:rPr>
      <w:sz w:val="21"/>
      <w:szCs w:val="21"/>
    </w:rPr>
  </w:style>
  <w:style w:type="character" w:customStyle="1" w:styleId="163">
    <w:name w:val="xiadan"/>
    <w:basedOn w:val="30"/>
    <w:autoRedefine/>
    <w:qFormat/>
    <w:uiPriority w:val="0"/>
    <w:rPr>
      <w:shd w:val="clear" w:color="auto" w:fill="E4393C"/>
    </w:rPr>
  </w:style>
  <w:style w:type="character" w:customStyle="1" w:styleId="164">
    <w:name w:val="脚注文本 字符"/>
    <w:basedOn w:val="30"/>
    <w:link w:val="22"/>
    <w:qFormat/>
    <w:uiPriority w:val="0"/>
    <w:rPr>
      <w:kern w:val="2"/>
    </w:rPr>
  </w:style>
  <w:style w:type="character" w:customStyle="1" w:styleId="165">
    <w:name w:val="正文文本缩进 字符"/>
    <w:basedOn w:val="30"/>
    <w:link w:val="11"/>
    <w:qFormat/>
    <w:uiPriority w:val="99"/>
    <w:rPr>
      <w:rFonts w:eastAsia="楷体_GB2312"/>
      <w:sz w:val="32"/>
    </w:rPr>
  </w:style>
  <w:style w:type="character" w:customStyle="1" w:styleId="166">
    <w:name w:val="标题 3 字符"/>
    <w:basedOn w:val="30"/>
    <w:link w:val="5"/>
    <w:semiHidden/>
    <w:qFormat/>
    <w:uiPriority w:val="9"/>
    <w:rPr>
      <w:rFonts w:eastAsia="Calibri"/>
      <w:b/>
      <w:bCs/>
      <w:sz w:val="32"/>
      <w:szCs w:val="32"/>
      <w:lang w:eastAsia="en-US"/>
    </w:rPr>
  </w:style>
  <w:style w:type="character" w:customStyle="1" w:styleId="167">
    <w:name w:val="标题 4 字符"/>
    <w:basedOn w:val="30"/>
    <w:link w:val="6"/>
    <w:semiHidden/>
    <w:qFormat/>
    <w:uiPriority w:val="9"/>
    <w:rPr>
      <w:rFonts w:asciiTheme="majorHAnsi" w:hAnsiTheme="majorHAnsi" w:eastAsiaTheme="majorEastAsia" w:cstheme="majorBidi"/>
      <w:b/>
      <w:bCs/>
      <w:sz w:val="28"/>
      <w:szCs w:val="28"/>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4AC7F6-1734-4BE9-BE8E-9AE21535E615}">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64</Pages>
  <Words>34949</Words>
  <Characters>37576</Characters>
  <Lines>294</Lines>
  <Paragraphs>83</Paragraphs>
  <TotalTime>395</TotalTime>
  <ScaleCrop>false</ScaleCrop>
  <LinksUpToDate>false</LinksUpToDate>
  <CharactersWithSpaces>39401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2024-06-08T01:53:00Z</dcterms:created>
  <dc:creator>Administrator</dc:creator>
  <cp:lastModifiedBy>Administrator</cp:lastModifiedBy>
  <cp:lastPrinted>2023-11-29T00:56:00Z</cp:lastPrinted>
  <dcterms:modified xsi:type="dcterms:W3CDTF">2024-06-14T01:35:10Z</dcterms:modified>
  <cp:revision>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D1DA731FF17240F9A0ECCDEB7B3692FB_13</vt:lpwstr>
  </property>
</Properties>
</file>