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65"/>
        <w:gridCol w:w="1785"/>
        <w:gridCol w:w="5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69" w:type="dxa"/>
            <w:shd w:val="clear" w:color="000000" w:fill="auto"/>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序号</w:t>
            </w:r>
          </w:p>
        </w:tc>
        <w:tc>
          <w:tcPr>
            <w:tcW w:w="1565" w:type="dxa"/>
            <w:shd w:val="clear" w:color="000000" w:fill="auto"/>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评审因素</w:t>
            </w:r>
          </w:p>
        </w:tc>
        <w:tc>
          <w:tcPr>
            <w:tcW w:w="1785" w:type="dxa"/>
            <w:shd w:val="clear" w:color="000000" w:fill="auto"/>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分值</w:t>
            </w:r>
          </w:p>
        </w:tc>
        <w:tc>
          <w:tcPr>
            <w:tcW w:w="5923" w:type="dxa"/>
            <w:shd w:val="clear" w:color="000000" w:fill="auto"/>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69" w:type="dxa"/>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1</w:t>
            </w:r>
          </w:p>
        </w:tc>
        <w:tc>
          <w:tcPr>
            <w:tcW w:w="1565" w:type="dxa"/>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投标报价</w:t>
            </w:r>
          </w:p>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（25分）</w:t>
            </w:r>
          </w:p>
        </w:tc>
        <w:tc>
          <w:tcPr>
            <w:tcW w:w="1785" w:type="dxa"/>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25分</w:t>
            </w:r>
          </w:p>
        </w:tc>
        <w:tc>
          <w:tcPr>
            <w:tcW w:w="5923" w:type="dxa"/>
            <w:vAlign w:val="center"/>
          </w:tcPr>
          <w:p>
            <w:pPr>
              <w:adjustRightInd w:val="0"/>
              <w:snapToGrid w:val="0"/>
              <w:spacing w:line="360" w:lineRule="auto"/>
              <w:ind w:firstLine="480" w:firstLineChars="200"/>
              <w:rPr>
                <w:rFonts w:ascii="宋体" w:hAnsi="宋体" w:cs="宋体"/>
                <w:bCs/>
                <w:color w:val="auto"/>
                <w:kern w:val="0"/>
                <w:sz w:val="24"/>
                <w:szCs w:val="24"/>
              </w:rPr>
            </w:pPr>
            <w:r>
              <w:rPr>
                <w:rFonts w:hint="eastAsia" w:ascii="宋体" w:hAnsi="宋体" w:cs="宋体"/>
                <w:bCs/>
                <w:color w:val="auto"/>
                <w:kern w:val="0"/>
                <w:sz w:val="24"/>
                <w:szCs w:val="24"/>
              </w:rPr>
              <w:t>1.综合评分法中的价格分统一采用低价优先法计算，即满足招标文件要求且投标价格最低的报价为评标基准价，其价格分为满分。其他投标人的价格分统一按以下公式计算：</w:t>
            </w:r>
          </w:p>
          <w:p>
            <w:pPr>
              <w:adjustRightInd w:val="0"/>
              <w:snapToGrid w:val="0"/>
              <w:spacing w:line="360" w:lineRule="auto"/>
              <w:ind w:firstLine="480" w:firstLineChars="200"/>
              <w:rPr>
                <w:rFonts w:ascii="宋体" w:hAnsi="宋体" w:cs="宋体"/>
                <w:bCs/>
                <w:color w:val="auto"/>
                <w:kern w:val="0"/>
                <w:sz w:val="24"/>
                <w:szCs w:val="24"/>
              </w:rPr>
            </w:pPr>
            <w:r>
              <w:rPr>
                <w:rFonts w:hint="eastAsia" w:ascii="宋体" w:hAnsi="宋体" w:cs="宋体"/>
                <w:bCs/>
                <w:color w:val="auto"/>
                <w:kern w:val="0"/>
                <w:sz w:val="24"/>
                <w:szCs w:val="24"/>
              </w:rPr>
              <w:t>投标报价得分=（评标基准值／投标报价）×25%×100</w:t>
            </w:r>
          </w:p>
          <w:p>
            <w:pPr>
              <w:adjustRightInd w:val="0"/>
              <w:snapToGrid w:val="0"/>
              <w:spacing w:line="360" w:lineRule="auto"/>
              <w:ind w:firstLine="480" w:firstLineChars="200"/>
              <w:rPr>
                <w:rFonts w:ascii="宋体" w:hAnsi="宋体" w:cs="宋体"/>
                <w:bCs/>
                <w:color w:val="auto"/>
                <w:kern w:val="0"/>
                <w:sz w:val="24"/>
                <w:szCs w:val="24"/>
              </w:rPr>
            </w:pPr>
            <w:r>
              <w:rPr>
                <w:rFonts w:hint="eastAsia" w:ascii="宋体" w:hAnsi="宋体" w:cs="宋体"/>
                <w:bCs/>
                <w:color w:val="auto"/>
                <w:kern w:val="0"/>
                <w:sz w:val="24"/>
                <w:szCs w:val="24"/>
              </w:rPr>
              <w:t>2.投标人的报价超出招标控制价的，按无效标处理。</w:t>
            </w:r>
          </w:p>
          <w:p>
            <w:pPr>
              <w:adjustRightInd w:val="0"/>
              <w:snapToGrid w:val="0"/>
              <w:spacing w:line="360" w:lineRule="auto"/>
              <w:ind w:firstLine="480" w:firstLineChars="200"/>
              <w:rPr>
                <w:rFonts w:ascii="宋体" w:hAnsi="宋体" w:cs="宋体"/>
                <w:bCs/>
                <w:color w:val="auto"/>
                <w:kern w:val="0"/>
                <w:sz w:val="24"/>
                <w:szCs w:val="24"/>
              </w:rPr>
            </w:pPr>
            <w:r>
              <w:rPr>
                <w:rFonts w:hint="eastAsia" w:ascii="宋体" w:hAnsi="宋体" w:cs="宋体"/>
                <w:bCs/>
                <w:color w:val="auto"/>
                <w:kern w:val="0"/>
                <w:sz w:val="24"/>
                <w:szCs w:val="24"/>
              </w:rPr>
              <w:t>3.评标委员会认为投标人的报价明显低于其他通过符合性审查投标人的报价，有可能影响不能诚信履约的，应当要求其在电子交易系统中合理的时间内提供书面说明，必要时提交相关证明材料；投标人不能证明其报价合理性的，评标委员会应当将其作为无效投标处理。</w:t>
            </w:r>
          </w:p>
          <w:p>
            <w:pPr>
              <w:spacing w:line="360" w:lineRule="auto"/>
              <w:rPr>
                <w:rFonts w:ascii="宋体" w:hAnsi="宋体" w:cs="宋体"/>
                <w:bCs/>
                <w:color w:val="auto"/>
                <w:sz w:val="24"/>
                <w:szCs w:val="24"/>
              </w:rPr>
            </w:pPr>
            <w:r>
              <w:rPr>
                <w:rFonts w:hint="eastAsia" w:ascii="宋体" w:hAnsi="宋体" w:cs="宋体"/>
                <w:bCs/>
                <w:color w:val="auto"/>
                <w:sz w:val="24"/>
                <w:szCs w:val="24"/>
              </w:rPr>
              <w:t>（1）根据财政部、工业和信息化部印发的《政府采购促进中小企业发展管理办法》（财库[2020]46号）的规定，对小型和微型企业产品的价格或提供的服务价格给予20%的扣除（工程项目为5%），用扣除后的价格参与评审。</w:t>
            </w:r>
          </w:p>
          <w:p>
            <w:pPr>
              <w:spacing w:line="360" w:lineRule="auto"/>
              <w:rPr>
                <w:rFonts w:ascii="宋体" w:hAnsi="宋体" w:cs="宋体"/>
                <w:bCs/>
                <w:color w:val="auto"/>
                <w:sz w:val="24"/>
                <w:szCs w:val="24"/>
              </w:rPr>
            </w:pPr>
            <w:r>
              <w:rPr>
                <w:rFonts w:hint="eastAsia" w:ascii="宋体" w:hAnsi="宋体" w:cs="宋体"/>
                <w:bCs/>
                <w:color w:val="auto"/>
                <w:sz w:val="24"/>
                <w:szCs w:val="24"/>
              </w:rPr>
              <w:t>（2）在政府采购活动中，供应商提供的货物、工程或者服务符合下列情形的，享受本办法规定的中小企业扶持政策：</w:t>
            </w:r>
          </w:p>
          <w:p>
            <w:pPr>
              <w:spacing w:line="360" w:lineRule="auto"/>
              <w:rPr>
                <w:rFonts w:ascii="宋体" w:hAnsi="宋体" w:cs="宋体"/>
                <w:bCs/>
                <w:color w:val="auto"/>
                <w:sz w:val="24"/>
                <w:szCs w:val="24"/>
              </w:rPr>
            </w:pPr>
            <w:r>
              <w:rPr>
                <w:rFonts w:hint="eastAsia" w:ascii="宋体" w:hAnsi="宋体" w:cs="宋体"/>
                <w:bCs/>
                <w:color w:val="auto"/>
                <w:sz w:val="24"/>
                <w:szCs w:val="24"/>
              </w:rPr>
              <w:t>（一）在货物采购项目中，货物由中小企业制造，即货物由中小企业生产且使用该中小企业商号或者注册商标；</w:t>
            </w:r>
          </w:p>
          <w:p>
            <w:pPr>
              <w:spacing w:line="360" w:lineRule="auto"/>
              <w:rPr>
                <w:rFonts w:ascii="宋体" w:hAnsi="宋体" w:cs="宋体"/>
                <w:bCs/>
                <w:color w:val="auto"/>
                <w:sz w:val="24"/>
                <w:szCs w:val="24"/>
              </w:rPr>
            </w:pPr>
            <w:r>
              <w:rPr>
                <w:rFonts w:hint="eastAsia" w:ascii="宋体" w:hAnsi="宋体" w:cs="宋体"/>
                <w:bCs/>
                <w:color w:val="auto"/>
                <w:sz w:val="24"/>
                <w:szCs w:val="24"/>
              </w:rPr>
              <w:t>（二）在工程采购项目中，工程由中小企业承建，即工程施工单位为中小企业；</w:t>
            </w:r>
          </w:p>
          <w:p>
            <w:pPr>
              <w:spacing w:line="360" w:lineRule="auto"/>
              <w:rPr>
                <w:rFonts w:ascii="宋体" w:hAnsi="宋体" w:cs="宋体"/>
                <w:bCs/>
                <w:color w:val="auto"/>
                <w:sz w:val="24"/>
                <w:szCs w:val="24"/>
              </w:rPr>
            </w:pPr>
            <w:r>
              <w:rPr>
                <w:rFonts w:hint="eastAsia" w:ascii="宋体" w:hAnsi="宋体" w:cs="宋体"/>
                <w:bCs/>
                <w:color w:val="auto"/>
                <w:sz w:val="24"/>
                <w:szCs w:val="24"/>
              </w:rPr>
              <w:t>（三）在服务采购项目中，服务由中小企业承接，即提供服务的人员为中小企业依照《中华人民共和国劳动合同法》订立劳动合同的从业人员。</w:t>
            </w:r>
          </w:p>
          <w:p>
            <w:pPr>
              <w:spacing w:line="360" w:lineRule="auto"/>
              <w:rPr>
                <w:rFonts w:ascii="宋体" w:hAnsi="宋体" w:cs="宋体"/>
                <w:bCs/>
                <w:color w:val="auto"/>
                <w:sz w:val="24"/>
                <w:szCs w:val="24"/>
              </w:rPr>
            </w:pPr>
            <w:r>
              <w:rPr>
                <w:rFonts w:hint="eastAsia" w:ascii="宋体" w:hAnsi="宋体" w:cs="宋体"/>
                <w:bCs/>
                <w:color w:val="auto"/>
                <w:sz w:val="24"/>
                <w:szCs w:val="24"/>
              </w:rPr>
              <w:t>在货物采购项目中，供应商提供的货物既有中小企业制造货物，也有大型企业制造货物的，不享受本办法规定的中小企业扶持政策。</w:t>
            </w:r>
          </w:p>
          <w:p>
            <w:pPr>
              <w:spacing w:line="360" w:lineRule="auto"/>
              <w:rPr>
                <w:rFonts w:ascii="宋体" w:hAnsi="宋体" w:cs="宋体"/>
                <w:bCs/>
                <w:color w:val="auto"/>
                <w:sz w:val="24"/>
                <w:szCs w:val="24"/>
              </w:rPr>
            </w:pPr>
            <w:r>
              <w:rPr>
                <w:rFonts w:hint="eastAsia" w:ascii="宋体" w:hAnsi="宋体" w:cs="宋体"/>
                <w:bCs/>
                <w:color w:val="auto"/>
                <w:sz w:val="24"/>
                <w:szCs w:val="24"/>
              </w:rPr>
              <w:t>以联合体形式参加政府采购活动，联合体各方均为中小企业的，联合体视同中小企业。其中，联合体各方均为小微企业的，联合体视同小微企业。</w:t>
            </w:r>
          </w:p>
          <w:p>
            <w:pPr>
              <w:spacing w:line="360" w:lineRule="auto"/>
              <w:rPr>
                <w:rFonts w:ascii="宋体" w:hAnsi="宋体" w:cs="宋体"/>
                <w:bCs/>
                <w:color w:val="auto"/>
                <w:sz w:val="24"/>
                <w:szCs w:val="24"/>
              </w:rPr>
            </w:pPr>
            <w:r>
              <w:rPr>
                <w:rFonts w:hint="eastAsia" w:ascii="宋体" w:hAnsi="宋体" w:cs="宋体"/>
                <w:bCs/>
                <w:color w:val="auto"/>
                <w:sz w:val="24"/>
                <w:szCs w:val="24"/>
              </w:rPr>
              <w:t>中小企业参加政府采购活动，应当出具《中小企业声明函》，否则不得享受相关中小企业扶持政策。任何单位和个人不得要求供应商提供《中小企业声明函》之外的中小企业身份证明文件。</w:t>
            </w:r>
          </w:p>
          <w:p>
            <w:pPr>
              <w:spacing w:line="360" w:lineRule="auto"/>
              <w:rPr>
                <w:rFonts w:ascii="宋体" w:hAnsi="宋体" w:cs="宋体"/>
                <w:bCs/>
                <w:color w:val="auto"/>
                <w:sz w:val="24"/>
                <w:szCs w:val="24"/>
              </w:rPr>
            </w:pPr>
            <w:r>
              <w:rPr>
                <w:rFonts w:hint="eastAsia" w:ascii="宋体" w:hAnsi="宋体" w:cs="宋体"/>
                <w:bCs/>
                <w:color w:val="auto"/>
                <w:sz w:val="24"/>
                <w:szCs w:val="24"/>
              </w:rPr>
              <w:t>（四）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提供由省级以上监狱管理局、戒毒管理局(含新疆生产建设兵团)出具的属于监狱企业的证明文件，不再提供《中小微企业声明函》。</w:t>
            </w:r>
          </w:p>
          <w:p>
            <w:pPr>
              <w:spacing w:line="360" w:lineRule="auto"/>
              <w:rPr>
                <w:rFonts w:ascii="宋体" w:hAnsi="宋体" w:cs="宋体"/>
                <w:bCs/>
                <w:color w:val="auto"/>
                <w:sz w:val="24"/>
                <w:szCs w:val="24"/>
              </w:rPr>
            </w:pPr>
            <w:r>
              <w:rPr>
                <w:rFonts w:hint="eastAsia" w:ascii="宋体" w:hAnsi="宋体" w:cs="宋体"/>
                <w:bCs/>
                <w:color w:val="auto"/>
                <w:sz w:val="24"/>
                <w:szCs w:val="24"/>
              </w:rPr>
              <w:t>（五）残疾人福利性单位视同小型或微型企业（投标人若为残疾人福利性单位，须按规定提供《残疾人福利性单位声明函》（见投标文件格式部分），并对其真实性负责；）</w:t>
            </w:r>
          </w:p>
          <w:p>
            <w:pPr>
              <w:adjustRightInd w:val="0"/>
              <w:snapToGrid w:val="0"/>
              <w:spacing w:line="360" w:lineRule="auto"/>
              <w:jc w:val="left"/>
              <w:rPr>
                <w:rFonts w:ascii="宋体" w:hAnsi="宋体" w:cs="宋体"/>
                <w:color w:val="auto"/>
                <w:sz w:val="24"/>
                <w:szCs w:val="24"/>
              </w:rPr>
            </w:pPr>
            <w:r>
              <w:rPr>
                <w:rFonts w:hint="eastAsia" w:ascii="宋体" w:hAnsi="宋体" w:cs="宋体"/>
                <w:bCs/>
                <w:color w:val="auto"/>
                <w:sz w:val="24"/>
                <w:szCs w:val="24"/>
              </w:rPr>
              <w:t>同一投标人，小型企业或微型企业、监狱企业、残疾人福利性单位价格扣除优惠只享受一次，不得重复享受。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769" w:type="dxa"/>
            <w:vMerge w:val="restart"/>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2</w:t>
            </w:r>
          </w:p>
        </w:tc>
        <w:tc>
          <w:tcPr>
            <w:tcW w:w="1565" w:type="dxa"/>
            <w:vMerge w:val="restart"/>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综合标</w:t>
            </w:r>
          </w:p>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（29分）</w:t>
            </w:r>
          </w:p>
        </w:tc>
        <w:tc>
          <w:tcPr>
            <w:tcW w:w="1785" w:type="dxa"/>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人员配备</w:t>
            </w:r>
          </w:p>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（15分）</w:t>
            </w:r>
          </w:p>
          <w:p>
            <w:pPr>
              <w:adjustRightInd w:val="0"/>
              <w:snapToGrid w:val="0"/>
              <w:spacing w:line="360" w:lineRule="auto"/>
              <w:jc w:val="center"/>
              <w:rPr>
                <w:rFonts w:ascii="宋体" w:hAnsi="宋体" w:cs="宋体"/>
                <w:color w:val="auto"/>
                <w:sz w:val="24"/>
                <w:szCs w:val="24"/>
              </w:rPr>
            </w:pPr>
          </w:p>
        </w:tc>
        <w:tc>
          <w:tcPr>
            <w:tcW w:w="5923" w:type="dxa"/>
            <w:vAlign w:val="center"/>
          </w:tcPr>
          <w:p>
            <w:pPr>
              <w:numPr>
                <w:ilvl w:val="0"/>
                <w:numId w:val="1"/>
              </w:numPr>
              <w:spacing w:line="360" w:lineRule="auto"/>
              <w:jc w:val="left"/>
              <w:rPr>
                <w:rFonts w:ascii="宋体" w:hAnsi="宋体" w:cs="宋体"/>
                <w:color w:val="auto"/>
                <w:kern w:val="1"/>
                <w:sz w:val="24"/>
              </w:rPr>
            </w:pPr>
            <w:r>
              <w:rPr>
                <w:rFonts w:hint="eastAsia" w:ascii="宋体" w:hAnsi="宋体" w:cs="宋体"/>
                <w:b/>
                <w:color w:val="auto"/>
                <w:kern w:val="1"/>
                <w:sz w:val="24"/>
              </w:rPr>
              <w:t>项目负责人要求</w:t>
            </w:r>
            <w:r>
              <w:rPr>
                <w:rFonts w:hint="eastAsia" w:ascii="宋体" w:hAnsi="宋体" w:cs="宋体"/>
                <w:color w:val="auto"/>
                <w:kern w:val="1"/>
                <w:sz w:val="24"/>
              </w:rPr>
              <w:t>：项目负责人（本科及以上学历）具有1年及以上的管理经验（需有类似业绩支撑）且具</w:t>
            </w:r>
            <w:r>
              <w:rPr>
                <w:rFonts w:hint="eastAsia" w:ascii="宋体" w:hAnsi="宋体" w:cs="宋体"/>
                <w:color w:val="auto"/>
                <w:kern w:val="1"/>
                <w:sz w:val="24"/>
                <w:lang w:eastAsia="zh-CN"/>
              </w:rPr>
              <w:t>有</w:t>
            </w:r>
            <w:r>
              <w:rPr>
                <w:rFonts w:hint="eastAsia" w:ascii="宋体" w:hAnsi="宋体" w:cs="宋体"/>
                <w:color w:val="auto"/>
                <w:kern w:val="1"/>
                <w:sz w:val="24"/>
              </w:rPr>
              <w:t>保安员证（公安主管部门颁发）和保安职业经理证书，须提供证明材料：</w:t>
            </w:r>
          </w:p>
          <w:p>
            <w:pPr>
              <w:spacing w:line="360" w:lineRule="auto"/>
              <w:jc w:val="left"/>
              <w:rPr>
                <w:rFonts w:ascii="宋体" w:hAnsi="宋体" w:cs="宋体"/>
                <w:color w:val="auto"/>
                <w:kern w:val="1"/>
                <w:sz w:val="24"/>
              </w:rPr>
            </w:pPr>
            <w:r>
              <w:rPr>
                <w:rFonts w:hint="eastAsia" w:ascii="宋体" w:hAnsi="宋体" w:cs="宋体"/>
                <w:color w:val="auto"/>
                <w:kern w:val="1"/>
                <w:sz w:val="24"/>
              </w:rPr>
              <w:t>（1.保安员证；2.保安职业经理证书；3.业绩合同；4.劳务合同及近3个月社保证明；5.本科及以上学历证明；）</w:t>
            </w:r>
          </w:p>
          <w:p>
            <w:pPr>
              <w:spacing w:line="360" w:lineRule="auto"/>
              <w:jc w:val="left"/>
              <w:rPr>
                <w:rFonts w:ascii="宋体" w:hAnsi="宋体" w:cs="宋体"/>
                <w:color w:val="auto"/>
                <w:kern w:val="1"/>
                <w:sz w:val="24"/>
              </w:rPr>
            </w:pPr>
            <w:r>
              <w:rPr>
                <w:rFonts w:hint="eastAsia" w:ascii="宋体" w:hAnsi="宋体" w:cs="宋体"/>
                <w:color w:val="auto"/>
                <w:kern w:val="1"/>
                <w:sz w:val="24"/>
              </w:rPr>
              <w:t>注：（1）以上证明材料每提供一项得1分，本项共5分。</w:t>
            </w:r>
          </w:p>
          <w:p>
            <w:pPr>
              <w:spacing w:line="360" w:lineRule="auto"/>
              <w:jc w:val="left"/>
              <w:rPr>
                <w:rFonts w:ascii="宋体" w:hAnsi="宋体" w:cs="宋体"/>
                <w:color w:val="auto"/>
                <w:kern w:val="1"/>
                <w:sz w:val="24"/>
              </w:rPr>
            </w:pPr>
            <w:r>
              <w:rPr>
                <w:rFonts w:hint="eastAsia" w:ascii="宋体" w:hAnsi="宋体" w:cs="宋体"/>
                <w:color w:val="auto"/>
                <w:kern w:val="1"/>
                <w:sz w:val="24"/>
              </w:rPr>
              <w:t>(2）项目负责人业绩为2021年1月1日以来的业绩，须包含政府采购网中标（成交）公示网页截图、中标（成交）通知书、合同，证明资料须为原件扫描件加盖公章，时间以合同签订日期为准。业绩合同须提供本合同第12个月的服务费发票、与服务费发票相对应的银行到账单。</w:t>
            </w:r>
          </w:p>
          <w:p>
            <w:pPr>
              <w:spacing w:line="360" w:lineRule="auto"/>
              <w:jc w:val="left"/>
              <w:rPr>
                <w:rFonts w:ascii="宋体" w:hAnsi="宋体" w:cs="宋体"/>
                <w:color w:val="auto"/>
                <w:kern w:val="1"/>
                <w:sz w:val="24"/>
              </w:rPr>
            </w:pPr>
            <w:r>
              <w:rPr>
                <w:rFonts w:hint="eastAsia" w:ascii="宋体" w:hAnsi="宋体" w:cs="宋体"/>
                <w:b/>
                <w:color w:val="auto"/>
                <w:kern w:val="1"/>
                <w:sz w:val="24"/>
              </w:rPr>
              <w:t>2.管理人员配备：</w:t>
            </w:r>
            <w:r>
              <w:rPr>
                <w:rFonts w:hint="eastAsia" w:ascii="宋体" w:hAnsi="宋体" w:cs="宋体"/>
                <w:color w:val="auto"/>
                <w:sz w:val="24"/>
                <w:szCs w:val="24"/>
              </w:rPr>
              <w:t>投标人拟派管理人员具有保安员证及投标单位为其缴纳的近三个月的社保证明的得 6分，每少一人扣 1分，扣完为止；（拟派管理人员为本项目所需的</w:t>
            </w:r>
            <w:r>
              <w:rPr>
                <w:rFonts w:hint="eastAsia" w:ascii="宋体" w:hAnsi="宋体" w:cs="宋体"/>
                <w:color w:val="auto"/>
                <w:spacing w:val="-2"/>
                <w:sz w:val="24"/>
                <w:szCs w:val="24"/>
              </w:rPr>
              <w:t>大队长、副大队长，中队长</w:t>
            </w:r>
            <w:r>
              <w:rPr>
                <w:rFonts w:hint="eastAsia" w:ascii="宋体" w:hAnsi="宋体" w:cs="宋体"/>
                <w:color w:val="auto"/>
                <w:sz w:val="24"/>
                <w:szCs w:val="24"/>
              </w:rPr>
              <w:t>）。</w:t>
            </w:r>
          </w:p>
          <w:p>
            <w:pPr>
              <w:spacing w:line="360" w:lineRule="auto"/>
              <w:jc w:val="left"/>
              <w:rPr>
                <w:rFonts w:ascii="宋体" w:hAnsi="宋体" w:cs="宋体"/>
                <w:color w:val="auto"/>
                <w:kern w:val="1"/>
                <w:sz w:val="24"/>
              </w:rPr>
            </w:pPr>
            <w:r>
              <w:rPr>
                <w:rFonts w:hint="eastAsia" w:ascii="宋体" w:hAnsi="宋体" w:cs="宋体"/>
                <w:b/>
                <w:color w:val="auto"/>
                <w:kern w:val="1"/>
                <w:sz w:val="24"/>
              </w:rPr>
              <w:t>3.整体人员配备：</w:t>
            </w:r>
            <w:r>
              <w:rPr>
                <w:rFonts w:hint="eastAsia" w:ascii="宋体" w:hAnsi="宋体" w:cs="宋体"/>
                <w:color w:val="auto"/>
                <w:kern w:val="1"/>
                <w:sz w:val="24"/>
              </w:rPr>
              <w:t>评委根据招标文件要求，对各投标单位，结合本项目实际情况拟配置各岗位人员的年龄结构、专业技能、文化程度、综合素质、工作经验、架构科学合理性、各岗位的分配、职责等进行综合评审；整体人员配备实力强的得4分；整体人员配备实力较强的得2分；整体人员配备实力一般的1分。</w:t>
            </w:r>
          </w:p>
          <w:p>
            <w:pPr>
              <w:spacing w:line="360" w:lineRule="auto"/>
              <w:jc w:val="left"/>
              <w:rPr>
                <w:rFonts w:hint="eastAsia" w:ascii="宋体" w:hAnsi="宋体" w:cs="宋体"/>
                <w:color w:val="auto"/>
                <w:kern w:val="1"/>
                <w:sz w:val="24"/>
              </w:rPr>
            </w:pPr>
          </w:p>
          <w:p>
            <w:pPr>
              <w:spacing w:line="360" w:lineRule="auto"/>
              <w:jc w:val="left"/>
              <w:rPr>
                <w:rFonts w:hint="eastAsia" w:ascii="宋体" w:hAnsi="宋体" w:cs="宋体"/>
                <w:b/>
                <w:bCs/>
                <w:color w:val="auto"/>
                <w:kern w:val="1"/>
                <w:sz w:val="24"/>
                <w:lang w:eastAsia="zh-CN"/>
              </w:rPr>
            </w:pPr>
            <w:r>
              <w:rPr>
                <w:rFonts w:hint="eastAsia" w:ascii="宋体" w:hAnsi="宋体" w:cs="宋体"/>
                <w:b/>
                <w:bCs/>
                <w:color w:val="auto"/>
                <w:kern w:val="1"/>
                <w:sz w:val="24"/>
              </w:rPr>
              <w:t>注：</w:t>
            </w:r>
            <w:r>
              <w:rPr>
                <w:rFonts w:hint="eastAsia" w:ascii="宋体" w:hAnsi="宋体" w:cs="宋体"/>
                <w:b/>
                <w:bCs/>
                <w:color w:val="auto"/>
                <w:kern w:val="1"/>
                <w:sz w:val="24"/>
                <w:lang w:eastAsia="zh-CN"/>
              </w:rPr>
              <w:t>（</w:t>
            </w:r>
            <w:r>
              <w:rPr>
                <w:rFonts w:hint="eastAsia" w:ascii="宋体" w:hAnsi="宋体" w:cs="宋体"/>
                <w:b/>
                <w:bCs/>
                <w:color w:val="auto"/>
                <w:kern w:val="1"/>
                <w:sz w:val="24"/>
                <w:lang w:val="en-US" w:eastAsia="zh-CN"/>
              </w:rPr>
              <w:t>1）</w:t>
            </w:r>
            <w:r>
              <w:rPr>
                <w:rFonts w:hint="eastAsia" w:ascii="宋体" w:hAnsi="宋体" w:cs="宋体"/>
                <w:b/>
                <w:bCs/>
                <w:color w:val="auto"/>
                <w:kern w:val="1"/>
                <w:sz w:val="24"/>
              </w:rPr>
              <w:t>提供相关证明资料须为原件扫描件加盖单位公章</w:t>
            </w:r>
            <w:r>
              <w:rPr>
                <w:rFonts w:hint="eastAsia" w:ascii="宋体" w:hAnsi="宋体" w:cs="宋体"/>
                <w:b/>
                <w:bCs/>
                <w:color w:val="auto"/>
                <w:kern w:val="1"/>
                <w:sz w:val="24"/>
                <w:lang w:eastAsia="zh-CN"/>
              </w:rPr>
              <w:t>。</w:t>
            </w:r>
          </w:p>
          <w:p>
            <w:pPr>
              <w:spacing w:line="360" w:lineRule="auto"/>
              <w:jc w:val="left"/>
              <w:rPr>
                <w:rFonts w:hint="eastAsia" w:ascii="宋体" w:hAnsi="宋体" w:eastAsia="宋体" w:cs="宋体"/>
                <w:color w:val="auto"/>
                <w:kern w:val="1"/>
                <w:sz w:val="24"/>
                <w:lang w:eastAsia="zh-CN"/>
              </w:rPr>
            </w:pPr>
            <w:r>
              <w:rPr>
                <w:rFonts w:hint="eastAsia" w:ascii="宋体" w:hAnsi="宋体" w:cs="宋体"/>
                <w:b/>
                <w:bCs/>
                <w:color w:val="auto"/>
                <w:kern w:val="1"/>
                <w:sz w:val="24"/>
                <w:lang w:eastAsia="zh-CN"/>
              </w:rPr>
              <w:t>（</w:t>
            </w:r>
            <w:r>
              <w:rPr>
                <w:rFonts w:hint="eastAsia" w:ascii="宋体" w:hAnsi="宋体" w:cs="宋体"/>
                <w:b/>
                <w:bCs/>
                <w:color w:val="auto"/>
                <w:kern w:val="1"/>
                <w:sz w:val="24"/>
                <w:lang w:val="en-US" w:eastAsia="zh-CN"/>
              </w:rPr>
              <w:t>2）</w:t>
            </w:r>
            <w:r>
              <w:rPr>
                <w:rFonts w:hint="eastAsia" w:ascii="宋体" w:hAnsi="宋体" w:cs="宋体"/>
                <w:b/>
                <w:bCs/>
                <w:color w:val="auto"/>
                <w:kern w:val="1"/>
                <w:sz w:val="24"/>
              </w:rPr>
              <w:t>本项目需承诺拟派全体人员均具有保安员证，未提供承诺的本项</w:t>
            </w:r>
            <w:r>
              <w:rPr>
                <w:rFonts w:hint="eastAsia" w:ascii="宋体" w:hAnsi="宋体" w:cs="宋体"/>
                <w:b/>
                <w:bCs/>
                <w:color w:val="auto"/>
                <w:kern w:val="1"/>
                <w:sz w:val="24"/>
                <w:lang w:eastAsia="zh-CN"/>
              </w:rPr>
              <w:t>（</w:t>
            </w:r>
            <w:r>
              <w:rPr>
                <w:rFonts w:hint="eastAsia" w:ascii="宋体" w:hAnsi="宋体" w:cs="宋体"/>
                <w:b/>
                <w:bCs/>
                <w:color w:val="auto"/>
                <w:kern w:val="1"/>
                <w:sz w:val="24"/>
              </w:rPr>
              <w:t>人员配备</w:t>
            </w:r>
            <w:bookmarkStart w:id="0" w:name="_GoBack"/>
            <w:bookmarkEnd w:id="0"/>
            <w:r>
              <w:rPr>
                <w:rFonts w:hint="eastAsia" w:ascii="宋体" w:hAnsi="宋体" w:cs="宋体"/>
                <w:b/>
                <w:bCs/>
                <w:color w:val="auto"/>
                <w:kern w:val="1"/>
                <w:sz w:val="24"/>
                <w:lang w:eastAsia="zh-CN"/>
              </w:rPr>
              <w:t>）均</w:t>
            </w:r>
            <w:r>
              <w:rPr>
                <w:rFonts w:hint="eastAsia" w:ascii="宋体" w:hAnsi="宋体" w:cs="宋体"/>
                <w:b/>
                <w:bCs/>
                <w:color w:val="auto"/>
                <w:kern w:val="1"/>
                <w:sz w:val="24"/>
              </w:rPr>
              <w:t>不得分</w:t>
            </w:r>
            <w:r>
              <w:rPr>
                <w:rFonts w:hint="eastAsia" w:ascii="宋体" w:hAnsi="宋体" w:cs="宋体"/>
                <w:b/>
                <w:bCs/>
                <w:color w:val="auto"/>
                <w:kern w:val="1"/>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vMerge w:val="continue"/>
            <w:vAlign w:val="center"/>
          </w:tcPr>
          <w:p>
            <w:pPr>
              <w:adjustRightInd w:val="0"/>
              <w:snapToGrid w:val="0"/>
              <w:spacing w:line="360" w:lineRule="auto"/>
              <w:jc w:val="center"/>
              <w:rPr>
                <w:rFonts w:ascii="宋体" w:hAnsi="宋体" w:cs="宋体"/>
                <w:color w:val="auto"/>
                <w:sz w:val="24"/>
                <w:szCs w:val="24"/>
              </w:rPr>
            </w:pPr>
          </w:p>
        </w:tc>
        <w:tc>
          <w:tcPr>
            <w:tcW w:w="1565" w:type="dxa"/>
            <w:vMerge w:val="continue"/>
            <w:vAlign w:val="center"/>
          </w:tcPr>
          <w:p>
            <w:pPr>
              <w:adjustRightInd w:val="0"/>
              <w:snapToGrid w:val="0"/>
              <w:spacing w:line="360" w:lineRule="auto"/>
              <w:jc w:val="center"/>
              <w:rPr>
                <w:rFonts w:ascii="宋体" w:hAnsi="宋体" w:cs="宋体"/>
                <w:color w:val="auto"/>
                <w:sz w:val="24"/>
                <w:szCs w:val="24"/>
              </w:rPr>
            </w:pPr>
          </w:p>
        </w:tc>
        <w:tc>
          <w:tcPr>
            <w:tcW w:w="1785" w:type="dxa"/>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投标人类似业绩</w:t>
            </w:r>
          </w:p>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（9分）</w:t>
            </w:r>
          </w:p>
        </w:tc>
        <w:tc>
          <w:tcPr>
            <w:tcW w:w="5923" w:type="dxa"/>
            <w:vAlign w:val="center"/>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投标人自 2021年1月1日以来具有类似业绩，每提供 1 份得 3分，最多得9分。</w:t>
            </w:r>
          </w:p>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注：</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(1）投标人提供业绩包括政府采购网中标（成交）公示网页截图、中标（成交）通知书、合同，证明资料须为原件扫描件加盖单位公章，时间以合同签订日期为准。</w:t>
            </w:r>
          </w:p>
          <w:p>
            <w:pPr>
              <w:widowControl/>
              <w:adjustRightInd w:val="0"/>
              <w:snapToGrid w:val="0"/>
              <w:spacing w:line="360" w:lineRule="auto"/>
              <w:jc w:val="left"/>
              <w:rPr>
                <w:rFonts w:ascii="宋体" w:hAnsi="宋体" w:cs="宋体"/>
                <w:color w:val="auto"/>
                <w:sz w:val="24"/>
                <w:szCs w:val="24"/>
              </w:rPr>
            </w:pPr>
            <w:r>
              <w:rPr>
                <w:rFonts w:hint="eastAsia" w:ascii="宋体" w:hAnsi="宋体" w:cs="宋体"/>
                <w:color w:val="auto"/>
                <w:kern w:val="0"/>
                <w:sz w:val="24"/>
                <w:szCs w:val="24"/>
              </w:rPr>
              <w:t>(2）类似业绩指与本项目相同或相近的项目。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769" w:type="dxa"/>
            <w:vMerge w:val="continue"/>
            <w:vAlign w:val="center"/>
          </w:tcPr>
          <w:p>
            <w:pPr>
              <w:adjustRightInd w:val="0"/>
              <w:snapToGrid w:val="0"/>
              <w:spacing w:line="360" w:lineRule="auto"/>
              <w:jc w:val="center"/>
              <w:rPr>
                <w:rFonts w:ascii="宋体" w:hAnsi="宋体" w:cs="宋体"/>
                <w:color w:val="auto"/>
                <w:sz w:val="24"/>
                <w:szCs w:val="24"/>
              </w:rPr>
            </w:pPr>
          </w:p>
        </w:tc>
        <w:tc>
          <w:tcPr>
            <w:tcW w:w="1565" w:type="dxa"/>
            <w:vMerge w:val="continue"/>
            <w:vAlign w:val="center"/>
          </w:tcPr>
          <w:p>
            <w:pPr>
              <w:adjustRightInd w:val="0"/>
              <w:snapToGrid w:val="0"/>
              <w:spacing w:line="360" w:lineRule="auto"/>
              <w:jc w:val="center"/>
              <w:rPr>
                <w:rFonts w:ascii="宋体" w:hAnsi="宋体" w:cs="宋体"/>
                <w:color w:val="auto"/>
                <w:sz w:val="24"/>
                <w:szCs w:val="24"/>
              </w:rPr>
            </w:pPr>
          </w:p>
        </w:tc>
        <w:tc>
          <w:tcPr>
            <w:tcW w:w="1785" w:type="dxa"/>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服务承诺</w:t>
            </w:r>
          </w:p>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（5分）</w:t>
            </w:r>
          </w:p>
        </w:tc>
        <w:tc>
          <w:tcPr>
            <w:tcW w:w="5923" w:type="dxa"/>
            <w:vAlign w:val="center"/>
          </w:tcPr>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评标委员会根据各供应商响应文件中提供的服务承诺内容具体、合理等进行评审。</w:t>
            </w:r>
          </w:p>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（1）服务承诺内容具体、合理、实用性强的得5分；</w:t>
            </w:r>
          </w:p>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（2）服务承诺内容具体、合理、实用性较强的得3分；</w:t>
            </w:r>
          </w:p>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（3）服务承诺内容具一般、不够合理、实用性一般的得2分；</w:t>
            </w:r>
          </w:p>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（4）服务承诺内容较差、合理、实用性较差的得1分；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769" w:type="dxa"/>
            <w:vMerge w:val="restart"/>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3</w:t>
            </w:r>
          </w:p>
        </w:tc>
        <w:tc>
          <w:tcPr>
            <w:tcW w:w="1565" w:type="dxa"/>
            <w:vMerge w:val="restart"/>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项目实</w:t>
            </w:r>
          </w:p>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施方案</w:t>
            </w:r>
          </w:p>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（46分）</w:t>
            </w:r>
          </w:p>
          <w:p>
            <w:pPr>
              <w:adjustRightInd w:val="0"/>
              <w:snapToGrid w:val="0"/>
              <w:spacing w:line="360" w:lineRule="auto"/>
              <w:jc w:val="center"/>
              <w:rPr>
                <w:rFonts w:ascii="宋体" w:hAnsi="宋体" w:cs="宋体"/>
                <w:color w:val="auto"/>
                <w:sz w:val="24"/>
                <w:szCs w:val="24"/>
              </w:rPr>
            </w:pPr>
          </w:p>
          <w:p>
            <w:pPr>
              <w:adjustRightInd w:val="0"/>
              <w:snapToGrid w:val="0"/>
              <w:spacing w:line="360" w:lineRule="auto"/>
              <w:jc w:val="center"/>
              <w:rPr>
                <w:rFonts w:ascii="宋体" w:hAnsi="宋体" w:cs="宋体"/>
                <w:color w:val="auto"/>
                <w:sz w:val="24"/>
                <w:szCs w:val="24"/>
              </w:rPr>
            </w:pPr>
          </w:p>
        </w:tc>
        <w:tc>
          <w:tcPr>
            <w:tcW w:w="1785" w:type="dxa"/>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实施方案</w:t>
            </w:r>
          </w:p>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（10分）</w:t>
            </w:r>
          </w:p>
        </w:tc>
        <w:tc>
          <w:tcPr>
            <w:tcW w:w="5923" w:type="dxa"/>
            <w:vAlign w:val="center"/>
          </w:tcPr>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评标委员会根据各供应商响应文件中提供的实施方案（包括实施方案切合实际科学完善，服务理念积极向上，定位目标合理明确，门卫、车辆、日常秩序、值班管理等服务流程及服务规范）的科学、合理、实用的程度进行评分。</w:t>
            </w:r>
          </w:p>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(1)方案科学完善、合理，有针对性、可操作性强的得10分；</w:t>
            </w:r>
          </w:p>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(2)方案完善、合理，有针对性、可操作性较强的得8分；</w:t>
            </w:r>
          </w:p>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(3)方案较完善、合理，针对性一般、可操作性一般的得6分；</w:t>
            </w:r>
          </w:p>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(4)方案完善、合理一般，针对性、可操作性较差的得4分；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Merge w:val="continue"/>
            <w:vAlign w:val="center"/>
          </w:tcPr>
          <w:p>
            <w:pPr>
              <w:adjustRightInd w:val="0"/>
              <w:snapToGrid w:val="0"/>
              <w:spacing w:line="360" w:lineRule="auto"/>
              <w:jc w:val="center"/>
              <w:rPr>
                <w:rFonts w:ascii="宋体" w:hAnsi="宋体" w:cs="宋体"/>
                <w:color w:val="auto"/>
                <w:sz w:val="24"/>
                <w:szCs w:val="24"/>
              </w:rPr>
            </w:pPr>
          </w:p>
        </w:tc>
        <w:tc>
          <w:tcPr>
            <w:tcW w:w="1565" w:type="dxa"/>
            <w:vMerge w:val="continue"/>
            <w:vAlign w:val="center"/>
          </w:tcPr>
          <w:p>
            <w:pPr>
              <w:adjustRightInd w:val="0"/>
              <w:snapToGrid w:val="0"/>
              <w:spacing w:line="360" w:lineRule="auto"/>
              <w:jc w:val="center"/>
              <w:rPr>
                <w:rFonts w:ascii="宋体" w:hAnsi="宋体" w:cs="宋体"/>
                <w:color w:val="auto"/>
                <w:sz w:val="24"/>
                <w:szCs w:val="24"/>
              </w:rPr>
            </w:pPr>
          </w:p>
        </w:tc>
        <w:tc>
          <w:tcPr>
            <w:tcW w:w="1785" w:type="dxa"/>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kern w:val="0"/>
                <w:sz w:val="24"/>
                <w:szCs w:val="24"/>
              </w:rPr>
              <w:t>机构设置和</w:t>
            </w:r>
            <w:r>
              <w:rPr>
                <w:rFonts w:hint="eastAsia" w:ascii="宋体" w:hAnsi="宋体" w:cs="宋体"/>
                <w:color w:val="auto"/>
                <w:sz w:val="24"/>
                <w:szCs w:val="24"/>
              </w:rPr>
              <w:t>规章制度</w:t>
            </w:r>
            <w:r>
              <w:rPr>
                <w:rFonts w:hint="eastAsia" w:ascii="宋体" w:hAnsi="宋体" w:cs="宋体"/>
                <w:color w:val="auto"/>
                <w:kern w:val="0"/>
                <w:sz w:val="24"/>
                <w:szCs w:val="24"/>
              </w:rPr>
              <w:t>（7分）</w:t>
            </w:r>
          </w:p>
          <w:p>
            <w:pPr>
              <w:adjustRightInd w:val="0"/>
              <w:snapToGrid w:val="0"/>
              <w:spacing w:line="360" w:lineRule="auto"/>
              <w:jc w:val="center"/>
              <w:rPr>
                <w:rFonts w:ascii="宋体" w:hAnsi="宋体" w:cs="宋体"/>
                <w:color w:val="auto"/>
                <w:sz w:val="24"/>
                <w:szCs w:val="24"/>
              </w:rPr>
            </w:pPr>
          </w:p>
        </w:tc>
        <w:tc>
          <w:tcPr>
            <w:tcW w:w="5923" w:type="dxa"/>
            <w:vAlign w:val="center"/>
          </w:tcPr>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投标人设置的管理机构合理、高效，有明确的管理构架和各部门职责，配齐配强项目管理团队，合理配置人员，服务标准及管理措施，</w:t>
            </w:r>
            <w:r>
              <w:rPr>
                <w:rFonts w:hint="eastAsia" w:ascii="宋体" w:hAnsi="宋体" w:cs="宋体"/>
                <w:color w:val="auto"/>
                <w:sz w:val="24"/>
                <w:szCs w:val="24"/>
              </w:rPr>
              <w:t>各项工作制度、岗位责任制度、及其他管理制度</w:t>
            </w:r>
            <w:r>
              <w:rPr>
                <w:rFonts w:hint="eastAsia" w:ascii="宋体" w:hAnsi="宋体" w:cs="宋体"/>
                <w:color w:val="auto"/>
                <w:kern w:val="0"/>
                <w:sz w:val="24"/>
                <w:szCs w:val="24"/>
              </w:rPr>
              <w:t>等进行综合评审。</w:t>
            </w:r>
          </w:p>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（1）内容具体、合理、实用性强的得7分；</w:t>
            </w:r>
          </w:p>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（2）内容具体、合理、实用性较强的得5分；</w:t>
            </w:r>
          </w:p>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（3）内容具一般、不够合理、实用性一般的得3分；</w:t>
            </w:r>
          </w:p>
          <w:p>
            <w:pPr>
              <w:widowControl/>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（4）内容较差、合理、实用性较差的得1分；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69" w:type="dxa"/>
            <w:vMerge w:val="continue"/>
            <w:vAlign w:val="center"/>
          </w:tcPr>
          <w:p>
            <w:pPr>
              <w:adjustRightInd w:val="0"/>
              <w:snapToGrid w:val="0"/>
              <w:spacing w:line="360" w:lineRule="auto"/>
              <w:jc w:val="center"/>
              <w:rPr>
                <w:rFonts w:ascii="宋体" w:hAnsi="宋体" w:cs="宋体"/>
                <w:color w:val="auto"/>
                <w:sz w:val="24"/>
                <w:szCs w:val="24"/>
              </w:rPr>
            </w:pPr>
          </w:p>
        </w:tc>
        <w:tc>
          <w:tcPr>
            <w:tcW w:w="1565" w:type="dxa"/>
            <w:vMerge w:val="continue"/>
            <w:vAlign w:val="center"/>
          </w:tcPr>
          <w:p>
            <w:pPr>
              <w:adjustRightInd w:val="0"/>
              <w:snapToGrid w:val="0"/>
              <w:spacing w:line="360" w:lineRule="auto"/>
              <w:jc w:val="center"/>
              <w:rPr>
                <w:rFonts w:ascii="宋体" w:hAnsi="宋体" w:cs="宋体"/>
                <w:color w:val="auto"/>
                <w:sz w:val="24"/>
                <w:szCs w:val="24"/>
              </w:rPr>
            </w:pPr>
          </w:p>
        </w:tc>
        <w:tc>
          <w:tcPr>
            <w:tcW w:w="1785" w:type="dxa"/>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人员培训</w:t>
            </w:r>
          </w:p>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（7分）</w:t>
            </w:r>
          </w:p>
        </w:tc>
        <w:tc>
          <w:tcPr>
            <w:tcW w:w="5923" w:type="dxa"/>
            <w:vAlign w:val="center"/>
          </w:tcPr>
          <w:p>
            <w:pPr>
              <w:widowControl/>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评标委员会根据各供应商响应文件提供的人员</w:t>
            </w:r>
            <w:r>
              <w:rPr>
                <w:rFonts w:hint="eastAsia" w:ascii="宋体" w:hAnsi="宋体" w:cs="宋体"/>
                <w:color w:val="auto"/>
                <w:kern w:val="0"/>
                <w:sz w:val="24"/>
                <w:szCs w:val="24"/>
              </w:rPr>
              <w:t>培训方案、培训计划</w:t>
            </w:r>
            <w:r>
              <w:rPr>
                <w:rFonts w:hint="eastAsia" w:ascii="宋体" w:hAnsi="宋体" w:cs="宋体"/>
                <w:color w:val="auto"/>
                <w:sz w:val="24"/>
                <w:szCs w:val="24"/>
              </w:rPr>
              <w:t>、监督考核机制的完善、合理、可操作性性情况进行评分。</w:t>
            </w:r>
          </w:p>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kern w:val="0"/>
                <w:sz w:val="24"/>
                <w:szCs w:val="24"/>
              </w:rPr>
              <w:t>培训方案、培训计划</w:t>
            </w:r>
            <w:r>
              <w:rPr>
                <w:rFonts w:hint="eastAsia" w:ascii="宋体" w:hAnsi="宋体" w:cs="宋体"/>
                <w:color w:val="auto"/>
                <w:sz w:val="24"/>
                <w:szCs w:val="24"/>
              </w:rPr>
              <w:t>、监督考核机制完善、合理，可操作性强的得7分；</w:t>
            </w:r>
          </w:p>
          <w:p>
            <w:pPr>
              <w:pStyle w:val="7"/>
              <w:keepNext w:val="0"/>
              <w:keepLines w:val="0"/>
              <w:adjustRightInd w:val="0"/>
              <w:snapToGrid w:val="0"/>
              <w:ind w:firstLine="0" w:firstLineChars="0"/>
              <w:jc w:val="left"/>
              <w:rPr>
                <w:rFonts w:cs="宋体"/>
                <w:color w:val="auto"/>
                <w:sz w:val="24"/>
                <w:szCs w:val="24"/>
              </w:rPr>
            </w:pPr>
            <w:r>
              <w:rPr>
                <w:rFonts w:hint="eastAsia" w:cs="宋体"/>
                <w:color w:val="auto"/>
                <w:sz w:val="24"/>
                <w:szCs w:val="24"/>
              </w:rPr>
              <w:t>(2)</w:t>
            </w:r>
            <w:r>
              <w:rPr>
                <w:rFonts w:hint="eastAsia" w:cs="宋体"/>
                <w:color w:val="auto"/>
                <w:kern w:val="0"/>
                <w:sz w:val="24"/>
                <w:szCs w:val="24"/>
              </w:rPr>
              <w:t>培训方案、培训计划</w:t>
            </w:r>
            <w:r>
              <w:rPr>
                <w:rFonts w:hint="eastAsia" w:cs="宋体"/>
                <w:color w:val="auto"/>
                <w:sz w:val="24"/>
                <w:szCs w:val="24"/>
              </w:rPr>
              <w:t>、监督考核机制不够完善、合理，可操作性较强的得5分；</w:t>
            </w:r>
          </w:p>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kern w:val="0"/>
                <w:sz w:val="24"/>
                <w:szCs w:val="24"/>
              </w:rPr>
              <w:t>培训方案、培训计划</w:t>
            </w:r>
            <w:r>
              <w:rPr>
                <w:rFonts w:hint="eastAsia" w:ascii="宋体" w:hAnsi="宋体" w:cs="宋体"/>
                <w:color w:val="auto"/>
                <w:sz w:val="24"/>
                <w:szCs w:val="24"/>
              </w:rPr>
              <w:t>、监督考核机制不够完善、合理，可操作性一般得3分；</w:t>
            </w:r>
          </w:p>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kern w:val="0"/>
                <w:sz w:val="24"/>
                <w:szCs w:val="24"/>
              </w:rPr>
              <w:t>培训方案、培训计划</w:t>
            </w:r>
            <w:r>
              <w:rPr>
                <w:rFonts w:hint="eastAsia" w:ascii="宋体" w:hAnsi="宋体" w:cs="宋体"/>
                <w:color w:val="auto"/>
                <w:sz w:val="24"/>
                <w:szCs w:val="24"/>
              </w:rPr>
              <w:t>、监督考核机制较差，可操作性较差的得1分；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9" w:type="dxa"/>
            <w:vMerge w:val="continue"/>
            <w:vAlign w:val="center"/>
          </w:tcPr>
          <w:p>
            <w:pPr>
              <w:adjustRightInd w:val="0"/>
              <w:snapToGrid w:val="0"/>
              <w:spacing w:line="360" w:lineRule="auto"/>
              <w:jc w:val="center"/>
              <w:rPr>
                <w:rFonts w:ascii="宋体" w:hAnsi="宋体" w:cs="宋体"/>
                <w:color w:val="auto"/>
                <w:sz w:val="24"/>
                <w:szCs w:val="24"/>
              </w:rPr>
            </w:pPr>
          </w:p>
        </w:tc>
        <w:tc>
          <w:tcPr>
            <w:tcW w:w="1565" w:type="dxa"/>
            <w:vMerge w:val="continue"/>
            <w:vAlign w:val="center"/>
          </w:tcPr>
          <w:p>
            <w:pPr>
              <w:adjustRightInd w:val="0"/>
              <w:snapToGrid w:val="0"/>
              <w:spacing w:line="360" w:lineRule="auto"/>
              <w:jc w:val="center"/>
              <w:rPr>
                <w:rFonts w:ascii="宋体" w:hAnsi="宋体" w:cs="宋体"/>
                <w:color w:val="auto"/>
                <w:sz w:val="24"/>
                <w:szCs w:val="24"/>
              </w:rPr>
            </w:pPr>
          </w:p>
        </w:tc>
        <w:tc>
          <w:tcPr>
            <w:tcW w:w="1785" w:type="dxa"/>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拟投入的设施设备（10分）</w:t>
            </w:r>
          </w:p>
        </w:tc>
        <w:tc>
          <w:tcPr>
            <w:tcW w:w="5923" w:type="dxa"/>
            <w:vAlign w:val="center"/>
          </w:tcPr>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评标委员会根据供应商安全装备的配备情况包括人员制服、安保器材等用于本项目的装备投入计划、装备配备等情况等进行评审：</w:t>
            </w:r>
          </w:p>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(1)提供实施设备齐全、满足项目需求、运行良好的得10分；</w:t>
            </w:r>
          </w:p>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(2)提供实施设备较齐全、基本满足项目需求、运行较好的得6分；</w:t>
            </w:r>
          </w:p>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(3)提供实施设备较齐全、基本满足项目需求、运行一般的得3分；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69" w:type="dxa"/>
            <w:vMerge w:val="continue"/>
            <w:vAlign w:val="center"/>
          </w:tcPr>
          <w:p>
            <w:pPr>
              <w:adjustRightInd w:val="0"/>
              <w:snapToGrid w:val="0"/>
              <w:spacing w:line="360" w:lineRule="auto"/>
              <w:jc w:val="center"/>
              <w:rPr>
                <w:rFonts w:ascii="宋体" w:hAnsi="宋体" w:cs="宋体"/>
                <w:color w:val="auto"/>
                <w:sz w:val="24"/>
                <w:szCs w:val="24"/>
              </w:rPr>
            </w:pPr>
          </w:p>
        </w:tc>
        <w:tc>
          <w:tcPr>
            <w:tcW w:w="1565" w:type="dxa"/>
            <w:vMerge w:val="continue"/>
            <w:vAlign w:val="center"/>
          </w:tcPr>
          <w:p>
            <w:pPr>
              <w:adjustRightInd w:val="0"/>
              <w:snapToGrid w:val="0"/>
              <w:spacing w:line="360" w:lineRule="auto"/>
              <w:jc w:val="center"/>
              <w:rPr>
                <w:rFonts w:ascii="宋体" w:hAnsi="宋体" w:cs="宋体"/>
                <w:color w:val="auto"/>
                <w:sz w:val="24"/>
                <w:szCs w:val="24"/>
              </w:rPr>
            </w:pPr>
          </w:p>
        </w:tc>
        <w:tc>
          <w:tcPr>
            <w:tcW w:w="1785" w:type="dxa"/>
            <w:vAlign w:val="center"/>
          </w:tcPr>
          <w:p>
            <w:pPr>
              <w:widowControl/>
              <w:adjustRightInd w:val="0"/>
              <w:snapToGrid w:val="0"/>
              <w:spacing w:line="360" w:lineRule="auto"/>
              <w:jc w:val="left"/>
              <w:rPr>
                <w:rFonts w:ascii="宋体" w:hAnsi="宋体" w:cs="宋体"/>
                <w:color w:val="auto"/>
                <w:sz w:val="24"/>
                <w:szCs w:val="24"/>
              </w:rPr>
            </w:pPr>
            <w:r>
              <w:rPr>
                <w:rFonts w:hint="eastAsia" w:ascii="宋体" w:hAnsi="宋体" w:cs="宋体"/>
                <w:color w:val="auto"/>
                <w:kern w:val="0"/>
                <w:sz w:val="24"/>
                <w:szCs w:val="24"/>
              </w:rPr>
              <w:t>保障措施（6分）</w:t>
            </w:r>
          </w:p>
          <w:p>
            <w:pPr>
              <w:adjustRightInd w:val="0"/>
              <w:snapToGrid w:val="0"/>
              <w:spacing w:line="360" w:lineRule="auto"/>
              <w:jc w:val="center"/>
              <w:rPr>
                <w:rFonts w:ascii="宋体" w:hAnsi="宋体" w:cs="宋体"/>
                <w:color w:val="auto"/>
                <w:sz w:val="24"/>
                <w:szCs w:val="24"/>
              </w:rPr>
            </w:pPr>
          </w:p>
        </w:tc>
        <w:tc>
          <w:tcPr>
            <w:tcW w:w="5923" w:type="dxa"/>
            <w:vAlign w:val="center"/>
          </w:tcPr>
          <w:p>
            <w:pPr>
              <w:adjustRightInd w:val="0"/>
              <w:snapToGrid w:val="0"/>
              <w:spacing w:line="360" w:lineRule="auto"/>
              <w:jc w:val="left"/>
              <w:rPr>
                <w:rFonts w:ascii="宋体" w:hAnsi="宋体" w:cs="宋体"/>
                <w:color w:val="auto"/>
                <w:sz w:val="24"/>
                <w:szCs w:val="24"/>
              </w:rPr>
            </w:pPr>
            <w:r>
              <w:rPr>
                <w:rFonts w:hint="eastAsia" w:ascii="宋体" w:hAnsi="宋体" w:cs="宋体"/>
                <w:color w:val="auto"/>
                <w:kern w:val="0"/>
                <w:sz w:val="24"/>
                <w:szCs w:val="24"/>
              </w:rPr>
              <w:t>根据工作人员、通信设备、安全保密、项目管理、服务质量保障等各方面保证措施，评委根据具体情况进行综合评审，（1）措施</w:t>
            </w:r>
            <w:r>
              <w:rPr>
                <w:rFonts w:hint="eastAsia" w:ascii="宋体" w:hAnsi="宋体" w:cs="宋体"/>
                <w:color w:val="auto"/>
                <w:sz w:val="24"/>
                <w:szCs w:val="24"/>
              </w:rPr>
              <w:t>科学完善、合理，有针对性、可操作性强的得6分；</w:t>
            </w:r>
          </w:p>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kern w:val="0"/>
                <w:sz w:val="24"/>
                <w:szCs w:val="24"/>
              </w:rPr>
              <w:t>措施</w:t>
            </w:r>
            <w:r>
              <w:rPr>
                <w:rFonts w:hint="eastAsia" w:ascii="宋体" w:hAnsi="宋体" w:cs="宋体"/>
                <w:color w:val="auto"/>
                <w:sz w:val="24"/>
                <w:szCs w:val="24"/>
              </w:rPr>
              <w:t>完善、合理，有针对性、可操作性较强的得4分；</w:t>
            </w:r>
          </w:p>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kern w:val="0"/>
                <w:sz w:val="24"/>
                <w:szCs w:val="24"/>
              </w:rPr>
              <w:t>措施</w:t>
            </w:r>
            <w:r>
              <w:rPr>
                <w:rFonts w:hint="eastAsia" w:ascii="宋体" w:hAnsi="宋体" w:cs="宋体"/>
                <w:color w:val="auto"/>
                <w:sz w:val="24"/>
                <w:szCs w:val="24"/>
              </w:rPr>
              <w:t>较完善、合理，针对性一般、可操作性一般的得2分；</w:t>
            </w:r>
          </w:p>
          <w:p>
            <w:pPr>
              <w:widowControl/>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kern w:val="0"/>
                <w:sz w:val="24"/>
                <w:szCs w:val="24"/>
              </w:rPr>
              <w:t>措施</w:t>
            </w:r>
            <w:r>
              <w:rPr>
                <w:rFonts w:hint="eastAsia" w:ascii="宋体" w:hAnsi="宋体" w:cs="宋体"/>
                <w:color w:val="auto"/>
                <w:sz w:val="24"/>
                <w:szCs w:val="24"/>
              </w:rPr>
              <w:t>一般，针对性、可操作性较差的得1分；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769" w:type="dxa"/>
            <w:vMerge w:val="continue"/>
            <w:vAlign w:val="center"/>
          </w:tcPr>
          <w:p>
            <w:pPr>
              <w:adjustRightInd w:val="0"/>
              <w:snapToGrid w:val="0"/>
              <w:spacing w:line="360" w:lineRule="auto"/>
              <w:jc w:val="center"/>
              <w:rPr>
                <w:rFonts w:ascii="宋体" w:hAnsi="宋体" w:cs="宋体"/>
                <w:color w:val="auto"/>
                <w:sz w:val="24"/>
                <w:szCs w:val="24"/>
              </w:rPr>
            </w:pPr>
          </w:p>
        </w:tc>
        <w:tc>
          <w:tcPr>
            <w:tcW w:w="1565" w:type="dxa"/>
            <w:vMerge w:val="continue"/>
            <w:vAlign w:val="center"/>
          </w:tcPr>
          <w:p>
            <w:pPr>
              <w:adjustRightInd w:val="0"/>
              <w:snapToGrid w:val="0"/>
              <w:spacing w:line="360" w:lineRule="auto"/>
              <w:jc w:val="center"/>
              <w:rPr>
                <w:rFonts w:ascii="宋体" w:hAnsi="宋体" w:cs="宋体"/>
                <w:color w:val="auto"/>
                <w:sz w:val="24"/>
                <w:szCs w:val="24"/>
              </w:rPr>
            </w:pPr>
          </w:p>
        </w:tc>
        <w:tc>
          <w:tcPr>
            <w:tcW w:w="1785" w:type="dxa"/>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应急方案</w:t>
            </w:r>
          </w:p>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（6分）</w:t>
            </w:r>
          </w:p>
        </w:tc>
        <w:tc>
          <w:tcPr>
            <w:tcW w:w="5923" w:type="dxa"/>
            <w:vAlign w:val="center"/>
          </w:tcPr>
          <w:p>
            <w:pPr>
              <w:widowControl/>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评标委员会根据各供应商的应急方案（包括但不限于消防、地震等其他</w:t>
            </w:r>
            <w:r>
              <w:rPr>
                <w:rFonts w:hint="eastAsia" w:ascii="宋体" w:hAnsi="宋体" w:cs="宋体"/>
                <w:color w:val="auto"/>
                <w:kern w:val="0"/>
                <w:sz w:val="24"/>
                <w:szCs w:val="24"/>
              </w:rPr>
              <w:t>突发情况</w:t>
            </w:r>
            <w:r>
              <w:rPr>
                <w:rFonts w:hint="eastAsia" w:ascii="宋体" w:hAnsi="宋体" w:cs="宋体"/>
                <w:color w:val="auto"/>
                <w:sz w:val="24"/>
                <w:szCs w:val="24"/>
              </w:rPr>
              <w:t>）的合理性、针对性、可操作性等进行综合横向评分。</w:t>
            </w:r>
          </w:p>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(1)应急方案满足上述基本要求、有优化方案且内容全面合理，针对性强、可操作性强的得6分；</w:t>
            </w:r>
          </w:p>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(2)应急方案满足上述基本要求、有优化方案且内容针对性较强、可操作性较强的得4分；</w:t>
            </w:r>
          </w:p>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(3)应急方案满足上述基本要求、有优化方案但内容针对性一般、可操作性一般的得2分；</w:t>
            </w:r>
          </w:p>
          <w:p>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(4)应急方案满足上述基本要求、有优化方案但内容针对性较差、可操作性较差的得1分；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29F02E"/>
    <w:multiLevelType w:val="singleLevel"/>
    <w:tmpl w:val="C929F02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YjgxNDYxZmY4ZGRkNjc1OGU5N2M0MzdhODk5NjIifQ=="/>
  </w:docVars>
  <w:rsids>
    <w:rsidRoot w:val="3B6107D1"/>
    <w:rsid w:val="0003438C"/>
    <w:rsid w:val="000C3DA7"/>
    <w:rsid w:val="00130403"/>
    <w:rsid w:val="00364C4A"/>
    <w:rsid w:val="00381040"/>
    <w:rsid w:val="00522A6F"/>
    <w:rsid w:val="0055378B"/>
    <w:rsid w:val="005D2854"/>
    <w:rsid w:val="006A30E2"/>
    <w:rsid w:val="006D5BB6"/>
    <w:rsid w:val="00941F3B"/>
    <w:rsid w:val="009A3A05"/>
    <w:rsid w:val="00AC5696"/>
    <w:rsid w:val="00B426D0"/>
    <w:rsid w:val="00B92313"/>
    <w:rsid w:val="00BD088A"/>
    <w:rsid w:val="00F02FAD"/>
    <w:rsid w:val="00F51E17"/>
    <w:rsid w:val="02DA1F3A"/>
    <w:rsid w:val="045F2796"/>
    <w:rsid w:val="05772978"/>
    <w:rsid w:val="070677A2"/>
    <w:rsid w:val="07A76C22"/>
    <w:rsid w:val="08C77405"/>
    <w:rsid w:val="0A7375B2"/>
    <w:rsid w:val="124A4DF8"/>
    <w:rsid w:val="125A3098"/>
    <w:rsid w:val="125C471A"/>
    <w:rsid w:val="138008DC"/>
    <w:rsid w:val="14691370"/>
    <w:rsid w:val="1552050A"/>
    <w:rsid w:val="15836462"/>
    <w:rsid w:val="15B14D7D"/>
    <w:rsid w:val="16082FC8"/>
    <w:rsid w:val="1DDB508D"/>
    <w:rsid w:val="1F330EF8"/>
    <w:rsid w:val="1FE521F3"/>
    <w:rsid w:val="20825C93"/>
    <w:rsid w:val="224F1BA5"/>
    <w:rsid w:val="23887A65"/>
    <w:rsid w:val="249C4E4A"/>
    <w:rsid w:val="26F435DA"/>
    <w:rsid w:val="27421CD9"/>
    <w:rsid w:val="283D6944"/>
    <w:rsid w:val="2CC969F8"/>
    <w:rsid w:val="2CED0939"/>
    <w:rsid w:val="2DAA4A7C"/>
    <w:rsid w:val="2EC34B5D"/>
    <w:rsid w:val="2F230642"/>
    <w:rsid w:val="2FC11C09"/>
    <w:rsid w:val="305D23CE"/>
    <w:rsid w:val="305E1101"/>
    <w:rsid w:val="308E2433"/>
    <w:rsid w:val="30CB0F91"/>
    <w:rsid w:val="30F32296"/>
    <w:rsid w:val="31D04385"/>
    <w:rsid w:val="3307027A"/>
    <w:rsid w:val="34DD74E5"/>
    <w:rsid w:val="35942299"/>
    <w:rsid w:val="39225E0E"/>
    <w:rsid w:val="3AC16F61"/>
    <w:rsid w:val="3B6107D1"/>
    <w:rsid w:val="3CCB2319"/>
    <w:rsid w:val="3E1A3557"/>
    <w:rsid w:val="3EB05C6A"/>
    <w:rsid w:val="3F5E7474"/>
    <w:rsid w:val="3F6C1B91"/>
    <w:rsid w:val="3FAF7218"/>
    <w:rsid w:val="41526B64"/>
    <w:rsid w:val="42784CF1"/>
    <w:rsid w:val="42A173FF"/>
    <w:rsid w:val="42AF474B"/>
    <w:rsid w:val="442347E8"/>
    <w:rsid w:val="461D3BE5"/>
    <w:rsid w:val="46967669"/>
    <w:rsid w:val="46C91677"/>
    <w:rsid w:val="46DE7D29"/>
    <w:rsid w:val="47271E1B"/>
    <w:rsid w:val="4C3B4DC5"/>
    <w:rsid w:val="4EF63225"/>
    <w:rsid w:val="4F894099"/>
    <w:rsid w:val="4FB677D1"/>
    <w:rsid w:val="512F6EC2"/>
    <w:rsid w:val="54D77655"/>
    <w:rsid w:val="561072C2"/>
    <w:rsid w:val="56FA762A"/>
    <w:rsid w:val="592A2449"/>
    <w:rsid w:val="5ACB7C5C"/>
    <w:rsid w:val="5C531CB7"/>
    <w:rsid w:val="5C7A5495"/>
    <w:rsid w:val="5D0B07E3"/>
    <w:rsid w:val="5D465377"/>
    <w:rsid w:val="5F475D87"/>
    <w:rsid w:val="61F21F72"/>
    <w:rsid w:val="6200468F"/>
    <w:rsid w:val="65C92FEA"/>
    <w:rsid w:val="670267B3"/>
    <w:rsid w:val="67035656"/>
    <w:rsid w:val="68BE2BAE"/>
    <w:rsid w:val="6933534A"/>
    <w:rsid w:val="6A7C1D67"/>
    <w:rsid w:val="6AA14535"/>
    <w:rsid w:val="6AA162E3"/>
    <w:rsid w:val="6DB85E1E"/>
    <w:rsid w:val="6DB97DE8"/>
    <w:rsid w:val="6FB2689C"/>
    <w:rsid w:val="723B701D"/>
    <w:rsid w:val="73410663"/>
    <w:rsid w:val="743A3291"/>
    <w:rsid w:val="74463A57"/>
    <w:rsid w:val="75157FF9"/>
    <w:rsid w:val="754B57C9"/>
    <w:rsid w:val="76731117"/>
    <w:rsid w:val="77811976"/>
    <w:rsid w:val="7E4D25B2"/>
    <w:rsid w:val="7E883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w:basedOn w:val="1"/>
    <w:qFormat/>
    <w:uiPriority w:val="0"/>
    <w:pPr>
      <w:keepNext/>
      <w:keepLines/>
      <w:spacing w:line="360" w:lineRule="auto"/>
      <w:ind w:firstLine="200" w:firstLineChars="200"/>
    </w:pPr>
    <w:rPr>
      <w:rFonts w:ascii="宋体" w:hAnsi="宋体"/>
    </w:rPr>
  </w:style>
  <w:style w:type="character" w:customStyle="1" w:styleId="8">
    <w:name w:val="页眉 Char"/>
    <w:basedOn w:val="6"/>
    <w:link w:val="4"/>
    <w:qFormat/>
    <w:uiPriority w:val="0"/>
    <w:rPr>
      <w:rFonts w:ascii="Calibri" w:hAnsi="Calibri" w:eastAsia="宋体" w:cs="Times New Roman"/>
      <w:kern w:val="2"/>
      <w:sz w:val="18"/>
      <w:szCs w:val="18"/>
    </w:rPr>
  </w:style>
  <w:style w:type="character" w:customStyle="1" w:styleId="9">
    <w:name w:val="页脚 Char"/>
    <w:basedOn w:val="6"/>
    <w:link w:val="3"/>
    <w:uiPriority w:val="0"/>
    <w:rPr>
      <w:rFonts w:ascii="Calibri" w:hAnsi="Calibri" w:eastAsia="宋体" w:cs="Times New Roman"/>
      <w:kern w:val="2"/>
      <w:sz w:val="18"/>
      <w:szCs w:val="18"/>
    </w:rPr>
  </w:style>
  <w:style w:type="character" w:customStyle="1" w:styleId="10">
    <w:name w:val="批注框文本 Char"/>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3156</Words>
  <Characters>3241</Characters>
  <Lines>23</Lines>
  <Paragraphs>6</Paragraphs>
  <TotalTime>36</TotalTime>
  <ScaleCrop>false</ScaleCrop>
  <LinksUpToDate>false</LinksUpToDate>
  <CharactersWithSpaces>3247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2024-07-05T01:08:00Z</dcterms:created>
  <dc:creator>贾</dc:creator>
  <cp:lastModifiedBy>答案</cp:lastModifiedBy>
  <cp:lastPrinted>2024-07-05T07:59:00Z</cp:lastPrinted>
  <dcterms:modified xsi:type="dcterms:W3CDTF">2024-07-06T02:43:33Z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C0D2FECF55E24714A43C0BD711F69A3A_13</vt:lpwstr>
  </property>
</Properties>
</file>