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/>
          <w:color w:val="auto"/>
          <w:sz w:val="28"/>
          <w:szCs w:val="28"/>
          <w:lang w:val="en-US" w:eastAsia="zh-CN"/>
        </w:rPr>
      </w:pPr>
      <w:bookmarkStart w:id="0" w:name="_Toc22648"/>
      <w:r>
        <w:rPr>
          <w:rFonts w:hint="eastAsia" w:ascii="宋体" w:hAnsi="宋体"/>
          <w:color w:val="auto"/>
          <w:sz w:val="28"/>
          <w:szCs w:val="28"/>
        </w:rPr>
        <w:t>项目需求及技术要求</w:t>
      </w:r>
      <w:bookmarkStart w:id="11" w:name="_GoBack"/>
      <w:bookmarkEnd w:id="11"/>
    </w:p>
    <w:p>
      <w:pPr>
        <w:pStyle w:val="3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技术要求：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bookmarkStart w:id="1" w:name="_Toc13659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一标段：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脑功能监护仪：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  <w:bookmarkEnd w:id="1"/>
    </w:p>
    <w:p>
      <w:pPr>
        <w:keepNext w:val="0"/>
        <w:keepLines w:val="0"/>
        <w:pageBreakBefore w:val="0"/>
        <w:widowControl w:val="0"/>
        <w:tabs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技术性能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bidi w:val="0"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放大器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/>
        </w:rPr>
        <w:t>32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共模抑制比：&gt;10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0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dB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时间常数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：0.0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-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0.3s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，关闭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position w:val="-6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高频滤波：15-700 Hz，关闭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采样频率：2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HZ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可调。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数据处理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2.1、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参考电极选择：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</w:rPr>
        <w:t>单极、双极、平均参考（AV）,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eastAsia="zh-CN"/>
        </w:rPr>
        <w:t>区域源参考，发生源参考，左右侧平均参考、双耳平均（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</w:rPr>
        <w:t>A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/>
        </w:rPr>
        <w:t>AV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</w:rPr>
        <w:t>,系统参考（Org）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eastAsia="zh-CN"/>
        </w:rPr>
        <w:t>，自定义平均参考。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数据采集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保存数据的采样率可选择，范围：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200、500、1000、2000Hz。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2、保存路径可自定义，并可自动在多硬盘中变更储存位置。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3、三套自动诱发程序，包括睁闭眼、过度换气、闪光诱发试验，过程中有提示音。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4、同步记录心电图、肌电图、呼吸、体动、体位、眼动、鼾声与睡眠相关的等生理信号。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5、记录过程中可随时测量波幅和时程，并可在线生成报告。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6、同步回放记录过程中的数据，同屏显示。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7、同步音视频记录。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8、在线基于脑电图的脑功能分析，功能包括：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意识状态趋势分析CSI。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振幅整合脑电图趋势分析aEEG。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边缘频率趋势分析SEF。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中值频率趋势分析MDF。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峰值频率趋势分析PPF。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脑电复杂率趋势分析PSE。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样品包络趋势分析ENV。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爆发抑制比趋势分析B／S。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压缩谱趋势分析DSA。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频段功率（α、β、δ、θ各频段）趋势分析以及它们之间比例变化趋势分析。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数据回放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回放数据，过程中可变换导联、滤波条件。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中文报告自动生成系统：包括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0套标准诊断模板，允许自由编辑模板，报告书格式可自由调整。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波形局部放大，放大后精确测量波幅\时程\频率。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定量脑电图分析软件：幅度和功率谱、各脑电图成份在各导联中的比例、各脑区左右对比（侧差比）、最大值数据。分析结果自动存到标准数据库中，允许进行统计学分析。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1、32导一体式数字化放大器。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计算机主机、显示器。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移动台车，带有放大器、视频支架。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打印机。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盘状电极。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导电膏。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7、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360摄像头。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8、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脑电图软件。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9、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脑电地形图软件。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脑功能监护软件。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11、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同步视频软件。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2" w:name="_Toc27713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二标段：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设备1：新生儿亚低温治疗仪（核心产品）(II类医疗器械（仅作为提醒作用，以实际提供资料为准）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制冷方式：半导体制冷。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电容触摸屏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12英寸，分辨率：1280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800，并支持中文手写输入，方便医护人员观察和操作。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内置监护系统，实时监测患儿的血氧、血压、心电、呼吸等生命体征参数，并与亚低温治疗同屏显示。内置记录仪，可实时打印治疗期间任意阶段的温度曲线和生理参数波形。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产品的高度应≥12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控制范围：水温控制范围：13.0～40.8℃，体温控制范围：30.0-40.0℃。测量范围：水温测量范围0～50℃，体温测量范围0～50℃。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精度：水温探头测量精度±0.1℃，体温探头测量精度±0.1℃。水温控制精度±0.3℃，体温控制精度±0.3℃。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升降温速率：将水温从20℃加热到37℃，加热时间≤2.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分钟。升温速率≥ 5 ℃/min，降温速率≥1.0℃/min。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应有预冷/预热内置双层隔离水箱，容量≥3L。水温控制应支持全自动温度闭环控制，系统应可通过传感器反馈自动控制升降温。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水箱加注方式：支持电动式加水或清空内置水箱。关机后，毯内水由于水毯压力回弹自动回仓。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支持毯面式（平躺式）或者全身包裹式水毯。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支持对病人档案及病人信息进行查询、查看、导出、及删除操作。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具有温度波形和趋势图显示，不少于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小时温度趋势数据回顾，帮助医护人员追溯患者治疗全过程。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具有三重温度保护，其中两路硬件保护的温度设置点为42℃，一路软件保护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保护温度设置点为41℃。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内置锂电池，可支持监护显示功能，工作时间≥60 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配置有收纳托盘，可放置护理用品。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设备2：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婴儿培养箱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(III类医疗器械（仅作为提醒作用，以实际提供资料为准）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彩色触摸屏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≥7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英寸，显示屏可整体升降，多角度可调，方便医护人员远距离多角度观察。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支持中文手写输入功能，方便患者信息输入。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婴儿模式下温度控制范围34～38℃，空气模式下温度控制范围21～39℃。空气模式下，平均培养箱温度与控制温度之差应 ≤0.5℃。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Style w:val="8"/>
          <w:rFonts w:hint="eastAsia" w:ascii="宋体" w:hAnsi="宋体" w:eastAsia="宋体" w:cs="宋体"/>
          <w:bCs/>
          <w:snapToGrid w:val="0"/>
          <w:color w:val="auto"/>
          <w:sz w:val="21"/>
          <w:szCs w:val="21"/>
        </w:rPr>
        <w:t>空气模式下，平均培养箱温度与控制温度之差应 ≤0.5℃ ,箱温和肤温的测量范围不窄于20℃~40℃ , 测量精度±0.1℃ , 升温时间≤30min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箱内湿度最高可设置≥9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%，控制精度应≤±5%，湿度测量范围湿度测量范围不窄于20%~99%，测量精度应≤±5%。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应配备前置透明可视水箱，水位情况一目了然，可防止干烧损坏仪器。水箱采用PPSU材质，可耐134°高温高压消毒。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伺服供氧功能，氧浓度控制范围21~65%，氧浓度测量范围不窄于21~100%，测量精度≤±2%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内置体重秤。体重测量范围300g～8000g，5000g以下测量精度≤±5g ，5000g以上测量精度≤±10g。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暖箱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新生儿呼吸暂停检测与呼吸暂停唤醒功能。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箱内噪音应≤45dB。具有自动加强风帘功能，减少热量散失。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应具有电动床体倾斜功能。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支持双通道体温同时测量，满足多角度更精准的测量体温。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可扩展载物托盘及输液支架，具有X光拍片盒。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支持掉电存储功能，具有≥160小时趋势图和趋势表回顾，200次技术报警事件，200个参数报警事件，500条用户操作日志回顾。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内置可充电锂电池。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产品使用年限应≥10年。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设备3：T-组合婴儿复苏器(II或III类医疗器械（仅作为提醒作用，以实际提供资料为准）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产品组成：包括气源组件、空氧混合器、复苏组件以及附件组成。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产品应用于早产儿、足月儿的窒息复苏抢救，适用婴儿体重范围≤10kg。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气源供应：医用氧气与空气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（管道压缩供气系统或者压缩气瓶供气）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氧气和空气气源输入压力范围：2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0-600kpa。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要求内置空氧混合装置，氧浓度设置范围：21%-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%，精度：≤±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%。（提供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第三方检测机构出具的检测报告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气体流量范围：0-1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L/min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气道峰压（PIP）最大设定值≤45cmH2O，PIP防误操作的值为30cmH2O，防止因误操作而导致的肺损伤，保证通气安全。（提供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第三方检测机构出具的检测报告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PEEP（呼末正压）范围不小于：0-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cmH2O。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气道压力表测压范围不小于：-20-100cmH20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第三方检测机构出具的检测报告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产品重量应≤5Kg。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3" w:name="_Toc25294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三标段：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双面光疗箱: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  <w:bookmarkEnd w:id="3"/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基本配置：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zh-CN"/>
        </w:rPr>
        <w:t>主机（包括婴儿舱、机箱、控制仪、输液架及托盘），皮肤温度传感器,机柜，上黄疸治疗装置,下黄疸治疗装置。</w:t>
      </w:r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产品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lang w:val="zh-CN"/>
        </w:rPr>
        <w:t>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具有箱温和肤温两种温度控制模式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具有双面LED光疗装置功能，湿度显示功能和湿度控制功能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设置温度、箱内温度、皮肤温度、湿度分屏显示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独立的超温保护系统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独立的风道传感器检测超温及风道堵塞报警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婴儿床倾斜角度无级可调功能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水箱采用PES塑料制作，整体水箱可以直接采用“高温高压”法消毒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具有正门独立锁定装置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采用低噪音的无刷直流电机。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主要技术参数：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工作电源：AC220V/50Hz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输入功率：≤1000VA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控制方式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箱温和肤温两种温度控制、湿度显示控制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箱温控制范围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25～37℃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皮肤温度控制范围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34～37℃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箱温和肤温显示温度范围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5～65℃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皮肤温度传感器精度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±0.2℃内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婴儿床倾斜角度: ±12°无级可调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婴儿舱内噪声: ≤45dB（A）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故障报警: 断电、传感器、 偏差、超温、风道循环、缺水、水箱位置、系统等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湿度显示范围: 0%RH～99%RH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湿度控制范围: 0%RH～90%RH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湿度控制精度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±10%RH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vertAlign w:val="superscript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光源工作时间的计时范围：0-9999小时59分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上黄疸治疗装置：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床面上有效表面内的总辐照度：≥1.7mW/cm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有效表面内的最高胆红素总辐照度：3.5mW/cm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</w:rPr>
        <w:t xml:space="preserve">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下黄疸治疗装置：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床面上有效表面内的总辐照度：≥0.8mW/cm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有效表面内的最高胆红素总辐照度：1.3mW/cm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四标段：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新生儿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无创双水平呼吸机: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LED彩色电容触摸屏≥8寸，分辨率≥1280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监测参数显示：呼末正压、峰值压、平均压、流量、氧浓度、自主呼吸频率、呼气时间、吸呼比、泄漏率、氧浓度与平均压乘积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图形显示：压力－时间波形、流量柱状图显示。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内置电子空氧混合器，氧浓度调节范围：21% - 100% ，精度±3%。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内置氧传感器，监测范围0-100%，精度±2%，氧传感器自动校准，且校准程序无需手动启动。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具有气道压力泄露补偿功能，同时可显示泄漏率。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提供和呼吸机主机同品牌压力发生器，提供近鼻端压力监测。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通气模式：NCPAP，NIPPV，HFNC。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NCPAP模式：不需要额外传感器支持呼吸暂停监测及唤醒通气功能。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NCPAP模式下，设定持续气道正压值：1cmH2O-15cmH2O。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唤醒通气压力：2cmH2O-20cmH2O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呼吸暂停报警时间：OFF，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1s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–60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s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NIPPV模式下，吸气压力最高可设置25cmH2O，提供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相关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HFNC高流量氧疗模式：流量0.5L/min-20L/min可调，具有压力监测功能。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提供增氧功能：通气持续时间可调，最长时间120s，增氧氧浓度22%-100%连续可调。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提供手动通气功能，通气时间1s-15s可调，气道压力2cmH2O-20cmH2O。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报警：具有手动/自动设置报警上下限功能。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可以提供截屏功能，最多可以缓存50张截屏图片。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最多可以存储10000条事件日志。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可提供VGA接口、RS232接口、网络接口、USB接口、护士呼叫接口。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具备锂电池，充满可使用≥4小时。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4" w:name="_Toc24987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五标段：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设备1：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新生儿监护仪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>
            <w:pPr>
              <w:pStyle w:val="7"/>
              <w:spacing w:line="360" w:lineRule="auto"/>
              <w:ind w:right="-512" w:rightChars="-244" w:firstLine="0" w:firstLineChars="0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一、整体要求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5" w:name="_Hlk145347635"/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产品设计使用期限≥8年，提供产品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丝印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整机无风扇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提供新生儿专用监护模式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安全规格：ECG, TEMP, IBP, SpO2 , NIBP监测参数抗电击程度为防除颤CF型。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提供新生儿专用心电电缆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提供新生儿专用可重复使用血氧探头一个，防水等级≥IPX7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提供新生儿专用血压测量袖带一套，包括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3个尺寸不同的袖带。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大字体界面支持≥6个参数区的设置和显示。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提供新生儿呼吸氧合专用界面，实时识别和标记ABD事件，协助临床对于新生儿的呼吸暂停的监测和管理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监护仪清洁维护支持的清洁剂≥40种，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二、监护仪结构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模块化插件式床边监护仪，主机、显示屏和插件槽一体化，主机插槽数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彩色触摸屏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12英寸，高分辨率达1280x800，8通道显示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显示屏亮度自动调节，具备智能光控能力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可内置锂电池，供电时间≥4小时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三、监测参数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基本功能模块支持心电，呼吸，心率，无创血压，血氧饱和度，脉搏，双通道体温和双通道有创血压的同时监测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基本参数模块可升级为带屏幕的转运监护仪，屏幕&gt;=5英寸，内置锂电池供电时间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5小时，无风扇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支持3/5/6导心电监测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提供ST段分析功能，提供窗口显示多导ST片段的同屏实时查看，并提供监护截图证明材料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具有QT/QTc实时测量功能，提供QT，QTc和ΔQTc参数值，提供监护截图证明材料。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无创血压提供手动、自动间隔、连续、序列四种测量模式，满足新生儿监测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血氧监测支持SpO2，PR和灌注指数（PI）的监测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可升级支持配置两通道血氧同时监测，实时计算两通道血氧差值ΔSpO2的显示和报警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支持双通道有创压IBP监测，支持升级多达8通道有创压监测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可升级CO2模块，即插即用，支持新生儿呼末CO2技术，采用微流技术，采样速率50ml/min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可升级支持提供模块或者单机支持新生儿组织氧饱和度监测，支持多达4个通道，监测参数包括：rSO2，rSO2最近60分钟平均值，基线值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可升级提供模块或者单机支持新生儿实时脑电aEEG监测。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可升级支持与主流呼吸机品牌的呼吸机相连，实现呼吸机设备的信息在监护仪上显示、存储、记录、打印或者用于参与计算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可升级支持与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Radiometer TCM 监测仪集成连通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，监护仪上显示和存储回顾经皮氧分压(TcPO2) 和经皮二氧化碳分压(TcPCO2)参数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right="-512" w:rightChars="-244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四、系统功能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提供单血氧大参数界面，界面显示SpO2，PR,PI和多组SpO2监测值列表相关参数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提供CCHD专用界面，支持新生儿先天性心脏病通过患者血氧进行筛查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标配具备血液动力学，药物计算，氧合计算，通气计算和肾功能计算功能，并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提供截图证明材料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48小时全息波形的存储与回顾功能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标配具备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120小时ST模板的存储与回顾功能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pStyle w:val="7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  <w:lang w:val="en-US" w:eastAsia="zh-CN"/>
        </w:rPr>
      </w:pP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设备2：新生儿有创压监护仪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（核心产品）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</w:p>
    <w:tbl>
      <w:tblPr>
        <w:tblStyle w:val="9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整体要求</w:t>
            </w: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产品设计使用期限≥8年，提供产品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丝印照片证明材料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整机采用无风扇设计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提供新生儿专用监护模式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安全规格：ECG, TEMP, IBP, SpO2 , NIBP监测参数抗电击程度为防除颤CF型。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提供新生儿专用心电电缆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提供新生儿专用可重复使用血氧探头一个，防水等级≥IPX7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提供新生儿专用血压测量袖带一套，包括≥3个尺寸不同的袖带。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大字体界面支持≥6个参数区的设置和显示。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78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提供新生儿呼吸氧合专用界面，实时识别和标记ABD事件，协助临床对于新生儿的呼吸暂停的监测和管理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562" w:leftChars="0" w:hanging="42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监护仪清洁维护支持的清洁剂≥40种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证明材料。</w:t>
            </w:r>
          </w:p>
        </w:tc>
      </w:tr>
    </w:tbl>
    <w:tbl>
      <w:tblPr>
        <w:tblStyle w:val="9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监护仪结构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模块化监护仪，整机无风扇设计，主机集成内置≥2槽位插件槽，可支持IBP，CO2任意参数模块的即插即用。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彩色液晶电容触摸屏≥10英寸，分辨率≥1280*800。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显示屏可支持亮度自动调节功能。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屏幕倾斜10~15度设计，符合人机工程学，便于临床团队观察和操作。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监测患者类型为小儿、新生儿，不含成人，所有监测参数适用于新生儿。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监测参数：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配置3/5导心电，呼吸，无创血压，血氧饱和度，脉搏和双通道体温参数监测。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心电监护支持心率，ST段测量，心律失常分析，QT/QTc连续实时测量和对应报警功能，适用于新生儿，提供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QT和QTc实时监测参数测量范围：200～800 ms。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支持升级提供过去24小时心电概览报告查看与打印，包括心率统计结果，心律失常统计结果，ST统计和QT/QTc统计结果。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提供SpO2,PR和灌注指数(PI)参数的实时监测，适用于小儿和新生儿。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提供手动，自动，连续和序列4种测量模式，并提供24小时血压统计结果。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无创血压小儿测量范围：收缩压25~240mmHg，舒张压10~200mmHg，平均压15~215mmHg；无创血压新生儿测量范围：收缩压25~140mmHg，舒张压10~115mmHg，平均压15~125mmHg。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支持升级多达4通道有创压监测，适用于小儿和新生儿。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系统功能：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提供多种新生儿监护界面，包括呼吸氧合、大字体、单血氧界面。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提供单血氧大参数界面，界面显示SpO2，PR,PI和多组SpO2监测值列表相关参数。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提供CCHD筛查工具，支持新生儿先天性心脏病通过患者血氧进行筛查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支持RJ45接口进行有线网络通信，和微量注射泵一起联网通信到中心监护系统。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提供计时器功能，计时方向包括正计时和倒计时两种选择。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19、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动态趋势界面可支持统计1-24小时心律失常报警、参数超限报警信息，并对超限报警区间的波形进行高亮显示，帮助医护人员快速识别异常趋势信息。</w:t>
            </w:r>
          </w:p>
        </w:tc>
      </w:tr>
    </w:tbl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jc w:val="left"/>
        <w:outlineLvl w:val="2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</w:pPr>
      <w:bookmarkStart w:id="6" w:name="_Toc24909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六标段：</w:t>
      </w:r>
      <w:bookmarkEnd w:id="6"/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设备1：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双道微量注射泵（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II类医疗器械（仅作为提醒作用，以实际提供资料为准））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整机设计使用年限≥10年，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注射精度≤±1.8%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速率范围：0.01-2300ml/h, 最小步进0.01ml/h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预置输液总量范围：0.01-9999.99ml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快进流速范围：0.01-2300ml/h，具有自动和手动快进可选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可自动统计四种累计量：24h累计量、最近累计量、自定义时间段累计量、定时间隔累计量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支持注射器规格：2ml、3ml、5ml、10ml、20ml、30ml、50/60ml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注射器安装后，在推拉盒触碰到注射器活塞末端时，不松开捏柄时推杆也可自动感应制动，防止药液误推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无需额外工具或设备，可直接在注射泵上添加注射器品牌名称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7种注射模式：速度模式、时间模式、体重模式、梯度模式、序列模式、剂量时间模式、间断给药模式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彩色显示屏≥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英寸，电容触摸屏技术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中文软件操作界面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锁屏功能：支持自动锁屏，自动锁屏时间可调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支持药物库，可储存≥5000种药物信息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支持药物色彩标识，选择不同类型药物时对应的药物色彩标识自动显示在屏幕上，支持≥4种以上颜色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报警时可通过示意图片直观提示报警信息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在线动态压力监测，可实时显示当前压力数值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压力报警阈值至少15档可调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具备阻塞前预警提示功能，当管路压力未触发阻塞报警时，泵可自动识别压力上升并在屏幕上进行提示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具备阻塞后自动重启输液功能，短暂性阻塞触发报警后，泵检测到阻塞压力缓解时，无需人为干预，泵自动重新启动输液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可以集中查看病人监护仪、泵等床旁设备上病人相关信息。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信息储存：可存储≥5000条的历史记录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电池工作时间≥6.5小时@5ml/h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防异物及进液等级≥IP44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整机重量不超过1.7kg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满足EN1789标准，适合在救护车使用，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证明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设备2：除颤仪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（核心产品）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III类医疗器械（仅作为提醒作用，以实际提供资料为准））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bookmarkStart w:id="7" w:name="_Toc14206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*1、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具备手动除颤、心电监护、呼吸监护、自动体外除颤（AED）功能。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*2、</w:t>
      </w:r>
      <w:r>
        <w:rPr>
          <w:rFonts w:hint="eastAsia" w:ascii="宋体" w:hAnsi="宋体" w:eastAsia="宋体" w:cs="宋体"/>
          <w:kern w:val="0"/>
          <w:sz w:val="21"/>
          <w:szCs w:val="21"/>
        </w:rPr>
        <w:t>除颤采用双相波技术，具备自动阻抗补偿功能。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手动除颤分为同步和非同步两种方式，能量分20档以上，可通过体外电极板进行能量选择。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1"/>
          <w:szCs w:val="21"/>
        </w:rPr>
        <w:t>除颤充电迅速，充电至200J&lt;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s。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可配置体外起搏功能，起搏分为固定和按需两种模式。具备慢速起搏功能。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1"/>
          <w:szCs w:val="21"/>
        </w:rPr>
        <w:t>CPR辅助功能，可指导CPR操作，符合2010国际CPR指南要求。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7、支持选配</w:t>
      </w:r>
      <w:r>
        <w:rPr>
          <w:rFonts w:hint="eastAsia" w:ascii="宋体" w:hAnsi="宋体" w:eastAsia="宋体" w:cs="宋体"/>
          <w:kern w:val="0"/>
          <w:sz w:val="21"/>
          <w:szCs w:val="21"/>
        </w:rPr>
        <w:t>监护功能：12导ECG、血氧饱和度、无创血压、有创血压、体温、呼吸末二氧化碳。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可选配两块外置锂电池， 1块电池可支持360J除颤200次。（提供证明文件）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具备生理报警和技术报警功能，通过声音、灯光等多种方式进行报警。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成人、小儿一体化电极板，可选用除颤起搏监护多功能电极片。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kern w:val="0"/>
          <w:sz w:val="21"/>
          <w:szCs w:val="21"/>
        </w:rPr>
        <w:t>除颤电极板可实现能量选择、充电、放电等操作，便于单人完成除颤。（提供证明文件）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支持中文操作界面、AED中文语音提示。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彩色TFT显示屏不小于8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寸</w:t>
      </w:r>
      <w:r>
        <w:rPr>
          <w:rFonts w:hint="eastAsia" w:ascii="宋体" w:hAnsi="宋体" w:eastAsia="宋体" w:cs="宋体"/>
          <w:kern w:val="0"/>
          <w:sz w:val="21"/>
          <w:szCs w:val="21"/>
        </w:rPr>
        <w:t>”, 分辨率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kern w:val="0"/>
          <w:sz w:val="21"/>
          <w:szCs w:val="21"/>
        </w:rPr>
        <w:t>640×480，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显示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kern w:val="0"/>
          <w:sz w:val="21"/>
          <w:szCs w:val="21"/>
        </w:rPr>
        <w:t>4通道监护参数波形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可连接中央监护系统，将监护信息和除颤信息传输到中央监护系统存储管理。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*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具备优异的抗跌落性能，裸机可承受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≥</w:t>
      </w:r>
      <w:r>
        <w:rPr>
          <w:rFonts w:hint="eastAsia" w:ascii="宋体" w:hAnsi="宋体" w:eastAsia="宋体" w:cs="宋体"/>
          <w:kern w:val="0"/>
          <w:sz w:val="21"/>
          <w:szCs w:val="21"/>
        </w:rPr>
        <w:t>0.75m跌落冲击。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七标段：（输液泵:II或III类医疗器械（仅作为提醒作用，以实际提供资料为准））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1、输液精度：±5%，经过校准的输液管，可以达到±3%。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2、模式：流速模式、点滴模式、时间模式。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3、适配输液器类型：所有厂家的输液器。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4、报警信息：气泡报警、管路堵塞、门开报警、输液完毕、空瓶、点滴信号错误、输液将近、超时报警、交流断开、电池欠压、电池电量耗尽、系统出错。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*5、加热温度可以设置25—40℃，温度误差为±3℃。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6、防水等级：≥IPX3。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7、外置电源：外置连接12V车载接口。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8、双CPU设计，保证输液安全。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9、可以存储800条以上输液历史记录，可以连接电脑拷贝出来，方便查询。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10、自动检测泵门是否合紧。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*11、分离式气泡传感器，安装输液管方便，高灵敏度，可以检测最小25uL气泡。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*12、具有联动结构的止液夹，并且具备自锁功能，防止输液管药液产生自流。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13、输液泵具有下列报警功能：堵塞报警、输液将近报警、输液完毕报警、门开报警、气泡报警、超时报警、系统故障报警、电源线脱落报警、电池电量低报警、电池电量耗尽报警。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14、输液泵应具有三档阻塞压力阀值，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低：300mmHg，允许误差为±50mmHg；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中：500mmHg，允许误差为±100mmHg；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高：900mmHg，允许误差应±100mmHg。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*15、输液方式：垂直式。</w:t>
      </w: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八标段：（CPAP：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II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类医疗器械（仅作为提醒作用，以实际提供资料为准））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两种呼吸模式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nCPAP（经鼻持续气道正压通气模式）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HiFlowO2（高流量氧疗模式）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2、呼吸回路: 单支呼吸回路，具有同品牌正压发生器专利技术并配备同品牌发生器，可靠独立的压力测量系统，减少对冲回流的产生，减少二氧化碳的潴留的发生。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3、配套通气耗材：（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需要提供耗材及相关配件注册证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）同品牌气体发生器及鼻塞，头帽，鼻罩。规格齐全，满足新生儿不同鼻型的需求，减少对鼻腔及头颅的损伤和压迫，保证患儿使用舒适安全。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氧气浓度调整范围：21%–100％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输出气体流量调节范围：0–16 L/min，示值允差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±10%以内。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气体供应：氧气和空气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进气压力范围：3.5–6.0 bar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监测患者侧压力范围：0-10 cmH2O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进气连接口：适用于NIST标准进气接口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工作时间：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具备可充电电池，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t>充满电后，标准环境下可持续运行约5小时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8" w:name="_Toc3751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九标段：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（电动床：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II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类医疗器械（仅作为提醒作用，以实际提供资料为准））</w:t>
      </w:r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1、规格：床板长≧1950mm，全长≧2185mm。床板宽≧860mm，全宽≧1005mm，,高低升降范围≧380mm（床板到地面的高度，降低坠床风险）。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2、床板：床面板采用宝钢、首钢或武钢特种冷轧钢，圆弧卷边式设计，不易变形，承重、抗冲击能力强；床板中心开孔，并一体冲压凹凸设计，便于透气，加强床板表面的强度。（提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供钢品质证明书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3、床体采用“电泳+粉末喷涂”复式汽车喷涂工艺，喷涂工序≥20 道，防止金属管壁内、外部生锈，保持床体美观耐用。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（提供电泳装备证明文件/医用床涂料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SGS环保测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试报告）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4、全床体位调节功能：背部上升0- 70°；膝部上升0-25°；高低升降 ≧380mm；头高脚低≧0-14°，头低脚高≧0-14°；心脏椅位；一键复位；背膝联动；CPR功能。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5、自带隐藏式延长框架全长可至≥2310mm。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6、头尾板：床头床尾板：流线型床头尾板，床头、脚板采用PE树脂材料一体吹塑成型。（头尾板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MSDS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安全技术证明文件）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7、头板、尾板采用可锁定装置，便于安全推行床体。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8、护栏符合四片式分体式升降护栏。治疗时，可将护栏收纳到床板下面。（提供相关证明文件）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9、护栏采用PE树脂材料一体吹塑成型，连接机构由金属制成以保持强度，表面以树脂材料覆盖。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10、安全型护栏，护栏在受由内向外压力时无法打开，需受外向内压力方可打开，有效防止病人在床上时私自打开护栏下床而造成的坠床。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11、护栏具有≥5种颜色可选，根据房间颜色布置可选择。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12、护栏上设置30度刻度线，用于明确背部升起30度的角度，可有效协助临床预防VAP肺炎。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13、前后护栏均设置角度显示器，可清晰显示床体倾斜角度。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14、后侧护栏上设置蓄电池电量显示器，可清晰显示蓄电池电量;并设置病床最低位显示灯，可清晰显示病床是否达到最低安全位置。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15、控制器：操作控制面板≥3个，可选护士操作面板或手持遥控器，可操作床体所有功能。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16、床板两侧，各设置CPR装置1套。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17、后侧护栏上设置电动CPR按钮，可实现电动CPR功能。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18、床板两侧，各设置≧8套束缚装置，用于捆绑特殊病患。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19、床板两侧，各设置引流袋及附属挂钩≧8个。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20、采用双面脚轮，直径 ≧125mm，锁定、自由、定向三段式跷跷板中央控制锁定装置。</w:t>
      </w:r>
    </w:p>
    <w:p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jc w:val="lef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9" w:name="_Toc9995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十标段：（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none"/>
          <w:lang w:val="en-US" w:eastAsia="zh-CN"/>
        </w:rPr>
        <w:t>亚低温治疗仪：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>II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类医疗器械（仅作为提醒作用，以实际提供资料为准））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一、主要技术指标：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1、供电电源：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.220V，50Hz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2、输入功率：降温≤400VA;升温≤600VA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、制冷量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800W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、降温速度：每分钟≥1℃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、噪声≤55dB(A)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Style w:val="10"/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、体温设置：四档可选，分别为33℃～34℃、34℃～35℃、35℃～36℃、36℃～37℃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Style w:val="10"/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、水温设置：四档可选，分别为4℃～10℃、10℃～15℃、15℃～20℃、35℃～40℃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、体温测量范围：20℃～50℃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精度≤±0.5℃。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、水温测量范围：0℃～50℃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精度≤±1℃；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水温控制范围：4℃～40℃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精度≤±1℃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、系统控制方式：具备全自动微电脑闭环控制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、降温毯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材料：TPU材质，可折叠、卷曲、消毒，可反复多次使用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、降温毯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/帽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：具备自锁快接装置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、具有复温功能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、初次制冷时间：从25℃降至10℃不超过20min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使用单片机控制方式，可连续制冷/升温，自动控温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路输出，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路测温，可以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一帽同时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工作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、磁力泵流量≥12L/min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、报警功能：具备缺水自动报警，传感器脱落报警，传感器断路、短路报警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、LCD液晶独立显示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、环境温度：5℃～40℃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10"/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*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具有电磁兼容性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（提供第三方检测机构出具的检验报告）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二、适应症：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主要用于脑损伤患者及高热患者的物理降温治疗。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2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三、基本配置：</w:t>
      </w:r>
    </w:p>
    <w:tbl>
      <w:tblPr>
        <w:tblStyle w:val="5"/>
        <w:tblW w:w="7233" w:type="dxa"/>
        <w:tblInd w:w="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53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主机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降温毯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降温毯防水套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降温帽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降温帽防水套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温度传感器</w:t>
            </w:r>
          </w:p>
        </w:tc>
        <w:tc>
          <w:tcPr>
            <w:tcW w:w="2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注：投标人在满足技术要求和性能的前提下可投同档次或优于上述参数、性能和质量的货物。</w:t>
      </w:r>
    </w:p>
    <w:p>
      <w:pPr>
        <w:pStyle w:val="3"/>
        <w:rPr>
          <w:rFonts w:hint="eastAsia"/>
          <w:color w:val="auto"/>
          <w:lang w:val="en-US" w:eastAsia="zh-CN"/>
        </w:rPr>
      </w:pPr>
      <w:bookmarkStart w:id="10" w:name="_Toc8434"/>
      <w:r>
        <w:rPr>
          <w:rFonts w:hint="eastAsia"/>
          <w:color w:val="auto"/>
          <w:lang w:val="en-US" w:eastAsia="zh-CN"/>
        </w:rPr>
        <w:t>一标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十标段</w:t>
      </w:r>
      <w:r>
        <w:rPr>
          <w:rFonts w:hint="eastAsia"/>
          <w:color w:val="auto"/>
          <w:lang w:val="en-US" w:eastAsia="zh-CN"/>
        </w:rPr>
        <w:t>商务要求：</w:t>
      </w:r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1、交货期：合同签订后30天内安装调试完成。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2、交货地点：濮阳市人民医院。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3、质量标准：合格，符合国家标准。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4、质保期：验收合格后保修1年。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 xml:space="preserve">5、付款方式：货物运到买方使用现场，安装调试结束，经买方验收合格，卖方提交发票后，支付合同款的90%,1年后付剩余10%合同价款。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6、履约验收要求：符合招标文件要求，由招标人组织统一验收。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7、商品包装和快递包装应符合《商品包装政府采购需求标准（试行）》。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8、投标人需提供安装、调试方案，包括设备安装调试、试运行测试、运行维护等。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9、投标人需提供培训方案和供货方案。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10、投标人需提供售后服务承诺和售后服务方案，包括售后服务人员、售后服务计划、售后服务设备等。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val="none"/>
          <w:lang w:val="en-US" w:eastAsia="zh-CN" w:bidi="ar-SA"/>
        </w:rPr>
        <w:t>11、投标人需提供质保期内质量保证措施、质保期外质量保证措施等。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IxN2FiNjcyNzdhOTIwMmM0MjljZjRiMzNhNGQifQ=="/>
  </w:docVars>
  <w:rsids>
    <w:rsidRoot w:val="00000000"/>
    <w:rsid w:val="7CC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paragraph" w:styleId="3">
    <w:name w:val="heading 3"/>
    <w:basedOn w:val="1"/>
    <w:next w:val="1"/>
    <w:qFormat/>
    <w:uiPriority w:val="99"/>
    <w:pPr>
      <w:keepNext/>
      <w:keepLines/>
      <w:spacing w:line="360" w:lineRule="auto"/>
      <w:jc w:val="left"/>
      <w:outlineLvl w:val="2"/>
    </w:pPr>
    <w:rPr>
      <w:rFonts w:ascii="宋体" w:hAnsi="宋体" w:cs="宋体"/>
      <w:b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style01"/>
    <w:basedOn w:val="6"/>
    <w:qFormat/>
    <w:uiPriority w:val="0"/>
    <w:rPr>
      <w:rFonts w:ascii="FZSSK--GBK1-0" w:hAnsi="FZSSK--GBK1-0" w:eastAsia="FZSSK--GBK1-0" w:cs="FZSSK--GBK1-0"/>
      <w:color w:val="000000"/>
      <w:sz w:val="20"/>
      <w:szCs w:val="20"/>
    </w:rPr>
  </w:style>
  <w:style w:type="table" w:customStyle="1" w:styleId="9">
    <w:name w:val="网格型1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2023-11-14T02:33:47Z</dcterms:created>
  <dc:creator>Administrator</dc:creator>
  <cp:lastModifiedBy>Administrator</cp:lastModifiedBy>
  <dcterms:modified xsi:type="dcterms:W3CDTF">2023-11-14T02:56:25Z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0E00396F0E014C42AE621D247ACA839A_12</vt:lpwstr>
  </property>
</Properties>
</file>