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numPr>
          <w:ilvl w:val="0"/>
          <w:numId w:val="0"/>
        </w:numPr>
        <w:kinsoku/>
        <w:overflowPunct/>
        <w:bidi w:val="0"/>
        <w:spacing w:line="360" w:lineRule="auto"/>
        <w:jc w:val="center"/>
        <w:rPr>
          <w:rFonts w:hint="eastAsia" w:ascii="宋体" w:hAnsi="宋体" w:eastAsia="宋体" w:cs="宋体"/>
          <w:b/>
          <w:color w:val="auto"/>
          <w:sz w:val="32"/>
          <w:szCs w:val="32"/>
          <w:highlight w:val="none"/>
          <w:lang w:eastAsia="zh-CN"/>
        </w:rPr>
      </w:pPr>
      <w:bookmarkStart w:id="0" w:name="_Toc3605"/>
      <w:r>
        <w:rPr>
          <w:rFonts w:hint="eastAsia" w:ascii="宋体" w:hAnsi="宋体" w:cs="宋体"/>
          <w:b/>
          <w:color w:val="auto"/>
          <w:sz w:val="32"/>
          <w:szCs w:val="32"/>
          <w:highlight w:val="none"/>
          <w:lang w:eastAsia="zh-CN"/>
        </w:rPr>
        <w:t>采购需求</w:t>
      </w:r>
      <w:bookmarkEnd w:id="0"/>
    </w:p>
    <w:p>
      <w:pPr>
        <w:bidi w:val="0"/>
        <w:jc w:val="both"/>
        <w:rPr>
          <w:rFonts w:hint="eastAsia"/>
          <w:b/>
          <w:bCs/>
          <w:sz w:val="21"/>
          <w:szCs w:val="21"/>
          <w:lang w:val="en-US" w:eastAsia="zh-CN"/>
        </w:rPr>
      </w:pPr>
      <w:bookmarkStart w:id="3" w:name="_GoBack"/>
      <w:bookmarkEnd w:id="3"/>
    </w:p>
    <w:p>
      <w:pPr>
        <w:bidi w:val="0"/>
        <w:jc w:val="both"/>
        <w:rPr>
          <w:rFonts w:hint="default"/>
          <w:b/>
          <w:bCs/>
          <w:sz w:val="21"/>
          <w:szCs w:val="21"/>
          <w:lang w:val="en-US" w:eastAsia="zh-CN"/>
        </w:rPr>
      </w:pPr>
      <w:r>
        <w:rPr>
          <w:rFonts w:hint="eastAsia"/>
          <w:b/>
          <w:bCs/>
          <w:sz w:val="21"/>
          <w:szCs w:val="21"/>
          <w:lang w:val="en-US" w:eastAsia="zh-CN"/>
        </w:rPr>
        <w:t>一、拟采购医疗设备一览表</w:t>
      </w:r>
    </w:p>
    <w:p>
      <w:pPr>
        <w:bidi w:val="0"/>
        <w:rPr>
          <w:rFonts w:hint="eastAsia"/>
          <w:lang w:val="en-US" w:eastAsia="zh-CN"/>
        </w:rPr>
      </w:pPr>
    </w:p>
    <w:tbl>
      <w:tblPr>
        <w:tblStyle w:val="4"/>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984"/>
        <w:gridCol w:w="1150"/>
        <w:gridCol w:w="1116"/>
        <w:gridCol w:w="1267"/>
        <w:gridCol w:w="1433"/>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7" w:type="dxa"/>
            <w:noWrap w:val="0"/>
            <w:vAlign w:val="center"/>
          </w:tcPr>
          <w:p>
            <w:pPr>
              <w:bidi w:val="0"/>
              <w:jc w:val="center"/>
              <w:rPr>
                <w:rFonts w:hint="default"/>
                <w:b/>
                <w:bCs/>
                <w:vertAlign w:val="baseline"/>
                <w:lang w:val="en-US" w:eastAsia="zh-CN"/>
              </w:rPr>
            </w:pPr>
            <w:r>
              <w:rPr>
                <w:rFonts w:hint="eastAsia"/>
                <w:b/>
                <w:bCs/>
                <w:vertAlign w:val="baseline"/>
                <w:lang w:val="en-US" w:eastAsia="zh-CN"/>
              </w:rPr>
              <w:t>序号</w:t>
            </w:r>
          </w:p>
        </w:tc>
        <w:tc>
          <w:tcPr>
            <w:tcW w:w="1984" w:type="dxa"/>
            <w:noWrap w:val="0"/>
            <w:vAlign w:val="center"/>
          </w:tcPr>
          <w:p>
            <w:pPr>
              <w:bidi w:val="0"/>
              <w:jc w:val="center"/>
              <w:rPr>
                <w:rFonts w:hint="eastAsia"/>
                <w:b/>
                <w:bCs/>
                <w:vertAlign w:val="baseline"/>
                <w:lang w:val="en-US" w:eastAsia="zh-CN"/>
              </w:rPr>
            </w:pPr>
            <w:r>
              <w:rPr>
                <w:rFonts w:hint="eastAsia"/>
                <w:b/>
                <w:bCs/>
                <w:vertAlign w:val="baseline"/>
                <w:lang w:val="en-US" w:eastAsia="zh-CN"/>
              </w:rPr>
              <w:t>设备名称</w:t>
            </w:r>
          </w:p>
        </w:tc>
        <w:tc>
          <w:tcPr>
            <w:tcW w:w="1150" w:type="dxa"/>
            <w:noWrap w:val="0"/>
            <w:vAlign w:val="center"/>
          </w:tcPr>
          <w:p>
            <w:pPr>
              <w:bidi w:val="0"/>
              <w:jc w:val="center"/>
              <w:rPr>
                <w:rFonts w:hint="default"/>
                <w:b/>
                <w:bCs/>
                <w:vertAlign w:val="baseline"/>
                <w:lang w:val="en-US" w:eastAsia="zh-CN"/>
              </w:rPr>
            </w:pPr>
            <w:r>
              <w:rPr>
                <w:rFonts w:hint="eastAsia"/>
                <w:b/>
                <w:bCs/>
                <w:vertAlign w:val="baseline"/>
                <w:lang w:val="en-US" w:eastAsia="zh-CN"/>
              </w:rPr>
              <w:t>数量</w:t>
            </w:r>
          </w:p>
        </w:tc>
        <w:tc>
          <w:tcPr>
            <w:tcW w:w="1116" w:type="dxa"/>
            <w:noWrap w:val="0"/>
            <w:vAlign w:val="center"/>
          </w:tcPr>
          <w:p>
            <w:pPr>
              <w:bidi w:val="0"/>
              <w:jc w:val="center"/>
              <w:rPr>
                <w:rFonts w:hint="default"/>
                <w:b/>
                <w:bCs/>
                <w:vertAlign w:val="baseline"/>
                <w:lang w:val="en-US" w:eastAsia="zh-CN"/>
              </w:rPr>
            </w:pPr>
            <w:r>
              <w:rPr>
                <w:rFonts w:hint="eastAsia"/>
                <w:b/>
                <w:bCs/>
                <w:vertAlign w:val="baseline"/>
                <w:lang w:val="en-US" w:eastAsia="zh-CN"/>
              </w:rPr>
              <w:t>单位</w:t>
            </w:r>
          </w:p>
        </w:tc>
        <w:tc>
          <w:tcPr>
            <w:tcW w:w="1267" w:type="dxa"/>
            <w:noWrap w:val="0"/>
            <w:vAlign w:val="center"/>
          </w:tcPr>
          <w:p>
            <w:pPr>
              <w:bidi w:val="0"/>
              <w:jc w:val="center"/>
              <w:rPr>
                <w:rFonts w:hint="default"/>
                <w:b/>
                <w:bCs/>
                <w:vertAlign w:val="baseline"/>
                <w:lang w:val="en-US" w:eastAsia="zh-CN"/>
              </w:rPr>
            </w:pPr>
            <w:r>
              <w:rPr>
                <w:rFonts w:hint="eastAsia"/>
                <w:b/>
                <w:bCs/>
                <w:vertAlign w:val="baseline"/>
                <w:lang w:val="en-US" w:eastAsia="zh-CN"/>
              </w:rPr>
              <w:t>所属包段</w:t>
            </w:r>
          </w:p>
        </w:tc>
        <w:tc>
          <w:tcPr>
            <w:tcW w:w="1433" w:type="dxa"/>
            <w:noWrap w:val="0"/>
            <w:vAlign w:val="center"/>
          </w:tcPr>
          <w:p>
            <w:pPr>
              <w:bidi w:val="0"/>
              <w:jc w:val="center"/>
              <w:rPr>
                <w:rFonts w:hint="default"/>
                <w:b/>
                <w:bCs/>
                <w:vertAlign w:val="baseline"/>
                <w:lang w:val="en-US" w:eastAsia="zh-CN"/>
              </w:rPr>
            </w:pPr>
            <w:r>
              <w:rPr>
                <w:rFonts w:hint="eastAsia"/>
                <w:b/>
                <w:bCs/>
                <w:vertAlign w:val="baseline"/>
                <w:lang w:val="en-US" w:eastAsia="zh-CN"/>
              </w:rPr>
              <w:t>所属医疗器械类别</w:t>
            </w:r>
          </w:p>
        </w:tc>
        <w:tc>
          <w:tcPr>
            <w:tcW w:w="679" w:type="dxa"/>
            <w:noWrap w:val="0"/>
            <w:vAlign w:val="center"/>
          </w:tcPr>
          <w:p>
            <w:pPr>
              <w:bidi w:val="0"/>
              <w:jc w:val="center"/>
              <w:rPr>
                <w:rFonts w:hint="default"/>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7" w:type="dxa"/>
            <w:noWrap w:val="0"/>
            <w:vAlign w:val="center"/>
          </w:tcPr>
          <w:p>
            <w:pPr>
              <w:bidi w:val="0"/>
              <w:jc w:val="center"/>
              <w:rPr>
                <w:rFonts w:hint="default"/>
                <w:b/>
                <w:bCs/>
                <w:vertAlign w:val="baseline"/>
                <w:lang w:val="en-US" w:eastAsia="zh-CN"/>
              </w:rPr>
            </w:pPr>
            <w:r>
              <w:rPr>
                <w:rFonts w:hint="eastAsia"/>
                <w:b/>
                <w:bCs/>
                <w:vertAlign w:val="baseline"/>
                <w:lang w:val="en-US" w:eastAsia="zh-CN"/>
              </w:rPr>
              <w:t>1</w:t>
            </w:r>
          </w:p>
        </w:tc>
        <w:tc>
          <w:tcPr>
            <w:tcW w:w="1984" w:type="dxa"/>
            <w:noWrap w:val="0"/>
            <w:vAlign w:val="center"/>
          </w:tcPr>
          <w:p>
            <w:pPr>
              <w:bidi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超声导航系统</w:t>
            </w:r>
          </w:p>
        </w:tc>
        <w:tc>
          <w:tcPr>
            <w:tcW w:w="1150" w:type="dxa"/>
            <w:noWrap w:val="0"/>
            <w:vAlign w:val="center"/>
          </w:tcPr>
          <w:p>
            <w:pPr>
              <w:bidi w:val="0"/>
              <w:jc w:val="center"/>
              <w:rPr>
                <w:rFonts w:hint="default"/>
                <w:b/>
                <w:bCs/>
                <w:vertAlign w:val="baseline"/>
                <w:lang w:val="en-US" w:eastAsia="zh-CN"/>
              </w:rPr>
            </w:pPr>
            <w:r>
              <w:rPr>
                <w:rFonts w:hint="eastAsia"/>
                <w:b/>
                <w:bCs/>
                <w:vertAlign w:val="baseline"/>
                <w:lang w:val="en-US" w:eastAsia="zh-CN"/>
              </w:rPr>
              <w:t>1</w:t>
            </w:r>
          </w:p>
        </w:tc>
        <w:tc>
          <w:tcPr>
            <w:tcW w:w="1116" w:type="dxa"/>
            <w:noWrap w:val="0"/>
            <w:vAlign w:val="center"/>
          </w:tcPr>
          <w:p>
            <w:pPr>
              <w:bidi w:val="0"/>
              <w:jc w:val="center"/>
              <w:rPr>
                <w:rFonts w:hint="default"/>
                <w:b/>
                <w:bCs/>
                <w:vertAlign w:val="baseline"/>
                <w:lang w:val="en-US" w:eastAsia="zh-CN"/>
              </w:rPr>
            </w:pPr>
            <w:r>
              <w:rPr>
                <w:rFonts w:hint="eastAsia"/>
                <w:b/>
                <w:bCs/>
                <w:vertAlign w:val="baseline"/>
                <w:lang w:val="en-US" w:eastAsia="zh-CN"/>
              </w:rPr>
              <w:t>套</w:t>
            </w:r>
          </w:p>
        </w:tc>
        <w:tc>
          <w:tcPr>
            <w:tcW w:w="1267" w:type="dxa"/>
            <w:noWrap w:val="0"/>
            <w:vAlign w:val="center"/>
          </w:tcPr>
          <w:p>
            <w:pPr>
              <w:bidi w:val="0"/>
              <w:jc w:val="center"/>
              <w:rPr>
                <w:rFonts w:hint="default"/>
                <w:b/>
                <w:bCs/>
                <w:vertAlign w:val="baseline"/>
                <w:lang w:val="en-US" w:eastAsia="zh-CN"/>
              </w:rPr>
            </w:pPr>
            <w:r>
              <w:rPr>
                <w:rFonts w:hint="eastAsia"/>
                <w:b/>
                <w:bCs/>
                <w:vertAlign w:val="baseline"/>
                <w:lang w:val="en-US" w:eastAsia="zh-CN"/>
              </w:rPr>
              <w:t>一</w:t>
            </w:r>
          </w:p>
        </w:tc>
        <w:tc>
          <w:tcPr>
            <w:tcW w:w="1433" w:type="dxa"/>
            <w:noWrap w:val="0"/>
            <w:vAlign w:val="center"/>
          </w:tcPr>
          <w:p>
            <w:pPr>
              <w:bidi w:val="0"/>
              <w:jc w:val="center"/>
              <w:rPr>
                <w:rFonts w:hint="eastAsia"/>
                <w:b/>
                <w:bCs/>
                <w:vertAlign w:val="baseline"/>
                <w:lang w:val="en-US" w:eastAsia="zh-CN"/>
              </w:rPr>
            </w:pPr>
            <w:r>
              <w:rPr>
                <w:rFonts w:hint="eastAsia" w:ascii="宋体" w:hAnsi="宋体" w:eastAsia="宋体" w:cs="宋体"/>
                <w:b/>
                <w:bCs w:val="0"/>
                <w:color w:val="auto"/>
                <w:kern w:val="2"/>
                <w:sz w:val="21"/>
                <w:szCs w:val="21"/>
                <w:highlight w:val="none"/>
                <w:lang w:val="en-US" w:eastAsia="zh-CN" w:bidi="ar-SA"/>
              </w:rPr>
              <w:t>II类或Ⅲ类</w:t>
            </w:r>
          </w:p>
        </w:tc>
        <w:tc>
          <w:tcPr>
            <w:tcW w:w="679" w:type="dxa"/>
            <w:noWrap w:val="0"/>
            <w:vAlign w:val="center"/>
          </w:tcPr>
          <w:p>
            <w:pPr>
              <w:bidi w:val="0"/>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7" w:type="dxa"/>
            <w:noWrap w:val="0"/>
            <w:vAlign w:val="center"/>
          </w:tcPr>
          <w:p>
            <w:pPr>
              <w:bidi w:val="0"/>
              <w:jc w:val="center"/>
              <w:rPr>
                <w:rFonts w:hint="default"/>
                <w:b/>
                <w:bCs/>
                <w:vertAlign w:val="baseline"/>
                <w:lang w:val="en-US" w:eastAsia="zh-CN"/>
              </w:rPr>
            </w:pPr>
            <w:r>
              <w:rPr>
                <w:rFonts w:hint="eastAsia"/>
                <w:b/>
                <w:bCs/>
                <w:vertAlign w:val="baseline"/>
                <w:lang w:val="en-US" w:eastAsia="zh-CN"/>
              </w:rPr>
              <w:t>2</w:t>
            </w:r>
          </w:p>
        </w:tc>
        <w:tc>
          <w:tcPr>
            <w:tcW w:w="1984" w:type="dxa"/>
            <w:noWrap w:val="0"/>
            <w:vAlign w:val="center"/>
          </w:tcPr>
          <w:p>
            <w:pPr>
              <w:bidi w:val="0"/>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钬激光能量平台</w:t>
            </w:r>
          </w:p>
        </w:tc>
        <w:tc>
          <w:tcPr>
            <w:tcW w:w="1150" w:type="dxa"/>
            <w:noWrap w:val="0"/>
            <w:vAlign w:val="center"/>
          </w:tcPr>
          <w:p>
            <w:pPr>
              <w:bidi w:val="0"/>
              <w:jc w:val="center"/>
              <w:rPr>
                <w:rFonts w:hint="default"/>
                <w:b/>
                <w:bCs/>
                <w:vertAlign w:val="baseline"/>
                <w:lang w:val="en-US" w:eastAsia="zh-CN"/>
              </w:rPr>
            </w:pPr>
            <w:r>
              <w:rPr>
                <w:rFonts w:hint="eastAsia"/>
                <w:b/>
                <w:bCs/>
                <w:vertAlign w:val="baseline"/>
                <w:lang w:val="en-US" w:eastAsia="zh-CN"/>
              </w:rPr>
              <w:t>1</w:t>
            </w:r>
          </w:p>
        </w:tc>
        <w:tc>
          <w:tcPr>
            <w:tcW w:w="1116" w:type="dxa"/>
            <w:noWrap w:val="0"/>
            <w:vAlign w:val="center"/>
          </w:tcPr>
          <w:p>
            <w:pPr>
              <w:bidi w:val="0"/>
              <w:jc w:val="center"/>
              <w:rPr>
                <w:rFonts w:hint="default"/>
                <w:b/>
                <w:bCs/>
                <w:vertAlign w:val="baseline"/>
                <w:lang w:val="en-US" w:eastAsia="zh-CN"/>
              </w:rPr>
            </w:pPr>
            <w:r>
              <w:rPr>
                <w:rFonts w:hint="eastAsia"/>
                <w:b/>
                <w:bCs/>
                <w:vertAlign w:val="baseline"/>
                <w:lang w:val="en-US" w:eastAsia="zh-CN"/>
              </w:rPr>
              <w:t>台</w:t>
            </w:r>
          </w:p>
        </w:tc>
        <w:tc>
          <w:tcPr>
            <w:tcW w:w="1267" w:type="dxa"/>
            <w:noWrap w:val="0"/>
            <w:vAlign w:val="center"/>
          </w:tcPr>
          <w:p>
            <w:pPr>
              <w:bidi w:val="0"/>
              <w:jc w:val="center"/>
              <w:rPr>
                <w:rFonts w:hint="default"/>
                <w:b/>
                <w:bCs/>
                <w:vertAlign w:val="baseline"/>
                <w:lang w:val="en-US" w:eastAsia="zh-CN"/>
              </w:rPr>
            </w:pPr>
            <w:r>
              <w:rPr>
                <w:rFonts w:hint="eastAsia"/>
                <w:b/>
                <w:bCs/>
                <w:vertAlign w:val="baseline"/>
                <w:lang w:val="en-US" w:eastAsia="zh-CN"/>
              </w:rPr>
              <w:t>二</w:t>
            </w:r>
          </w:p>
        </w:tc>
        <w:tc>
          <w:tcPr>
            <w:tcW w:w="1433" w:type="dxa"/>
            <w:noWrap w:val="0"/>
            <w:vAlign w:val="center"/>
          </w:tcPr>
          <w:p>
            <w:pPr>
              <w:bidi w:val="0"/>
              <w:jc w:val="center"/>
              <w:rPr>
                <w:rFonts w:hint="eastAsia"/>
                <w:b/>
                <w:bCs/>
                <w:vertAlign w:val="baseline"/>
                <w:lang w:val="en-US" w:eastAsia="zh-CN"/>
              </w:rPr>
            </w:pPr>
            <w:r>
              <w:rPr>
                <w:rFonts w:hint="eastAsia" w:ascii="宋体" w:hAnsi="宋体" w:eastAsia="宋体" w:cs="宋体"/>
                <w:b/>
                <w:bCs w:val="0"/>
                <w:color w:val="auto"/>
                <w:kern w:val="2"/>
                <w:sz w:val="21"/>
                <w:szCs w:val="21"/>
                <w:highlight w:val="none"/>
                <w:lang w:val="en-US" w:eastAsia="zh-CN" w:bidi="ar-SA"/>
              </w:rPr>
              <w:t>III类</w:t>
            </w:r>
          </w:p>
        </w:tc>
        <w:tc>
          <w:tcPr>
            <w:tcW w:w="679" w:type="dxa"/>
            <w:noWrap w:val="0"/>
            <w:vAlign w:val="center"/>
          </w:tcPr>
          <w:p>
            <w:pPr>
              <w:bidi w:val="0"/>
              <w:jc w:val="center"/>
              <w:rPr>
                <w:rFonts w:hint="eastAsia"/>
                <w:b/>
                <w:bCs/>
                <w:vertAlign w:val="baseline"/>
                <w:lang w:val="en-US" w:eastAsia="zh-CN"/>
              </w:rPr>
            </w:pPr>
          </w:p>
        </w:tc>
      </w:tr>
    </w:tbl>
    <w:p>
      <w:pPr>
        <w:bidi w:val="0"/>
        <w:rPr>
          <w:rFonts w:hint="eastAsia"/>
          <w:b/>
          <w:bCs/>
          <w:lang w:val="en-US" w:eastAsia="zh-CN"/>
        </w:rPr>
      </w:pPr>
    </w:p>
    <w:p>
      <w:pPr>
        <w:bidi w:val="0"/>
        <w:rPr>
          <w:rFonts w:hint="default"/>
          <w:b/>
          <w:bCs/>
          <w:sz w:val="21"/>
          <w:szCs w:val="21"/>
          <w:lang w:val="en-US" w:eastAsia="zh-CN"/>
        </w:rPr>
      </w:pPr>
      <w:r>
        <w:rPr>
          <w:rFonts w:hint="eastAsia"/>
          <w:b/>
          <w:bCs/>
          <w:sz w:val="21"/>
          <w:szCs w:val="21"/>
          <w:lang w:val="en-US" w:eastAsia="zh-CN"/>
        </w:rPr>
        <w:t>二、技术参数</w:t>
      </w:r>
    </w:p>
    <w:p>
      <w:pPr>
        <w:bidi w:val="0"/>
        <w:spacing w:line="360" w:lineRule="auto"/>
        <w:jc w:val="center"/>
        <w:outlineLvl w:val="2"/>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包一：超声导航系统</w:t>
      </w:r>
    </w:p>
    <w:p>
      <w:pPr>
        <w:spacing w:line="360" w:lineRule="auto"/>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设备名称：</w:t>
      </w:r>
      <w:r>
        <w:rPr>
          <w:rFonts w:hint="eastAsia" w:ascii="宋体" w:hAnsi="宋体" w:eastAsia="宋体" w:cs="宋体"/>
          <w:sz w:val="21"/>
          <w:szCs w:val="21"/>
        </w:rPr>
        <w:t>高档全数字化</w:t>
      </w:r>
      <w:r>
        <w:rPr>
          <w:rFonts w:hint="eastAsia" w:ascii="宋体" w:hAnsi="宋体" w:eastAsia="宋体" w:cs="宋体"/>
          <w:sz w:val="21"/>
          <w:szCs w:val="21"/>
          <w:lang w:val="en-US" w:eastAsia="zh-CN"/>
        </w:rPr>
        <w:t>术中</w:t>
      </w:r>
      <w:r>
        <w:rPr>
          <w:rFonts w:hint="eastAsia" w:ascii="宋体" w:hAnsi="宋体" w:eastAsia="宋体" w:cs="宋体"/>
          <w:sz w:val="21"/>
          <w:szCs w:val="21"/>
        </w:rPr>
        <w:t>彩色多普勒超声诊断系统</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p>
    <w:p>
      <w:pPr>
        <w:spacing w:line="360" w:lineRule="auto"/>
        <w:rPr>
          <w:rFonts w:hint="eastAsia" w:ascii="宋体" w:hAnsi="宋体" w:eastAsia="宋体" w:cs="宋体"/>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设备</w:t>
      </w:r>
      <w:r>
        <w:rPr>
          <w:rFonts w:hint="eastAsia" w:ascii="宋体" w:hAnsi="宋体" w:eastAsia="宋体" w:cs="宋体"/>
          <w:b/>
          <w:bCs/>
          <w:sz w:val="21"/>
          <w:szCs w:val="21"/>
          <w:lang w:val="en-US" w:eastAsia="zh-CN"/>
        </w:rPr>
        <w:t>功能</w:t>
      </w:r>
      <w:r>
        <w:rPr>
          <w:rFonts w:hint="eastAsia" w:ascii="宋体" w:hAnsi="宋体" w:eastAsia="宋体" w:cs="宋体"/>
          <w:b/>
          <w:bCs/>
          <w:sz w:val="21"/>
          <w:szCs w:val="21"/>
          <w:lang w:eastAsia="zh-CN"/>
        </w:rPr>
        <w:t>：</w:t>
      </w:r>
      <w:r>
        <w:rPr>
          <w:rFonts w:hint="eastAsia" w:ascii="宋体" w:hAnsi="宋体" w:eastAsia="宋体" w:cs="宋体"/>
          <w:sz w:val="21"/>
          <w:szCs w:val="21"/>
        </w:rPr>
        <w:t>腹部、泌尿、儿科、腔内、术中及其他介入检查和治疗，具备科研教学、各科系病例诊断、疑难病例会诊，具有世界先进水平，具备持续升级能力，能满足开展新的临床应用需求的超声系统。</w:t>
      </w:r>
    </w:p>
    <w:p>
      <w:pPr>
        <w:spacing w:line="360" w:lineRule="auto"/>
        <w:rPr>
          <w:rFonts w:hint="eastAsia" w:ascii="宋体" w:hAnsi="宋体" w:eastAsia="宋体" w:cs="宋体"/>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主要技术规格和描述</w:t>
      </w:r>
      <w:r>
        <w:rPr>
          <w:rFonts w:hint="eastAsia" w:ascii="宋体" w:hAnsi="宋体" w:eastAsia="宋体" w:cs="宋体"/>
          <w:sz w:val="21"/>
          <w:szCs w:val="21"/>
        </w:rPr>
        <w:tab/>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彩色多普勒超声波诊断仪包括：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rPr>
        <w:tab/>
      </w:r>
      <w:r>
        <w:rPr>
          <w:rFonts w:hint="eastAsia" w:ascii="宋体" w:hAnsi="宋体" w:eastAsia="宋体" w:cs="宋体"/>
          <w:sz w:val="21"/>
          <w:szCs w:val="21"/>
        </w:rPr>
        <w:t>≥</w:t>
      </w:r>
      <w:r>
        <w:rPr>
          <w:rFonts w:hint="eastAsia" w:ascii="宋体" w:hAnsi="宋体" w:eastAsia="宋体" w:cs="宋体"/>
          <w:sz w:val="21"/>
          <w:szCs w:val="21"/>
          <w:lang w:val="en-US" w:eastAsia="zh-CN"/>
        </w:rPr>
        <w:t>17英寸</w:t>
      </w:r>
      <w:r>
        <w:rPr>
          <w:rFonts w:hint="eastAsia" w:ascii="宋体" w:hAnsi="宋体" w:eastAsia="宋体" w:cs="宋体"/>
          <w:sz w:val="21"/>
          <w:szCs w:val="21"/>
        </w:rPr>
        <w:t>监视器，采用灵活多点支撑臂，可倾斜、旋转和下折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rPr>
        <w:tab/>
      </w:r>
      <w:r>
        <w:rPr>
          <w:rFonts w:hint="eastAsia" w:ascii="宋体" w:hAnsi="宋体" w:eastAsia="宋体" w:cs="宋体"/>
          <w:sz w:val="21"/>
          <w:szCs w:val="21"/>
        </w:rPr>
        <w:t>主机操作面板上具备≥10"大屏幕高灵敏彩色液晶触摸控制屏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ab/>
      </w:r>
      <w:r>
        <w:rPr>
          <w:rFonts w:hint="eastAsia" w:ascii="宋体" w:hAnsi="宋体" w:eastAsia="宋体" w:cs="宋体"/>
          <w:sz w:val="21"/>
          <w:szCs w:val="21"/>
        </w:rPr>
        <w:t>具有智能流程编辑功能</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rPr>
        <w:tab/>
      </w:r>
      <w:r>
        <w:rPr>
          <w:rFonts w:hint="eastAsia" w:ascii="宋体" w:hAnsi="宋体" w:eastAsia="宋体" w:cs="宋体"/>
          <w:sz w:val="21"/>
          <w:szCs w:val="21"/>
        </w:rPr>
        <w:t>智能化操作系统，人体工程学设计，操作面板可倾斜、旋转移动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rPr>
        <w:tab/>
      </w:r>
      <w:r>
        <w:rPr>
          <w:rFonts w:hint="eastAsia" w:ascii="宋体" w:hAnsi="宋体" w:eastAsia="宋体" w:cs="宋体"/>
          <w:sz w:val="21"/>
          <w:szCs w:val="21"/>
        </w:rPr>
        <w:t>多层晶体匹配探头技术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w:t>
      </w:r>
      <w:r>
        <w:rPr>
          <w:rFonts w:hint="eastAsia" w:ascii="宋体" w:hAnsi="宋体" w:eastAsia="宋体" w:cs="宋体"/>
          <w:sz w:val="21"/>
          <w:szCs w:val="21"/>
        </w:rPr>
        <w:tab/>
      </w:r>
      <w:r>
        <w:rPr>
          <w:rFonts w:hint="eastAsia" w:ascii="宋体" w:hAnsi="宋体" w:eastAsia="宋体" w:cs="宋体"/>
          <w:sz w:val="21"/>
          <w:szCs w:val="21"/>
        </w:rPr>
        <w:t>智能脉冲调制技术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rPr>
        <w:tab/>
      </w:r>
      <w:r>
        <w:rPr>
          <w:rFonts w:hint="eastAsia" w:ascii="宋体" w:hAnsi="宋体" w:eastAsia="宋体" w:cs="宋体"/>
          <w:sz w:val="21"/>
          <w:szCs w:val="21"/>
        </w:rPr>
        <w:t>微米聚焦技术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rPr>
        <w:tab/>
      </w:r>
      <w:r>
        <w:rPr>
          <w:rFonts w:hint="eastAsia" w:ascii="宋体" w:hAnsi="宋体" w:eastAsia="宋体" w:cs="宋体"/>
          <w:sz w:val="21"/>
          <w:szCs w:val="21"/>
        </w:rPr>
        <w:t>数字化高分辨率二维灰阶成像单元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1.9</w:t>
      </w:r>
      <w:r>
        <w:rPr>
          <w:rFonts w:hint="eastAsia" w:ascii="宋体" w:hAnsi="宋体" w:eastAsia="宋体" w:cs="宋体"/>
          <w:sz w:val="21"/>
          <w:szCs w:val="21"/>
        </w:rPr>
        <w:tab/>
      </w:r>
      <w:r>
        <w:rPr>
          <w:rFonts w:hint="eastAsia" w:ascii="宋体" w:hAnsi="宋体" w:eastAsia="宋体" w:cs="宋体"/>
          <w:sz w:val="21"/>
          <w:szCs w:val="21"/>
        </w:rPr>
        <w:t>数字化M型显示及分析系统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数字化高分辨率彩色多普勒血流成像单元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数字化能量血流成像单元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数字化频谱多普勒显示及分析系统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组织谐波成像功能，≥3种不同方式的组织谐波成像，纯净谐波、宽带谐波、高精细加强动态组织谐波，具有明确谐波频率显示，方便切换，可视可调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空间复合成像技术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高清晰斑点噪音抑制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具备横向增益调节功能，可迅速校正横向增益补偿，提高图像整体均一性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1.17</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梯形拓展成像功能，扩大扫查视野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1.18</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原始数据存储，图像冻结后可调节增益、动态范围等多个参数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1.19</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图像智能化一键优化技术，非预设置参数，单键操作，瞬间全场优化。可优化增益、多普勒速度、基线等参数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自动声速校正功能，系统可自动识别组织差异，可校正超声声速完成对肥胖、困难病人条件的超声扫查，提高组织细节及边界显示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穿刺针实时双幅增强显示功能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实时自动多普勒包络分析，具备多普勒角度自动校正技术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实时双多普勒取样功能，可以在同一心动周期下，实现两个不同部位的多普勒同步取样，支持凸阵、线阵、相控阵、容积探头；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增强的多普勒血流成像技术：高精细血流成像，采用宽带多普勒技术，方向性、高帧频、高分辨率地显示低速血流，提高细小血管的空间分辨率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ab/>
      </w:r>
      <w:r>
        <w:rPr>
          <w:rFonts w:hint="eastAsia" w:ascii="宋体" w:hAnsi="宋体" w:eastAsia="宋体" w:cs="宋体"/>
          <w:sz w:val="21"/>
          <w:szCs w:val="21"/>
        </w:rPr>
        <w:t>测量和分析：（B型，M型，频谱多普勒，彩色多普勒）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rPr>
        <w:tab/>
      </w:r>
      <w:r>
        <w:rPr>
          <w:rFonts w:hint="eastAsia" w:ascii="宋体" w:hAnsi="宋体" w:eastAsia="宋体" w:cs="宋体"/>
          <w:sz w:val="21"/>
          <w:szCs w:val="21"/>
        </w:rPr>
        <w:t>一般测量：距离、面积、周长、容积、角度、髋关节角度、直方图、B Index</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rPr>
        <w:tab/>
      </w:r>
      <w:r>
        <w:rPr>
          <w:rFonts w:hint="eastAsia" w:ascii="宋体" w:hAnsi="宋体" w:eastAsia="宋体" w:cs="宋体"/>
          <w:sz w:val="21"/>
          <w:szCs w:val="21"/>
        </w:rPr>
        <w:t xml:space="preserve">M型测量：距离 (振幅)，时间间隔，心率，速度，M.Index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rPr>
        <w:tab/>
      </w:r>
      <w:r>
        <w:rPr>
          <w:rFonts w:hint="eastAsia" w:ascii="宋体" w:hAnsi="宋体" w:eastAsia="宋体" w:cs="宋体"/>
          <w:sz w:val="21"/>
          <w:szCs w:val="21"/>
        </w:rPr>
        <w:t>子宫测量与分析：具备子宫动脉测量</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w:t>
      </w:r>
      <w:r>
        <w:rPr>
          <w:rFonts w:hint="eastAsia" w:ascii="宋体" w:hAnsi="宋体" w:eastAsia="宋体" w:cs="宋体"/>
          <w:sz w:val="21"/>
          <w:szCs w:val="21"/>
        </w:rPr>
        <w:tab/>
      </w:r>
      <w:r>
        <w:rPr>
          <w:rFonts w:hint="eastAsia" w:ascii="宋体" w:hAnsi="宋体" w:eastAsia="宋体" w:cs="宋体"/>
          <w:sz w:val="21"/>
          <w:szCs w:val="21"/>
        </w:rPr>
        <w:t>卵巢、卵泡测量与分析：具备卵泡容积测量，卵巢动脉测量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w:t>
      </w:r>
      <w:r>
        <w:rPr>
          <w:rFonts w:hint="eastAsia" w:ascii="宋体" w:hAnsi="宋体" w:eastAsia="宋体" w:cs="宋体"/>
          <w:sz w:val="21"/>
          <w:szCs w:val="21"/>
        </w:rPr>
        <w:tab/>
      </w:r>
      <w:r>
        <w:rPr>
          <w:rFonts w:hint="eastAsia" w:ascii="宋体" w:hAnsi="宋体" w:eastAsia="宋体" w:cs="宋体"/>
          <w:sz w:val="21"/>
          <w:szCs w:val="21"/>
        </w:rPr>
        <w:t>外周血管血流测量与分析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w:t>
      </w:r>
      <w:r>
        <w:rPr>
          <w:rFonts w:hint="eastAsia" w:ascii="宋体" w:hAnsi="宋体" w:eastAsia="宋体" w:cs="宋体"/>
          <w:sz w:val="21"/>
          <w:szCs w:val="21"/>
        </w:rPr>
        <w:tab/>
      </w:r>
      <w:r>
        <w:rPr>
          <w:rFonts w:hint="eastAsia" w:ascii="宋体" w:hAnsi="宋体" w:eastAsia="宋体" w:cs="宋体"/>
          <w:sz w:val="21"/>
          <w:szCs w:val="21"/>
        </w:rPr>
        <w:t>泌尿科测量和分析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w:t>
      </w:r>
      <w:r>
        <w:rPr>
          <w:rFonts w:hint="eastAsia" w:ascii="宋体" w:hAnsi="宋体" w:eastAsia="宋体" w:cs="宋体"/>
          <w:sz w:val="21"/>
          <w:szCs w:val="21"/>
        </w:rPr>
        <w:tab/>
      </w:r>
      <w:r>
        <w:rPr>
          <w:rFonts w:hint="eastAsia" w:ascii="宋体" w:hAnsi="宋体" w:eastAsia="宋体" w:cs="宋体"/>
          <w:sz w:val="21"/>
          <w:szCs w:val="21"/>
        </w:rPr>
        <w:t>小器官测量和分析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2.8</w:t>
      </w:r>
      <w:r>
        <w:rPr>
          <w:rFonts w:hint="eastAsia" w:ascii="宋体" w:hAnsi="宋体" w:eastAsia="宋体" w:cs="宋体"/>
          <w:sz w:val="21"/>
          <w:szCs w:val="21"/>
        </w:rPr>
        <w:tab/>
      </w:r>
      <w:r>
        <w:rPr>
          <w:rFonts w:hint="eastAsia" w:ascii="宋体" w:hAnsi="宋体" w:eastAsia="宋体" w:cs="宋体"/>
          <w:sz w:val="21"/>
          <w:szCs w:val="21"/>
        </w:rPr>
        <w:t>腹部测量和分析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2.9</w:t>
      </w:r>
      <w:r>
        <w:rPr>
          <w:rFonts w:hint="eastAsia" w:ascii="宋体" w:hAnsi="宋体" w:eastAsia="宋体" w:cs="宋体"/>
          <w:sz w:val="21"/>
          <w:szCs w:val="21"/>
        </w:rPr>
        <w:tab/>
      </w:r>
      <w:r>
        <w:rPr>
          <w:rFonts w:hint="eastAsia" w:ascii="宋体" w:hAnsi="宋体" w:eastAsia="宋体" w:cs="宋体"/>
          <w:sz w:val="21"/>
          <w:szCs w:val="21"/>
        </w:rPr>
        <w:t>报告功能：可以调取以前的测量报告，历史检查数据可以在报告中分开显示，可以用选购PC打印机直接打印报告，输出格式可以是CSV文件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2.9.1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具备产科报告、妇科报告、心功能报告、外周血管报告、IMT （内膜厚度）报告、泌尿科报告、腹部测量报告、小器官报告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2.9.2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用户自定义估测公式：每一种应用可以设定≥30个公式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2.9.3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测量结果的字号可以更改≥3种选择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2.9.4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VCR回放图像可以测量，利于手动校准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图像存储与（电影）回放重现单元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输入/输出信号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w:t>
      </w:r>
      <w:r>
        <w:rPr>
          <w:rFonts w:hint="eastAsia" w:ascii="宋体" w:hAnsi="宋体" w:eastAsia="宋体" w:cs="宋体"/>
          <w:sz w:val="21"/>
          <w:szCs w:val="21"/>
        </w:rPr>
        <w:tab/>
      </w:r>
      <w:r>
        <w:rPr>
          <w:rFonts w:hint="eastAsia" w:ascii="宋体" w:hAnsi="宋体" w:eastAsia="宋体" w:cs="宋体"/>
          <w:sz w:val="21"/>
          <w:szCs w:val="21"/>
        </w:rPr>
        <w:t>输入：VCR，外部视频</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rPr>
        <w:tab/>
      </w:r>
      <w:r>
        <w:rPr>
          <w:rFonts w:hint="eastAsia" w:ascii="宋体" w:hAnsi="宋体" w:eastAsia="宋体" w:cs="宋体"/>
          <w:sz w:val="21"/>
          <w:szCs w:val="21"/>
        </w:rPr>
        <w:t>输出：复合视频，S---视频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图像管理与记录装置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w:t>
      </w:r>
      <w:r>
        <w:rPr>
          <w:rFonts w:hint="eastAsia" w:ascii="宋体" w:hAnsi="宋体" w:eastAsia="宋体" w:cs="宋体"/>
          <w:sz w:val="21"/>
          <w:szCs w:val="21"/>
        </w:rPr>
        <w:tab/>
      </w:r>
      <w:r>
        <w:rPr>
          <w:rFonts w:hint="eastAsia" w:ascii="宋体" w:hAnsi="宋体" w:eastAsia="宋体" w:cs="宋体"/>
          <w:sz w:val="21"/>
          <w:szCs w:val="21"/>
        </w:rPr>
        <w:t>超声图像存档与病案管理</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w:t>
      </w:r>
      <w:r>
        <w:rPr>
          <w:rFonts w:hint="eastAsia" w:ascii="宋体" w:hAnsi="宋体" w:eastAsia="宋体" w:cs="宋体"/>
          <w:sz w:val="21"/>
          <w:szCs w:val="21"/>
        </w:rPr>
        <w:tab/>
      </w:r>
      <w:r>
        <w:rPr>
          <w:rFonts w:hint="eastAsia" w:ascii="宋体" w:hAnsi="宋体" w:eastAsia="宋体" w:cs="宋体"/>
          <w:sz w:val="21"/>
          <w:szCs w:val="21"/>
        </w:rPr>
        <w:t>USB存储器</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w:t>
      </w:r>
      <w:r>
        <w:rPr>
          <w:rFonts w:hint="eastAsia" w:ascii="宋体" w:hAnsi="宋体" w:eastAsia="宋体" w:cs="宋体"/>
          <w:sz w:val="21"/>
          <w:szCs w:val="21"/>
        </w:rPr>
        <w:tab/>
      </w:r>
      <w:r>
        <w:rPr>
          <w:rFonts w:hint="eastAsia" w:ascii="宋体" w:hAnsi="宋体" w:eastAsia="宋体" w:cs="宋体"/>
          <w:sz w:val="21"/>
          <w:szCs w:val="21"/>
        </w:rPr>
        <w:t>兼容DICOM3.0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ab/>
      </w:r>
      <w:r>
        <w:rPr>
          <w:rFonts w:hint="eastAsia" w:ascii="宋体" w:hAnsi="宋体" w:eastAsia="宋体" w:cs="宋体"/>
          <w:sz w:val="21"/>
          <w:szCs w:val="21"/>
        </w:rPr>
        <w:t>系统通用功能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eastAsia="宋体" w:cs="宋体"/>
          <w:sz w:val="21"/>
          <w:szCs w:val="21"/>
        </w:rPr>
        <w:tab/>
      </w:r>
      <w:r>
        <w:rPr>
          <w:rFonts w:hint="eastAsia" w:ascii="宋体" w:hAnsi="宋体" w:eastAsia="宋体" w:cs="宋体"/>
          <w:sz w:val="21"/>
          <w:szCs w:val="21"/>
        </w:rPr>
        <w:t>操作面板各按键功能可编程、可用户自定义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t>6.2</w:t>
      </w:r>
      <w:r>
        <w:rPr>
          <w:rFonts w:hint="eastAsia" w:ascii="宋体" w:hAnsi="宋体" w:eastAsia="宋体" w:cs="宋体"/>
          <w:sz w:val="21"/>
          <w:szCs w:val="21"/>
        </w:rPr>
        <w:tab/>
      </w:r>
      <w:r>
        <w:rPr>
          <w:rFonts w:hint="eastAsia" w:ascii="宋体" w:hAnsi="宋体" w:eastAsia="宋体" w:cs="宋体"/>
          <w:sz w:val="21"/>
          <w:szCs w:val="21"/>
        </w:rPr>
        <w:t>探头接口</w:t>
      </w:r>
      <w:r>
        <w:rPr>
          <w:rFonts w:hint="eastAsia" w:ascii="宋体" w:hAnsi="宋体" w:eastAsia="宋体" w:cs="宋体"/>
          <w:sz w:val="21"/>
          <w:szCs w:val="21"/>
          <w:lang w:val="en-US" w:eastAsia="zh-CN"/>
        </w:rPr>
        <w:t>个数</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提供证明材料</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6.3</w:t>
      </w:r>
      <w:r>
        <w:rPr>
          <w:rFonts w:hint="eastAsia" w:ascii="宋体" w:hAnsi="宋体" w:eastAsia="宋体" w:cs="宋体"/>
          <w:sz w:val="21"/>
          <w:szCs w:val="21"/>
        </w:rPr>
        <w:tab/>
      </w:r>
      <w:r>
        <w:rPr>
          <w:rFonts w:hint="eastAsia" w:ascii="宋体" w:hAnsi="宋体" w:eastAsia="宋体" w:cs="宋体"/>
          <w:sz w:val="21"/>
          <w:szCs w:val="21"/>
        </w:rPr>
        <w:t>二维、彩色双幅实时成像功能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6.4</w:t>
      </w:r>
      <w:r>
        <w:rPr>
          <w:rFonts w:hint="eastAsia" w:ascii="宋体" w:hAnsi="宋体" w:eastAsia="宋体" w:cs="宋体"/>
          <w:sz w:val="21"/>
          <w:szCs w:val="21"/>
        </w:rPr>
        <w:tab/>
      </w:r>
      <w:r>
        <w:rPr>
          <w:rFonts w:hint="eastAsia" w:ascii="宋体" w:hAnsi="宋体" w:eastAsia="宋体" w:cs="宋体"/>
          <w:sz w:val="21"/>
          <w:szCs w:val="21"/>
        </w:rPr>
        <w:t>系统数字化通道≥349,000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6.5</w:t>
      </w:r>
      <w:r>
        <w:rPr>
          <w:rFonts w:hint="eastAsia" w:ascii="宋体" w:hAnsi="宋体" w:eastAsia="宋体" w:cs="宋体"/>
          <w:sz w:val="21"/>
          <w:szCs w:val="21"/>
        </w:rPr>
        <w:tab/>
      </w:r>
      <w:r>
        <w:rPr>
          <w:rFonts w:hint="eastAsia" w:ascii="宋体" w:hAnsi="宋体" w:eastAsia="宋体" w:cs="宋体"/>
          <w:sz w:val="21"/>
          <w:szCs w:val="21"/>
        </w:rPr>
        <w:t>系统动态范围≥270dB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6.6</w:t>
      </w:r>
      <w:r>
        <w:rPr>
          <w:rFonts w:hint="eastAsia" w:ascii="宋体" w:hAnsi="宋体" w:eastAsia="宋体" w:cs="宋体"/>
          <w:sz w:val="21"/>
          <w:szCs w:val="21"/>
        </w:rPr>
        <w:tab/>
      </w:r>
      <w:r>
        <w:rPr>
          <w:rFonts w:hint="eastAsia" w:ascii="宋体" w:hAnsi="宋体" w:eastAsia="宋体" w:cs="宋体"/>
          <w:sz w:val="21"/>
          <w:szCs w:val="21"/>
        </w:rPr>
        <w:t>预设条件：针对不同的检查脏器，预置最佳化图像的检查条件，减少操作时的调节，及常用所需的外部调节及组合调节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6.7</w:t>
      </w:r>
      <w:r>
        <w:rPr>
          <w:rFonts w:hint="eastAsia" w:ascii="宋体" w:hAnsi="宋体" w:eastAsia="宋体" w:cs="宋体"/>
          <w:sz w:val="21"/>
          <w:szCs w:val="21"/>
        </w:rPr>
        <w:tab/>
      </w:r>
      <w:r>
        <w:rPr>
          <w:rFonts w:hint="eastAsia" w:ascii="宋体" w:hAnsi="宋体" w:eastAsia="宋体" w:cs="宋体"/>
          <w:sz w:val="21"/>
          <w:szCs w:val="21"/>
        </w:rPr>
        <w:t>安全性能：符合商品安全质量要求</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ab/>
      </w:r>
      <w:r>
        <w:rPr>
          <w:rFonts w:hint="eastAsia" w:ascii="宋体" w:hAnsi="宋体" w:eastAsia="宋体" w:cs="宋体"/>
          <w:sz w:val="21"/>
          <w:szCs w:val="21"/>
        </w:rPr>
        <w:t>灰阶显像主要参数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w:t>
      </w:r>
      <w:r>
        <w:rPr>
          <w:rFonts w:hint="eastAsia" w:ascii="宋体" w:hAnsi="宋体" w:eastAsia="宋体" w:cs="宋体"/>
          <w:sz w:val="21"/>
          <w:szCs w:val="21"/>
        </w:rPr>
        <w:tab/>
      </w:r>
      <w:r>
        <w:rPr>
          <w:rFonts w:hint="eastAsia" w:ascii="宋体" w:hAnsi="宋体" w:eastAsia="宋体" w:cs="宋体"/>
          <w:sz w:val="21"/>
          <w:szCs w:val="21"/>
        </w:rPr>
        <w:t>发射声束聚焦：复合脉冲波发射器 ≥16段</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sz w:val="21"/>
          <w:szCs w:val="21"/>
        </w:rPr>
        <w:tab/>
      </w:r>
      <w:r>
        <w:rPr>
          <w:rFonts w:hint="eastAsia" w:ascii="宋体" w:hAnsi="宋体" w:eastAsia="宋体" w:cs="宋体"/>
          <w:sz w:val="21"/>
          <w:szCs w:val="21"/>
        </w:rPr>
        <w:t>接收方式：多重高速数字化声束形成器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7.3</w:t>
      </w:r>
      <w:r>
        <w:rPr>
          <w:rFonts w:hint="eastAsia" w:ascii="宋体" w:hAnsi="宋体" w:eastAsia="宋体" w:cs="宋体"/>
          <w:sz w:val="21"/>
          <w:szCs w:val="21"/>
        </w:rPr>
        <w:tab/>
      </w:r>
      <w:r>
        <w:rPr>
          <w:rFonts w:hint="eastAsia" w:ascii="宋体" w:hAnsi="宋体" w:eastAsia="宋体" w:cs="宋体"/>
          <w:sz w:val="21"/>
          <w:szCs w:val="21"/>
        </w:rPr>
        <w:t>数字式声束形成器：数字式全程动态聚焦，数字式可变孔径及动态变迹，A/D≥12bit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7.4</w:t>
      </w:r>
      <w:r>
        <w:rPr>
          <w:rFonts w:hint="eastAsia" w:ascii="宋体" w:hAnsi="宋体" w:eastAsia="宋体" w:cs="宋体"/>
          <w:sz w:val="21"/>
          <w:szCs w:val="21"/>
        </w:rPr>
        <w:tab/>
      </w:r>
      <w:r>
        <w:rPr>
          <w:rFonts w:hint="eastAsia" w:ascii="宋体" w:hAnsi="宋体" w:eastAsia="宋体" w:cs="宋体"/>
          <w:sz w:val="21"/>
          <w:szCs w:val="21"/>
        </w:rPr>
        <w:t>回放重现：灰阶图像回放≥19000幅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7.5</w:t>
      </w:r>
      <w:r>
        <w:rPr>
          <w:rFonts w:hint="eastAsia" w:ascii="宋体" w:hAnsi="宋体" w:eastAsia="宋体" w:cs="宋体"/>
          <w:sz w:val="21"/>
          <w:szCs w:val="21"/>
        </w:rPr>
        <w:tab/>
      </w:r>
      <w:r>
        <w:rPr>
          <w:rFonts w:hint="eastAsia" w:ascii="宋体" w:hAnsi="宋体" w:eastAsia="宋体" w:cs="宋体"/>
          <w:sz w:val="21"/>
          <w:szCs w:val="21"/>
        </w:rPr>
        <w:t>增益调节：B、M、D可独立调节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7.5.1</w:t>
      </w:r>
      <w:r>
        <w:rPr>
          <w:rFonts w:hint="eastAsia" w:ascii="宋体" w:hAnsi="宋体" w:eastAsia="宋体" w:cs="宋体"/>
          <w:sz w:val="21"/>
          <w:szCs w:val="21"/>
        </w:rPr>
        <w:tab/>
      </w:r>
      <w:r>
        <w:rPr>
          <w:rFonts w:hint="eastAsia" w:ascii="宋体" w:hAnsi="宋体" w:eastAsia="宋体" w:cs="宋体"/>
          <w:sz w:val="21"/>
          <w:szCs w:val="21"/>
        </w:rPr>
        <w:t>STC分段≥8段调节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7.5.2</w:t>
      </w:r>
      <w:r>
        <w:rPr>
          <w:rFonts w:hint="eastAsia" w:ascii="宋体" w:hAnsi="宋体" w:eastAsia="宋体" w:cs="宋体"/>
          <w:sz w:val="21"/>
          <w:szCs w:val="21"/>
        </w:rPr>
        <w:tab/>
      </w:r>
      <w:r>
        <w:rPr>
          <w:rFonts w:hint="eastAsia" w:ascii="宋体" w:hAnsi="宋体" w:eastAsia="宋体" w:cs="宋体"/>
          <w:sz w:val="21"/>
          <w:szCs w:val="21"/>
        </w:rPr>
        <w:t>实时调节或冻结后可再调节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7.6</w:t>
      </w:r>
      <w:r>
        <w:rPr>
          <w:rFonts w:hint="eastAsia" w:ascii="宋体" w:hAnsi="宋体" w:eastAsia="宋体" w:cs="宋体"/>
          <w:sz w:val="21"/>
          <w:szCs w:val="21"/>
        </w:rPr>
        <w:tab/>
      </w:r>
      <w:r>
        <w:rPr>
          <w:rFonts w:hint="eastAsia" w:ascii="宋体" w:hAnsi="宋体" w:eastAsia="宋体" w:cs="宋体"/>
          <w:sz w:val="21"/>
          <w:szCs w:val="21"/>
        </w:rPr>
        <w:t xml:space="preserve">横向（水平向）增益调节功能：≥8段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***7</w:t>
      </w:r>
      <w:r>
        <w:rPr>
          <w:rFonts w:hint="eastAsia" w:ascii="宋体" w:hAnsi="宋体" w:eastAsia="宋体" w:cs="宋体"/>
          <w:sz w:val="21"/>
          <w:szCs w:val="21"/>
        </w:rPr>
        <w:t>.7</w:t>
      </w:r>
      <w:r>
        <w:rPr>
          <w:rFonts w:hint="eastAsia" w:ascii="宋体" w:hAnsi="宋体" w:eastAsia="宋体" w:cs="宋体"/>
          <w:sz w:val="21"/>
          <w:szCs w:val="21"/>
        </w:rPr>
        <w:tab/>
      </w:r>
      <w:r>
        <w:rPr>
          <w:rFonts w:hint="eastAsia" w:ascii="宋体" w:hAnsi="宋体" w:eastAsia="宋体" w:cs="宋体"/>
          <w:sz w:val="21"/>
          <w:szCs w:val="21"/>
        </w:rPr>
        <w:t>最大扫描深度</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提供证明材料</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ab/>
      </w:r>
      <w:r>
        <w:rPr>
          <w:rFonts w:hint="eastAsia" w:ascii="宋体" w:hAnsi="宋体" w:eastAsia="宋体" w:cs="宋体"/>
          <w:sz w:val="21"/>
          <w:szCs w:val="21"/>
        </w:rPr>
        <w:t>频谱多普勒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8.1</w:t>
      </w:r>
      <w:r>
        <w:rPr>
          <w:rFonts w:hint="eastAsia" w:ascii="宋体" w:hAnsi="宋体" w:eastAsia="宋体" w:cs="宋体"/>
          <w:sz w:val="21"/>
          <w:szCs w:val="21"/>
        </w:rPr>
        <w:tab/>
      </w:r>
      <w:r>
        <w:rPr>
          <w:rFonts w:hint="eastAsia" w:ascii="宋体" w:hAnsi="宋体" w:eastAsia="宋体" w:cs="宋体"/>
          <w:sz w:val="21"/>
          <w:szCs w:val="21"/>
        </w:rPr>
        <w:t>多普勒频率可选择≥2种，可视可调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8.2</w:t>
      </w:r>
      <w:r>
        <w:rPr>
          <w:rFonts w:hint="eastAsia" w:ascii="宋体" w:hAnsi="宋体" w:eastAsia="宋体" w:cs="宋体"/>
          <w:sz w:val="21"/>
          <w:szCs w:val="21"/>
        </w:rPr>
        <w:tab/>
      </w:r>
      <w:r>
        <w:rPr>
          <w:rFonts w:hint="eastAsia" w:ascii="宋体" w:hAnsi="宋体" w:eastAsia="宋体" w:cs="宋体"/>
          <w:sz w:val="21"/>
          <w:szCs w:val="21"/>
        </w:rPr>
        <w:t>最低测速：≤1mm/s</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8.3</w:t>
      </w:r>
      <w:r>
        <w:rPr>
          <w:rFonts w:hint="eastAsia" w:ascii="宋体" w:hAnsi="宋体" w:eastAsia="宋体" w:cs="宋体"/>
          <w:sz w:val="21"/>
          <w:szCs w:val="21"/>
        </w:rPr>
        <w:tab/>
      </w:r>
      <w:r>
        <w:rPr>
          <w:rFonts w:hint="eastAsia" w:ascii="宋体" w:hAnsi="宋体" w:eastAsia="宋体" w:cs="宋体"/>
          <w:sz w:val="21"/>
          <w:szCs w:val="21"/>
        </w:rPr>
        <w:t>零位移动：≥6级</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8.4</w:t>
      </w:r>
      <w:r>
        <w:rPr>
          <w:rFonts w:hint="eastAsia" w:ascii="宋体" w:hAnsi="宋体" w:eastAsia="宋体" w:cs="宋体"/>
          <w:sz w:val="21"/>
          <w:szCs w:val="21"/>
        </w:rPr>
        <w:tab/>
      </w:r>
      <w:r>
        <w:rPr>
          <w:rFonts w:hint="eastAsia" w:ascii="宋体" w:hAnsi="宋体" w:eastAsia="宋体" w:cs="宋体"/>
          <w:sz w:val="21"/>
          <w:szCs w:val="21"/>
        </w:rPr>
        <w:t>取样宽度及位置范围：宽度0.5mm至20mm逐段可调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8.5</w:t>
      </w:r>
      <w:r>
        <w:rPr>
          <w:rFonts w:hint="eastAsia" w:ascii="宋体" w:hAnsi="宋体" w:eastAsia="宋体" w:cs="宋体"/>
          <w:sz w:val="21"/>
          <w:szCs w:val="21"/>
        </w:rPr>
        <w:tab/>
      </w:r>
      <w:r>
        <w:rPr>
          <w:rFonts w:hint="eastAsia" w:ascii="宋体" w:hAnsi="宋体" w:eastAsia="宋体" w:cs="宋体"/>
          <w:sz w:val="21"/>
          <w:szCs w:val="21"/>
        </w:rPr>
        <w:t>多普勒基线位置可实时调节或冻结后再调节</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ab/>
      </w:r>
      <w:r>
        <w:rPr>
          <w:rFonts w:hint="eastAsia" w:ascii="宋体" w:hAnsi="宋体" w:eastAsia="宋体" w:cs="宋体"/>
          <w:sz w:val="21"/>
          <w:szCs w:val="21"/>
        </w:rPr>
        <w:t xml:space="preserve">彩色多普勒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sz w:val="21"/>
          <w:szCs w:val="21"/>
        </w:rPr>
        <w:tab/>
      </w:r>
      <w:r>
        <w:rPr>
          <w:rFonts w:hint="eastAsia" w:ascii="宋体" w:hAnsi="宋体" w:eastAsia="宋体" w:cs="宋体"/>
          <w:sz w:val="21"/>
          <w:szCs w:val="21"/>
        </w:rPr>
        <w:t>显示方式：速度显示、方差显示</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9.2</w:t>
      </w:r>
      <w:r>
        <w:rPr>
          <w:rFonts w:hint="eastAsia" w:ascii="宋体" w:hAnsi="宋体" w:eastAsia="宋体" w:cs="宋体"/>
          <w:sz w:val="21"/>
          <w:szCs w:val="21"/>
        </w:rPr>
        <w:tab/>
      </w:r>
      <w:r>
        <w:rPr>
          <w:rFonts w:hint="eastAsia" w:ascii="宋体" w:hAnsi="宋体" w:eastAsia="宋体" w:cs="宋体"/>
          <w:sz w:val="21"/>
          <w:szCs w:val="21"/>
        </w:rPr>
        <w:t>彩色增强：能量图，方向性能量图，高精细动态血流成像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9.3</w:t>
      </w:r>
      <w:r>
        <w:rPr>
          <w:rFonts w:hint="eastAsia" w:ascii="宋体" w:hAnsi="宋体" w:eastAsia="宋体" w:cs="宋体"/>
          <w:sz w:val="21"/>
          <w:szCs w:val="21"/>
        </w:rPr>
        <w:tab/>
      </w:r>
      <w:r>
        <w:rPr>
          <w:rFonts w:hint="eastAsia" w:ascii="宋体" w:hAnsi="宋体" w:eastAsia="宋体" w:cs="宋体"/>
          <w:sz w:val="21"/>
          <w:szCs w:val="21"/>
        </w:rPr>
        <w:t>高精细动态血流，具有无二维背景显示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9.4</w:t>
      </w:r>
      <w:r>
        <w:rPr>
          <w:rFonts w:hint="eastAsia" w:ascii="宋体" w:hAnsi="宋体" w:eastAsia="宋体" w:cs="宋体"/>
          <w:sz w:val="21"/>
          <w:szCs w:val="21"/>
        </w:rPr>
        <w:tab/>
      </w:r>
      <w:r>
        <w:rPr>
          <w:rFonts w:hint="eastAsia" w:ascii="宋体" w:hAnsi="宋体" w:eastAsia="宋体" w:cs="宋体"/>
          <w:sz w:val="21"/>
          <w:szCs w:val="21"/>
        </w:rPr>
        <w:t>显示位置调整：线阵扫描感兴趣的图像范围-30°～+30°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10.  </w:t>
      </w:r>
      <w:r>
        <w:rPr>
          <w:rFonts w:hint="eastAsia" w:ascii="宋体" w:hAnsi="宋体" w:eastAsia="宋体" w:cs="宋体"/>
          <w:sz w:val="21"/>
          <w:szCs w:val="21"/>
        </w:rPr>
        <w:t>探头规格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频率：超宽频带及变频探头，中心频率可视可调，二维中心频率可选择≥5种，多普勒中心频率可选择≥2种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类型：超宽频凸阵穿刺探头1把、超宽频经直肠双平面（凸阵+线阵）探头1把：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探头2把</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***10.3.1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超宽频凸阵穿刺探头1把：超声频率1-5MHz</w:t>
      </w:r>
      <w:r>
        <w:rPr>
          <w:rFonts w:hint="eastAsia" w:ascii="宋体" w:hAnsi="宋体" w:eastAsia="宋体" w:cs="宋体"/>
          <w:color w:val="auto"/>
          <w:sz w:val="21"/>
          <w:szCs w:val="21"/>
          <w:lang w:eastAsia="zh-CN"/>
        </w:rPr>
        <w:t>。</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提供证明材料</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**10.3.2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超宽频经直肠双平面（凸阵+线阵）探头1把：凸阵超声频率4.0-8.0MHz ，扫描角度≥200°；线阵超声频率5.0-10.0MHz，扫查视野≥ 64mm </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提供证明材料</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投标机型可选配经直肠360°环扫探头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 xml:space="preserve">5 </w:t>
      </w:r>
      <w:r>
        <w:rPr>
          <w:rFonts w:hint="eastAsia" w:ascii="宋体" w:hAnsi="宋体" w:eastAsia="宋体" w:cs="宋体"/>
          <w:sz w:val="21"/>
          <w:szCs w:val="21"/>
        </w:rPr>
        <w:t>投标机型可选配电子经食道探头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ab/>
      </w:r>
      <w:r>
        <w:rPr>
          <w:rFonts w:hint="eastAsia" w:ascii="宋体" w:hAnsi="宋体" w:eastAsia="宋体" w:cs="宋体"/>
          <w:sz w:val="21"/>
          <w:szCs w:val="21"/>
        </w:rPr>
        <w:t>数字化图像管理与记录装置</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原始射频数据存储</w:t>
      </w:r>
      <w:r>
        <w:rPr>
          <w:rFonts w:hint="eastAsia" w:ascii="宋体" w:hAnsi="宋体" w:eastAsia="宋体" w:cs="宋体"/>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USB接口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动态图像及静态图像以AVI、BMP或JPEG格式直接存储到存储媒介，不需要特殊软件转换</w:t>
      </w:r>
      <w:r>
        <w:rPr>
          <w:rFonts w:hint="eastAsia" w:ascii="宋体" w:hAnsi="宋体" w:eastAsia="宋体" w:cs="宋体"/>
          <w:sz w:val="21"/>
          <w:szCs w:val="21"/>
        </w:rPr>
        <w:tab/>
      </w:r>
    </w:p>
    <w:p>
      <w:pPr>
        <w:bidi w:val="0"/>
        <w:rPr>
          <w:rFonts w:hint="eastAsia"/>
          <w:lang w:val="en-US" w:eastAsia="zh-CN"/>
        </w:rPr>
      </w:pPr>
    </w:p>
    <w:p>
      <w:pPr>
        <w:bidi w:val="0"/>
        <w:jc w:val="center"/>
        <w:outlineLvl w:val="2"/>
        <w:rPr>
          <w:rFonts w:hint="eastAsia" w:ascii="宋体" w:hAnsi="宋体" w:eastAsia="宋体" w:cs="宋体"/>
          <w:b/>
          <w:kern w:val="2"/>
          <w:sz w:val="21"/>
          <w:szCs w:val="21"/>
          <w:lang w:val="en-US" w:eastAsia="zh-CN" w:bidi="ar-SA"/>
        </w:rPr>
      </w:pPr>
      <w:r>
        <w:rPr>
          <w:rFonts w:hint="eastAsia"/>
          <w:lang w:val="en-US" w:eastAsia="zh-CN"/>
        </w:rPr>
        <w:br w:type="page"/>
      </w:r>
      <w:r>
        <w:rPr>
          <w:rFonts w:hint="eastAsia" w:ascii="宋体" w:hAnsi="宋体" w:eastAsia="宋体" w:cs="宋体"/>
          <w:b/>
          <w:kern w:val="2"/>
          <w:sz w:val="21"/>
          <w:szCs w:val="21"/>
          <w:lang w:val="en-US" w:eastAsia="zh-CN" w:bidi="ar-SA"/>
        </w:rPr>
        <w:t>包</w:t>
      </w:r>
      <w:r>
        <w:rPr>
          <w:rFonts w:hint="eastAsia" w:cs="宋体"/>
          <w:b/>
          <w:kern w:val="2"/>
          <w:sz w:val="21"/>
          <w:szCs w:val="21"/>
          <w:lang w:val="en-US" w:eastAsia="zh-CN" w:bidi="ar-SA"/>
        </w:rPr>
        <w:t>二</w:t>
      </w:r>
      <w:r>
        <w:rPr>
          <w:rFonts w:hint="eastAsia" w:ascii="宋体" w:hAnsi="宋体" w:eastAsia="宋体" w:cs="宋体"/>
          <w:b/>
          <w:kern w:val="2"/>
          <w:sz w:val="21"/>
          <w:szCs w:val="21"/>
          <w:lang w:val="en-US" w:eastAsia="zh-CN" w:bidi="ar-SA"/>
        </w:rPr>
        <w:t>：钬激光能量平台</w:t>
      </w:r>
    </w:p>
    <w:p>
      <w:pPr>
        <w:spacing w:line="360" w:lineRule="auto"/>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（一）设备配置：</w:t>
      </w:r>
    </w:p>
    <w:p>
      <w:pPr>
        <w:spacing w:line="360" w:lineRule="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1.钬激光系统 1套</w:t>
      </w:r>
    </w:p>
    <w:p>
      <w:pPr>
        <w:spacing w:line="360" w:lineRule="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2.动力系统   1套</w:t>
      </w:r>
    </w:p>
    <w:p>
      <w:pPr>
        <w:spacing w:line="360" w:lineRule="auto"/>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（二）钬激光系统</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1.</w:t>
      </w:r>
      <w:r>
        <w:rPr>
          <w:rFonts w:hint="eastAsia" w:ascii="宋体" w:hAnsi="宋体" w:eastAsia="宋体" w:cs="宋体"/>
          <w:color w:val="333300"/>
          <w:sz w:val="21"/>
          <w:szCs w:val="21"/>
        </w:rPr>
        <w:t>适用范围：在医疗机构中使用，用于对前列腺增生组织的汽化、凝固。</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2</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激光模式：多模</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3</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工作激光输出波长：2100nm</w:t>
      </w:r>
    </w:p>
    <w:p>
      <w:pPr>
        <w:spacing w:line="360" w:lineRule="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rPr>
        <w:t>4</w:t>
      </w:r>
      <w:r>
        <w:rPr>
          <w:rFonts w:hint="eastAsia" w:ascii="宋体" w:hAnsi="宋体" w:eastAsia="宋体" w:cs="宋体"/>
          <w:color w:val="333300"/>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color w:val="333300"/>
          <w:sz w:val="21"/>
          <w:szCs w:val="21"/>
        </w:rPr>
        <w:t>激光器输出方式：</w:t>
      </w:r>
      <w:r>
        <w:rPr>
          <w:rFonts w:hint="eastAsia" w:ascii="宋体" w:hAnsi="宋体" w:eastAsia="宋体" w:cs="宋体"/>
          <w:color w:val="333300"/>
          <w:sz w:val="21"/>
          <w:szCs w:val="21"/>
          <w:lang w:val="en-US" w:eastAsia="zh-CN"/>
        </w:rPr>
        <w:t>实际装配激光棒数量</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5</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激光器电源：二台数字激光电源设计。</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6</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冷却水泵：二组高压水泵设计</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7</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具有激光耦合保护系统：</w:t>
      </w:r>
      <w:r>
        <w:rPr>
          <w:rFonts w:hint="eastAsia" w:ascii="宋体" w:hAnsi="宋体" w:eastAsia="宋体" w:cs="宋体"/>
          <w:color w:val="333300"/>
          <w:sz w:val="21"/>
          <w:szCs w:val="21"/>
          <w:lang w:val="en-US" w:eastAsia="zh-CN"/>
        </w:rPr>
        <w:t>可以不拆机器更换激光器保护镜，用于保护激光器光路，</w:t>
      </w:r>
      <w:r>
        <w:rPr>
          <w:rFonts w:hint="eastAsia" w:ascii="宋体" w:hAnsi="宋体" w:eastAsia="宋体" w:cs="宋体"/>
          <w:color w:val="333300"/>
          <w:sz w:val="21"/>
          <w:szCs w:val="21"/>
        </w:rPr>
        <w:t>能有效防止激光器功率衰减</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8</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具有智能光纤接头：</w:t>
      </w:r>
      <w:r>
        <w:rPr>
          <w:rFonts w:hint="eastAsia" w:ascii="宋体" w:hAnsi="宋体" w:eastAsia="宋体" w:cs="宋体"/>
          <w:color w:val="333300"/>
          <w:sz w:val="21"/>
          <w:szCs w:val="21"/>
          <w:lang w:val="en-US" w:eastAsia="zh-CN"/>
        </w:rPr>
        <w:t>设备</w:t>
      </w:r>
      <w:r>
        <w:rPr>
          <w:rFonts w:hint="eastAsia" w:ascii="宋体" w:hAnsi="宋体" w:eastAsia="宋体" w:cs="宋体"/>
          <w:color w:val="333300"/>
          <w:sz w:val="21"/>
          <w:szCs w:val="21"/>
        </w:rPr>
        <w:t>自动检测光纤到位和光纤型号并自动设定该型号光纤的最大输出功率</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9</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具有控制能量稳定功能，使激光能量输出不稳定度：≤±5%</w:t>
      </w:r>
    </w:p>
    <w:p>
      <w:pPr>
        <w:spacing w:line="360" w:lineRule="auto"/>
        <w:rPr>
          <w:rFonts w:hint="eastAsia" w:ascii="宋体" w:hAnsi="宋体" w:eastAsia="宋体" w:cs="宋体"/>
          <w:color w:val="auto"/>
          <w:sz w:val="21"/>
          <w:szCs w:val="21"/>
        </w:rPr>
      </w:pPr>
      <w:r>
        <w:rPr>
          <w:rFonts w:hint="eastAsia" w:ascii="宋体" w:hAnsi="宋体" w:eastAsia="宋体" w:cs="宋体"/>
          <w:color w:val="333300"/>
          <w:sz w:val="21"/>
          <w:szCs w:val="21"/>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功率复现性：≤±5%</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rPr>
        <w:t>11</w:t>
      </w:r>
      <w:r>
        <w:rPr>
          <w:rFonts w:hint="eastAsia" w:ascii="宋体" w:hAnsi="宋体" w:eastAsia="宋体" w:cs="宋体"/>
          <w:color w:val="auto"/>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color w:val="auto"/>
          <w:sz w:val="21"/>
          <w:szCs w:val="21"/>
        </w:rPr>
        <w:t>光纤末端最大单脉冲能量： 可调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提供证明材料</w:t>
      </w:r>
      <w:r>
        <w:rPr>
          <w:rFonts w:hint="eastAsia" w:ascii="宋体" w:hAnsi="宋体" w:eastAsia="宋体" w:cs="宋体"/>
          <w:b/>
          <w:bCs/>
          <w:color w:val="auto"/>
          <w:sz w:val="21"/>
          <w:szCs w:val="21"/>
          <w:highlight w:val="none"/>
        </w:rPr>
        <w:t>）</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lang w:val="en-US" w:eastAsia="zh-CN"/>
        </w:rPr>
        <w:t>*</w:t>
      </w:r>
      <w:r>
        <w:rPr>
          <w:rFonts w:hint="eastAsia" w:ascii="宋体" w:hAnsi="宋体" w:eastAsia="宋体" w:cs="宋体"/>
          <w:color w:val="auto"/>
          <w:sz w:val="21"/>
          <w:szCs w:val="21"/>
          <w:highlight w:val="none"/>
        </w:rPr>
        <w:t>最大工作频率：≥60 Hz，可调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提供证明材料</w:t>
      </w:r>
      <w:r>
        <w:rPr>
          <w:rFonts w:hint="eastAsia" w:ascii="宋体" w:hAnsi="宋体" w:eastAsia="宋体" w:cs="宋体"/>
          <w:b/>
          <w:bCs/>
          <w:color w:val="auto"/>
          <w:sz w:val="21"/>
          <w:szCs w:val="21"/>
          <w:highlight w:val="none"/>
        </w:rPr>
        <w:t>）</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lang w:val="en-US" w:eastAsia="zh-CN"/>
        </w:rPr>
        <w:t>***</w:t>
      </w:r>
      <w:r>
        <w:rPr>
          <w:rFonts w:hint="eastAsia" w:ascii="宋体" w:hAnsi="宋体" w:eastAsia="宋体" w:cs="宋体"/>
          <w:color w:val="auto"/>
          <w:sz w:val="21"/>
          <w:szCs w:val="21"/>
          <w:highlight w:val="none"/>
        </w:rPr>
        <w:t xml:space="preserve">光纤末端输出平均功率： </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提供证明材料</w:t>
      </w:r>
      <w:r>
        <w:rPr>
          <w:rFonts w:hint="eastAsia" w:ascii="宋体" w:hAnsi="宋体" w:eastAsia="宋体" w:cs="宋体"/>
          <w:b/>
          <w:bCs/>
          <w:color w:val="auto"/>
          <w:sz w:val="21"/>
          <w:szCs w:val="21"/>
          <w:highlight w:val="none"/>
        </w:rPr>
        <w:t>）</w:t>
      </w:r>
    </w:p>
    <w:p>
      <w:pPr>
        <w:spacing w:line="360" w:lineRule="auto"/>
        <w:rPr>
          <w:rFonts w:hint="eastAsia" w:ascii="宋体" w:hAnsi="宋体" w:eastAsia="宋体" w:cs="宋体"/>
          <w:color w:val="333300"/>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脉冲宽度：宽脉宽≥</w:t>
      </w:r>
      <w:r>
        <w:rPr>
          <w:rFonts w:hint="eastAsia" w:ascii="宋体" w:hAnsi="宋体" w:eastAsia="宋体" w:cs="宋体"/>
          <w:color w:val="333300"/>
          <w:sz w:val="21"/>
          <w:szCs w:val="21"/>
        </w:rPr>
        <w:t>800us</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15</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激光传输系统：多种规格光纤可重复使用</w:t>
      </w:r>
      <w:r>
        <w:rPr>
          <w:rFonts w:hint="eastAsia" w:ascii="宋体" w:hAnsi="宋体" w:eastAsia="宋体" w:cs="宋体"/>
          <w:color w:val="333300"/>
          <w:sz w:val="21"/>
          <w:szCs w:val="21"/>
          <w:lang w:eastAsia="zh-CN"/>
        </w:rPr>
        <w:t>，光</w:t>
      </w:r>
      <w:r>
        <w:rPr>
          <w:rFonts w:hint="eastAsia" w:ascii="宋体" w:hAnsi="宋体" w:eastAsia="宋体" w:cs="宋体"/>
          <w:color w:val="333300"/>
          <w:sz w:val="21"/>
          <w:szCs w:val="21"/>
          <w:lang w:val="en-US" w:eastAsia="zh-CN"/>
        </w:rPr>
        <w:t>纤使用次数＞10次</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16</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控制方式：≥10</w:t>
      </w:r>
      <w:r>
        <w:rPr>
          <w:rFonts w:hint="eastAsia" w:ascii="宋体" w:hAnsi="宋体" w:eastAsia="宋体" w:cs="宋体"/>
          <w:color w:val="333300"/>
          <w:sz w:val="21"/>
          <w:szCs w:val="21"/>
          <w:lang w:val="en-US" w:eastAsia="zh-CN"/>
        </w:rPr>
        <w:t>英寸</w:t>
      </w:r>
      <w:r>
        <w:rPr>
          <w:rFonts w:hint="eastAsia" w:ascii="宋体" w:hAnsi="宋体" w:eastAsia="宋体" w:cs="宋体"/>
          <w:color w:val="333300"/>
          <w:sz w:val="21"/>
          <w:szCs w:val="21"/>
        </w:rPr>
        <w:t>大屏幕彩色液晶显示，触摸屏控制</w:t>
      </w:r>
    </w:p>
    <w:p>
      <w:pPr>
        <w:spacing w:line="360" w:lineRule="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17.显示屏功能：双屏显示、可独立设置二组不同参数</w:t>
      </w:r>
    </w:p>
    <w:p>
      <w:pPr>
        <w:spacing w:line="360" w:lineRule="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18.光纤工作温度显示：显示屏可显示光纤实时工作温度，光纤端面工作时温度升高具有报警提示功能</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1</w:t>
      </w:r>
      <w:r>
        <w:rPr>
          <w:rFonts w:hint="eastAsia" w:ascii="宋体" w:hAnsi="宋体" w:eastAsia="宋体" w:cs="宋体"/>
          <w:color w:val="333300"/>
          <w:sz w:val="21"/>
          <w:szCs w:val="21"/>
          <w:lang w:val="en-US" w:eastAsia="zh-CN"/>
        </w:rPr>
        <w:t>9</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 xml:space="preserve">电源：220V/50Hz </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20</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显示功能：专家临床数据库</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333300"/>
          <w:sz w:val="21"/>
          <w:szCs w:val="21"/>
          <w:lang w:val="en-US" w:eastAsia="zh-CN"/>
        </w:rPr>
        <w:t>21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指示光：绿光（波长532nm</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nm）,</w:t>
      </w:r>
      <w:r>
        <w:rPr>
          <w:rFonts w:hint="eastAsia" w:ascii="宋体" w:hAnsi="宋体" w:eastAsia="宋体" w:cs="宋体"/>
          <w:color w:val="auto"/>
          <w:sz w:val="21"/>
          <w:szCs w:val="21"/>
          <w:lang w:val="en-US" w:eastAsia="zh-CN"/>
        </w:rPr>
        <w:t>指示光功率</w:t>
      </w:r>
      <w:r>
        <w:rPr>
          <w:rFonts w:hint="eastAsia" w:ascii="宋体" w:hAnsi="宋体" w:eastAsia="宋体" w:cs="宋体"/>
          <w:color w:val="auto"/>
          <w:sz w:val="21"/>
          <w:szCs w:val="21"/>
        </w:rPr>
        <w:t>&lt;5mw</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2</w:t>
      </w:r>
      <w:r>
        <w:rPr>
          <w:rFonts w:hint="eastAsia" w:ascii="宋体" w:hAnsi="宋体" w:eastAsia="宋体" w:cs="宋体"/>
          <w:color w:val="333300"/>
          <w:sz w:val="21"/>
          <w:szCs w:val="21"/>
          <w:lang w:val="en-US" w:eastAsia="zh-CN"/>
        </w:rPr>
        <w:t>2</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冷却方式：密封循环水冷，压缩机制冷，无氟环保</w:t>
      </w:r>
    </w:p>
    <w:p>
      <w:pPr>
        <w:spacing w:line="360" w:lineRule="auto"/>
        <w:rPr>
          <w:rFonts w:hint="eastAsia" w:ascii="宋体" w:hAnsi="宋体" w:eastAsia="宋体" w:cs="宋体"/>
          <w:color w:val="333300"/>
          <w:sz w:val="21"/>
          <w:szCs w:val="21"/>
          <w:lang w:eastAsia="zh-CN"/>
        </w:rPr>
      </w:pPr>
      <w:r>
        <w:rPr>
          <w:rFonts w:hint="eastAsia" w:ascii="宋体" w:hAnsi="宋体" w:eastAsia="宋体" w:cs="宋体"/>
          <w:color w:val="333300"/>
          <w:sz w:val="21"/>
          <w:szCs w:val="21"/>
        </w:rPr>
        <w:t>2</w:t>
      </w:r>
      <w:r>
        <w:rPr>
          <w:rFonts w:hint="eastAsia" w:ascii="宋体" w:hAnsi="宋体" w:eastAsia="宋体" w:cs="宋体"/>
          <w:color w:val="333300"/>
          <w:sz w:val="21"/>
          <w:szCs w:val="21"/>
          <w:lang w:val="en-US" w:eastAsia="zh-CN"/>
        </w:rPr>
        <w:t>3</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脚踏</w:t>
      </w:r>
      <w:r>
        <w:rPr>
          <w:rFonts w:hint="eastAsia" w:ascii="宋体" w:hAnsi="宋体" w:eastAsia="宋体" w:cs="宋体"/>
          <w:color w:val="333300"/>
          <w:sz w:val="21"/>
          <w:szCs w:val="21"/>
          <w:lang w:val="en-US" w:eastAsia="zh-CN"/>
        </w:rPr>
        <w:t>按键数量</w:t>
      </w:r>
      <w:r>
        <w:rPr>
          <w:rFonts w:hint="eastAsia" w:ascii="宋体" w:hAnsi="宋体" w:eastAsia="宋体" w:cs="宋体"/>
          <w:color w:val="333300"/>
          <w:sz w:val="21"/>
          <w:szCs w:val="21"/>
        </w:rPr>
        <w:t>：≥</w:t>
      </w:r>
      <w:r>
        <w:rPr>
          <w:rFonts w:hint="eastAsia" w:ascii="宋体" w:hAnsi="宋体" w:eastAsia="宋体" w:cs="宋体"/>
          <w:color w:val="333300"/>
          <w:sz w:val="21"/>
          <w:szCs w:val="21"/>
          <w:lang w:val="en-US" w:eastAsia="zh-CN"/>
        </w:rPr>
        <w:t>3键</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2</w:t>
      </w:r>
      <w:r>
        <w:rPr>
          <w:rFonts w:hint="eastAsia" w:ascii="宋体" w:hAnsi="宋体" w:eastAsia="宋体" w:cs="宋体"/>
          <w:color w:val="333300"/>
          <w:sz w:val="21"/>
          <w:szCs w:val="21"/>
          <w:lang w:val="en-US" w:eastAsia="zh-CN"/>
        </w:rPr>
        <w:t>4</w:t>
      </w:r>
      <w:r>
        <w:rPr>
          <w:rFonts w:hint="eastAsia" w:ascii="宋体" w:hAnsi="宋体" w:eastAsia="宋体" w:cs="宋体"/>
          <w:color w:val="333300"/>
          <w:sz w:val="21"/>
          <w:szCs w:val="21"/>
          <w:lang w:eastAsia="zh-CN"/>
        </w:rPr>
        <w:t>.</w:t>
      </w:r>
      <w:r>
        <w:rPr>
          <w:rFonts w:hint="eastAsia" w:ascii="宋体" w:hAnsi="宋体" w:eastAsia="宋体" w:cs="宋体"/>
          <w:color w:val="333300"/>
          <w:sz w:val="21"/>
          <w:szCs w:val="21"/>
        </w:rPr>
        <w:t>设备有微电脑控制系统的软件，经过国家软件安全体系认证。并提供相关依据。</w:t>
      </w:r>
    </w:p>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标准配置：</w:t>
      </w:r>
    </w:p>
    <w:tbl>
      <w:tblPr>
        <w:tblStyle w:val="3"/>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20"/>
        <w:gridCol w:w="1980"/>
        <w:gridCol w:w="1620"/>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80" w:type="dxa"/>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序号</w:t>
            </w:r>
          </w:p>
        </w:tc>
        <w:tc>
          <w:tcPr>
            <w:tcW w:w="2700" w:type="dxa"/>
            <w:gridSpan w:val="2"/>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名称</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数量</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0" w:type="dxa"/>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1</w:t>
            </w:r>
          </w:p>
        </w:tc>
        <w:tc>
          <w:tcPr>
            <w:tcW w:w="2700" w:type="dxa"/>
            <w:gridSpan w:val="2"/>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医用钬激光主机</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1台</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80" w:type="dxa"/>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2</w:t>
            </w:r>
          </w:p>
        </w:tc>
        <w:tc>
          <w:tcPr>
            <w:tcW w:w="2700" w:type="dxa"/>
            <w:gridSpan w:val="2"/>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光纤</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3</w:t>
            </w:r>
            <w:r>
              <w:rPr>
                <w:rFonts w:hint="eastAsia" w:ascii="宋体" w:hAnsi="宋体" w:eastAsia="宋体" w:cs="宋体"/>
                <w:color w:val="333300"/>
                <w:sz w:val="21"/>
                <w:szCs w:val="21"/>
              </w:rPr>
              <w:t>根</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内径550μm，长3m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80" w:type="dxa"/>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3</w:t>
            </w:r>
          </w:p>
        </w:tc>
        <w:tc>
          <w:tcPr>
            <w:tcW w:w="2700" w:type="dxa"/>
            <w:gridSpan w:val="2"/>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光纤</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3</w:t>
            </w:r>
            <w:r>
              <w:rPr>
                <w:rFonts w:hint="eastAsia" w:ascii="宋体" w:hAnsi="宋体" w:eastAsia="宋体" w:cs="宋体"/>
                <w:color w:val="333300"/>
                <w:sz w:val="21"/>
                <w:szCs w:val="21"/>
              </w:rPr>
              <w:t>根</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内径200μm，长3m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80" w:type="dxa"/>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4</w:t>
            </w:r>
          </w:p>
        </w:tc>
        <w:tc>
          <w:tcPr>
            <w:tcW w:w="2700" w:type="dxa"/>
            <w:gridSpan w:val="2"/>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光纤切割剥削专用工具</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1套</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光纤刀一把,</w:t>
            </w:r>
          </w:p>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光纤剥削器一套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80" w:type="dxa"/>
            <w:noWrap w:val="0"/>
            <w:vAlign w:val="center"/>
          </w:tcPr>
          <w:p>
            <w:pPr>
              <w:spacing w:line="360" w:lineRule="auto"/>
              <w:jc w:val="center"/>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5</w:t>
            </w:r>
          </w:p>
        </w:tc>
        <w:tc>
          <w:tcPr>
            <w:tcW w:w="2700" w:type="dxa"/>
            <w:gridSpan w:val="2"/>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光纤检测镜</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1把</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80" w:type="dxa"/>
            <w:vMerge w:val="restart"/>
            <w:tcBorders>
              <w:top w:val="nil"/>
            </w:tcBorders>
            <w:noWrap w:val="0"/>
            <w:vAlign w:val="center"/>
          </w:tcPr>
          <w:p>
            <w:pPr>
              <w:spacing w:line="360" w:lineRule="auto"/>
              <w:jc w:val="center"/>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6</w:t>
            </w:r>
          </w:p>
        </w:tc>
        <w:tc>
          <w:tcPr>
            <w:tcW w:w="720" w:type="dxa"/>
            <w:vMerge w:val="restart"/>
            <w:tcBorders>
              <w:top w:val="nil"/>
              <w:left w:val="nil"/>
            </w:tcBorders>
            <w:noWrap w:val="0"/>
            <w:vAlign w:val="center"/>
          </w:tcPr>
          <w:p>
            <w:pPr>
              <w:spacing w:line="360" w:lineRule="auto"/>
              <w:rPr>
                <w:rFonts w:hint="eastAsia" w:ascii="宋体" w:hAnsi="宋体" w:eastAsia="宋体" w:cs="宋体"/>
                <w:color w:val="333300"/>
                <w:sz w:val="21"/>
                <w:szCs w:val="21"/>
              </w:rPr>
            </w:pPr>
            <w:r>
              <w:rPr>
                <w:rFonts w:hint="eastAsia" w:ascii="宋体" w:hAnsi="宋体" w:eastAsia="宋体" w:cs="宋体"/>
                <w:color w:val="333300"/>
                <w:sz w:val="21"/>
                <w:szCs w:val="21"/>
              </w:rPr>
              <w:t>附件</w:t>
            </w:r>
          </w:p>
        </w:tc>
        <w:tc>
          <w:tcPr>
            <w:tcW w:w="198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操作手册</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1套</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80" w:type="dxa"/>
            <w:vMerge w:val="continue"/>
            <w:tcBorders>
              <w:top w:val="nil"/>
            </w:tcBorders>
            <w:noWrap w:val="0"/>
            <w:vAlign w:val="center"/>
          </w:tcPr>
          <w:p>
            <w:pPr>
              <w:widowControl/>
              <w:spacing w:line="360" w:lineRule="auto"/>
              <w:jc w:val="left"/>
              <w:rPr>
                <w:rFonts w:hint="eastAsia" w:ascii="宋体" w:hAnsi="宋体" w:eastAsia="宋体" w:cs="宋体"/>
                <w:color w:val="333300"/>
                <w:sz w:val="21"/>
                <w:szCs w:val="21"/>
              </w:rPr>
            </w:pPr>
          </w:p>
        </w:tc>
        <w:tc>
          <w:tcPr>
            <w:tcW w:w="720" w:type="dxa"/>
            <w:vMerge w:val="continue"/>
            <w:tcBorders>
              <w:top w:val="nil"/>
              <w:left w:val="nil"/>
            </w:tcBorders>
            <w:noWrap w:val="0"/>
            <w:vAlign w:val="center"/>
          </w:tcPr>
          <w:p>
            <w:pPr>
              <w:widowControl/>
              <w:spacing w:line="360" w:lineRule="auto"/>
              <w:jc w:val="left"/>
              <w:rPr>
                <w:rFonts w:hint="eastAsia" w:ascii="宋体" w:hAnsi="宋体" w:eastAsia="宋体" w:cs="宋体"/>
                <w:color w:val="333300"/>
                <w:sz w:val="21"/>
                <w:szCs w:val="21"/>
              </w:rPr>
            </w:pPr>
          </w:p>
        </w:tc>
        <w:tc>
          <w:tcPr>
            <w:tcW w:w="198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金属附件箱</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1只</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080" w:type="dxa"/>
            <w:vMerge w:val="continue"/>
            <w:tcBorders>
              <w:top w:val="nil"/>
            </w:tcBorders>
            <w:noWrap w:val="0"/>
            <w:vAlign w:val="center"/>
          </w:tcPr>
          <w:p>
            <w:pPr>
              <w:widowControl/>
              <w:spacing w:line="360" w:lineRule="auto"/>
              <w:jc w:val="left"/>
              <w:rPr>
                <w:rFonts w:hint="eastAsia" w:ascii="宋体" w:hAnsi="宋体" w:eastAsia="宋体" w:cs="宋体"/>
                <w:color w:val="333300"/>
                <w:sz w:val="21"/>
                <w:szCs w:val="21"/>
              </w:rPr>
            </w:pPr>
          </w:p>
        </w:tc>
        <w:tc>
          <w:tcPr>
            <w:tcW w:w="720" w:type="dxa"/>
            <w:vMerge w:val="continue"/>
            <w:tcBorders>
              <w:top w:val="nil"/>
              <w:left w:val="nil"/>
            </w:tcBorders>
            <w:noWrap w:val="0"/>
            <w:vAlign w:val="center"/>
          </w:tcPr>
          <w:p>
            <w:pPr>
              <w:widowControl/>
              <w:spacing w:line="360" w:lineRule="auto"/>
              <w:jc w:val="left"/>
              <w:rPr>
                <w:rFonts w:hint="eastAsia" w:ascii="宋体" w:hAnsi="宋体" w:eastAsia="宋体" w:cs="宋体"/>
                <w:color w:val="333300"/>
                <w:sz w:val="21"/>
                <w:szCs w:val="21"/>
              </w:rPr>
            </w:pPr>
          </w:p>
        </w:tc>
        <w:tc>
          <w:tcPr>
            <w:tcW w:w="198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原配脚踏开关</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1件</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0" w:type="dxa"/>
            <w:vMerge w:val="continue"/>
            <w:tcBorders>
              <w:top w:val="nil"/>
            </w:tcBorders>
            <w:noWrap w:val="0"/>
            <w:vAlign w:val="center"/>
          </w:tcPr>
          <w:p>
            <w:pPr>
              <w:widowControl/>
              <w:spacing w:line="360" w:lineRule="auto"/>
              <w:jc w:val="left"/>
              <w:rPr>
                <w:rFonts w:hint="eastAsia" w:ascii="宋体" w:hAnsi="宋体" w:eastAsia="宋体" w:cs="宋体"/>
                <w:color w:val="333300"/>
                <w:sz w:val="21"/>
                <w:szCs w:val="21"/>
              </w:rPr>
            </w:pPr>
          </w:p>
        </w:tc>
        <w:tc>
          <w:tcPr>
            <w:tcW w:w="720" w:type="dxa"/>
            <w:vMerge w:val="continue"/>
            <w:tcBorders>
              <w:top w:val="nil"/>
              <w:left w:val="nil"/>
            </w:tcBorders>
            <w:noWrap w:val="0"/>
            <w:vAlign w:val="center"/>
          </w:tcPr>
          <w:p>
            <w:pPr>
              <w:widowControl/>
              <w:spacing w:line="360" w:lineRule="auto"/>
              <w:jc w:val="left"/>
              <w:rPr>
                <w:rFonts w:hint="eastAsia" w:ascii="宋体" w:hAnsi="宋体" w:eastAsia="宋体" w:cs="宋体"/>
                <w:color w:val="333300"/>
                <w:sz w:val="21"/>
                <w:szCs w:val="21"/>
              </w:rPr>
            </w:pPr>
          </w:p>
        </w:tc>
        <w:tc>
          <w:tcPr>
            <w:tcW w:w="198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机器开关钥匙</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1组（2把）</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80" w:type="dxa"/>
            <w:vMerge w:val="continue"/>
            <w:tcBorders>
              <w:top w:val="nil"/>
            </w:tcBorders>
            <w:noWrap w:val="0"/>
            <w:vAlign w:val="center"/>
          </w:tcPr>
          <w:p>
            <w:pPr>
              <w:widowControl/>
              <w:spacing w:line="360" w:lineRule="auto"/>
              <w:jc w:val="left"/>
              <w:rPr>
                <w:rFonts w:hint="eastAsia" w:ascii="宋体" w:hAnsi="宋体" w:eastAsia="宋体" w:cs="宋体"/>
                <w:color w:val="333300"/>
                <w:sz w:val="21"/>
                <w:szCs w:val="21"/>
              </w:rPr>
            </w:pPr>
          </w:p>
        </w:tc>
        <w:tc>
          <w:tcPr>
            <w:tcW w:w="720" w:type="dxa"/>
            <w:vMerge w:val="continue"/>
            <w:tcBorders>
              <w:top w:val="nil"/>
              <w:left w:val="nil"/>
            </w:tcBorders>
            <w:noWrap w:val="0"/>
            <w:vAlign w:val="center"/>
          </w:tcPr>
          <w:p>
            <w:pPr>
              <w:widowControl/>
              <w:spacing w:line="360" w:lineRule="auto"/>
              <w:jc w:val="left"/>
              <w:rPr>
                <w:rFonts w:hint="eastAsia" w:ascii="宋体" w:hAnsi="宋体" w:eastAsia="宋体" w:cs="宋体"/>
                <w:color w:val="333300"/>
                <w:sz w:val="21"/>
                <w:szCs w:val="21"/>
              </w:rPr>
            </w:pPr>
          </w:p>
        </w:tc>
        <w:tc>
          <w:tcPr>
            <w:tcW w:w="198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激光防护镜</w:t>
            </w:r>
          </w:p>
        </w:tc>
        <w:tc>
          <w:tcPr>
            <w:tcW w:w="1620" w:type="dxa"/>
            <w:tcBorders>
              <w:left w:val="nil"/>
            </w:tcBorders>
            <w:noWrap w:val="0"/>
            <w:vAlign w:val="center"/>
          </w:tcPr>
          <w:p>
            <w:pPr>
              <w:spacing w:line="360" w:lineRule="auto"/>
              <w:jc w:val="center"/>
              <w:rPr>
                <w:rFonts w:hint="eastAsia" w:ascii="宋体" w:hAnsi="宋体" w:eastAsia="宋体" w:cs="宋体"/>
                <w:color w:val="333300"/>
                <w:sz w:val="21"/>
                <w:szCs w:val="21"/>
              </w:rPr>
            </w:pPr>
            <w:r>
              <w:rPr>
                <w:rFonts w:hint="eastAsia" w:ascii="宋体" w:hAnsi="宋体" w:eastAsia="宋体" w:cs="宋体"/>
                <w:color w:val="333300"/>
                <w:sz w:val="21"/>
                <w:szCs w:val="21"/>
              </w:rPr>
              <w:t>1副</w:t>
            </w:r>
          </w:p>
        </w:tc>
        <w:tc>
          <w:tcPr>
            <w:tcW w:w="2709" w:type="dxa"/>
            <w:tcBorders>
              <w:left w:val="nil"/>
            </w:tcBorders>
            <w:noWrap w:val="0"/>
            <w:vAlign w:val="center"/>
          </w:tcPr>
          <w:p>
            <w:pPr>
              <w:spacing w:line="360" w:lineRule="auto"/>
              <w:jc w:val="center"/>
              <w:rPr>
                <w:rFonts w:hint="eastAsia" w:ascii="宋体" w:hAnsi="宋体" w:eastAsia="宋体" w:cs="宋体"/>
                <w:color w:val="333300"/>
                <w:sz w:val="21"/>
                <w:szCs w:val="21"/>
              </w:rPr>
            </w:pPr>
          </w:p>
        </w:tc>
      </w:tr>
    </w:tbl>
    <w:p>
      <w:pPr>
        <w:numPr>
          <w:ilvl w:val="0"/>
          <w:numId w:val="0"/>
        </w:numPr>
        <w:spacing w:line="360" w:lineRule="auto"/>
        <w:ind w:leftChars="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（三）动力系统技术要求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1.适用范围：泌尿外科内窥镜手术。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2.工作电压：220 VAC，50 Hz；输入功率：100 VA；保险丝规格：F2AL 250 V ，φ5×20；防电击类型：I类。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3.最大输出转矩：≥140 mN.m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4.最高输出转速：1200 r/min。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5.调速范围：0001-0010，10档可调。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6.极限负压：≥0.08/MPa。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7.瞬间抽气速率：≥15 L/min。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8.刀具外径：φ 4.5 mm、φ 4.8 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9. 刀具工作长度：400 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10.噪声＜65 db。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11.手机可高温高压消毒。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lang w:val="en-US" w:eastAsia="zh-CN"/>
        </w:rPr>
      </w:pPr>
      <w:r>
        <w:rPr>
          <w:rFonts w:hint="eastAsia" w:ascii="宋体" w:hAnsi="宋体" w:eastAsia="宋体" w:cs="宋体"/>
          <w:color w:val="333300"/>
          <w:sz w:val="21"/>
          <w:szCs w:val="21"/>
          <w:lang w:val="en-US" w:eastAsia="zh-CN"/>
        </w:rPr>
        <w:t>12.尿道膀胱镜及配套手术器械。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13.</w:t>
      </w:r>
      <w:r>
        <w:rPr>
          <w:rFonts w:hint="eastAsia" w:ascii="宋体" w:hAnsi="宋体" w:eastAsia="宋体" w:cs="宋体"/>
          <w:color w:val="333300"/>
          <w:sz w:val="21"/>
          <w:szCs w:val="21"/>
        </w:rPr>
        <w:t>内窥镜：视向角</w:t>
      </w:r>
      <w:r>
        <w:rPr>
          <w:rFonts w:hint="eastAsia" w:ascii="宋体" w:hAnsi="宋体" w:eastAsia="宋体" w:cs="宋体"/>
          <w:color w:val="333300"/>
          <w:sz w:val="21"/>
          <w:szCs w:val="21"/>
          <w:lang w:val="en-US" w:eastAsia="zh-CN"/>
        </w:rPr>
        <w:t>6</w:t>
      </w:r>
      <w:r>
        <w:rPr>
          <w:rFonts w:hint="eastAsia" w:ascii="宋体" w:hAnsi="宋体" w:eastAsia="宋体" w:cs="宋体"/>
          <w:color w:val="333300"/>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14.</w:t>
      </w:r>
      <w:r>
        <w:rPr>
          <w:rFonts w:hint="eastAsia" w:ascii="宋体" w:hAnsi="宋体" w:eastAsia="宋体" w:cs="宋体"/>
          <w:color w:val="333300"/>
          <w:sz w:val="21"/>
          <w:szCs w:val="21"/>
        </w:rPr>
        <w:t>工作长度：210 mm</w:t>
      </w:r>
      <w:bookmarkStart w:id="1" w:name="_Hlk7016271"/>
      <w:bookmarkStart w:id="2" w:name="_Hlk7015520"/>
      <w:r>
        <w:rPr>
          <w:rFonts w:hint="eastAsia" w:ascii="宋体" w:hAnsi="宋体" w:eastAsia="宋体" w:cs="宋体"/>
          <w:color w:val="333300"/>
          <w:sz w:val="21"/>
          <w:szCs w:val="21"/>
        </w:rPr>
        <w:t>。</w:t>
      </w:r>
      <w:bookmarkEnd w:id="1"/>
    </w:p>
    <w:bookmarkEnd w:id="2"/>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15.</w:t>
      </w:r>
      <w:r>
        <w:rPr>
          <w:rFonts w:hint="eastAsia" w:ascii="宋体" w:hAnsi="宋体" w:eastAsia="宋体" w:cs="宋体"/>
          <w:color w:val="333300"/>
          <w:sz w:val="21"/>
          <w:szCs w:val="21"/>
        </w:rPr>
        <w:t>光学工作距：20 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16.</w:t>
      </w:r>
      <w:r>
        <w:rPr>
          <w:rFonts w:hint="eastAsia" w:ascii="宋体" w:hAnsi="宋体" w:eastAsia="宋体" w:cs="宋体"/>
          <w:color w:val="333300"/>
          <w:sz w:val="21"/>
          <w:szCs w:val="21"/>
        </w:rPr>
        <w:t>景深：3-50 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17.</w:t>
      </w:r>
      <w:r>
        <w:rPr>
          <w:rFonts w:hint="eastAsia" w:ascii="宋体" w:hAnsi="宋体" w:eastAsia="宋体" w:cs="宋体"/>
          <w:color w:val="333300"/>
          <w:sz w:val="21"/>
          <w:szCs w:val="21"/>
        </w:rPr>
        <w:t>镜管外鞘Fr 26。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18.</w:t>
      </w:r>
      <w:r>
        <w:rPr>
          <w:rFonts w:hint="eastAsia" w:ascii="宋体" w:hAnsi="宋体" w:eastAsia="宋体" w:cs="宋体"/>
          <w:color w:val="333300"/>
          <w:sz w:val="21"/>
          <w:szCs w:val="21"/>
        </w:rPr>
        <w:t>内窥镜：视向角25°。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19.</w:t>
      </w:r>
      <w:r>
        <w:rPr>
          <w:rFonts w:hint="eastAsia" w:ascii="宋体" w:hAnsi="宋体" w:eastAsia="宋体" w:cs="宋体"/>
          <w:color w:val="333300"/>
          <w:sz w:val="21"/>
          <w:szCs w:val="21"/>
        </w:rPr>
        <w:t>工作长度：302 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20.</w:t>
      </w:r>
      <w:r>
        <w:rPr>
          <w:rFonts w:hint="eastAsia" w:ascii="宋体" w:hAnsi="宋体" w:eastAsia="宋体" w:cs="宋体"/>
          <w:color w:val="333300"/>
          <w:sz w:val="21"/>
          <w:szCs w:val="21"/>
        </w:rPr>
        <w:t>中心分辨率：3.348 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21.</w:t>
      </w:r>
      <w:r>
        <w:rPr>
          <w:rFonts w:hint="eastAsia" w:ascii="宋体" w:hAnsi="宋体" w:eastAsia="宋体" w:cs="宋体"/>
          <w:color w:val="333300"/>
          <w:sz w:val="21"/>
          <w:szCs w:val="21"/>
        </w:rPr>
        <w:t>光谱显色指数Ra：85。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22.</w:t>
      </w:r>
      <w:r>
        <w:rPr>
          <w:rFonts w:hint="eastAsia" w:ascii="宋体" w:hAnsi="宋体" w:eastAsia="宋体" w:cs="宋体"/>
          <w:color w:val="333300"/>
          <w:sz w:val="21"/>
          <w:szCs w:val="21"/>
        </w:rPr>
        <w:t>有效光度率DM：1000。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23.</w:t>
      </w:r>
      <w:r>
        <w:rPr>
          <w:rFonts w:hint="eastAsia" w:ascii="宋体" w:hAnsi="宋体" w:eastAsia="宋体" w:cs="宋体"/>
          <w:color w:val="333300"/>
          <w:sz w:val="21"/>
          <w:szCs w:val="21"/>
        </w:rPr>
        <w:t>镜管外鞘Fr 26。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333300"/>
          <w:sz w:val="21"/>
          <w:szCs w:val="21"/>
        </w:rPr>
      </w:pPr>
      <w:r>
        <w:rPr>
          <w:rFonts w:hint="eastAsia" w:ascii="宋体" w:hAnsi="宋体" w:eastAsia="宋体" w:cs="宋体"/>
          <w:color w:val="333300"/>
          <w:sz w:val="21"/>
          <w:szCs w:val="21"/>
          <w:lang w:val="en-US" w:eastAsia="zh-CN"/>
        </w:rPr>
        <w:t>24.</w:t>
      </w:r>
      <w:r>
        <w:rPr>
          <w:rFonts w:hint="eastAsia" w:ascii="宋体" w:hAnsi="宋体" w:eastAsia="宋体" w:cs="宋体"/>
          <w:color w:val="333300"/>
          <w:sz w:val="21"/>
          <w:szCs w:val="21"/>
        </w:rPr>
        <w:t>操作器（工作手件）内置式光纤锁止机构设计，无需外接光纤固</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1.技术参数中</w:t>
      </w:r>
      <w:r>
        <w:rPr>
          <w:rFonts w:hint="eastAsia" w:ascii="宋体" w:hAnsi="宋体" w:eastAsia="宋体" w:cs="宋体"/>
          <w:b/>
          <w:bCs/>
          <w:kern w:val="2"/>
          <w:sz w:val="21"/>
          <w:szCs w:val="21"/>
          <w:highlight w:val="none"/>
          <w:lang w:val="en-US" w:eastAsia="zh-CN" w:bidi="ar-SA"/>
        </w:rPr>
        <w:t>带“**”为重要参数</w:t>
      </w:r>
      <w:r>
        <w:rPr>
          <w:rFonts w:hint="eastAsia" w:ascii="宋体" w:hAnsi="宋体" w:eastAsia="宋体" w:cs="宋体"/>
          <w:kern w:val="2"/>
          <w:sz w:val="21"/>
          <w:szCs w:val="21"/>
          <w:highlight w:val="none"/>
          <w:lang w:val="en-US" w:eastAsia="zh-CN" w:bidi="ar-SA"/>
        </w:rPr>
        <w:t>，一项不符合即视为</w:t>
      </w:r>
      <w:r>
        <w:rPr>
          <w:rFonts w:hint="eastAsia" w:ascii="宋体" w:hAnsi="宋体" w:eastAsia="宋体" w:cs="宋体"/>
          <w:b/>
          <w:bCs/>
          <w:kern w:val="2"/>
          <w:sz w:val="21"/>
          <w:szCs w:val="21"/>
          <w:highlight w:val="none"/>
          <w:lang w:val="en-US" w:eastAsia="zh-CN" w:bidi="ar-SA"/>
        </w:rPr>
        <w:t>无效标</w:t>
      </w:r>
      <w:r>
        <w:rPr>
          <w:rFonts w:hint="eastAsia" w:ascii="宋体" w:hAnsi="宋体" w:eastAsia="宋体" w:cs="宋体"/>
          <w:kern w:val="2"/>
          <w:sz w:val="21"/>
          <w:szCs w:val="21"/>
          <w:highlight w:val="none"/>
          <w:lang w:val="en-US" w:eastAsia="zh-CN" w:bidi="ar-SA"/>
        </w:rPr>
        <w:t>；带“***”为质量等级参数，不同等级得相应分数，详见评标办法。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2.投标人在满足技术要求和性能的前提下可投同档次或优于上述参数、性能和质量的货物。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3.对于招标文件明确要求投标人提供证明材料的技术条款，投标人应在投标文件中提供其投标产品满足招标文件技术条款要求的证明材料作为投标文件的一部分，以证明所投产品技术参数满足招标文件的技术条款，未按要求提供的，视为该项技术条款不满足；对于招标文件未明确要求投标人提供证明材料的技术条款，如投标人未提供相关技术证明材料，且在技术偏差表填写“满足”的，视为投标人已承诺满足该项技术条款，因虚假应标产生的一切</w:t>
      </w:r>
      <w:r>
        <w:rPr>
          <w:rFonts w:hint="eastAsia" w:ascii="宋体" w:hAnsi="宋体" w:eastAsia="宋体" w:cs="宋体"/>
          <w:kern w:val="0"/>
          <w:sz w:val="21"/>
          <w:szCs w:val="21"/>
          <w:highlight w:val="none"/>
          <w:lang w:val="en-US" w:eastAsia="zh-CN"/>
        </w:rPr>
        <w:t>后果由投标人自行承担。</w:t>
      </w:r>
      <w:r>
        <w:rPr>
          <w:rFonts w:hint="eastAsia" w:ascii="宋体" w:hAnsi="宋体" w:eastAsia="宋体" w:cs="宋体"/>
          <w:b w:val="0"/>
          <w:bCs w:val="0"/>
          <w:color w:val="auto"/>
          <w:szCs w:val="21"/>
          <w:highlight w:val="none"/>
          <w:lang w:val="en-US" w:eastAsia="zh-CN"/>
        </w:rPr>
        <w:t>证明材料包括：投标产品制造商公开发布的印刷技术资料（彩页或技术白皮书），或者投标产品制造商官网发布的技术资料网页版打印件（显示网页网址），或者评标委员会认可的其他客观证据材料。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1.交货期：合同签订后30天内安装调试完成。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2.交货地点：濮阳市人民医院。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3.质量标准：合格，符合国家标准。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4.质保期：验收合格后保修1年。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5.付款方式：货物运到买方使用现场，安装调试结束，经买方验收合格，卖方提交发票后，支付合同款的100%。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6.履约验收要求：符合招标文件及投标文件要求，由招标人组织统一验收。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7.商品包装和快递包装应符合《商品包装政府采购需求标准（试行）》。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8.投标人需提供安装、调试方案，包括设备安装调试、试运行测试、运行维护等。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9.投标人需提供培训方案和供货方案。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10.投标人需提供售后服务承诺和售后服务方案，包括售后服务人员、售后服务计划、售后服务设备等。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11.投标人需提供质保期内质量保证措施、质保期外质量保证措施等。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IxN2FiNjcyNzdhOTIwMmM0MjljZjRiMzNhNGQifQ=="/>
  </w:docVars>
  <w:rsids>
    <w:rsidRoot w:val="00000000"/>
    <w:rsid w:val="2EE90BC2"/>
    <w:rsid w:val="7B946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2"/>
      <w:szCs w:val="20"/>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2024-02-02T05:21:00Z</dcterms:created>
  <dc:creator>Administrator</dc:creator>
  <cp:lastModifiedBy>侯高磊</cp:lastModifiedBy>
  <dcterms:modified xsi:type="dcterms:W3CDTF">2024-02-02T05:22:50Z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05282B104B7641BFB00A396B458B3A41_12</vt:lpwstr>
  </property>
</Properties>
</file>