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line="360" w:lineRule="auto"/>
        <w:jc w:val="center"/>
        <w:outlineLvl w:val="9"/>
        <w:rPr>
          <w:rFonts w:hint="eastAsia" w:ascii="宋体" w:hAnsi="宋体" w:eastAsia="宋体" w:cs="宋体"/>
          <w:spacing w:val="14"/>
          <w:sz w:val="36"/>
          <w:szCs w:val="36"/>
          <w:highlight w:val="none"/>
        </w:rPr>
      </w:pPr>
      <w:bookmarkStart w:id="0" w:name="EBb46fd0463b5c4fa194678f835053836e"/>
      <w:r>
        <w:rPr>
          <w:rFonts w:hint="eastAsia" w:ascii="宋体" w:hAnsi="宋体" w:eastAsia="宋体" w:cs="宋体"/>
          <w:b/>
          <w:bCs/>
          <w:spacing w:val="14"/>
          <w:sz w:val="36"/>
          <w:szCs w:val="36"/>
          <w:highlight w:val="none"/>
          <w:lang w:eastAsia="zh-CN"/>
        </w:rPr>
        <w:t>汝阳城市建设投资发展有限公司汝阳县智慧停车场建设项目充电桩设备购置与安装项目</w:t>
      </w:r>
      <w:r>
        <w:rPr>
          <w:rFonts w:hint="eastAsia" w:ascii="宋体" w:hAnsi="宋体" w:eastAsia="宋体" w:cs="宋体"/>
          <w:spacing w:val="14"/>
          <w:sz w:val="36"/>
          <w:szCs w:val="36"/>
          <w:highlight w:val="none"/>
        </w:rPr>
        <w:t xml:space="preserve"> </w:t>
      </w:r>
    </w:p>
    <w:p>
      <w:pPr>
        <w:pStyle w:val="9"/>
        <w:spacing w:line="360" w:lineRule="auto"/>
        <w:jc w:val="center"/>
        <w:outlineLvl w:val="9"/>
        <w:rPr>
          <w:rFonts w:hint="eastAsia" w:ascii="宋体" w:hAnsi="宋体" w:eastAsia="宋体" w:cs="宋体"/>
          <w:b/>
          <w:bCs/>
          <w:spacing w:val="14"/>
          <w:sz w:val="32"/>
          <w:szCs w:val="32"/>
          <w:highlight w:val="none"/>
          <w:lang w:eastAsia="zh-CN" w:bidi="ar-SA"/>
        </w:rPr>
      </w:pPr>
      <w:r>
        <w:rPr>
          <w:rFonts w:hint="eastAsia" w:ascii="宋体" w:hAnsi="宋体" w:eastAsia="宋体" w:cs="宋体"/>
          <w:b/>
          <w:bCs/>
          <w:spacing w:val="14"/>
          <w:sz w:val="32"/>
          <w:szCs w:val="32"/>
          <w:highlight w:val="none"/>
          <w:lang w:eastAsia="zh-CN" w:bidi="ar-SA"/>
        </w:rPr>
        <w:t xml:space="preserve"> （项目代码：2207-410326-04-01-954525 ）</w:t>
      </w:r>
    </w:p>
    <w:p>
      <w:pPr>
        <w:pStyle w:val="9"/>
        <w:spacing w:line="360" w:lineRule="auto"/>
        <w:jc w:val="center"/>
        <w:outlineLvl w:val="9"/>
        <w:rPr>
          <w:rFonts w:hint="eastAsia" w:ascii="宋体" w:hAnsi="宋体" w:eastAsia="宋体" w:cs="宋体"/>
          <w:b/>
          <w:bCs/>
          <w:spacing w:val="14"/>
          <w:sz w:val="72"/>
          <w:szCs w:val="72"/>
          <w:highlight w:val="none"/>
        </w:rPr>
      </w:pPr>
      <w:r>
        <w:rPr>
          <w:rFonts w:hint="eastAsia" w:ascii="宋体" w:hAnsi="宋体" w:eastAsia="宋体" w:cs="宋体"/>
          <w:b/>
          <w:bCs/>
          <w:spacing w:val="14"/>
          <w:sz w:val="72"/>
          <w:szCs w:val="72"/>
          <w:highlight w:val="none"/>
        </w:rPr>
        <w:t>招标文件</w:t>
      </w:r>
    </w:p>
    <w:p>
      <w:pPr>
        <w:pStyle w:val="9"/>
        <w:spacing w:line="360" w:lineRule="auto"/>
        <w:ind w:firstLine="0"/>
        <w:jc w:val="center"/>
        <w:outlineLvl w:val="9"/>
        <w:rPr>
          <w:rFonts w:hint="eastAsia" w:ascii="宋体" w:hAnsi="宋体" w:eastAsia="宋体" w:cs="宋体"/>
          <w:b/>
          <w:spacing w:val="14"/>
          <w:sz w:val="24"/>
          <w:szCs w:val="24"/>
          <w:highlight w:val="none"/>
        </w:rPr>
      </w:pPr>
    </w:p>
    <w:p>
      <w:pPr>
        <w:pStyle w:val="11"/>
        <w:widowControl/>
        <w:wordWrap w:val="0"/>
        <w:spacing w:line="360" w:lineRule="auto"/>
        <w:jc w:val="center"/>
        <w:outlineLvl w:val="9"/>
        <w:rPr>
          <w:rFonts w:hint="eastAsia" w:ascii="宋体" w:hAnsi="宋体" w:eastAsia="宋体" w:cs="宋体"/>
          <w:b/>
          <w:bCs/>
          <w:spacing w:val="14"/>
          <w:kern w:val="0"/>
          <w:sz w:val="24"/>
          <w:szCs w:val="24"/>
          <w:highlight w:val="none"/>
          <w:lang w:val="en-US" w:eastAsia="zh-CN"/>
        </w:rPr>
      </w:pPr>
      <w:r>
        <w:rPr>
          <w:rFonts w:hint="eastAsia" w:ascii="宋体" w:hAnsi="宋体" w:eastAsia="宋体" w:cs="宋体"/>
          <w:b/>
          <w:bCs/>
          <w:spacing w:val="14"/>
          <w:kern w:val="0"/>
          <w:sz w:val="24"/>
          <w:szCs w:val="24"/>
          <w:highlight w:val="none"/>
          <w:lang w:val="en-US" w:eastAsia="zh-CN"/>
        </w:rPr>
        <w:t>项目编号：汝阳企采招标(2023)0247号</w:t>
      </w:r>
    </w:p>
    <w:p>
      <w:pPr>
        <w:pStyle w:val="11"/>
        <w:widowControl/>
        <w:wordWrap w:val="0"/>
        <w:spacing w:line="360" w:lineRule="auto"/>
        <w:jc w:val="center"/>
        <w:outlineLvl w:val="9"/>
        <w:rPr>
          <w:rFonts w:hint="default" w:ascii="宋体" w:hAnsi="宋体" w:eastAsia="宋体" w:cs="宋体"/>
          <w:b/>
          <w:bCs/>
          <w:spacing w:val="14"/>
          <w:kern w:val="0"/>
          <w:sz w:val="24"/>
          <w:szCs w:val="24"/>
          <w:highlight w:val="none"/>
          <w:lang w:val="en-US" w:eastAsia="zh-CN"/>
        </w:rPr>
      </w:pPr>
      <w:r>
        <w:rPr>
          <w:rFonts w:hint="eastAsia" w:ascii="宋体" w:hAnsi="宋体" w:eastAsia="宋体" w:cs="宋体"/>
          <w:b/>
          <w:bCs/>
          <w:spacing w:val="14"/>
          <w:kern w:val="0"/>
          <w:sz w:val="24"/>
          <w:szCs w:val="24"/>
          <w:highlight w:val="none"/>
          <w:lang w:val="en-US" w:eastAsia="zh-CN"/>
        </w:rPr>
        <w:t>政府采购备案编号：汝政采-2023-778</w:t>
      </w:r>
    </w:p>
    <w:p>
      <w:pPr>
        <w:pStyle w:val="9"/>
        <w:spacing w:line="360" w:lineRule="auto"/>
        <w:ind w:firstLine="0"/>
        <w:jc w:val="center"/>
        <w:outlineLvl w:val="9"/>
        <w:rPr>
          <w:rFonts w:hint="eastAsia" w:ascii="宋体" w:hAnsi="宋体" w:eastAsia="宋体" w:cs="宋体"/>
          <w:spacing w:val="14"/>
          <w:sz w:val="24"/>
          <w:szCs w:val="24"/>
          <w:highlight w:val="none"/>
        </w:rPr>
      </w:pPr>
    </w:p>
    <w:p>
      <w:pPr>
        <w:pStyle w:val="9"/>
        <w:spacing w:line="360" w:lineRule="auto"/>
        <w:ind w:firstLine="0"/>
        <w:jc w:val="center"/>
        <w:outlineLvl w:val="9"/>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drawing>
          <wp:inline distT="0" distB="0" distL="114300" distR="114300">
            <wp:extent cx="2656840" cy="2360295"/>
            <wp:effectExtent l="0" t="0" r="10160" b="1905"/>
            <wp:docPr id="3" name="图片 1" descr="e2185875bbc17ab7c6682a60fc5b3f3"/>
            <wp:cNvGraphicFramePr/>
            <a:graphic xmlns:a="http://schemas.openxmlformats.org/drawingml/2006/main">
              <a:graphicData uri="http://schemas.openxmlformats.org/drawingml/2006/picture">
                <pic:pic xmlns:pic="http://schemas.openxmlformats.org/drawingml/2006/picture">
                  <pic:nvPicPr>
                    <pic:cNvPr id="3" name="图片 1" descr="e2185875bbc17ab7c6682a60fc5b3f3"/>
                    <pic:cNvPicPr/>
                  </pic:nvPicPr>
                  <pic:blipFill>
                    <a:blip r:embed="rId12"/>
                    <a:srcRect l="24405" t="28239" r="19691" b="21721"/>
                    <a:stretch>
                      <a:fillRect/>
                    </a:stretch>
                  </pic:blipFill>
                  <pic:spPr>
                    <a:xfrm>
                      <a:off x="0" y="0"/>
                      <a:ext cx="2656840" cy="2360295"/>
                    </a:xfrm>
                    <a:prstGeom prst="rect">
                      <a:avLst/>
                    </a:prstGeom>
                    <a:noFill/>
                    <a:ln>
                      <a:noFill/>
                    </a:ln>
                  </pic:spPr>
                </pic:pic>
              </a:graphicData>
            </a:graphic>
          </wp:inline>
        </w:drawing>
      </w:r>
    </w:p>
    <w:p>
      <w:pPr>
        <w:pStyle w:val="9"/>
        <w:spacing w:line="360" w:lineRule="auto"/>
        <w:ind w:firstLine="0"/>
        <w:jc w:val="center"/>
        <w:outlineLvl w:val="9"/>
        <w:rPr>
          <w:rFonts w:hint="eastAsia" w:ascii="宋体" w:hAnsi="宋体" w:eastAsia="宋体" w:cs="宋体"/>
          <w:b/>
          <w:bCs/>
          <w:spacing w:val="14"/>
          <w:sz w:val="24"/>
          <w:szCs w:val="24"/>
          <w:highlight w:val="none"/>
        </w:rPr>
      </w:pPr>
      <w:r>
        <w:rPr>
          <w:rFonts w:hint="eastAsia" w:ascii="宋体" w:hAnsi="宋体" w:eastAsia="宋体" w:cs="宋体"/>
          <w:b/>
          <w:bCs/>
          <w:spacing w:val="14"/>
          <w:sz w:val="24"/>
          <w:szCs w:val="24"/>
          <w:highlight w:val="none"/>
        </w:rPr>
        <w:t>采购人：汝阳城市建设投资发展有限公司</w:t>
      </w:r>
    </w:p>
    <w:p>
      <w:pPr>
        <w:pStyle w:val="9"/>
        <w:spacing w:line="360" w:lineRule="auto"/>
        <w:ind w:firstLine="0"/>
        <w:jc w:val="center"/>
        <w:outlineLvl w:val="9"/>
        <w:rPr>
          <w:rFonts w:hint="eastAsia" w:ascii="宋体" w:hAnsi="宋体" w:eastAsia="宋体" w:cs="宋体"/>
          <w:b/>
          <w:bCs/>
          <w:spacing w:val="14"/>
          <w:sz w:val="24"/>
          <w:szCs w:val="24"/>
          <w:highlight w:val="none"/>
        </w:rPr>
      </w:pPr>
      <w:r>
        <w:rPr>
          <w:rFonts w:hint="eastAsia" w:ascii="宋体" w:hAnsi="宋体" w:eastAsia="宋体" w:cs="宋体"/>
          <w:b/>
          <w:bCs/>
          <w:spacing w:val="14"/>
          <w:sz w:val="24"/>
          <w:szCs w:val="24"/>
          <w:highlight w:val="none"/>
        </w:rPr>
        <w:t>代理机构：金泽工程管理服务有限公司</w:t>
      </w:r>
    </w:p>
    <w:p>
      <w:pPr>
        <w:pStyle w:val="9"/>
        <w:spacing w:line="360" w:lineRule="auto"/>
        <w:ind w:firstLine="0"/>
        <w:jc w:val="center"/>
        <w:outlineLvl w:val="9"/>
        <w:rPr>
          <w:rFonts w:hint="eastAsia" w:ascii="宋体" w:hAnsi="宋体" w:eastAsia="宋体" w:cs="宋体"/>
          <w:b/>
          <w:bCs/>
          <w:spacing w:val="14"/>
          <w:sz w:val="24"/>
          <w:szCs w:val="24"/>
          <w:highlight w:val="none"/>
        </w:rPr>
      </w:pPr>
      <w:r>
        <w:rPr>
          <w:rFonts w:hint="eastAsia" w:ascii="宋体" w:hAnsi="宋体" w:eastAsia="宋体" w:cs="宋体"/>
          <w:b/>
          <w:bCs/>
          <w:spacing w:val="14"/>
          <w:sz w:val="24"/>
          <w:szCs w:val="24"/>
          <w:highlight w:val="none"/>
        </w:rPr>
        <w:t>202</w:t>
      </w:r>
      <w:r>
        <w:rPr>
          <w:rFonts w:hint="eastAsia" w:ascii="宋体" w:hAnsi="宋体" w:eastAsia="宋体" w:cs="宋体"/>
          <w:b/>
          <w:bCs/>
          <w:spacing w:val="14"/>
          <w:sz w:val="24"/>
          <w:szCs w:val="24"/>
          <w:highlight w:val="none"/>
          <w:lang w:val="en-US" w:eastAsia="zh-CN"/>
        </w:rPr>
        <w:t>3</w:t>
      </w:r>
      <w:r>
        <w:rPr>
          <w:rFonts w:hint="eastAsia" w:ascii="宋体" w:hAnsi="宋体" w:eastAsia="宋体" w:cs="宋体"/>
          <w:b/>
          <w:bCs/>
          <w:spacing w:val="14"/>
          <w:sz w:val="24"/>
          <w:szCs w:val="24"/>
          <w:highlight w:val="none"/>
        </w:rPr>
        <w:t>年12月</w:t>
      </w:r>
    </w:p>
    <w:p>
      <w:pPr>
        <w:outlineLvl w:val="9"/>
        <w:rPr>
          <w:rFonts w:hint="eastAsia"/>
          <w:highlight w:val="none"/>
        </w:rPr>
      </w:pPr>
      <w:r>
        <w:rPr>
          <w:rFonts w:hint="eastAsia"/>
          <w:highlight w:val="none"/>
        </w:rPr>
        <w:t xml:space="preserve"> </w:t>
      </w:r>
      <w:bookmarkEnd w:id="0"/>
    </w:p>
    <w:p>
      <w:pPr>
        <w:pStyle w:val="14"/>
        <w:jc w:val="center"/>
        <w:outlineLvl w:val="9"/>
        <w:rPr>
          <w:rFonts w:hint="eastAsia" w:ascii="宋体" w:hAnsi="宋体" w:eastAsia="宋体" w:cs="宋体"/>
          <w:b/>
          <w:bCs/>
          <w:sz w:val="28"/>
          <w:szCs w:val="28"/>
          <w:highlight w:val="none"/>
          <w:lang w:eastAsia="zh-CN"/>
        </w:rPr>
      </w:pPr>
      <w:r>
        <w:rPr>
          <w:rFonts w:ascii="仿宋" w:hAnsi="仿宋" w:eastAsia="仿宋"/>
          <w:b/>
          <w:spacing w:val="14"/>
          <w:sz w:val="32"/>
          <w:szCs w:val="32"/>
          <w:highlight w:val="none"/>
        </w:rPr>
        <w:br w:type="page"/>
      </w:r>
      <w:bookmarkStart w:id="1" w:name="_Toc256000000"/>
      <w:r>
        <w:rPr>
          <w:rFonts w:hint="eastAsia" w:ascii="宋体" w:hAnsi="宋体" w:eastAsia="宋体" w:cs="宋体"/>
          <w:b/>
          <w:bCs/>
          <w:sz w:val="28"/>
          <w:szCs w:val="28"/>
          <w:highlight w:val="none"/>
          <w:lang w:eastAsia="zh-CN"/>
        </w:rPr>
        <w:t>目    录</w:t>
      </w:r>
      <w:bookmarkEnd w:id="1"/>
    </w:p>
    <w:p>
      <w:pPr>
        <w:pStyle w:val="4"/>
        <w:tabs>
          <w:tab w:val="right" w:leader="dot" w:pos="9241"/>
        </w:tabs>
      </w:pPr>
      <w:r>
        <w:rPr>
          <w:rFonts w:hint="eastAsia" w:ascii="宋体" w:hAnsi="宋体" w:eastAsia="宋体" w:cs="宋体"/>
          <w:spacing w:val="14"/>
          <w:sz w:val="24"/>
          <w:szCs w:val="24"/>
          <w:highlight w:val="none"/>
        </w:rPr>
        <w:fldChar w:fldCharType="begin"/>
      </w:r>
      <w:r>
        <w:rPr>
          <w:rFonts w:hint="eastAsia" w:ascii="宋体" w:hAnsi="宋体" w:eastAsia="宋体" w:cs="宋体"/>
          <w:spacing w:val="14"/>
          <w:sz w:val="24"/>
          <w:szCs w:val="24"/>
          <w:highlight w:val="none"/>
        </w:rPr>
        <w:instrText xml:space="preserve">TOC \o "1-1" \h \u </w:instrText>
      </w:r>
      <w:r>
        <w:rPr>
          <w:rFonts w:hint="eastAsia" w:ascii="宋体" w:hAnsi="宋体" w:eastAsia="宋体" w:cs="宋体"/>
          <w:spacing w:val="14"/>
          <w:sz w:val="24"/>
          <w:szCs w:val="24"/>
          <w:highlight w:val="none"/>
        </w:rPr>
        <w:fldChar w:fldCharType="separate"/>
      </w:r>
      <w:r>
        <w:rPr>
          <w:rFonts w:hint="eastAsia" w:ascii="宋体" w:hAnsi="宋体" w:eastAsia="宋体" w:cs="宋体"/>
          <w:spacing w:val="14"/>
          <w:szCs w:val="24"/>
          <w:highlight w:val="none"/>
        </w:rPr>
        <w:fldChar w:fldCharType="begin"/>
      </w:r>
      <w:r>
        <w:rPr>
          <w:rFonts w:hint="eastAsia" w:ascii="宋体" w:hAnsi="宋体" w:eastAsia="宋体" w:cs="宋体"/>
          <w:spacing w:val="14"/>
          <w:szCs w:val="24"/>
          <w:highlight w:val="none"/>
        </w:rPr>
        <w:instrText xml:space="preserve"> HYPERLINK \l _Toc9498 </w:instrText>
      </w:r>
      <w:r>
        <w:rPr>
          <w:rFonts w:hint="eastAsia" w:ascii="宋体" w:hAnsi="宋体" w:eastAsia="宋体" w:cs="宋体"/>
          <w:spacing w:val="14"/>
          <w:szCs w:val="24"/>
          <w:highlight w:val="none"/>
        </w:rPr>
        <w:fldChar w:fldCharType="separate"/>
      </w:r>
      <w:r>
        <w:rPr>
          <w:rFonts w:hint="eastAsia" w:ascii="宋体" w:hAnsi="宋体" w:eastAsia="宋体" w:cs="宋体"/>
          <w:szCs w:val="24"/>
          <w:highlight w:val="none"/>
        </w:rPr>
        <w:t>第一章  招标公告</w:t>
      </w:r>
      <w:r>
        <w:tab/>
      </w:r>
      <w:r>
        <w:fldChar w:fldCharType="begin"/>
      </w:r>
      <w:r>
        <w:instrText xml:space="preserve"> PAGEREF _Toc9498 \h </w:instrText>
      </w:r>
      <w:r>
        <w:fldChar w:fldCharType="separate"/>
      </w:r>
      <w:r>
        <w:t>9</w:t>
      </w:r>
      <w:r>
        <w:fldChar w:fldCharType="end"/>
      </w:r>
      <w:r>
        <w:rPr>
          <w:rFonts w:hint="eastAsia" w:ascii="宋体" w:hAnsi="宋体" w:eastAsia="宋体" w:cs="宋体"/>
          <w:spacing w:val="14"/>
          <w:szCs w:val="24"/>
          <w:highlight w:val="none"/>
        </w:rPr>
        <w:fldChar w:fldCharType="end"/>
      </w:r>
    </w:p>
    <w:p>
      <w:pPr>
        <w:pStyle w:val="4"/>
        <w:tabs>
          <w:tab w:val="right" w:leader="dot" w:pos="9241"/>
        </w:tabs>
      </w:pPr>
      <w:r>
        <w:rPr>
          <w:rFonts w:hint="eastAsia" w:ascii="宋体" w:hAnsi="宋体" w:eastAsia="宋体" w:cs="宋体"/>
          <w:spacing w:val="14"/>
          <w:szCs w:val="24"/>
          <w:highlight w:val="none"/>
        </w:rPr>
        <w:fldChar w:fldCharType="begin"/>
      </w:r>
      <w:r>
        <w:rPr>
          <w:rFonts w:hint="eastAsia" w:ascii="宋体" w:hAnsi="宋体" w:eastAsia="宋体" w:cs="宋体"/>
          <w:spacing w:val="14"/>
          <w:szCs w:val="24"/>
          <w:highlight w:val="none"/>
        </w:rPr>
        <w:instrText xml:space="preserve"> HYPERLINK \l _Toc22308 </w:instrText>
      </w:r>
      <w:r>
        <w:rPr>
          <w:rFonts w:hint="eastAsia" w:ascii="宋体" w:hAnsi="宋体" w:eastAsia="宋体" w:cs="宋体"/>
          <w:spacing w:val="14"/>
          <w:szCs w:val="24"/>
          <w:highlight w:val="none"/>
        </w:rPr>
        <w:fldChar w:fldCharType="separate"/>
      </w:r>
      <w:r>
        <w:rPr>
          <w:rFonts w:hint="eastAsia" w:ascii="宋体" w:hAnsi="宋体" w:eastAsia="宋体" w:cs="宋体"/>
          <w:spacing w:val="14"/>
          <w:szCs w:val="24"/>
          <w:highlight w:val="none"/>
          <w:lang w:val="en-US" w:eastAsia="zh-CN"/>
        </w:rPr>
        <w:t>第二章   供应商须知</w:t>
      </w:r>
      <w:r>
        <w:tab/>
      </w:r>
      <w:r>
        <w:fldChar w:fldCharType="begin"/>
      </w:r>
      <w:r>
        <w:instrText xml:space="preserve"> PAGEREF _Toc22308 \h </w:instrText>
      </w:r>
      <w:r>
        <w:fldChar w:fldCharType="separate"/>
      </w:r>
      <w:r>
        <w:t>13</w:t>
      </w:r>
      <w:r>
        <w:fldChar w:fldCharType="end"/>
      </w:r>
      <w:r>
        <w:rPr>
          <w:rFonts w:hint="eastAsia" w:ascii="宋体" w:hAnsi="宋体" w:eastAsia="宋体" w:cs="宋体"/>
          <w:spacing w:val="14"/>
          <w:szCs w:val="24"/>
          <w:highlight w:val="none"/>
        </w:rPr>
        <w:fldChar w:fldCharType="end"/>
      </w:r>
    </w:p>
    <w:p>
      <w:pPr>
        <w:pStyle w:val="4"/>
        <w:tabs>
          <w:tab w:val="right" w:leader="dot" w:pos="9241"/>
        </w:tabs>
      </w:pPr>
      <w:r>
        <w:rPr>
          <w:rFonts w:hint="eastAsia" w:ascii="宋体" w:hAnsi="宋体" w:eastAsia="宋体" w:cs="宋体"/>
          <w:spacing w:val="14"/>
          <w:szCs w:val="24"/>
          <w:highlight w:val="none"/>
        </w:rPr>
        <w:fldChar w:fldCharType="begin"/>
      </w:r>
      <w:r>
        <w:rPr>
          <w:rFonts w:hint="eastAsia" w:ascii="宋体" w:hAnsi="宋体" w:eastAsia="宋体" w:cs="宋体"/>
          <w:spacing w:val="14"/>
          <w:szCs w:val="24"/>
          <w:highlight w:val="none"/>
        </w:rPr>
        <w:instrText xml:space="preserve"> HYPERLINK \l _Toc32678 </w:instrText>
      </w:r>
      <w:r>
        <w:rPr>
          <w:rFonts w:hint="eastAsia" w:ascii="宋体" w:hAnsi="宋体" w:eastAsia="宋体" w:cs="宋体"/>
          <w:spacing w:val="14"/>
          <w:szCs w:val="24"/>
          <w:highlight w:val="none"/>
        </w:rPr>
        <w:fldChar w:fldCharType="separate"/>
      </w:r>
      <w:r>
        <w:rPr>
          <w:rFonts w:hint="eastAsia" w:ascii="宋体" w:hAnsi="宋体" w:eastAsia="宋体" w:cs="宋体"/>
          <w:spacing w:val="14"/>
          <w:szCs w:val="24"/>
          <w:highlight w:val="none"/>
          <w:lang w:val="en-US" w:eastAsia="zh-CN"/>
        </w:rPr>
        <w:t>第三章   采购需求</w:t>
      </w:r>
      <w:r>
        <w:tab/>
      </w:r>
      <w:r>
        <w:fldChar w:fldCharType="begin"/>
      </w:r>
      <w:r>
        <w:instrText xml:space="preserve"> PAGEREF _Toc32678 \h </w:instrText>
      </w:r>
      <w:r>
        <w:fldChar w:fldCharType="separate"/>
      </w:r>
      <w:r>
        <w:t>35</w:t>
      </w:r>
      <w:r>
        <w:fldChar w:fldCharType="end"/>
      </w:r>
      <w:r>
        <w:rPr>
          <w:rFonts w:hint="eastAsia" w:ascii="宋体" w:hAnsi="宋体" w:eastAsia="宋体" w:cs="宋体"/>
          <w:spacing w:val="14"/>
          <w:szCs w:val="24"/>
          <w:highlight w:val="none"/>
        </w:rPr>
        <w:fldChar w:fldCharType="end"/>
      </w:r>
    </w:p>
    <w:p>
      <w:pPr>
        <w:pStyle w:val="4"/>
        <w:tabs>
          <w:tab w:val="right" w:leader="dot" w:pos="9241"/>
        </w:tabs>
      </w:pPr>
      <w:r>
        <w:rPr>
          <w:rFonts w:hint="eastAsia" w:ascii="宋体" w:hAnsi="宋体" w:eastAsia="宋体" w:cs="宋体"/>
          <w:spacing w:val="14"/>
          <w:szCs w:val="24"/>
          <w:highlight w:val="none"/>
        </w:rPr>
        <w:fldChar w:fldCharType="begin"/>
      </w:r>
      <w:r>
        <w:rPr>
          <w:rFonts w:hint="eastAsia" w:ascii="宋体" w:hAnsi="宋体" w:eastAsia="宋体" w:cs="宋体"/>
          <w:spacing w:val="14"/>
          <w:szCs w:val="24"/>
          <w:highlight w:val="none"/>
        </w:rPr>
        <w:instrText xml:space="preserve"> HYPERLINK \l _Toc5925 </w:instrText>
      </w:r>
      <w:r>
        <w:rPr>
          <w:rFonts w:hint="eastAsia" w:ascii="宋体" w:hAnsi="宋体" w:eastAsia="宋体" w:cs="宋体"/>
          <w:spacing w:val="14"/>
          <w:szCs w:val="24"/>
          <w:highlight w:val="none"/>
        </w:rPr>
        <w:fldChar w:fldCharType="separate"/>
      </w:r>
      <w:r>
        <w:rPr>
          <w:rFonts w:hint="eastAsia" w:ascii="宋体" w:hAnsi="宋体" w:eastAsia="宋体" w:cs="宋体"/>
          <w:spacing w:val="14"/>
          <w:szCs w:val="24"/>
          <w:highlight w:val="none"/>
          <w:lang w:val="en-US" w:eastAsia="zh-CN"/>
        </w:rPr>
        <w:t>第四章   合 同(样本)</w:t>
      </w:r>
      <w:r>
        <w:tab/>
      </w:r>
      <w:r>
        <w:fldChar w:fldCharType="begin"/>
      </w:r>
      <w:r>
        <w:instrText xml:space="preserve"> PAGEREF _Toc5925 \h </w:instrText>
      </w:r>
      <w:r>
        <w:fldChar w:fldCharType="separate"/>
      </w:r>
      <w:r>
        <w:t>45</w:t>
      </w:r>
      <w:r>
        <w:fldChar w:fldCharType="end"/>
      </w:r>
      <w:r>
        <w:rPr>
          <w:rFonts w:hint="eastAsia" w:ascii="宋体" w:hAnsi="宋体" w:eastAsia="宋体" w:cs="宋体"/>
          <w:spacing w:val="14"/>
          <w:szCs w:val="24"/>
          <w:highlight w:val="none"/>
        </w:rPr>
        <w:fldChar w:fldCharType="end"/>
      </w:r>
    </w:p>
    <w:p>
      <w:pPr>
        <w:pStyle w:val="4"/>
        <w:tabs>
          <w:tab w:val="right" w:leader="dot" w:pos="9241"/>
        </w:tabs>
      </w:pPr>
      <w:r>
        <w:rPr>
          <w:rFonts w:hint="eastAsia" w:ascii="宋体" w:hAnsi="宋体" w:eastAsia="宋体" w:cs="宋体"/>
          <w:spacing w:val="14"/>
          <w:szCs w:val="24"/>
          <w:highlight w:val="none"/>
        </w:rPr>
        <w:fldChar w:fldCharType="begin"/>
      </w:r>
      <w:r>
        <w:rPr>
          <w:rFonts w:hint="eastAsia" w:ascii="宋体" w:hAnsi="宋体" w:eastAsia="宋体" w:cs="宋体"/>
          <w:spacing w:val="14"/>
          <w:szCs w:val="24"/>
          <w:highlight w:val="none"/>
        </w:rPr>
        <w:instrText xml:space="preserve"> HYPERLINK \l _Toc28435 </w:instrText>
      </w:r>
      <w:r>
        <w:rPr>
          <w:rFonts w:hint="eastAsia" w:ascii="宋体" w:hAnsi="宋体" w:eastAsia="宋体" w:cs="宋体"/>
          <w:spacing w:val="14"/>
          <w:szCs w:val="24"/>
          <w:highlight w:val="none"/>
        </w:rPr>
        <w:fldChar w:fldCharType="separate"/>
      </w:r>
      <w:r>
        <w:rPr>
          <w:rFonts w:hint="eastAsia" w:ascii="宋体" w:hAnsi="宋体" w:eastAsia="宋体" w:cs="宋体"/>
          <w:spacing w:val="14"/>
          <w:szCs w:val="24"/>
          <w:highlight w:val="none"/>
          <w:lang w:val="en-US" w:eastAsia="zh-CN"/>
        </w:rPr>
        <w:t>第五章   资格审查与评标办法</w:t>
      </w:r>
      <w:r>
        <w:tab/>
      </w:r>
      <w:r>
        <w:fldChar w:fldCharType="begin"/>
      </w:r>
      <w:r>
        <w:instrText xml:space="preserve"> PAGEREF _Toc28435 \h </w:instrText>
      </w:r>
      <w:r>
        <w:fldChar w:fldCharType="separate"/>
      </w:r>
      <w:r>
        <w:t>56</w:t>
      </w:r>
      <w:r>
        <w:fldChar w:fldCharType="end"/>
      </w:r>
      <w:r>
        <w:rPr>
          <w:rFonts w:hint="eastAsia" w:ascii="宋体" w:hAnsi="宋体" w:eastAsia="宋体" w:cs="宋体"/>
          <w:spacing w:val="14"/>
          <w:szCs w:val="24"/>
          <w:highlight w:val="none"/>
        </w:rPr>
        <w:fldChar w:fldCharType="end"/>
      </w:r>
    </w:p>
    <w:p>
      <w:pPr>
        <w:pStyle w:val="4"/>
        <w:tabs>
          <w:tab w:val="right" w:leader="dot" w:pos="9241"/>
        </w:tabs>
      </w:pPr>
      <w:r>
        <w:rPr>
          <w:rFonts w:hint="eastAsia" w:ascii="宋体" w:hAnsi="宋体" w:eastAsia="宋体" w:cs="宋体"/>
          <w:spacing w:val="14"/>
          <w:szCs w:val="24"/>
          <w:highlight w:val="none"/>
        </w:rPr>
        <w:fldChar w:fldCharType="begin"/>
      </w:r>
      <w:r>
        <w:rPr>
          <w:rFonts w:hint="eastAsia" w:ascii="宋体" w:hAnsi="宋体" w:eastAsia="宋体" w:cs="宋体"/>
          <w:spacing w:val="14"/>
          <w:szCs w:val="24"/>
          <w:highlight w:val="none"/>
        </w:rPr>
        <w:instrText xml:space="preserve"> HYPERLINK \l _Toc22088 </w:instrText>
      </w:r>
      <w:r>
        <w:rPr>
          <w:rFonts w:hint="eastAsia" w:ascii="宋体" w:hAnsi="宋体" w:eastAsia="宋体" w:cs="宋体"/>
          <w:spacing w:val="14"/>
          <w:szCs w:val="24"/>
          <w:highlight w:val="none"/>
        </w:rPr>
        <w:fldChar w:fldCharType="separate"/>
      </w:r>
      <w:r>
        <w:rPr>
          <w:rFonts w:hint="eastAsia" w:ascii="宋体" w:hAnsi="宋体" w:eastAsia="宋体" w:cs="宋体"/>
          <w:spacing w:val="14"/>
          <w:szCs w:val="24"/>
          <w:highlight w:val="none"/>
          <w:lang w:val="en-US" w:eastAsia="zh-CN" w:bidi="ar-SA"/>
        </w:rPr>
        <w:t>第六章   资格审查与评审标准</w:t>
      </w:r>
      <w:r>
        <w:tab/>
      </w:r>
      <w:r>
        <w:fldChar w:fldCharType="begin"/>
      </w:r>
      <w:r>
        <w:instrText xml:space="preserve"> PAGEREF _Toc22088 \h </w:instrText>
      </w:r>
      <w:r>
        <w:fldChar w:fldCharType="separate"/>
      </w:r>
      <w:r>
        <w:t>60</w:t>
      </w:r>
      <w:r>
        <w:fldChar w:fldCharType="end"/>
      </w:r>
      <w:r>
        <w:rPr>
          <w:rFonts w:hint="eastAsia" w:ascii="宋体" w:hAnsi="宋体" w:eastAsia="宋体" w:cs="宋体"/>
          <w:spacing w:val="14"/>
          <w:szCs w:val="24"/>
          <w:highlight w:val="none"/>
        </w:rPr>
        <w:fldChar w:fldCharType="end"/>
      </w:r>
    </w:p>
    <w:p>
      <w:pPr>
        <w:pStyle w:val="4"/>
        <w:tabs>
          <w:tab w:val="right" w:leader="dot" w:pos="9241"/>
        </w:tabs>
      </w:pPr>
      <w:r>
        <w:rPr>
          <w:rFonts w:hint="eastAsia" w:ascii="宋体" w:hAnsi="宋体" w:eastAsia="宋体" w:cs="宋体"/>
          <w:spacing w:val="14"/>
          <w:szCs w:val="24"/>
          <w:highlight w:val="none"/>
        </w:rPr>
        <w:fldChar w:fldCharType="begin"/>
      </w:r>
      <w:r>
        <w:rPr>
          <w:rFonts w:hint="eastAsia" w:ascii="宋体" w:hAnsi="宋体" w:eastAsia="宋体" w:cs="宋体"/>
          <w:spacing w:val="14"/>
          <w:szCs w:val="24"/>
          <w:highlight w:val="none"/>
        </w:rPr>
        <w:instrText xml:space="preserve"> HYPERLINK \l _Toc10636 </w:instrText>
      </w:r>
      <w:r>
        <w:rPr>
          <w:rFonts w:hint="eastAsia" w:ascii="宋体" w:hAnsi="宋体" w:eastAsia="宋体" w:cs="宋体"/>
          <w:spacing w:val="14"/>
          <w:szCs w:val="24"/>
          <w:highlight w:val="none"/>
        </w:rPr>
        <w:fldChar w:fldCharType="separate"/>
      </w:r>
      <w:r>
        <w:rPr>
          <w:rFonts w:hint="eastAsia" w:ascii="宋体" w:hAnsi="宋体" w:eastAsia="宋体" w:cs="宋体"/>
          <w:bCs/>
          <w:spacing w:val="14"/>
          <w:kern w:val="2"/>
          <w:szCs w:val="24"/>
          <w:highlight w:val="none"/>
          <w:lang w:val="en-US" w:eastAsia="zh-CN" w:bidi="ar-SA"/>
        </w:rPr>
        <w:t>第七章   投标文件格式</w:t>
      </w:r>
      <w:r>
        <w:tab/>
      </w:r>
      <w:r>
        <w:fldChar w:fldCharType="begin"/>
      </w:r>
      <w:r>
        <w:instrText xml:space="preserve"> PAGEREF _Toc10636 \h </w:instrText>
      </w:r>
      <w:r>
        <w:fldChar w:fldCharType="separate"/>
      </w:r>
      <w:r>
        <w:t>64</w:t>
      </w:r>
      <w:r>
        <w:fldChar w:fldCharType="end"/>
      </w:r>
      <w:r>
        <w:rPr>
          <w:rFonts w:hint="eastAsia" w:ascii="宋体" w:hAnsi="宋体" w:eastAsia="宋体" w:cs="宋体"/>
          <w:spacing w:val="14"/>
          <w:szCs w:val="24"/>
          <w:highlight w:val="none"/>
        </w:rPr>
        <w:fldChar w:fldCharType="end"/>
      </w:r>
    </w:p>
    <w:p>
      <w:pPr>
        <w:outlineLvl w:val="9"/>
        <w:rPr>
          <w:rFonts w:hint="eastAsia" w:ascii="宋体" w:hAnsi="宋体" w:eastAsia="宋体" w:cs="宋体"/>
          <w:spacing w:val="14"/>
          <w:sz w:val="24"/>
          <w:szCs w:val="24"/>
          <w:highlight w:val="none"/>
        </w:rPr>
        <w:sectPr>
          <w:headerReference r:id="rId3" w:type="default"/>
          <w:footerReference r:id="rId4" w:type="default"/>
          <w:footerReference r:id="rId5" w:type="even"/>
          <w:pgSz w:w="11906" w:h="16838"/>
          <w:pgMar w:top="1418" w:right="1247" w:bottom="1418" w:left="1418" w:header="680" w:footer="680" w:gutter="0"/>
          <w:pgNumType w:fmt="decimal" w:start="1"/>
          <w:cols w:space="720" w:num="1"/>
          <w:docGrid w:type="linesAndChars" w:linePitch="518" w:charSpace="-6394"/>
        </w:sectPr>
      </w:pPr>
      <w:r>
        <w:rPr>
          <w:rFonts w:hint="eastAsia" w:ascii="宋体" w:hAnsi="宋体" w:eastAsia="宋体" w:cs="宋体"/>
          <w:spacing w:val="14"/>
          <w:szCs w:val="24"/>
          <w:highlight w:val="none"/>
        </w:rPr>
        <w:fldChar w:fldCharType="end"/>
      </w:r>
      <w:bookmarkStart w:id="174" w:name="_GoBack"/>
      <w:bookmarkEnd w:id="174"/>
    </w:p>
    <w:p>
      <w:pPr>
        <w:pStyle w:val="15"/>
        <w:pageBreakBefore w:val="0"/>
        <w:kinsoku/>
        <w:wordWrap/>
        <w:topLinePunct w:val="0"/>
        <w:bidi w:val="0"/>
        <w:spacing w:afterAutospacing="0" w:line="240" w:lineRule="auto"/>
        <w:ind w:left="0" w:leftChars="0" w:right="0" w:rightChars="0" w:firstLine="0" w:firstLineChars="0"/>
        <w:jc w:val="both"/>
        <w:outlineLvl w:val="9"/>
        <w:rPr>
          <w:rFonts w:hint="eastAsia" w:ascii="宋体" w:hAnsi="宋体" w:eastAsia="宋体" w:cs="宋体"/>
          <w:b/>
          <w:spacing w:val="14"/>
          <w:sz w:val="28"/>
          <w:szCs w:val="28"/>
          <w:highlight w:val="none"/>
        </w:rPr>
      </w:pPr>
      <w:bookmarkStart w:id="2" w:name="EB27329096884745cf8a42d0e115149153"/>
      <w:r>
        <w:rPr>
          <w:rFonts w:hint="eastAsia" w:ascii="宋体" w:hAnsi="宋体" w:eastAsia="宋体" w:cs="宋体"/>
          <w:b/>
          <w:spacing w:val="14"/>
          <w:sz w:val="28"/>
          <w:szCs w:val="28"/>
          <w:highlight w:val="none"/>
        </w:rPr>
        <w:drawing>
          <wp:inline distT="0" distB="0" distL="114300" distR="114300">
            <wp:extent cx="5864860" cy="8298815"/>
            <wp:effectExtent l="0" t="0" r="2540" b="6985"/>
            <wp:docPr id="5" name="图片 2" descr="智慧停车充电桩设备-自查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智慧停车充电桩设备-自查表_00"/>
                    <pic:cNvPicPr>
                      <a:picLocks noChangeAspect="1"/>
                    </pic:cNvPicPr>
                  </pic:nvPicPr>
                  <pic:blipFill>
                    <a:blip r:embed="rId13"/>
                    <a:stretch>
                      <a:fillRect/>
                    </a:stretch>
                  </pic:blipFill>
                  <pic:spPr>
                    <a:xfrm>
                      <a:off x="0" y="0"/>
                      <a:ext cx="5864860" cy="8298815"/>
                    </a:xfrm>
                    <a:prstGeom prst="rect">
                      <a:avLst/>
                    </a:prstGeom>
                    <a:noFill/>
                    <a:ln>
                      <a:noFill/>
                    </a:ln>
                  </pic:spPr>
                </pic:pic>
              </a:graphicData>
            </a:graphic>
          </wp:inline>
        </w:drawing>
      </w:r>
    </w:p>
    <w:p>
      <w:pPr>
        <w:pStyle w:val="15"/>
        <w:pageBreakBefore w:val="0"/>
        <w:kinsoku/>
        <w:wordWrap/>
        <w:topLinePunct w:val="0"/>
        <w:bidi w:val="0"/>
        <w:spacing w:afterAutospacing="0" w:line="240" w:lineRule="auto"/>
        <w:ind w:left="0" w:leftChars="0" w:right="0" w:rightChars="0" w:firstLine="554" w:firstLineChars="200"/>
        <w:jc w:val="center"/>
        <w:outlineLvl w:val="9"/>
        <w:rPr>
          <w:rFonts w:hint="eastAsia" w:ascii="宋体" w:hAnsi="宋体" w:eastAsia="宋体" w:cs="宋体"/>
          <w:b/>
          <w:spacing w:val="14"/>
          <w:sz w:val="28"/>
          <w:szCs w:val="28"/>
          <w:highlight w:val="none"/>
        </w:rPr>
      </w:pPr>
    </w:p>
    <w:p>
      <w:pPr>
        <w:pStyle w:val="15"/>
        <w:pageBreakBefore w:val="0"/>
        <w:kinsoku/>
        <w:wordWrap/>
        <w:topLinePunct w:val="0"/>
        <w:bidi w:val="0"/>
        <w:spacing w:afterAutospacing="0" w:line="240" w:lineRule="auto"/>
        <w:ind w:left="0" w:leftChars="0" w:right="0" w:rightChars="0" w:firstLine="554" w:firstLineChars="200"/>
        <w:jc w:val="center"/>
        <w:outlineLvl w:val="9"/>
        <w:rPr>
          <w:rFonts w:hint="eastAsia" w:ascii="宋体" w:hAnsi="宋体" w:eastAsia="宋体" w:cs="宋体"/>
          <w:b/>
          <w:spacing w:val="14"/>
          <w:sz w:val="28"/>
          <w:szCs w:val="28"/>
          <w:highlight w:val="none"/>
        </w:rPr>
      </w:pPr>
      <w:r>
        <w:rPr>
          <w:rFonts w:hint="eastAsia" w:ascii="宋体" w:hAnsi="宋体" w:eastAsia="宋体" w:cs="宋体"/>
          <w:b/>
          <w:spacing w:val="14"/>
          <w:sz w:val="28"/>
          <w:szCs w:val="28"/>
          <w:highlight w:val="none"/>
        </w:rPr>
        <w:drawing>
          <wp:inline distT="0" distB="0" distL="114300" distR="114300">
            <wp:extent cx="5864860" cy="8298815"/>
            <wp:effectExtent l="0" t="0" r="2540" b="6985"/>
            <wp:docPr id="4" name="图片 3" descr="智慧停车充电桩设备-自查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智慧停车充电桩设备-自查表_01"/>
                    <pic:cNvPicPr>
                      <a:picLocks noChangeAspect="1"/>
                    </pic:cNvPicPr>
                  </pic:nvPicPr>
                  <pic:blipFill>
                    <a:blip r:embed="rId14"/>
                    <a:stretch>
                      <a:fillRect/>
                    </a:stretch>
                  </pic:blipFill>
                  <pic:spPr>
                    <a:xfrm>
                      <a:off x="0" y="0"/>
                      <a:ext cx="5864860" cy="8298815"/>
                    </a:xfrm>
                    <a:prstGeom prst="rect">
                      <a:avLst/>
                    </a:prstGeom>
                    <a:noFill/>
                    <a:ln>
                      <a:noFill/>
                    </a:ln>
                  </pic:spPr>
                </pic:pic>
              </a:graphicData>
            </a:graphic>
          </wp:inline>
        </w:drawing>
      </w:r>
    </w:p>
    <w:p>
      <w:pPr>
        <w:pStyle w:val="15"/>
        <w:pageBreakBefore w:val="0"/>
        <w:kinsoku/>
        <w:wordWrap/>
        <w:topLinePunct w:val="0"/>
        <w:bidi w:val="0"/>
        <w:spacing w:afterAutospacing="0" w:line="240" w:lineRule="auto"/>
        <w:ind w:left="0" w:leftChars="0" w:right="0" w:rightChars="0" w:firstLine="554" w:firstLineChars="200"/>
        <w:jc w:val="center"/>
        <w:outlineLvl w:val="9"/>
        <w:rPr>
          <w:rFonts w:hint="eastAsia" w:ascii="宋体" w:hAnsi="宋体" w:eastAsia="宋体" w:cs="宋体"/>
          <w:b/>
          <w:spacing w:val="14"/>
          <w:sz w:val="28"/>
          <w:szCs w:val="28"/>
          <w:highlight w:val="none"/>
        </w:rPr>
      </w:pPr>
    </w:p>
    <w:p>
      <w:pPr>
        <w:pStyle w:val="15"/>
        <w:pageBreakBefore w:val="0"/>
        <w:kinsoku/>
        <w:wordWrap/>
        <w:topLinePunct w:val="0"/>
        <w:bidi w:val="0"/>
        <w:spacing w:afterAutospacing="0" w:line="240" w:lineRule="auto"/>
        <w:ind w:left="0" w:leftChars="0" w:right="0" w:rightChars="0" w:firstLine="554" w:firstLineChars="200"/>
        <w:jc w:val="center"/>
        <w:outlineLvl w:val="9"/>
        <w:rPr>
          <w:rFonts w:hint="eastAsia" w:ascii="宋体" w:hAnsi="宋体" w:eastAsia="宋体" w:cs="宋体"/>
          <w:sz w:val="28"/>
          <w:szCs w:val="28"/>
          <w:highlight w:val="none"/>
        </w:rPr>
      </w:pPr>
      <w:r>
        <w:rPr>
          <w:rFonts w:hint="eastAsia" w:ascii="宋体" w:hAnsi="宋体" w:eastAsia="宋体" w:cs="宋体"/>
          <w:b/>
          <w:spacing w:val="14"/>
          <w:sz w:val="28"/>
          <w:szCs w:val="28"/>
          <w:highlight w:val="none"/>
        </w:rPr>
        <w:t>特 别 提 示</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b/>
          <w:spacing w:val="14"/>
          <w:sz w:val="24"/>
          <w:szCs w:val="24"/>
          <w:highlight w:val="none"/>
        </w:rPr>
      </w:pPr>
      <w:r>
        <w:rPr>
          <w:rFonts w:hint="eastAsia" w:ascii="宋体" w:hAnsi="宋体" w:eastAsia="宋体" w:cs="宋体"/>
          <w:b/>
          <w:spacing w:val="14"/>
          <w:sz w:val="24"/>
          <w:szCs w:val="24"/>
          <w:highlight w:val="none"/>
        </w:rPr>
        <w:t>1、投标文件制作</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1.1投标人登录“洛阳市公共资源交易中心”网站，按要求下载“新点投标文件制作软件”。</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投标人凭CA锁登录，并按网上提示自行下载招标文件。使用“新点投标文件制作软件”按要求制作电子投标文件。投标人在制作电子投标文件时，应按要求进行电子签章。投标人编辑电子投标文件时，根据招标文件要求用法定代表人CA锁和企业CA锁进行签章制作；最后一步生成电子投标文件（*.lytf格式和*.nlytf格式）时，只能用本单位的企业CA锁。联合体投标的，投标文件由联合体牵头人按上述规定进行签章。</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1.3加密的电子投标文件为“洛阳市公共资源交易中心”网站提供的“新点投标文件制作软件”制作生成的加密版投标文件。未加密的电子投标文件应与加密的电子投标文件为同时生成的版本。</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1.4投标文件格式所要求包含的全部资料应全部制作在投标文件内，严格按照本项目投标文件所有格式如实填写（不涉及的内容除外），不应存在漏项或缺项，否则将存在投标被否决的风险。</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1.5投标文件所附证明材料均为扫描件（或照片），尺寸和清晰度应该能够在电脑上被阅读、识别和判断；若投标人未按要求提供证明材料或提供不清晰的扫描件（或照片）的，评标委员会有权认定其投标文件未对招标文件有关要求进行响应，涉及资格审查或符合性审查的将不予通过。</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b/>
          <w:spacing w:val="14"/>
          <w:sz w:val="24"/>
          <w:szCs w:val="24"/>
          <w:highlight w:val="none"/>
        </w:rPr>
      </w:pPr>
      <w:r>
        <w:rPr>
          <w:rFonts w:hint="eastAsia" w:ascii="宋体" w:hAnsi="宋体" w:eastAsia="宋体" w:cs="宋体"/>
          <w:b/>
          <w:spacing w:val="14"/>
          <w:sz w:val="24"/>
          <w:szCs w:val="24"/>
          <w:highlight w:val="none"/>
        </w:rPr>
        <w:t>2、投标文件的提交</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2.1除电子投标文件外，投标时不再接受任何纸质文件、资料等。</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2.2投标人应在投标截止时间前上传加密的电子投标文件（*.lytf）到洛阳市电子招投标交易平台指定位置。上传时投标人须使用制作该投标文件的同一CA锁进行上传操作。请投标人在上传时认真检查上传投标文件是否完整、正确。投标人应充分考虑上传文件时的不可预见因素，未在投标截止时间前完成上传的，视为逾期送达，洛阳市电子招投标交易平台将拒绝接收。上传成功后将得到上传成功的确认。</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2.3投标人因洛阳市电子招投标交易平台问题无法上传电子投标文件时，请在工作时间与代理机构联系。</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2.4（此条款仅适用于现场开标的项目）未加密的电子投标文件1份（U盘介质），密封包装，注明项目名称，并在封套上加盖投标人单位公章或由投标人的法定代表人（单位负责人）或其授权的代理人签字。</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b/>
          <w:spacing w:val="14"/>
          <w:sz w:val="24"/>
          <w:szCs w:val="24"/>
          <w:highlight w:val="none"/>
        </w:rPr>
      </w:pPr>
      <w:r>
        <w:rPr>
          <w:rFonts w:hint="eastAsia" w:ascii="宋体" w:hAnsi="宋体" w:eastAsia="宋体" w:cs="宋体"/>
          <w:b/>
          <w:spacing w:val="14"/>
          <w:sz w:val="24"/>
          <w:szCs w:val="24"/>
          <w:highlight w:val="none"/>
        </w:rPr>
        <w:t>3. 招标文件的澄清、修改</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3.1招标文件的澄清、修改将在（河南省）洛阳市政府采购网（luoyang.hngp.gov.cn）、洛阳市公共资源交易中心网（lyggzyjy.ly.gov.cn）上发布“变更公告”，如需修改招标文件，则同时在洛阳市电子招投标交易平台发布“答疑文件”（答疑文件指修改后最新的招标文件）。对于各项目中已经成功报名并下载招标文件的投标人，将通过第三方短信群发方式提醒投标人进行查询。各投标人须重新下载最新的“答疑文件”，并以此编制投标文件。如不以最新发布的“答疑文件”编制投标文件，造成投标无效的后果由投标人自己承担。</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3.2因洛阳市电子招投标交易平台在开标前具有保密性，投标人在投标文件递交截止时间前须自行查看项目进展、变更通知、澄清及回复，因投标人未及时查看而造成的后果自负。</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b/>
          <w:spacing w:val="14"/>
          <w:sz w:val="24"/>
          <w:szCs w:val="24"/>
          <w:highlight w:val="none"/>
        </w:rPr>
      </w:pPr>
      <w:r>
        <w:rPr>
          <w:rFonts w:hint="eastAsia" w:ascii="宋体" w:hAnsi="宋体" w:eastAsia="宋体" w:cs="宋体"/>
          <w:b/>
          <w:spacing w:val="14"/>
          <w:sz w:val="24"/>
          <w:szCs w:val="24"/>
          <w:highlight w:val="none"/>
        </w:rPr>
        <w:t>4、开标</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4.1 采购人在招标文件规定的时间和地点开标，投标人授权代表应携带企业CA锁参加开标。</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4.2（此条款仅适用于现场开标的项目）开标前，采购代理机构将会同投标人代表检查自己的未加密的电子投标文件的密封情况，确认无误后开标。</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4.3开标时，各投标人应在规定时间内对本单位的投标文件解密。开标时，采购代理机构将通过洛阳市电子招投标交易平台进行唱标。</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4.4（此条款仅适用于现场开标的项目）如投标人现场解密失败，投标人应使用未加密的电子投标文件。</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4.5（此条款仅适用于现场开标的项目）开标前没有提交未加密的电子投标文件，视同放弃使用未加密的电子投标文件投标。未加密的投标文件现场无法成功上传的，投标无效。</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4.6（此条款仅适用于现场开标的项目）未加密的电子投标文件仅仅作为网上提交的加密的电子投标文件在特殊情况下才启用的备份资料。没有提交网上加密电子投标文件，仅提交未加密电子投标文件的，投标无效。</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为便于投标人（投标人）制作投标（响应）文件，本投标（响应）文件格式所列招标投标的主体称呼及专业术语，也适用于政府采购非招标方式（竞争性谈判、竞争性磋商、询价）对应的主体称呼及专业术语。</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投标人《参与评审打分的证书（证件）一览表》及《参与评审打分的合同业绩一览表》中所填写内容须与表后所附的参与评审打分的证书（证件）扫描件、合同业绩扫描件相对应，否则将不予评审打分。采用竞争性谈判、询价方式的，该两表不进行评审。</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7、采购代理机构有权将《报价明细表》、《参与评审打分的证书（证件）一览表》及《参与评审打分的合同业绩一览表》内容进行公示。</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8、（此条款仅适用于远程不见面交易的项目）本项目采用远程不见面交易的模式。</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8.1不见面开标大厅网址（http://t.cn/A6huPROa），投标人（投标人）应当在招标文件（磋商文件、谈判文件、询价通知书）确定的投标截止时间前，登录不见面开标大厅，在线准时参加开标活动并进行文件解密、答疑澄清等。投标人（投标人）应在开标当天及时关注本单位的情况，如遇问题，请拨打技术服务单位（国泰新点）电话：4009980000。</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8.2投标人（投标人）应认真学习洛阳市公共资源交易中心网站发布的《洛阳市公共资源交易中心不见面开标大厅操作手册（投标人）》，根据手册要求做好不见面开标的准备工作，否则由此可能引起的签到失败、解密失败或无法解密等问题由投标人（投标人）自行承担。</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8.4投标人（投标人）应在开标时间前一小时内通过不见面开标系统进行电子签到。</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8.5投标人（投标人）应在解密时间内插入CA锁，输入密码，进行解密；如果在解密时间内解密失败，可再次解密。</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8.6采购人及采购代理机构在招标文件（磋商文件、谈判文件、询价通知书）规定的时间及地点开标。投标人（投标人）无需到达开标现场，但在开评标期间，投标人（投标人）的法定代表人或其授权委托人应参与远程交互，中途不得更换，在废标、澄清、提疑、传送文件、最后报价等特殊情况下需要交互时，投标人（投标人）一端参与交互的人员将均被视为是投标人（投标人）的法定代表人或其授权委托人，投标人（投标人）不得以不承认交互人员的资格或身份等为借口抵赖推脱，投标人（投标人）自行承担随意更换人员或未按要求参与交互所导致的一切后果。</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投标人（投标人）超时交互，由此产生的不利于投标人（投标人）的评审风险由投标人（投标人）自行承担。</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9、开标前，投标人（投标人）务必在洛阳市电子招投标交易平台（lyggzyjy.ly.gov.cn/TPBidder）投标文件上传模块中使用“模拟解密”功能，验证自助解密环境。</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10.开标异常处理</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当出现以下情况时，应对未开标的中止电子开标，对原有资料及信息作出妥善保密处理，并在恢复正常后及时安排时间开标：</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（1）系统服务器发生故障，无法访问或无法使用系统；</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（2）系统的软件或数据库出现错误，不能进行正常操作；</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（3）系统发现有安全漏洞，有潜在的泄密危险；</w:t>
      </w:r>
    </w:p>
    <w:p>
      <w:pPr>
        <w:pStyle w:val="15"/>
        <w:pageBreakBefore w:val="0"/>
        <w:kinsoku/>
        <w:wordWrap/>
        <w:topLinePunct w:val="0"/>
        <w:bidi w:val="0"/>
        <w:spacing w:afterAutospacing="0" w:line="240" w:lineRule="auto"/>
        <w:ind w:left="0" w:leftChars="0" w:right="0" w:rightChars="0" w:firstLine="474" w:firstLineChars="20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（4）出现断电事故且短时间内无法恢复供电；</w:t>
      </w:r>
    </w:p>
    <w:p>
      <w:pPr>
        <w:pStyle w:val="20"/>
        <w:spacing w:before="0" w:after="0" w:line="240" w:lineRule="auto"/>
        <w:ind w:firstLine="475"/>
        <w:jc w:val="left"/>
        <w:outlineLvl w:val="9"/>
        <w:rPr>
          <w:rFonts w:hint="eastAsia" w:ascii="宋体" w:hAnsi="宋体" w:eastAsia="宋体" w:cs="宋体"/>
          <w:spacing w:val="14"/>
          <w:sz w:val="24"/>
          <w:szCs w:val="24"/>
          <w:highlight w:val="none"/>
        </w:rPr>
      </w:pPr>
      <w:bookmarkStart w:id="3" w:name="_Toc20027"/>
      <w:r>
        <w:rPr>
          <w:rFonts w:hint="eastAsia" w:ascii="宋体" w:hAnsi="宋体" w:eastAsia="宋体" w:cs="宋体"/>
          <w:b w:val="0"/>
          <w:bCs w:val="0"/>
          <w:spacing w:val="14"/>
          <w:sz w:val="24"/>
          <w:szCs w:val="24"/>
          <w:highlight w:val="none"/>
        </w:rPr>
        <w:t>（5）其他无法保证招投标过程正常进行的情形。</w:t>
      </w:r>
      <w:bookmarkEnd w:id="3"/>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9"/>
        <w:rPr>
          <w:rFonts w:hint="eastAsia" w:ascii="宋体" w:hAnsi="宋体" w:eastAsia="宋体" w:cs="宋体"/>
          <w:spacing w:val="14"/>
          <w:sz w:val="24"/>
          <w:szCs w:val="24"/>
          <w:highlight w:val="none"/>
        </w:rPr>
      </w:pPr>
    </w:p>
    <w:p>
      <w:pPr>
        <w:pStyle w:val="20"/>
        <w:spacing w:before="0" w:after="0" w:line="240" w:lineRule="auto"/>
        <w:ind w:firstLine="475"/>
        <w:outlineLvl w:val="0"/>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 xml:space="preserve"> </w:t>
      </w:r>
      <w:bookmarkStart w:id="4" w:name="_Toc256000060"/>
      <w:bookmarkStart w:id="5" w:name="_Toc256000001"/>
      <w:bookmarkStart w:id="6" w:name="_Toc256000002"/>
      <w:bookmarkStart w:id="7" w:name="_Toc9498"/>
      <w:bookmarkStart w:id="8" w:name="_Toc256000003"/>
      <w:bookmarkStart w:id="9" w:name="_Toc4281"/>
      <w:r>
        <w:rPr>
          <w:rFonts w:hint="eastAsia" w:ascii="宋体" w:hAnsi="宋体" w:eastAsia="宋体" w:cs="宋体"/>
          <w:sz w:val="24"/>
          <w:szCs w:val="24"/>
          <w:highlight w:val="none"/>
        </w:rPr>
        <w:t>第一章  招标公告</w:t>
      </w:r>
      <w:bookmarkEnd w:id="4"/>
      <w:bookmarkEnd w:id="5"/>
      <w:bookmarkEnd w:id="6"/>
      <w:bookmarkEnd w:id="7"/>
      <w:bookmarkEnd w:id="8"/>
      <w:bookmarkEnd w:id="9"/>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bookmarkStart w:id="10" w:name="_Toc22308"/>
      <w:bookmarkStart w:id="11" w:name="_Toc256000004"/>
      <w:bookmarkStart w:id="12" w:name="_Toc30625"/>
      <w:bookmarkStart w:id="13" w:name="_Toc256000069"/>
      <w:bookmarkStart w:id="14" w:name="_Toc256000007"/>
      <w:bookmarkStart w:id="15" w:name="_Toc256000030"/>
      <w:r>
        <w:rPr>
          <w:rFonts w:hint="eastAsia" w:ascii="宋体" w:hAnsi="宋体" w:eastAsia="宋体" w:cs="宋体"/>
          <w:sz w:val="24"/>
          <w:szCs w:val="24"/>
        </w:rPr>
        <w:t>项目概况</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汝阳城市建设投资发展有限公司汝阳县智慧停车场建设项目充电桩设备购置与安装项目招标项目的潜在投标人应在洛阳市公共资源交易中心网站（lyggzyjy.ly.gov.cn）获取招标文件，并于2024年01月03日09时30分（北京时间）前递交投标文件。</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一、项目基本情况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1、项目编号：汝政采-2023-778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2、项目名称：汝阳城市建设投资发展有限公司汝阳县智慧停车场建设项目充电桩设备购置与安装项目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3、采购方式：公开招标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4、预算金额：51,388,625.50元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最高限价：51388625.5元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855"/>
        <w:gridCol w:w="3951"/>
        <w:gridCol w:w="1892"/>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pPr>
              <w:pStyle w:val="26"/>
              <w:keepNext w:val="0"/>
              <w:keepLines w:val="0"/>
              <w:pageBreakBefore w:val="0"/>
              <w:widowControl/>
              <w:kinsoku/>
              <w:wordWrap w:val="0"/>
              <w:overflowPunct/>
              <w:topLinePunct w:val="0"/>
              <w:autoSpaceDE/>
              <w:autoSpaceDN/>
              <w:bidi w:val="0"/>
              <w:adjustRightInd/>
              <w:snapToGrid/>
              <w:spacing w:before="0" w:beforeAutospacing="0" w:after="0" w:afterAutospacing="0" w:line="240" w:lineRule="auto"/>
              <w:ind w:firstLine="0" w:firstLineChars="0"/>
              <w:jc w:val="center"/>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序号</w:t>
            </w:r>
          </w:p>
        </w:tc>
        <w:tc>
          <w:tcPr>
            <w:tcW w:w="855" w:type="dxa"/>
            <w:noWrap w:val="0"/>
            <w:vAlign w:val="center"/>
          </w:tcPr>
          <w:p>
            <w:pPr>
              <w:pStyle w:val="26"/>
              <w:keepNext w:val="0"/>
              <w:keepLines w:val="0"/>
              <w:pageBreakBefore w:val="0"/>
              <w:widowControl/>
              <w:kinsoku/>
              <w:wordWrap w:val="0"/>
              <w:overflowPunct/>
              <w:topLinePunct w:val="0"/>
              <w:autoSpaceDE/>
              <w:autoSpaceDN/>
              <w:bidi w:val="0"/>
              <w:adjustRightInd/>
              <w:snapToGrid/>
              <w:spacing w:before="0" w:beforeAutospacing="0" w:after="0" w:afterAutospacing="0" w:line="240" w:lineRule="auto"/>
              <w:ind w:firstLine="0" w:firstLineChars="0"/>
              <w:jc w:val="center"/>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包号</w:t>
            </w:r>
          </w:p>
        </w:tc>
        <w:tc>
          <w:tcPr>
            <w:tcW w:w="3951" w:type="dxa"/>
            <w:noWrap w:val="0"/>
            <w:vAlign w:val="center"/>
          </w:tcPr>
          <w:p>
            <w:pPr>
              <w:pStyle w:val="26"/>
              <w:keepNext w:val="0"/>
              <w:keepLines w:val="0"/>
              <w:pageBreakBefore w:val="0"/>
              <w:widowControl/>
              <w:kinsoku/>
              <w:wordWrap w:val="0"/>
              <w:overflowPunct/>
              <w:topLinePunct w:val="0"/>
              <w:autoSpaceDE/>
              <w:autoSpaceDN/>
              <w:bidi w:val="0"/>
              <w:adjustRightInd/>
              <w:snapToGrid/>
              <w:spacing w:before="0" w:beforeAutospacing="0" w:after="0" w:afterAutospacing="0" w:line="240" w:lineRule="auto"/>
              <w:ind w:firstLine="0" w:firstLineChars="0"/>
              <w:jc w:val="center"/>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包名称</w:t>
            </w:r>
          </w:p>
        </w:tc>
        <w:tc>
          <w:tcPr>
            <w:tcW w:w="1892" w:type="dxa"/>
            <w:noWrap w:val="0"/>
            <w:vAlign w:val="center"/>
          </w:tcPr>
          <w:p>
            <w:pPr>
              <w:pStyle w:val="26"/>
              <w:keepNext w:val="0"/>
              <w:keepLines w:val="0"/>
              <w:pageBreakBefore w:val="0"/>
              <w:widowControl/>
              <w:kinsoku/>
              <w:wordWrap w:val="0"/>
              <w:overflowPunct/>
              <w:topLinePunct w:val="0"/>
              <w:autoSpaceDE/>
              <w:autoSpaceDN/>
              <w:bidi w:val="0"/>
              <w:adjustRightInd/>
              <w:snapToGrid/>
              <w:spacing w:before="0" w:beforeAutospacing="0" w:after="0" w:afterAutospacing="0" w:line="240" w:lineRule="auto"/>
              <w:ind w:firstLine="0" w:firstLineChars="0"/>
              <w:jc w:val="center"/>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包预算（元）</w:t>
            </w:r>
          </w:p>
        </w:tc>
        <w:tc>
          <w:tcPr>
            <w:tcW w:w="1892" w:type="dxa"/>
            <w:noWrap w:val="0"/>
            <w:vAlign w:val="center"/>
          </w:tcPr>
          <w:p>
            <w:pPr>
              <w:pStyle w:val="26"/>
              <w:keepNext w:val="0"/>
              <w:keepLines w:val="0"/>
              <w:pageBreakBefore w:val="0"/>
              <w:widowControl/>
              <w:kinsoku/>
              <w:wordWrap w:val="0"/>
              <w:overflowPunct/>
              <w:topLinePunct w:val="0"/>
              <w:autoSpaceDE/>
              <w:autoSpaceDN/>
              <w:bidi w:val="0"/>
              <w:adjustRightInd/>
              <w:snapToGrid/>
              <w:spacing w:before="0" w:beforeAutospacing="0" w:after="0" w:afterAutospacing="0" w:line="240" w:lineRule="auto"/>
              <w:ind w:firstLine="0" w:firstLineChars="0"/>
              <w:jc w:val="center"/>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包最高限价（元）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pPr>
              <w:pStyle w:val="26"/>
              <w:keepNext w:val="0"/>
              <w:keepLines w:val="0"/>
              <w:pageBreakBefore w:val="0"/>
              <w:widowControl/>
              <w:kinsoku/>
              <w:wordWrap w:val="0"/>
              <w:overflowPunct/>
              <w:topLinePunct w:val="0"/>
              <w:autoSpaceDE/>
              <w:autoSpaceDN/>
              <w:bidi w:val="0"/>
              <w:adjustRightInd/>
              <w:snapToGrid/>
              <w:spacing w:before="0" w:beforeAutospacing="0" w:after="0" w:afterAutospacing="0" w:line="240" w:lineRule="auto"/>
              <w:ind w:firstLine="0" w:firstLineChars="0"/>
              <w:jc w:val="center"/>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p>
        </w:tc>
        <w:tc>
          <w:tcPr>
            <w:tcW w:w="855" w:type="dxa"/>
            <w:noWrap w:val="0"/>
            <w:vAlign w:val="center"/>
          </w:tcPr>
          <w:p>
            <w:pPr>
              <w:pStyle w:val="26"/>
              <w:keepNext w:val="0"/>
              <w:keepLines w:val="0"/>
              <w:pageBreakBefore w:val="0"/>
              <w:widowControl/>
              <w:kinsoku/>
              <w:wordWrap w:val="0"/>
              <w:overflowPunct/>
              <w:topLinePunct w:val="0"/>
              <w:autoSpaceDE/>
              <w:autoSpaceDN/>
              <w:bidi w:val="0"/>
              <w:adjustRightInd/>
              <w:snapToGrid/>
              <w:spacing w:before="0" w:beforeAutospacing="0" w:after="0" w:afterAutospacing="0" w:line="240" w:lineRule="auto"/>
              <w:ind w:firstLine="0" w:firstLineChars="0"/>
              <w:jc w:val="center"/>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1包</w:t>
            </w:r>
          </w:p>
        </w:tc>
        <w:tc>
          <w:tcPr>
            <w:tcW w:w="3951" w:type="dxa"/>
            <w:noWrap w:val="0"/>
            <w:vAlign w:val="center"/>
          </w:tcPr>
          <w:p>
            <w:pPr>
              <w:pStyle w:val="26"/>
              <w:keepNext w:val="0"/>
              <w:keepLines w:val="0"/>
              <w:pageBreakBefore w:val="0"/>
              <w:widowControl/>
              <w:kinsoku/>
              <w:wordWrap w:val="0"/>
              <w:overflowPunct/>
              <w:topLinePunct w:val="0"/>
              <w:autoSpaceDE/>
              <w:autoSpaceDN/>
              <w:bidi w:val="0"/>
              <w:adjustRightInd/>
              <w:snapToGrid/>
              <w:spacing w:before="0" w:beforeAutospacing="0" w:after="0" w:afterAutospacing="0" w:line="240" w:lineRule="auto"/>
              <w:ind w:firstLine="0" w:firstLineChars="0"/>
              <w:jc w:val="center"/>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汝阳城市建设投资发展有限公司汝阳县智慧停车场建设项目充电桩设备购置与安装项目</w:t>
            </w:r>
          </w:p>
        </w:tc>
        <w:tc>
          <w:tcPr>
            <w:tcW w:w="1892" w:type="dxa"/>
            <w:noWrap w:val="0"/>
            <w:vAlign w:val="center"/>
          </w:tcPr>
          <w:p>
            <w:pPr>
              <w:pStyle w:val="26"/>
              <w:keepNext w:val="0"/>
              <w:keepLines w:val="0"/>
              <w:pageBreakBefore w:val="0"/>
              <w:widowControl/>
              <w:kinsoku/>
              <w:wordWrap w:val="0"/>
              <w:overflowPunct/>
              <w:topLinePunct w:val="0"/>
              <w:autoSpaceDE/>
              <w:autoSpaceDN/>
              <w:bidi w:val="0"/>
              <w:adjustRightInd/>
              <w:snapToGrid/>
              <w:spacing w:before="0" w:beforeAutospacing="0" w:after="0" w:afterAutospacing="0" w:line="240" w:lineRule="auto"/>
              <w:ind w:firstLine="0" w:firstLineChars="0"/>
              <w:jc w:val="center"/>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51388625.5</w:t>
            </w:r>
          </w:p>
        </w:tc>
        <w:tc>
          <w:tcPr>
            <w:tcW w:w="1892" w:type="dxa"/>
            <w:noWrap w:val="0"/>
            <w:vAlign w:val="center"/>
          </w:tcPr>
          <w:p>
            <w:pPr>
              <w:pStyle w:val="26"/>
              <w:keepNext w:val="0"/>
              <w:keepLines w:val="0"/>
              <w:pageBreakBefore w:val="0"/>
              <w:widowControl/>
              <w:kinsoku/>
              <w:wordWrap w:val="0"/>
              <w:overflowPunct/>
              <w:topLinePunct w:val="0"/>
              <w:autoSpaceDE/>
              <w:autoSpaceDN/>
              <w:bidi w:val="0"/>
              <w:adjustRightInd/>
              <w:snapToGrid/>
              <w:spacing w:before="0" w:beforeAutospacing="0" w:after="0" w:afterAutospacing="0" w:line="240" w:lineRule="auto"/>
              <w:ind w:firstLine="0" w:firstLineChars="0"/>
              <w:jc w:val="center"/>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51388625.5</w:t>
            </w:r>
          </w:p>
        </w:tc>
      </w:tr>
    </w:tbl>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5、采购需求（包括但不限于标的的名称、数量、简要技术需求或服务要求等）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5.1采购范围：本项目共划分1个标段（包），主要为汝阳城市建设投资发展有限公司汝阳县智慧停车场建设项目充电桩设备购置与安装项目（具体参数及内容详见招标文件）；</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5.2交货地点：采购人所在地，具体地点为采购人指定地点；</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5.3资金来源：自筹资金；</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5.4交货期：60日历天</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5.5质量要求：符合国家及行业质量合格标准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6、合同履行期限：60日历天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7、本项目是否接受联合体投标：否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8、是否接受进口产品：否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9、是否专门面向中小企业：否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二、申请人资格要求：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1、满足《中华人民共和国政府采购法》第二十二条规定；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2、落实政府采购政策满足的资格要求：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本项目支持中小微（监狱、残疾人福利性单位）企业；监狱企业、残疾人福利性单位视同小型、微型企业。对供应商所提供的小微企业生产的产品的价格给予10%的扣除，用扣除后的价格参加评审。本项目执行节约能源、保护环境、扶持不发达地区和少数民族地区节能环保产品优先采购等政府采购政策。根据豫财办【2020】33号文件要求，参加政府采购项目的中小微企业供应商，持中标（成交）通知书可向金融机构申请合同融资。详情请登录《河南省政府采购网》，进入网站或业务指南窗口了解金融机构提供的融资服务内容。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3、本项目的特定资格要求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3.1、供应商须有独立承担民事责任的能力，提供合法有效的营业执照、组织机构代码证、税务登记证或三证合一的营业执照；</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3.2投标人须具有建设行政主管部门颁发的机电工程施工总承包叁级（含）及以上资质，具有有效的安全生产许可证（投标文件中须附证书原件的扫描件，并加盖单位公章）；</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3.3、根据洛财购〔2021〕11号《洛阳市财政局关于推行政府采购信用承诺制的通知》，供应商须提供洛阳市政府采购供应商信用承诺函（格式详见招标文件），供应商须按照规定提供“信用承诺函”，采购人有权在签订合同前要求成交人提供相关证明材料以核实中标单位承诺事项的真实性，投标时不再需要提供以下证明材料：</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（1）符合国家相关规定的财务状况报告；</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（2）依法缴纳税收的证明材料；</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（3）依法缴纳社会保障资金的证明材料；</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（4）具备履行合同所必需的设备和专业技术能力的证明材料；</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（5）参加招标活动前三年内在经营活动中没有重大违法记录的证明材料；</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（6）未被列入失信被执行人、重大税收违法失信主体、政府采购严重违法失信行为记录名单的证明材料。</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3.4、与本采购项目的其他供应商之间不得有隶属关系或为同一母公司。为本采购项目的前期准备或者监理工作提供设计、咨询服务的任何法人及其任何附属机构（单位），都无资格参加本次采购项目。</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3.5、本次招标（采购）实行资格后审。</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3.6、本次招标不接受联合体投标。</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注：上述所需证明资料第3.1、3.2项须在投标文件内附相关扫描件/复印件/照片，第3.3项须提供洛阳市政府采购供应商信用承诺函（详见招标文件），采购人有权在签订合同前要求中标人提供相关证明材料以核实中标人承诺事项的真实性。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三、获取招标文件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1.时间：2023年12月12日 至 2023年12月18日，每天上午00:00至12:00，下午12:00至23:59（北京时间，法定节假日除外。）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2.地点：洛阳市公共资源交易中心网站（lyggzyjy.ly.gov.cn）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3.方式：洛阳市公共资源交易中心网站（lyggzyjy.ly.gov.cn）上获取。请在“洛阳市电子招投标交易平台（http://lyggzyjy.ly.gov.cn/TPBidder）”进行用户注册，办理数字证书后下载招标（采购）文件。如投多个标段（包），则应就所投每个标段（包）分别下载。联合体投标的，由联合体牵头人完成招标（采购）文件下载。详见洛阳市公共资源交易中心网站—办事指南内的“主体注册CA办理”和“洛阳政府采购系统操作手册（供应商用）”。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4.售价：0元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四、投标截止时间及地点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1.时间：2024年01月03日09时30分（北京时间）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2.地点：洛阳市公共资源交易中心网站（lyggzyjy.ly.gov.cn）。获取招标（采购）文件后，请下载并安装最新版本投标文件制作工具，制作电子投标（响应）文件，在投标截止时间前，上传加密的投标（响应）文件。供应商未在投标截止时间前完成上传的，视为逾期送达，洛阳市电子招投标交易平台将拒绝接收。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五、开标时间及地点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1.时间：2024年01月03日09时30分（北京时间）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2.地点：汝阳县公共资源交易中心开标二室（汝阳县涧河路与杜鹃大道交叉口汝阳县公共资源交易中心一楼）。本项目采用远程不见面交易的模式，开标当日，供应商无需到现场参加开标会议，应在投标截止时间前，登录“不见面开标大厅”，在线准时参加开标活动并进行投标（响应）文件解密等。因供应商原因未能解密或解密失败的将被拒绝。详见洛阳市公共资源交易中心网站-办事指南内的“洛阳市公共资源交易中心不见面开标大厅操作手册（供应商）”。除电子投标（响应）文件外，投标时不再接受任何纸质文件、资料等。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六、发布公告的媒介及招标公告期限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本次招标公告在《河南省政府采购网》、《中国招标投标公共服务平台》及《全国公共资源交易平台（河南省·洛阳市）》上发布， 招标公告期限为五个工作日 。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七、其他补充事宜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1、项目编号：汝阳企采招标(2023)0247号</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政府采购备案编号：汝政采-2023-778</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项目代码：2207-410326-04-01-954525</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2、供应商在参与本项目招标采购活动期间应及时关注本网站获取相关澄清或变更等信息。</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监管部门：汝阳县财政局</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监管部门联系人：桑先生</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监管部门联系方式：0379-68210917</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3、本次采购代理服务费参考洛阳市市级政府采购代理服务费收取标准，由中标单位向代理机构支付。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八、凡对本次招标提出询问，请按照以下方式联系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1. 采购人信息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名称：汝阳城市建设投资发展有限公司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地址：汝阳县城关镇文化路8号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联系人：王先生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联系方式：0379-68255152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2.采购代理机构信息（如有）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名称：金泽工程管理服务有限公司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地址：洛阳市洛龙区滨河南路159号功成校苑综合楼B2307 室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联系人：何先生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联系方式：16637983216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3.项目联系方式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项目联系人：何先生 </w:t>
      </w:r>
    </w:p>
    <w:p>
      <w:pPr>
        <w:keepNext w:val="0"/>
        <w:keepLines w:val="0"/>
        <w:pageBreakBefore w:val="0"/>
        <w:kinsoku/>
        <w:overflowPunct/>
        <w:topLinePunct w:val="0"/>
        <w:autoSpaceDE/>
        <w:autoSpaceDN/>
        <w:bidi w:val="0"/>
        <w:adjustRightInd/>
        <w:snapToGrid/>
        <w:spacing w:line="240" w:lineRule="auto"/>
        <w:ind w:firstLine="418"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联系方式：16637983216 </w:t>
      </w:r>
    </w:p>
    <w:p>
      <w:pPr>
        <w:keepNext w:val="0"/>
        <w:keepLines w:val="0"/>
        <w:pageBreakBefore w:val="0"/>
        <w:tabs>
          <w:tab w:val="left" w:pos="3015"/>
        </w:tabs>
        <w:kinsoku/>
        <w:overflowPunct/>
        <w:topLinePunct w:val="0"/>
        <w:autoSpaceDE/>
        <w:autoSpaceDN/>
        <w:bidi w:val="0"/>
        <w:adjustRightInd/>
        <w:snapToGrid/>
        <w:spacing w:line="360" w:lineRule="auto"/>
        <w:ind w:firstLine="418" w:firstLineChars="200"/>
        <w:jc w:val="left"/>
        <w:textAlignment w:val="auto"/>
        <w:rPr>
          <w:rFonts w:hint="eastAsia" w:ascii="宋体" w:hAnsi="宋体" w:cs="宋体"/>
          <w:b/>
          <w:bCs/>
          <w:sz w:val="24"/>
          <w:szCs w:val="24"/>
          <w:lang w:eastAsia="zh-CN"/>
        </w:rPr>
      </w:pPr>
      <w:r>
        <w:rPr>
          <w:rFonts w:hint="eastAsia" w:ascii="宋体" w:hAnsi="宋体" w:cs="宋体"/>
          <w:b/>
          <w:bCs/>
          <w:sz w:val="24"/>
          <w:szCs w:val="24"/>
          <w:lang w:eastAsia="zh-CN"/>
        </w:rPr>
        <w:tab/>
      </w:r>
    </w:p>
    <w:p>
      <w:pPr>
        <w:keepNext w:val="0"/>
        <w:keepLines w:val="0"/>
        <w:pageBreakBefore w:val="0"/>
        <w:tabs>
          <w:tab w:val="left" w:pos="3015"/>
        </w:tabs>
        <w:kinsoku/>
        <w:overflowPunct/>
        <w:topLinePunct w:val="0"/>
        <w:autoSpaceDE/>
        <w:autoSpaceDN/>
        <w:bidi w:val="0"/>
        <w:adjustRightInd/>
        <w:snapToGrid/>
        <w:spacing w:line="360" w:lineRule="auto"/>
        <w:ind w:firstLine="418" w:firstLineChars="200"/>
        <w:jc w:val="left"/>
        <w:textAlignment w:val="auto"/>
        <w:rPr>
          <w:rFonts w:hint="eastAsia" w:ascii="宋体" w:hAnsi="宋体" w:cs="宋体"/>
          <w:b/>
          <w:bCs/>
          <w:sz w:val="24"/>
          <w:szCs w:val="24"/>
          <w:lang w:eastAsia="zh-CN"/>
        </w:rPr>
      </w:pPr>
    </w:p>
    <w:p>
      <w:pPr>
        <w:keepNext w:val="0"/>
        <w:keepLines w:val="0"/>
        <w:pageBreakBefore w:val="0"/>
        <w:tabs>
          <w:tab w:val="left" w:pos="3015"/>
        </w:tabs>
        <w:kinsoku/>
        <w:overflowPunct/>
        <w:topLinePunct w:val="0"/>
        <w:autoSpaceDE/>
        <w:autoSpaceDN/>
        <w:bidi w:val="0"/>
        <w:adjustRightInd/>
        <w:snapToGrid/>
        <w:spacing w:line="360" w:lineRule="auto"/>
        <w:ind w:firstLine="418" w:firstLineChars="200"/>
        <w:jc w:val="left"/>
        <w:textAlignment w:val="auto"/>
        <w:rPr>
          <w:rFonts w:hint="eastAsia" w:ascii="宋体" w:hAnsi="宋体" w:cs="宋体"/>
          <w:b/>
          <w:bCs/>
          <w:sz w:val="24"/>
          <w:szCs w:val="24"/>
          <w:lang w:eastAsia="zh-CN"/>
        </w:rPr>
      </w:pPr>
    </w:p>
    <w:p>
      <w:pPr>
        <w:keepNext w:val="0"/>
        <w:keepLines w:val="0"/>
        <w:pageBreakBefore w:val="0"/>
        <w:tabs>
          <w:tab w:val="left" w:pos="3015"/>
        </w:tabs>
        <w:kinsoku/>
        <w:overflowPunct/>
        <w:topLinePunct w:val="0"/>
        <w:autoSpaceDE/>
        <w:autoSpaceDN/>
        <w:bidi w:val="0"/>
        <w:adjustRightInd/>
        <w:snapToGrid/>
        <w:spacing w:line="360" w:lineRule="auto"/>
        <w:ind w:firstLine="418" w:firstLineChars="200"/>
        <w:jc w:val="left"/>
        <w:textAlignment w:val="auto"/>
        <w:rPr>
          <w:rFonts w:hint="eastAsia" w:ascii="宋体" w:hAnsi="宋体" w:cs="宋体"/>
          <w:b/>
          <w:bCs/>
          <w:sz w:val="24"/>
          <w:szCs w:val="24"/>
          <w:lang w:eastAsia="zh-CN"/>
        </w:rPr>
      </w:pPr>
    </w:p>
    <w:p>
      <w:pPr>
        <w:keepNext w:val="0"/>
        <w:keepLines w:val="0"/>
        <w:pageBreakBefore w:val="0"/>
        <w:tabs>
          <w:tab w:val="left" w:pos="3015"/>
        </w:tabs>
        <w:kinsoku/>
        <w:overflowPunct/>
        <w:topLinePunct w:val="0"/>
        <w:autoSpaceDE/>
        <w:autoSpaceDN/>
        <w:bidi w:val="0"/>
        <w:adjustRightInd/>
        <w:snapToGrid/>
        <w:spacing w:line="360" w:lineRule="auto"/>
        <w:ind w:firstLine="418" w:firstLineChars="200"/>
        <w:jc w:val="left"/>
        <w:textAlignment w:val="auto"/>
        <w:rPr>
          <w:rFonts w:hint="eastAsia" w:ascii="宋体" w:hAnsi="宋体" w:cs="宋体"/>
          <w:b/>
          <w:bCs/>
          <w:sz w:val="24"/>
          <w:szCs w:val="24"/>
          <w:lang w:eastAsia="zh-CN"/>
        </w:rPr>
      </w:pPr>
    </w:p>
    <w:p>
      <w:pPr>
        <w:keepNext w:val="0"/>
        <w:keepLines w:val="0"/>
        <w:pageBreakBefore w:val="0"/>
        <w:tabs>
          <w:tab w:val="left" w:pos="3015"/>
        </w:tabs>
        <w:kinsoku/>
        <w:overflowPunct/>
        <w:topLinePunct w:val="0"/>
        <w:autoSpaceDE/>
        <w:autoSpaceDN/>
        <w:bidi w:val="0"/>
        <w:adjustRightInd/>
        <w:snapToGrid/>
        <w:spacing w:line="360" w:lineRule="auto"/>
        <w:ind w:firstLine="418" w:firstLineChars="200"/>
        <w:jc w:val="left"/>
        <w:textAlignment w:val="auto"/>
        <w:rPr>
          <w:rFonts w:hint="eastAsia" w:ascii="宋体" w:hAnsi="宋体" w:cs="宋体"/>
          <w:b/>
          <w:bCs/>
          <w:sz w:val="24"/>
          <w:szCs w:val="24"/>
          <w:lang w:eastAsia="zh-CN"/>
        </w:rPr>
      </w:pPr>
    </w:p>
    <w:p>
      <w:pPr>
        <w:pStyle w:val="20"/>
        <w:spacing w:before="0" w:after="0" w:line="240" w:lineRule="auto"/>
        <w:ind w:firstLine="475"/>
        <w:outlineLvl w:val="0"/>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第二章   供应商须知</w:t>
      </w:r>
      <w:bookmarkEnd w:id="10"/>
      <w:bookmarkEnd w:id="11"/>
      <w:bookmarkEnd w:id="12"/>
      <w:bookmarkEnd w:id="13"/>
      <w:bookmarkEnd w:id="14"/>
      <w:bookmarkEnd w:id="15"/>
    </w:p>
    <w:p>
      <w:pPr>
        <w:pStyle w:val="20"/>
        <w:spacing w:before="0" w:after="0" w:line="240" w:lineRule="auto"/>
        <w:ind w:firstLine="475"/>
        <w:outlineLvl w:val="9"/>
        <w:rPr>
          <w:rFonts w:hint="eastAsia" w:ascii="宋体" w:hAnsi="宋体" w:eastAsia="宋体" w:cs="宋体"/>
          <w:spacing w:val="14"/>
          <w:sz w:val="24"/>
          <w:szCs w:val="24"/>
          <w:highlight w:val="none"/>
          <w:lang w:val="en-US" w:eastAsia="zh-CN"/>
        </w:rPr>
      </w:pPr>
      <w:bookmarkStart w:id="16" w:name="_Toc256000070"/>
      <w:bookmarkStart w:id="17" w:name="_Toc27650"/>
      <w:r>
        <w:rPr>
          <w:rFonts w:hint="eastAsia" w:ascii="宋体" w:hAnsi="宋体" w:eastAsia="宋体" w:cs="宋体"/>
          <w:spacing w:val="14"/>
          <w:sz w:val="24"/>
          <w:szCs w:val="24"/>
          <w:highlight w:val="none"/>
          <w:lang w:val="en-US" w:eastAsia="zh-CN"/>
        </w:rPr>
        <w:t>供应商须知前附表</w:t>
      </w:r>
      <w:bookmarkEnd w:id="16"/>
      <w:bookmarkEnd w:id="17"/>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986"/>
        <w:gridCol w:w="6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条款号</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名 称</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1.1.2</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采购人</w:t>
            </w:r>
          </w:p>
        </w:tc>
        <w:tc>
          <w:tcPr>
            <w:tcW w:w="6248" w:type="dxa"/>
            <w:tcBorders>
              <w:top w:val="single" w:color="auto" w:sz="4" w:space="0"/>
              <w:left w:val="nil"/>
              <w:bottom w:val="single" w:color="auto" w:sz="4" w:space="0"/>
              <w:right w:val="single" w:color="auto" w:sz="4" w:space="0"/>
            </w:tcBorders>
            <w:noWrap w:val="0"/>
            <w:vAlign w:val="center"/>
          </w:tcPr>
          <w:p>
            <w:pPr>
              <w:pStyle w:val="31"/>
              <w:autoSpaceDE w:val="0"/>
              <w:spacing w:before="0" w:beforeAutospacing="0" w:after="0" w:afterAutospacing="0" w:line="240" w:lineRule="auto"/>
              <w:ind w:firstLine="0" w:firstLineChars="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名  称：汝阳城市建设投资发展有限公司</w:t>
            </w:r>
          </w:p>
          <w:p>
            <w:pPr>
              <w:pStyle w:val="31"/>
              <w:autoSpaceDE w:val="0"/>
              <w:spacing w:before="0" w:beforeAutospacing="0" w:after="0" w:afterAutospacing="0" w:line="240" w:lineRule="auto"/>
              <w:ind w:firstLine="0" w:firstLineChars="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地  址：汝阳县城关镇文化路8号</w:t>
            </w:r>
          </w:p>
          <w:p>
            <w:pPr>
              <w:pStyle w:val="32"/>
              <w:spacing w:before="0" w:beforeAutospacing="0" w:after="0" w:afterAutospacing="0" w:line="240" w:lineRule="auto"/>
              <w:ind w:left="0" w:leftChars="0" w:firstLine="0" w:firstLineChars="0"/>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联系人：王先生</w:t>
            </w:r>
          </w:p>
          <w:p>
            <w:pPr>
              <w:pStyle w:val="32"/>
              <w:spacing w:before="0" w:beforeAutospacing="0" w:after="0" w:afterAutospacing="0" w:line="240" w:lineRule="auto"/>
              <w:ind w:left="0" w:leftChars="0" w:firstLine="0" w:firstLineChars="0"/>
              <w:outlineLvl w:val="9"/>
              <w:rPr>
                <w:rFonts w:hint="eastAsia" w:ascii="宋体" w:hAnsi="宋体" w:eastAsia="宋体" w:cs="宋体"/>
                <w:color w:val="333333"/>
                <w:sz w:val="24"/>
                <w:szCs w:val="24"/>
                <w:highlight w:val="none"/>
                <w:shd w:val="clear" w:color="auto" w:fill="FFFFFF"/>
              </w:rPr>
            </w:pPr>
            <w:r>
              <w:rPr>
                <w:rFonts w:hint="eastAsia" w:ascii="宋体" w:hAnsi="宋体" w:eastAsia="宋体" w:cs="宋体"/>
                <w:spacing w:val="14"/>
                <w:sz w:val="24"/>
                <w:szCs w:val="24"/>
                <w:highlight w:val="none"/>
                <w:lang w:val="en-US" w:eastAsia="zh-CN"/>
              </w:rPr>
              <w:t>电</w:t>
            </w:r>
            <w:r>
              <w:rPr>
                <w:rFonts w:hint="eastAsia" w:ascii="宋体" w:hAnsi="宋体" w:eastAsia="宋体" w:cs="宋体"/>
                <w:spacing w:val="14"/>
                <w:sz w:val="24"/>
                <w:szCs w:val="24"/>
                <w:highlight w:val="none"/>
              </w:rPr>
              <w:t xml:space="preserve">  </w:t>
            </w:r>
            <w:r>
              <w:rPr>
                <w:rFonts w:hint="eastAsia" w:ascii="宋体" w:hAnsi="宋体" w:eastAsia="宋体" w:cs="宋体"/>
                <w:spacing w:val="14"/>
                <w:sz w:val="24"/>
                <w:szCs w:val="24"/>
                <w:highlight w:val="none"/>
                <w:lang w:val="en-US" w:eastAsia="zh-CN"/>
              </w:rPr>
              <w:t>话：0379</w:t>
            </w:r>
            <w:r>
              <w:rPr>
                <w:rFonts w:hint="eastAsia" w:eastAsia="宋体" w:cs="宋体"/>
                <w:spacing w:val="14"/>
                <w:sz w:val="24"/>
                <w:szCs w:val="24"/>
                <w:highlight w:val="none"/>
                <w:lang w:val="en-US" w:eastAsia="zh-CN"/>
              </w:rPr>
              <w:t>-</w:t>
            </w:r>
            <w:r>
              <w:rPr>
                <w:rFonts w:hint="eastAsia" w:ascii="宋体" w:hAnsi="宋体" w:eastAsia="宋体" w:cs="宋体"/>
                <w:spacing w:val="14"/>
                <w:sz w:val="24"/>
                <w:szCs w:val="24"/>
                <w:highlight w:val="none"/>
                <w:lang w:val="en-US" w:eastAsia="zh-CN"/>
              </w:rPr>
              <w:t>68255152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1.1.3</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采购代理机构</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lang w:eastAsia="zh-CN"/>
              </w:rPr>
            </w:pPr>
            <w:r>
              <w:rPr>
                <w:rFonts w:hint="eastAsia" w:ascii="宋体" w:hAnsi="宋体" w:eastAsia="宋体" w:cs="宋体"/>
                <w:spacing w:val="14"/>
                <w:sz w:val="24"/>
                <w:szCs w:val="24"/>
                <w:highlight w:val="none"/>
              </w:rPr>
              <w:t>名  称：</w:t>
            </w:r>
            <w:r>
              <w:rPr>
                <w:rFonts w:hint="eastAsia" w:ascii="宋体" w:hAnsi="宋体" w:eastAsia="宋体" w:cs="宋体"/>
                <w:spacing w:val="14"/>
                <w:sz w:val="24"/>
                <w:szCs w:val="24"/>
                <w:highlight w:val="none"/>
                <w:lang w:eastAsia="zh-CN"/>
              </w:rPr>
              <w:t>金泽工程管理服务有限公司</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地  址：洛阳市洛龙区滨河南路159号功成校苑综合楼 B2307室</w:t>
            </w:r>
          </w:p>
          <w:p>
            <w:pPr>
              <w:pStyle w:val="15"/>
              <w:ind w:firstLine="0"/>
              <w:jc w:val="left"/>
              <w:outlineLvl w:val="9"/>
              <w:rPr>
                <w:rFonts w:hint="eastAsia" w:ascii="宋体" w:hAnsi="宋体" w:eastAsia="宋体" w:cs="宋体"/>
                <w:spacing w:val="14"/>
                <w:sz w:val="24"/>
                <w:szCs w:val="24"/>
                <w:highlight w:val="none"/>
                <w:lang w:eastAsia="zh-CN"/>
              </w:rPr>
            </w:pPr>
            <w:r>
              <w:rPr>
                <w:rFonts w:hint="eastAsia" w:ascii="宋体" w:hAnsi="宋体" w:eastAsia="宋体" w:cs="宋体"/>
                <w:spacing w:val="14"/>
                <w:sz w:val="24"/>
                <w:szCs w:val="24"/>
                <w:highlight w:val="none"/>
              </w:rPr>
              <w:t>联系人：</w:t>
            </w:r>
            <w:r>
              <w:rPr>
                <w:rFonts w:hint="eastAsia" w:ascii="宋体" w:hAnsi="宋体" w:eastAsia="宋体" w:cs="宋体"/>
                <w:spacing w:val="14"/>
                <w:sz w:val="24"/>
                <w:szCs w:val="24"/>
                <w:highlight w:val="none"/>
                <w:lang w:eastAsia="zh-CN"/>
              </w:rPr>
              <w:t>何先生</w:t>
            </w:r>
          </w:p>
          <w:p>
            <w:pPr>
              <w:pStyle w:val="15"/>
              <w:ind w:firstLine="0"/>
              <w:jc w:val="left"/>
              <w:outlineLvl w:val="9"/>
              <w:rPr>
                <w:rFonts w:hint="eastAsia" w:ascii="宋体" w:hAnsi="宋体" w:eastAsia="宋体" w:cs="宋体"/>
                <w:spacing w:val="14"/>
                <w:sz w:val="24"/>
                <w:szCs w:val="24"/>
                <w:highlight w:val="none"/>
                <w:lang w:eastAsia="zh-CN"/>
              </w:rPr>
            </w:pPr>
            <w:r>
              <w:rPr>
                <w:rFonts w:hint="eastAsia" w:ascii="宋体" w:hAnsi="宋体" w:eastAsia="宋体" w:cs="宋体"/>
                <w:spacing w:val="14"/>
                <w:sz w:val="24"/>
                <w:szCs w:val="24"/>
                <w:highlight w:val="none"/>
              </w:rPr>
              <w:t>电  话：</w:t>
            </w:r>
            <w:r>
              <w:rPr>
                <w:rFonts w:hint="eastAsia" w:ascii="宋体" w:hAnsi="宋体" w:eastAsia="宋体" w:cs="宋体"/>
                <w:spacing w:val="14"/>
                <w:sz w:val="24"/>
                <w:szCs w:val="24"/>
                <w:highlight w:val="none"/>
                <w:lang w:eastAsia="zh-CN"/>
              </w:rPr>
              <w:t>16637983216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1.1.4</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项目名称</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eastAsia="zh-CN"/>
              </w:rPr>
              <w:t>汝阳城市建设投资发展有限公司汝阳县智慧停车场建设项目充电桩设备购置与安装项目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1.1.5</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落实政府采购政策要求</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☑不接受进口产品。</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☑节能环保产品优先或强制采购。</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☑支持中小微（监狱、残疾人福利性单位）企业。</w:t>
            </w:r>
          </w:p>
          <w:p>
            <w:pPr>
              <w:pStyle w:val="26"/>
              <w:spacing w:before="0" w:beforeAutospacing="0" w:after="0" w:afterAutospacing="0" w:line="240" w:lineRule="auto"/>
              <w:ind w:firstLine="474"/>
              <w:jc w:val="both"/>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val="en-US" w:eastAsia="zh-CN"/>
              </w:rPr>
              <w:t>本项目支持中小微（监狱、残疾人福利性单位）企业；监狱企业、残疾人福利性单位视同小型、微型企业。对供应商所提供的小微企业生产的产品的价格给予10%的扣除，用扣除后的价格参加评审。所属行业：</w:t>
            </w:r>
            <w:r>
              <w:rPr>
                <w:rFonts w:hint="eastAsia" w:eastAsia="宋体" w:cs="宋体"/>
                <w:spacing w:val="14"/>
                <w:sz w:val="24"/>
                <w:szCs w:val="24"/>
                <w:highlight w:val="none"/>
                <w:lang w:val="en-US" w:eastAsia="zh-CN"/>
              </w:rPr>
              <w:t>建筑业或工业或其他未列明行业</w:t>
            </w:r>
            <w:r>
              <w:rPr>
                <w:rFonts w:hint="eastAsia" w:ascii="宋体" w:hAnsi="宋体" w:eastAsia="宋体" w:cs="宋体"/>
                <w:spacing w:val="14"/>
                <w:sz w:val="24"/>
                <w:szCs w:val="24"/>
                <w:highlight w:val="none"/>
                <w:lang w:val="en-US" w:eastAsia="zh-CN"/>
              </w:rPr>
              <w:t>。本项目执行节约能源、保护环境、扶持不发达地区和少数民族地区节能环保产品优先采购等政府采购政策。根据豫财办【2020】33号文件要求，参加政府采购项目的中小微企业供应商，持中标（成交）通知书可向金融机构申请合同融资。详情请登录《河南省政府采购网》，进入网站或业务指南窗口了解金融机构提供的融资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1.1.6</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强制采购节能产品</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u w:val="single"/>
              </w:rPr>
            </w:pPr>
            <w:r>
              <w:rPr>
                <w:rFonts w:hint="eastAsia" w:ascii="宋体" w:hAnsi="宋体" w:eastAsia="宋体" w:cs="宋体"/>
                <w:spacing w:val="14"/>
                <w:sz w:val="24"/>
                <w:szCs w:val="24"/>
                <w:highlight w:val="none"/>
              </w:rPr>
              <w:t>本次招标强制采购的节能产品：</w:t>
            </w:r>
            <w:r>
              <w:rPr>
                <w:rFonts w:hint="eastAsia" w:ascii="宋体" w:hAnsi="宋体" w:eastAsia="宋体" w:cs="宋体"/>
                <w:spacing w:val="14"/>
                <w:sz w:val="24"/>
                <w:szCs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1.1.7</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政府采购管理部门备案编号</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汝政采-2023-778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1.1.8</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项目编号</w:t>
            </w:r>
          </w:p>
        </w:tc>
        <w:tc>
          <w:tcPr>
            <w:tcW w:w="6248" w:type="dxa"/>
            <w:tcBorders>
              <w:top w:val="single" w:color="auto" w:sz="4" w:space="0"/>
              <w:left w:val="nil"/>
              <w:bottom w:val="single" w:color="auto" w:sz="4" w:space="0"/>
              <w:right w:val="single" w:color="auto" w:sz="4" w:space="0"/>
            </w:tcBorders>
            <w:noWrap w:val="0"/>
            <w:vAlign w:val="center"/>
          </w:tcPr>
          <w:p>
            <w:pPr>
              <w:pStyle w:val="15"/>
              <w:ind w:left="0" w:leftChars="0" w:firstLine="0" w:firstLineChars="0"/>
              <w:jc w:val="left"/>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汝阳企采招标(2023)0247号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1.1.9</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标段划分</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lang w:eastAsia="zh-CN"/>
              </w:rPr>
            </w:pPr>
            <w:r>
              <w:rPr>
                <w:rFonts w:hint="eastAsia" w:ascii="宋体" w:hAnsi="宋体" w:eastAsia="宋体" w:cs="宋体"/>
                <w:spacing w:val="14"/>
                <w:sz w:val="24"/>
                <w:szCs w:val="24"/>
                <w:highlight w:val="none"/>
                <w:lang w:eastAsia="zh-CN"/>
              </w:rPr>
              <w:t>本项目共划分</w:t>
            </w:r>
            <w:r>
              <w:rPr>
                <w:rFonts w:hint="eastAsia" w:ascii="宋体" w:hAnsi="宋体" w:eastAsia="宋体" w:cs="宋体"/>
                <w:spacing w:val="14"/>
                <w:sz w:val="24"/>
                <w:szCs w:val="24"/>
                <w:highlight w:val="none"/>
                <w:lang w:val="en-US" w:eastAsia="zh-CN"/>
              </w:rPr>
              <w:t>1</w:t>
            </w:r>
            <w:r>
              <w:rPr>
                <w:rFonts w:hint="eastAsia" w:ascii="宋体" w:hAnsi="宋体" w:eastAsia="宋体" w:cs="宋体"/>
                <w:spacing w:val="14"/>
                <w:sz w:val="24"/>
                <w:szCs w:val="24"/>
                <w:highlight w:val="none"/>
                <w:lang w:eastAsia="zh-CN"/>
              </w:rPr>
              <w:t>个标段（包）。</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应就该项目进行完整投标，否则将不被接受。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1.1.10</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项目所在地</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eastAsia="zh-CN"/>
              </w:rPr>
              <w:t>洛阳市</w:t>
            </w:r>
            <w:r>
              <w:rPr>
                <w:rFonts w:hint="eastAsia" w:ascii="宋体" w:hAnsi="宋体" w:eastAsia="宋体" w:cs="宋体"/>
                <w:spacing w:val="14"/>
                <w:sz w:val="24"/>
                <w:szCs w:val="24"/>
                <w:highlight w:val="none"/>
              </w:rPr>
              <w:t>汝阳县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rPr>
              <w:t>资金来源</w:t>
            </w:r>
            <w:r>
              <w:rPr>
                <w:rFonts w:hint="eastAsia" w:ascii="宋体" w:hAnsi="宋体" w:eastAsia="宋体" w:cs="宋体"/>
                <w:spacing w:val="14"/>
                <w:sz w:val="24"/>
                <w:szCs w:val="24"/>
                <w:highlight w:val="none"/>
                <w:lang w:val="en-US" w:eastAsia="zh-CN"/>
              </w:rPr>
              <w:t>及</w:t>
            </w:r>
            <w:r>
              <w:rPr>
                <w:rFonts w:hint="eastAsia" w:ascii="宋体" w:hAnsi="宋体" w:eastAsia="宋体" w:cs="宋体"/>
                <w:spacing w:val="14"/>
                <w:sz w:val="24"/>
                <w:szCs w:val="24"/>
                <w:highlight w:val="none"/>
              </w:rPr>
              <w:t>预算金额</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eastAsia="zh-CN"/>
              </w:rPr>
              <w:t>自筹资金</w:t>
            </w:r>
            <w:r>
              <w:rPr>
                <w:rFonts w:hint="eastAsia" w:ascii="宋体" w:hAnsi="宋体" w:eastAsia="宋体" w:cs="宋体"/>
                <w:spacing w:val="14"/>
                <w:sz w:val="24"/>
                <w:szCs w:val="24"/>
                <w:highlight w:val="none"/>
              </w:rPr>
              <w:t>，</w:t>
            </w:r>
            <w:r>
              <w:rPr>
                <w:rFonts w:hint="eastAsia" w:ascii="宋体" w:hAnsi="宋体" w:eastAsia="宋体" w:cs="宋体"/>
                <w:spacing w:val="14"/>
                <w:sz w:val="24"/>
                <w:szCs w:val="24"/>
                <w:highlight w:val="none"/>
                <w:lang w:eastAsia="zh-CN"/>
              </w:rPr>
              <w:t>51388625.5</w:t>
            </w:r>
            <w:r>
              <w:rPr>
                <w:rFonts w:hint="eastAsia" w:ascii="宋体" w:hAnsi="宋体" w:eastAsia="宋体" w:cs="宋体"/>
                <w:spacing w:val="14"/>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1.2.2</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付款方式</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lang w:eastAsia="zh-CN"/>
              </w:rPr>
            </w:pPr>
            <w:r>
              <w:rPr>
                <w:rFonts w:hint="eastAsia" w:ascii="宋体" w:hAnsi="宋体" w:eastAsia="宋体" w:cs="宋体"/>
                <w:spacing w:val="14"/>
                <w:sz w:val="24"/>
                <w:szCs w:val="24"/>
                <w:highlight w:val="none"/>
                <w:lang w:eastAsia="zh-CN"/>
              </w:rPr>
              <w:t>由招标人付款。签订合同后，拨付项目预付款，比例不低于合同金额的40%（对于中小企业的拨付比例不低于合同金额的60%）；工程全部竣工并验收合格完毕后一次性付清尾款，具体以签订合同时约定为准。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1.3.1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lang w:eastAsia="zh-CN"/>
              </w:rPr>
            </w:pPr>
            <w:r>
              <w:rPr>
                <w:rFonts w:hint="eastAsia" w:ascii="宋体" w:hAnsi="宋体" w:eastAsia="宋体" w:cs="宋体"/>
                <w:spacing w:val="14"/>
                <w:sz w:val="24"/>
                <w:szCs w:val="24"/>
                <w:highlight w:val="none"/>
                <w:lang w:eastAsia="zh-CN"/>
              </w:rPr>
              <w:t>交货期</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val="en-US" w:eastAsia="zh-CN"/>
              </w:rPr>
              <w:t>60日历天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1.3.2</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质量要求</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符合国家及行业质量合格标准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lang w:eastAsia="zh-CN"/>
              </w:rPr>
            </w:pPr>
            <w:r>
              <w:rPr>
                <w:rFonts w:hint="eastAsia" w:ascii="宋体" w:hAnsi="宋体" w:eastAsia="宋体" w:cs="宋体"/>
                <w:spacing w:val="14"/>
                <w:sz w:val="24"/>
                <w:szCs w:val="24"/>
                <w:highlight w:val="none"/>
              </w:rPr>
              <w:t>1.3.</w:t>
            </w:r>
            <w:r>
              <w:rPr>
                <w:rFonts w:hint="eastAsia" w:ascii="宋体" w:hAnsi="宋体" w:eastAsia="宋体" w:cs="宋体"/>
                <w:spacing w:val="14"/>
                <w:sz w:val="24"/>
                <w:szCs w:val="24"/>
                <w:highlight w:val="none"/>
                <w:lang w:val="en-US" w:eastAsia="zh-CN"/>
              </w:rPr>
              <w:t>3</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交货地点</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采购人所在地，具体地点为采购人指定地点。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lang w:eastAsia="zh-CN"/>
              </w:rPr>
            </w:pPr>
            <w:r>
              <w:rPr>
                <w:rFonts w:hint="eastAsia" w:ascii="宋体" w:hAnsi="宋体" w:eastAsia="宋体" w:cs="宋体"/>
                <w:spacing w:val="14"/>
                <w:sz w:val="24"/>
                <w:szCs w:val="24"/>
                <w:highlight w:val="none"/>
              </w:rPr>
              <w:t>1.3.</w:t>
            </w:r>
            <w:r>
              <w:rPr>
                <w:rFonts w:hint="eastAsia" w:ascii="宋体" w:hAnsi="宋体" w:eastAsia="宋体" w:cs="宋体"/>
                <w:spacing w:val="14"/>
                <w:sz w:val="24"/>
                <w:szCs w:val="24"/>
                <w:highlight w:val="none"/>
                <w:lang w:val="en-US" w:eastAsia="zh-CN"/>
              </w:rPr>
              <w:t>4</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p>
          <w:p>
            <w:pPr>
              <w:pStyle w:val="15"/>
              <w:ind w:firstLine="0"/>
              <w:jc w:val="center"/>
              <w:outlineLvl w:val="9"/>
              <w:rPr>
                <w:rFonts w:hint="eastAsia" w:ascii="宋体" w:hAnsi="宋体" w:eastAsia="宋体" w:cs="宋体"/>
                <w:spacing w:val="14"/>
                <w:sz w:val="24"/>
                <w:szCs w:val="24"/>
                <w:highlight w:val="none"/>
              </w:rPr>
            </w:pPr>
          </w:p>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履约验收</w:t>
            </w:r>
          </w:p>
          <w:p>
            <w:pPr>
              <w:pStyle w:val="21"/>
              <w:outlineLvl w:val="9"/>
              <w:rPr>
                <w:rFonts w:hint="eastAsia" w:ascii="宋体" w:hAnsi="宋体" w:eastAsia="宋体" w:cs="宋体"/>
                <w:sz w:val="24"/>
                <w:szCs w:val="24"/>
                <w:highlight w:val="none"/>
              </w:rPr>
            </w:pPr>
          </w:p>
          <w:p>
            <w:pPr>
              <w:pStyle w:val="21"/>
              <w:ind w:firstLine="258"/>
              <w:jc w:val="left"/>
              <w:outlineLvl w:val="9"/>
              <w:rPr>
                <w:rFonts w:hint="eastAsia" w:ascii="宋体" w:hAnsi="宋体" w:eastAsia="宋体" w:cs="宋体"/>
                <w:sz w:val="24"/>
                <w:szCs w:val="24"/>
                <w:highlight w:val="none"/>
              </w:rPr>
            </w:pP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招标人根据国家有关规定、招标文件、中标</w:t>
            </w:r>
            <w:r>
              <w:rPr>
                <w:rFonts w:hint="eastAsia" w:ascii="宋体" w:hAnsi="宋体" w:eastAsia="宋体" w:cs="宋体"/>
                <w:spacing w:val="14"/>
                <w:sz w:val="24"/>
                <w:szCs w:val="24"/>
                <w:highlight w:val="none"/>
                <w:lang w:val="en-US" w:eastAsia="zh-CN"/>
              </w:rPr>
              <w:t>单位</w:t>
            </w:r>
            <w:r>
              <w:rPr>
                <w:rFonts w:hint="eastAsia" w:ascii="宋体" w:hAnsi="宋体" w:eastAsia="宋体" w:cs="宋体"/>
                <w:spacing w:val="14"/>
                <w:sz w:val="24"/>
                <w:szCs w:val="24"/>
                <w:highlight w:val="none"/>
              </w:rPr>
              <w:t>的投标文件以及合同约定的内容和验收标准进行验收，验收情况作为支付货款的依据。</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如有异议，以相关质量技术检验检测机构的检验结果为准，产生检验检测费用，该费用由过失方承担。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lang w:eastAsia="zh-CN"/>
              </w:rPr>
            </w:pPr>
            <w:r>
              <w:rPr>
                <w:rFonts w:hint="eastAsia" w:ascii="宋体" w:hAnsi="宋体" w:eastAsia="宋体" w:cs="宋体"/>
                <w:spacing w:val="14"/>
                <w:sz w:val="24"/>
                <w:szCs w:val="24"/>
                <w:highlight w:val="none"/>
              </w:rPr>
              <w:t>1.3.</w:t>
            </w:r>
            <w:r>
              <w:rPr>
                <w:rFonts w:hint="eastAsia" w:ascii="宋体" w:hAnsi="宋体" w:eastAsia="宋体" w:cs="宋体"/>
                <w:spacing w:val="14"/>
                <w:sz w:val="24"/>
                <w:szCs w:val="24"/>
                <w:highlight w:val="none"/>
                <w:lang w:val="en-US" w:eastAsia="zh-CN"/>
              </w:rPr>
              <w:t>5</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lang w:eastAsia="zh-CN"/>
              </w:rPr>
            </w:pPr>
            <w:r>
              <w:rPr>
                <w:rFonts w:hint="eastAsia" w:ascii="宋体" w:hAnsi="宋体" w:eastAsia="宋体" w:cs="宋体"/>
                <w:spacing w:val="14"/>
                <w:sz w:val="24"/>
                <w:szCs w:val="24"/>
                <w:highlight w:val="none"/>
              </w:rPr>
              <w:t>质保期及售后服务</w:t>
            </w:r>
            <w:r>
              <w:rPr>
                <w:rFonts w:hint="eastAsia" w:ascii="宋体" w:hAnsi="宋体" w:eastAsia="宋体" w:cs="宋体"/>
                <w:spacing w:val="14"/>
                <w:sz w:val="24"/>
                <w:szCs w:val="24"/>
                <w:highlight w:val="none"/>
                <w:lang w:eastAsia="zh-CN"/>
              </w:rPr>
              <w:t>期</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质保期：3年，质保期内对有瑕疵或不能修复的货物负责免费更换。</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val="en-US" w:eastAsia="zh-CN"/>
              </w:rPr>
              <w:t>售后服务期：终身售后，有完整的售后服务体系。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1.4.1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供应商资格要求</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1.4.2</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是否接受联合体投标</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1.4.3</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不得存在的其他情形</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（1）与采购人存在利害关系且可能影响招标公正性；</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（2）与本招标项目的其他</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为同一个单位负责人；</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（3）与本招标项目的其他</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存在直接控股；</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（4）为本招标项目提供整体设计、规范编制或者项目管理、监理、检测等服务；</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（5）为本招标项目的招标代理机构或与招标代理机构同为一个法定代表人；</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（6）被“中国政府采购”网站列入政府采购严重违法失信行为记录名单，投标文件中须相关截图，否则其投标将被否决；</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（7）因违法经营受到刑事处罚或者责令停产停业、吊销许可证或者执照、较大数额罚款等行政处罚；</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（8）进入清算程序，或被宣告破产，或其他丧失履约能力的情形；</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（9）在近三年内</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有行贿犯罪行为的；</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（10）法律法规或</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1.9.1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投标预备会</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1.9.2</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在投标预备会前提出问题</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lang w:eastAsia="zh-CN"/>
              </w:rPr>
            </w:pPr>
            <w:r>
              <w:rPr>
                <w:rFonts w:hint="eastAsia" w:ascii="宋体" w:hAnsi="宋体" w:eastAsia="宋体" w:cs="宋体"/>
                <w:spacing w:val="14"/>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1.10</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分包</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rPr>
              <w:fldChar w:fldCharType="begin"/>
            </w:r>
            <w:r>
              <w:rPr>
                <w:rFonts w:hint="eastAsia" w:ascii="宋体" w:hAnsi="宋体" w:eastAsia="宋体" w:cs="宋体"/>
                <w:spacing w:val="14"/>
                <w:sz w:val="24"/>
                <w:szCs w:val="24"/>
                <w:highlight w:val="none"/>
                <w:lang w:val="en-US" w:eastAsia="zh-CN"/>
              </w:rPr>
              <w:instrText xml:space="preserve"> eq \o\ac(□,√)</w:instrText>
            </w:r>
            <w:r>
              <w:rPr>
                <w:rFonts w:hint="eastAsia" w:ascii="宋体" w:hAnsi="宋体" w:eastAsia="宋体" w:cs="宋体"/>
                <w:spacing w:val="14"/>
                <w:sz w:val="24"/>
                <w:szCs w:val="24"/>
                <w:highlight w:val="none"/>
              </w:rPr>
              <w:fldChar w:fldCharType="end"/>
            </w:r>
            <w:r>
              <w:rPr>
                <w:rFonts w:hint="eastAsia" w:ascii="宋体" w:hAnsi="宋体" w:eastAsia="宋体" w:cs="宋体"/>
                <w:spacing w:val="14"/>
                <w:sz w:val="24"/>
                <w:szCs w:val="24"/>
                <w:highlight w:val="none"/>
                <w:lang w:val="en-US" w:eastAsia="zh-CN"/>
              </w:rPr>
              <w:t>允许；</w:t>
            </w:r>
          </w:p>
          <w:p>
            <w:pPr>
              <w:pStyle w:val="15"/>
              <w:ind w:firstLine="0"/>
              <w:jc w:val="left"/>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（1）招标人规定由分包人承担的工作：符合相关法律法规及发包人要求；</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val="en-US" w:eastAsia="zh-CN"/>
              </w:rPr>
              <w:t>（2）投标人拟分包的工作内容要求：非主体、非关键性工作允许分包，可分包专业工程承包人资格须严格按照国家相关法律、法规及相关规定执行，拟分包的专业工程须经招标人书面认可后方可进行分包。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1.11.1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实质性要求和条件</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b/>
                <w:bCs/>
                <w:spacing w:val="14"/>
                <w:sz w:val="24"/>
                <w:szCs w:val="24"/>
                <w:highlight w:val="none"/>
              </w:rPr>
            </w:pPr>
            <w:r>
              <w:rPr>
                <w:rFonts w:hint="eastAsia" w:ascii="宋体" w:hAnsi="宋体" w:eastAsia="宋体" w:cs="宋体"/>
                <w:b/>
                <w:bCs/>
                <w:spacing w:val="14"/>
                <w:sz w:val="24"/>
                <w:szCs w:val="24"/>
                <w:highlight w:val="none"/>
                <w:lang w:eastAsia="zh-CN"/>
              </w:rPr>
              <w:t>交货期</w:t>
            </w:r>
            <w:r>
              <w:rPr>
                <w:rFonts w:hint="eastAsia" w:ascii="宋体" w:hAnsi="宋体" w:eastAsia="宋体" w:cs="宋体"/>
                <w:b/>
                <w:bCs/>
                <w:spacing w:val="14"/>
                <w:sz w:val="24"/>
                <w:szCs w:val="24"/>
                <w:highlight w:val="none"/>
              </w:rPr>
              <w:t>；</w:t>
            </w:r>
          </w:p>
          <w:p>
            <w:pPr>
              <w:pStyle w:val="15"/>
              <w:ind w:firstLine="0"/>
              <w:jc w:val="left"/>
              <w:outlineLvl w:val="9"/>
              <w:rPr>
                <w:rFonts w:hint="eastAsia" w:ascii="宋体" w:hAnsi="宋体" w:eastAsia="宋体" w:cs="宋体"/>
                <w:b/>
                <w:bCs/>
                <w:spacing w:val="14"/>
                <w:sz w:val="24"/>
                <w:szCs w:val="24"/>
                <w:highlight w:val="none"/>
              </w:rPr>
            </w:pPr>
            <w:r>
              <w:rPr>
                <w:rFonts w:hint="eastAsia" w:ascii="宋体" w:hAnsi="宋体" w:eastAsia="宋体" w:cs="宋体"/>
                <w:b/>
                <w:bCs/>
                <w:spacing w:val="14"/>
                <w:sz w:val="24"/>
                <w:szCs w:val="24"/>
                <w:highlight w:val="none"/>
                <w:lang w:val="en-US" w:eastAsia="zh-CN"/>
              </w:rPr>
              <w:t>质量要求</w:t>
            </w:r>
            <w:r>
              <w:rPr>
                <w:rFonts w:hint="eastAsia" w:ascii="宋体" w:hAnsi="宋体" w:eastAsia="宋体" w:cs="宋体"/>
                <w:b/>
                <w:bCs/>
                <w:spacing w:val="14"/>
                <w:sz w:val="24"/>
                <w:szCs w:val="24"/>
                <w:highlight w:val="none"/>
              </w:rPr>
              <w:t>；</w:t>
            </w:r>
          </w:p>
          <w:p>
            <w:pPr>
              <w:pStyle w:val="15"/>
              <w:ind w:firstLine="0"/>
              <w:jc w:val="left"/>
              <w:outlineLvl w:val="9"/>
              <w:rPr>
                <w:rFonts w:hint="eastAsia" w:ascii="宋体" w:hAnsi="宋体" w:eastAsia="宋体" w:cs="宋体"/>
                <w:b/>
                <w:bCs/>
                <w:spacing w:val="14"/>
                <w:sz w:val="24"/>
                <w:szCs w:val="24"/>
                <w:highlight w:val="none"/>
              </w:rPr>
            </w:pPr>
            <w:r>
              <w:rPr>
                <w:rFonts w:hint="eastAsia" w:ascii="宋体" w:hAnsi="宋体" w:eastAsia="宋体" w:cs="宋体"/>
                <w:b/>
                <w:bCs/>
                <w:spacing w:val="14"/>
                <w:sz w:val="24"/>
                <w:szCs w:val="24"/>
                <w:highlight w:val="none"/>
              </w:rPr>
              <w:t>质保期及售后服务；</w:t>
            </w:r>
          </w:p>
          <w:p>
            <w:pPr>
              <w:pStyle w:val="15"/>
              <w:ind w:firstLine="0"/>
              <w:jc w:val="left"/>
              <w:outlineLvl w:val="9"/>
              <w:rPr>
                <w:rFonts w:hint="eastAsia" w:ascii="宋体" w:hAnsi="宋体" w:eastAsia="宋体" w:cs="宋体"/>
                <w:b/>
                <w:bCs/>
                <w:spacing w:val="14"/>
                <w:sz w:val="24"/>
                <w:szCs w:val="24"/>
                <w:highlight w:val="none"/>
                <w:lang w:eastAsia="zh-CN"/>
              </w:rPr>
            </w:pPr>
            <w:r>
              <w:rPr>
                <w:rFonts w:hint="eastAsia" w:ascii="宋体" w:hAnsi="宋体" w:eastAsia="宋体" w:cs="宋体"/>
                <w:b/>
                <w:bCs/>
                <w:spacing w:val="14"/>
                <w:sz w:val="24"/>
                <w:szCs w:val="24"/>
                <w:highlight w:val="none"/>
                <w:lang w:eastAsia="zh-CN"/>
              </w:rPr>
              <w:t>付款方式；</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b/>
                <w:bCs/>
                <w:spacing w:val="14"/>
                <w:sz w:val="24"/>
                <w:szCs w:val="24"/>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1.11.3</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其他可以被接受的技术支持资料</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1.11.4</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偏差</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构成招标文件的其他资料</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2.2.1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提出问题或要求澄清招标文件的截止时间</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提交投标文件截止时间</w:t>
            </w:r>
            <w:r>
              <w:rPr>
                <w:rFonts w:hint="eastAsia" w:ascii="宋体" w:hAnsi="宋体" w:eastAsia="宋体" w:cs="宋体"/>
                <w:spacing w:val="14"/>
                <w:sz w:val="24"/>
                <w:szCs w:val="24"/>
                <w:highlight w:val="none"/>
                <w:lang w:val="en-US" w:eastAsia="zh-CN"/>
              </w:rPr>
              <w:t>10</w:t>
            </w:r>
            <w:r>
              <w:rPr>
                <w:rFonts w:hint="eastAsia" w:ascii="宋体" w:hAnsi="宋体" w:eastAsia="宋体" w:cs="宋体"/>
                <w:spacing w:val="14"/>
                <w:sz w:val="24"/>
                <w:szCs w:val="24"/>
                <w:highlight w:val="none"/>
              </w:rPr>
              <w:t>日前，由</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在洛阳市电子招投标交易平台上进行提问。</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在投标截止时间前</w:t>
            </w:r>
            <w:r>
              <w:rPr>
                <w:rFonts w:hint="eastAsia" w:ascii="宋体" w:hAnsi="宋体" w:eastAsia="宋体" w:cs="宋体"/>
                <w:spacing w:val="14"/>
                <w:sz w:val="24"/>
                <w:szCs w:val="24"/>
                <w:highlight w:val="none"/>
                <w:lang w:val="en-US" w:eastAsia="zh-CN"/>
              </w:rPr>
              <w:t>10</w:t>
            </w:r>
            <w:r>
              <w:rPr>
                <w:rFonts w:hint="eastAsia" w:ascii="宋体" w:hAnsi="宋体" w:eastAsia="宋体" w:cs="宋体"/>
                <w:spacing w:val="14"/>
                <w:sz w:val="24"/>
                <w:szCs w:val="24"/>
                <w:highlight w:val="none"/>
              </w:rPr>
              <w:t>日内，采购人、采购代理机构不再受理</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提出的问题。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2.2.2</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招标文件澄清、修改发出的形式</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招标文</w:t>
            </w:r>
            <w:r>
              <w:rPr>
                <w:rFonts w:hint="eastAsia" w:ascii="宋体" w:hAnsi="宋体" w:eastAsia="宋体" w:cs="宋体"/>
                <w:spacing w:val="14"/>
                <w:sz w:val="24"/>
                <w:szCs w:val="24"/>
                <w:highlight w:val="none"/>
                <w:lang w:val="en-US" w:eastAsia="zh-CN"/>
              </w:rPr>
              <w:t>件的澄清、修改将在《河南省政府采购网》、《中国招标投标公共服务平台》及《全国公共资源交易平台（河南省·洛阳市）》上发布“变更公告”，如需修改招标文件，则同时在洛阳市电子招投标</w:t>
            </w:r>
            <w:r>
              <w:rPr>
                <w:rFonts w:hint="eastAsia" w:ascii="宋体" w:hAnsi="宋体" w:eastAsia="宋体" w:cs="宋体"/>
                <w:spacing w:val="14"/>
                <w:sz w:val="24"/>
                <w:szCs w:val="24"/>
                <w:highlight w:val="none"/>
              </w:rPr>
              <w:t>交易平台发布“答疑文件”（答疑文件指修改后最新的招标文件）。对于各项目中已经成功报名并下载招标文件的</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，将通过第三方短信群发方式提醒</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进行查询。各</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须重新下载最新的“答疑文件”，并以此编制投标文件。如不以最新发布的“答疑文件”编制投标文件，造成投标无效的后果由</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自己承担。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3.1.1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构成投标文件的其他资料</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3.1.2</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lang w:eastAsia="zh-CN"/>
              </w:rPr>
            </w:pPr>
            <w:r>
              <w:rPr>
                <w:rFonts w:hint="eastAsia" w:ascii="宋体" w:hAnsi="宋体" w:eastAsia="宋体" w:cs="宋体"/>
                <w:spacing w:val="14"/>
                <w:sz w:val="24"/>
                <w:szCs w:val="24"/>
                <w:highlight w:val="none"/>
                <w:lang w:eastAsia="zh-CN"/>
              </w:rPr>
              <w:t>报价方式</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lang w:eastAsia="zh-CN"/>
              </w:rPr>
            </w:pPr>
            <w:r>
              <w:rPr>
                <w:rFonts w:hint="eastAsia" w:ascii="宋体" w:hAnsi="宋体" w:eastAsia="宋体" w:cs="宋体"/>
                <w:spacing w:val="14"/>
                <w:sz w:val="24"/>
                <w:szCs w:val="24"/>
                <w:highlight w:val="none"/>
                <w:lang w:eastAsia="zh-CN"/>
              </w:rPr>
              <w:t>固定总价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3.2.4</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预算控制金额</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eastAsia="zh-CN"/>
              </w:rPr>
              <w:t>51388625.5</w:t>
            </w:r>
            <w:r>
              <w:rPr>
                <w:rFonts w:hint="eastAsia" w:ascii="宋体" w:hAnsi="宋体" w:eastAsia="宋体" w:cs="宋体"/>
                <w:spacing w:val="14"/>
                <w:sz w:val="24"/>
                <w:szCs w:val="24"/>
                <w:highlight w:val="none"/>
              </w:rPr>
              <w:t xml:space="preserve"> 元；</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lang w:val="en-US" w:eastAsia="zh-CN"/>
              </w:rPr>
              <w:t>的</w:t>
            </w:r>
            <w:r>
              <w:rPr>
                <w:rFonts w:hint="eastAsia" w:ascii="宋体" w:hAnsi="宋体" w:eastAsia="宋体" w:cs="宋体"/>
                <w:spacing w:val="14"/>
                <w:sz w:val="24"/>
                <w:szCs w:val="24"/>
                <w:highlight w:val="none"/>
              </w:rPr>
              <w:t>投标报价超过本预算控制金额的，其投标将被否决。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3.2.5</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投标报价的其他要求</w:t>
            </w:r>
          </w:p>
        </w:tc>
        <w:tc>
          <w:tcPr>
            <w:tcW w:w="6248" w:type="dxa"/>
            <w:tcBorders>
              <w:top w:val="single" w:color="auto" w:sz="4" w:space="0"/>
              <w:left w:val="nil"/>
              <w:bottom w:val="single" w:color="auto" w:sz="4" w:space="0"/>
              <w:right w:val="single" w:color="auto" w:sz="4" w:space="0"/>
            </w:tcBorders>
            <w:noWrap w:val="0"/>
            <w:vAlign w:val="center"/>
          </w:tcPr>
          <w:p>
            <w:pPr>
              <w:pStyle w:val="21"/>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投标报价是履行合同的最终报价，无特别注明，均为人民币报价。应包括本招标项目所包含的货物、软件、标准附件、备品备件、专用工具、图纸资料、技术服务，包装、仓储、运输、装卸、保险、税金，货到就位以及安装、调试、培训、保修等一切税金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3.3.1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投标有效期</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提交投标文件截止时间后90天，有效期短于该期限的投标将被拒绝。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3.4.1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投标保证金</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本项目无需缴纳投标保证金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3.4.4</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其他可以不予退还投标保证金的情形</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3.5.3</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资格审查资料的特殊要求</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3.6.1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是否允许提交备选投标方案</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4.1.1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封套上的密封和标记</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4.2.1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投标截止时间</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4.2.2</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提交投标文件地点</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4.2.3</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投标文件份数及其他要求</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电子投标文件加密版 1份。在投标截止时间前通过全国公共资源交易平台（河南省·洛阳市）系统中在线完成上传加密的电子投标文件。（本项目实行全流程电子化交易，不接受纸质投标文件。）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4.2.5</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投标文件上传问题联系方式</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z w:val="24"/>
                <w:szCs w:val="24"/>
                <w:highlight w:val="none"/>
              </w:rPr>
            </w:pP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因洛阳市电子招投标交易平台问题无法上传电子投标文件时，请在工作时间与交易中心联系。联系方式：400-998-0000；0379-69921055。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4.2.6</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投标文件是否退还</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开标时间和地点</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开标时间：同投标截止时间</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开标地点：同提交投标文件地点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5.3</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开标异议</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现场提出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6.1.1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评标委员会的组建</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评标委员会构成：</w:t>
            </w:r>
            <w:r>
              <w:rPr>
                <w:rFonts w:hint="eastAsia" w:ascii="宋体" w:hAnsi="宋体" w:eastAsia="宋体" w:cs="宋体"/>
                <w:spacing w:val="14"/>
                <w:sz w:val="24"/>
                <w:szCs w:val="24"/>
                <w:highlight w:val="none"/>
                <w:u w:val="single" w:color="000000"/>
                <w:lang w:val="en-US" w:eastAsia="zh-CN"/>
              </w:rPr>
              <w:t>7</w:t>
            </w:r>
            <w:r>
              <w:rPr>
                <w:rFonts w:hint="eastAsia" w:ascii="宋体" w:hAnsi="宋体" w:eastAsia="宋体" w:cs="宋体"/>
                <w:spacing w:val="14"/>
                <w:sz w:val="24"/>
                <w:szCs w:val="24"/>
                <w:highlight w:val="none"/>
              </w:rPr>
              <w:t>人</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其中由招标人代表</w:t>
            </w:r>
            <w:r>
              <w:rPr>
                <w:rFonts w:hint="eastAsia" w:ascii="宋体" w:hAnsi="宋体" w:eastAsia="宋体" w:cs="宋体"/>
                <w:spacing w:val="14"/>
                <w:sz w:val="24"/>
                <w:szCs w:val="24"/>
                <w:highlight w:val="none"/>
                <w:u w:val="single"/>
                <w:lang w:val="en-US" w:eastAsia="zh-CN"/>
              </w:rPr>
              <w:t>2</w:t>
            </w:r>
            <w:r>
              <w:rPr>
                <w:rFonts w:hint="eastAsia" w:ascii="宋体" w:hAnsi="宋体" w:eastAsia="宋体" w:cs="宋体"/>
                <w:spacing w:val="14"/>
                <w:sz w:val="24"/>
                <w:szCs w:val="24"/>
                <w:highlight w:val="none"/>
              </w:rPr>
              <w:t>名及相关专家库中随机抽取专家</w:t>
            </w:r>
            <w:r>
              <w:rPr>
                <w:rFonts w:hint="eastAsia" w:ascii="宋体" w:hAnsi="宋体" w:eastAsia="宋体" w:cs="宋体"/>
                <w:spacing w:val="14"/>
                <w:sz w:val="24"/>
                <w:szCs w:val="24"/>
                <w:highlight w:val="none"/>
                <w:u w:val="single"/>
                <w:lang w:val="en-US" w:eastAsia="zh-CN"/>
              </w:rPr>
              <w:t>5</w:t>
            </w:r>
            <w:r>
              <w:rPr>
                <w:rFonts w:hint="eastAsia" w:ascii="宋体" w:hAnsi="宋体" w:eastAsia="宋体" w:cs="宋体"/>
                <w:spacing w:val="14"/>
                <w:sz w:val="24"/>
                <w:szCs w:val="24"/>
                <w:highlight w:val="none"/>
              </w:rPr>
              <w:t>人组成或者</w:t>
            </w:r>
            <w:r>
              <w:rPr>
                <w:rFonts w:hint="eastAsia" w:ascii="宋体" w:hAnsi="宋体" w:eastAsia="宋体" w:cs="宋体"/>
                <w:spacing w:val="14"/>
                <w:sz w:val="24"/>
                <w:szCs w:val="24"/>
                <w:highlight w:val="none"/>
                <w:lang w:val="en-US" w:eastAsia="zh-CN"/>
              </w:rPr>
              <w:t>直接</w:t>
            </w:r>
            <w:r>
              <w:rPr>
                <w:rFonts w:hint="eastAsia" w:ascii="宋体" w:hAnsi="宋体" w:eastAsia="宋体" w:cs="宋体"/>
                <w:spacing w:val="14"/>
                <w:sz w:val="24"/>
                <w:szCs w:val="24"/>
                <w:highlight w:val="none"/>
              </w:rPr>
              <w:t>随机抽取专家</w:t>
            </w:r>
            <w:r>
              <w:rPr>
                <w:rFonts w:hint="eastAsia" w:ascii="宋体" w:hAnsi="宋体" w:eastAsia="宋体" w:cs="宋体"/>
                <w:spacing w:val="14"/>
                <w:sz w:val="24"/>
                <w:szCs w:val="24"/>
                <w:highlight w:val="none"/>
                <w:u w:val="single"/>
                <w:lang w:val="en-US" w:eastAsia="zh-CN"/>
              </w:rPr>
              <w:t>7</w:t>
            </w:r>
            <w:r>
              <w:rPr>
                <w:rFonts w:hint="eastAsia" w:ascii="宋体" w:hAnsi="宋体" w:eastAsia="宋体" w:cs="宋体"/>
                <w:spacing w:val="14"/>
                <w:sz w:val="24"/>
                <w:szCs w:val="24"/>
                <w:highlight w:val="none"/>
              </w:rPr>
              <w:t>人组成。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6.3.2</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评标委员会推荐中标候选人的人数</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u w:val="single" w:color="000000"/>
              </w:rPr>
              <w:t xml:space="preserve"> 3</w:t>
            </w:r>
            <w:r>
              <w:rPr>
                <w:rFonts w:hint="eastAsia" w:ascii="宋体" w:hAnsi="宋体" w:eastAsia="宋体" w:cs="宋体"/>
                <w:spacing w:val="14"/>
                <w:sz w:val="24"/>
                <w:szCs w:val="24"/>
                <w:highlight w:val="none"/>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7.1.1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是否授权评标委员会确定中标人</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7.1.2</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定标原则</w:t>
            </w:r>
          </w:p>
        </w:tc>
        <w:tc>
          <w:tcPr>
            <w:tcW w:w="6248" w:type="dxa"/>
            <w:tcBorders>
              <w:top w:val="single" w:color="auto" w:sz="4" w:space="0"/>
              <w:left w:val="nil"/>
              <w:bottom w:val="single" w:color="auto" w:sz="4" w:space="0"/>
              <w:right w:val="single" w:color="auto" w:sz="4" w:space="0"/>
            </w:tcBorders>
            <w:noWrap w:val="0"/>
            <w:vAlign w:val="center"/>
          </w:tcPr>
          <w:p>
            <w:pPr>
              <w:pStyle w:val="33"/>
              <w:ind w:firstLine="0"/>
              <w:outlineLvl w:val="9"/>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评标委员会根据评标排列顺序推荐第一名、第二名、第三名为中标候选人，并确定第一名为中标人。得分相同的，按投标报价由低到高顺序排列。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7.2</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中标结果公布媒介及期限</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公布媒介：《河南省政府采购网》</w:t>
            </w:r>
            <w:r>
              <w:rPr>
                <w:rFonts w:hint="eastAsia" w:ascii="宋体" w:hAnsi="宋体" w:eastAsia="宋体" w:cs="宋体"/>
                <w:spacing w:val="14"/>
                <w:sz w:val="24"/>
                <w:szCs w:val="24"/>
                <w:highlight w:val="none"/>
                <w:lang w:eastAsia="zh-CN"/>
              </w:rPr>
              <w:t>、</w:t>
            </w:r>
            <w:r>
              <w:rPr>
                <w:rFonts w:hint="eastAsia" w:ascii="宋体" w:hAnsi="宋体" w:eastAsia="宋体" w:cs="宋体"/>
                <w:spacing w:val="14"/>
                <w:sz w:val="24"/>
                <w:szCs w:val="24"/>
                <w:highlight w:val="none"/>
              </w:rPr>
              <w:t>《中国招标投标公共服务平台》及《全国公共资源交易平台（河南省·洛阳市）》上公布。</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公告期限：1个工作日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7.4.1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履约保证金</w:t>
            </w:r>
          </w:p>
        </w:tc>
        <w:tc>
          <w:tcPr>
            <w:tcW w:w="6248" w:type="dxa"/>
            <w:tcBorders>
              <w:top w:val="single" w:color="auto" w:sz="4" w:space="0"/>
              <w:left w:val="nil"/>
              <w:bottom w:val="single" w:color="auto" w:sz="4" w:space="0"/>
              <w:right w:val="single" w:color="auto" w:sz="4" w:space="0"/>
            </w:tcBorders>
            <w:noWrap w:val="0"/>
            <w:vAlign w:val="center"/>
          </w:tcPr>
          <w:p>
            <w:pPr>
              <w:pStyle w:val="21"/>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☑否，根据洛政办〔2021〕39号文《</w:t>
            </w:r>
            <w:r>
              <w:rPr>
                <w:rFonts w:hint="eastAsia" w:ascii="宋体" w:hAnsi="宋体" w:eastAsia="宋体" w:cs="宋体"/>
                <w:bCs/>
                <w:spacing w:val="14"/>
                <w:sz w:val="24"/>
                <w:szCs w:val="24"/>
                <w:highlight w:val="none"/>
              </w:rPr>
              <w:t>关于印发洛阳市进一步优化营商环境更好服务市场主体若干措施的通知</w:t>
            </w:r>
            <w:r>
              <w:rPr>
                <w:rFonts w:hint="eastAsia" w:ascii="宋体" w:hAnsi="宋体" w:eastAsia="宋体" w:cs="宋体"/>
                <w:spacing w:val="14"/>
                <w:sz w:val="24"/>
                <w:szCs w:val="24"/>
                <w:highlight w:val="none"/>
              </w:rPr>
              <w:t>》，本项目免收履约保证金。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8.5.2</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质疑函的递交方式</w:t>
            </w:r>
          </w:p>
        </w:tc>
        <w:tc>
          <w:tcPr>
            <w:tcW w:w="6248" w:type="dxa"/>
            <w:tcBorders>
              <w:top w:val="single" w:color="auto" w:sz="4" w:space="0"/>
              <w:left w:val="nil"/>
              <w:bottom w:val="single" w:color="auto" w:sz="4" w:space="0"/>
              <w:right w:val="single" w:color="auto" w:sz="4" w:space="0"/>
            </w:tcBorders>
            <w:noWrap w:val="0"/>
            <w:vAlign w:val="center"/>
          </w:tcPr>
          <w:p>
            <w:pPr>
              <w:pStyle w:val="21"/>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质疑函应当面递交；因情况特殊而邮寄的，交邮前应通知采购人、采购代理机构。接受质疑函的采购人、采购代理机构的联系部门、联系电话和通讯地址详见本项目招标公告和供应商须知前附表。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9</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样品</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本项目无需提供样品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10</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相同品牌产品投标的处理</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同一</w:t>
            </w:r>
            <w:r>
              <w:rPr>
                <w:rFonts w:hint="eastAsia" w:ascii="宋体" w:hAnsi="宋体" w:eastAsia="宋体" w:cs="宋体"/>
                <w:spacing w:val="14"/>
                <w:sz w:val="24"/>
                <w:szCs w:val="24"/>
                <w:highlight w:val="none"/>
                <w:lang w:val="en-US" w:eastAsia="zh-CN"/>
              </w:rPr>
              <w:t>项目</w:t>
            </w:r>
            <w:r>
              <w:rPr>
                <w:rFonts w:hint="eastAsia" w:ascii="宋体" w:hAnsi="宋体" w:eastAsia="宋体" w:cs="宋体"/>
                <w:spacing w:val="14"/>
                <w:sz w:val="24"/>
                <w:szCs w:val="24"/>
                <w:highlight w:val="none"/>
              </w:rPr>
              <w:t>中，提供相同品牌产品且通过资格审查、符合性审查的不同</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参加同一标段投标的，按一家</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计算，评审后得分最高的同品牌</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获得中标人推荐资格；评审得分相同的，投标报价最低的</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获得中标人推荐资格，投标报价也相同的，由评标委员会投票决定。非单一产品采购项目中，多家</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提供的核心产品品牌相同的，视为提供相同品牌产品。</w:t>
            </w:r>
          </w:p>
          <w:p>
            <w:pPr>
              <w:pStyle w:val="15"/>
              <w:ind w:firstLine="0"/>
              <w:jc w:val="left"/>
              <w:outlineLvl w:val="9"/>
              <w:rPr>
                <w:rFonts w:hint="eastAsia" w:ascii="宋体" w:hAnsi="宋体" w:eastAsia="宋体" w:cs="宋体"/>
                <w:spacing w:val="14"/>
                <w:sz w:val="24"/>
                <w:szCs w:val="24"/>
                <w:highlight w:val="none"/>
                <w:lang w:eastAsia="zh-CN"/>
              </w:rPr>
            </w:pPr>
            <w:r>
              <w:rPr>
                <w:rFonts w:hint="eastAsia" w:ascii="宋体" w:hAnsi="宋体" w:eastAsia="宋体" w:cs="宋体"/>
                <w:spacing w:val="14"/>
                <w:sz w:val="24"/>
                <w:szCs w:val="24"/>
                <w:highlight w:val="none"/>
              </w:rPr>
              <w:t>本</w:t>
            </w:r>
            <w:r>
              <w:rPr>
                <w:rFonts w:hint="eastAsia" w:ascii="宋体" w:hAnsi="宋体" w:eastAsia="宋体" w:cs="宋体"/>
                <w:spacing w:val="14"/>
                <w:sz w:val="24"/>
                <w:szCs w:val="24"/>
                <w:highlight w:val="none"/>
                <w:lang w:val="en-US" w:eastAsia="zh-CN"/>
              </w:rPr>
              <w:t>次</w:t>
            </w:r>
            <w:r>
              <w:rPr>
                <w:rFonts w:hint="eastAsia" w:ascii="宋体" w:hAnsi="宋体" w:eastAsia="宋体" w:cs="宋体"/>
                <w:spacing w:val="14"/>
                <w:sz w:val="24"/>
                <w:szCs w:val="24"/>
                <w:highlight w:val="none"/>
              </w:rPr>
              <w:t>招标项目的核心产品为</w:t>
            </w:r>
            <w:r>
              <w:rPr>
                <w:rFonts w:hint="eastAsia" w:ascii="宋体" w:hAnsi="宋体" w:eastAsia="宋体" w:cs="宋体"/>
                <w:spacing w:val="14"/>
                <w:sz w:val="24"/>
                <w:szCs w:val="24"/>
                <w:highlight w:val="none"/>
                <w:lang w:val="en-US" w:eastAsia="zh-CN"/>
              </w:rPr>
              <w:t>：</w:t>
            </w:r>
            <w:r>
              <w:rPr>
                <w:rFonts w:hint="eastAsia" w:ascii="宋体" w:hAnsi="宋体" w:eastAsia="宋体" w:cs="宋体"/>
                <w:spacing w:val="14"/>
                <w:sz w:val="24"/>
                <w:szCs w:val="24"/>
                <w:highlight w:val="none"/>
                <w:u w:val="single"/>
                <w:lang w:val="en-US" w:eastAsia="zh-CN"/>
              </w:rPr>
              <w:t>一体式直流充电桩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需要补充的其他内容</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本次采购代理服务费参考洛阳市市级政府采购代理服务费收取标准</w:t>
            </w:r>
            <w:r>
              <w:rPr>
                <w:rFonts w:hint="eastAsia" w:ascii="宋体" w:hAnsi="宋体" w:eastAsia="宋体" w:cs="宋体"/>
                <w:spacing w:val="14"/>
                <w:sz w:val="24"/>
                <w:szCs w:val="24"/>
                <w:highlight w:val="none"/>
                <w:lang w:eastAsia="zh-CN"/>
              </w:rPr>
              <w:t>，</w:t>
            </w:r>
            <w:r>
              <w:rPr>
                <w:rFonts w:hint="eastAsia" w:ascii="宋体" w:hAnsi="宋体" w:eastAsia="宋体" w:cs="宋体"/>
                <w:spacing w:val="14"/>
                <w:sz w:val="24"/>
                <w:szCs w:val="24"/>
                <w:highlight w:val="none"/>
              </w:rPr>
              <w:t>由中标单位</w:t>
            </w:r>
            <w:r>
              <w:rPr>
                <w:rFonts w:hint="eastAsia" w:ascii="宋体" w:hAnsi="宋体" w:eastAsia="宋体" w:cs="宋体"/>
                <w:spacing w:val="14"/>
                <w:sz w:val="24"/>
                <w:szCs w:val="24"/>
                <w:highlight w:val="none"/>
                <w:lang w:eastAsia="zh-CN"/>
              </w:rPr>
              <w:t>向代理机构</w:t>
            </w:r>
            <w:r>
              <w:rPr>
                <w:rFonts w:hint="eastAsia" w:ascii="宋体" w:hAnsi="宋体" w:eastAsia="宋体" w:cs="宋体"/>
                <w:spacing w:val="14"/>
                <w:sz w:val="24"/>
                <w:szCs w:val="24"/>
                <w:highlight w:val="none"/>
              </w:rPr>
              <w:t>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w:t>
            </w:r>
          </w:p>
        </w:tc>
        <w:tc>
          <w:tcPr>
            <w:tcW w:w="1986" w:type="dxa"/>
            <w:tcBorders>
              <w:top w:val="single" w:color="auto" w:sz="4" w:space="0"/>
              <w:left w:val="nil"/>
              <w:bottom w:val="single" w:color="auto" w:sz="4" w:space="0"/>
              <w:right w:val="single" w:color="auto" w:sz="4" w:space="0"/>
            </w:tcBorders>
            <w:noWrap w:val="0"/>
            <w:vAlign w:val="center"/>
          </w:tcPr>
          <w:p>
            <w:pPr>
              <w:pStyle w:val="15"/>
              <w:ind w:firstLine="0"/>
              <w:jc w:val="center"/>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监督部门及电话</w:t>
            </w:r>
          </w:p>
        </w:tc>
        <w:tc>
          <w:tcPr>
            <w:tcW w:w="6248" w:type="dxa"/>
            <w:tcBorders>
              <w:top w:val="single" w:color="auto" w:sz="4" w:space="0"/>
              <w:left w:val="nil"/>
              <w:bottom w:val="single" w:color="auto" w:sz="4" w:space="0"/>
              <w:right w:val="single" w:color="auto" w:sz="4" w:space="0"/>
            </w:tcBorders>
            <w:noWrap w:val="0"/>
            <w:vAlign w:val="center"/>
          </w:tcPr>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监管部门：汝阳县财政局</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监管部门联系人：汝阳县财政局</w:t>
            </w:r>
          </w:p>
          <w:p>
            <w:pPr>
              <w:pStyle w:val="15"/>
              <w:ind w:firstLine="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监管部门联系方式：0379-68210917 </w:t>
            </w:r>
          </w:p>
        </w:tc>
      </w:tr>
    </w:tbl>
    <w:p>
      <w:pPr>
        <w:pStyle w:val="34"/>
        <w:spacing w:before="0" w:after="0" w:line="240" w:lineRule="auto"/>
        <w:ind w:firstLine="418" w:firstLineChars="200"/>
        <w:jc w:val="left"/>
        <w:outlineLvl w:val="9"/>
        <w:rPr>
          <w:rFonts w:hint="eastAsia" w:ascii="宋体" w:hAnsi="宋体" w:eastAsia="宋体" w:cs="宋体"/>
          <w:sz w:val="24"/>
          <w:szCs w:val="24"/>
          <w:highlight w:val="none"/>
        </w:rPr>
      </w:pPr>
      <w:bookmarkStart w:id="18" w:name="_Toc256000031"/>
      <w:bookmarkStart w:id="19" w:name="_Toc256000071"/>
      <w:bookmarkStart w:id="20" w:name="_Toc256000005"/>
      <w:bookmarkStart w:id="21" w:name="_Toc256000008"/>
      <w:r>
        <w:rPr>
          <w:rFonts w:hint="eastAsia" w:ascii="宋体" w:hAnsi="宋体" w:eastAsia="宋体" w:cs="宋体"/>
          <w:sz w:val="24"/>
          <w:szCs w:val="24"/>
          <w:highlight w:val="none"/>
        </w:rPr>
        <w:t>1、总则</w:t>
      </w:r>
      <w:bookmarkEnd w:id="18"/>
      <w:bookmarkEnd w:id="19"/>
      <w:bookmarkEnd w:id="20"/>
      <w:bookmarkEnd w:id="21"/>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1.1招标项目概况</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1.1.1根据《中华人民共和国政府采购法》、《中华人民共和国政府采购法实施条例》等有关法律、法规和规章的规定，本招标项目已具备招标条件，现进行招标。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1.1.2 采购人：见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1.1.3 采购代理机构：见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1.1.4 招标项目名称：见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1.1.5落实政府采购政策要求</w:t>
      </w:r>
      <w:r>
        <w:rPr>
          <w:rFonts w:hint="eastAsia" w:ascii="宋体" w:hAnsi="宋体" w:eastAsia="宋体" w:cs="宋体"/>
          <w:spacing w:val="14"/>
          <w:sz w:val="24"/>
          <w:szCs w:val="24"/>
          <w:highlight w:val="none"/>
          <w:lang w:eastAsia="zh-CN"/>
        </w:rPr>
        <w:t>：</w:t>
      </w:r>
      <w:r>
        <w:rPr>
          <w:rFonts w:hint="eastAsia" w:ascii="宋体" w:hAnsi="宋体" w:eastAsia="宋体" w:cs="宋体"/>
          <w:spacing w:val="14"/>
          <w:sz w:val="24"/>
          <w:szCs w:val="24"/>
          <w:highlight w:val="none"/>
        </w:rPr>
        <w:t xml:space="preserve"> 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（1）如果本项目报经政府采购管理部门批准允许采购进口产品，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可投进口产品，也可投国产产品。但进口货物及其有关服务必须符合原产地和/或中华人民共和国的设计和制造生产标准或行业标准。进口的货物必须具有合法的进口手续和途径，并通过中华人民共和国商检部门检验。</w:t>
      </w:r>
    </w:p>
    <w:p>
      <w:pPr>
        <w:pStyle w:val="15"/>
        <w:ind w:firstLine="474" w:firstLineChars="200"/>
        <w:jc w:val="left"/>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（2）本项目执行财政部、工业和信息化部《政府采购促进中小企业发展管理办法》(财库(2020] 46号)的规定。本项目支持中小微（监狱、残疾人福利性单位）企业，对供应商所提供的小微企业生产的产品的价格给予10%的扣除，用扣除后的价格参加评审。监狱企业、残疾人福利性单位视同小型、微型企业。所属行业：建筑业或工业或其他未列明行业</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在货物采购项目中，货物由中小企业制造，即货物由中小企业生产且使用该中小企业商号或者注册商标；</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提供的货物既有中小企业制造货物，也有大型企业制造货物的，不享受本办法规定的中小企业扶持政策。</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非专门面向中小企业采购的采购项目(采购包)对符合《政府采购促进中小企业发展管理办法》规定的小微企业报价给予扣除(扣除比例详见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须知前附表)；专门面向中小企业采购的采购项目(采购包)，不执行价格扣除政策。</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(3)根据财政部司法部《关于政府采购支持监狱企业发展有关问题的通知》 (财库(2014) 68号)规定，监狱企业视同小型、微型企业，享受评审中价格扣除等政府采购促进中小企业发展的政府采购政策。</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根据财政部民政部中国残疾人联合会《关于促进残疾人就业政府采购政策的通知》(财库(2017)141号)规定，残疾人福利性单位视同小型、微型企业，享受评审中价格扣除等政府采购促进中小企业发展的政府采购政策。</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(5)同一</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(包括联合体)，中小微企业产品、监狱企业产品、残疾人福利性单位产品价格扣除优惠只享受一次，不得重复享受。</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1.1.6为落实政府采购政策，本次招标强制采购的节能产品：见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所投强制节能产品应具有《中国节能产品认证证书》证书不显示规格型号的，还须同时提供证书配套附件；证书应是由《市场监管总局关于发布参与实施政府采购节能产品、环境标志产品认证机构名录的公告》的认证机构出具的、处于有效期之内的）。</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1.1.7政府采购管理部门备案编号</w:t>
      </w:r>
      <w:r>
        <w:rPr>
          <w:rFonts w:hint="eastAsia" w:ascii="宋体" w:hAnsi="宋体" w:eastAsia="宋体" w:cs="宋体"/>
          <w:spacing w:val="14"/>
          <w:sz w:val="24"/>
          <w:szCs w:val="24"/>
          <w:highlight w:val="none"/>
          <w:lang w:eastAsia="zh-CN"/>
        </w:rPr>
        <w:t>：</w:t>
      </w:r>
      <w:r>
        <w:rPr>
          <w:rFonts w:hint="eastAsia" w:ascii="宋体" w:hAnsi="宋体" w:eastAsia="宋体" w:cs="宋体"/>
          <w:spacing w:val="14"/>
          <w:sz w:val="24"/>
          <w:szCs w:val="24"/>
          <w:highlight w:val="none"/>
        </w:rPr>
        <w:t xml:space="preserve"> 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1.1.8项目编号</w:t>
      </w:r>
      <w:r>
        <w:rPr>
          <w:rFonts w:hint="eastAsia" w:ascii="宋体" w:hAnsi="宋体" w:eastAsia="宋体" w:cs="宋体"/>
          <w:spacing w:val="14"/>
          <w:sz w:val="24"/>
          <w:szCs w:val="24"/>
          <w:highlight w:val="none"/>
          <w:lang w:eastAsia="zh-CN"/>
        </w:rPr>
        <w:t>：</w:t>
      </w:r>
      <w:r>
        <w:rPr>
          <w:rFonts w:hint="eastAsia" w:ascii="宋体" w:hAnsi="宋体" w:eastAsia="宋体" w:cs="宋体"/>
          <w:spacing w:val="14"/>
          <w:sz w:val="24"/>
          <w:szCs w:val="24"/>
          <w:highlight w:val="none"/>
        </w:rPr>
        <w:t xml:space="preserve"> 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1.1.9标段划分</w:t>
      </w:r>
      <w:r>
        <w:rPr>
          <w:rFonts w:hint="eastAsia" w:ascii="宋体" w:hAnsi="宋体" w:eastAsia="宋体" w:cs="宋体"/>
          <w:spacing w:val="14"/>
          <w:sz w:val="24"/>
          <w:szCs w:val="24"/>
          <w:highlight w:val="none"/>
          <w:lang w:eastAsia="zh-CN"/>
        </w:rPr>
        <w:t>：</w:t>
      </w:r>
      <w:r>
        <w:rPr>
          <w:rFonts w:hint="eastAsia" w:ascii="宋体" w:hAnsi="宋体" w:eastAsia="宋体" w:cs="宋体"/>
          <w:spacing w:val="14"/>
          <w:sz w:val="24"/>
          <w:szCs w:val="24"/>
          <w:highlight w:val="none"/>
        </w:rPr>
        <w:t xml:space="preserve"> 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 招标项目的资金来源及付款方式</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1.2.1资金来源</w:t>
      </w:r>
      <w:r>
        <w:rPr>
          <w:rFonts w:hint="eastAsia" w:ascii="宋体" w:hAnsi="宋体" w:eastAsia="宋体" w:cs="宋体"/>
          <w:spacing w:val="14"/>
          <w:sz w:val="24"/>
          <w:szCs w:val="24"/>
          <w:highlight w:val="none"/>
          <w:lang w:eastAsia="zh-CN"/>
        </w:rPr>
        <w:t>：</w:t>
      </w:r>
      <w:r>
        <w:rPr>
          <w:rFonts w:hint="eastAsia" w:ascii="宋体" w:hAnsi="宋体" w:eastAsia="宋体" w:cs="宋体"/>
          <w:spacing w:val="14"/>
          <w:sz w:val="24"/>
          <w:szCs w:val="24"/>
          <w:highlight w:val="none"/>
        </w:rPr>
        <w:t xml:space="preserve"> 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1.2.2付款方式</w:t>
      </w:r>
      <w:r>
        <w:rPr>
          <w:rFonts w:hint="eastAsia" w:ascii="宋体" w:hAnsi="宋体" w:eastAsia="宋体" w:cs="宋体"/>
          <w:spacing w:val="14"/>
          <w:sz w:val="24"/>
          <w:szCs w:val="24"/>
          <w:highlight w:val="none"/>
          <w:lang w:eastAsia="zh-CN"/>
        </w:rPr>
        <w:t>：</w:t>
      </w:r>
      <w:r>
        <w:rPr>
          <w:rFonts w:hint="eastAsia" w:ascii="宋体" w:hAnsi="宋体" w:eastAsia="宋体" w:cs="宋体"/>
          <w:spacing w:val="14"/>
          <w:sz w:val="24"/>
          <w:szCs w:val="24"/>
          <w:highlight w:val="none"/>
        </w:rPr>
        <w:t xml:space="preserve"> 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须知前附表，不接受该条件的投标将被否决。</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1.3交货期、</w:t>
      </w:r>
      <w:r>
        <w:rPr>
          <w:rFonts w:hint="eastAsia" w:ascii="宋体" w:hAnsi="宋体" w:eastAsia="宋体" w:cs="宋体"/>
          <w:spacing w:val="14"/>
          <w:sz w:val="24"/>
          <w:szCs w:val="24"/>
          <w:highlight w:val="none"/>
          <w:lang w:val="en-US" w:eastAsia="zh-CN"/>
        </w:rPr>
        <w:t>质量要求、</w:t>
      </w:r>
      <w:r>
        <w:rPr>
          <w:rFonts w:hint="eastAsia" w:ascii="宋体" w:hAnsi="宋体" w:eastAsia="宋体" w:cs="宋体"/>
          <w:spacing w:val="14"/>
          <w:sz w:val="24"/>
          <w:szCs w:val="24"/>
          <w:highlight w:val="none"/>
        </w:rPr>
        <w:t>交货地点、履约验收、质保期及售后服务</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1.3.1交货期：见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须知前附表，不接受该条件的投标将被否决。</w:t>
      </w:r>
    </w:p>
    <w:p>
      <w:pPr>
        <w:pStyle w:val="15"/>
        <w:ind w:firstLine="474" w:firstLineChars="200"/>
        <w:jc w:val="left"/>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rPr>
        <w:t>1.3.2</w:t>
      </w:r>
      <w:r>
        <w:rPr>
          <w:rFonts w:hint="eastAsia" w:ascii="宋体" w:hAnsi="宋体" w:eastAsia="宋体" w:cs="宋体"/>
          <w:spacing w:val="14"/>
          <w:sz w:val="24"/>
          <w:szCs w:val="24"/>
          <w:highlight w:val="none"/>
          <w:lang w:val="en-US" w:eastAsia="zh-CN"/>
        </w:rPr>
        <w:t>质量要求：</w:t>
      </w:r>
      <w:r>
        <w:rPr>
          <w:rFonts w:hint="eastAsia" w:ascii="宋体" w:hAnsi="宋体" w:eastAsia="宋体" w:cs="宋体"/>
          <w:spacing w:val="14"/>
          <w:sz w:val="24"/>
          <w:szCs w:val="24"/>
          <w:highlight w:val="none"/>
        </w:rPr>
        <w:t>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须知前附表，不接受该条件的投标将被否决</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val="en-US" w:eastAsia="zh-CN"/>
        </w:rPr>
        <w:t>1.3.3</w:t>
      </w:r>
      <w:r>
        <w:rPr>
          <w:rFonts w:hint="eastAsia" w:ascii="宋体" w:hAnsi="宋体" w:eastAsia="宋体" w:cs="宋体"/>
          <w:spacing w:val="14"/>
          <w:sz w:val="24"/>
          <w:szCs w:val="24"/>
          <w:highlight w:val="none"/>
        </w:rPr>
        <w:t>交货地点：见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须知前附表，不接受该条件的投标将被否决。</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1.3.</w:t>
      </w:r>
      <w:r>
        <w:rPr>
          <w:rFonts w:hint="eastAsia" w:ascii="宋体" w:hAnsi="宋体" w:eastAsia="宋体" w:cs="宋体"/>
          <w:spacing w:val="14"/>
          <w:sz w:val="24"/>
          <w:szCs w:val="24"/>
          <w:highlight w:val="none"/>
          <w:lang w:val="en-US" w:eastAsia="zh-CN"/>
        </w:rPr>
        <w:t>4</w:t>
      </w:r>
      <w:r>
        <w:rPr>
          <w:rFonts w:hint="eastAsia" w:ascii="宋体" w:hAnsi="宋体" w:eastAsia="宋体" w:cs="宋体"/>
          <w:spacing w:val="14"/>
          <w:sz w:val="24"/>
          <w:szCs w:val="24"/>
          <w:highlight w:val="none"/>
        </w:rPr>
        <w:t>履约验收：见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1.3.</w:t>
      </w:r>
      <w:r>
        <w:rPr>
          <w:rFonts w:hint="eastAsia" w:ascii="宋体" w:hAnsi="宋体" w:eastAsia="宋体" w:cs="宋体"/>
          <w:spacing w:val="14"/>
          <w:sz w:val="24"/>
          <w:szCs w:val="24"/>
          <w:highlight w:val="none"/>
          <w:lang w:val="en-US" w:eastAsia="zh-CN"/>
        </w:rPr>
        <w:t>5</w:t>
      </w:r>
      <w:r>
        <w:rPr>
          <w:rFonts w:hint="eastAsia" w:ascii="宋体" w:hAnsi="宋体" w:eastAsia="宋体" w:cs="宋体"/>
          <w:spacing w:val="14"/>
          <w:sz w:val="24"/>
          <w:szCs w:val="24"/>
          <w:highlight w:val="none"/>
        </w:rPr>
        <w:t>质保期及售后服务：见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须知前附表，不接受该条件的投标将被否决。</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1.4 </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资格要求</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1.4.1 </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资格要求：</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应当符合《政府采购法》第二十二条第一款规定的条件，具体见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1.4.2 </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须知前附表规定接受联合体投标的，联合体除应符合本章第 1.4.1 项和</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须知前附表的要求外，还应遵守以下规定：</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（1）联合体各方应按招标文件提供的格式签订联合体协议书，明确联合体牵头人和各方权利义务，并承诺就中标项目向采购人承担连带责任；</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（2）两个以上的自然人、法人或者其他组织可以组成一个联合体，以一个</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的身份共同参加政府采购。</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（3）联合体各方均应当符合《政府采购法》第二十二条第一款规定的条件，根据采购项目的特殊要求规定</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特定条件的，联合体各方中至少应当有一方符合招标公告规定的</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资格条件。联合体中有同类资质的</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按照联合体分工承担相同工作的，应当按照资质等级较低的</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确定资质等级。</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（4）联合体各方不得再以自己名义单独或参加其他联合体在本招标项目中投标，否则各相关投标均无效。</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1.4.3 </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不得存在下列情形之一：</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（1）与采购人存在利害关系且可能影响招标公正性；</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（2）与本招标项目的其他</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为同一个单位负责人；</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（3）与本招标项目的其他</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存在直接控股；</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（4）为本招标项目提供整体设计、规范编制或者项目管理、监理、检测等服务；</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（5）为本招标项目的招标代理机构或与招标代理机构同为一个法定代表人；</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（6）被“中国政府采购”网站列入政府采购严重违法失信行为记录名单，投标文件中须相关截图，否则其投标将被否决；</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（7）因违法经营受到刑事处罚或者责令停产停业、吊销许可证或者执照、较大数额罚款等行政处罚；</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（8）进入清算程序，或被宣告破产，或其他丧失履约能力的情形；</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（9）在近三年内</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有行贿犯罪行为的；</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（10）法律法规或</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须知前附表规定的其他情形。</w:t>
      </w:r>
    </w:p>
    <w:p>
      <w:pPr>
        <w:pStyle w:val="35"/>
        <w:spacing w:before="0" w:after="0" w:line="240" w:lineRule="auto"/>
        <w:ind w:firstLine="474" w:firstLineChars="200"/>
        <w:jc w:val="left"/>
        <w:outlineLvl w:val="9"/>
        <w:rPr>
          <w:rFonts w:hint="eastAsia" w:ascii="宋体" w:hAnsi="宋体" w:eastAsia="宋体" w:cs="宋体"/>
          <w:b w:val="0"/>
          <w:bCs w:val="0"/>
          <w:spacing w:val="14"/>
          <w:sz w:val="24"/>
          <w:szCs w:val="24"/>
          <w:highlight w:val="none"/>
          <w:lang w:eastAsia="zh-CN"/>
        </w:rPr>
      </w:pPr>
      <w:r>
        <w:rPr>
          <w:rFonts w:hint="eastAsia" w:ascii="宋体" w:hAnsi="宋体" w:eastAsia="宋体" w:cs="宋体"/>
          <w:b w:val="0"/>
          <w:bCs w:val="0"/>
          <w:spacing w:val="14"/>
          <w:sz w:val="24"/>
          <w:szCs w:val="24"/>
          <w:highlight w:val="none"/>
          <w:lang w:eastAsia="zh-CN"/>
        </w:rPr>
        <w:t>注：供应商须在投标文件中附上述承诺，否则其投标文件将被否决。</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1.5 费用承担</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准备和参加投标活动发生的费用自理。</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1.6 保密</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参与招标投标活动的各方应对招标文件和投标文件中的商业和技术等秘密保密，否则应承担相应的法律责任。</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1.7 语言文字</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招标投标文件使用的语言文字为中文。专用术语使用外文的，应附有中文注释。</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1.8 计量单位</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所有计量均采用中华人民共和国法定计量单位。</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1.9 投标预备会</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1.9.1 </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须知前附表规定召开投标预备会的，采购人按</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须知前附表规定的时间和地点召开投标预备会，澄清</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提出的问题。</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1.9.2 </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应按</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须知前附表规定的时间和形式将提出的问题送达采购人，以便采购人在会议期间澄清。</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1.9.3投标预备会后，采购人对</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所提问题的澄清为招标文件的组成部分。</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1.10 分包</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本工程允许分包。</w:t>
      </w:r>
    </w:p>
    <w:p>
      <w:pPr>
        <w:pStyle w:val="15"/>
        <w:ind w:firstLine="474" w:firstLineChars="200"/>
        <w:jc w:val="left"/>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（1）招标人规定由分包人承担的工作：符合相关法律法规及发包人要求；</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val="en-US" w:eastAsia="zh-CN"/>
        </w:rPr>
        <w:t>（2）投标人拟分包的工作内容要求：非主体、非关键性工作允许分包，可分包专业工程承包人资格须严格按照国家相关法律、法规及相关规定执行，拟分包的专业工程须经招标人书面认可后方可进行分包。</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1.11 响应和偏差</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1.11.1 投标文件应当对招标文件的实质性要求和条件作出满足性或更有利于采购人的响应，否则，</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的投标将被否决。实质性要求和条件见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1.12.2</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应根据招标文件的要求提供服务要求响应与偏差表、商务要求响应与偏差表等内容以对招标文件作出响应。</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1.12.3</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须知前附表规定了可以偏差的范围和最高偏差项数的，偏差应当符合</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须知前附表规定的偏差范围和最高项数，超出偏差范围和最高偏差项数的响应将被否决。</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1.12.4投标文件对招标文件的全部偏差，均应在投标文件的服务要求响应与偏差表、商务要求响应与偏差表中列明，除列明的内容外，视为</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响应招标文件的全部要求。</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1.12.5如投标文件服务要求响应与偏差表、商务要求响应与偏差表中列明的内容与投标文件的其他地方存在不一致，以服务要求响应与偏差表、商务要求响应与偏差表中列明的内容为准。</w:t>
      </w:r>
    </w:p>
    <w:p>
      <w:pPr>
        <w:pStyle w:val="34"/>
        <w:spacing w:before="0" w:after="0" w:line="240" w:lineRule="auto"/>
        <w:ind w:firstLine="418" w:firstLineChars="200"/>
        <w:jc w:val="left"/>
        <w:outlineLvl w:val="9"/>
        <w:rPr>
          <w:rFonts w:hint="eastAsia" w:ascii="宋体" w:hAnsi="宋体" w:eastAsia="宋体" w:cs="宋体"/>
          <w:sz w:val="24"/>
          <w:szCs w:val="24"/>
          <w:highlight w:val="none"/>
        </w:rPr>
      </w:pPr>
      <w:bookmarkStart w:id="22" w:name="_Toc256000032"/>
      <w:bookmarkStart w:id="23" w:name="_Toc256000009"/>
      <w:bookmarkStart w:id="24" w:name="_Toc256000006"/>
      <w:bookmarkStart w:id="25" w:name="_Toc256000078"/>
      <w:r>
        <w:rPr>
          <w:rFonts w:hint="eastAsia" w:ascii="宋体" w:hAnsi="宋体" w:eastAsia="宋体" w:cs="宋体"/>
          <w:sz w:val="24"/>
          <w:szCs w:val="24"/>
          <w:highlight w:val="none"/>
        </w:rPr>
        <w:t>2、招标文件</w:t>
      </w:r>
      <w:bookmarkEnd w:id="22"/>
      <w:bookmarkEnd w:id="23"/>
      <w:bookmarkEnd w:id="24"/>
      <w:bookmarkEnd w:id="25"/>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2.1 招标文件的组成</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本招标文件包括：</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（1）招标公告；</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 xml:space="preserve">须知； </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（3）采购需求</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（4）合同（样本）</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（5）资格审查与评标办法；</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（6）资格审查与评审标准；</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（7）投标文件格式；</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须知前附表规定的其他资料。</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根据本章第 1.9 款、第 2.2 款对招标文件所作的澄清、修改，构成招标文件的组成部分。</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2.2 招标文件的澄清</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2.2.1</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应仔细阅读和检查招标文件的全部内容。如发现缺页或附件不全，应及时向采购代理机构提出，以便补齐。如有疑问，应按</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须知前附表规定的时间和形式将提出的问题送达采购代理机构，要求对招标文件予以澄清。</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2.2.2 招标文件的澄清、修改按</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须知前附表规定的形式发出。澄清、修改发出的时间距投标截止时间不足15日的，并且修改内容可能影响投标文件编制的，将相应延长投标截止时间。</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2.2.3 除非采购人认为确有必要答复，否则，采购人有权拒绝回复</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在本章第 2.2.1 项规定的时间后的任何澄清要求。</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2.3 招标文件的异议</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或者其他利害关系人对招标文件有</w:t>
      </w:r>
      <w:r>
        <w:rPr>
          <w:rFonts w:hint="eastAsia" w:ascii="宋体" w:hAnsi="宋体" w:eastAsia="宋体" w:cs="宋体"/>
          <w:spacing w:val="14"/>
          <w:sz w:val="24"/>
          <w:szCs w:val="24"/>
          <w:highlight w:val="none"/>
          <w:lang w:val="en-US" w:eastAsia="zh-CN"/>
        </w:rPr>
        <w:t>异议</w:t>
      </w:r>
      <w:r>
        <w:rPr>
          <w:rFonts w:hint="eastAsia" w:ascii="宋体" w:hAnsi="宋体" w:eastAsia="宋体" w:cs="宋体"/>
          <w:spacing w:val="14"/>
          <w:sz w:val="24"/>
          <w:szCs w:val="24"/>
          <w:highlight w:val="none"/>
        </w:rPr>
        <w:t>的，应当在投标截止时间 10 日前以书面形式提出。</w:t>
      </w:r>
    </w:p>
    <w:p>
      <w:pPr>
        <w:pStyle w:val="34"/>
        <w:spacing w:before="0" w:after="0" w:line="240" w:lineRule="auto"/>
        <w:ind w:firstLine="418" w:firstLineChars="200"/>
        <w:jc w:val="left"/>
        <w:outlineLvl w:val="9"/>
        <w:rPr>
          <w:rFonts w:hint="eastAsia" w:ascii="宋体" w:hAnsi="宋体" w:eastAsia="宋体" w:cs="宋体"/>
          <w:sz w:val="24"/>
          <w:szCs w:val="24"/>
          <w:highlight w:val="none"/>
        </w:rPr>
      </w:pPr>
      <w:bookmarkStart w:id="26" w:name="_Toc256000079"/>
      <w:bookmarkStart w:id="27" w:name="_Toc256000010"/>
      <w:bookmarkStart w:id="28" w:name="_Toc256000033"/>
      <w:bookmarkStart w:id="29" w:name="_Toc256000044"/>
      <w:r>
        <w:rPr>
          <w:rFonts w:hint="eastAsia" w:ascii="宋体" w:hAnsi="宋体" w:eastAsia="宋体" w:cs="宋体"/>
          <w:sz w:val="24"/>
          <w:szCs w:val="24"/>
          <w:highlight w:val="none"/>
        </w:rPr>
        <w:t>3、投标文件</w:t>
      </w:r>
      <w:bookmarkEnd w:id="26"/>
      <w:bookmarkEnd w:id="27"/>
      <w:bookmarkEnd w:id="28"/>
      <w:bookmarkEnd w:id="29"/>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3.1 投标文件的组成</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3.1.1 投标文件应包括下列内容（详见招标文件第七章“投标文件格式”）：</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在评标过程中作出的符合法律法规和招标文件规定的澄清确认，构成投标文件的组成部分。</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3.2 投标报价</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3.2.1 投标报价涉及货币的应为人民币，包括国家规定的增值税税金。</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应按第七章“投标文件格式”的要求进行报价并填写报价明细表。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3.2.2 </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应充分了解该项目的总体情况以及影响投标报价的其他要素。</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3.2.3 投标报价为各分项报价金额之和，投标报价与分项报价的合价不一致的，应以各分项合价累计数为准，修正投标报价；如分项报价中存在缺漏项，则视为缺漏项价格已包含在其他分项报价之中。</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3.2.4 采购人设有预算控制金额的，</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的投标报价不得超过预算控制金额，预算控制金额在</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须知前附表中载明。</w:t>
      </w:r>
    </w:p>
    <w:p>
      <w:pPr>
        <w:pStyle w:val="15"/>
        <w:ind w:firstLine="474" w:firstLineChars="200"/>
        <w:jc w:val="left"/>
        <w:outlineLvl w:val="9"/>
        <w:rPr>
          <w:rFonts w:hint="eastAsia" w:ascii="宋体" w:hAnsi="宋体" w:eastAsia="宋体" w:cs="宋体"/>
          <w:b/>
          <w:bCs/>
          <w:spacing w:val="14"/>
          <w:sz w:val="24"/>
          <w:szCs w:val="24"/>
          <w:highlight w:val="none"/>
        </w:rPr>
      </w:pPr>
      <w:r>
        <w:rPr>
          <w:rFonts w:hint="eastAsia" w:ascii="宋体" w:hAnsi="宋体" w:eastAsia="宋体" w:cs="宋体"/>
          <w:spacing w:val="14"/>
          <w:sz w:val="24"/>
          <w:szCs w:val="24"/>
          <w:highlight w:val="none"/>
        </w:rPr>
        <w:t>3.2.5 投标报价的其他要求见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3.3 投标有效期</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3.3.1 除</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须知前附表另有规定外，投标有效期为90 天。</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3.3.2 在投标有效期内，</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撤销投标文件的，应承担招标文件和法律规定的责任。</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3.3.3 出现特殊情况需要延长投标有效期的，采购人以书面形式通知所有</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延长投标有效期。</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应予以书面答复，同意延长的，应相应延长其投标保证金的有效期，但不得要求或被允许修改其投标文件；</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拒绝延长的，其投标失效，但</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有权收回其投标保证金。</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3.4 投标保证金（本项目不适用）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3.4.1 </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在提交投标文件的同时，应按</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须知前附表规定缴纳投标保证金，并作为其投标文件的组成部分。联合体投标的，其投标保证金由牵头人提交，并应符合</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须知前附表的规定。</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3.4.2 </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不按本章第 3.4.1 项要求提交投标保证金的，评标委员会将否决其投标。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3.4.3自《中标通知书》发出之日起5个工作日内退还未中标人的投标保证金，自采购合同签订之日起5个工作日内（中标人通过洛阳市电子招投标交易平台上传合同扫描件，提交退还保证金申请）退还中标人的投标保证金。</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3.4.4 有下列情形之一的，投标保证金将不予退还：</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在投标有效期内撤销投标文件；</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（2）在禁止参加政府采购活动的处罚有效期内，</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仍参加政府采购活动；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（3）中标人无正当理由不与采购人订立合同，在签订合同时向采购人提出附加条件，或者不按照招标文件要求提交履约保证金；</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（4）发生</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须知前附表规定的其他可以不予退还投标保证金的情形。</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3.5 资格审查资料</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3.5.1根据第六章内容提供证明材料。</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3.5.2</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须知前附表规定接受联合体投标的，联合体各方均应提供资格审查资料。</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3.5.3资格审查资料的特殊要求见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3.6 备选投标方案</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3.6.1 除</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须知前附表规定允许外，</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不得提交备选投标方案，否则其投标将被否决。</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3.6.2 允许</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提交备选投标方案的，只有中标人所提交的备选投标方案方可予以考虑。评标委员会认为中标人的备选投标方案优于其按照招标文件要求编制的投标方案的，采购人可以接受该备选投标方案。</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3.6.3 </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提供两个或两个以上投标报价，或者在投标文件中提供一个报价，但同时提供两个或两个以上供货方案的，视为提供备选方案。</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3.7 投标文件的制作</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3.7.1</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登录“洛阳市公共资源交易中心”网站，按要求下载“新点投标文件制作软件”。</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3.7.2</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凭CA锁登录，并按网上提示自行下载招标文件。使用“新点投标文件制作软件”按要求制作电子投标文件。</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在制作电子投标文件时，应按要求进行电子签章。</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编辑电子投标文件时，根据招标文件要求用法定代表人CA锁和企业CA锁进行签章制作；最后一步生成电子投标文件（*.lytf格式和*.nlytf格式）时，只能用本单位的企业CA锁。联合体投标的，投标文件由联合体牵头人按上述规定进行签章。</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3.7.3加密的电子投标文件为“洛阳市公共资源交易中心”网站提供的“新点投标文件制作软件”制作生成的加密版投标文件。未加密的电子投标文件应与加密的电子投标文件为同时生成的版本。</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3.7.4招标文件格式所要求包含的全部资料应全部制作在投标文件内，严格按照本项目招标文件所有格式如实填写（不涉及的内容除外），不应存在漏项或缺项，否则将存在投标文件被否决的风险。</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3.7.5投标文件所附证明材料均为原件的扫描件/复印件（或照片），尺寸和清晰度应该能够在电脑上被阅读、识别和判断；若</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未按要求提供证明材料或提供不清晰的扫描件/复印件（或照片）的，评标委员会有权认定其投标文件未对招标文件有关要求进行响应，涉及资格审查或符合性审查的将不予通过。</w:t>
      </w:r>
    </w:p>
    <w:p>
      <w:pPr>
        <w:pStyle w:val="34"/>
        <w:spacing w:before="0" w:after="0" w:line="240" w:lineRule="auto"/>
        <w:ind w:firstLine="418" w:firstLineChars="200"/>
        <w:jc w:val="left"/>
        <w:outlineLvl w:val="9"/>
        <w:rPr>
          <w:rFonts w:hint="eastAsia" w:ascii="宋体" w:hAnsi="宋体" w:eastAsia="宋体" w:cs="宋体"/>
          <w:sz w:val="24"/>
          <w:szCs w:val="24"/>
          <w:highlight w:val="none"/>
        </w:rPr>
      </w:pPr>
      <w:bookmarkStart w:id="30" w:name="_Toc256000045"/>
      <w:bookmarkStart w:id="31" w:name="_Toc256000080"/>
      <w:bookmarkStart w:id="32" w:name="_Toc256000011"/>
      <w:bookmarkStart w:id="33" w:name="_Toc256000034"/>
      <w:r>
        <w:rPr>
          <w:rFonts w:hint="eastAsia" w:ascii="宋体" w:hAnsi="宋体" w:eastAsia="宋体" w:cs="宋体"/>
          <w:sz w:val="24"/>
          <w:szCs w:val="24"/>
          <w:highlight w:val="none"/>
        </w:rPr>
        <w:t>4、投标</w:t>
      </w:r>
      <w:bookmarkEnd w:id="30"/>
      <w:bookmarkEnd w:id="31"/>
      <w:bookmarkEnd w:id="32"/>
      <w:bookmarkEnd w:id="33"/>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4.1 投标文件的密封和标记</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4.1.1投标文件的密封和标记的要求：见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4.1.2未按要求密封和标记的投标文件，采购人将予以拒收。</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4.2 投标文件的提交</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4.2.1 </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应在</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须知前附表规定的投标截止时间前提交投标文件。不接受邮寄、电报、电话、传真等方式投标。除电子投标文件外，投标时不再接受任何纸质文件、资料等。</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4.2.2</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提交投标文件的地点：见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4.2.3投标文件份数及其他要求：见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4.2.4</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应在投标截止时间前上传加密的电子投标文件（*.lytf）到洛阳市电子招投标交易平台指定位置。上传时</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须使用制作该投标文件的同一CA锁进行上传操作。请</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在上传时认真检查上传投标文件是否完整、正确。</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应充分考虑上传文件时的不可预见因素，未在投标截止时间前完成上传的，视为逾期送达，洛阳市电子招投标交易平台将拒绝接收。上传成功后将得到上传成功的确认。</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4.2.5</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因洛阳市电子招投标交易平台问题无法上传电子投标文件时，请在工作时间与交易中心联系。联系方式见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4.2.6除</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须知前附表另有规定外，</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所提交的投标文件不予退还。</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4.3 投标文件的修改与撤回</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4.3.1</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在提交投标文件后可对其投标文件进行修改并重新上传投标文件或在洛阳市电子招投标交易平台上进行撤回投标的操作。</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4.3.2 投标截止时间以后不得修改投标文件。</w:t>
      </w:r>
    </w:p>
    <w:p>
      <w:pPr>
        <w:pStyle w:val="34"/>
        <w:spacing w:before="0" w:after="0" w:line="240" w:lineRule="auto"/>
        <w:ind w:firstLine="418" w:firstLineChars="200"/>
        <w:jc w:val="left"/>
        <w:outlineLvl w:val="9"/>
        <w:rPr>
          <w:rFonts w:hint="eastAsia" w:ascii="宋体" w:hAnsi="宋体" w:eastAsia="宋体" w:cs="宋体"/>
          <w:sz w:val="24"/>
          <w:szCs w:val="24"/>
          <w:highlight w:val="none"/>
        </w:rPr>
      </w:pPr>
      <w:bookmarkStart w:id="34" w:name="_Toc256000035"/>
      <w:bookmarkStart w:id="35" w:name="_Toc256000050"/>
      <w:bookmarkStart w:id="36" w:name="_Toc256000012"/>
      <w:bookmarkStart w:id="37" w:name="_Toc256000081"/>
      <w:r>
        <w:rPr>
          <w:rFonts w:hint="eastAsia" w:ascii="宋体" w:hAnsi="宋体" w:eastAsia="宋体" w:cs="宋体"/>
          <w:sz w:val="24"/>
          <w:szCs w:val="24"/>
          <w:highlight w:val="none"/>
        </w:rPr>
        <w:t>5、开标</w:t>
      </w:r>
      <w:bookmarkEnd w:id="34"/>
      <w:bookmarkEnd w:id="35"/>
      <w:bookmarkEnd w:id="36"/>
      <w:bookmarkEnd w:id="37"/>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5.1 开标时间和地点</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采购人在本章第 4.2.1 项规定的投标截止时间（开标时间）和</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须知前附表规定的地点开标。</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5.2 开标规定</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5.2.1 招标人在招标文件规定的时间和地点开标，</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授权代表应携带企业CA锁参加开标。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5.2.2（此条款仅适用于现场开标的项目）开标前，代理机构将会同</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代表检查自己的未加密的电子投标文件的密封情况，确认无误后开标。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5.2.3开标时，各</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应在规定时间内对本单位的投标文件解密。开标时，代理机构将通过洛阳市电子招投标交易平台进行唱标。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5.2.4（此条款仅适用于现场开标的项目）如</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现场解密失败，</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应使用未加密的电子投标文件。</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5.2.5（此条款仅适用于现场开标的项目）开标前没有提交未加密的电子投标文件，视同放弃使用未加密的电子投标文件投标。未加密的投标文件现场无法成功上传的，投标无效。</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5.2.6（此条款仅适用于现场开标的项目）未加密的电子投标文件仅仅作为网上提交的加密的电子投标文件在特殊情况下才启用的备份资料。没有提交网上加密电子投标文件，仅提交未加密电子投标文件的，投标无效。</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5.3 开标疑义</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对开标有疑义的，应按</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须知前附表规定的方式提出。</w:t>
      </w:r>
    </w:p>
    <w:p>
      <w:pPr>
        <w:pStyle w:val="34"/>
        <w:spacing w:before="0" w:after="0" w:line="240" w:lineRule="auto"/>
        <w:ind w:firstLine="418" w:firstLineChars="200"/>
        <w:jc w:val="left"/>
        <w:outlineLvl w:val="9"/>
        <w:rPr>
          <w:rFonts w:hint="eastAsia" w:ascii="宋体" w:hAnsi="宋体" w:eastAsia="宋体" w:cs="宋体"/>
          <w:sz w:val="24"/>
          <w:szCs w:val="24"/>
          <w:highlight w:val="none"/>
        </w:rPr>
      </w:pPr>
      <w:bookmarkStart w:id="38" w:name="_Toc256000013"/>
      <w:bookmarkStart w:id="39" w:name="_Toc256000051"/>
      <w:bookmarkStart w:id="40" w:name="_Toc256000036"/>
      <w:bookmarkStart w:id="41" w:name="_Toc256000082"/>
      <w:r>
        <w:rPr>
          <w:rFonts w:hint="eastAsia" w:ascii="宋体" w:hAnsi="宋体" w:eastAsia="宋体" w:cs="宋体"/>
          <w:sz w:val="24"/>
          <w:szCs w:val="24"/>
          <w:highlight w:val="none"/>
        </w:rPr>
        <w:t>6、资格审查与评标</w:t>
      </w:r>
      <w:bookmarkEnd w:id="38"/>
      <w:bookmarkEnd w:id="39"/>
      <w:bookmarkEnd w:id="40"/>
      <w:bookmarkEnd w:id="41"/>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6.1 资格审查小组与评标委员会</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6.1.1招标人负责资格审查。招标人组建资格审查小组，可以由招标人代表以及评审专家或采购代理机构组成，在资格审查中为招标人提供支持和帮助。评标由招标人依法组建的评标委员会负责。评标委员会由采购人代表以及评审专家组成。评标委员会成员人数以及评审专家的确定方式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6.1.2 评标委员会成员有下列情形之一的，应当回避：</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（1）参加采购活动前3年内与</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存在劳动关系；</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（2）参加采购活动前3年内担任</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的董事、监事；</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（3）参加采购活动前3年内是</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的控股股东或者实际控制人；</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（4）与</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的法定代表人或者负责人有夫妻、直系血亲、三代以内旁系血亲或者近姻亲关系；</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（5）与</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有其他可能影响政府采购活动公平、公正进行的关系。</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6.1.3 评标过程中，评标委员会成员有回避事由、擅离职守或者因健康等原因不能继续评标的，采购人有权更换。被更换的评标委员会成员作出的评审结论无效，由更换后的评标委员会成员重新进行评审。</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6.2 资格审查与评标原则</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资格审查遵循公平、公正的原则，评标活动遵循公平、公正、科学和择优的原则。</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6.3资格审查与评标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6.3.1 资格审查小组与评标委员会按照第五章“资格审查与评标办法”规定的方法、评审因素、标准和程序对</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进行资格审查，并对投标文件进行评审。第五章“资格审查与评标办法”没有规定的方法、评审因素和标准，不作为资格审查与评标依据。</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6.3.2 通过资格审查的</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的投标文件由评标委员会进行评审。评标完成后，评标委员会应当提交书面评标报告和中标候选人名单。评标委员会推荐中标候选人的人数见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6.3.3本次招标采用电子化评标，如“洛阳市电子招投标交易平台”系统出现故障，导致无法继续评审工作的，可暂停评标，对原有资料及信息作出妥善保密处理，待电子评标系统恢复正常之后组织评审。</w:t>
      </w:r>
    </w:p>
    <w:p>
      <w:pPr>
        <w:pStyle w:val="34"/>
        <w:spacing w:before="0" w:after="0" w:line="240" w:lineRule="auto"/>
        <w:ind w:firstLine="418" w:firstLineChars="200"/>
        <w:jc w:val="left"/>
        <w:outlineLvl w:val="9"/>
        <w:rPr>
          <w:rFonts w:hint="eastAsia" w:ascii="宋体" w:hAnsi="宋体" w:eastAsia="宋体" w:cs="宋体"/>
          <w:sz w:val="24"/>
          <w:szCs w:val="24"/>
          <w:highlight w:val="none"/>
        </w:rPr>
      </w:pPr>
      <w:bookmarkStart w:id="42" w:name="_Toc256000037"/>
      <w:bookmarkStart w:id="43" w:name="_Toc256000057"/>
      <w:bookmarkStart w:id="44" w:name="_Toc256000014"/>
      <w:bookmarkStart w:id="45" w:name="_Toc256000083"/>
      <w:r>
        <w:rPr>
          <w:rFonts w:hint="eastAsia" w:ascii="宋体" w:hAnsi="宋体" w:eastAsia="宋体" w:cs="宋体"/>
          <w:sz w:val="24"/>
          <w:szCs w:val="24"/>
          <w:highlight w:val="none"/>
        </w:rPr>
        <w:t>7、定标及合同授予</w:t>
      </w:r>
      <w:bookmarkEnd w:id="42"/>
      <w:bookmarkEnd w:id="43"/>
      <w:bookmarkEnd w:id="44"/>
      <w:bookmarkEnd w:id="45"/>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7.1 定标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7.1.1按照</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须知前附表的规定，采购人或采购人授权的评标委员会依法确定中标人。</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7.1.2按</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须知前附表的规定的定标原则确定中标人。</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7.2 中标结果</w:t>
      </w:r>
    </w:p>
    <w:p>
      <w:pPr>
        <w:pStyle w:val="36"/>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自</w:t>
      </w:r>
      <w:r>
        <w:rPr>
          <w:rFonts w:hint="eastAsia" w:ascii="宋体" w:hAnsi="宋体" w:eastAsia="宋体" w:cs="宋体"/>
          <w:spacing w:val="14"/>
          <w:sz w:val="24"/>
          <w:szCs w:val="24"/>
          <w:highlight w:val="none"/>
          <w:lang w:eastAsia="zh-CN"/>
        </w:rPr>
        <w:t>中标单位</w:t>
      </w:r>
      <w:r>
        <w:rPr>
          <w:rFonts w:hint="eastAsia" w:ascii="宋体" w:hAnsi="宋体" w:eastAsia="宋体" w:cs="宋体"/>
          <w:spacing w:val="14"/>
          <w:sz w:val="24"/>
          <w:szCs w:val="24"/>
          <w:highlight w:val="none"/>
        </w:rPr>
        <w:t>确定之日起</w:t>
      </w:r>
      <w:r>
        <w:rPr>
          <w:rFonts w:hint="eastAsia" w:ascii="宋体" w:hAnsi="宋体" w:eastAsia="宋体" w:cs="宋体"/>
          <w:spacing w:val="14"/>
          <w:sz w:val="24"/>
          <w:szCs w:val="24"/>
          <w:highlight w:val="none"/>
          <w:lang w:val="en-US" w:eastAsia="zh-CN"/>
        </w:rPr>
        <w:t>1</w:t>
      </w:r>
      <w:r>
        <w:rPr>
          <w:rFonts w:hint="eastAsia" w:ascii="宋体" w:hAnsi="宋体" w:eastAsia="宋体" w:cs="宋体"/>
          <w:spacing w:val="14"/>
          <w:sz w:val="24"/>
          <w:szCs w:val="24"/>
          <w:highlight w:val="none"/>
        </w:rPr>
        <w:t>个工作日内，在</w:t>
      </w:r>
      <w:r>
        <w:rPr>
          <w:rFonts w:hint="eastAsia" w:ascii="宋体" w:hAnsi="宋体" w:eastAsia="宋体" w:cs="宋体"/>
          <w:spacing w:val="14"/>
          <w:sz w:val="24"/>
          <w:szCs w:val="24"/>
          <w:highlight w:val="none"/>
          <w:lang w:eastAsia="zh-CN"/>
        </w:rPr>
        <w:t>投标单位</w:t>
      </w:r>
      <w:r>
        <w:rPr>
          <w:rFonts w:hint="eastAsia" w:ascii="宋体" w:hAnsi="宋体" w:eastAsia="宋体" w:cs="宋体"/>
          <w:spacing w:val="14"/>
          <w:sz w:val="24"/>
          <w:szCs w:val="24"/>
          <w:highlight w:val="none"/>
        </w:rPr>
        <w:t>须知前附表规定的媒体上公告</w:t>
      </w:r>
      <w:r>
        <w:rPr>
          <w:rFonts w:hint="eastAsia" w:ascii="宋体" w:hAnsi="宋体" w:eastAsia="宋体" w:cs="宋体"/>
          <w:spacing w:val="14"/>
          <w:sz w:val="24"/>
          <w:szCs w:val="24"/>
          <w:highlight w:val="none"/>
          <w:lang w:val="en-US" w:eastAsia="zh-CN"/>
        </w:rPr>
        <w:t>中标</w:t>
      </w:r>
      <w:r>
        <w:rPr>
          <w:rFonts w:hint="eastAsia" w:ascii="宋体" w:hAnsi="宋体" w:eastAsia="宋体" w:cs="宋体"/>
          <w:spacing w:val="14"/>
          <w:sz w:val="24"/>
          <w:szCs w:val="24"/>
          <w:highlight w:val="none"/>
        </w:rPr>
        <w:t>结果，</w:t>
      </w:r>
      <w:r>
        <w:rPr>
          <w:rFonts w:hint="eastAsia" w:ascii="宋体" w:hAnsi="宋体" w:eastAsia="宋体" w:cs="宋体"/>
          <w:spacing w:val="14"/>
          <w:sz w:val="24"/>
          <w:szCs w:val="24"/>
          <w:highlight w:val="none"/>
          <w:lang w:eastAsia="zh-CN"/>
        </w:rPr>
        <w:t>招标文件</w:t>
      </w:r>
      <w:r>
        <w:rPr>
          <w:rFonts w:hint="eastAsia" w:ascii="宋体" w:hAnsi="宋体" w:eastAsia="宋体" w:cs="宋体"/>
          <w:spacing w:val="14"/>
          <w:sz w:val="24"/>
          <w:szCs w:val="24"/>
          <w:highlight w:val="none"/>
        </w:rPr>
        <w:t>随</w:t>
      </w:r>
      <w:r>
        <w:rPr>
          <w:rFonts w:hint="eastAsia" w:ascii="宋体" w:hAnsi="宋体" w:eastAsia="宋体" w:cs="宋体"/>
          <w:spacing w:val="14"/>
          <w:sz w:val="24"/>
          <w:szCs w:val="24"/>
          <w:highlight w:val="none"/>
          <w:lang w:val="en-US" w:eastAsia="zh-CN"/>
        </w:rPr>
        <w:t>中标</w:t>
      </w:r>
      <w:r>
        <w:rPr>
          <w:rFonts w:hint="eastAsia" w:ascii="宋体" w:hAnsi="宋体" w:eastAsia="宋体" w:cs="宋体"/>
          <w:spacing w:val="14"/>
          <w:sz w:val="24"/>
          <w:szCs w:val="24"/>
          <w:highlight w:val="none"/>
        </w:rPr>
        <w:t>结果同时公告。</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7.3 中标通知</w:t>
      </w:r>
    </w:p>
    <w:p>
      <w:pPr>
        <w:pStyle w:val="37"/>
        <w:ind w:firstLine="474" w:firstLineChars="200"/>
        <w:outlineLvl w:val="9"/>
        <w:rPr>
          <w:rFonts w:hint="eastAsia" w:ascii="宋体" w:hAnsi="宋体" w:eastAsia="宋体" w:cs="宋体"/>
          <w:spacing w:val="14"/>
          <w:sz w:val="24"/>
          <w:szCs w:val="24"/>
          <w:highlight w:val="none"/>
          <w:lang w:eastAsia="zh-CN"/>
        </w:rPr>
      </w:pPr>
      <w:r>
        <w:rPr>
          <w:rFonts w:hint="eastAsia" w:ascii="宋体" w:hAnsi="宋体" w:eastAsia="宋体" w:cs="宋体"/>
          <w:spacing w:val="14"/>
          <w:sz w:val="24"/>
          <w:szCs w:val="24"/>
          <w:highlight w:val="none"/>
        </w:rPr>
        <w:t>《</w:t>
      </w:r>
      <w:r>
        <w:rPr>
          <w:rFonts w:hint="eastAsia" w:ascii="宋体" w:hAnsi="宋体" w:eastAsia="宋体" w:cs="宋体"/>
          <w:spacing w:val="14"/>
          <w:sz w:val="24"/>
          <w:szCs w:val="24"/>
          <w:highlight w:val="none"/>
          <w:lang w:eastAsia="zh-CN"/>
        </w:rPr>
        <w:t>中标通知书</w:t>
      </w:r>
      <w:r>
        <w:rPr>
          <w:rFonts w:hint="eastAsia" w:ascii="宋体" w:hAnsi="宋体" w:eastAsia="宋体" w:cs="宋体"/>
          <w:spacing w:val="14"/>
          <w:sz w:val="24"/>
          <w:szCs w:val="24"/>
          <w:highlight w:val="none"/>
        </w:rPr>
        <w:t>》由采购代理机构向</w:t>
      </w:r>
      <w:r>
        <w:rPr>
          <w:rFonts w:hint="eastAsia" w:ascii="宋体" w:hAnsi="宋体" w:eastAsia="宋体" w:cs="宋体"/>
          <w:spacing w:val="14"/>
          <w:sz w:val="24"/>
          <w:szCs w:val="24"/>
          <w:highlight w:val="none"/>
          <w:lang w:eastAsia="zh-CN"/>
        </w:rPr>
        <w:t>中标单位</w:t>
      </w:r>
      <w:r>
        <w:rPr>
          <w:rFonts w:hint="eastAsia" w:ascii="宋体" w:hAnsi="宋体" w:eastAsia="宋体" w:cs="宋体"/>
          <w:spacing w:val="14"/>
          <w:sz w:val="24"/>
          <w:szCs w:val="24"/>
          <w:highlight w:val="none"/>
        </w:rPr>
        <w:t>发出，同时将</w:t>
      </w:r>
      <w:r>
        <w:rPr>
          <w:rFonts w:hint="eastAsia" w:ascii="宋体" w:hAnsi="宋体" w:eastAsia="宋体" w:cs="宋体"/>
          <w:spacing w:val="14"/>
          <w:sz w:val="24"/>
          <w:szCs w:val="24"/>
          <w:highlight w:val="none"/>
          <w:lang w:val="en-US" w:eastAsia="zh-CN"/>
        </w:rPr>
        <w:t>中标</w:t>
      </w:r>
      <w:r>
        <w:rPr>
          <w:rFonts w:hint="eastAsia" w:ascii="宋体" w:hAnsi="宋体" w:eastAsia="宋体" w:cs="宋体"/>
          <w:spacing w:val="14"/>
          <w:sz w:val="24"/>
          <w:szCs w:val="24"/>
          <w:highlight w:val="none"/>
        </w:rPr>
        <w:t>结果通知未</w:t>
      </w:r>
      <w:r>
        <w:rPr>
          <w:rFonts w:hint="eastAsia" w:ascii="宋体" w:hAnsi="宋体" w:eastAsia="宋体" w:cs="宋体"/>
          <w:spacing w:val="14"/>
          <w:sz w:val="24"/>
          <w:szCs w:val="24"/>
          <w:highlight w:val="none"/>
          <w:lang w:val="en-US" w:eastAsia="zh-CN"/>
        </w:rPr>
        <w:t>中标</w:t>
      </w:r>
      <w:r>
        <w:rPr>
          <w:rFonts w:hint="eastAsia" w:ascii="宋体" w:hAnsi="宋体" w:eastAsia="宋体" w:cs="宋体"/>
          <w:spacing w:val="14"/>
          <w:sz w:val="24"/>
          <w:szCs w:val="24"/>
          <w:highlight w:val="none"/>
        </w:rPr>
        <w:t>的</w:t>
      </w:r>
      <w:r>
        <w:rPr>
          <w:rFonts w:hint="eastAsia" w:ascii="宋体" w:hAnsi="宋体" w:eastAsia="宋体" w:cs="宋体"/>
          <w:spacing w:val="14"/>
          <w:sz w:val="24"/>
          <w:szCs w:val="24"/>
          <w:highlight w:val="none"/>
          <w:lang w:eastAsia="zh-CN"/>
        </w:rPr>
        <w:t>投标单位</w:t>
      </w:r>
      <w:r>
        <w:rPr>
          <w:rFonts w:hint="eastAsia" w:ascii="宋体" w:hAnsi="宋体" w:eastAsia="宋体" w:cs="宋体"/>
          <w:spacing w:val="14"/>
          <w:sz w:val="24"/>
          <w:szCs w:val="24"/>
          <w:highlight w:val="none"/>
        </w:rPr>
        <w:t>。</w:t>
      </w:r>
      <w:r>
        <w:rPr>
          <w:rFonts w:hint="eastAsia" w:ascii="宋体" w:hAnsi="宋体" w:eastAsia="宋体" w:cs="宋体"/>
          <w:spacing w:val="14"/>
          <w:sz w:val="24"/>
          <w:szCs w:val="24"/>
          <w:highlight w:val="none"/>
          <w:lang w:eastAsia="zh-CN"/>
        </w:rPr>
        <w:t>投标单位</w:t>
      </w:r>
      <w:r>
        <w:rPr>
          <w:rFonts w:hint="eastAsia" w:ascii="宋体" w:hAnsi="宋体" w:eastAsia="宋体" w:cs="宋体"/>
          <w:spacing w:val="14"/>
          <w:sz w:val="24"/>
          <w:szCs w:val="24"/>
          <w:highlight w:val="none"/>
        </w:rPr>
        <w:t>应在发布</w:t>
      </w:r>
      <w:r>
        <w:rPr>
          <w:rFonts w:hint="eastAsia" w:ascii="宋体" w:hAnsi="宋体" w:eastAsia="宋体" w:cs="宋体"/>
          <w:spacing w:val="14"/>
          <w:sz w:val="24"/>
          <w:szCs w:val="24"/>
          <w:highlight w:val="none"/>
          <w:lang w:eastAsia="zh-CN"/>
        </w:rPr>
        <w:t>中标公告</w:t>
      </w:r>
      <w:r>
        <w:rPr>
          <w:rFonts w:hint="eastAsia" w:ascii="宋体" w:hAnsi="宋体" w:eastAsia="宋体" w:cs="宋体"/>
          <w:spacing w:val="14"/>
          <w:sz w:val="24"/>
          <w:szCs w:val="24"/>
          <w:highlight w:val="none"/>
        </w:rPr>
        <w:t>后的</w:t>
      </w:r>
      <w:r>
        <w:rPr>
          <w:rFonts w:hint="eastAsia" w:ascii="宋体" w:hAnsi="宋体" w:eastAsia="宋体" w:cs="宋体"/>
          <w:spacing w:val="14"/>
          <w:sz w:val="24"/>
          <w:szCs w:val="24"/>
          <w:highlight w:val="none"/>
          <w:lang w:val="en-US" w:eastAsia="zh-CN"/>
        </w:rPr>
        <w:t>1</w:t>
      </w:r>
      <w:r>
        <w:rPr>
          <w:rFonts w:hint="eastAsia" w:ascii="宋体" w:hAnsi="宋体" w:eastAsia="宋体" w:cs="宋体"/>
          <w:spacing w:val="14"/>
          <w:sz w:val="24"/>
          <w:szCs w:val="24"/>
          <w:highlight w:val="none"/>
        </w:rPr>
        <w:t>个工作日内领取</w:t>
      </w:r>
      <w:r>
        <w:rPr>
          <w:rFonts w:hint="eastAsia" w:ascii="宋体" w:hAnsi="宋体" w:eastAsia="宋体" w:cs="宋体"/>
          <w:spacing w:val="14"/>
          <w:sz w:val="24"/>
          <w:szCs w:val="24"/>
          <w:highlight w:val="none"/>
          <w:lang w:eastAsia="zh-CN"/>
        </w:rPr>
        <w:t>中标通知书</w:t>
      </w:r>
      <w:r>
        <w:rPr>
          <w:rFonts w:hint="eastAsia" w:ascii="宋体" w:hAnsi="宋体" w:eastAsia="宋体" w:cs="宋体"/>
          <w:spacing w:val="14"/>
          <w:sz w:val="24"/>
          <w:szCs w:val="24"/>
          <w:highlight w:val="none"/>
        </w:rPr>
        <w:t>，逾期未领的，视同第1个工作日内已领取。《</w:t>
      </w:r>
      <w:r>
        <w:rPr>
          <w:rFonts w:hint="eastAsia" w:ascii="宋体" w:hAnsi="宋体" w:eastAsia="宋体" w:cs="宋体"/>
          <w:spacing w:val="14"/>
          <w:sz w:val="24"/>
          <w:szCs w:val="24"/>
          <w:highlight w:val="none"/>
          <w:lang w:eastAsia="zh-CN"/>
        </w:rPr>
        <w:t>中标通知书</w:t>
      </w:r>
      <w:r>
        <w:rPr>
          <w:rFonts w:hint="eastAsia" w:ascii="宋体" w:hAnsi="宋体" w:eastAsia="宋体" w:cs="宋体"/>
          <w:spacing w:val="14"/>
          <w:sz w:val="24"/>
          <w:szCs w:val="24"/>
          <w:highlight w:val="none"/>
        </w:rPr>
        <w:t>》对</w:t>
      </w:r>
      <w:r>
        <w:rPr>
          <w:rFonts w:hint="eastAsia" w:ascii="宋体" w:hAnsi="宋体" w:eastAsia="宋体" w:cs="宋体"/>
          <w:spacing w:val="14"/>
          <w:sz w:val="24"/>
          <w:szCs w:val="24"/>
          <w:highlight w:val="none"/>
          <w:lang w:eastAsia="zh-CN"/>
        </w:rPr>
        <w:t>招标人</w:t>
      </w:r>
      <w:r>
        <w:rPr>
          <w:rFonts w:hint="eastAsia" w:ascii="宋体" w:hAnsi="宋体" w:eastAsia="宋体" w:cs="宋体"/>
          <w:spacing w:val="14"/>
          <w:sz w:val="24"/>
          <w:szCs w:val="24"/>
          <w:highlight w:val="none"/>
        </w:rPr>
        <w:t>和</w:t>
      </w:r>
      <w:r>
        <w:rPr>
          <w:rFonts w:hint="eastAsia" w:ascii="宋体" w:hAnsi="宋体" w:eastAsia="宋体" w:cs="宋体"/>
          <w:spacing w:val="14"/>
          <w:sz w:val="24"/>
          <w:szCs w:val="24"/>
          <w:highlight w:val="none"/>
          <w:lang w:eastAsia="zh-CN"/>
        </w:rPr>
        <w:t>中标单位</w:t>
      </w:r>
      <w:r>
        <w:rPr>
          <w:rFonts w:hint="eastAsia" w:ascii="宋体" w:hAnsi="宋体" w:eastAsia="宋体" w:cs="宋体"/>
          <w:spacing w:val="14"/>
          <w:sz w:val="24"/>
          <w:szCs w:val="24"/>
          <w:highlight w:val="none"/>
        </w:rPr>
        <w:t>均具有法律效力。《</w:t>
      </w:r>
      <w:r>
        <w:rPr>
          <w:rFonts w:hint="eastAsia" w:ascii="宋体" w:hAnsi="宋体" w:eastAsia="宋体" w:cs="宋体"/>
          <w:spacing w:val="14"/>
          <w:sz w:val="24"/>
          <w:szCs w:val="24"/>
          <w:highlight w:val="none"/>
          <w:lang w:eastAsia="zh-CN"/>
        </w:rPr>
        <w:t>中标通知书</w:t>
      </w:r>
      <w:r>
        <w:rPr>
          <w:rFonts w:hint="eastAsia" w:ascii="宋体" w:hAnsi="宋体" w:eastAsia="宋体" w:cs="宋体"/>
          <w:spacing w:val="14"/>
          <w:sz w:val="24"/>
          <w:szCs w:val="24"/>
          <w:highlight w:val="none"/>
        </w:rPr>
        <w:t>》、</w:t>
      </w:r>
      <w:r>
        <w:rPr>
          <w:rFonts w:hint="eastAsia" w:ascii="宋体" w:hAnsi="宋体" w:eastAsia="宋体" w:cs="宋体"/>
          <w:spacing w:val="14"/>
          <w:sz w:val="24"/>
          <w:szCs w:val="24"/>
          <w:highlight w:val="none"/>
          <w:lang w:eastAsia="zh-CN"/>
        </w:rPr>
        <w:t>招标文件</w:t>
      </w:r>
      <w:r>
        <w:rPr>
          <w:rFonts w:hint="eastAsia" w:ascii="宋体" w:hAnsi="宋体" w:eastAsia="宋体" w:cs="宋体"/>
          <w:spacing w:val="14"/>
          <w:sz w:val="24"/>
          <w:szCs w:val="24"/>
          <w:highlight w:val="none"/>
        </w:rPr>
        <w:t>、</w:t>
      </w:r>
      <w:r>
        <w:rPr>
          <w:rFonts w:hint="eastAsia" w:ascii="宋体" w:hAnsi="宋体" w:eastAsia="宋体" w:cs="宋体"/>
          <w:spacing w:val="14"/>
          <w:sz w:val="24"/>
          <w:szCs w:val="24"/>
          <w:highlight w:val="none"/>
          <w:lang w:eastAsia="zh-CN"/>
        </w:rPr>
        <w:t>中标单位</w:t>
      </w:r>
      <w:r>
        <w:rPr>
          <w:rFonts w:hint="eastAsia" w:ascii="宋体" w:hAnsi="宋体" w:eastAsia="宋体" w:cs="宋体"/>
          <w:spacing w:val="14"/>
          <w:sz w:val="24"/>
          <w:szCs w:val="24"/>
          <w:highlight w:val="none"/>
        </w:rPr>
        <w:t>的</w:t>
      </w:r>
      <w:r>
        <w:rPr>
          <w:rFonts w:hint="eastAsia" w:ascii="宋体" w:hAnsi="宋体" w:eastAsia="宋体" w:cs="宋体"/>
          <w:spacing w:val="14"/>
          <w:sz w:val="24"/>
          <w:szCs w:val="24"/>
          <w:highlight w:val="none"/>
          <w:lang w:eastAsia="zh-CN"/>
        </w:rPr>
        <w:t>投标文件</w:t>
      </w:r>
      <w:r>
        <w:rPr>
          <w:rFonts w:hint="eastAsia" w:ascii="宋体" w:hAnsi="宋体" w:eastAsia="宋体" w:cs="宋体"/>
          <w:spacing w:val="14"/>
          <w:sz w:val="24"/>
          <w:szCs w:val="24"/>
          <w:highlight w:val="none"/>
        </w:rPr>
        <w:t>及其澄清文件均为签订合同的依据。</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lang w:eastAsia="zh-CN"/>
        </w:rPr>
      </w:pPr>
      <w:r>
        <w:rPr>
          <w:rFonts w:hint="eastAsia" w:ascii="宋体" w:hAnsi="宋体" w:eastAsia="宋体" w:cs="宋体"/>
          <w:spacing w:val="14"/>
          <w:sz w:val="24"/>
          <w:szCs w:val="24"/>
          <w:highlight w:val="none"/>
        </w:rPr>
        <w:t>7.4 履约保证金</w:t>
      </w:r>
      <w:r>
        <w:rPr>
          <w:rFonts w:hint="eastAsia" w:ascii="宋体" w:hAnsi="宋体" w:eastAsia="宋体" w:cs="宋体"/>
          <w:spacing w:val="14"/>
          <w:sz w:val="24"/>
          <w:szCs w:val="24"/>
          <w:highlight w:val="none"/>
          <w:lang w:eastAsia="zh-CN"/>
        </w:rPr>
        <w:t>（不收取）</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7.4.1 在签订合同</w:t>
      </w:r>
      <w:r>
        <w:rPr>
          <w:rFonts w:hint="eastAsia" w:ascii="宋体" w:hAnsi="宋体" w:eastAsia="宋体" w:cs="宋体"/>
          <w:spacing w:val="14"/>
          <w:sz w:val="24"/>
          <w:szCs w:val="24"/>
          <w:highlight w:val="none"/>
          <w:lang w:val="en-US" w:eastAsia="zh-CN"/>
        </w:rPr>
        <w:t>时</w:t>
      </w:r>
      <w:r>
        <w:rPr>
          <w:rFonts w:hint="eastAsia" w:ascii="宋体" w:hAnsi="宋体" w:eastAsia="宋体" w:cs="宋体"/>
          <w:spacing w:val="14"/>
          <w:sz w:val="24"/>
          <w:szCs w:val="24"/>
          <w:highlight w:val="none"/>
        </w:rPr>
        <w:t>，中标人应按</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须知前附表规定的形式、金额和事先经过采购人书面认可的履约保证金格式向采购人提交履约保证金。联合体中标的，其履约保证金以联合体各方或者联合体中牵头人的名义提交。</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7.5 签订合同</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lang w:val="en-US" w:eastAsia="zh-CN"/>
        </w:rPr>
        <w:t>7.5.1 依据洛财购[2022]5号文件，招标人和中标单位应当在中标通知书发出之日起1个工作日内，根据招标文件和中标单位的投标文件订立书面合同。中标单位无正当理由拒签合同，在签订合同时向招标人提出附加条件，或者不按照招标文件要求提交履约保证金的，招标人有权取消其成交资格；给招标人造成的损失的，中标单位还应当予以赔偿</w:t>
      </w:r>
      <w:r>
        <w:rPr>
          <w:rFonts w:hint="eastAsia" w:ascii="宋体" w:hAnsi="宋体" w:eastAsia="宋体" w:cs="宋体"/>
          <w:spacing w:val="14"/>
          <w:sz w:val="24"/>
          <w:szCs w:val="24"/>
          <w:highlight w:val="none"/>
        </w:rPr>
        <w:t>。</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7.5.2 发出中标通知书后，采购人无正当理由拒签合同，或者在签订合同时向中标人提出附加条件的，采购人有权取消其中标资格，给中标人造成损失的，还应当赔偿损失。</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7.5.3 联合体中标的，联合体各方应当共同与采购人签订合同，就中标项目向采购人承担连带责任。</w:t>
      </w:r>
    </w:p>
    <w:p>
      <w:pPr>
        <w:pStyle w:val="34"/>
        <w:spacing w:before="0" w:after="0" w:line="240" w:lineRule="auto"/>
        <w:ind w:firstLine="418" w:firstLineChars="200"/>
        <w:jc w:val="left"/>
        <w:outlineLvl w:val="9"/>
        <w:rPr>
          <w:rFonts w:hint="eastAsia" w:ascii="宋体" w:hAnsi="宋体" w:eastAsia="宋体" w:cs="宋体"/>
          <w:sz w:val="24"/>
          <w:szCs w:val="24"/>
          <w:highlight w:val="none"/>
        </w:rPr>
      </w:pPr>
      <w:bookmarkStart w:id="46" w:name="_Toc256000038"/>
      <w:bookmarkStart w:id="47" w:name="_Toc256000058"/>
      <w:bookmarkStart w:id="48" w:name="_Toc256000015"/>
      <w:bookmarkStart w:id="49" w:name="_Toc256000084"/>
      <w:r>
        <w:rPr>
          <w:rFonts w:hint="eastAsia" w:ascii="宋体" w:hAnsi="宋体" w:eastAsia="宋体" w:cs="宋体"/>
          <w:sz w:val="24"/>
          <w:szCs w:val="24"/>
          <w:highlight w:val="none"/>
        </w:rPr>
        <w:t>8、纪律和监督</w:t>
      </w:r>
      <w:bookmarkEnd w:id="46"/>
      <w:bookmarkEnd w:id="47"/>
      <w:bookmarkEnd w:id="48"/>
      <w:bookmarkEnd w:id="49"/>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8.1 对采购人的纪律要求</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8.1.1不得以不合理的条件对</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实行差别待遇或者歧视待遇，排斥其他</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公平参与竞争；</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8.1.2不得与</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或采购代理机构串通损害国家利益、社会公共利益或者他人合法权益；</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8.1.3不得诱导、干预或影响评标委员会依法依规评标，不得诱导、干预或影响评标专家依法依规独立评标；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8.1.4不得泄漏采购活动中应当保密的情况和资料；</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8.1.5不得接受</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或采购代理机构的贿赂，或获取其他不正当利益；</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8.1.6不得无正当理拒绝与中标人签订合同；</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8.1.7参与采购活动的相关人员与</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有利害关系的应当回避；</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8.1.8采购过程中，不得有其他违法违规行为。</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8.2 对</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的纪律要求</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8.2.1不得以他人名义投标；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8.2.2</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不得相互串通投标，不得与采购人、与采购代理机构串通投标；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8.2.3不得向采购人或者评标委员会成员行贿，或提供其他不正当利益谋取中标；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8.2.4不得弄虚作假骗取中标，不得虚假应标，不得恶意低价抢标；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8.2.5</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不得以任何方式干扰、影响评标工作；</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8.2.6不得无正当理由弃标或中标后拒绝与采购人签订合同；</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8.2.7不得恶意诋毁其他</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、采购人或采购代理机构；</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8.2.8在参与政府采购活动中，不得有其他违法违规行为。</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8.3 对评标委员会成员的纪律要求</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8.3.1确定参与评标至评标结束前，不得私自接触</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8.3.2不得与</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或采购代理机构串通损害国家利益、社会公共利益或者他人合法权益；</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8.3.3不得接受</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主动提出的与投标文件不一致的澄清和说明；</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8.3.4不得征询采购人的倾向性意见；</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8.3.5不得对主观评审因素协商评分；</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8.3.6不得对客观评审因素评分不一致；</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8.3.7评标委员会成员不得接受</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、采购人和采购代理机构等他人的贿赂或者其他不正当利益；</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8.3.8不得以不合理的条件对</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实行差别待遇或者歧视待遇，排斥其他</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公平参与竞争；</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8.3.9不得使用招标文件没有规定的评标方法和评标标准进行评标；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8.3.10不得诱导、干预或影响其他评标专家依法依规独立评标；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8.3.11在评标活动中，评标委员会成员不得擅离职守，影响评标工作正常进行；</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8.3.12不得记录、复制或带走任何评标资料；</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8.3.11不得泄露评标过程中获悉的对投标文件的评审和比较、中标候选人的推荐情况以及与评标有关的应当保密的情况和资料；</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8.3.13评标委员会成员与</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存在利害关系应当回避；</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8.3.14在参与政府采购评标活动中，不得有其他违法违规行为。</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8.4 对与评标活动有关的工作人员的纪律要求</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8.4.1不得接受</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、采购人和采购代理机构等他人的贿赂或者其他不正当利益；</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8.4.2不得与</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、采购代理机构或评标专家串通损害国家利益、社会公共利益或者他人合法权益；</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8.4.3不得以不合理的条件对</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实行差别待遇或者歧视待遇，排斥其他</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公平参与竞争；</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8.4.4不得诱导、干预或影响评标委员会及其成员依法依规独立评标；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8.4.5不得擅离职守，影响评标工作正常进行；</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8.4.6不得泄漏采购活动中应当保密的情况和资料；</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8.4.7与</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有利害关系的应当回避；</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8.4.8在参与或服务政府采购活动中，不得有其他违法违规行为。</w:t>
      </w:r>
    </w:p>
    <w:p>
      <w:pPr>
        <w:pStyle w:val="35"/>
        <w:spacing w:before="0" w:after="0" w:line="240" w:lineRule="auto"/>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8.5质疑和投诉</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8.5.1</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认为本次招标活动的招标文件、采购过程和中标结果使自己的权益受到损害的，在知道或应知其权益受到损害之日起7个工作日内有权在法定质疑期内，按规定的程序针对同一采购程序环节一次性实名向采购人、采购代理机构提出书面质疑。质疑函应采用中华人民共和国财政部制定的范本（见附件：质疑函范本）。质疑函及授权委托书应按规定签字并加盖公章。</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8.5.2质疑函的递交方式：见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 xml:space="preserve">须知前附表。 </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8.5.3对采购人、采购代理机构的答复不满意或者采购人、采购代理机构未在规定的时间内作出答复的，</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可以在质疑答复期满后15个工作日内实名向（项目所属）同级政府采购监督管理部门投诉。</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8.5.4质疑和投诉应有具体的质疑（投诉）事项和必要的证明材料或事实根据，</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对其质疑和投诉内容的真实性及其来源的合法性承担法律责任。</w:t>
      </w:r>
    </w:p>
    <w:p>
      <w:pPr>
        <w:pStyle w:val="34"/>
        <w:spacing w:before="0" w:after="0" w:line="240" w:lineRule="auto"/>
        <w:ind w:firstLine="418" w:firstLineChars="200"/>
        <w:jc w:val="left"/>
        <w:outlineLvl w:val="9"/>
        <w:rPr>
          <w:rFonts w:hint="eastAsia" w:ascii="宋体" w:hAnsi="宋体" w:eastAsia="宋体" w:cs="宋体"/>
          <w:sz w:val="24"/>
          <w:szCs w:val="24"/>
          <w:highlight w:val="none"/>
        </w:rPr>
      </w:pPr>
      <w:bookmarkStart w:id="50" w:name="_Toc256000059"/>
      <w:bookmarkStart w:id="51" w:name="_Toc256000016"/>
      <w:bookmarkStart w:id="52" w:name="_Toc256000039"/>
      <w:bookmarkStart w:id="53" w:name="_Toc256000086"/>
      <w:r>
        <w:rPr>
          <w:rFonts w:hint="eastAsia" w:ascii="宋体" w:hAnsi="宋体" w:eastAsia="宋体" w:cs="宋体"/>
          <w:sz w:val="24"/>
          <w:szCs w:val="24"/>
          <w:highlight w:val="none"/>
        </w:rPr>
        <w:t>9、样品</w:t>
      </w:r>
      <w:bookmarkEnd w:id="50"/>
      <w:bookmarkEnd w:id="51"/>
      <w:bookmarkEnd w:id="52"/>
      <w:bookmarkEnd w:id="53"/>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如本招标项目需要提供样品，样品的具体要求见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34"/>
        <w:spacing w:before="0" w:after="0" w:line="240" w:lineRule="auto"/>
        <w:ind w:firstLine="418" w:firstLineChars="200"/>
        <w:jc w:val="left"/>
        <w:outlineLvl w:val="9"/>
        <w:rPr>
          <w:rFonts w:hint="eastAsia" w:ascii="宋体" w:hAnsi="宋体" w:eastAsia="宋体" w:cs="宋体"/>
          <w:sz w:val="24"/>
          <w:szCs w:val="24"/>
          <w:highlight w:val="none"/>
        </w:rPr>
      </w:pPr>
      <w:bookmarkStart w:id="54" w:name="_Toc256000087"/>
      <w:bookmarkStart w:id="55" w:name="_Toc256000061"/>
      <w:bookmarkStart w:id="56" w:name="_Toc256000017"/>
      <w:bookmarkStart w:id="57" w:name="_Toc256000040"/>
      <w:r>
        <w:rPr>
          <w:rFonts w:hint="eastAsia" w:ascii="宋体" w:hAnsi="宋体" w:eastAsia="宋体" w:cs="宋体"/>
          <w:sz w:val="24"/>
          <w:szCs w:val="24"/>
          <w:highlight w:val="none"/>
        </w:rPr>
        <w:t>10、相同品牌产品投标的处理</w:t>
      </w:r>
      <w:bookmarkEnd w:id="54"/>
      <w:bookmarkEnd w:id="55"/>
      <w:bookmarkEnd w:id="56"/>
      <w:bookmarkEnd w:id="57"/>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相同品牌产品投标的处理办法见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34"/>
        <w:spacing w:before="0" w:after="0" w:line="240" w:lineRule="auto"/>
        <w:ind w:firstLine="418" w:firstLineChars="200"/>
        <w:jc w:val="left"/>
        <w:outlineLvl w:val="9"/>
        <w:rPr>
          <w:rFonts w:hint="eastAsia" w:ascii="宋体" w:hAnsi="宋体" w:eastAsia="宋体" w:cs="宋体"/>
          <w:sz w:val="24"/>
          <w:szCs w:val="24"/>
          <w:highlight w:val="none"/>
        </w:rPr>
      </w:pPr>
      <w:bookmarkStart w:id="58" w:name="_Toc256000041"/>
      <w:bookmarkStart w:id="59" w:name="_Toc256000062"/>
      <w:bookmarkStart w:id="60" w:name="_Toc256000018"/>
      <w:bookmarkStart w:id="61" w:name="_Toc256000088"/>
      <w:r>
        <w:rPr>
          <w:rFonts w:hint="eastAsia" w:ascii="宋体" w:hAnsi="宋体" w:eastAsia="宋体" w:cs="宋体"/>
          <w:sz w:val="24"/>
          <w:szCs w:val="24"/>
          <w:highlight w:val="none"/>
        </w:rPr>
        <w:t>11、需要补充的其他内容</w:t>
      </w:r>
      <w:bookmarkEnd w:id="58"/>
      <w:bookmarkEnd w:id="59"/>
      <w:bookmarkEnd w:id="60"/>
      <w:bookmarkEnd w:id="61"/>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需要补充的其他内容：见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w:t>
      </w:r>
    </w:p>
    <w:p>
      <w:pPr>
        <w:pStyle w:val="34"/>
        <w:spacing w:before="0" w:after="0" w:line="240" w:lineRule="auto"/>
        <w:ind w:firstLine="418" w:firstLineChars="200"/>
        <w:jc w:val="left"/>
        <w:outlineLvl w:val="9"/>
        <w:rPr>
          <w:rFonts w:hint="eastAsia" w:ascii="宋体" w:hAnsi="宋体" w:eastAsia="宋体" w:cs="宋体"/>
          <w:sz w:val="24"/>
          <w:szCs w:val="24"/>
          <w:highlight w:val="none"/>
        </w:rPr>
      </w:pPr>
      <w:bookmarkStart w:id="62" w:name="_Toc256000042"/>
      <w:bookmarkStart w:id="63" w:name="_Toc256000089"/>
      <w:bookmarkStart w:id="64" w:name="_Toc256000063"/>
      <w:bookmarkStart w:id="65" w:name="_Toc256000019"/>
      <w:r>
        <w:rPr>
          <w:rFonts w:hint="eastAsia" w:ascii="宋体" w:hAnsi="宋体" w:eastAsia="宋体" w:cs="宋体"/>
          <w:sz w:val="24"/>
          <w:szCs w:val="24"/>
          <w:highlight w:val="none"/>
        </w:rPr>
        <w:t>12、公开招标失败转为竞争性谈判方式采购</w:t>
      </w:r>
      <w:bookmarkEnd w:id="62"/>
      <w:bookmarkEnd w:id="63"/>
      <w:bookmarkEnd w:id="64"/>
      <w:bookmarkEnd w:id="65"/>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12.1本项目（标段）招标过程中提交投标文件并经评标委员会评审实质性响应招标文件要求的</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只有两家时，采购人、采购代理机构按照规定程序报经本级财政部门批准后可以与该两家</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进行竞争性谈判采购，采购人、采购代理机构应当根据招标文件中的采购需求编制谈判文件，成立谈判小组，由谈判小组对谈判文件进行确认。</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12.2公开招标失败项目转为竞争性谈判方式采购的，原招标文件的采购需求转为谈判文件的相应内容。</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的原投标文件转为谈判响应文件。评标委员会转为谈判小组，不再按原评标办法对原</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（以下称为</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）进行评审打分，并按下述程序确定成交</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12.3谈判的主要程序</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12.3.1谈判小组对</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的响应文件进行评审。未实质性响应谈判文件的响应文件按无效处理。</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12.3.2谈判小组所有成员集中与实质性响应谈判文件要求的单一</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分别进行谈判，并给予所有参加谈判的</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平等的谈判机会。</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12.3.3在谈判过程中，谈判小组可以根据谈判文件和谈判情况实质性变动采购需求中的技术、服务要求以及合同草案条款。对谈判文件做出的实质性变动是谈判文件的有效组成部分，须经采购人代表签字确认。谈判小组以书面形式同时通知所有参加谈判的</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 xml:space="preserve">。 </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12.3.4</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按照谈判文件的变动情况和谈判小组的要求重新提交响应文件的，由其法定代表人或其委托代理人签字或者加盖公章。</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12.3.5谈判文件详细列明采购项目的技术、服务要求后，谈判小组要求所有继续参加谈判的</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在规定时间内提交最后报价。</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12.3.6最后报价是</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响应文件的有效组成部分。</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12.3.7谈判小组从质量和服务均能满足谈判文件实质性响应要求的</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中，按照最后报价由低到高的顺序推荐成交候选人。</w:t>
      </w:r>
    </w:p>
    <w:p>
      <w:pPr>
        <w:pStyle w:val="21"/>
        <w:outlineLvl w:val="9"/>
        <w:rPr>
          <w:rFonts w:hint="eastAsia" w:ascii="宋体" w:hAnsi="宋体" w:eastAsia="宋体" w:cs="宋体"/>
          <w:spacing w:val="14"/>
          <w:sz w:val="24"/>
          <w:szCs w:val="24"/>
          <w:highlight w:val="none"/>
        </w:rPr>
      </w:pPr>
    </w:p>
    <w:p>
      <w:pPr>
        <w:pStyle w:val="34"/>
        <w:spacing w:before="0" w:after="0" w:line="240" w:lineRule="auto"/>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bookmarkStart w:id="66" w:name="_Toc256000090"/>
      <w:bookmarkStart w:id="67" w:name="_Toc256000064"/>
      <w:bookmarkStart w:id="68" w:name="_Toc256000043"/>
      <w:bookmarkStart w:id="69" w:name="_Toc256000020"/>
      <w:r>
        <w:rPr>
          <w:rFonts w:hint="eastAsia" w:ascii="宋体" w:hAnsi="宋体" w:eastAsia="宋体" w:cs="宋体"/>
          <w:sz w:val="24"/>
          <w:szCs w:val="24"/>
          <w:highlight w:val="none"/>
        </w:rPr>
        <w:t>附件：质疑函范本</w:t>
      </w:r>
      <w:bookmarkEnd w:id="66"/>
      <w:bookmarkEnd w:id="67"/>
      <w:bookmarkEnd w:id="68"/>
      <w:bookmarkEnd w:id="69"/>
    </w:p>
    <w:p>
      <w:pPr>
        <w:pStyle w:val="21"/>
        <w:jc w:val="center"/>
        <w:outlineLvl w:val="9"/>
        <w:rPr>
          <w:rFonts w:hint="eastAsia" w:ascii="宋体" w:hAnsi="宋体" w:eastAsia="宋体" w:cs="宋体"/>
          <w:b/>
          <w:spacing w:val="14"/>
          <w:sz w:val="24"/>
          <w:szCs w:val="24"/>
          <w:highlight w:val="none"/>
        </w:rPr>
      </w:pPr>
      <w:r>
        <w:rPr>
          <w:rFonts w:hint="eastAsia" w:ascii="宋体" w:hAnsi="宋体" w:eastAsia="宋体" w:cs="宋体"/>
          <w:b/>
          <w:spacing w:val="14"/>
          <w:sz w:val="24"/>
          <w:szCs w:val="24"/>
          <w:highlight w:val="none"/>
        </w:rPr>
        <w:t>质疑函</w:t>
      </w:r>
    </w:p>
    <w:p>
      <w:pPr>
        <w:pStyle w:val="21"/>
        <w:jc w:val="center"/>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w:t>
      </w:r>
    </w:p>
    <w:p>
      <w:pPr>
        <w:pStyle w:val="15"/>
        <w:ind w:firstLine="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一、质疑</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基本信息</w:t>
      </w:r>
    </w:p>
    <w:p>
      <w:pPr>
        <w:pStyle w:val="15"/>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质疑</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dotted"/>
        </w:rPr>
        <w:t xml:space="preserve">                                        </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p>
    <w:p>
      <w:pPr>
        <w:pStyle w:val="15"/>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dotted"/>
        </w:rPr>
        <w:t xml:space="preserve">                                          </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 xml:space="preserve"> </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地址： </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p>
    <w:p>
      <w:pPr>
        <w:pStyle w:val="15"/>
        <w:ind w:firstLine="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二、质疑项目基本情况</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质疑项目的名称：</w:t>
      </w:r>
      <w:r>
        <w:rPr>
          <w:rFonts w:hint="eastAsia" w:ascii="宋体" w:hAnsi="宋体" w:eastAsia="宋体" w:cs="宋体"/>
          <w:sz w:val="24"/>
          <w:szCs w:val="24"/>
          <w:highlight w:val="none"/>
          <w:u w:val="dotted"/>
        </w:rPr>
        <w:t xml:space="preserve">                                          </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质疑项目的编号：</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包号：</w:t>
      </w:r>
      <w:r>
        <w:rPr>
          <w:rFonts w:hint="eastAsia" w:ascii="宋体" w:hAnsi="宋体" w:eastAsia="宋体" w:cs="宋体"/>
          <w:sz w:val="24"/>
          <w:szCs w:val="24"/>
          <w:highlight w:val="none"/>
          <w:u w:val="dotted"/>
        </w:rPr>
        <w:t xml:space="preserve">                       </w:t>
      </w:r>
    </w:p>
    <w:p>
      <w:pPr>
        <w:pStyle w:val="15"/>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采购人名称：</w:t>
      </w:r>
      <w:r>
        <w:rPr>
          <w:rFonts w:hint="eastAsia" w:ascii="宋体" w:hAnsi="宋体" w:eastAsia="宋体" w:cs="宋体"/>
          <w:sz w:val="24"/>
          <w:szCs w:val="24"/>
          <w:highlight w:val="none"/>
          <w:u w:val="dotted"/>
        </w:rPr>
        <w:t xml:space="preserve">                                               </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采购文件获取日期：</w:t>
      </w:r>
      <w:r>
        <w:rPr>
          <w:rFonts w:hint="eastAsia" w:ascii="宋体" w:hAnsi="宋体" w:eastAsia="宋体" w:cs="宋体"/>
          <w:sz w:val="24"/>
          <w:szCs w:val="24"/>
          <w:highlight w:val="none"/>
          <w:u w:val="dotted"/>
        </w:rPr>
        <w:t xml:space="preserve">                                             </w:t>
      </w:r>
    </w:p>
    <w:p>
      <w:pPr>
        <w:pStyle w:val="15"/>
        <w:ind w:firstLine="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三、质疑事项具体内容</w:t>
      </w:r>
    </w:p>
    <w:p>
      <w:pPr>
        <w:pStyle w:val="15"/>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质疑事项1：</w:t>
      </w:r>
      <w:r>
        <w:rPr>
          <w:rFonts w:hint="eastAsia" w:ascii="宋体" w:hAnsi="宋体" w:eastAsia="宋体" w:cs="宋体"/>
          <w:sz w:val="24"/>
          <w:szCs w:val="24"/>
          <w:highlight w:val="none"/>
          <w:u w:val="dotted"/>
        </w:rPr>
        <w:t xml:space="preserve">                                               </w:t>
      </w:r>
    </w:p>
    <w:p>
      <w:pPr>
        <w:pStyle w:val="15"/>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事实依据：</w:t>
      </w:r>
      <w:r>
        <w:rPr>
          <w:rFonts w:hint="eastAsia" w:ascii="宋体" w:hAnsi="宋体" w:eastAsia="宋体" w:cs="宋体"/>
          <w:sz w:val="24"/>
          <w:szCs w:val="24"/>
          <w:highlight w:val="none"/>
          <w:u w:val="dotted"/>
        </w:rPr>
        <w:t xml:space="preserve">                                                </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u w:val="dotted"/>
        </w:rPr>
        <w:t xml:space="preserve">                                                           </w:t>
      </w:r>
    </w:p>
    <w:p>
      <w:pPr>
        <w:pStyle w:val="15"/>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法律依据：</w:t>
      </w:r>
      <w:r>
        <w:rPr>
          <w:rFonts w:hint="eastAsia" w:ascii="宋体" w:hAnsi="宋体" w:eastAsia="宋体" w:cs="宋体"/>
          <w:sz w:val="24"/>
          <w:szCs w:val="24"/>
          <w:highlight w:val="none"/>
          <w:u w:val="dotted"/>
        </w:rPr>
        <w:t xml:space="preserve">                                                </w:t>
      </w:r>
    </w:p>
    <w:p>
      <w:pPr>
        <w:pStyle w:val="15"/>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u w:val="dotted"/>
        </w:rPr>
        <w:t xml:space="preserve">                                                           </w:t>
      </w:r>
    </w:p>
    <w:p>
      <w:pPr>
        <w:pStyle w:val="15"/>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质疑事项2</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pPr>
        <w:pStyle w:val="15"/>
        <w:ind w:firstLine="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四、与质疑事项相关的质疑请求</w:t>
      </w:r>
    </w:p>
    <w:p>
      <w:pPr>
        <w:pStyle w:val="15"/>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请求：</w:t>
      </w:r>
      <w:r>
        <w:rPr>
          <w:rFonts w:hint="eastAsia" w:ascii="宋体" w:hAnsi="宋体" w:eastAsia="宋体" w:cs="宋体"/>
          <w:sz w:val="24"/>
          <w:szCs w:val="24"/>
          <w:highlight w:val="none"/>
          <w:u w:val="dotted"/>
        </w:rPr>
        <w:t xml:space="preserve">                                               </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签字(签章)：                   公章： </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日期：    </w:t>
      </w:r>
    </w:p>
    <w:p>
      <w:pPr>
        <w:pStyle w:val="21"/>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质疑函制作说明：</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提出质疑时，应提交质疑函和必要的证明材料。</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若委托代理人进行质疑的，质疑函应按要求列明“授权代表”的有关内容，并在附件中提交由质疑</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签署的授权委托书。授权委托书应载明代理人的姓名或者名称、代理事项、具体权限、期限和相关事项。</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3.质疑</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若对项目的某一分包进行质疑，质疑函中应列明具体分包号。</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4.质疑函的质疑事项应具体、明确，并有必要的事实依据和法律依据。</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5.质疑函的质疑请求应与质疑事项相关。</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6.质疑</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为自然人的，质疑函应由本人签字；质疑</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为法人或者其他组织的，质疑函应由法定代表人、主要负责人，或者其授权代表签字或者盖章，并加盖公章。</w:t>
      </w:r>
    </w:p>
    <w:p>
      <w:pPr>
        <w:pStyle w:val="20"/>
        <w:spacing w:before="0" w:after="0" w:line="240" w:lineRule="auto"/>
        <w:ind w:firstLine="475"/>
        <w:outlineLvl w:val="9"/>
        <w:rPr>
          <w:rFonts w:hint="eastAsia" w:ascii="宋体" w:hAnsi="宋体" w:eastAsia="宋体" w:cs="宋体"/>
          <w:spacing w:val="14"/>
          <w:sz w:val="24"/>
          <w:szCs w:val="24"/>
          <w:highlight w:val="none"/>
          <w:lang w:val="en-US" w:eastAsia="zh-CN"/>
        </w:rPr>
      </w:pPr>
      <w:bookmarkStart w:id="70" w:name="_Toc256000065"/>
      <w:bookmarkStart w:id="71" w:name="_Toc256000021"/>
      <w:bookmarkStart w:id="72" w:name="_Toc256000046"/>
      <w:bookmarkStart w:id="73" w:name="_Toc17227"/>
    </w:p>
    <w:p>
      <w:pPr>
        <w:pStyle w:val="21"/>
        <w:outlineLvl w:val="9"/>
        <w:rPr>
          <w:rFonts w:hint="eastAsia" w:ascii="宋体" w:hAnsi="宋体" w:eastAsia="宋体" w:cs="宋体"/>
          <w:spacing w:val="14"/>
          <w:sz w:val="24"/>
          <w:szCs w:val="24"/>
          <w:highlight w:val="none"/>
        </w:rPr>
      </w:pPr>
    </w:p>
    <w:p>
      <w:pPr>
        <w:pStyle w:val="22"/>
        <w:ind w:left="358" w:firstLine="474"/>
        <w:outlineLvl w:val="9"/>
        <w:rPr>
          <w:rFonts w:hint="eastAsia" w:ascii="宋体" w:hAnsi="宋体" w:eastAsia="宋体" w:cs="宋体"/>
          <w:spacing w:val="14"/>
          <w:sz w:val="24"/>
          <w:szCs w:val="24"/>
          <w:highlight w:val="none"/>
          <w:lang w:val="en-US" w:eastAsia="zh-CN"/>
        </w:rPr>
      </w:pPr>
    </w:p>
    <w:p>
      <w:pPr>
        <w:pStyle w:val="22"/>
        <w:ind w:left="358" w:firstLine="474"/>
        <w:outlineLvl w:val="9"/>
        <w:rPr>
          <w:rFonts w:hint="eastAsia" w:ascii="宋体" w:hAnsi="宋体" w:eastAsia="宋体" w:cs="宋体"/>
          <w:spacing w:val="14"/>
          <w:sz w:val="24"/>
          <w:szCs w:val="24"/>
          <w:highlight w:val="none"/>
          <w:lang w:val="en-US" w:eastAsia="zh-CN"/>
        </w:rPr>
      </w:pPr>
    </w:p>
    <w:p>
      <w:pPr>
        <w:pStyle w:val="22"/>
        <w:ind w:left="358" w:firstLine="474"/>
        <w:outlineLvl w:val="9"/>
        <w:rPr>
          <w:rFonts w:hint="eastAsia" w:ascii="宋体" w:hAnsi="宋体" w:eastAsia="宋体" w:cs="宋体"/>
          <w:spacing w:val="14"/>
          <w:sz w:val="24"/>
          <w:szCs w:val="24"/>
          <w:highlight w:val="none"/>
          <w:lang w:val="en-US" w:eastAsia="zh-CN"/>
        </w:rPr>
      </w:pPr>
    </w:p>
    <w:p>
      <w:pPr>
        <w:pStyle w:val="22"/>
        <w:ind w:left="358" w:firstLine="474"/>
        <w:outlineLvl w:val="9"/>
        <w:rPr>
          <w:rFonts w:hint="eastAsia" w:ascii="宋体" w:hAnsi="宋体" w:eastAsia="宋体" w:cs="宋体"/>
          <w:spacing w:val="14"/>
          <w:sz w:val="24"/>
          <w:szCs w:val="24"/>
          <w:highlight w:val="none"/>
          <w:lang w:val="en-US" w:eastAsia="zh-CN"/>
        </w:rPr>
      </w:pPr>
    </w:p>
    <w:p>
      <w:pPr>
        <w:pStyle w:val="22"/>
        <w:ind w:left="358" w:firstLine="474"/>
        <w:outlineLvl w:val="9"/>
        <w:rPr>
          <w:rFonts w:hint="eastAsia" w:ascii="宋体" w:hAnsi="宋体" w:eastAsia="宋体" w:cs="宋体"/>
          <w:spacing w:val="14"/>
          <w:sz w:val="24"/>
          <w:szCs w:val="24"/>
          <w:highlight w:val="none"/>
          <w:lang w:val="en-US" w:eastAsia="zh-CN"/>
        </w:rPr>
      </w:pPr>
    </w:p>
    <w:p>
      <w:pPr>
        <w:pStyle w:val="22"/>
        <w:ind w:left="358" w:firstLine="474"/>
        <w:outlineLvl w:val="9"/>
        <w:rPr>
          <w:rFonts w:hint="eastAsia" w:ascii="宋体" w:hAnsi="宋体" w:eastAsia="宋体" w:cs="宋体"/>
          <w:spacing w:val="14"/>
          <w:sz w:val="24"/>
          <w:szCs w:val="24"/>
          <w:highlight w:val="none"/>
          <w:lang w:val="en-US" w:eastAsia="zh-CN"/>
        </w:rPr>
      </w:pPr>
    </w:p>
    <w:p>
      <w:pPr>
        <w:pStyle w:val="22"/>
        <w:ind w:left="358" w:firstLine="474"/>
        <w:outlineLvl w:val="9"/>
        <w:rPr>
          <w:rFonts w:hint="eastAsia" w:ascii="宋体" w:hAnsi="宋体" w:eastAsia="宋体" w:cs="宋体"/>
          <w:spacing w:val="14"/>
          <w:sz w:val="24"/>
          <w:szCs w:val="24"/>
          <w:highlight w:val="none"/>
          <w:lang w:val="en-US" w:eastAsia="zh-CN"/>
        </w:rPr>
      </w:pPr>
    </w:p>
    <w:p>
      <w:pPr>
        <w:pStyle w:val="22"/>
        <w:ind w:left="358" w:firstLine="474"/>
        <w:outlineLvl w:val="9"/>
        <w:rPr>
          <w:rFonts w:hint="eastAsia" w:ascii="宋体" w:hAnsi="宋体" w:eastAsia="宋体" w:cs="宋体"/>
          <w:spacing w:val="14"/>
          <w:sz w:val="24"/>
          <w:szCs w:val="24"/>
          <w:highlight w:val="none"/>
          <w:lang w:val="en-US" w:eastAsia="zh-CN"/>
        </w:rPr>
      </w:pPr>
    </w:p>
    <w:p>
      <w:pPr>
        <w:pStyle w:val="22"/>
        <w:ind w:left="358" w:firstLine="474"/>
        <w:outlineLvl w:val="9"/>
        <w:rPr>
          <w:rFonts w:hint="eastAsia" w:ascii="宋体" w:hAnsi="宋体" w:eastAsia="宋体" w:cs="宋体"/>
          <w:spacing w:val="14"/>
          <w:sz w:val="24"/>
          <w:szCs w:val="24"/>
          <w:highlight w:val="none"/>
          <w:lang w:val="en-US" w:eastAsia="zh-CN"/>
        </w:rPr>
      </w:pPr>
    </w:p>
    <w:p>
      <w:pPr>
        <w:pStyle w:val="22"/>
        <w:ind w:left="358" w:firstLine="474"/>
        <w:outlineLvl w:val="9"/>
        <w:rPr>
          <w:rFonts w:hint="eastAsia" w:ascii="宋体" w:hAnsi="宋体" w:eastAsia="宋体" w:cs="宋体"/>
          <w:spacing w:val="14"/>
          <w:sz w:val="24"/>
          <w:szCs w:val="24"/>
          <w:highlight w:val="none"/>
          <w:lang w:val="en-US" w:eastAsia="zh-CN"/>
        </w:rPr>
      </w:pPr>
    </w:p>
    <w:p>
      <w:pPr>
        <w:pStyle w:val="22"/>
        <w:ind w:left="358" w:firstLine="474"/>
        <w:outlineLvl w:val="9"/>
        <w:rPr>
          <w:rFonts w:hint="eastAsia" w:ascii="宋体" w:hAnsi="宋体" w:eastAsia="宋体" w:cs="宋体"/>
          <w:spacing w:val="14"/>
          <w:sz w:val="24"/>
          <w:szCs w:val="24"/>
          <w:highlight w:val="none"/>
          <w:lang w:val="en-US" w:eastAsia="zh-CN"/>
        </w:rPr>
      </w:pPr>
    </w:p>
    <w:p>
      <w:pPr>
        <w:pStyle w:val="22"/>
        <w:ind w:left="358" w:firstLine="474"/>
        <w:outlineLvl w:val="9"/>
        <w:rPr>
          <w:rFonts w:hint="eastAsia" w:ascii="宋体" w:hAnsi="宋体" w:eastAsia="宋体" w:cs="宋体"/>
          <w:spacing w:val="14"/>
          <w:sz w:val="24"/>
          <w:szCs w:val="24"/>
          <w:highlight w:val="none"/>
          <w:lang w:val="en-US" w:eastAsia="zh-CN"/>
        </w:rPr>
      </w:pPr>
    </w:p>
    <w:p>
      <w:pPr>
        <w:pStyle w:val="20"/>
        <w:spacing w:before="0" w:after="0" w:line="240" w:lineRule="auto"/>
        <w:ind w:firstLine="475"/>
        <w:outlineLvl w:val="0"/>
        <w:rPr>
          <w:rFonts w:hint="eastAsia" w:ascii="宋体" w:hAnsi="宋体" w:eastAsia="宋体" w:cs="宋体"/>
          <w:spacing w:val="14"/>
          <w:sz w:val="24"/>
          <w:szCs w:val="24"/>
          <w:highlight w:val="none"/>
          <w:lang w:val="en-US" w:eastAsia="zh-CN"/>
        </w:rPr>
      </w:pPr>
      <w:bookmarkStart w:id="74" w:name="_Toc256000092"/>
      <w:bookmarkStart w:id="75" w:name="_Toc32678"/>
      <w:r>
        <w:rPr>
          <w:rFonts w:hint="eastAsia" w:ascii="宋体" w:hAnsi="宋体" w:eastAsia="宋体" w:cs="宋体"/>
          <w:spacing w:val="14"/>
          <w:sz w:val="24"/>
          <w:szCs w:val="24"/>
          <w:highlight w:val="none"/>
          <w:lang w:val="en-US" w:eastAsia="zh-CN"/>
        </w:rPr>
        <w:t>第三章  采购需求</w:t>
      </w:r>
      <w:bookmarkEnd w:id="70"/>
      <w:bookmarkEnd w:id="71"/>
      <w:bookmarkEnd w:id="72"/>
      <w:bookmarkEnd w:id="73"/>
      <w:bookmarkEnd w:id="74"/>
      <w:bookmarkEnd w:id="75"/>
    </w:p>
    <w:p>
      <w:pPr>
        <w:pStyle w:val="15"/>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一、采购项目：</w:t>
      </w:r>
      <w:r>
        <w:rPr>
          <w:rFonts w:hint="eastAsia" w:ascii="宋体" w:hAnsi="宋体" w:eastAsia="宋体" w:cs="宋体"/>
          <w:sz w:val="24"/>
          <w:szCs w:val="24"/>
          <w:highlight w:val="none"/>
          <w:lang w:eastAsia="zh-CN"/>
        </w:rPr>
        <w:t>汝阳城市建设投资发展有限公司汝阳县智慧停车场建设项目充电桩设备购置与安装项目</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二、招标货物清单及技术要求（见附件）</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三、其他项目要求</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资格要求见</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须知前附表。</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2、投标报价是履行合同的最终报价，无特别注明，均为人民币报价。</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对每种产品只允许有一种报价，招标人不接受有任何选择报价的投标。</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4、招标人在授予中标人合同时以及施工过程中，保留对货物数量予以增减的权利。</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不得在此情况下对投标文件做出修改，如单价、交货期（</w:t>
      </w:r>
      <w:r>
        <w:rPr>
          <w:rFonts w:hint="eastAsia" w:ascii="宋体" w:hAnsi="宋体" w:eastAsia="宋体" w:cs="宋体"/>
          <w:sz w:val="24"/>
          <w:szCs w:val="24"/>
          <w:highlight w:val="none"/>
          <w:lang w:eastAsia="zh-CN"/>
        </w:rPr>
        <w:t>交货期</w:t>
      </w:r>
      <w:r>
        <w:rPr>
          <w:rFonts w:hint="eastAsia" w:ascii="宋体" w:hAnsi="宋体" w:eastAsia="宋体" w:cs="宋体"/>
          <w:sz w:val="24"/>
          <w:szCs w:val="24"/>
          <w:highlight w:val="none"/>
        </w:rPr>
        <w:t>）、售后服务等。</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5、合同签订：合同由招标人与中标人签订。</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6、交货要求：</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交货期</w:t>
      </w: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须知前附表。超出招标文件规定工期的投标将不被接受。</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2、交货地点：招标人指定地点。</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应严格按照产品的制造、安装、检测及验收标准执行。</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4、提供制造商完整的铭牌、标记、随机技术资料、装箱单、合格证、使用和维修手册等。</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5、包装和发运</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5.1、货物的包装和运输须符合货物特性要求。</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5.2、为了保证货物在长途运输、多次搬运和装卸过程中的安全，货物包装应符合国家或行业标准规定。由于包装、运输、搬运和装卸不当导致货物锈蚀、缺失或损坏，由中标人承担一切责任。</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6、培训要求</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通过培训使招标人及相关人员掌握有关的使用、维护和管理方法，达到能独立进行管理、一般故障处理、日常检测和维护等工作的目标。</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7、售后服务要求</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7.1、提供所投产品</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或制造商售后服务机构情况，包括地址、技术人员及联系方式，售后技术人员力量、设备实力等。</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7.2、提供免费上门保修服务，7天×24小时全年无休，保修期自验收合格之日起计算。不接受该质保期的投标将不被接受。</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7.3、质保期内（以本项目验收合格之日算起）应当为招标人提供以下技术支持和服务：</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（1）电话咨询。中标人或制造商应当为招标人提供技术援助电话，解答招标人在使用中遇到的问题，及时为招标人提出解决问题的建议和办法。须在投标文件中注明联系人及手机号码。</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（2）现场响应。招标人遇到使用及技术问题，电话咨询不能解决的，县中心4小时到场，偏远地区6小时到场。提供1年不少于4次定期巡检服务。</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（3）中标人应当定期对所供设备系统运行情况进行检测，消除故障隐患，以保证设备的正常运行。</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（4）技术升级。在质保期内，如果制造商的产品技术升级，中标人应及时通知招标人，如招标人有相应要求，中标人和制造商应对招标人购买的产品进行免费升级服务或优惠价格的有偿升级服务。</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7.4、质保期后应当为招标人提供以下技术支持和服务：</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（1）应同样提供电话咨询服务，并应承诺提供产品上门维护服务。</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（2）应以优惠价格继续提供售后服务。</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7.5、备品备件及易损件：</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中标人或制造商售后服务中，维修使用的备品备件及易损件应为原厂配件，未经招标人同意不得使用非原厂配件。中标人应提供原厂标准的备品备件、易损件、消耗材料价格清单及折扣率。</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8、履约验收：招标人根据国家有关规定、招标文件、中标方的投标文件以及合同约定的内容和验收标准进行验收，验收情况作为支付货款的依据。</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如有异议，以相关质量技术检验检测机构的检验结果为准，产生检验检测费用，该费用由过失方承担。</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9、中标人对本项目的销售及售后服务应委派专人负责，在合同履行中未经业主同意不得擅自更换他人。</w:t>
      </w:r>
    </w:p>
    <w:p>
      <w:pPr>
        <w:pStyle w:val="1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10、</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必须对该项目进行完整投标，否则其投标将不被接受。</w:t>
      </w:r>
    </w:p>
    <w:p>
      <w:pPr>
        <w:pStyle w:val="15"/>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11、</w:t>
      </w:r>
      <w:r>
        <w:rPr>
          <w:rFonts w:hint="eastAsia" w:ascii="宋体" w:hAnsi="宋体" w:eastAsia="宋体" w:cs="宋体"/>
          <w:sz w:val="24"/>
          <w:szCs w:val="24"/>
          <w:highlight w:val="none"/>
          <w:lang w:eastAsia="zh-CN"/>
        </w:rPr>
        <w:t>由招标人付款，以实际提供并验收的货物数量结算。</w:t>
      </w:r>
    </w:p>
    <w:p>
      <w:pPr>
        <w:pStyle w:val="21"/>
        <w:outlineLvl w:val="9"/>
        <w:rPr>
          <w:rFonts w:hint="eastAsia" w:ascii="宋体" w:hAnsi="宋体" w:eastAsia="宋体" w:cs="宋体"/>
          <w:sz w:val="24"/>
          <w:szCs w:val="24"/>
          <w:highlight w:val="none"/>
          <w:lang w:eastAsia="zh-CN"/>
        </w:rPr>
      </w:pPr>
    </w:p>
    <w:p>
      <w:pPr>
        <w:pStyle w:val="22"/>
        <w:outlineLvl w:val="9"/>
        <w:rPr>
          <w:rFonts w:hint="eastAsia" w:ascii="宋体" w:hAnsi="宋体" w:eastAsia="宋体" w:cs="宋体"/>
          <w:sz w:val="24"/>
          <w:szCs w:val="24"/>
          <w:highlight w:val="none"/>
          <w:lang w:eastAsia="zh-CN"/>
        </w:rPr>
      </w:pPr>
    </w:p>
    <w:p>
      <w:pPr>
        <w:pStyle w:val="22"/>
        <w:outlineLvl w:val="9"/>
        <w:rPr>
          <w:rFonts w:hint="eastAsia" w:ascii="宋体" w:hAnsi="宋体" w:eastAsia="宋体" w:cs="宋体"/>
          <w:sz w:val="24"/>
          <w:szCs w:val="24"/>
          <w:highlight w:val="none"/>
          <w:lang w:eastAsia="zh-CN"/>
        </w:rPr>
      </w:pPr>
    </w:p>
    <w:p>
      <w:pPr>
        <w:pStyle w:val="22"/>
        <w:ind w:left="0" w:leftChars="0" w:firstLine="0" w:firstLineChars="0"/>
        <w:outlineLvl w:val="9"/>
        <w:rPr>
          <w:rFonts w:hint="eastAsia" w:ascii="宋体" w:hAnsi="宋体" w:eastAsia="宋体" w:cs="宋体"/>
          <w:sz w:val="24"/>
          <w:szCs w:val="24"/>
          <w:highlight w:val="none"/>
          <w:lang w:eastAsia="zh-CN"/>
        </w:rPr>
      </w:pPr>
    </w:p>
    <w:p>
      <w:pPr>
        <w:pStyle w:val="20"/>
        <w:spacing w:before="0" w:after="0" w:line="240" w:lineRule="auto"/>
        <w:ind w:firstLine="0" w:firstLineChars="0"/>
        <w:jc w:val="both"/>
        <w:outlineLvl w:val="9"/>
        <w:rPr>
          <w:rFonts w:hint="eastAsia" w:ascii="宋体" w:hAnsi="宋体" w:eastAsia="宋体" w:cs="宋体"/>
          <w:spacing w:val="14"/>
          <w:sz w:val="24"/>
          <w:szCs w:val="24"/>
          <w:highlight w:val="none"/>
          <w:lang w:val="en-US" w:eastAsia="zh-CN"/>
        </w:rPr>
      </w:pPr>
      <w:bookmarkStart w:id="76" w:name="_Toc256000093"/>
      <w:bookmarkStart w:id="77" w:name="_Toc26394"/>
    </w:p>
    <w:p>
      <w:pPr>
        <w:pStyle w:val="20"/>
        <w:spacing w:before="0" w:after="0" w:line="240" w:lineRule="auto"/>
        <w:ind w:firstLine="0" w:firstLineChars="0"/>
        <w:jc w:val="both"/>
        <w:outlineLvl w:val="9"/>
        <w:rPr>
          <w:rFonts w:hint="eastAsia" w:ascii="宋体" w:hAnsi="宋体" w:eastAsia="宋体" w:cs="宋体"/>
          <w:spacing w:val="14"/>
          <w:sz w:val="24"/>
          <w:szCs w:val="24"/>
          <w:highlight w:val="none"/>
          <w:lang w:val="en-US" w:eastAsia="zh-CN"/>
        </w:rPr>
      </w:pPr>
      <w:bookmarkStart w:id="78" w:name="_Toc5231"/>
      <w:r>
        <w:rPr>
          <w:rFonts w:hint="eastAsia" w:ascii="宋体" w:hAnsi="宋体" w:eastAsia="宋体" w:cs="宋体"/>
          <w:spacing w:val="14"/>
          <w:sz w:val="24"/>
          <w:szCs w:val="24"/>
          <w:highlight w:val="none"/>
          <w:lang w:val="en-US" w:eastAsia="zh-CN"/>
        </w:rPr>
        <w:t>附件</w:t>
      </w:r>
      <w:bookmarkEnd w:id="76"/>
      <w:bookmarkEnd w:id="78"/>
    </w:p>
    <w:p>
      <w:pPr>
        <w:pStyle w:val="38"/>
        <w:spacing w:before="120" w:after="120" w:line="240" w:lineRule="auto"/>
        <w:jc w:val="center"/>
        <w:outlineLvl w:val="9"/>
        <w:rPr>
          <w:rFonts w:hint="eastAsia" w:ascii="宋体" w:hAnsi="宋体" w:eastAsia="宋体" w:cs="宋体"/>
          <w:sz w:val="24"/>
          <w:szCs w:val="24"/>
          <w:highlight w:val="none"/>
          <w:lang w:eastAsia="zh-CN"/>
        </w:rPr>
      </w:pPr>
      <w:bookmarkStart w:id="79" w:name="_Toc21419"/>
      <w:bookmarkStart w:id="80" w:name="_Toc246996338"/>
      <w:bookmarkStart w:id="81" w:name="_Toc246997081"/>
      <w:bookmarkStart w:id="82" w:name="_Toc247085853"/>
      <w:bookmarkStart w:id="83" w:name="_Toc179632787"/>
      <w:bookmarkStart w:id="84" w:name="_Toc184635122"/>
      <w:bookmarkStart w:id="85" w:name="_Toc300835199"/>
      <w:bookmarkStart w:id="86" w:name="_Toc247514197"/>
      <w:bookmarkStart w:id="87" w:name="_Toc247527798"/>
      <w:bookmarkStart w:id="88" w:name="_Toc152045610"/>
      <w:bookmarkStart w:id="89" w:name="_Toc152042388"/>
      <w:bookmarkStart w:id="90" w:name="_Toc144974829"/>
      <w:bookmarkStart w:id="91" w:name="_Toc144974578"/>
      <w:bookmarkStart w:id="92" w:name="_Toc152042549"/>
      <w:r>
        <w:rPr>
          <w:rFonts w:hint="eastAsia" w:ascii="宋体" w:hAnsi="宋体" w:eastAsia="宋体" w:cs="宋体"/>
          <w:sz w:val="24"/>
          <w:szCs w:val="24"/>
          <w:highlight w:val="none"/>
          <w:lang w:eastAsia="zh-CN"/>
        </w:rPr>
        <w:t>汝阳城市建设投资发展有限公司汝阳县智慧停车场建设项目充电桩设备购置与安装项目</w:t>
      </w:r>
      <w:bookmarkEnd w:id="79"/>
    </w:p>
    <w:bookmarkEnd w:id="80"/>
    <w:bookmarkEnd w:id="81"/>
    <w:bookmarkEnd w:id="82"/>
    <w:bookmarkEnd w:id="83"/>
    <w:p>
      <w:pPr>
        <w:pStyle w:val="39"/>
        <w:spacing w:before="0" w:after="0" w:line="240" w:lineRule="auto"/>
        <w:ind w:firstLine="560"/>
        <w:outlineLvl w:val="9"/>
        <w:rPr>
          <w:rFonts w:hint="eastAsia" w:ascii="宋体" w:hAnsi="宋体" w:eastAsia="宋体" w:cs="宋体"/>
          <w:b w:val="0"/>
          <w:sz w:val="24"/>
          <w:szCs w:val="24"/>
          <w:highlight w:val="none"/>
        </w:rPr>
      </w:pPr>
      <w:bookmarkStart w:id="93" w:name="_Toc23716964"/>
      <w:bookmarkStart w:id="94" w:name="_Toc23517768"/>
      <w:bookmarkStart w:id="95" w:name="_Toc256000095"/>
      <w:r>
        <w:rPr>
          <w:rFonts w:hint="eastAsia" w:ascii="宋体" w:hAnsi="宋体" w:eastAsia="宋体" w:cs="宋体"/>
          <w:b w:val="0"/>
          <w:sz w:val="24"/>
          <w:szCs w:val="24"/>
          <w:highlight w:val="none"/>
        </w:rPr>
        <w:t>一、设备概况</w:t>
      </w:r>
      <w:bookmarkEnd w:id="93"/>
      <w:bookmarkEnd w:id="94"/>
      <w:bookmarkEnd w:id="95"/>
    </w:p>
    <w:p>
      <w:pPr>
        <w:pStyle w:val="24"/>
        <w:ind w:firstLine="48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概况：视场站情况充电桩设备采用集群充电系统、一体式直流充电桩、7KW交流充电桩等形式充电桩；采用630KVA变压器、800KVA变压器、1250KVA变压器、2000KVA变压器等几个规格变电箱站；电缆工程；设备安装辅助工程；配建防雨棚</w:t>
      </w:r>
      <w:r>
        <w:rPr>
          <w:rFonts w:hint="eastAsia" w:ascii="宋体" w:hAnsi="宋体" w:eastAsia="宋体" w:cs="宋体"/>
          <w:sz w:val="24"/>
          <w:szCs w:val="24"/>
          <w:highlight w:val="none"/>
          <w:lang w:val="en-US" w:eastAsia="zh-CN"/>
        </w:rPr>
        <w:t>等</w:t>
      </w:r>
      <w:r>
        <w:rPr>
          <w:rFonts w:hint="eastAsia" w:ascii="宋体" w:hAnsi="宋体" w:eastAsia="宋体" w:cs="宋体"/>
          <w:sz w:val="24"/>
          <w:szCs w:val="24"/>
          <w:highlight w:val="none"/>
        </w:rPr>
        <w:t>。</w:t>
      </w:r>
    </w:p>
    <w:p>
      <w:pPr>
        <w:pStyle w:val="24"/>
        <w:ind w:firstLine="48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2、费用总额：</w:t>
      </w:r>
      <w:r>
        <w:rPr>
          <w:rFonts w:hint="eastAsia" w:ascii="宋体" w:hAnsi="宋体" w:eastAsia="宋体" w:cs="宋体"/>
          <w:sz w:val="24"/>
          <w:szCs w:val="24"/>
          <w:highlight w:val="none"/>
          <w:lang w:eastAsia="zh-CN"/>
        </w:rPr>
        <w:t>51388625.5</w:t>
      </w:r>
      <w:r>
        <w:rPr>
          <w:rFonts w:hint="eastAsia" w:ascii="宋体" w:hAnsi="宋体" w:eastAsia="宋体" w:cs="宋体"/>
          <w:sz w:val="24"/>
          <w:szCs w:val="24"/>
          <w:highlight w:val="none"/>
        </w:rPr>
        <w:t>元。</w:t>
      </w:r>
    </w:p>
    <w:p>
      <w:pPr>
        <w:pStyle w:val="39"/>
        <w:spacing w:before="0" w:after="0" w:line="240" w:lineRule="auto"/>
        <w:ind w:firstLine="560"/>
        <w:outlineLvl w:val="9"/>
        <w:rPr>
          <w:rFonts w:hint="eastAsia" w:ascii="宋体" w:hAnsi="宋体" w:eastAsia="宋体" w:cs="宋体"/>
          <w:b w:val="0"/>
          <w:sz w:val="24"/>
          <w:szCs w:val="24"/>
          <w:highlight w:val="none"/>
        </w:rPr>
      </w:pPr>
      <w:bookmarkStart w:id="96" w:name="_Toc23517769"/>
      <w:bookmarkStart w:id="97" w:name="_Toc256000096"/>
      <w:bookmarkStart w:id="98" w:name="_Toc23716965"/>
      <w:r>
        <w:rPr>
          <w:rFonts w:hint="eastAsia" w:ascii="宋体" w:hAnsi="宋体" w:eastAsia="宋体" w:cs="宋体"/>
          <w:b w:val="0"/>
          <w:sz w:val="24"/>
          <w:szCs w:val="24"/>
          <w:highlight w:val="none"/>
        </w:rPr>
        <w:t>二、设备需求一览表</w:t>
      </w:r>
      <w:bookmarkEnd w:id="96"/>
      <w:bookmarkEnd w:id="97"/>
      <w:bookmarkEnd w:id="98"/>
      <w:bookmarkStart w:id="99" w:name="_Toc522085801"/>
      <w:bookmarkEnd w:id="99"/>
    </w:p>
    <w:bookmarkEnd w:id="84"/>
    <w:bookmarkEnd w:id="85"/>
    <w:bookmarkEnd w:id="86"/>
    <w:bookmarkEnd w:id="87"/>
    <w:bookmarkEnd w:id="88"/>
    <w:bookmarkEnd w:id="89"/>
    <w:bookmarkEnd w:id="90"/>
    <w:bookmarkEnd w:id="91"/>
    <w:bookmarkEnd w:id="92"/>
    <w:tbl>
      <w:tblPr>
        <w:tblStyle w:val="6"/>
        <w:tblW w:w="92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5"/>
        <w:gridCol w:w="1427"/>
        <w:gridCol w:w="4784"/>
        <w:gridCol w:w="984"/>
        <w:gridCol w:w="11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序号</w:t>
            </w:r>
          </w:p>
        </w:tc>
        <w:tc>
          <w:tcPr>
            <w:tcW w:w="1427" w:type="dxa"/>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名称</w:t>
            </w:r>
          </w:p>
        </w:tc>
        <w:tc>
          <w:tcPr>
            <w:tcW w:w="4784" w:type="dxa"/>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规格</w:t>
            </w:r>
          </w:p>
        </w:tc>
        <w:tc>
          <w:tcPr>
            <w:tcW w:w="984" w:type="dxa"/>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单位</w:t>
            </w:r>
          </w:p>
        </w:tc>
        <w:tc>
          <w:tcPr>
            <w:tcW w:w="1166" w:type="dxa"/>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266" w:type="dxa"/>
            <w:gridSpan w:val="5"/>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630KVA箱式变电站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427" w:type="dxa"/>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10KV计量开关柜</w:t>
            </w:r>
          </w:p>
        </w:tc>
        <w:tc>
          <w:tcPr>
            <w:tcW w:w="4784" w:type="dxa"/>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1000mm*1000mm*2200mm</w:t>
            </w:r>
          </w:p>
        </w:tc>
        <w:tc>
          <w:tcPr>
            <w:tcW w:w="98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台</w:t>
            </w:r>
          </w:p>
        </w:tc>
        <w:tc>
          <w:tcPr>
            <w:tcW w:w="1166"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630KVA变压器</w:t>
            </w:r>
          </w:p>
        </w:tc>
        <w:tc>
          <w:tcPr>
            <w:tcW w:w="4784" w:type="dxa"/>
            <w:tcBorders>
              <w:top w:val="nil"/>
              <w:left w:val="single" w:color="000000" w:sz="8" w:space="0"/>
              <w:bottom w:val="single" w:color="000000" w:sz="8" w:space="0"/>
              <w:right w:val="single" w:color="000000" w:sz="8" w:space="0"/>
            </w:tcBorders>
            <w:noWrap w:val="0"/>
            <w:vAlign w:val="center"/>
          </w:tcPr>
          <w:p>
            <w:pPr>
              <w:pStyle w:val="24"/>
              <w:numPr>
                <w:ilvl w:val="0"/>
                <w:numId w:val="1"/>
              </w:numPr>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干式变压器；</w:t>
            </w:r>
          </w:p>
          <w:p>
            <w:pPr>
              <w:pStyle w:val="24"/>
              <w:numPr>
                <w:ilvl w:val="0"/>
                <w:numId w:val="0"/>
              </w:numPr>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2.能效等级不能低于SCB13- 630Kva、10/0.4Kv</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高压进线柜</w:t>
            </w:r>
          </w:p>
        </w:tc>
        <w:tc>
          <w:tcPr>
            <w:tcW w:w="47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900mm*1000mm*2000mm（国内一线品牌）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高压出线柜</w:t>
            </w:r>
          </w:p>
        </w:tc>
        <w:tc>
          <w:tcPr>
            <w:tcW w:w="47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900mm*1000mm*2200mm（国内一线品牌）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低压进线柜</w:t>
            </w:r>
          </w:p>
        </w:tc>
        <w:tc>
          <w:tcPr>
            <w:tcW w:w="47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800mm*700mm*2000mm（国内一线品牌）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低压配电柜（集成计量）</w:t>
            </w:r>
          </w:p>
        </w:tc>
        <w:tc>
          <w:tcPr>
            <w:tcW w:w="47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800mm*700mm*2000mm</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p>
        </w:tc>
        <w:tc>
          <w:tcPr>
            <w:tcW w:w="1427" w:type="dxa"/>
            <w:tcBorders>
              <w:top w:val="nil"/>
              <w:left w:val="single" w:color="000000" w:sz="8" w:space="0"/>
              <w:bottom w:val="nil"/>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高低压母线</w:t>
            </w:r>
          </w:p>
        </w:tc>
        <w:tc>
          <w:tcPr>
            <w:tcW w:w="4784" w:type="dxa"/>
            <w:tcBorders>
              <w:top w:val="nil"/>
              <w:left w:val="single" w:color="000000" w:sz="8" w:space="0"/>
              <w:bottom w:val="nil"/>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铜排（国内一线品牌）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905" w:type="dxa"/>
            <w:vMerge w:val="restart"/>
            <w:tcBorders>
              <w:top w:val="nil"/>
              <w:left w:val="single" w:color="000000" w:sz="8" w:space="0"/>
              <w:bottom w:val="single" w:color="000000" w:sz="8" w:space="0"/>
              <w:right w:val="nil"/>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p>
        </w:tc>
        <w:tc>
          <w:tcPr>
            <w:tcW w:w="1427"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集成柜体</w:t>
            </w:r>
          </w:p>
        </w:tc>
        <w:tc>
          <w:tcPr>
            <w:tcW w:w="4784" w:type="dxa"/>
            <w:tcBorders>
              <w:top w:val="single" w:color="000000" w:sz="4" w:space="0"/>
              <w:left w:val="single" w:color="000000" w:sz="4" w:space="0"/>
              <w:bottom w:val="single" w:color="000000" w:sz="4" w:space="0"/>
              <w:right w:val="single" w:color="000000"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 外观尺寸：2400mm*6100mm*2800mm,可因场地安装充电输出功率调整；</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nil"/>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000000" w:sz="4" w:space="0"/>
              <w:left w:val="single" w:color="000000" w:sz="4" w:space="0"/>
              <w:bottom w:val="single" w:color="000000" w:sz="4" w:space="0"/>
              <w:right w:val="single" w:color="000000"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2.2.5mm敷铝锌板支撑插框；</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vMerge w:val="continue"/>
            <w:tcBorders>
              <w:top w:val="nil"/>
              <w:left w:val="single" w:color="000000" w:sz="8" w:space="0"/>
              <w:bottom w:val="single" w:color="000000" w:sz="8" w:space="0"/>
              <w:right w:val="nil"/>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000000" w:sz="4" w:space="0"/>
              <w:left w:val="single" w:color="000000" w:sz="4" w:space="0"/>
              <w:bottom w:val="single" w:color="000000" w:sz="4" w:space="0"/>
              <w:right w:val="single" w:color="000000" w:sz="4" w:space="0"/>
            </w:tcBorders>
            <w:noWrap w:val="0"/>
            <w:vAlign w:val="center"/>
          </w:tcPr>
          <w:p>
            <w:pPr>
              <w:pStyle w:val="24"/>
              <w:numPr>
                <w:ilvl w:val="0"/>
                <w:numId w:val="2"/>
              </w:numPr>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双层箱体，隔热层。可靠的接地连续性能；</w:t>
            </w:r>
          </w:p>
          <w:p>
            <w:pPr>
              <w:pStyle w:val="24"/>
              <w:numPr>
                <w:ilvl w:val="0"/>
                <w:numId w:val="0"/>
              </w:numPr>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4.可吊装可和地坦克拖运；</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nil"/>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000000" w:sz="4" w:space="0"/>
              <w:left w:val="single" w:color="000000" w:sz="4" w:space="0"/>
              <w:bottom w:val="single" w:color="000000" w:sz="4" w:space="0"/>
              <w:right w:val="single" w:color="000000"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5.双层涂层防护，耐30年不锈蚀；</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nil"/>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000000" w:sz="4" w:space="0"/>
              <w:left w:val="single" w:color="000000" w:sz="4" w:space="0"/>
              <w:bottom w:val="single" w:color="000000" w:sz="4" w:space="0"/>
              <w:right w:val="single" w:color="000000"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6.充电桩部分防护等级IP54，配电部分IP4X；</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vMerge w:val="continue"/>
            <w:tcBorders>
              <w:top w:val="nil"/>
              <w:left w:val="single" w:color="000000" w:sz="8" w:space="0"/>
              <w:bottom w:val="single" w:color="000000" w:sz="8" w:space="0"/>
              <w:right w:val="nil"/>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000000" w:sz="4" w:space="0"/>
              <w:left w:val="single" w:color="000000" w:sz="4" w:space="0"/>
              <w:bottom w:val="single" w:color="000000" w:sz="4" w:space="0"/>
              <w:right w:val="single" w:color="000000"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7.100mm槽钢底框及框架；3mm底板；2.5mm周边封板及顶板。顶部散水坡。</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p>
        </w:tc>
        <w:tc>
          <w:tcPr>
            <w:tcW w:w="1427" w:type="dxa"/>
            <w:tcBorders>
              <w:top w:val="nil"/>
              <w:left w:val="single" w:color="000000" w:sz="8" w:space="0"/>
              <w:bottom w:val="single" w:color="000000" w:sz="8" w:space="0"/>
              <w:right w:val="nil"/>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10KV环网柜</w:t>
            </w:r>
          </w:p>
        </w:tc>
        <w:tc>
          <w:tcPr>
            <w:tcW w:w="4784" w:type="dxa"/>
            <w:tcBorders>
              <w:top w:val="nil"/>
              <w:left w:val="single" w:color="000000" w:sz="4" w:space="0"/>
              <w:bottom w:val="single" w:color="000000" w:sz="4" w:space="0"/>
              <w:right w:val="single" w:color="000000"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1000*1000*2200 （国内一线品牌）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其他辅料</w:t>
            </w:r>
          </w:p>
        </w:tc>
        <w:tc>
          <w:tcPr>
            <w:tcW w:w="47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防火泥、卷圆带、酒精、通讯线端子等</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电缆</w:t>
            </w:r>
          </w:p>
        </w:tc>
        <w:tc>
          <w:tcPr>
            <w:tcW w:w="47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ZC-YJLV22-3*120mm²</w:t>
            </w: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m</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箱变基础</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座</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266" w:type="dxa"/>
            <w:gridSpan w:val="5"/>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800KVA箱式变电站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427" w:type="dxa"/>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10KV计量开关柜</w:t>
            </w:r>
          </w:p>
        </w:tc>
        <w:tc>
          <w:tcPr>
            <w:tcW w:w="4784" w:type="dxa"/>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1000mm*1000mm*2200mm（国内一线品牌）</w:t>
            </w:r>
          </w:p>
        </w:tc>
        <w:tc>
          <w:tcPr>
            <w:tcW w:w="98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台</w:t>
            </w:r>
          </w:p>
        </w:tc>
        <w:tc>
          <w:tcPr>
            <w:tcW w:w="1166"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800KVA变压器</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1.干式变压器；2.能效等级不能低于SCB13- 800Kva、10/0.4Kv</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高压进线柜</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900mm*1000mm*2000mm（国内一线品牌）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高压出线柜</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900mm*1000mm*2200mm（国内一线品牌）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低压进线柜</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800mm*700mm*2000mm（国内一线品牌）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低压配电柜（集成计量）</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800mm*700mm*2000mm（国内一线品牌）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高低压母线</w:t>
            </w:r>
          </w:p>
        </w:tc>
        <w:tc>
          <w:tcPr>
            <w:tcW w:w="4784" w:type="dxa"/>
            <w:tcBorders>
              <w:top w:val="nil"/>
              <w:left w:val="single" w:color="000000" w:sz="8" w:space="0"/>
              <w:bottom w:val="single" w:color="auto" w:sz="4"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铜排（国内一线品牌）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905" w:type="dxa"/>
            <w:vMerge w:val="restart"/>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p>
        </w:tc>
        <w:tc>
          <w:tcPr>
            <w:tcW w:w="1427" w:type="dxa"/>
            <w:vMerge w:val="restart"/>
            <w:tcBorders>
              <w:top w:val="nil"/>
              <w:left w:val="single" w:color="000000" w:sz="8" w:space="0"/>
              <w:bottom w:val="single" w:color="000000" w:sz="8" w:space="0"/>
              <w:right w:val="single" w:color="auto"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集成柜体</w:t>
            </w: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 外观尺寸：2400mm*6100mm*2800mm,可因场地安装充电输出功率调整；</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2.2.5mm敷铝锌板支撑插框；</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3.双层箱体，隔热层。可靠的接地连续性能；4.可吊装可和地坦克拖运；</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5.双层涂层防护，耐30年不锈蚀；</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6.充电桩部分防护等级IP54，配电部分IP4X；</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7.100mm槽钢底框及框架；3mm底板；2.5mm周边封板及顶板。顶部散水坡。</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10KV环网柜</w:t>
            </w:r>
          </w:p>
        </w:tc>
        <w:tc>
          <w:tcPr>
            <w:tcW w:w="4784" w:type="dxa"/>
            <w:tcBorders>
              <w:top w:val="single" w:color="auto" w:sz="4"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1000*1000*2200 （国内一线品牌）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其他辅料</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防火泥、卷圆带、酒精、通讯线端子等</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电缆</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ZC-YJLV22-3*150mm²</w:t>
            </w: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m</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箱变基础</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座</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266" w:type="dxa"/>
            <w:gridSpan w:val="5"/>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1250KVA箱式变电站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427" w:type="dxa"/>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10KV计量开关柜</w:t>
            </w:r>
          </w:p>
        </w:tc>
        <w:tc>
          <w:tcPr>
            <w:tcW w:w="4784" w:type="dxa"/>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1000mm*1000mm*2200mm</w:t>
            </w:r>
          </w:p>
        </w:tc>
        <w:tc>
          <w:tcPr>
            <w:tcW w:w="98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台</w:t>
            </w:r>
          </w:p>
        </w:tc>
        <w:tc>
          <w:tcPr>
            <w:tcW w:w="1166"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1250KVA变压器</w:t>
            </w:r>
          </w:p>
        </w:tc>
        <w:tc>
          <w:tcPr>
            <w:tcW w:w="4784" w:type="dxa"/>
            <w:tcBorders>
              <w:top w:val="nil"/>
              <w:left w:val="single" w:color="000000" w:sz="8" w:space="0"/>
              <w:bottom w:val="single" w:color="000000" w:sz="8" w:space="0"/>
              <w:right w:val="single" w:color="000000" w:sz="8" w:space="0"/>
            </w:tcBorders>
            <w:noWrap w:val="0"/>
            <w:vAlign w:val="center"/>
          </w:tcPr>
          <w:p>
            <w:pPr>
              <w:pStyle w:val="24"/>
              <w:numPr>
                <w:ilvl w:val="0"/>
                <w:numId w:val="0"/>
              </w:numPr>
              <w:jc w:val="center"/>
              <w:outlineLvl w:val="9"/>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highlight w:val="none"/>
                <w:lang w:val="en-US" w:eastAsia="zh-CN" w:bidi="ar-SA"/>
              </w:rPr>
              <w:t>1.</w:t>
            </w:r>
            <w:r>
              <w:rPr>
                <w:rFonts w:hint="eastAsia" w:ascii="宋体" w:hAnsi="宋体" w:eastAsia="宋体" w:cs="宋体"/>
                <w:sz w:val="24"/>
                <w:szCs w:val="24"/>
                <w:highlight w:val="none"/>
                <w:lang w:val="en-US" w:eastAsia="zh-CN"/>
              </w:rPr>
              <w:t>干式变压器；</w:t>
            </w:r>
          </w:p>
          <w:p>
            <w:pPr>
              <w:pStyle w:val="24"/>
              <w:numPr>
                <w:ilvl w:val="0"/>
                <w:numId w:val="0"/>
              </w:numPr>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2.能效等级不能低于SCB13- 1250Kva、10/0.4Kv</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高压进线柜</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900mm*1000mm*2000mm（国内一线品牌）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高压出线柜</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900mm*1000mm*2200mm（国内一线品牌）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低压进线柜</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800mm*700mm*2000mm（国内一线品牌）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低压配电柜（集成计量）</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800mm*700mm*2000mm（国内一线品牌）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高低压母线</w:t>
            </w:r>
          </w:p>
        </w:tc>
        <w:tc>
          <w:tcPr>
            <w:tcW w:w="4784" w:type="dxa"/>
            <w:tcBorders>
              <w:top w:val="nil"/>
              <w:left w:val="single" w:color="000000" w:sz="8" w:space="0"/>
              <w:bottom w:val="single" w:color="auto" w:sz="4"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铜排（国内一线品牌）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905" w:type="dxa"/>
            <w:vMerge w:val="restart"/>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p>
        </w:tc>
        <w:tc>
          <w:tcPr>
            <w:tcW w:w="1427" w:type="dxa"/>
            <w:vMerge w:val="restart"/>
            <w:tcBorders>
              <w:top w:val="nil"/>
              <w:left w:val="single" w:color="000000" w:sz="8" w:space="0"/>
              <w:bottom w:val="single" w:color="000000" w:sz="8" w:space="0"/>
              <w:right w:val="single" w:color="auto"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集成柜体</w:t>
            </w: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 外观尺寸：2400mm*6100mm*2800mm,可因场地安装充电输出功率调整；</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2.2.5mm敷铝锌板支撑插框；</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numPr>
                <w:ilvl w:val="0"/>
                <w:numId w:val="0"/>
              </w:numPr>
              <w:ind w:left="0" w:leftChars="0" w:firstLine="0" w:firstLineChars="0"/>
              <w:jc w:val="center"/>
              <w:outlineLvl w:val="9"/>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highlight w:val="none"/>
                <w:lang w:val="en-US" w:eastAsia="zh-CN" w:bidi="ar-SA"/>
              </w:rPr>
              <w:t>3.</w:t>
            </w:r>
            <w:r>
              <w:rPr>
                <w:rFonts w:hint="eastAsia" w:ascii="宋体" w:hAnsi="宋体" w:eastAsia="宋体" w:cs="宋体"/>
                <w:sz w:val="24"/>
                <w:szCs w:val="24"/>
                <w:highlight w:val="none"/>
                <w:lang w:val="en-US" w:eastAsia="zh-CN"/>
              </w:rPr>
              <w:t>双层箱体，隔热层。可靠的接地连续性能；</w:t>
            </w:r>
          </w:p>
          <w:p>
            <w:pPr>
              <w:pStyle w:val="24"/>
              <w:numPr>
                <w:ilvl w:val="0"/>
                <w:numId w:val="0"/>
              </w:numPr>
              <w:ind w:left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4.可吊装可和地坦克拖运；</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5.双层涂层防护，耐30年不锈蚀；</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6.充电桩部分防护等级IP54，配电部分IP4X；</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7.100mm槽钢底框及框架；3mm底板；2.5mm周边封板及顶板。顶部散水坡。</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10KV环网柜</w:t>
            </w:r>
          </w:p>
        </w:tc>
        <w:tc>
          <w:tcPr>
            <w:tcW w:w="4784" w:type="dxa"/>
            <w:tcBorders>
              <w:top w:val="single" w:color="auto" w:sz="4"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1000*1000*2200 （国内一线品牌）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其他辅料</w:t>
            </w:r>
          </w:p>
        </w:tc>
        <w:tc>
          <w:tcPr>
            <w:tcW w:w="47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防火泥、卷圆带、酒精、通讯线端子等</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电缆</w:t>
            </w:r>
          </w:p>
        </w:tc>
        <w:tc>
          <w:tcPr>
            <w:tcW w:w="47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ZC-YJLV22-3*240mm²</w:t>
            </w: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m</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箱变基础</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座</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266" w:type="dxa"/>
            <w:gridSpan w:val="5"/>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2000KVA箱式变电站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427" w:type="dxa"/>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10KV计量开关柜</w:t>
            </w:r>
          </w:p>
        </w:tc>
        <w:tc>
          <w:tcPr>
            <w:tcW w:w="4784" w:type="dxa"/>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1000mm*1000mm*2200mm（国内一线品牌）</w:t>
            </w:r>
          </w:p>
        </w:tc>
        <w:tc>
          <w:tcPr>
            <w:tcW w:w="984"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台</w:t>
            </w:r>
          </w:p>
        </w:tc>
        <w:tc>
          <w:tcPr>
            <w:tcW w:w="1166"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1250KVA变压器</w:t>
            </w:r>
          </w:p>
        </w:tc>
        <w:tc>
          <w:tcPr>
            <w:tcW w:w="4784" w:type="dxa"/>
            <w:tcBorders>
              <w:top w:val="nil"/>
              <w:left w:val="single" w:color="000000" w:sz="8" w:space="0"/>
              <w:bottom w:val="single" w:color="000000" w:sz="8" w:space="0"/>
              <w:right w:val="single" w:color="000000" w:sz="8" w:space="0"/>
            </w:tcBorders>
            <w:noWrap w:val="0"/>
            <w:vAlign w:val="center"/>
          </w:tcPr>
          <w:p>
            <w:pPr>
              <w:pStyle w:val="24"/>
              <w:numPr>
                <w:ilvl w:val="0"/>
                <w:numId w:val="0"/>
              </w:numPr>
              <w:jc w:val="center"/>
              <w:outlineLvl w:val="9"/>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highlight w:val="none"/>
                <w:lang w:val="en-US" w:eastAsia="zh-CN" w:bidi="ar-SA"/>
              </w:rPr>
              <w:t>1.</w:t>
            </w:r>
            <w:r>
              <w:rPr>
                <w:rFonts w:hint="eastAsia" w:ascii="宋体" w:hAnsi="宋体" w:eastAsia="宋体" w:cs="宋体"/>
                <w:sz w:val="24"/>
                <w:szCs w:val="24"/>
                <w:highlight w:val="none"/>
                <w:lang w:val="en-US" w:eastAsia="zh-CN"/>
              </w:rPr>
              <w:t>干式变压器；</w:t>
            </w:r>
          </w:p>
          <w:p>
            <w:pPr>
              <w:pStyle w:val="24"/>
              <w:numPr>
                <w:ilvl w:val="0"/>
                <w:numId w:val="0"/>
              </w:numPr>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2.能效等级不能低于SCB13- 1250Kva、10/0.4Kv</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高压进线柜</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900mm*1000mm*2000mm（国内一线品牌）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高压出线柜</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900mm*1000mm*2200mm（国内一线品牌）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低压进线柜</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800mm*700mm*2000mm（国内一线品牌）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低压配电柜（集成计量）</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800mm*700mm*2000mm（国内一线品牌）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高低压母线</w:t>
            </w:r>
          </w:p>
        </w:tc>
        <w:tc>
          <w:tcPr>
            <w:tcW w:w="4784" w:type="dxa"/>
            <w:tcBorders>
              <w:top w:val="nil"/>
              <w:left w:val="single" w:color="000000" w:sz="8" w:space="0"/>
              <w:bottom w:val="single" w:color="auto" w:sz="4"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铜排（国内一线品牌）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905" w:type="dxa"/>
            <w:vMerge w:val="restart"/>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p>
        </w:tc>
        <w:tc>
          <w:tcPr>
            <w:tcW w:w="1427" w:type="dxa"/>
            <w:vMerge w:val="restart"/>
            <w:tcBorders>
              <w:top w:val="nil"/>
              <w:left w:val="single" w:color="000000" w:sz="8" w:space="0"/>
              <w:bottom w:val="single" w:color="000000" w:sz="8" w:space="0"/>
              <w:right w:val="single" w:color="auto"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集成柜体</w:t>
            </w: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 外观尺寸：2400mm*6100mm*2800mm,可因场地安装充电输出功率调整；</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2.2.5mm敷铝锌板支撑插框；</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numPr>
                <w:ilvl w:val="0"/>
                <w:numId w:val="0"/>
              </w:numPr>
              <w:ind w:left="0" w:leftChars="0" w:firstLine="0" w:firstLineChars="0"/>
              <w:jc w:val="center"/>
              <w:outlineLvl w:val="9"/>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highlight w:val="none"/>
                <w:lang w:val="en-US" w:eastAsia="zh-CN" w:bidi="ar-SA"/>
              </w:rPr>
              <w:t>3.</w:t>
            </w:r>
            <w:r>
              <w:rPr>
                <w:rFonts w:hint="eastAsia" w:ascii="宋体" w:hAnsi="宋体" w:eastAsia="宋体" w:cs="宋体"/>
                <w:sz w:val="24"/>
                <w:szCs w:val="24"/>
                <w:highlight w:val="none"/>
                <w:lang w:val="en-US" w:eastAsia="zh-CN"/>
              </w:rPr>
              <w:t>双层箱体，隔热层。可靠的接地连续性能；</w:t>
            </w:r>
          </w:p>
          <w:p>
            <w:pPr>
              <w:pStyle w:val="24"/>
              <w:numPr>
                <w:ilvl w:val="0"/>
                <w:numId w:val="0"/>
              </w:numPr>
              <w:ind w:left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4.可吊装可和地坦克拖运；</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5.双层涂层防护，耐30年不锈蚀；</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6.充电桩部分防护等级IP54，配电部分IP4X；</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7.100mm槽钢底框及框架；3mm底板；2.5mm周边封板及顶板。顶部散水坡。</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10KV环网柜</w:t>
            </w:r>
          </w:p>
        </w:tc>
        <w:tc>
          <w:tcPr>
            <w:tcW w:w="4784" w:type="dxa"/>
            <w:tcBorders>
              <w:top w:val="single" w:color="auto" w:sz="4"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1000*1000*2200 （国内一线品牌）</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其他辅料</w:t>
            </w:r>
          </w:p>
        </w:tc>
        <w:tc>
          <w:tcPr>
            <w:tcW w:w="47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防火泥、卷圆带、酒精、通讯线端子等</w:t>
            </w:r>
          </w:p>
        </w:tc>
        <w:tc>
          <w:tcPr>
            <w:tcW w:w="984"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电缆</w:t>
            </w:r>
          </w:p>
        </w:tc>
        <w:tc>
          <w:tcPr>
            <w:tcW w:w="47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ZC-YJLV22-3*300mm²</w:t>
            </w: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m</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箱变基础</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座</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266" w:type="dxa"/>
            <w:gridSpan w:val="5"/>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充电桩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0" w:hRule="atLeast"/>
        </w:trPr>
        <w:tc>
          <w:tcPr>
            <w:tcW w:w="905" w:type="dxa"/>
            <w:vMerge w:val="restart"/>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427" w:type="dxa"/>
            <w:vMerge w:val="restart"/>
            <w:tcBorders>
              <w:top w:val="single" w:color="000000" w:sz="8" w:space="0"/>
              <w:left w:val="single" w:color="000000" w:sz="8" w:space="0"/>
              <w:bottom w:val="single" w:color="000000" w:sz="8" w:space="0"/>
              <w:right w:val="single" w:color="auto"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集群系统主机</w:t>
            </w: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1.流输入电压：380V（-20%，+20%）</w:t>
            </w:r>
          </w:p>
        </w:tc>
        <w:tc>
          <w:tcPr>
            <w:tcW w:w="984" w:type="dxa"/>
            <w:vMerge w:val="restart"/>
            <w:tcBorders>
              <w:top w:val="single" w:color="000000" w:sz="8" w:space="0"/>
              <w:left w:val="single" w:color="auto" w:sz="4"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台</w:t>
            </w:r>
          </w:p>
        </w:tc>
        <w:tc>
          <w:tcPr>
            <w:tcW w:w="1166" w:type="dxa"/>
            <w:vMerge w:val="restart"/>
            <w:tcBorders>
              <w:top w:val="single" w:color="000000" w:sz="8"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8" w:space="0"/>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2.交流输入频率：50Hz/60 Hz±10%</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8" w:space="0"/>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3.单枪最大输出电流：250Adc</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8" w:space="0"/>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4.单模输出功率：20Kw或30kw</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8" w:space="0"/>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5.标称输出电压：750V</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8" w:space="0"/>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6.输出电压范围：200 V～750 Vdc（1000Vdc）</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8" w:space="0"/>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7.恒功输出范围：200 V～750 V</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8" w:space="0"/>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8.功率因数：≥0.99</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8" w:space="0"/>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9.综合效率：≥95%</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8" w:space="0"/>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10.总谐波含量：≤5%</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8" w:space="0"/>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11.输出电压误差：±0.5%</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8" w:space="0"/>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12.输出电流误差：≥30A 时，±1%；                          ＜30A 时，±0.3A</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8" w:space="0"/>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13.稳压精度：≤0.5%</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8" w:space="0"/>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14.稳流精度：≤1%</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8" w:space="0"/>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15.输出峰峰值纹波系数：≤0.5%</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single" w:color="000000" w:sz="8" w:space="0"/>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16.负载调整率(负载效应)：≤1%</w:t>
            </w:r>
          </w:p>
        </w:tc>
        <w:tc>
          <w:tcPr>
            <w:tcW w:w="984" w:type="dxa"/>
            <w:vMerge w:val="continue"/>
            <w:tcBorders>
              <w:top w:val="single" w:color="000000" w:sz="8" w:space="0"/>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直流充电桩终端</w:t>
            </w:r>
          </w:p>
        </w:tc>
        <w:tc>
          <w:tcPr>
            <w:tcW w:w="4784" w:type="dxa"/>
            <w:tcBorders>
              <w:top w:val="single" w:color="auto" w:sz="4"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一桩双枪充电终端；充电枪额定电流250A，枪线长度5米；配置不小于7吋彩色触屏查看信息；定制超大电子液晶广告屏</w:t>
            </w:r>
          </w:p>
        </w:tc>
        <w:tc>
          <w:tcPr>
            <w:tcW w:w="9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single" w:color="000000" w:sz="8" w:space="0"/>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动力电缆</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YJV22-3*25+1*16</w:t>
            </w: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m</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动力电缆</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YJV22-3*50+2*25</w:t>
            </w: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m</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动力电缆</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VVR-1*95</w:t>
            </w: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m</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动力电缆</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(JVR4*70+1*35)/(YJV3*95+2*50)</w:t>
            </w: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m</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动力电缆</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YJV22-3*70+2*35</w:t>
            </w: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m</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配套线缆</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m</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直流电缆</w:t>
            </w:r>
          </w:p>
        </w:tc>
        <w:tc>
          <w:tcPr>
            <w:tcW w:w="4784" w:type="dxa"/>
            <w:tcBorders>
              <w:top w:val="nil"/>
              <w:left w:val="single" w:color="000000" w:sz="8" w:space="0"/>
              <w:bottom w:val="single" w:color="auto" w:sz="4"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VVR-4*95+1*16+3*(2*2.5)+2*1</w:t>
            </w: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m</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0" w:hRule="atLeast"/>
        </w:trPr>
        <w:tc>
          <w:tcPr>
            <w:tcW w:w="905" w:type="dxa"/>
            <w:vMerge w:val="restart"/>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p>
        </w:tc>
        <w:tc>
          <w:tcPr>
            <w:tcW w:w="1427" w:type="dxa"/>
            <w:vMerge w:val="restart"/>
            <w:tcBorders>
              <w:top w:val="nil"/>
              <w:left w:val="single" w:color="000000" w:sz="8" w:space="0"/>
              <w:bottom w:val="single" w:color="000000" w:sz="8" w:space="0"/>
              <w:right w:val="single" w:color="auto"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一体式直流充电桩</w:t>
            </w: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流输入电压：380V（-20%，+20%）</w:t>
            </w:r>
          </w:p>
        </w:tc>
        <w:tc>
          <w:tcPr>
            <w:tcW w:w="984" w:type="dxa"/>
            <w:vMerge w:val="restart"/>
            <w:tcBorders>
              <w:top w:val="nil"/>
              <w:left w:val="single" w:color="auto" w:sz="4"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台</w:t>
            </w:r>
          </w:p>
        </w:tc>
        <w:tc>
          <w:tcPr>
            <w:tcW w:w="1166" w:type="dxa"/>
            <w:vMerge w:val="restart"/>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交流输入频率：50Hz/60 Hz±10%</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单模输出功率：20Kw或30kw</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标称输出电压：750V</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模块输出电压范围：200 V～750 V</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功率因数:≥0.99</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综合效率:≥95%</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总谐波含量:≤5%</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输出电压误差:±0.5%</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输出电流误差:≥30A 时，±1%；                          ＜30A 时，±0.3A</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稳压精度:≤0.5%</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稳流精度:≤1%:</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输出峰峰值纹波系数:≤0.5%</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负载调整率(负载效应):≤1%1</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905" w:type="dxa"/>
            <w:vMerge w:val="restart"/>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p>
        </w:tc>
        <w:tc>
          <w:tcPr>
            <w:tcW w:w="1427" w:type="dxa"/>
            <w:vMerge w:val="restart"/>
            <w:tcBorders>
              <w:top w:val="nil"/>
              <w:left w:val="single" w:color="000000" w:sz="8" w:space="0"/>
              <w:bottom w:val="single" w:color="000000" w:sz="8" w:space="0"/>
              <w:right w:val="single" w:color="auto" w:sz="4"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交流充电桩</w:t>
            </w: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额定功率：7KW；</w:t>
            </w:r>
          </w:p>
        </w:tc>
        <w:tc>
          <w:tcPr>
            <w:tcW w:w="984" w:type="dxa"/>
            <w:vMerge w:val="restart"/>
            <w:tcBorders>
              <w:top w:val="nil"/>
              <w:left w:val="single" w:color="auto" w:sz="4"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台</w:t>
            </w:r>
          </w:p>
        </w:tc>
        <w:tc>
          <w:tcPr>
            <w:tcW w:w="1166" w:type="dxa"/>
            <w:vMerge w:val="restart"/>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32A枪线，长度3.5米。定制立柱式外观；</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供电线制：单相三线制</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需求电压：单相交流220V</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电压波动范围：不大于额定电压的±15%</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需求电容量：7KVA</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输出电压：单相220V</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输出电流：32A</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计量仪表等级：1.0。</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防护等级：IP54</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充电枪数：1</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427" w:type="dxa"/>
            <w:vMerge w:val="continue"/>
            <w:tcBorders>
              <w:top w:val="nil"/>
              <w:left w:val="single" w:color="000000" w:sz="8" w:space="0"/>
              <w:bottom w:val="single" w:color="000000" w:sz="8"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4784" w:type="dxa"/>
            <w:tcBorders>
              <w:top w:val="single" w:color="auto" w:sz="4" w:space="0"/>
              <w:left w:val="single" w:color="auto" w:sz="4" w:space="0"/>
              <w:bottom w:val="single" w:color="auto" w:sz="4" w:space="0"/>
              <w:right w:val="single" w:color="auto" w:sz="4" w:space="0"/>
            </w:tcBorders>
            <w:noWrap w:val="0"/>
            <w:vAlign w:val="center"/>
          </w:tcPr>
          <w:p>
            <w:pPr>
              <w:pStyle w:val="24"/>
              <w:ind w:firstLine="48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充电电缆长度：3.5米。</w:t>
            </w:r>
          </w:p>
        </w:tc>
        <w:tc>
          <w:tcPr>
            <w:tcW w:w="984" w:type="dxa"/>
            <w:vMerge w:val="continue"/>
            <w:tcBorders>
              <w:top w:val="nil"/>
              <w:left w:val="single" w:color="auto" w:sz="4"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1166" w:type="dxa"/>
            <w:vMerge w:val="continue"/>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动力电缆</w:t>
            </w:r>
          </w:p>
        </w:tc>
        <w:tc>
          <w:tcPr>
            <w:tcW w:w="4784" w:type="dxa"/>
            <w:tcBorders>
              <w:top w:val="single" w:color="auto" w:sz="4" w:space="0"/>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(JVR3*10)</w:t>
            </w: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m</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充电监控管理软件</w:t>
            </w:r>
          </w:p>
        </w:tc>
        <w:tc>
          <w:tcPr>
            <w:tcW w:w="47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充电桩数据采集、分析、连接充电运营监控管理平台，充电桩远程控制、安全管控等</w:t>
            </w: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套</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14</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防雨棚</w:t>
            </w:r>
          </w:p>
        </w:tc>
        <w:tc>
          <w:tcPr>
            <w:tcW w:w="47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PVDF刀刮建筑膜材；钢架国标Q235钢材；符合国家相关规范标准。</w:t>
            </w: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m²</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15</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监控照明</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套</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16</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消防设施</w:t>
            </w:r>
          </w:p>
        </w:tc>
        <w:tc>
          <w:tcPr>
            <w:tcW w:w="47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手提4KG灭火器与手推35kg灭火器配套使用</w:t>
            </w: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套</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17</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挡车器</w:t>
            </w:r>
          </w:p>
        </w:tc>
        <w:tc>
          <w:tcPr>
            <w:tcW w:w="47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双胶挡车器</w:t>
            </w: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套</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5"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18</w:t>
            </w:r>
          </w:p>
        </w:tc>
        <w:tc>
          <w:tcPr>
            <w:tcW w:w="1427"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道闸系统</w:t>
            </w:r>
          </w:p>
        </w:tc>
        <w:tc>
          <w:tcPr>
            <w:tcW w:w="4784" w:type="dxa"/>
            <w:tcBorders>
              <w:top w:val="nil"/>
              <w:left w:val="single" w:color="000000" w:sz="8" w:space="0"/>
              <w:bottom w:val="single" w:color="000000" w:sz="8" w:space="0"/>
              <w:right w:val="single" w:color="000000" w:sz="8" w:space="0"/>
            </w:tcBorders>
            <w:noWrap w:val="0"/>
            <w:vAlign w:val="center"/>
          </w:tcPr>
          <w:p>
            <w:pPr>
              <w:pStyle w:val="24"/>
              <w:ind w:firstLine="480"/>
              <w:jc w:val="center"/>
              <w:outlineLvl w:val="9"/>
              <w:rPr>
                <w:rFonts w:hint="eastAsia" w:ascii="宋体" w:hAnsi="宋体" w:eastAsia="宋体" w:cs="宋体"/>
                <w:sz w:val="24"/>
                <w:szCs w:val="24"/>
                <w:highlight w:val="none"/>
              </w:rPr>
            </w:pPr>
          </w:p>
        </w:tc>
        <w:tc>
          <w:tcPr>
            <w:tcW w:w="984"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套</w:t>
            </w:r>
          </w:p>
        </w:tc>
        <w:tc>
          <w:tcPr>
            <w:tcW w:w="1166" w:type="dxa"/>
            <w:tcBorders>
              <w:top w:val="nil"/>
              <w:left w:val="single" w:color="000000" w:sz="8" w:space="0"/>
              <w:bottom w:val="single" w:color="000000" w:sz="8" w:space="0"/>
              <w:right w:val="single" w:color="000000" w:sz="8" w:space="0"/>
            </w:tcBorders>
            <w:noWrap w:val="0"/>
            <w:vAlign w:val="center"/>
          </w:tcPr>
          <w:p>
            <w:pPr>
              <w:pStyle w:val="2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30</w:t>
            </w:r>
          </w:p>
        </w:tc>
      </w:tr>
    </w:tbl>
    <w:p>
      <w:pPr>
        <w:pStyle w:val="24"/>
        <w:ind w:firstLine="480"/>
        <w:outlineLvl w:val="9"/>
        <w:rPr>
          <w:rFonts w:hint="eastAsia" w:ascii="宋体" w:hAnsi="宋体" w:eastAsia="宋体" w:cs="宋体"/>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18" w:firstLineChars="200"/>
        <w:jc w:val="left"/>
        <w:textAlignment w:val="auto"/>
        <w:outlineLvl w:val="9"/>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注：</w:t>
      </w:r>
      <w:r>
        <w:rPr>
          <w:rFonts w:hint="eastAsia" w:ascii="宋体" w:hAnsi="宋体" w:eastAsia="宋体" w:cs="宋体"/>
          <w:sz w:val="24"/>
          <w:szCs w:val="24"/>
          <w:highlight w:val="none"/>
          <w:lang w:val="en-US" w:eastAsia="zh-CN"/>
        </w:rPr>
        <w:t>动力电缆YJV22-3*25+1*16、YJV22-3*50+2*25、(JVR4*70+1*35)/(YJV3*95+2*50)、 VVR-1*95、YJV22-3*70+2*35暂按3000米计取，直流电缆VVR-4*95+1*16+3*(2*2.5)+2*1暂按3000米计取，动力电缆(JVR3*10)暂按2800米计取，结算时工程量按施工现场实际完成工程量计算</w:t>
      </w:r>
      <w:r>
        <w:rPr>
          <w:rFonts w:hint="eastAsia" w:ascii="宋体" w:hAnsi="宋体" w:eastAsia="宋体" w:cs="宋体"/>
          <w:b/>
          <w:bCs/>
          <w:sz w:val="24"/>
          <w:szCs w:val="24"/>
          <w:highlight w:val="none"/>
          <w:lang w:val="en-US" w:eastAsia="zh-CN"/>
        </w:rPr>
        <w:t>。</w:t>
      </w:r>
    </w:p>
    <w:p>
      <w:pPr>
        <w:pStyle w:val="40"/>
        <w:outlineLvl w:val="9"/>
        <w:rPr>
          <w:rFonts w:hint="eastAsia" w:ascii="宋体" w:hAnsi="宋体" w:eastAsia="宋体" w:cs="宋体"/>
          <w:sz w:val="24"/>
          <w:szCs w:val="24"/>
          <w:highlight w:val="none"/>
          <w:lang w:eastAsia="zh-CN"/>
        </w:rPr>
      </w:pPr>
    </w:p>
    <w:p>
      <w:pPr>
        <w:pStyle w:val="41"/>
        <w:ind w:firstLine="562"/>
        <w:outlineLvl w:val="9"/>
        <w:rPr>
          <w:rFonts w:hint="eastAsia" w:ascii="宋体" w:hAnsi="宋体" w:eastAsia="宋体" w:cs="宋体"/>
          <w:sz w:val="24"/>
          <w:szCs w:val="24"/>
          <w:highlight w:val="none"/>
        </w:rPr>
      </w:pPr>
    </w:p>
    <w:p>
      <w:pPr>
        <w:pStyle w:val="42"/>
        <w:ind w:left="0" w:leftChars="0" w:firstLine="0" w:firstLineChars="0"/>
        <w:outlineLvl w:val="9"/>
        <w:rPr>
          <w:rFonts w:hint="eastAsia" w:ascii="宋体" w:hAnsi="宋体" w:eastAsia="宋体" w:cs="宋体"/>
          <w:sz w:val="24"/>
          <w:szCs w:val="24"/>
          <w:highlight w:val="none"/>
        </w:rPr>
      </w:pPr>
    </w:p>
    <w:p>
      <w:pPr>
        <w:pStyle w:val="24"/>
        <w:outlineLvl w:val="9"/>
        <w:rPr>
          <w:rFonts w:hint="eastAsia" w:ascii="宋体" w:hAnsi="宋体" w:eastAsia="宋体" w:cs="宋体"/>
          <w:sz w:val="24"/>
          <w:szCs w:val="24"/>
          <w:highlight w:val="none"/>
        </w:rPr>
      </w:pPr>
    </w:p>
    <w:p>
      <w:pPr>
        <w:pStyle w:val="40"/>
        <w:outlineLvl w:val="9"/>
        <w:rPr>
          <w:rFonts w:hint="eastAsia" w:ascii="宋体" w:hAnsi="宋体" w:eastAsia="宋体" w:cs="宋体"/>
          <w:sz w:val="24"/>
          <w:szCs w:val="24"/>
          <w:highlight w:val="none"/>
        </w:rPr>
      </w:pPr>
    </w:p>
    <w:p>
      <w:pPr>
        <w:pStyle w:val="41"/>
        <w:outlineLvl w:val="9"/>
        <w:rPr>
          <w:rFonts w:hint="eastAsia" w:ascii="宋体" w:hAnsi="宋体" w:eastAsia="宋体" w:cs="宋体"/>
          <w:sz w:val="24"/>
          <w:szCs w:val="24"/>
          <w:highlight w:val="none"/>
        </w:rPr>
      </w:pPr>
    </w:p>
    <w:p>
      <w:pPr>
        <w:pStyle w:val="42"/>
        <w:outlineLvl w:val="9"/>
        <w:rPr>
          <w:rFonts w:hint="eastAsia" w:ascii="宋体" w:hAnsi="宋体" w:eastAsia="宋体" w:cs="宋体"/>
          <w:sz w:val="24"/>
          <w:szCs w:val="24"/>
          <w:highlight w:val="none"/>
        </w:rPr>
      </w:pPr>
    </w:p>
    <w:p>
      <w:pPr>
        <w:pStyle w:val="24"/>
        <w:outlineLvl w:val="9"/>
        <w:rPr>
          <w:rFonts w:hint="eastAsia" w:ascii="宋体" w:hAnsi="宋体" w:eastAsia="宋体" w:cs="宋体"/>
          <w:sz w:val="24"/>
          <w:szCs w:val="24"/>
          <w:highlight w:val="none"/>
        </w:rPr>
      </w:pPr>
    </w:p>
    <w:p>
      <w:pPr>
        <w:pStyle w:val="25"/>
        <w:ind w:left="0" w:leftChars="0" w:firstLine="0" w:firstLineChars="0"/>
        <w:jc w:val="both"/>
        <w:outlineLvl w:val="9"/>
        <w:rPr>
          <w:rFonts w:hint="eastAsia" w:ascii="宋体" w:hAnsi="宋体" w:eastAsia="宋体" w:cs="宋体"/>
          <w:sz w:val="24"/>
          <w:szCs w:val="24"/>
          <w:highlight w:val="none"/>
        </w:rPr>
      </w:pPr>
    </w:p>
    <w:p>
      <w:pPr>
        <w:pStyle w:val="24"/>
        <w:outlineLvl w:val="9"/>
        <w:rPr>
          <w:rFonts w:hint="eastAsia" w:ascii="宋体" w:hAnsi="宋体" w:eastAsia="宋体" w:cs="宋体"/>
          <w:sz w:val="24"/>
          <w:szCs w:val="24"/>
          <w:highlight w:val="none"/>
        </w:rPr>
      </w:pPr>
    </w:p>
    <w:p>
      <w:pPr>
        <w:pStyle w:val="25"/>
        <w:outlineLvl w:val="9"/>
        <w:rPr>
          <w:rFonts w:hint="eastAsia"/>
          <w:highlight w:val="none"/>
        </w:rPr>
      </w:pPr>
    </w:p>
    <w:p>
      <w:pPr>
        <w:pStyle w:val="42"/>
        <w:ind w:left="358" w:firstLine="466"/>
        <w:outlineLvl w:val="9"/>
        <w:rPr>
          <w:rFonts w:hint="eastAsia" w:ascii="宋体" w:hAnsi="宋体" w:eastAsia="宋体" w:cs="宋体"/>
          <w:sz w:val="24"/>
          <w:szCs w:val="24"/>
          <w:highlight w:val="none"/>
        </w:rPr>
      </w:pPr>
    </w:p>
    <w:p>
      <w:pPr>
        <w:pStyle w:val="24"/>
        <w:outlineLvl w:val="9"/>
        <w:rPr>
          <w:rFonts w:hint="eastAsia" w:ascii="宋体" w:hAnsi="宋体" w:eastAsia="宋体" w:cs="宋体"/>
          <w:sz w:val="24"/>
          <w:szCs w:val="24"/>
          <w:highlight w:val="none"/>
        </w:rPr>
      </w:pPr>
    </w:p>
    <w:p>
      <w:pPr>
        <w:pStyle w:val="40"/>
        <w:outlineLvl w:val="9"/>
        <w:rPr>
          <w:rFonts w:hint="eastAsia" w:ascii="宋体" w:hAnsi="宋体" w:eastAsia="宋体" w:cs="宋体"/>
          <w:sz w:val="24"/>
          <w:szCs w:val="24"/>
          <w:highlight w:val="none"/>
        </w:rPr>
      </w:pPr>
    </w:p>
    <w:p>
      <w:pPr>
        <w:pStyle w:val="41"/>
        <w:outlineLvl w:val="9"/>
        <w:rPr>
          <w:rFonts w:hint="eastAsia" w:ascii="宋体" w:hAnsi="宋体" w:eastAsia="宋体" w:cs="宋体"/>
          <w:sz w:val="24"/>
          <w:szCs w:val="24"/>
          <w:highlight w:val="none"/>
        </w:rPr>
      </w:pPr>
    </w:p>
    <w:p>
      <w:pPr>
        <w:pStyle w:val="20"/>
        <w:spacing w:before="0" w:after="0" w:line="240" w:lineRule="auto"/>
        <w:ind w:firstLine="475"/>
        <w:outlineLvl w:val="0"/>
        <w:rPr>
          <w:rFonts w:hint="eastAsia" w:ascii="宋体" w:hAnsi="宋体" w:eastAsia="宋体" w:cs="宋体"/>
          <w:spacing w:val="14"/>
          <w:sz w:val="24"/>
          <w:szCs w:val="24"/>
          <w:highlight w:val="none"/>
          <w:lang w:val="en-US" w:eastAsia="zh-CN"/>
        </w:rPr>
      </w:pPr>
      <w:bookmarkStart w:id="100" w:name="_Toc256000098"/>
      <w:bookmarkStart w:id="101" w:name="_Toc5925"/>
      <w:r>
        <w:rPr>
          <w:rFonts w:hint="eastAsia" w:ascii="宋体" w:hAnsi="宋体" w:eastAsia="宋体" w:cs="宋体"/>
          <w:spacing w:val="14"/>
          <w:sz w:val="24"/>
          <w:szCs w:val="24"/>
          <w:highlight w:val="none"/>
          <w:lang w:val="en-US" w:eastAsia="zh-CN"/>
        </w:rPr>
        <w:t>第四章   合 同(样本)</w:t>
      </w:r>
      <w:bookmarkEnd w:id="77"/>
      <w:bookmarkEnd w:id="100"/>
      <w:bookmarkEnd w:id="101"/>
    </w:p>
    <w:p>
      <w:pPr>
        <w:pStyle w:val="17"/>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w:t>
      </w:r>
    </w:p>
    <w:p>
      <w:pPr>
        <w:pStyle w:val="17"/>
        <w:outlineLvl w:val="9"/>
        <w:rPr>
          <w:rFonts w:hint="eastAsia" w:ascii="宋体" w:hAnsi="宋体" w:eastAsia="宋体" w:cs="宋体"/>
          <w:b/>
          <w:sz w:val="24"/>
          <w:szCs w:val="24"/>
          <w:highlight w:val="none"/>
        </w:rPr>
      </w:pPr>
    </w:p>
    <w:p>
      <w:pPr>
        <w:pStyle w:val="17"/>
        <w:outlineLvl w:val="9"/>
        <w:rPr>
          <w:rFonts w:hint="eastAsia" w:ascii="宋体" w:hAnsi="宋体" w:eastAsia="宋体" w:cs="宋体"/>
          <w:b/>
          <w:sz w:val="24"/>
          <w:szCs w:val="24"/>
          <w:highlight w:val="none"/>
        </w:rPr>
      </w:pPr>
    </w:p>
    <w:p>
      <w:pPr>
        <w:pStyle w:val="17"/>
        <w:outlineLvl w:val="9"/>
        <w:rPr>
          <w:rFonts w:hint="eastAsia" w:ascii="宋体" w:hAnsi="宋体" w:eastAsia="宋体" w:cs="宋体"/>
          <w:b/>
          <w:sz w:val="24"/>
          <w:szCs w:val="24"/>
          <w:highlight w:val="none"/>
        </w:rPr>
      </w:pPr>
    </w:p>
    <w:p>
      <w:pPr>
        <w:pStyle w:val="17"/>
        <w:outlineLvl w:val="9"/>
        <w:rPr>
          <w:rFonts w:hint="eastAsia" w:ascii="宋体" w:hAnsi="宋体" w:eastAsia="宋体" w:cs="宋体"/>
          <w:b/>
          <w:sz w:val="24"/>
          <w:szCs w:val="24"/>
          <w:highlight w:val="none"/>
        </w:rPr>
      </w:pPr>
    </w:p>
    <w:p>
      <w:pPr>
        <w:pStyle w:val="17"/>
        <w:outlineLvl w:val="9"/>
        <w:rPr>
          <w:rFonts w:hint="eastAsia" w:ascii="宋体" w:hAnsi="宋体" w:eastAsia="宋体" w:cs="宋体"/>
          <w:b/>
          <w:sz w:val="24"/>
          <w:szCs w:val="24"/>
          <w:highlight w:val="none"/>
        </w:rPr>
      </w:pPr>
    </w:p>
    <w:p>
      <w:pPr>
        <w:pStyle w:val="17"/>
        <w:outlineLvl w:val="9"/>
        <w:rPr>
          <w:rFonts w:hint="eastAsia" w:ascii="宋体" w:hAnsi="宋体" w:eastAsia="宋体" w:cs="宋体"/>
          <w:b/>
          <w:sz w:val="24"/>
          <w:szCs w:val="24"/>
          <w:highlight w:val="none"/>
        </w:rPr>
      </w:pPr>
    </w:p>
    <w:p>
      <w:pPr>
        <w:pStyle w:val="17"/>
        <w:jc w:val="center"/>
        <w:outlineLvl w:val="9"/>
        <w:rPr>
          <w:rFonts w:hint="eastAsia" w:ascii="宋体" w:hAnsi="宋体" w:eastAsia="宋体" w:cs="宋体"/>
          <w:b/>
          <w:sz w:val="44"/>
          <w:szCs w:val="44"/>
          <w:highlight w:val="none"/>
        </w:rPr>
      </w:pPr>
      <w:r>
        <w:rPr>
          <w:rFonts w:hint="eastAsia" w:ascii="宋体" w:hAnsi="宋体" w:eastAsia="宋体" w:cs="宋体"/>
          <w:b/>
          <w:sz w:val="44"/>
          <w:szCs w:val="44"/>
          <w:highlight w:val="none"/>
        </w:rPr>
        <w:t>政府采购合同</w:t>
      </w:r>
    </w:p>
    <w:p>
      <w:pPr>
        <w:pStyle w:val="17"/>
        <w:jc w:val="center"/>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w:t>
      </w:r>
    </w:p>
    <w:p>
      <w:pPr>
        <w:pStyle w:val="17"/>
        <w:jc w:val="center"/>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w:t>
      </w:r>
    </w:p>
    <w:p>
      <w:pPr>
        <w:pStyle w:val="17"/>
        <w:jc w:val="center"/>
        <w:outlineLvl w:val="9"/>
        <w:rPr>
          <w:rFonts w:hint="eastAsia" w:ascii="宋体" w:hAnsi="宋体" w:eastAsia="宋体" w:cs="宋体"/>
          <w:b/>
          <w:sz w:val="24"/>
          <w:szCs w:val="24"/>
          <w:highlight w:val="none"/>
        </w:rPr>
      </w:pPr>
    </w:p>
    <w:p>
      <w:pPr>
        <w:pStyle w:val="17"/>
        <w:jc w:val="center"/>
        <w:outlineLvl w:val="9"/>
        <w:rPr>
          <w:rFonts w:hint="eastAsia" w:ascii="宋体" w:hAnsi="宋体" w:eastAsia="宋体" w:cs="宋体"/>
          <w:b/>
          <w:sz w:val="24"/>
          <w:szCs w:val="24"/>
          <w:highlight w:val="none"/>
        </w:rPr>
      </w:pPr>
    </w:p>
    <w:p>
      <w:pPr>
        <w:pStyle w:val="17"/>
        <w:jc w:val="center"/>
        <w:outlineLvl w:val="9"/>
        <w:rPr>
          <w:rFonts w:hint="eastAsia" w:ascii="宋体" w:hAnsi="宋体" w:eastAsia="宋体" w:cs="宋体"/>
          <w:b/>
          <w:sz w:val="24"/>
          <w:szCs w:val="24"/>
          <w:highlight w:val="none"/>
        </w:rPr>
      </w:pPr>
    </w:p>
    <w:p>
      <w:pPr>
        <w:pStyle w:val="17"/>
        <w:jc w:val="center"/>
        <w:outlineLvl w:val="9"/>
        <w:rPr>
          <w:rFonts w:hint="eastAsia" w:ascii="宋体" w:hAnsi="宋体" w:eastAsia="宋体" w:cs="宋体"/>
          <w:b/>
          <w:sz w:val="24"/>
          <w:szCs w:val="24"/>
          <w:highlight w:val="none"/>
        </w:rPr>
      </w:pPr>
    </w:p>
    <w:p>
      <w:pPr>
        <w:pStyle w:val="17"/>
        <w:jc w:val="center"/>
        <w:outlineLvl w:val="9"/>
        <w:rPr>
          <w:rFonts w:hint="eastAsia" w:ascii="宋体" w:hAnsi="宋体" w:eastAsia="宋体" w:cs="宋体"/>
          <w:b/>
          <w:sz w:val="24"/>
          <w:szCs w:val="24"/>
          <w:highlight w:val="none"/>
        </w:rPr>
      </w:pPr>
    </w:p>
    <w:p>
      <w:pPr>
        <w:pStyle w:val="17"/>
        <w:jc w:val="center"/>
        <w:outlineLvl w:val="9"/>
        <w:rPr>
          <w:rFonts w:hint="eastAsia" w:ascii="宋体" w:hAnsi="宋体" w:eastAsia="宋体" w:cs="宋体"/>
          <w:b/>
          <w:sz w:val="24"/>
          <w:szCs w:val="24"/>
          <w:highlight w:val="none"/>
        </w:rPr>
      </w:pPr>
    </w:p>
    <w:p>
      <w:pPr>
        <w:pStyle w:val="17"/>
        <w:ind w:firstLine="2090" w:firstLineChars="100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u w:val="single"/>
        </w:rPr>
        <w:t xml:space="preserve">                                   </w:t>
      </w:r>
    </w:p>
    <w:p>
      <w:pPr>
        <w:pStyle w:val="17"/>
        <w:ind w:firstLine="2090" w:firstLineChars="1000"/>
        <w:jc w:val="left"/>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政府采购管理部门备案编号：</w:t>
      </w:r>
      <w:r>
        <w:rPr>
          <w:rFonts w:hint="eastAsia" w:ascii="宋体" w:hAnsi="宋体" w:eastAsia="宋体" w:cs="宋体"/>
          <w:sz w:val="24"/>
          <w:szCs w:val="24"/>
          <w:highlight w:val="none"/>
          <w:u w:val="single"/>
        </w:rPr>
        <w:t xml:space="preserve">                   </w:t>
      </w:r>
    </w:p>
    <w:p>
      <w:pPr>
        <w:pStyle w:val="17"/>
        <w:ind w:firstLine="2090" w:firstLineChars="100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招标采购文件编号：</w:t>
      </w:r>
      <w:r>
        <w:rPr>
          <w:rFonts w:hint="eastAsia" w:ascii="宋体" w:hAnsi="宋体" w:eastAsia="宋体" w:cs="宋体"/>
          <w:sz w:val="24"/>
          <w:szCs w:val="24"/>
          <w:highlight w:val="none"/>
          <w:u w:val="single"/>
        </w:rPr>
        <w:t xml:space="preserve">                           </w:t>
      </w:r>
    </w:p>
    <w:p>
      <w:pPr>
        <w:pStyle w:val="17"/>
        <w:ind w:firstLine="2090" w:firstLineChars="100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甲方合同编号：</w:t>
      </w:r>
      <w:r>
        <w:rPr>
          <w:rFonts w:hint="eastAsia" w:ascii="宋体" w:hAnsi="宋体" w:eastAsia="宋体" w:cs="宋体"/>
          <w:sz w:val="24"/>
          <w:szCs w:val="24"/>
          <w:highlight w:val="none"/>
          <w:u w:val="single"/>
        </w:rPr>
        <w:t xml:space="preserve">                               </w:t>
      </w:r>
    </w:p>
    <w:p>
      <w:pPr>
        <w:pStyle w:val="17"/>
        <w:ind w:firstLine="2090" w:firstLineChars="1000"/>
        <w:jc w:val="left"/>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u w:val="single"/>
        </w:rPr>
        <w:t xml:space="preserve">                                       </w:t>
      </w:r>
    </w:p>
    <w:p>
      <w:pPr>
        <w:pStyle w:val="17"/>
        <w:ind w:firstLine="2090" w:firstLineChars="100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乙方：</w:t>
      </w:r>
      <w:r>
        <w:rPr>
          <w:rFonts w:hint="eastAsia" w:ascii="宋体" w:hAnsi="宋体" w:eastAsia="宋体" w:cs="宋体"/>
          <w:sz w:val="24"/>
          <w:szCs w:val="24"/>
          <w:highlight w:val="none"/>
          <w:u w:val="single"/>
        </w:rPr>
        <w:t xml:space="preserve">                                       </w:t>
      </w:r>
    </w:p>
    <w:p>
      <w:pPr>
        <w:pStyle w:val="17"/>
        <w:ind w:firstLine="2090" w:firstLineChars="1000"/>
        <w:jc w:val="left"/>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甲方合同法律审核部门：</w:t>
      </w:r>
      <w:r>
        <w:rPr>
          <w:rFonts w:hint="eastAsia" w:ascii="宋体" w:hAnsi="宋体" w:eastAsia="宋体" w:cs="宋体"/>
          <w:sz w:val="24"/>
          <w:szCs w:val="24"/>
          <w:highlight w:val="none"/>
          <w:u w:val="single"/>
        </w:rPr>
        <w:t xml:space="preserve">                       </w:t>
      </w:r>
    </w:p>
    <w:p>
      <w:pPr>
        <w:pStyle w:val="17"/>
        <w:ind w:firstLine="2090" w:firstLineChars="10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签订时间：      年    月    日</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pPr>
        <w:pStyle w:val="17"/>
        <w:ind w:firstLine="418" w:firstLineChars="200"/>
        <w:outlineLvl w:val="9"/>
        <w:rPr>
          <w:rFonts w:hint="eastAsia" w:ascii="宋体" w:hAnsi="宋体" w:eastAsia="宋体" w:cs="宋体"/>
          <w:sz w:val="24"/>
          <w:szCs w:val="24"/>
          <w:highlight w:val="none"/>
        </w:rPr>
      </w:pPr>
    </w:p>
    <w:p>
      <w:pPr>
        <w:pStyle w:val="17"/>
        <w:ind w:firstLine="418" w:firstLineChars="200"/>
        <w:outlineLvl w:val="9"/>
        <w:rPr>
          <w:rFonts w:hint="eastAsia" w:ascii="宋体" w:hAnsi="宋体" w:eastAsia="宋体" w:cs="宋体"/>
          <w:sz w:val="24"/>
          <w:szCs w:val="24"/>
          <w:highlight w:val="none"/>
        </w:rPr>
      </w:pP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（甲方）（××项目）委托（代理机构名称）进行了政府采购。按照评委会评审推荐、甲方确定乙方为中标单位。现甲乙双方协商同意签订本合同。</w:t>
      </w:r>
    </w:p>
    <w:p>
      <w:pPr>
        <w:pStyle w:val="17"/>
        <w:numPr>
          <w:ilvl w:val="0"/>
          <w:numId w:val="3"/>
        </w:numPr>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合同文件</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下列与本次采购活动有关的文件及附件是本合同不可分割的组成部分，与本合同具有同等法律效力，这些文件包括但不限于：</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1.（××号）招标采购文件</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2.投标文件</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3.乙方在投标时的书面承诺</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4.（××号）中标通知书</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5.合同补充条款或说明</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6.保密协议或条款</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7.相关附件、图纸</w:t>
      </w:r>
    </w:p>
    <w:p>
      <w:pPr>
        <w:pStyle w:val="17"/>
        <w:ind w:left="482"/>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第二条  合同标的</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乙方根据甲方需求提供下列货物，货物名称、规格及数量，备件、易损件和专用工具等（详见《供货一览表》）。</w:t>
      </w:r>
    </w:p>
    <w:p>
      <w:pPr>
        <w:pStyle w:val="17"/>
        <w:ind w:left="482"/>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第三条  合同总金额</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大写：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本合同项下货物总金额：￥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分项价款在《供货一览表》中有明确规定。</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合同总价款包括货物、软件、标准附件、备品备件、专用工具、图纸资料、技术服务，包装、仓储、运输、装卸、保险、税金，货到就位以及安装、调试、培训、保修等验收合格之前和质保期内的售后服务一切税金和费用。</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本合同执行期间合同总价款不变。</w:t>
      </w:r>
    </w:p>
    <w:p>
      <w:pPr>
        <w:pStyle w:val="17"/>
        <w:ind w:left="482"/>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第四条  权利和质量保证</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1.乙方应保证甲方在使用该货物或其任何一部分时不受第三方提出侵犯其专利权、版权、商标权或其他权利的起诉。一旦出现侵权，索赔或诉讼，乙方应承担全部责任。</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2.乙方保证货物是全新的、未使用过的，完全符合国家规范及甲乙双方确认的投标文件、本合同关于货物数量、质量的要求。货物符合实行国家“三包”规定的，应执行“三包”规定。</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本项目质保期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年，保修期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3.乙方提交的货物应符合投标文件中所记载的详细配置、技术参数、参数及性能，并应附有此类货物完整、详细的技术资料和说明文件。</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乙方提交的货物必须按照招标采购文件的要求和中标人投标文件的承诺，以约定标准进行制造、安装；经政府采购管理部门批准采购的进口产品应执行原产地国家有关部门最新颁布的相应正式标准并提供国家商检、海关报关等手续。</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5.乙方应保证将货物按照国家或专业标准包装、确保货物安全无损运抵合同规定的交货地点，并进行安装、试运行。</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6、乙方保证货物不存在危及人身及财产安全的产品缺陷，否则应承担全部法律责任。</w:t>
      </w:r>
    </w:p>
    <w:p>
      <w:pPr>
        <w:pStyle w:val="17"/>
        <w:ind w:left="482"/>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第五条  付款方式</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1.本合同项下所有款项均以人民币支付。</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2.乙方向甲方提交下列文件材料，经甲方审核无误后支付采购资金：</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（1）经甲方确认的发票；</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（2）经甲乙双方确认签署的《验收报告》（或按项目进度阶段性《验收报告》）；</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（3）其他材料。</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3.款项的支付进度以招标采购文件的有关规定为准。如招标采购文件未作特别规定，则付款进度应符合如下约定：</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货到初验合格后支付至合同总价的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％，货到安装调试合格后支付至合同总价的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％，运行正常后支付至合同总价的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％，余款</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％作为质量保证金于货物或系统运行满</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月（年）后，并经甲乙双方复验合格后的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个工作日内付清。</w:t>
      </w:r>
    </w:p>
    <w:p>
      <w:pPr>
        <w:pStyle w:val="17"/>
        <w:ind w:left="482"/>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第六条  履约保证金</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1.乙方在签订本合同之日，向甲方提交合同履约保证金</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（履约保证金的数额不得超过政府采购合同金额的10%）。</w:t>
      </w:r>
    </w:p>
    <w:p>
      <w:pPr>
        <w:pStyle w:val="17"/>
        <w:ind w:firstLine="418" w:firstLineChars="200"/>
        <w:outlineLvl w:val="9"/>
        <w:rPr>
          <w:rFonts w:hint="eastAsia" w:ascii="宋体" w:hAnsi="宋体" w:eastAsia="宋体" w:cs="宋体"/>
          <w:strike/>
          <w:sz w:val="24"/>
          <w:szCs w:val="24"/>
          <w:highlight w:val="none"/>
        </w:rPr>
      </w:pPr>
      <w:r>
        <w:rPr>
          <w:rFonts w:hint="eastAsia" w:ascii="宋体" w:hAnsi="宋体" w:eastAsia="宋体" w:cs="宋体"/>
          <w:sz w:val="24"/>
          <w:szCs w:val="24"/>
          <w:highlight w:val="none"/>
        </w:rPr>
        <w:t>2.履约保证金有效期为甲乙双方最终验收后1个月内。到期后，甲方向乙方无息退还。</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3.如乙方未能履行或未能完全履行合同规定的义务，甲方有权从履约保证金中取得补偿。履约保证金扣除甲方应得的补偿后的余额在合同期满后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天内无息退还乙方。</w:t>
      </w:r>
    </w:p>
    <w:p>
      <w:pPr>
        <w:pStyle w:val="17"/>
        <w:ind w:left="482"/>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第七条  交货和验收</w:t>
      </w:r>
    </w:p>
    <w:p>
      <w:pPr>
        <w:pStyle w:val="17"/>
        <w:ind w:firstLine="418" w:firstLineChars="200"/>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 xml:space="preserve">1.交货时间：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pStyle w:val="17"/>
        <w:ind w:firstLine="627" w:firstLineChars="3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交货地点：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pStyle w:val="17"/>
        <w:ind w:firstLine="627" w:firstLineChars="3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安装调试时间：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pStyle w:val="44"/>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 乙方应对提供的货物作出全面自查和整理，并列出清单，作为甲方验收和使用的技术条件依据，清单应随提供的验收资料交给甲方。</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3.乙方提供的货物应包括本合同“第一条 合同文件”规定的全部货物及其附（辅）件、资料。</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4.甲方应当在到货后的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个工作日内对货物进行验收。货物验收时，甲乙双方必须同时在场，双方共同确认货物与本合同规定的产地、生产厂家名称、品牌、规格型号、数量、质量、技术参数和性能等是否一致。乙方所交付的货物不符合合同规定的，甲方有权拒收。乙方应及时按本合同规定和甲方要求免费对拒收货物采取更换或其他必要的补救措施，直至验收合格，方视为乙方按本合同规定完成交货。验收合格的，由双方共同签署《验收报告》。</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5.需要乙方对货物（包括软件）或系统进行安装调试的，甲乙双方应在货物安装调试完毕后的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a.重新调试直至合格为止；</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b.要求乙方对货物进行免费更换，然后重新调试直至合格为止。</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甲方因乙方原因所产生的所有费用均由乙方负担。</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6.验收合格的，由双方共同签署《验收报告》。</w:t>
      </w:r>
    </w:p>
    <w:p>
      <w:pPr>
        <w:pStyle w:val="17"/>
        <w:snapToGrid w:val="0"/>
        <w:ind w:firstLine="482"/>
        <w:textAlignment w:val="baseline"/>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甲方可以视项目规模或复杂情况聘请本项目所涉及产品的售后服务机构参与验收，聘请专业人员参与验收，大型或复杂项目，以及特种货物应当邀请国家认可的第三方质量检测机构参与验收，也可以视项目情况邀请参加本项目投标的落标人参与验收。</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货物验收包括：货物包装是否完好，产地、生产厂家名称、品牌、型号、规格、数量、外观质量、配置、内在质量，以及调试运行是否达到“第一条合同文件”规定的效果。乙方应将所提供货物的装箱清单、产品合格证、甲方手册、原厂保修卡、随机资料及备品备件、易损件、专用工具等交付给甲方；乙方不能完整交付货物、附（辅）件和资料的，视为未按合同约定交货，乙方负责补齐，因此导致逾期交付的，由乙方承担相关的违约责任。</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9.货物达不到本合同“第一条合同文件”规定的数量、质量要求和运行效果，甲方有权拒收，并可以解除合同；由此引起甲方损失及赔偿责任由乙方承担。</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10.如果合同双方对《验收报告》有分歧，双方须于出现分歧后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天内给对方书面声明，以陈述己方的理由及要求，并附有关证据。分歧应通过协商解决。</w:t>
      </w:r>
    </w:p>
    <w:p>
      <w:pPr>
        <w:pStyle w:val="17"/>
        <w:ind w:left="482"/>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第八条  项目管理服务</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乙方应组建技术熟练、称职的团队全面履行合同,并指定不少于一人全权全程负责本项目的商务服务，以及货物安装、调试、咨询、培训和售后等技术服务工作。</w:t>
      </w:r>
    </w:p>
    <w:p>
      <w:pPr>
        <w:pStyle w:val="17"/>
        <w:snapToGrid w:val="0"/>
        <w:ind w:firstLine="481"/>
        <w:textAlignment w:val="baseline"/>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项目负责人姓名： </w:t>
      </w:r>
      <w:r>
        <w:rPr>
          <w:rFonts w:hint="eastAsia" w:ascii="宋体" w:hAnsi="宋体" w:eastAsia="宋体" w:cs="宋体"/>
          <w:sz w:val="24"/>
          <w:szCs w:val="24"/>
          <w:highlight w:val="none"/>
          <w:u w:val="single" w:color="000000"/>
        </w:rPr>
        <w:t xml:space="preserve">              </w:t>
      </w:r>
      <w:r>
        <w:rPr>
          <w:rFonts w:hint="eastAsia" w:ascii="宋体" w:hAnsi="宋体" w:eastAsia="宋体" w:cs="宋体"/>
          <w:sz w:val="24"/>
          <w:szCs w:val="24"/>
          <w:highlight w:val="none"/>
        </w:rPr>
        <w:t>； 联系电话：</w:t>
      </w:r>
      <w:r>
        <w:rPr>
          <w:rFonts w:hint="eastAsia" w:ascii="宋体" w:hAnsi="宋体" w:eastAsia="宋体" w:cs="宋体"/>
          <w:sz w:val="24"/>
          <w:szCs w:val="24"/>
          <w:highlight w:val="none"/>
          <w:u w:val="single" w:color="000000"/>
        </w:rPr>
        <w:t xml:space="preserve">                      </w:t>
      </w:r>
      <w:r>
        <w:rPr>
          <w:rFonts w:hint="eastAsia" w:ascii="宋体" w:hAnsi="宋体" w:eastAsia="宋体" w:cs="宋体"/>
          <w:sz w:val="24"/>
          <w:szCs w:val="24"/>
          <w:highlight w:val="none"/>
        </w:rPr>
        <w:t>。</w:t>
      </w:r>
    </w:p>
    <w:p>
      <w:pPr>
        <w:pStyle w:val="17"/>
        <w:ind w:firstLine="418" w:firstLineChars="20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第九条  售后服务</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1.质量保证期为自货物通过最终验收之日起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个月。若国家有明确规定的质量保证期高于此质量保证期的，执行国家规定。</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2.在货物质保期内，乙方应对由于设计、工艺、质量（含环保节能要求）、材料和的缺陷而发生的任何不足或故障负责，并解决存在的问题。</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3.对不符合本合同第四条规定要求的货物应立即进行调换，调换本身并不影响甲方就其损失向乙方索赔的权利。</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4.货物安装调试完成后，乙方应继续向甲方提供良好的技术支持。应当由专门队伍从事此项工作，并提供全天候的热线技术支持服务，应当对甲方所反映的任何问题在</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日（小时）之内做出及时响应，在</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日（小时）之内赶到现场实地解决问题。若问题、故障在检修</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工作日（小时）后仍无法解决，乙方应在</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日（小时）内免费提供不低于故障货物规格型号档次的备用货物供甲方使用，直至故障货物修复。</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5.乙方应当建立健全售后服务体系，确保货物正常运行。乙方应当遵守甲方的有关管理制度、操作规程。对于乙方违规操作造成甲方损失的，由乙方按照本合同第十二条的约定承担赔偿责任。</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6.乙方应负责货物及主要部件、配件维修更换。质保期内，乙方对货物（人为故意损坏除外）提供全免费保修或免费更换；质保期后，收取维修成本费（备品备件乙方应以投标文件承诺的优惠价格提供）。</w:t>
      </w:r>
    </w:p>
    <w:p>
      <w:pPr>
        <w:pStyle w:val="17"/>
        <w:ind w:left="482"/>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第十条  分包</w:t>
      </w:r>
    </w:p>
    <w:p>
      <w:pPr>
        <w:pStyle w:val="17"/>
        <w:ind w:firstLine="418" w:firstLineChars="200"/>
        <w:outlineLvl w:val="9"/>
        <w:rPr>
          <w:rFonts w:hint="eastAsia" w:ascii="宋体" w:hAnsi="宋体" w:eastAsia="宋体" w:cs="宋体"/>
          <w:strike/>
          <w:sz w:val="24"/>
          <w:szCs w:val="24"/>
          <w:highlight w:val="none"/>
        </w:rPr>
      </w:pPr>
      <w:r>
        <w:rPr>
          <w:rFonts w:hint="eastAsia" w:ascii="宋体" w:hAnsi="宋体" w:eastAsia="宋体" w:cs="宋体"/>
          <w:sz w:val="24"/>
          <w:szCs w:val="24"/>
          <w:highlight w:val="none"/>
        </w:rPr>
        <w:t>除招标采购文件事先说明且经甲方事先书面同意外，乙方不得分包其应履行的合同义务。</w:t>
      </w:r>
    </w:p>
    <w:p>
      <w:pPr>
        <w:pStyle w:val="17"/>
        <w:ind w:firstLine="418" w:firstLineChars="20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第十一条  合同的生效</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1.本合同经甲乙双方授权代表签订并加盖公章或合同专用章后生效。</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2.生效后，除《政府采购法》第49条、第50条第二款规定的情形外，甲乙双方不得擅自变更、中止或终止合同。</w:t>
      </w:r>
    </w:p>
    <w:p>
      <w:pPr>
        <w:pStyle w:val="17"/>
        <w:ind w:left="482"/>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第十二条  违约责任</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1.乙方所交付的货物不符合本合同规定的，甲方有权拒收，乙方在得到甲方通知之日起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个工作日内采取补救措施，逾期仍未采取有效措施的，甲方有权要求乙方赔偿因此造成的损失或扣留履约保证金；同时乙方应向甲方支付合同总价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％的违约金。</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2.甲方无正当理由拒收货物、拒付货款的，甲方应向乙方偿付拒付货款</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％的违约金。</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3.乙方无正当理由逾期交付货物的，每逾期1天，乙方向甲方偿付逾期交货部分货款总额的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‰的违约金。如乙方逾期交货达</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天，甲方有权解除合同，甲方解除合同的通知自到达乙方时生效。在此情况下，乙方给甲方造成的实际损失高于违约金的，对高出违约金的部分乙方应予以赔偿。</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4.甲方未按合同规定的期限向乙方支付货款的，每逾期1天甲方向乙方偿付欠款总额的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‰违约金，但累计违约金总额不超过欠款总额的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在乙方承诺的或国家规定的质量保证期内（取两者中最长的期限），如经乙方两次维修，货物仍不能达到合同约定的质量标准、运行效果的，甲方有权要求乙方更换为全新合格货物并按本条第1款处理，同时，乙方还须赔偿甲方因此遭受的损失。</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6.其他未尽事宜，以《合同法》和《政府采购法》等有关法律法规规定为准，无相关规定的，双方协商解决。</w:t>
      </w:r>
    </w:p>
    <w:p>
      <w:pPr>
        <w:pStyle w:val="17"/>
        <w:ind w:left="482"/>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第十三条  不可抗力</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甲、乙方中任何一方，因不可抗力不能按时或完全履行合同的，应及时通知对方，并在</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个工作日内提供相应证明。未履行完合同部分是否继续履行、如何履行等问题，可由双方初步协商，并向主管部门和政府采购管理部门报告。确定为不可抗力原因造成的损失，免予承担责任。</w:t>
      </w:r>
    </w:p>
    <w:p>
      <w:pPr>
        <w:pStyle w:val="17"/>
        <w:ind w:left="482"/>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第十四条  争议的解决方式</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1.因货物的质量问题发生争议的，应当邀请国家认可的质量检测机构对货物质量进行鉴定。货物符合质量标准的，鉴定费由甲方承担；货物不符合质量标准的，鉴定费由乙方承担。</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2.在解释或者执行本合同的过程中发生争议时，双方应通过协商方式解决。</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3.经协商不能解决的争议，双方可选择以下第   种方式解决：</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①向洛阳市有管辖权的法院提起诉讼；</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②向洛阳仲裁委员会提出仲裁。</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4.在法院审理和仲裁期间，除有争议部分外，本合同其他部分可以履行的仍应按合同条款继续履行。</w:t>
      </w:r>
    </w:p>
    <w:p>
      <w:pPr>
        <w:pStyle w:val="17"/>
        <w:ind w:left="482"/>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第十五条  其他</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符合《政府采购法》第49条规定的，经双方协商，办理政府采购手续后，可签订补充合同，所签订的补充合同与本合同具有同等法律效力。</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本合同一式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份，甲、乙双方各执</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份。</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甲   方：                        乙   方：</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名称：（盖章）                   名称：（盖章）</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地址：                           地址：</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法定代表人（签字）：             法定代表人（签字）：</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授权代表（签字）：               授权代表（签字）：</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开户银行：                       开户银行（基本账户）：</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银行账号：                       银行账号（基本账户）：</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合同法律审核（盖章）：</w:t>
      </w:r>
    </w:p>
    <w:p>
      <w:pPr>
        <w:pStyle w:val="17"/>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时  间：         年     月     日</w:t>
      </w:r>
    </w:p>
    <w:p>
      <w:pPr>
        <w:pStyle w:val="17"/>
        <w:ind w:firstLine="418" w:firstLineChars="20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特别说明：</w:t>
      </w:r>
    </w:p>
    <w:p>
      <w:pPr>
        <w:pStyle w:val="17"/>
        <w:ind w:firstLine="418" w:firstLineChars="20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1.本范本根据《政府采购法》、《合同法》等法律法规制定。具体项目的采购合同条款，在本范本框架内由甲乙双方协商一致签订。空格处划横线。</w:t>
      </w:r>
    </w:p>
    <w:p>
      <w:pPr>
        <w:pStyle w:val="17"/>
        <w:ind w:firstLine="418" w:firstLineChars="20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2.收款单位名称应与本合同乙方单位名称、项目中标单位名称、开具发票单位名称相一致。</w:t>
      </w:r>
    </w:p>
    <w:p>
      <w:pPr>
        <w:pStyle w:val="17"/>
        <w:ind w:firstLine="418" w:firstLineChars="20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3.甲方（采购单位）应盖本单位公章，乙方应盖单位公章或合同专用章，合同双方应盖骑缝章。</w:t>
      </w:r>
    </w:p>
    <w:p>
      <w:pPr>
        <w:pStyle w:val="17"/>
        <w:ind w:firstLine="418" w:firstLineChars="20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4. 除涉密项目外，根据《政府采购法实施条例》第50条规定：采购人应当自政府采购合同签订之日起2个工作日内，将政府采购合同在省级以上人民政府财政部门指定的媒体上公告。</w:t>
      </w:r>
    </w:p>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w:t>
      </w:r>
    </w:p>
    <w:p>
      <w:pPr>
        <w:pStyle w:val="17"/>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供货明细项目一览表</w:t>
      </w:r>
    </w:p>
    <w:p>
      <w:pPr>
        <w:pStyle w:val="17"/>
        <w:ind w:firstLine="314" w:firstLineChars="15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tbl>
      <w:tblPr>
        <w:tblStyle w:val="6"/>
        <w:tblW w:w="9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487"/>
        <w:gridCol w:w="3063"/>
        <w:gridCol w:w="548"/>
        <w:gridCol w:w="548"/>
        <w:gridCol w:w="986"/>
        <w:gridCol w:w="1043"/>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center"/>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487" w:type="dxa"/>
            <w:tcBorders>
              <w:top w:val="single" w:color="auto" w:sz="4" w:space="0"/>
              <w:left w:val="nil"/>
              <w:bottom w:val="single" w:color="auto" w:sz="4" w:space="0"/>
              <w:right w:val="single" w:color="auto" w:sz="4" w:space="0"/>
            </w:tcBorders>
            <w:noWrap w:val="0"/>
            <w:vAlign w:val="center"/>
          </w:tcPr>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货物名称</w:t>
            </w:r>
          </w:p>
        </w:tc>
        <w:tc>
          <w:tcPr>
            <w:tcW w:w="3063" w:type="dxa"/>
            <w:tcBorders>
              <w:top w:val="single" w:color="auto" w:sz="4" w:space="0"/>
              <w:left w:val="nil"/>
              <w:bottom w:val="single" w:color="auto" w:sz="4" w:space="0"/>
              <w:right w:val="single" w:color="auto" w:sz="4" w:space="0"/>
            </w:tcBorders>
            <w:noWrap w:val="0"/>
            <w:vAlign w:val="center"/>
          </w:tcPr>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品牌型号规格及</w:t>
            </w:r>
          </w:p>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主要技术参数</w:t>
            </w:r>
          </w:p>
        </w:tc>
        <w:tc>
          <w:tcPr>
            <w:tcW w:w="548" w:type="dxa"/>
            <w:tcBorders>
              <w:top w:val="single" w:color="auto" w:sz="4" w:space="0"/>
              <w:left w:val="nil"/>
              <w:bottom w:val="single" w:color="auto" w:sz="4" w:space="0"/>
              <w:right w:val="single" w:color="auto" w:sz="4" w:space="0"/>
            </w:tcBorders>
            <w:noWrap w:val="0"/>
            <w:vAlign w:val="center"/>
          </w:tcPr>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计量单 </w:t>
            </w:r>
          </w:p>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位</w:t>
            </w:r>
          </w:p>
        </w:tc>
        <w:tc>
          <w:tcPr>
            <w:tcW w:w="548" w:type="dxa"/>
            <w:tcBorders>
              <w:top w:val="single" w:color="auto" w:sz="4" w:space="0"/>
              <w:left w:val="nil"/>
              <w:bottom w:val="single" w:color="auto" w:sz="4" w:space="0"/>
              <w:right w:val="single" w:color="auto" w:sz="4" w:space="0"/>
            </w:tcBorders>
            <w:noWrap w:val="0"/>
            <w:vAlign w:val="center"/>
          </w:tcPr>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数 </w:t>
            </w:r>
          </w:p>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量</w:t>
            </w:r>
          </w:p>
        </w:tc>
        <w:tc>
          <w:tcPr>
            <w:tcW w:w="986" w:type="dxa"/>
            <w:tcBorders>
              <w:top w:val="single" w:color="auto" w:sz="4" w:space="0"/>
              <w:left w:val="nil"/>
              <w:bottom w:val="single" w:color="auto" w:sz="4" w:space="0"/>
              <w:right w:val="single" w:color="auto" w:sz="4" w:space="0"/>
            </w:tcBorders>
            <w:noWrap w:val="0"/>
            <w:vAlign w:val="center"/>
          </w:tcPr>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单 价</w:t>
            </w:r>
          </w:p>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（元）</w:t>
            </w:r>
          </w:p>
        </w:tc>
        <w:tc>
          <w:tcPr>
            <w:tcW w:w="1043" w:type="dxa"/>
            <w:tcBorders>
              <w:top w:val="single" w:color="auto" w:sz="4" w:space="0"/>
              <w:left w:val="nil"/>
              <w:bottom w:val="single" w:color="auto" w:sz="4" w:space="0"/>
              <w:right w:val="single" w:color="auto" w:sz="4" w:space="0"/>
            </w:tcBorders>
            <w:noWrap w:val="0"/>
            <w:vAlign w:val="center"/>
          </w:tcPr>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总 价</w:t>
            </w:r>
          </w:p>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（元）</w:t>
            </w:r>
          </w:p>
        </w:tc>
        <w:tc>
          <w:tcPr>
            <w:tcW w:w="1440" w:type="dxa"/>
            <w:tcBorders>
              <w:top w:val="single" w:color="auto" w:sz="4" w:space="0"/>
              <w:left w:val="nil"/>
              <w:bottom w:val="single" w:color="auto" w:sz="4" w:space="0"/>
              <w:right w:val="single" w:color="auto" w:sz="4" w:space="0"/>
            </w:tcBorders>
            <w:noWrap w:val="0"/>
            <w:vAlign w:val="center"/>
          </w:tcPr>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产地生产</w:t>
            </w:r>
          </w:p>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厂商名称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87"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306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（视明细项目加行）</w:t>
            </w:r>
          </w:p>
        </w:tc>
        <w:tc>
          <w:tcPr>
            <w:tcW w:w="548"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48" w:type="dxa"/>
            <w:tcBorders>
              <w:top w:val="single" w:color="auto" w:sz="4" w:space="0"/>
              <w:left w:val="nil"/>
              <w:bottom w:val="single" w:color="auto" w:sz="4" w:space="0"/>
              <w:right w:val="single" w:color="auto" w:sz="4" w:space="0"/>
            </w:tcBorders>
            <w:noWrap w:val="0"/>
            <w:vAlign w:val="top"/>
          </w:tcPr>
          <w:p>
            <w:pPr>
              <w:pStyle w:val="44"/>
              <w:jc w:val="center"/>
              <w:outlineLvl w:val="9"/>
              <w:rPr>
                <w:rFonts w:hint="eastAsia" w:ascii="宋体" w:hAnsi="宋体" w:eastAsia="宋体" w:cs="宋体"/>
                <w:sz w:val="24"/>
                <w:szCs w:val="24"/>
                <w:highlight w:val="none"/>
              </w:rPr>
            </w:pPr>
          </w:p>
        </w:tc>
        <w:tc>
          <w:tcPr>
            <w:tcW w:w="986"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04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40"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87"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306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48"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48"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986"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04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40"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87"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306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48"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48"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986"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04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40"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87"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306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48"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48"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986"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04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40"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87"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306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48"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48"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986"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04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40"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87"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306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48"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48"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986"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04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40"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87"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145" w:type="dxa"/>
            <w:gridSpan w:val="4"/>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备品备件</w:t>
            </w:r>
          </w:p>
        </w:tc>
        <w:tc>
          <w:tcPr>
            <w:tcW w:w="104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40"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87"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145" w:type="dxa"/>
            <w:gridSpan w:val="4"/>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易损件</w:t>
            </w:r>
          </w:p>
        </w:tc>
        <w:tc>
          <w:tcPr>
            <w:tcW w:w="104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40"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87"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145" w:type="dxa"/>
            <w:gridSpan w:val="4"/>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专用工具价</w:t>
            </w:r>
          </w:p>
        </w:tc>
        <w:tc>
          <w:tcPr>
            <w:tcW w:w="104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40"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87"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145" w:type="dxa"/>
            <w:gridSpan w:val="4"/>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安装调试费</w:t>
            </w:r>
          </w:p>
        </w:tc>
        <w:tc>
          <w:tcPr>
            <w:tcW w:w="104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40"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87"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145" w:type="dxa"/>
            <w:gridSpan w:val="4"/>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运输至最终目的运费及保险费等</w:t>
            </w:r>
          </w:p>
        </w:tc>
        <w:tc>
          <w:tcPr>
            <w:tcW w:w="104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40"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87"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145" w:type="dxa"/>
            <w:gridSpan w:val="4"/>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技术服务费（含培训等）费</w:t>
            </w:r>
          </w:p>
        </w:tc>
        <w:tc>
          <w:tcPr>
            <w:tcW w:w="104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40"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87"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5145" w:type="dxa"/>
            <w:gridSpan w:val="4"/>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1043"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1440" w:type="dxa"/>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911" w:type="dxa"/>
            <w:gridSpan w:val="8"/>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大写：                                                合同价：                 元</w:t>
            </w:r>
          </w:p>
        </w:tc>
      </w:tr>
    </w:tbl>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pPr>
        <w:pStyle w:val="44"/>
        <w:outlineLvl w:val="9"/>
        <w:rPr>
          <w:rFonts w:hint="eastAsia" w:ascii="宋体" w:hAnsi="宋体" w:eastAsia="宋体" w:cs="宋体"/>
          <w:sz w:val="24"/>
          <w:szCs w:val="24"/>
          <w:highlight w:val="none"/>
        </w:rPr>
      </w:pPr>
    </w:p>
    <w:p>
      <w:pPr>
        <w:pStyle w:val="44"/>
        <w:outlineLvl w:val="9"/>
        <w:rPr>
          <w:rFonts w:hint="eastAsia" w:ascii="宋体" w:hAnsi="宋体" w:eastAsia="宋体" w:cs="宋体"/>
          <w:sz w:val="24"/>
          <w:szCs w:val="24"/>
          <w:highlight w:val="none"/>
        </w:rPr>
      </w:pPr>
    </w:p>
    <w:p>
      <w:pPr>
        <w:pStyle w:val="44"/>
        <w:outlineLvl w:val="9"/>
        <w:rPr>
          <w:rFonts w:hint="eastAsia" w:ascii="宋体" w:hAnsi="宋体" w:eastAsia="宋体" w:cs="宋体"/>
          <w:sz w:val="24"/>
          <w:szCs w:val="24"/>
          <w:highlight w:val="none"/>
        </w:rPr>
      </w:pPr>
    </w:p>
    <w:p>
      <w:pPr>
        <w:pStyle w:val="44"/>
        <w:outlineLvl w:val="9"/>
        <w:rPr>
          <w:rFonts w:hint="eastAsia" w:ascii="宋体" w:hAnsi="宋体" w:eastAsia="宋体" w:cs="宋体"/>
          <w:sz w:val="24"/>
          <w:szCs w:val="24"/>
          <w:highlight w:val="none"/>
        </w:rPr>
      </w:pPr>
    </w:p>
    <w:p>
      <w:pPr>
        <w:pStyle w:val="17"/>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货物类项目验收报告</w:t>
      </w:r>
    </w:p>
    <w:p>
      <w:pPr>
        <w:pStyle w:val="17"/>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（本样式适用于简单安装或无须安装即可使用的政府采购货物项目）</w:t>
      </w:r>
    </w:p>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1"/>
        <w:gridCol w:w="4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7" w:type="dxa"/>
            <w:gridSpan w:val="2"/>
            <w:tcBorders>
              <w:top w:val="single" w:color="auto" w:sz="4" w:space="0"/>
              <w:left w:val="single" w:color="auto" w:sz="4" w:space="0"/>
              <w:bottom w:val="single" w:color="auto" w:sz="4" w:space="0"/>
              <w:right w:val="single" w:color="auto" w:sz="4" w:space="0"/>
            </w:tcBorders>
            <w:noWrap w:val="0"/>
            <w:vAlign w:val="center"/>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到货时间         年    月    日</w:t>
            </w:r>
          </w:p>
        </w:tc>
        <w:tc>
          <w:tcPr>
            <w:tcW w:w="5031" w:type="dxa"/>
            <w:tcBorders>
              <w:top w:val="single" w:color="auto" w:sz="4" w:space="0"/>
              <w:left w:val="nil"/>
              <w:bottom w:val="single" w:color="auto" w:sz="4" w:space="0"/>
              <w:right w:val="single" w:color="auto" w:sz="4" w:space="0"/>
            </w:tcBorders>
            <w:noWrap w:val="0"/>
            <w:vAlign w:val="center"/>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开箱验货时间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9817" w:type="dxa"/>
            <w:gridSpan w:val="2"/>
            <w:tcBorders>
              <w:top w:val="single" w:color="auto" w:sz="4" w:space="0"/>
              <w:left w:val="single" w:color="auto" w:sz="4" w:space="0"/>
              <w:bottom w:val="single" w:color="auto" w:sz="4" w:space="0"/>
              <w:right w:val="single" w:color="auto" w:sz="4" w:space="0"/>
            </w:tcBorders>
            <w:noWrap w:val="0"/>
            <w:vAlign w:val="top"/>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开箱随机资料  1.出厂合格证（  ）份       2.技术说明书（  ）份</w:t>
            </w:r>
          </w:p>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3.使用说明书（  ）份       4.电子文件  （  ）份</w:t>
            </w:r>
          </w:p>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5.装箱单    （  ）份       6.其他      （  ）份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17" w:type="dxa"/>
            <w:gridSpan w:val="2"/>
            <w:tcBorders>
              <w:top w:val="single" w:color="auto" w:sz="4" w:space="0"/>
              <w:left w:val="single" w:color="auto" w:sz="4" w:space="0"/>
              <w:bottom w:val="single" w:color="auto" w:sz="4" w:space="0"/>
              <w:right w:val="single" w:color="auto" w:sz="4" w:space="0"/>
            </w:tcBorders>
            <w:noWrap w:val="0"/>
            <w:vAlign w:val="top"/>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甲方意见（对货物数量、质量、安全等乙方履约情况的</w:t>
            </w:r>
            <w:r>
              <w:rPr>
                <w:rFonts w:hint="eastAsia" w:ascii="宋体" w:hAnsi="宋体" w:eastAsia="宋体" w:cs="宋体"/>
                <w:b/>
                <w:sz w:val="24"/>
                <w:szCs w:val="24"/>
                <w:highlight w:val="none"/>
              </w:rPr>
              <w:t>逐项</w:t>
            </w:r>
            <w:r>
              <w:rPr>
                <w:rFonts w:hint="eastAsia" w:ascii="宋体" w:hAnsi="宋体" w:eastAsia="宋体" w:cs="宋体"/>
                <w:sz w:val="24"/>
                <w:szCs w:val="24"/>
                <w:highlight w:val="none"/>
              </w:rPr>
              <w:t>评价，存在问题及解决问题的要求等）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jc w:val="center"/>
        </w:trPr>
        <w:tc>
          <w:tcPr>
            <w:tcW w:w="9817" w:type="dxa"/>
            <w:gridSpan w:val="2"/>
            <w:tcBorders>
              <w:top w:val="single" w:color="auto" w:sz="4" w:space="0"/>
              <w:left w:val="single" w:color="auto" w:sz="4" w:space="0"/>
              <w:bottom w:val="single" w:color="auto" w:sz="4" w:space="0"/>
              <w:right w:val="single" w:color="auto" w:sz="4" w:space="0"/>
            </w:tcBorders>
            <w:noWrap w:val="0"/>
            <w:vAlign w:val="top"/>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乙方针对存在问题及解决问题的采取措施的承诺：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5" w:hRule="atLeast"/>
          <w:jc w:val="center"/>
        </w:trPr>
        <w:tc>
          <w:tcPr>
            <w:tcW w:w="4786" w:type="dxa"/>
            <w:tcBorders>
              <w:top w:val="single" w:color="auto" w:sz="4" w:space="0"/>
              <w:left w:val="single" w:color="auto" w:sz="4" w:space="0"/>
              <w:bottom w:val="single" w:color="auto" w:sz="4" w:space="0"/>
              <w:right w:val="single" w:color="auto" w:sz="4" w:space="0"/>
            </w:tcBorders>
            <w:noWrap w:val="0"/>
            <w:vAlign w:val="top"/>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甲方名称（盖章）：</w:t>
            </w: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甲方代表签字：</w:t>
            </w: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wordWrap w:val="0"/>
              <w:jc w:val="righ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年   月   日</w:t>
            </w:r>
          </w:p>
        </w:tc>
        <w:tc>
          <w:tcPr>
            <w:tcW w:w="5031" w:type="dxa"/>
            <w:tcBorders>
              <w:top w:val="single" w:color="auto" w:sz="4" w:space="0"/>
              <w:left w:val="nil"/>
              <w:bottom w:val="single" w:color="auto" w:sz="4" w:space="0"/>
              <w:right w:val="single" w:color="auto" w:sz="4" w:space="0"/>
            </w:tcBorders>
            <w:noWrap w:val="0"/>
            <w:vAlign w:val="top"/>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乙方名称（盖章）：</w:t>
            </w: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乙方代表签字：</w:t>
            </w: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jc w:val="righ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年   月   日</w:t>
            </w:r>
          </w:p>
        </w:tc>
      </w:tr>
    </w:tbl>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说明： 1.采购单位可以视项目情况邀请本项目落标人或者第三方机构参与验收，其意见作为验收报告的参考资料一并存档。</w:t>
      </w:r>
    </w:p>
    <w:p>
      <w:pPr>
        <w:pStyle w:val="17"/>
        <w:ind w:firstLine="627" w:firstLineChars="3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2.本报告一式两份，甲、乙方各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份，内容较多的可另附详细验收报告。</w:t>
      </w:r>
    </w:p>
    <w:p>
      <w:pPr>
        <w:pStyle w:val="17"/>
        <w:jc w:val="center"/>
        <w:outlineLvl w:val="9"/>
        <w:rPr>
          <w:rFonts w:hint="eastAsia" w:ascii="宋体" w:hAnsi="宋体" w:eastAsia="宋体" w:cs="宋体"/>
          <w:sz w:val="24"/>
          <w:szCs w:val="24"/>
          <w:highlight w:val="none"/>
        </w:rPr>
      </w:pPr>
    </w:p>
    <w:p>
      <w:pPr>
        <w:pStyle w:val="17"/>
        <w:jc w:val="center"/>
        <w:outlineLvl w:val="9"/>
        <w:rPr>
          <w:rFonts w:hint="eastAsia" w:ascii="宋体" w:hAnsi="宋体" w:eastAsia="宋体" w:cs="宋体"/>
          <w:sz w:val="24"/>
          <w:szCs w:val="24"/>
          <w:highlight w:val="none"/>
        </w:rPr>
      </w:pPr>
    </w:p>
    <w:p>
      <w:pPr>
        <w:pStyle w:val="17"/>
        <w:jc w:val="center"/>
        <w:outlineLvl w:val="9"/>
        <w:rPr>
          <w:rFonts w:hint="eastAsia" w:ascii="宋体" w:hAnsi="宋体" w:eastAsia="宋体" w:cs="宋体"/>
          <w:sz w:val="24"/>
          <w:szCs w:val="24"/>
          <w:highlight w:val="none"/>
        </w:rPr>
      </w:pPr>
    </w:p>
    <w:p>
      <w:pPr>
        <w:pStyle w:val="17"/>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货物类项目验收报告</w:t>
      </w:r>
    </w:p>
    <w:p>
      <w:pPr>
        <w:pStyle w:val="17"/>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（本样式适用于需安装试运行方可验收的政府采购货物项目）</w:t>
      </w:r>
    </w:p>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6"/>
        <w:gridCol w:w="4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26" w:type="dxa"/>
            <w:gridSpan w:val="2"/>
            <w:tcBorders>
              <w:top w:val="single" w:color="auto" w:sz="4" w:space="0"/>
              <w:left w:val="single" w:color="auto" w:sz="4" w:space="0"/>
              <w:bottom w:val="single" w:color="auto" w:sz="4" w:space="0"/>
              <w:right w:val="single" w:color="auto" w:sz="4" w:space="0"/>
            </w:tcBorders>
            <w:noWrap w:val="0"/>
            <w:vAlign w:val="center"/>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2" w:type="dxa"/>
            <w:tcBorders>
              <w:top w:val="single" w:color="auto" w:sz="4" w:space="0"/>
              <w:left w:val="single" w:color="auto" w:sz="4" w:space="0"/>
              <w:bottom w:val="single" w:color="auto" w:sz="4" w:space="0"/>
              <w:right w:val="single" w:color="auto" w:sz="4" w:space="0"/>
            </w:tcBorders>
            <w:noWrap w:val="0"/>
            <w:vAlign w:val="center"/>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到货时间           年    月    日</w:t>
            </w:r>
          </w:p>
        </w:tc>
        <w:tc>
          <w:tcPr>
            <w:tcW w:w="4874" w:type="dxa"/>
            <w:tcBorders>
              <w:top w:val="single" w:color="auto" w:sz="4" w:space="0"/>
              <w:left w:val="nil"/>
              <w:bottom w:val="single" w:color="auto" w:sz="4" w:space="0"/>
              <w:right w:val="single" w:color="auto" w:sz="4" w:space="0"/>
            </w:tcBorders>
            <w:noWrap w:val="0"/>
            <w:vAlign w:val="center"/>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初验时间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2" w:type="dxa"/>
            <w:tcBorders>
              <w:top w:val="single" w:color="auto" w:sz="4" w:space="0"/>
              <w:left w:val="single" w:color="auto" w:sz="4" w:space="0"/>
              <w:bottom w:val="single" w:color="auto" w:sz="4" w:space="0"/>
              <w:right w:val="single" w:color="auto" w:sz="4" w:space="0"/>
            </w:tcBorders>
            <w:noWrap w:val="0"/>
            <w:vAlign w:val="center"/>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中验时间           年    月    日</w:t>
            </w:r>
          </w:p>
        </w:tc>
        <w:tc>
          <w:tcPr>
            <w:tcW w:w="4874" w:type="dxa"/>
            <w:tcBorders>
              <w:top w:val="single" w:color="auto" w:sz="4" w:space="0"/>
              <w:left w:val="nil"/>
              <w:bottom w:val="single" w:color="auto" w:sz="4" w:space="0"/>
              <w:right w:val="single" w:color="auto" w:sz="4" w:space="0"/>
            </w:tcBorders>
            <w:noWrap w:val="0"/>
            <w:vAlign w:val="center"/>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终验时间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9826" w:type="dxa"/>
            <w:gridSpan w:val="2"/>
            <w:tcBorders>
              <w:top w:val="single" w:color="auto" w:sz="4" w:space="0"/>
              <w:left w:val="single" w:color="auto" w:sz="4" w:space="0"/>
              <w:bottom w:val="single" w:color="auto" w:sz="4" w:space="0"/>
              <w:right w:val="single" w:color="auto" w:sz="4" w:space="0"/>
            </w:tcBorders>
            <w:noWrap w:val="0"/>
            <w:vAlign w:val="top"/>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开箱随机资料  1.出厂合格证（  ）份       2.技术说明书（  ）份</w:t>
            </w:r>
          </w:p>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3.使用说明书（  ）份       4.电子文件  （  ）份</w:t>
            </w:r>
          </w:p>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5.装箱单    （  ）份       6.其他      （  ）份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9" w:hRule="atLeast"/>
          <w:jc w:val="center"/>
        </w:trPr>
        <w:tc>
          <w:tcPr>
            <w:tcW w:w="9826" w:type="dxa"/>
            <w:gridSpan w:val="2"/>
            <w:tcBorders>
              <w:top w:val="single" w:color="auto" w:sz="4" w:space="0"/>
              <w:left w:val="single" w:color="auto" w:sz="4" w:space="0"/>
              <w:bottom w:val="single" w:color="auto" w:sz="4" w:space="0"/>
              <w:right w:val="single" w:color="auto" w:sz="4" w:space="0"/>
            </w:tcBorders>
            <w:noWrap w:val="0"/>
            <w:vAlign w:val="top"/>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甲方意见（对货物数量、质量、安装、运行、安全等履约情况的</w:t>
            </w:r>
            <w:r>
              <w:rPr>
                <w:rFonts w:hint="eastAsia" w:ascii="宋体" w:hAnsi="宋体" w:eastAsia="宋体" w:cs="宋体"/>
                <w:b/>
                <w:sz w:val="24"/>
                <w:szCs w:val="24"/>
                <w:highlight w:val="none"/>
              </w:rPr>
              <w:t>逐项</w:t>
            </w:r>
            <w:r>
              <w:rPr>
                <w:rFonts w:hint="eastAsia" w:ascii="宋体" w:hAnsi="宋体" w:eastAsia="宋体" w:cs="宋体"/>
                <w:sz w:val="24"/>
                <w:szCs w:val="24"/>
                <w:highlight w:val="none"/>
              </w:rPr>
              <w:t>评价，存在问题及解决问题的要求等）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9826" w:type="dxa"/>
            <w:gridSpan w:val="2"/>
            <w:tcBorders>
              <w:top w:val="single" w:color="auto" w:sz="4" w:space="0"/>
              <w:left w:val="single" w:color="auto" w:sz="4" w:space="0"/>
              <w:bottom w:val="single" w:color="auto" w:sz="4" w:space="0"/>
              <w:right w:val="single" w:color="auto" w:sz="4" w:space="0"/>
            </w:tcBorders>
            <w:noWrap w:val="0"/>
            <w:vAlign w:val="top"/>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乙方针对存在问题及解决问题的采取措施的承诺：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7" w:hRule="atLeast"/>
          <w:jc w:val="center"/>
        </w:trPr>
        <w:tc>
          <w:tcPr>
            <w:tcW w:w="4952" w:type="dxa"/>
            <w:tcBorders>
              <w:top w:val="single" w:color="auto" w:sz="4" w:space="0"/>
              <w:left w:val="single" w:color="auto" w:sz="4" w:space="0"/>
              <w:bottom w:val="single" w:color="auto" w:sz="4" w:space="0"/>
              <w:right w:val="single" w:color="auto" w:sz="4" w:space="0"/>
            </w:tcBorders>
            <w:noWrap w:val="0"/>
            <w:vAlign w:val="top"/>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甲方名称（盖章）：</w:t>
            </w: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甲方代表签字：</w:t>
            </w: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wordWrap w:val="0"/>
              <w:jc w:val="righ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年   月   日</w:t>
            </w:r>
          </w:p>
        </w:tc>
        <w:tc>
          <w:tcPr>
            <w:tcW w:w="4874" w:type="dxa"/>
            <w:tcBorders>
              <w:top w:val="single" w:color="auto" w:sz="4" w:space="0"/>
              <w:left w:val="nil"/>
              <w:bottom w:val="single" w:color="auto" w:sz="4" w:space="0"/>
              <w:right w:val="single" w:color="auto" w:sz="4" w:space="0"/>
            </w:tcBorders>
            <w:noWrap w:val="0"/>
            <w:vAlign w:val="top"/>
          </w:tcPr>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乙方名称（盖章）：</w:t>
            </w: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乙方代表签字：</w:t>
            </w: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jc w:val="righ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年   月   日</w:t>
            </w:r>
          </w:p>
        </w:tc>
      </w:tr>
    </w:tbl>
    <w:p>
      <w:pPr>
        <w:pStyle w:val="1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说明：1.采购单位可以视项目情况邀请本项目落标人或者第三方机构参与验收，其意见作为验收报告的参考资料一并存档。</w:t>
      </w:r>
    </w:p>
    <w:p>
      <w:pPr>
        <w:pStyle w:val="17"/>
        <w:numPr>
          <w:ilvl w:val="0"/>
          <w:numId w:val="4"/>
        </w:numPr>
        <w:ind w:firstLine="627" w:firstLineChars="3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本报告一式两份，甲、乙方各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份，内容较多的可另附详细验收报告。</w:t>
      </w: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sz w:val="24"/>
          <w:szCs w:val="24"/>
          <w:highlight w:val="none"/>
        </w:rPr>
      </w:pPr>
    </w:p>
    <w:p>
      <w:pPr>
        <w:pStyle w:val="17"/>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w:t>
      </w:r>
    </w:p>
    <w:p>
      <w:pPr>
        <w:pStyle w:val="17"/>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货物项目验收明细一览表</w:t>
      </w:r>
    </w:p>
    <w:p>
      <w:pPr>
        <w:pStyle w:val="17"/>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 </w:t>
      </w:r>
    </w:p>
    <w:tbl>
      <w:tblPr>
        <w:tblStyle w:val="6"/>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955"/>
        <w:gridCol w:w="2046"/>
        <w:gridCol w:w="778"/>
        <w:gridCol w:w="425"/>
        <w:gridCol w:w="843"/>
        <w:gridCol w:w="955"/>
        <w:gridCol w:w="778"/>
        <w:gridCol w:w="778"/>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2"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0" w:type="auto"/>
            <w:tcBorders>
              <w:top w:val="single" w:color="auto" w:sz="4" w:space="0"/>
              <w:left w:val="nil"/>
              <w:bottom w:val="single" w:color="auto" w:sz="4" w:space="0"/>
              <w:right w:val="single" w:color="auto" w:sz="4" w:space="0"/>
            </w:tcBorders>
            <w:noWrap w:val="0"/>
            <w:vAlign w:val="center"/>
          </w:tcPr>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货物名称</w:t>
            </w:r>
          </w:p>
        </w:tc>
        <w:tc>
          <w:tcPr>
            <w:tcW w:w="0" w:type="auto"/>
            <w:tcBorders>
              <w:top w:val="single" w:color="auto" w:sz="4" w:space="0"/>
              <w:left w:val="nil"/>
              <w:bottom w:val="single" w:color="auto" w:sz="4" w:space="0"/>
              <w:right w:val="single" w:color="auto" w:sz="4" w:space="0"/>
            </w:tcBorders>
            <w:noWrap w:val="0"/>
            <w:vAlign w:val="center"/>
          </w:tcPr>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品牌型号规格及</w:t>
            </w:r>
          </w:p>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主要技术参数</w:t>
            </w:r>
          </w:p>
        </w:tc>
        <w:tc>
          <w:tcPr>
            <w:tcW w:w="0" w:type="auto"/>
            <w:tcBorders>
              <w:top w:val="single" w:color="auto" w:sz="4" w:space="0"/>
              <w:left w:val="nil"/>
              <w:bottom w:val="single" w:color="auto" w:sz="4" w:space="0"/>
              <w:right w:val="single" w:color="auto" w:sz="4" w:space="0"/>
            </w:tcBorders>
            <w:noWrap w:val="0"/>
            <w:vAlign w:val="center"/>
          </w:tcPr>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计量单 </w:t>
            </w:r>
          </w:p>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位</w:t>
            </w:r>
          </w:p>
        </w:tc>
        <w:tc>
          <w:tcPr>
            <w:tcW w:w="0" w:type="auto"/>
            <w:tcBorders>
              <w:top w:val="single" w:color="auto" w:sz="4" w:space="0"/>
              <w:left w:val="nil"/>
              <w:bottom w:val="single" w:color="auto" w:sz="4" w:space="0"/>
              <w:right w:val="single" w:color="auto" w:sz="4" w:space="0"/>
            </w:tcBorders>
            <w:noWrap w:val="0"/>
            <w:vAlign w:val="center"/>
          </w:tcPr>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数 </w:t>
            </w:r>
          </w:p>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量</w:t>
            </w:r>
          </w:p>
        </w:tc>
        <w:tc>
          <w:tcPr>
            <w:tcW w:w="0" w:type="auto"/>
            <w:tcBorders>
              <w:top w:val="single" w:color="auto" w:sz="4" w:space="0"/>
              <w:left w:val="nil"/>
              <w:bottom w:val="single" w:color="auto" w:sz="4" w:space="0"/>
              <w:right w:val="single" w:color="auto" w:sz="4" w:space="0"/>
            </w:tcBorders>
            <w:noWrap w:val="0"/>
            <w:vAlign w:val="center"/>
          </w:tcPr>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金额</w:t>
            </w:r>
          </w:p>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（元）</w:t>
            </w:r>
          </w:p>
        </w:tc>
        <w:tc>
          <w:tcPr>
            <w:tcW w:w="0" w:type="auto"/>
            <w:tcBorders>
              <w:top w:val="single" w:color="auto" w:sz="4" w:space="0"/>
              <w:left w:val="nil"/>
              <w:bottom w:val="single" w:color="auto" w:sz="4" w:space="0"/>
              <w:right w:val="single" w:color="auto" w:sz="4" w:space="0"/>
            </w:tcBorders>
            <w:noWrap w:val="0"/>
            <w:vAlign w:val="center"/>
          </w:tcPr>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产地生产</w:t>
            </w:r>
          </w:p>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厂商名称</w:t>
            </w:r>
          </w:p>
        </w:tc>
        <w:tc>
          <w:tcPr>
            <w:tcW w:w="0" w:type="auto"/>
            <w:tcBorders>
              <w:top w:val="single" w:color="auto" w:sz="4" w:space="0"/>
              <w:left w:val="nil"/>
              <w:bottom w:val="single" w:color="auto" w:sz="4" w:space="0"/>
              <w:right w:val="single" w:color="auto" w:sz="4" w:space="0"/>
            </w:tcBorders>
            <w:noWrap w:val="0"/>
            <w:vAlign w:val="center"/>
          </w:tcPr>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w:t>
            </w:r>
          </w:p>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提交</w:t>
            </w:r>
          </w:p>
        </w:tc>
        <w:tc>
          <w:tcPr>
            <w:tcW w:w="0" w:type="auto"/>
            <w:tcBorders>
              <w:top w:val="single" w:color="auto" w:sz="4" w:space="0"/>
              <w:left w:val="nil"/>
              <w:bottom w:val="single" w:color="auto" w:sz="4" w:space="0"/>
              <w:right w:val="single" w:color="auto" w:sz="4" w:space="0"/>
            </w:tcBorders>
            <w:noWrap w:val="0"/>
            <w:vAlign w:val="center"/>
          </w:tcPr>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采购单</w:t>
            </w:r>
          </w:p>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位确认</w:t>
            </w:r>
          </w:p>
        </w:tc>
        <w:tc>
          <w:tcPr>
            <w:tcW w:w="0" w:type="auto"/>
            <w:tcBorders>
              <w:top w:val="single" w:color="auto" w:sz="4" w:space="0"/>
              <w:left w:val="nil"/>
              <w:bottom w:val="single" w:color="auto" w:sz="4" w:space="0"/>
              <w:right w:val="single" w:color="auto" w:sz="4" w:space="0"/>
            </w:tcBorders>
            <w:noWrap w:val="0"/>
            <w:vAlign w:val="center"/>
          </w:tcPr>
          <w:p>
            <w:pPr>
              <w:pStyle w:val="44"/>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存在问题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（视明细项目增减行）</w:t>
            </w: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jc w:val="center"/>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gridSpan w:val="4"/>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备品备件</w:t>
            </w: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gridSpan w:val="4"/>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易损件</w:t>
            </w: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gridSpan w:val="4"/>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专用工具价</w:t>
            </w: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gridSpan w:val="4"/>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安装调试费</w:t>
            </w: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gridSpan w:val="4"/>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运输至最终目的运费及保险费等</w:t>
            </w: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gridSpan w:val="4"/>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技术服务费（含培训等）费</w:t>
            </w: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gridSpan w:val="4"/>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c>
          <w:tcPr>
            <w:tcW w:w="0" w:type="auto"/>
            <w:tcBorders>
              <w:top w:val="single" w:color="auto" w:sz="4" w:space="0"/>
              <w:left w:val="nil"/>
              <w:bottom w:val="single" w:color="auto" w:sz="4" w:space="0"/>
              <w:right w:val="single" w:color="auto" w:sz="4" w:space="0"/>
            </w:tcBorders>
            <w:noWrap w:val="0"/>
            <w:vAlign w:val="top"/>
          </w:tcPr>
          <w:p>
            <w:pPr>
              <w:pStyle w:val="44"/>
              <w:outlineLvl w:val="9"/>
              <w:rPr>
                <w:rFonts w:hint="eastAsia" w:ascii="宋体" w:hAnsi="宋体" w:eastAsia="宋体" w:cs="宋体"/>
                <w:sz w:val="24"/>
                <w:szCs w:val="24"/>
                <w:highlight w:val="none"/>
              </w:rPr>
            </w:pPr>
          </w:p>
        </w:tc>
      </w:tr>
    </w:tbl>
    <w:p>
      <w:pPr>
        <w:pStyle w:val="20"/>
        <w:autoSpaceDE w:val="0"/>
        <w:spacing w:before="0" w:after="0" w:line="240" w:lineRule="auto"/>
        <w:ind w:firstLine="419"/>
        <w:jc w:val="left"/>
        <w:outlineLvl w:val="9"/>
        <w:rPr>
          <w:rFonts w:hint="eastAsia" w:ascii="宋体" w:hAnsi="宋体" w:eastAsia="宋体" w:cs="宋体"/>
          <w:sz w:val="24"/>
          <w:szCs w:val="24"/>
          <w:highlight w:val="none"/>
        </w:rPr>
      </w:pPr>
      <w:bookmarkStart w:id="102" w:name="_Toc256000066"/>
      <w:bookmarkStart w:id="103" w:name="_Toc256000022"/>
      <w:bookmarkStart w:id="104" w:name="_Toc7001"/>
      <w:bookmarkStart w:id="105" w:name="_Toc3960"/>
      <w:bookmarkStart w:id="106" w:name="_Toc256000047"/>
      <w:bookmarkStart w:id="107" w:name="_Toc256000099"/>
      <w:r>
        <w:rPr>
          <w:rFonts w:hint="eastAsia" w:ascii="宋体" w:hAnsi="宋体" w:eastAsia="宋体" w:cs="宋体"/>
          <w:sz w:val="24"/>
          <w:szCs w:val="24"/>
          <w:highlight w:val="none"/>
        </w:rPr>
        <w:t>注：1、本合同格式及内容仅供参考，具体内容由甲乙双方协商而定。</w:t>
      </w:r>
      <w:bookmarkEnd w:id="102"/>
      <w:bookmarkEnd w:id="103"/>
      <w:bookmarkEnd w:id="104"/>
      <w:bookmarkEnd w:id="105"/>
      <w:bookmarkEnd w:id="106"/>
      <w:bookmarkEnd w:id="107"/>
    </w:p>
    <w:p>
      <w:pPr>
        <w:pStyle w:val="20"/>
        <w:autoSpaceDE w:val="0"/>
        <w:spacing w:before="0" w:after="0" w:line="240" w:lineRule="auto"/>
        <w:ind w:firstLine="419"/>
        <w:jc w:val="left"/>
        <w:outlineLvl w:val="9"/>
        <w:rPr>
          <w:rFonts w:hint="eastAsia" w:ascii="宋体" w:hAnsi="宋体" w:eastAsia="宋体" w:cs="宋体"/>
          <w:sz w:val="24"/>
          <w:szCs w:val="24"/>
          <w:highlight w:val="none"/>
        </w:rPr>
      </w:pPr>
      <w:bookmarkStart w:id="108" w:name="_Toc256000067"/>
      <w:bookmarkStart w:id="109" w:name="_Toc256000100"/>
      <w:bookmarkStart w:id="110" w:name="_Toc8812"/>
      <w:bookmarkStart w:id="111" w:name="_Toc27716"/>
      <w:bookmarkStart w:id="112" w:name="_Toc256000023"/>
      <w:bookmarkStart w:id="113" w:name="_Toc256000048"/>
      <w:r>
        <w:rPr>
          <w:rFonts w:hint="eastAsia" w:ascii="宋体" w:hAnsi="宋体" w:eastAsia="宋体" w:cs="宋体"/>
          <w:sz w:val="24"/>
          <w:szCs w:val="24"/>
          <w:highlight w:val="none"/>
        </w:rPr>
        <w:t>2、双方应根据招标文件、中标通知书、中标人的投标文件（包括澄清说明），以及与本项目招标相关的资料、图纸签订采购合同。</w:t>
      </w:r>
      <w:bookmarkEnd w:id="108"/>
      <w:bookmarkEnd w:id="109"/>
      <w:bookmarkEnd w:id="110"/>
      <w:bookmarkEnd w:id="111"/>
      <w:bookmarkEnd w:id="112"/>
      <w:bookmarkEnd w:id="113"/>
    </w:p>
    <w:p>
      <w:pPr>
        <w:pStyle w:val="20"/>
        <w:autoSpaceDE w:val="0"/>
        <w:spacing w:before="0" w:after="0" w:line="240" w:lineRule="auto"/>
        <w:ind w:firstLine="419"/>
        <w:jc w:val="left"/>
        <w:outlineLvl w:val="9"/>
        <w:rPr>
          <w:rFonts w:hint="eastAsia" w:ascii="宋体" w:hAnsi="宋体" w:eastAsia="宋体" w:cs="宋体"/>
          <w:sz w:val="24"/>
          <w:szCs w:val="24"/>
          <w:highlight w:val="none"/>
        </w:rPr>
      </w:pPr>
      <w:bookmarkStart w:id="114" w:name="_Toc256000024"/>
      <w:bookmarkStart w:id="115" w:name="_Toc256000068"/>
      <w:bookmarkStart w:id="116" w:name="_Toc256000101"/>
      <w:bookmarkStart w:id="117" w:name="_Toc17571"/>
      <w:bookmarkStart w:id="118" w:name="_Toc12054"/>
      <w:bookmarkStart w:id="119" w:name="_Toc256000049"/>
      <w:r>
        <w:rPr>
          <w:rFonts w:hint="eastAsia" w:ascii="宋体" w:hAnsi="宋体" w:eastAsia="宋体" w:cs="宋体"/>
          <w:sz w:val="24"/>
          <w:szCs w:val="24"/>
          <w:highlight w:val="none"/>
        </w:rPr>
        <w:t>3、所签订的合同不得背离招标文件的实质性内容要求和投标文件的承诺。</w:t>
      </w:r>
      <w:bookmarkEnd w:id="114"/>
      <w:bookmarkEnd w:id="115"/>
      <w:bookmarkEnd w:id="116"/>
      <w:bookmarkEnd w:id="117"/>
      <w:bookmarkEnd w:id="118"/>
      <w:bookmarkEnd w:id="119"/>
    </w:p>
    <w:p>
      <w:pPr>
        <w:pStyle w:val="20"/>
        <w:spacing w:before="0" w:after="0" w:line="240" w:lineRule="auto"/>
        <w:ind w:firstLine="475"/>
        <w:outlineLvl w:val="9"/>
        <w:rPr>
          <w:rFonts w:hint="eastAsia" w:ascii="宋体" w:hAnsi="宋体" w:eastAsia="宋体" w:cs="宋体"/>
          <w:spacing w:val="14"/>
          <w:sz w:val="24"/>
          <w:szCs w:val="24"/>
          <w:highlight w:val="none"/>
          <w:lang w:val="en-US" w:eastAsia="zh-CN"/>
        </w:rPr>
      </w:pPr>
      <w:bookmarkStart w:id="120" w:name="_Toc256000025"/>
      <w:bookmarkStart w:id="121" w:name="_Toc15227"/>
      <w:bookmarkStart w:id="122" w:name="_Toc256000052"/>
      <w:bookmarkStart w:id="123" w:name="_Toc256000072"/>
    </w:p>
    <w:p>
      <w:pPr>
        <w:pStyle w:val="20"/>
        <w:spacing w:before="0" w:after="0" w:line="240" w:lineRule="auto"/>
        <w:ind w:firstLine="475"/>
        <w:outlineLvl w:val="9"/>
        <w:rPr>
          <w:rFonts w:hint="eastAsia" w:ascii="宋体" w:hAnsi="宋体" w:eastAsia="宋体" w:cs="宋体"/>
          <w:spacing w:val="14"/>
          <w:sz w:val="24"/>
          <w:szCs w:val="24"/>
          <w:highlight w:val="none"/>
          <w:lang w:val="en-US" w:eastAsia="zh-CN"/>
        </w:rPr>
      </w:pPr>
    </w:p>
    <w:p>
      <w:pPr>
        <w:pStyle w:val="20"/>
        <w:spacing w:before="0" w:after="0" w:line="240" w:lineRule="auto"/>
        <w:ind w:firstLine="475"/>
        <w:outlineLvl w:val="9"/>
        <w:rPr>
          <w:rFonts w:hint="eastAsia" w:ascii="宋体" w:hAnsi="宋体" w:eastAsia="宋体" w:cs="宋体"/>
          <w:spacing w:val="14"/>
          <w:sz w:val="24"/>
          <w:szCs w:val="24"/>
          <w:highlight w:val="none"/>
          <w:lang w:val="en-US" w:eastAsia="zh-CN"/>
        </w:rPr>
      </w:pPr>
    </w:p>
    <w:p>
      <w:pPr>
        <w:pStyle w:val="21"/>
        <w:outlineLvl w:val="9"/>
        <w:rPr>
          <w:rFonts w:hint="eastAsia" w:ascii="宋体" w:hAnsi="宋体" w:eastAsia="宋体" w:cs="宋体"/>
          <w:spacing w:val="14"/>
          <w:sz w:val="24"/>
          <w:szCs w:val="24"/>
          <w:highlight w:val="none"/>
        </w:rPr>
      </w:pPr>
    </w:p>
    <w:p>
      <w:pPr>
        <w:pStyle w:val="20"/>
        <w:spacing w:before="0" w:after="0" w:line="240" w:lineRule="auto"/>
        <w:ind w:firstLine="475"/>
        <w:outlineLvl w:val="0"/>
        <w:rPr>
          <w:rFonts w:hint="eastAsia" w:ascii="宋体" w:hAnsi="宋体" w:eastAsia="宋体" w:cs="宋体"/>
          <w:spacing w:val="14"/>
          <w:sz w:val="24"/>
          <w:szCs w:val="24"/>
          <w:highlight w:val="none"/>
          <w:lang w:val="en-US" w:eastAsia="zh-CN"/>
        </w:rPr>
      </w:pPr>
      <w:bookmarkStart w:id="124" w:name="_Toc28435"/>
      <w:bookmarkStart w:id="125" w:name="_Toc256000106"/>
      <w:r>
        <w:rPr>
          <w:rFonts w:hint="eastAsia" w:ascii="宋体" w:hAnsi="宋体" w:eastAsia="宋体" w:cs="宋体"/>
          <w:spacing w:val="14"/>
          <w:sz w:val="24"/>
          <w:szCs w:val="24"/>
          <w:highlight w:val="none"/>
          <w:lang w:val="en-US" w:eastAsia="zh-CN"/>
        </w:rPr>
        <w:t>第五章   资格审查与评标办法</w:t>
      </w:r>
      <w:bookmarkEnd w:id="120"/>
      <w:bookmarkEnd w:id="121"/>
      <w:bookmarkEnd w:id="122"/>
      <w:bookmarkEnd w:id="123"/>
      <w:bookmarkEnd w:id="124"/>
      <w:bookmarkEnd w:id="125"/>
    </w:p>
    <w:p>
      <w:pPr>
        <w:pStyle w:val="34"/>
        <w:autoSpaceDE w:val="0"/>
        <w:spacing w:before="0" w:after="0" w:line="240" w:lineRule="auto"/>
        <w:ind w:firstLine="418" w:firstLineChars="200"/>
        <w:jc w:val="left"/>
        <w:outlineLvl w:val="9"/>
        <w:rPr>
          <w:rFonts w:hint="eastAsia" w:ascii="宋体" w:hAnsi="宋体" w:eastAsia="宋体" w:cs="宋体"/>
          <w:sz w:val="24"/>
          <w:szCs w:val="24"/>
          <w:highlight w:val="none"/>
        </w:rPr>
      </w:pPr>
      <w:bookmarkStart w:id="126" w:name="_Toc256000026"/>
      <w:bookmarkStart w:id="127" w:name="_Toc256000107"/>
      <w:bookmarkStart w:id="128" w:name="_Toc256000053"/>
      <w:bookmarkStart w:id="129" w:name="_Toc256000073"/>
      <w:r>
        <w:rPr>
          <w:rFonts w:hint="eastAsia" w:ascii="宋体" w:hAnsi="宋体" w:eastAsia="宋体" w:cs="宋体"/>
          <w:sz w:val="24"/>
          <w:szCs w:val="24"/>
          <w:highlight w:val="none"/>
        </w:rPr>
        <w:t>1、资格审查与评标方法</w:t>
      </w:r>
      <w:bookmarkEnd w:id="126"/>
      <w:bookmarkEnd w:id="127"/>
      <w:bookmarkEnd w:id="128"/>
      <w:bookmarkEnd w:id="129"/>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本次资格审查和符合性审查采用合格制，评标方法采用综合评分法。评标委员会对满足招标文件实质性要求的投标文件，按照本章2.2 款规定的评分标准进行打分，按得分由高到低顺序推荐中标候选人，或根据采购人授权直接确定中标人，但投标报价明显低于其他通过符合性审查</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的报价，有可能影响产品质量或者不能诚信履约的除外。</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得分相同的，按投标报价由低到高顺序排列。得分且投标报价相同的并列。</w:t>
      </w:r>
    </w:p>
    <w:p>
      <w:pPr>
        <w:pStyle w:val="34"/>
        <w:autoSpaceDE w:val="0"/>
        <w:spacing w:before="0" w:after="0" w:line="240" w:lineRule="auto"/>
        <w:ind w:firstLine="418" w:firstLineChars="200"/>
        <w:jc w:val="left"/>
        <w:outlineLvl w:val="9"/>
        <w:rPr>
          <w:rFonts w:hint="eastAsia" w:ascii="宋体" w:hAnsi="宋体" w:eastAsia="宋体" w:cs="宋体"/>
          <w:sz w:val="24"/>
          <w:szCs w:val="24"/>
          <w:highlight w:val="none"/>
        </w:rPr>
      </w:pPr>
      <w:bookmarkStart w:id="130" w:name="_Toc256000054"/>
      <w:bookmarkStart w:id="131" w:name="_Toc256000074"/>
      <w:bookmarkStart w:id="132" w:name="_Toc256000108"/>
      <w:bookmarkStart w:id="133" w:name="_Toc256000027"/>
      <w:r>
        <w:rPr>
          <w:rFonts w:hint="eastAsia" w:ascii="宋体" w:hAnsi="宋体" w:eastAsia="宋体" w:cs="宋体"/>
          <w:sz w:val="24"/>
          <w:szCs w:val="24"/>
          <w:highlight w:val="none"/>
        </w:rPr>
        <w:t>2、资格审查与评审标准</w:t>
      </w:r>
      <w:bookmarkEnd w:id="130"/>
      <w:bookmarkEnd w:id="131"/>
      <w:bookmarkEnd w:id="132"/>
      <w:bookmarkEnd w:id="133"/>
    </w:p>
    <w:p>
      <w:pPr>
        <w:pStyle w:val="35"/>
        <w:autoSpaceDE w:val="0"/>
        <w:spacing w:before="0" w:after="0" w:line="240" w:lineRule="auto"/>
        <w:ind w:firstLine="418" w:firstLineChars="20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 资格审查与符合性审查标准</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2.1.1 资格审查标准：见第六章。</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2.1.2 符合性审查标准：见第六章。</w:t>
      </w:r>
    </w:p>
    <w:p>
      <w:pPr>
        <w:pStyle w:val="34"/>
        <w:autoSpaceDE w:val="0"/>
        <w:spacing w:before="0" w:after="0" w:line="240" w:lineRule="auto"/>
        <w:ind w:firstLine="418" w:firstLineChars="200"/>
        <w:jc w:val="left"/>
        <w:outlineLvl w:val="9"/>
        <w:rPr>
          <w:rFonts w:hint="eastAsia" w:ascii="宋体" w:hAnsi="宋体" w:eastAsia="宋体" w:cs="宋体"/>
          <w:sz w:val="24"/>
          <w:szCs w:val="24"/>
          <w:highlight w:val="none"/>
        </w:rPr>
      </w:pPr>
      <w:bookmarkStart w:id="134" w:name="_Toc256000075"/>
      <w:bookmarkStart w:id="135" w:name="_Toc256000109"/>
      <w:r>
        <w:rPr>
          <w:rFonts w:hint="eastAsia" w:ascii="宋体" w:hAnsi="宋体" w:eastAsia="宋体" w:cs="宋体"/>
          <w:sz w:val="24"/>
          <w:szCs w:val="24"/>
          <w:highlight w:val="none"/>
        </w:rPr>
        <w:t>2.2 分值构成与评分标准</w:t>
      </w:r>
      <w:bookmarkEnd w:id="134"/>
      <w:bookmarkEnd w:id="135"/>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2.2.1 分值构成见评分标准。</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2.2.2 评分标准：具体评分标准见第六章。</w:t>
      </w:r>
    </w:p>
    <w:p>
      <w:pPr>
        <w:pStyle w:val="34"/>
        <w:autoSpaceDE w:val="0"/>
        <w:spacing w:before="0" w:after="0" w:line="240" w:lineRule="auto"/>
        <w:ind w:firstLine="418" w:firstLineChars="200"/>
        <w:jc w:val="left"/>
        <w:outlineLvl w:val="9"/>
        <w:rPr>
          <w:rFonts w:hint="eastAsia" w:ascii="宋体" w:hAnsi="宋体" w:eastAsia="宋体" w:cs="宋体"/>
          <w:sz w:val="24"/>
          <w:szCs w:val="24"/>
          <w:highlight w:val="none"/>
        </w:rPr>
      </w:pPr>
      <w:bookmarkStart w:id="136" w:name="_Toc256000076"/>
      <w:bookmarkStart w:id="137" w:name="_Toc256000110"/>
      <w:bookmarkStart w:id="138" w:name="_Toc256000055"/>
      <w:bookmarkStart w:id="139" w:name="_Toc256000028"/>
      <w:r>
        <w:rPr>
          <w:rFonts w:hint="eastAsia" w:ascii="宋体" w:hAnsi="宋体" w:eastAsia="宋体" w:cs="宋体"/>
          <w:sz w:val="24"/>
          <w:szCs w:val="24"/>
          <w:highlight w:val="none"/>
        </w:rPr>
        <w:t>3、资格审查与评标程序</w:t>
      </w:r>
      <w:bookmarkEnd w:id="136"/>
      <w:bookmarkEnd w:id="137"/>
      <w:bookmarkEnd w:id="138"/>
      <w:bookmarkEnd w:id="139"/>
    </w:p>
    <w:p>
      <w:pPr>
        <w:pStyle w:val="35"/>
        <w:autoSpaceDE w:val="0"/>
        <w:spacing w:before="0" w:after="0" w:line="240" w:lineRule="auto"/>
        <w:ind w:firstLine="418" w:firstLineChars="20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3.1 资格审查与符合性审查</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3.1.1资格审查小组依据本章第 2.1.1款规定的标准对投标文件进行资格审查。有一项不符合审查标准的，应当否决其投标。评标委员会依据本章第 2.1.2款规定的标准对投标文件进行符合性审查。有一项不符合审查标准的，应当否决其投标。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3.1.2 </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有以下情形之一的，评标委员会应当否决其投标：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（1）投标文件没有对招标文件的实质性要求和条件作出响应，或者对招标文件的偏差超出招标文件规定的偏差范围或最高项数；</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（2）有串通投标、弄虚作假、行贿等违法行为。</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3.1.3有下列情形之一的，视为</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串通投标，其投标无效：</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（1）不同</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的投标文件由同一单位或者个人编制；</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（2）不同</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委托同一单位或者个人办理投标事宜；</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（3）不同</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的投标文件载明的项目管理成员或者联系人员为同一人；</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（4）不同</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的投标文件异常一致或者投标报价呈规律性差异；</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（5）不同</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的投标文件相互混装；</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（6）不同</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的投标保证金从同一单位或者个人的账户转出。</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3.1.4投标文件报价出现前后不一致的，评标委员会按以下原则要求</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对投标报价进行修正，并要求</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书面澄清确认。</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拒不澄清确认的，评标委员会应当否决其投标：</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（1）投标文件中开标一览表内容与投标文件中相应内容不一致的，以开标一览表为准；</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（2）大写金额和小写金额不一致的，以大写金额为准；</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（3）单价金额小数点或者百分比有明显错位的，以开标一览表的总价为准，并修改单价；</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（4）总价金额与按单价汇总金额不一致的，以单价金额计算结果为准。</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同时出现两种以上不一致的，按照前款规定的顺序修正。</w:t>
      </w:r>
    </w:p>
    <w:p>
      <w:pPr>
        <w:pStyle w:val="35"/>
        <w:autoSpaceDE w:val="0"/>
        <w:spacing w:before="0" w:after="0" w:line="240" w:lineRule="auto"/>
        <w:ind w:firstLine="418" w:firstLineChars="20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3.2 详细评审</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3.2.1 评标委员会按本章第 2.2 款规定的量化因素和分值进行打分，取所有评委打分分数的算术平均值作为该</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的各项得分。</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3.2.2 评分分值计算保留小数点后两位，小数点后第三位“四舍五入”。</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3.2.3评标委员会汇总</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的各项得分，相加后为</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最终得分。</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3.2.4若评标委员会认为</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的报价明显低于其他通过符合性审查</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的报价，有可能影响产品质量或者不能诚信履约的，应当要求其在评标现场合理的时间内提供书面说明，必要时提交相关证明材料；</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不能证明其报价合理性的，评标委员会应当将其作为无效投标处理。</w:t>
      </w:r>
    </w:p>
    <w:p>
      <w:pPr>
        <w:pStyle w:val="35"/>
        <w:autoSpaceDE w:val="0"/>
        <w:spacing w:before="0" w:after="0" w:line="240" w:lineRule="auto"/>
        <w:ind w:firstLine="418" w:firstLineChars="20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3.3 投标文件的澄清</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3.3.1 在评标过程中，评标委员会可以书面形式要求</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对投标文件中含义不明确、对同类问题表述不一致或者有明显文字和计算错误的内容作必要的澄清、说明或补正。澄清、说明或补正应以书面方式进行。评标委员会不接受</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主动提出的澄清、说明或补正。</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3.3.2 澄清、说明或补正不得超出投标文件的范围且不得改变投标文件的实质性内容，并构成投标文件的组成部分。</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3.3.3 评标委员会对</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提交的澄清、说明或补正有疑问的，可以要求</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进一步澄清、说明或补正，直至满足评标委员会的要求。</w:t>
      </w:r>
    </w:p>
    <w:p>
      <w:pPr>
        <w:pStyle w:val="35"/>
        <w:autoSpaceDE w:val="0"/>
        <w:spacing w:before="0" w:after="0" w:line="240" w:lineRule="auto"/>
        <w:ind w:firstLine="418" w:firstLineChars="20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3.4 评标结果</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3.4.1评标委员会严格按照招标文件的要求和条件进行评标和打分，评标结果按评审后得分由高到低的顺序排列。得分相同的，按投标报价由低到高顺序排列。得分且投标报价相同的并列。</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3.4.2评标委员会完成评标后，应当向采购人提交书面评标报告和中标候选人名单。</w:t>
      </w:r>
    </w:p>
    <w:p>
      <w:pPr>
        <w:pStyle w:val="34"/>
        <w:autoSpaceDE w:val="0"/>
        <w:spacing w:before="0" w:after="0" w:line="240" w:lineRule="auto"/>
        <w:ind w:firstLine="418" w:firstLineChars="200"/>
        <w:jc w:val="left"/>
        <w:outlineLvl w:val="9"/>
        <w:rPr>
          <w:rFonts w:hint="eastAsia" w:ascii="宋体" w:hAnsi="宋体" w:eastAsia="宋体" w:cs="宋体"/>
          <w:sz w:val="24"/>
          <w:szCs w:val="24"/>
          <w:highlight w:val="none"/>
        </w:rPr>
      </w:pPr>
      <w:bookmarkStart w:id="140" w:name="_Toc256000029"/>
      <w:bookmarkStart w:id="141" w:name="_Toc256000077"/>
      <w:bookmarkStart w:id="142" w:name="_Toc256000111"/>
      <w:bookmarkStart w:id="143" w:name="_Toc256000056"/>
      <w:r>
        <w:rPr>
          <w:rFonts w:hint="eastAsia" w:ascii="宋体" w:hAnsi="宋体" w:eastAsia="宋体" w:cs="宋体"/>
          <w:sz w:val="24"/>
          <w:szCs w:val="24"/>
          <w:highlight w:val="none"/>
        </w:rPr>
        <w:t>4、评分标准说明</w:t>
      </w:r>
      <w:bookmarkEnd w:id="140"/>
      <w:bookmarkEnd w:id="141"/>
      <w:bookmarkEnd w:id="142"/>
      <w:bookmarkEnd w:id="143"/>
    </w:p>
    <w:p>
      <w:pPr>
        <w:pStyle w:val="35"/>
        <w:autoSpaceDE w:val="0"/>
        <w:spacing w:before="0" w:after="0" w:line="240" w:lineRule="auto"/>
        <w:ind w:firstLine="418" w:firstLineChars="20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4.1关于价格扣除和评标报价的说明 </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4.1.1价格扣除</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（1）如果本项目报经政府采购管理部门批准允许采购进口产品，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可投进口产品，也可投国产产品。但进口货物及其有关服务必须符合原产地和/或中华人民共和国的设计和制造生产标准或行业标准。进口的货物必须具有合法的进口手续和途径，并通过中华人民共和国商检部门检验。</w:t>
      </w:r>
    </w:p>
    <w:p>
      <w:pPr>
        <w:pStyle w:val="15"/>
        <w:ind w:firstLine="474" w:firstLineChars="200"/>
        <w:jc w:val="left"/>
        <w:outlineLvl w:val="9"/>
        <w:rPr>
          <w:rFonts w:hint="eastAsia"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lang w:val="en-US" w:eastAsia="zh-CN"/>
        </w:rPr>
        <w:t>（2）本项目执行财政部、工业和信息化部《政府采购促进中小企业发展管理办法》(财库(2020] 46号)的规定。本项目支持中小微（监狱、残疾人福利性单位）企业，对供应商所提供的小微企业生产的产品的价格给予10%的扣除，用扣除后的价格参加评审。监狱企业、残疾人福利性单位视同小型、微型企业。所属行业：建筑业或工业或其他未列明行业</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在货物采购项目中，货物由中小企业制造，即货物由中小企业生产且使用该中小企业商号或者注册商标；</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提供的货物既有中小企业制造货物，也有大型企业制造货物的，不享受本办法规定的中小企业扶持政策。</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非专门面向中小企业采购的采购项目(采购包)对符合《政府采购促进中小企业发展管理办法》规定的小微企业报价给予扣除(扣除比例详见</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须知前附表)；专门面向中小企业采购的采购项目(采购包)，不执行价格扣除政策。</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(3)根据财政部司法部《关于政府采购支持监狱企业发展有关问题的通知》 (财库(2014) 68号)规定，监狱企业视同小型、微型企业，享受评审中价格扣除等政府采购促进中小企业发展的政府采购政策。</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根据财政部民政部中国残疾人联合会《关于促进残疾人就业政府采购政策的通知》(财库(2017)141号)规定，残疾人福利性单位视同小型、微型企业，享受评审中价格扣除等政府采购促进中小企业发展的政府采购政策。</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(5)同一</w:t>
      </w:r>
      <w:r>
        <w:rPr>
          <w:rFonts w:hint="eastAsia" w:ascii="宋体" w:hAnsi="宋体" w:eastAsia="宋体" w:cs="宋体"/>
          <w:spacing w:val="14"/>
          <w:sz w:val="24"/>
          <w:szCs w:val="24"/>
          <w:highlight w:val="none"/>
          <w:lang w:eastAsia="zh-CN"/>
        </w:rPr>
        <w:t>供应商</w:t>
      </w:r>
      <w:r>
        <w:rPr>
          <w:rFonts w:hint="eastAsia" w:ascii="宋体" w:hAnsi="宋体" w:eastAsia="宋体" w:cs="宋体"/>
          <w:spacing w:val="14"/>
          <w:sz w:val="24"/>
          <w:szCs w:val="24"/>
          <w:highlight w:val="none"/>
        </w:rPr>
        <w:t>(包括联合体)，中小微企业产品、监狱企业产品、残疾人福利性单位产品价格扣除优惠只享受一次，不得重复享受。</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4.1.2评标报价=投标报价-价格扣除</w:t>
      </w:r>
    </w:p>
    <w:p>
      <w:pPr>
        <w:pStyle w:val="35"/>
        <w:autoSpaceDE w:val="0"/>
        <w:spacing w:before="0" w:after="0" w:line="240" w:lineRule="auto"/>
        <w:ind w:firstLine="418" w:firstLineChars="20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4.2关于节能环保政策的说明</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4.2.1节能产品：所投货物（除政府强制采购节能产品外）有《中国节能产品认证证书》的加1分(以所投货物的《中国节能产品认证证书》扫描件为依据；证书不显示规格型号的，还须同时提供证书配套附件；证书应是由《市场监管总局关于发布参与实施政府采购节能产品、环境标志产品认证机构名录的公告》的认证机构出具的、处于有效期之内的)。</w:t>
      </w:r>
    </w:p>
    <w:p>
      <w:pPr>
        <w:pStyle w:val="15"/>
        <w:ind w:firstLine="474" w:firstLineChars="200"/>
        <w:jc w:val="left"/>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4.2.2环境标志产品：所投货物有《中国环境标志产品认证证书》（有效期内）的加1分（以所投货物的《中国环境标志产品认证证书》扫描件为依据；证书不显示规格型号的，还须同时提供证书配套附件；证书应是由《市场监管总局关于发布参与实施政府采购节能产品、环境标志产品认证机构名录的公告》的认证机构出具的、处于有效期之内的）。</w:t>
      </w:r>
    </w:p>
    <w:bookmarkEnd w:id="2"/>
    <w:p>
      <w:pPr>
        <w:pStyle w:val="27"/>
        <w:outlineLvl w:val="9"/>
        <w:rPr>
          <w:rFonts w:hint="eastAsia" w:ascii="宋体" w:hAnsi="宋体" w:eastAsia="宋体" w:cs="宋体"/>
          <w:sz w:val="24"/>
          <w:szCs w:val="24"/>
          <w:highlight w:val="none"/>
        </w:rPr>
      </w:pPr>
    </w:p>
    <w:p>
      <w:pPr>
        <w:outlineLvl w:val="9"/>
        <w:rPr>
          <w:rFonts w:hint="eastAsia" w:ascii="宋体" w:hAnsi="宋体" w:eastAsia="宋体" w:cs="宋体"/>
          <w:color w:val="000080"/>
          <w:sz w:val="24"/>
          <w:szCs w:val="24"/>
          <w:highlight w:val="none"/>
        </w:rPr>
      </w:pPr>
      <w:r>
        <w:rPr>
          <w:rFonts w:hint="eastAsia" w:ascii="宋体" w:hAnsi="宋体" w:eastAsia="宋体" w:cs="宋体"/>
          <w:color w:val="000080"/>
          <w:sz w:val="24"/>
          <w:szCs w:val="24"/>
          <w:highlight w:val="none"/>
        </w:rPr>
        <w:t xml:space="preserve"> </w:t>
      </w:r>
    </w:p>
    <w:p>
      <w:pPr>
        <w:pStyle w:val="20"/>
        <w:spacing w:before="0" w:after="0" w:line="240" w:lineRule="auto"/>
        <w:ind w:left="0" w:leftChars="0" w:firstLine="0" w:firstLineChars="0"/>
        <w:jc w:val="both"/>
        <w:outlineLvl w:val="9"/>
        <w:rPr>
          <w:rFonts w:hint="eastAsia" w:ascii="宋体" w:hAnsi="宋体" w:eastAsia="宋体" w:cs="宋体"/>
          <w:spacing w:val="14"/>
          <w:sz w:val="24"/>
          <w:szCs w:val="24"/>
          <w:highlight w:val="none"/>
          <w:lang w:val="en-US" w:eastAsia="zh-CN" w:bidi="ar-SA"/>
        </w:rPr>
      </w:pPr>
    </w:p>
    <w:p>
      <w:pPr>
        <w:pStyle w:val="21"/>
        <w:outlineLvl w:val="9"/>
        <w:rPr>
          <w:rFonts w:hint="eastAsia" w:ascii="宋体" w:hAnsi="宋体" w:eastAsia="宋体" w:cs="宋体"/>
          <w:spacing w:val="14"/>
          <w:sz w:val="24"/>
          <w:szCs w:val="24"/>
          <w:highlight w:val="none"/>
          <w:lang w:val="en-US" w:eastAsia="zh-CN" w:bidi="ar-SA"/>
        </w:rPr>
      </w:pPr>
    </w:p>
    <w:p>
      <w:pPr>
        <w:pStyle w:val="22"/>
        <w:outlineLvl w:val="9"/>
        <w:rPr>
          <w:rFonts w:hint="eastAsia" w:ascii="宋体" w:hAnsi="宋体" w:eastAsia="宋体" w:cs="宋体"/>
          <w:spacing w:val="14"/>
          <w:sz w:val="24"/>
          <w:szCs w:val="24"/>
          <w:highlight w:val="none"/>
          <w:lang w:val="en-US" w:eastAsia="zh-CN" w:bidi="ar-SA"/>
        </w:rPr>
      </w:pPr>
    </w:p>
    <w:p>
      <w:pPr>
        <w:pStyle w:val="22"/>
        <w:outlineLvl w:val="9"/>
        <w:rPr>
          <w:rFonts w:hint="eastAsia" w:ascii="宋体" w:hAnsi="宋体" w:eastAsia="宋体" w:cs="宋体"/>
          <w:spacing w:val="14"/>
          <w:sz w:val="24"/>
          <w:szCs w:val="24"/>
          <w:highlight w:val="none"/>
          <w:lang w:val="en-US" w:eastAsia="zh-CN" w:bidi="ar-SA"/>
        </w:rPr>
      </w:pPr>
    </w:p>
    <w:p>
      <w:pPr>
        <w:pStyle w:val="22"/>
        <w:outlineLvl w:val="9"/>
        <w:rPr>
          <w:rFonts w:hint="eastAsia" w:ascii="宋体" w:hAnsi="宋体" w:eastAsia="宋体" w:cs="宋体"/>
          <w:spacing w:val="14"/>
          <w:sz w:val="24"/>
          <w:szCs w:val="24"/>
          <w:highlight w:val="none"/>
          <w:lang w:val="en-US" w:eastAsia="zh-CN" w:bidi="ar-SA"/>
        </w:rPr>
      </w:pPr>
    </w:p>
    <w:p>
      <w:pPr>
        <w:pStyle w:val="22"/>
        <w:outlineLvl w:val="9"/>
        <w:rPr>
          <w:rFonts w:hint="eastAsia" w:ascii="宋体" w:hAnsi="宋体" w:eastAsia="宋体" w:cs="宋体"/>
          <w:spacing w:val="14"/>
          <w:sz w:val="24"/>
          <w:szCs w:val="24"/>
          <w:highlight w:val="none"/>
          <w:lang w:val="en-US" w:eastAsia="zh-CN" w:bidi="ar-SA"/>
        </w:rPr>
      </w:pPr>
    </w:p>
    <w:p>
      <w:pPr>
        <w:pStyle w:val="22"/>
        <w:outlineLvl w:val="9"/>
        <w:rPr>
          <w:rFonts w:hint="eastAsia" w:ascii="宋体" w:hAnsi="宋体" w:eastAsia="宋体" w:cs="宋体"/>
          <w:spacing w:val="14"/>
          <w:sz w:val="24"/>
          <w:szCs w:val="24"/>
          <w:highlight w:val="none"/>
          <w:lang w:val="en-US" w:eastAsia="zh-CN" w:bidi="ar-SA"/>
        </w:rPr>
      </w:pPr>
    </w:p>
    <w:p>
      <w:pPr>
        <w:pStyle w:val="22"/>
        <w:outlineLvl w:val="9"/>
        <w:rPr>
          <w:rFonts w:hint="eastAsia" w:ascii="宋体" w:hAnsi="宋体" w:eastAsia="宋体" w:cs="宋体"/>
          <w:spacing w:val="14"/>
          <w:sz w:val="24"/>
          <w:szCs w:val="24"/>
          <w:highlight w:val="none"/>
          <w:lang w:val="en-US" w:eastAsia="zh-CN" w:bidi="ar-SA"/>
        </w:rPr>
      </w:pPr>
    </w:p>
    <w:p>
      <w:pPr>
        <w:pStyle w:val="20"/>
        <w:spacing w:before="0" w:after="0" w:line="240" w:lineRule="auto"/>
        <w:ind w:firstLine="475"/>
        <w:outlineLvl w:val="0"/>
        <w:rPr>
          <w:rFonts w:hint="eastAsia" w:ascii="宋体" w:hAnsi="宋体" w:eastAsia="宋体" w:cs="宋体"/>
          <w:spacing w:val="14"/>
          <w:sz w:val="24"/>
          <w:szCs w:val="24"/>
          <w:highlight w:val="none"/>
          <w:lang w:val="en-US" w:eastAsia="zh-CN" w:bidi="ar-SA"/>
        </w:rPr>
      </w:pPr>
      <w:bookmarkStart w:id="144" w:name="_Toc256000112"/>
      <w:bookmarkStart w:id="145" w:name="_Toc3904807"/>
      <w:bookmarkStart w:id="146" w:name="_Toc22088"/>
      <w:r>
        <w:rPr>
          <w:rFonts w:hint="eastAsia" w:ascii="宋体" w:hAnsi="宋体" w:eastAsia="宋体" w:cs="宋体"/>
          <w:spacing w:val="14"/>
          <w:sz w:val="24"/>
          <w:szCs w:val="24"/>
          <w:highlight w:val="none"/>
          <w:lang w:val="en-US" w:eastAsia="zh-CN" w:bidi="ar-SA"/>
        </w:rPr>
        <w:t>第六章   资格审查与评审标准</w:t>
      </w:r>
      <w:bookmarkEnd w:id="144"/>
      <w:bookmarkEnd w:id="145"/>
      <w:bookmarkEnd w:id="146"/>
    </w:p>
    <w:tbl>
      <w:tblPr>
        <w:tblStyle w:val="6"/>
        <w:tblW w:w="5000"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75" w:type="dxa"/>
          <w:left w:w="75" w:type="dxa"/>
          <w:bottom w:w="75" w:type="dxa"/>
          <w:right w:w="75" w:type="dxa"/>
        </w:tblCellMar>
      </w:tblPr>
      <w:tblGrid>
        <w:gridCol w:w="1502"/>
        <w:gridCol w:w="938"/>
        <w:gridCol w:w="940"/>
        <w:gridCol w:w="1877"/>
        <w:gridCol w:w="4134"/>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800" w:type="pct"/>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初步条款</w:t>
            </w:r>
          </w:p>
        </w:tc>
        <w:tc>
          <w:tcPr>
            <w:tcW w:w="999" w:type="pct"/>
            <w:gridSpan w:val="2"/>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评分点名称</w:t>
            </w:r>
          </w:p>
        </w:tc>
        <w:tc>
          <w:tcPr>
            <w:tcW w:w="3199" w:type="pct"/>
            <w:gridSpan w:val="2"/>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评审标准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restart"/>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符合性评审</w:t>
            </w: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供应商名称</w:t>
            </w: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与营业执照一致</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投标文件签字盖章</w:t>
            </w: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符合招标文件要求</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投标报价</w:t>
            </w: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只能有一个有效报价，且未超过预算控制价，并按规定填报开标一览表、报价明细表</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投标有效期</w:t>
            </w: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符合供应商须知前附表的规定</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交货期</w:t>
            </w: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符合供应商须知前附表的规定</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质量要求</w:t>
            </w: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符合供应商须知前附表的规定</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质保期</w:t>
            </w: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符合供应商须知前附表的规定</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售后服务期</w:t>
            </w: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符合供应商须知前附表的规定</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付款方式</w:t>
            </w: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符合供应商须知前附表的规定</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其他要求</w:t>
            </w: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符合招标文件的规定</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restart"/>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资格评审</w:t>
            </w: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营业执照</w:t>
            </w: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具备有效的营业执照</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left w:val="outset" w:color="auto" w:sz="6" w:space="0"/>
              <w:right w:val="outset" w:color="auto" w:sz="6" w:space="0"/>
            </w:tcBorders>
            <w:noWrap w:val="0"/>
            <w:vAlign w:val="center"/>
          </w:tcPr>
          <w:p>
            <w:pPr>
              <w:jc w:val="center"/>
              <w:outlineLvl w:val="9"/>
              <w:rPr>
                <w:rFonts w:hint="eastAsia" w:ascii="宋体" w:hAnsi="宋体" w:eastAsia="宋体" w:cs="宋体"/>
                <w:spacing w:val="30"/>
                <w:sz w:val="24"/>
                <w:szCs w:val="24"/>
                <w:highlight w:val="none"/>
              </w:rPr>
            </w:pP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default" w:ascii="宋体" w:hAnsi="宋体" w:eastAsia="宋体" w:cs="宋体"/>
                <w:spacing w:val="30"/>
                <w:sz w:val="24"/>
                <w:szCs w:val="24"/>
                <w:highlight w:val="none"/>
              </w:rPr>
            </w:pPr>
            <w:r>
              <w:rPr>
                <w:rFonts w:hint="default" w:ascii="宋体" w:hAnsi="宋体" w:eastAsia="宋体" w:cs="宋体"/>
                <w:spacing w:val="30"/>
                <w:sz w:val="24"/>
                <w:szCs w:val="24"/>
                <w:highlight w:val="none"/>
              </w:rPr>
              <w:t>资质要求</w:t>
            </w: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pacing w:val="30"/>
                <w:sz w:val="24"/>
                <w:szCs w:val="24"/>
                <w:highlight w:val="none"/>
              </w:rPr>
            </w:pPr>
            <w:r>
              <w:rPr>
                <w:rFonts w:hint="eastAsia" w:ascii="宋体" w:hAnsi="宋体" w:eastAsia="宋体" w:cs="宋体"/>
                <w:spacing w:val="30"/>
                <w:sz w:val="24"/>
                <w:szCs w:val="24"/>
                <w:highlight w:val="none"/>
              </w:rPr>
              <w:t>符合供应商须知前附表的规定</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信用承诺函</w:t>
            </w: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符合供应商须知前附表的规定</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其他要求</w:t>
            </w:r>
          </w:p>
        </w:tc>
        <w:tc>
          <w:tcPr>
            <w:tcW w:w="0" w:type="auto"/>
            <w:gridSpan w:val="2"/>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符合招标文件的规定</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详细条款</w:t>
            </w:r>
          </w:p>
        </w:tc>
        <w:tc>
          <w:tcPr>
            <w:tcW w:w="499" w:type="pct"/>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最低分</w:t>
            </w:r>
          </w:p>
        </w:tc>
        <w:tc>
          <w:tcPr>
            <w:tcW w:w="499" w:type="pct"/>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最高分</w:t>
            </w:r>
          </w:p>
        </w:tc>
        <w:tc>
          <w:tcPr>
            <w:tcW w:w="999" w:type="pct"/>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评分点名称</w:t>
            </w:r>
          </w:p>
        </w:tc>
        <w:tc>
          <w:tcPr>
            <w:tcW w:w="2199" w:type="pct"/>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评审标准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经济标评分参数</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30.00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投标报价</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价格分采用低价优先法计算，即满足招标文件要求且评标报价最低的评标报价为评标基准价，其价格分为满分。其他供应商的价格分统一按照下列公式计算：投标报价得分=(评标基准价／评标报价)×投标报价权重</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restart"/>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技术标评分参数</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0.00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30.00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技术参数</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所提供产品技术参数、功能及要求完全满足招标文件要求的得25分；每有一项不满足招标文件要求的扣2分，扣完为止。每有一项优于招标文件要求的加1分，最多加5分。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0.00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22.00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供货方案</w:t>
            </w:r>
          </w:p>
        </w:tc>
        <w:tc>
          <w:tcPr>
            <w:tcW w:w="0" w:type="auto"/>
            <w:tcBorders>
              <w:top w:val="outset" w:color="auto" w:sz="6" w:space="0"/>
              <w:left w:val="outset" w:color="auto" w:sz="6" w:space="0"/>
              <w:bottom w:val="outset" w:color="auto" w:sz="6" w:space="0"/>
              <w:right w:val="outset" w:color="auto" w:sz="6" w:space="0"/>
            </w:tcBorders>
            <w:noWrap w:val="0"/>
            <w:vAlign w:val="center"/>
          </w:tcPr>
          <w:p>
            <w:pPr>
              <w:numPr>
                <w:ilvl w:val="0"/>
                <w:numId w:val="5"/>
              </w:numPr>
              <w:jc w:val="left"/>
              <w:outlineLvl w:val="9"/>
              <w:rPr>
                <w:rFonts w:hint="eastAsia" w:ascii="宋体" w:hAnsi="宋体" w:eastAsia="宋体" w:cs="宋体"/>
                <w:spacing w:val="30"/>
                <w:sz w:val="24"/>
                <w:szCs w:val="24"/>
                <w:highlight w:val="none"/>
              </w:rPr>
            </w:pPr>
            <w:r>
              <w:rPr>
                <w:rFonts w:hint="eastAsia" w:ascii="宋体" w:hAnsi="宋体" w:eastAsia="宋体" w:cs="宋体"/>
                <w:spacing w:val="30"/>
                <w:sz w:val="24"/>
                <w:szCs w:val="24"/>
                <w:highlight w:val="none"/>
              </w:rPr>
              <w:t xml:space="preserve">实施方案：供应商提供详细完整的项目实施方案（需包含项目实施计划与流程说明、项目人员分配等），评价为优秀得6-8分；评价为一般得3-6分；评价为差得0-3分。 </w:t>
            </w:r>
          </w:p>
          <w:p>
            <w:pPr>
              <w:numPr>
                <w:ilvl w:val="0"/>
                <w:numId w:val="5"/>
              </w:numPr>
              <w:ind w:left="0" w:leftChars="0" w:firstLine="0" w:firstLineChars="0"/>
              <w:jc w:val="left"/>
              <w:outlineLvl w:val="9"/>
              <w:rPr>
                <w:rFonts w:hint="eastAsia" w:ascii="宋体" w:hAnsi="宋体" w:eastAsia="宋体" w:cs="宋体"/>
                <w:spacing w:val="30"/>
                <w:sz w:val="24"/>
                <w:szCs w:val="24"/>
                <w:highlight w:val="none"/>
              </w:rPr>
            </w:pPr>
            <w:r>
              <w:rPr>
                <w:rFonts w:hint="eastAsia" w:ascii="宋体" w:hAnsi="宋体" w:eastAsia="宋体" w:cs="宋体"/>
                <w:spacing w:val="30"/>
                <w:sz w:val="24"/>
                <w:szCs w:val="24"/>
                <w:highlight w:val="none"/>
              </w:rPr>
              <w:t>供货期保证措施：措施科学合理且有针对性，可行性强，评价为优秀得5-7分；评价为一般得3-5分；评价为差得0-3分。</w:t>
            </w:r>
          </w:p>
          <w:p>
            <w:pPr>
              <w:numPr>
                <w:ilvl w:val="0"/>
                <w:numId w:val="0"/>
              </w:numPr>
              <w:ind w:leftChars="0"/>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3、安全、质量保证措施：保证体系健全、制度完善，措施科学合理，评价为优秀得5-7分；评价为一般得3-5分；评价为差得0-3分。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restart"/>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综合标评分参数</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0.00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1.00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节能产品</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所投货物（除政府强制采购节能产品外）有《中国节能产品认证证书》的加1分（以所投货物的《中国节能产品认证证书》扫描件为依据；证书不显示规格型号的，还须同时提供证书配套附件；证书应是由《市场监管总局关于发布参与实施政府采购节能产品、环境标志产品认证机构名录的公告》的认证机构出具的、处于有效期之内的）</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0.00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1.00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环境标志产品</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所投货物有《中国环境标志产品认证证书》（有效期内）的加1分（以所投货物的《中国环境标志产品认证证书》扫描件为依据；证书不显示规格型号的，还须同时提供证书配套附件；证书应是由《市场监管总局关于发布参与实施政府采购节能产品、环境标志产品认证机 构名录的公告》的认证机构出具的、处于有效期之内的）</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0.00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4.00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售后服务承诺</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售后服务形式、服务人员、维修时间、问题解决质量、响应时间、质保期限的合理性，实事求是且满足用户要求程度，评价为优秀得2-4分；评价为一般得1-2分；评价为差得0-1分。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0.00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4.00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售后服务措施</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在服务措施、备用机和备品备件准备、质保期内免费服务承诺书、质保期外服务措施、实质性优惠承诺等方面的合理性，实事求是且满足用户要求程度，评价为优秀得2-4分；评价为一般得1-2分；评价为差得0-1分。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3.00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5.00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综合评价</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评委个人根据供应商的投标情况综合评价打分，3-5分。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业绩信誉</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0.00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3.00</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类似业绩</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供应商提供制造商自20</w:t>
            </w:r>
            <w:r>
              <w:rPr>
                <w:rFonts w:hint="eastAsia" w:ascii="宋体" w:hAnsi="宋体" w:eastAsia="宋体" w:cs="宋体"/>
                <w:spacing w:val="30"/>
                <w:sz w:val="24"/>
                <w:szCs w:val="24"/>
                <w:highlight w:val="none"/>
                <w:lang w:val="en-US" w:eastAsia="zh-CN"/>
              </w:rPr>
              <w:t>20</w:t>
            </w:r>
            <w:r>
              <w:rPr>
                <w:rFonts w:hint="eastAsia" w:ascii="宋体" w:hAnsi="宋体" w:eastAsia="宋体" w:cs="宋体"/>
                <w:spacing w:val="30"/>
                <w:sz w:val="24"/>
                <w:szCs w:val="24"/>
                <w:highlight w:val="none"/>
              </w:rPr>
              <w:t>年01月 01日以来的类似业绩，每有一份得3分，最多得3分，没有不得分。【投标文件中须附中标通知书或合同关键页的扫描件、复印件或照片，否则不得分】。</w:t>
            </w:r>
          </w:p>
        </w:tc>
      </w:tr>
    </w:tbl>
    <w:p>
      <w:pPr>
        <w:spacing w:after="100" w:afterAutospacing="1"/>
        <w:outlineLvl w:val="9"/>
        <w:rPr>
          <w:rFonts w:hint="eastAsia" w:ascii="宋体" w:hAnsi="宋体" w:eastAsia="宋体" w:cs="宋体"/>
          <w:sz w:val="24"/>
          <w:szCs w:val="24"/>
          <w:highlight w:val="none"/>
        </w:rPr>
      </w:pPr>
      <w:bookmarkStart w:id="147" w:name="EB8d005f5cb64c4739b85bd6ac6ddef359"/>
      <w:r>
        <w:rPr>
          <w:rFonts w:hint="eastAsia" w:ascii="宋体" w:hAnsi="宋体" w:eastAsia="宋体" w:cs="宋体"/>
          <w:color w:val="000080"/>
          <w:sz w:val="24"/>
          <w:szCs w:val="24"/>
          <w:highlight w:val="none"/>
        </w:rPr>
        <w:t xml:space="preserve"> </w:t>
      </w:r>
      <w:bookmarkEnd w:id="147"/>
    </w:p>
    <w:p>
      <w:pPr>
        <w:pStyle w:val="5"/>
        <w:outlineLvl w:val="0"/>
        <w:rPr>
          <w:rFonts w:hint="eastAsia" w:ascii="宋体" w:hAnsi="宋体" w:eastAsia="宋体" w:cs="宋体"/>
          <w:b/>
          <w:bCs/>
          <w:spacing w:val="14"/>
          <w:kern w:val="2"/>
          <w:sz w:val="24"/>
          <w:szCs w:val="24"/>
          <w:highlight w:val="none"/>
          <w:lang w:val="en-US" w:eastAsia="zh-CN" w:bidi="ar-SA"/>
        </w:rPr>
      </w:pPr>
      <w:r>
        <w:rPr>
          <w:rFonts w:hint="eastAsia" w:ascii="宋体" w:hAnsi="宋体" w:eastAsia="宋体" w:cs="宋体"/>
          <w:sz w:val="24"/>
          <w:szCs w:val="24"/>
          <w:highlight w:val="none"/>
          <w:lang w:eastAsia="zh-CN"/>
        </w:rPr>
        <w:br w:type="page"/>
      </w:r>
      <w:bookmarkStart w:id="148" w:name="_Toc256000113"/>
      <w:bookmarkStart w:id="149" w:name="_Toc3904808"/>
      <w:bookmarkStart w:id="150" w:name="_Toc10636"/>
      <w:r>
        <w:rPr>
          <w:rFonts w:hint="eastAsia" w:ascii="宋体" w:hAnsi="宋体" w:eastAsia="宋体" w:cs="宋体"/>
          <w:b/>
          <w:bCs/>
          <w:spacing w:val="14"/>
          <w:kern w:val="2"/>
          <w:sz w:val="24"/>
          <w:szCs w:val="24"/>
          <w:highlight w:val="none"/>
          <w:lang w:val="en-US" w:eastAsia="zh-CN" w:bidi="ar-SA"/>
        </w:rPr>
        <w:t>第七章   投标文件格式</w:t>
      </w:r>
      <w:bookmarkEnd w:id="148"/>
      <w:bookmarkEnd w:id="149"/>
      <w:bookmarkEnd w:id="150"/>
    </w:p>
    <w:p>
      <w:pPr>
        <w:outlineLvl w:val="9"/>
        <w:rPr>
          <w:rFonts w:hint="eastAsia" w:ascii="宋体" w:hAnsi="宋体" w:eastAsia="宋体" w:cs="宋体"/>
          <w:b/>
          <w:bCs/>
          <w:spacing w:val="14"/>
          <w:kern w:val="2"/>
          <w:sz w:val="24"/>
          <w:szCs w:val="24"/>
          <w:highlight w:val="none"/>
          <w:lang w:val="en-US" w:eastAsia="zh-CN" w:bidi="ar-SA"/>
        </w:rPr>
      </w:pPr>
    </w:p>
    <w:p>
      <w:pPr>
        <w:outlineLvl w:val="9"/>
        <w:rPr>
          <w:rFonts w:hint="eastAsia" w:ascii="宋体" w:hAnsi="宋体" w:eastAsia="宋体" w:cs="宋体"/>
          <w:sz w:val="24"/>
          <w:szCs w:val="24"/>
          <w:highlight w:val="none"/>
        </w:rPr>
      </w:pPr>
    </w:p>
    <w:p>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51" w:name="EB9d870bdb7a1d498e842468ddcd11f267"/>
    </w:p>
    <w:p>
      <w:pPr>
        <w:pStyle w:val="45"/>
        <w:spacing w:after="100" w:afterAutospacing="1"/>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目  录</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一、封面</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二、投标函</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三、法定代表人授权书</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四、法人被授权人身份证扫描件</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五、资格证明材料</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六、开标一览表</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七、报价明细表</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八、中小微企业声明函（投标人）</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九、残疾人福利性单位声明函</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十、监狱企业证明文件</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十一、技术要求响应与偏差表</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十二、商务要求响应与偏差表</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十三、节能产品、环境标志产品明细表</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十四、项目实施方案</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十五、售后服务计划</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十六、其他需要提供的资料</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十七、参与评审打分的证书（证件）一览表</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十八、参与评审打分的证书（证件）扫描件</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十九、参与评审打分的合同业绩一览表</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二十、参与评审打分的合同业绩扫描件</w:t>
      </w:r>
    </w:p>
    <w:p>
      <w:pPr>
        <w:pStyle w:val="45"/>
        <w:spacing w:after="100" w:afterAutospacing="1" w:line="200" w:lineRule="atLeas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二十一、其他材料</w:t>
      </w:r>
    </w:p>
    <w:p>
      <w:pPr>
        <w:outlineLvl w:val="9"/>
        <w:rPr>
          <w:rFonts w:hint="eastAsia" w:ascii="宋体" w:hAnsi="宋体" w:eastAsia="宋体" w:cs="宋体"/>
          <w:sz w:val="24"/>
          <w:szCs w:val="24"/>
          <w:highlight w:val="none"/>
        </w:rPr>
      </w:pPr>
    </w:p>
    <w:p>
      <w:pPr>
        <w:pStyle w:val="46"/>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52" w:name="_Toc256000115"/>
      <w:r>
        <w:rPr>
          <w:rFonts w:hint="eastAsia" w:ascii="宋体" w:hAnsi="宋体" w:eastAsia="宋体" w:cs="宋体"/>
          <w:sz w:val="24"/>
          <w:szCs w:val="24"/>
          <w:highlight w:val="none"/>
        </w:rPr>
        <w:t>一、封面</w:t>
      </w:r>
      <w:bookmarkEnd w:id="152"/>
    </w:p>
    <w:p>
      <w:pPr>
        <w:pStyle w:val="47"/>
        <w:widowControl/>
        <w:outlineLvl w:val="9"/>
        <w:rPr>
          <w:rFonts w:hint="eastAsia" w:ascii="宋体" w:hAnsi="宋体" w:eastAsia="宋体" w:cs="宋体"/>
          <w:b/>
          <w:spacing w:val="14"/>
          <w:kern w:val="0"/>
          <w:sz w:val="24"/>
          <w:szCs w:val="24"/>
          <w:highlight w:val="none"/>
        </w:rPr>
      </w:pPr>
    </w:p>
    <w:p>
      <w:pPr>
        <w:pStyle w:val="47"/>
        <w:widowControl/>
        <w:jc w:val="center"/>
        <w:outlineLvl w:val="9"/>
        <w:rPr>
          <w:rFonts w:hint="eastAsia" w:ascii="宋体" w:hAnsi="宋体" w:eastAsia="宋体" w:cs="宋体"/>
          <w:b/>
          <w:spacing w:val="14"/>
          <w:kern w:val="0"/>
          <w:sz w:val="24"/>
          <w:szCs w:val="24"/>
          <w:highlight w:val="none"/>
        </w:rPr>
      </w:pPr>
    </w:p>
    <w:p>
      <w:pPr>
        <w:pStyle w:val="47"/>
        <w:widowControl/>
        <w:jc w:val="center"/>
        <w:outlineLvl w:val="9"/>
        <w:rPr>
          <w:rFonts w:hint="eastAsia" w:ascii="宋体" w:hAnsi="宋体" w:eastAsia="宋体" w:cs="宋体"/>
          <w:b/>
          <w:spacing w:val="14"/>
          <w:kern w:val="0"/>
          <w:sz w:val="24"/>
          <w:szCs w:val="24"/>
          <w:highlight w:val="none"/>
        </w:rPr>
      </w:pPr>
      <w:r>
        <w:rPr>
          <w:rFonts w:hint="eastAsia" w:ascii="宋体" w:hAnsi="宋体" w:eastAsia="宋体" w:cs="宋体"/>
          <w:b/>
          <w:spacing w:val="14"/>
          <w:kern w:val="0"/>
          <w:sz w:val="24"/>
          <w:szCs w:val="24"/>
          <w:highlight w:val="none"/>
        </w:rPr>
        <w:t>投标文件</w:t>
      </w:r>
    </w:p>
    <w:p>
      <w:pPr>
        <w:pStyle w:val="47"/>
        <w:widowControl/>
        <w:jc w:val="center"/>
        <w:outlineLvl w:val="9"/>
        <w:rPr>
          <w:rFonts w:hint="eastAsia" w:ascii="宋体" w:hAnsi="宋体" w:eastAsia="宋体" w:cs="宋体"/>
          <w:b/>
          <w:spacing w:val="14"/>
          <w:kern w:val="0"/>
          <w:sz w:val="24"/>
          <w:szCs w:val="24"/>
          <w:highlight w:val="none"/>
        </w:rPr>
      </w:pPr>
    </w:p>
    <w:p>
      <w:pPr>
        <w:pStyle w:val="47"/>
        <w:widowControl/>
        <w:ind w:firstLine="420"/>
        <w:outlineLvl w:val="9"/>
        <w:rPr>
          <w:rFonts w:hint="eastAsia" w:ascii="宋体" w:hAnsi="宋体" w:eastAsia="宋体" w:cs="宋体"/>
          <w:spacing w:val="14"/>
          <w:kern w:val="0"/>
          <w:sz w:val="24"/>
          <w:szCs w:val="24"/>
          <w:highlight w:val="none"/>
        </w:rPr>
      </w:pPr>
    </w:p>
    <w:p>
      <w:pPr>
        <w:pStyle w:val="47"/>
        <w:widowControl/>
        <w:ind w:firstLine="420"/>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项目名称：</w:t>
      </w:r>
    </w:p>
    <w:p>
      <w:pPr>
        <w:pStyle w:val="47"/>
        <w:widowControl/>
        <w:ind w:firstLine="420"/>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项目编号：</w:t>
      </w:r>
    </w:p>
    <w:p>
      <w:pPr>
        <w:pStyle w:val="47"/>
        <w:widowControl/>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47"/>
        <w:widowControl/>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47"/>
        <w:widowControl/>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47"/>
        <w:widowControl/>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47"/>
        <w:widowControl/>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47"/>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w:t>
      </w:r>
    </w:p>
    <w:p>
      <w:pPr>
        <w:pStyle w:val="47"/>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w:t>
      </w:r>
    </w:p>
    <w:p>
      <w:pPr>
        <w:pStyle w:val="47"/>
        <w:widowControl/>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47"/>
        <w:widowControl/>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47"/>
        <w:widowControl/>
        <w:ind w:firstLine="420"/>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供应商名称：</w:t>
      </w:r>
    </w:p>
    <w:p>
      <w:pPr>
        <w:pStyle w:val="47"/>
        <w:widowControl/>
        <w:ind w:right="2465" w:firstLine="420"/>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日期：  </w:t>
      </w:r>
    </w:p>
    <w:p>
      <w:pPr>
        <w:pStyle w:val="49"/>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53" w:name="_Toc256000116"/>
      <w:r>
        <w:rPr>
          <w:rFonts w:hint="eastAsia" w:ascii="宋体" w:hAnsi="宋体" w:eastAsia="宋体" w:cs="宋体"/>
          <w:sz w:val="24"/>
          <w:szCs w:val="24"/>
          <w:highlight w:val="none"/>
        </w:rPr>
        <w:t>二、投标函</w:t>
      </w:r>
      <w:bookmarkEnd w:id="153"/>
    </w:p>
    <w:p>
      <w:pPr>
        <w:pStyle w:val="50"/>
        <w:widowControl/>
        <w:spacing w:line="360" w:lineRule="auto"/>
        <w:jc w:val="center"/>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投标函</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致：</w:t>
      </w:r>
      <w:r>
        <w:rPr>
          <w:rFonts w:hint="eastAsia" w:ascii="宋体" w:hAnsi="宋体" w:eastAsia="宋体" w:cs="宋体"/>
          <w:spacing w:val="14"/>
          <w:kern w:val="0"/>
          <w:sz w:val="24"/>
          <w:szCs w:val="24"/>
          <w:highlight w:val="none"/>
          <w:u w:val="single" w:color="000000"/>
        </w:rPr>
        <w:t>（采购人）</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根据贵方项目编号为</w:t>
      </w:r>
      <w:r>
        <w:rPr>
          <w:rFonts w:hint="eastAsia" w:ascii="宋体" w:hAnsi="宋体" w:eastAsia="宋体" w:cs="宋体"/>
          <w:spacing w:val="14"/>
          <w:kern w:val="0"/>
          <w:sz w:val="24"/>
          <w:szCs w:val="24"/>
          <w:highlight w:val="none"/>
          <w:u w:val="single" w:color="000000"/>
        </w:rPr>
        <w:t xml:space="preserve">                </w:t>
      </w:r>
      <w:r>
        <w:rPr>
          <w:rFonts w:hint="eastAsia" w:ascii="宋体" w:hAnsi="宋体" w:eastAsia="宋体" w:cs="宋体"/>
          <w:spacing w:val="14"/>
          <w:kern w:val="0"/>
          <w:sz w:val="24"/>
          <w:szCs w:val="24"/>
          <w:highlight w:val="none"/>
        </w:rPr>
        <w:t>的招标公告，我方签字代表经正式授权并代表供应商提交投标文件及相关资料，并对之负法律责任。</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据此函，签字代表宣布同意如下：</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1、依法依规、诚实守信、公平竞争参加本次招标活动。</w:t>
      </w:r>
    </w:p>
    <w:p>
      <w:pPr>
        <w:pStyle w:val="50"/>
        <w:widowControl/>
        <w:spacing w:line="360" w:lineRule="auto"/>
        <w:ind w:firstLine="482"/>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w:t>
      </w:r>
      <w:r>
        <w:rPr>
          <w:rFonts w:hint="eastAsia" w:ascii="宋体" w:hAnsi="宋体" w:eastAsia="宋体" w:cs="宋体"/>
          <w:spacing w:val="14"/>
          <w:kern w:val="0"/>
          <w:sz w:val="24"/>
          <w:szCs w:val="24"/>
          <w:highlight w:val="none"/>
        </w:rPr>
        <w:t>我方保证投标文件中的所有资料均为真实、准确、完整、有效的，且不具有任何误导性，否则，我方承诺投标文件无效并自愿承担一切法律责任。</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3、我方的投标报价详见开标一览表。</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4、我方承诺除技术要求响应与偏差表、商务要求响应与偏差表列出的偏差外，我方响应招标文件的全部要求。</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5、我方愿遵守《中华人民共和国政府采购法》及相关的政府采购法律法规，按《中华人民共和国民法典》履行我方的全部责任。</w:t>
      </w:r>
    </w:p>
    <w:p>
      <w:pPr>
        <w:pStyle w:val="50"/>
        <w:widowControl/>
        <w:spacing w:line="360" w:lineRule="auto"/>
        <w:ind w:firstLine="482"/>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6、我方已认真仔细研究招标文件全部内容，包括修改文件以及全部参考资料和有关附件。我们完全理解并同意放弃对这方面有不明及误解的权力。</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7、我方承诺投标有效期为提交投标文件截止时间后90天，并在招标文件规定的投标有效期内不撤销投标文件。</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8、如果我方的行为符合本招标文件规定的投标保证金不予退还情形的，我方同意不退还我方提交的投标保证金。</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9、我方同意按照贵方的要求提供与投标有关的一切数据或资料，理解贵方不一定接受最低报价的投标或收到的任何投标。</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10、我方在此声明，所提交的投标文件及有关资料内容完整、真实和准确，且不存在第二章“供应商须知”第 1.4.3 项规定的任何一种情形。</w:t>
      </w:r>
    </w:p>
    <w:p>
      <w:pPr>
        <w:pStyle w:val="50"/>
        <w:widowControl/>
        <w:spacing w:line="360" w:lineRule="auto"/>
        <w:ind w:firstLine="482"/>
        <w:outlineLvl w:val="9"/>
        <w:rPr>
          <w:rFonts w:hint="eastAsia" w:ascii="宋体" w:hAnsi="宋体" w:eastAsia="宋体" w:cs="宋体"/>
          <w:bCs/>
          <w:spacing w:val="14"/>
          <w:kern w:val="0"/>
          <w:sz w:val="24"/>
          <w:szCs w:val="24"/>
          <w:highlight w:val="none"/>
        </w:rPr>
      </w:pPr>
      <w:r>
        <w:rPr>
          <w:rFonts w:hint="eastAsia" w:ascii="宋体" w:hAnsi="宋体" w:eastAsia="宋体" w:cs="宋体"/>
          <w:bCs/>
          <w:spacing w:val="14"/>
          <w:kern w:val="0"/>
          <w:sz w:val="24"/>
          <w:szCs w:val="24"/>
          <w:highlight w:val="none"/>
        </w:rPr>
        <w:t>11、如果我方被确定为中标人，我方愿意按招标文件的规定缴纳履约保证金。我方如无不可抗力，放弃中标，或者未履行招标文件、投标文件和合同条款的，一经查实，我方愿意赔偿由此而造成的一切损失，并同意接受按相关法律法规和招标文件的相关要求对我方进行的处罚。</w:t>
      </w:r>
    </w:p>
    <w:p>
      <w:pPr>
        <w:pStyle w:val="50"/>
        <w:widowControl/>
        <w:spacing w:line="360" w:lineRule="auto"/>
        <w:ind w:firstLine="482"/>
        <w:outlineLvl w:val="9"/>
        <w:rPr>
          <w:rFonts w:hint="eastAsia" w:ascii="宋体" w:hAnsi="宋体" w:eastAsia="宋体" w:cs="宋体"/>
          <w:bCs/>
          <w:spacing w:val="14"/>
          <w:kern w:val="0"/>
          <w:sz w:val="24"/>
          <w:szCs w:val="24"/>
          <w:highlight w:val="none"/>
        </w:rPr>
      </w:pPr>
      <w:r>
        <w:rPr>
          <w:rFonts w:hint="eastAsia" w:ascii="宋体" w:hAnsi="宋体" w:eastAsia="宋体" w:cs="宋体"/>
          <w:bCs/>
          <w:spacing w:val="14"/>
          <w:kern w:val="0"/>
          <w:sz w:val="24"/>
          <w:szCs w:val="24"/>
          <w:highlight w:val="none"/>
        </w:rPr>
        <w:t>12、采购人若需追加采购本项目招标文件所列货物及相关伴随服务的，在不改变合同其他实质性条款的前提下，我方将按相同或更优惠的折扣率保证供货。</w:t>
      </w:r>
    </w:p>
    <w:p>
      <w:pPr>
        <w:pStyle w:val="50"/>
        <w:widowControl/>
        <w:spacing w:line="360" w:lineRule="auto"/>
        <w:ind w:firstLine="482"/>
        <w:outlineLvl w:val="9"/>
        <w:rPr>
          <w:rFonts w:hint="eastAsia" w:ascii="宋体" w:hAnsi="宋体" w:eastAsia="宋体" w:cs="宋体"/>
          <w:bCs/>
          <w:spacing w:val="14"/>
          <w:kern w:val="0"/>
          <w:sz w:val="24"/>
          <w:szCs w:val="24"/>
          <w:highlight w:val="none"/>
        </w:rPr>
      </w:pPr>
      <w:r>
        <w:rPr>
          <w:rFonts w:hint="eastAsia" w:ascii="宋体" w:hAnsi="宋体" w:eastAsia="宋体" w:cs="宋体"/>
          <w:bCs/>
          <w:spacing w:val="14"/>
          <w:kern w:val="0"/>
          <w:sz w:val="24"/>
          <w:szCs w:val="24"/>
          <w:highlight w:val="none"/>
        </w:rPr>
        <w:t>13、我公司保证所投产品来自合法的供货渠道，若中标，则有义务向采购人提供其要求的有效书面证明资料。如果提供非法渠道的商品，视为欺诈，并承担相关责任。</w:t>
      </w:r>
    </w:p>
    <w:p>
      <w:pPr>
        <w:pStyle w:val="50"/>
        <w:widowControl/>
        <w:spacing w:line="360" w:lineRule="auto"/>
        <w:ind w:firstLine="482"/>
        <w:outlineLvl w:val="9"/>
        <w:rPr>
          <w:rFonts w:hint="eastAsia" w:ascii="宋体" w:hAnsi="宋体" w:eastAsia="宋体" w:cs="宋体"/>
          <w:bCs/>
          <w:spacing w:val="14"/>
          <w:kern w:val="0"/>
          <w:sz w:val="24"/>
          <w:szCs w:val="24"/>
          <w:highlight w:val="none"/>
        </w:rPr>
      </w:pPr>
      <w:r>
        <w:rPr>
          <w:rFonts w:hint="eastAsia" w:ascii="宋体" w:hAnsi="宋体" w:eastAsia="宋体" w:cs="宋体"/>
          <w:bCs/>
          <w:spacing w:val="14"/>
          <w:kern w:val="0"/>
          <w:sz w:val="24"/>
          <w:szCs w:val="24"/>
          <w:highlight w:val="none"/>
        </w:rPr>
        <w:t>14、我方决不提供虚假资料谋取中标，决不采取不正当手段诋毁、排挤其他供应商，决不与采购人、采购代理机构或者其他供应商恶意串通，决不向采购人、代理机构工作人员和评委进行商业贿赂，决不拒绝相关监管部门的监督检查，不向相关监管部门提供虚假情况，如有违反政府采购法律法规的行为，无条件接受贵方及相关监管部门的依法依规处罚。</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15、本次招标若废标，在收到贵方的通知后，如果我方同意参加贵方组织的本项目的竞争性谈判，则本投标函及所有投标文件中声明、授权、承诺、盖章签字等仍然有效。我方遵守贵方招标文件关于特殊情形采用竞争性谈判采购的相关规定，并无异议。</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16、与本投标有关的一切正式函件往来请寄：</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地址：                邮政编码：</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电话：                传真：             电子信箱：</w:t>
      </w:r>
    </w:p>
    <w:p>
      <w:pPr>
        <w:pStyle w:val="50"/>
        <w:widowControl/>
        <w:spacing w:line="360" w:lineRule="auto"/>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供应商（企业电子章）：</w:t>
      </w:r>
    </w:p>
    <w:p>
      <w:pPr>
        <w:pStyle w:val="50"/>
        <w:widowControl/>
        <w:spacing w:line="360" w:lineRule="auto"/>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日期：</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本供应商承诺：以上地址等信息为邮寄函件的真实有效准确信息，收件人为法定代表人或供应商代表。如我方对往来函件拒收，邮寄方可视为已送达，由此造成的一切后果由本供应商承担。</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50"/>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注：除可填报内容外，对本投标函内容的任何实质性修改将被视为非实质性响应投标，从而导致该投标被拒绝。</w:t>
      </w:r>
    </w:p>
    <w:p>
      <w:pPr>
        <w:pStyle w:val="5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54" w:name="_Toc256000117"/>
      <w:r>
        <w:rPr>
          <w:rFonts w:hint="eastAsia" w:ascii="宋体" w:hAnsi="宋体" w:eastAsia="宋体" w:cs="宋体"/>
          <w:sz w:val="24"/>
          <w:szCs w:val="24"/>
          <w:highlight w:val="none"/>
        </w:rPr>
        <w:t>三、法定代表人授权书</w:t>
      </w:r>
      <w:bookmarkEnd w:id="154"/>
    </w:p>
    <w:p>
      <w:pPr>
        <w:pStyle w:val="53"/>
        <w:jc w:val="center"/>
        <w:outlineLvl w:val="9"/>
        <w:rPr>
          <w:rFonts w:hint="eastAsia" w:ascii="宋体" w:hAnsi="宋体" w:eastAsia="宋体" w:cs="宋体"/>
          <w:sz w:val="24"/>
          <w:szCs w:val="24"/>
          <w:highlight w:val="none"/>
        </w:rPr>
      </w:pPr>
      <w:bookmarkStart w:id="155" w:name="_Toc256000085"/>
      <w:r>
        <w:rPr>
          <w:rFonts w:hint="eastAsia" w:ascii="宋体" w:hAnsi="宋体" w:eastAsia="宋体" w:cs="宋体"/>
          <w:sz w:val="24"/>
          <w:szCs w:val="24"/>
          <w:highlight w:val="none"/>
        </w:rPr>
        <w:t>法定代表人授权书</w:t>
      </w:r>
      <w:bookmarkEnd w:id="155"/>
    </w:p>
    <w:p>
      <w:pPr>
        <w:pStyle w:val="54"/>
        <w:spacing w:line="360" w:lineRule="auto"/>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本人</w:t>
      </w:r>
      <w:r>
        <w:rPr>
          <w:rFonts w:hint="eastAsia" w:ascii="宋体" w:hAnsi="宋体" w:eastAsia="宋体" w:cs="宋体"/>
          <w:spacing w:val="14"/>
          <w:sz w:val="24"/>
          <w:szCs w:val="24"/>
          <w:highlight w:val="none"/>
          <w:u w:val="single"/>
        </w:rPr>
        <w:t xml:space="preserve">         </w:t>
      </w:r>
      <w:r>
        <w:rPr>
          <w:rFonts w:hint="eastAsia" w:ascii="宋体" w:hAnsi="宋体" w:eastAsia="宋体" w:cs="宋体"/>
          <w:spacing w:val="14"/>
          <w:sz w:val="24"/>
          <w:szCs w:val="24"/>
          <w:highlight w:val="none"/>
        </w:rPr>
        <w:t>（姓名）系</w:t>
      </w:r>
      <w:r>
        <w:rPr>
          <w:rFonts w:hint="eastAsia" w:ascii="宋体" w:hAnsi="宋体" w:eastAsia="宋体" w:cs="宋体"/>
          <w:spacing w:val="14"/>
          <w:sz w:val="24"/>
          <w:szCs w:val="24"/>
          <w:highlight w:val="none"/>
          <w:u w:val="single"/>
        </w:rPr>
        <w:t xml:space="preserve">            </w:t>
      </w:r>
      <w:r>
        <w:rPr>
          <w:rFonts w:hint="eastAsia" w:ascii="宋体" w:hAnsi="宋体" w:eastAsia="宋体" w:cs="宋体"/>
          <w:spacing w:val="14"/>
          <w:sz w:val="24"/>
          <w:szCs w:val="24"/>
          <w:highlight w:val="none"/>
        </w:rPr>
        <w:t>（投标单位名称）的法定代表人，现授权委托本单位在职员工</w:t>
      </w:r>
      <w:r>
        <w:rPr>
          <w:rFonts w:hint="eastAsia" w:ascii="宋体" w:hAnsi="宋体" w:eastAsia="宋体" w:cs="宋体"/>
          <w:spacing w:val="14"/>
          <w:sz w:val="24"/>
          <w:szCs w:val="24"/>
          <w:highlight w:val="none"/>
          <w:u w:val="single"/>
        </w:rPr>
        <w:t xml:space="preserve">     </w:t>
      </w:r>
      <w:r>
        <w:rPr>
          <w:rFonts w:hint="eastAsia" w:ascii="宋体" w:hAnsi="宋体" w:eastAsia="宋体" w:cs="宋体"/>
          <w:spacing w:val="14"/>
          <w:sz w:val="24"/>
          <w:szCs w:val="24"/>
          <w:highlight w:val="none"/>
        </w:rPr>
        <w:t>（姓名，职务）（身份证号码：</w:t>
      </w:r>
      <w:r>
        <w:rPr>
          <w:rFonts w:hint="eastAsia" w:ascii="宋体" w:hAnsi="宋体" w:eastAsia="宋体" w:cs="宋体"/>
          <w:spacing w:val="14"/>
          <w:sz w:val="24"/>
          <w:szCs w:val="24"/>
          <w:highlight w:val="none"/>
          <w:u w:val="single"/>
        </w:rPr>
        <w:t xml:space="preserve">        </w:t>
      </w:r>
      <w:r>
        <w:rPr>
          <w:rFonts w:hint="eastAsia" w:ascii="宋体" w:hAnsi="宋体" w:eastAsia="宋体" w:cs="宋体"/>
          <w:spacing w:val="14"/>
          <w:sz w:val="24"/>
          <w:szCs w:val="24"/>
          <w:highlight w:val="none"/>
        </w:rPr>
        <w:t>、手机号码：</w:t>
      </w:r>
      <w:r>
        <w:rPr>
          <w:rFonts w:hint="eastAsia" w:ascii="宋体" w:hAnsi="宋体" w:eastAsia="宋体" w:cs="宋体"/>
          <w:spacing w:val="14"/>
          <w:sz w:val="24"/>
          <w:szCs w:val="24"/>
          <w:highlight w:val="none"/>
          <w:u w:val="single"/>
        </w:rPr>
        <w:t xml:space="preserve">      </w:t>
      </w:r>
      <w:r>
        <w:rPr>
          <w:rFonts w:hint="eastAsia" w:ascii="宋体" w:hAnsi="宋体" w:eastAsia="宋体" w:cs="宋体"/>
          <w:spacing w:val="14"/>
          <w:sz w:val="24"/>
          <w:szCs w:val="24"/>
          <w:highlight w:val="none"/>
        </w:rPr>
        <w:t>）作为供应商代表以我方的名义参加贵单位组织的</w:t>
      </w:r>
      <w:r>
        <w:rPr>
          <w:rFonts w:hint="eastAsia" w:ascii="宋体" w:hAnsi="宋体" w:eastAsia="宋体" w:cs="宋体"/>
          <w:spacing w:val="14"/>
          <w:sz w:val="24"/>
          <w:szCs w:val="24"/>
          <w:highlight w:val="none"/>
          <w:u w:val="single"/>
        </w:rPr>
        <w:t xml:space="preserve">           </w:t>
      </w:r>
      <w:r>
        <w:rPr>
          <w:rFonts w:hint="eastAsia" w:ascii="宋体" w:hAnsi="宋体" w:eastAsia="宋体" w:cs="宋体"/>
          <w:spacing w:val="14"/>
          <w:sz w:val="24"/>
          <w:szCs w:val="24"/>
          <w:highlight w:val="none"/>
        </w:rPr>
        <w:t>项目（项目编号：</w:t>
      </w:r>
      <w:r>
        <w:rPr>
          <w:rFonts w:hint="eastAsia" w:ascii="宋体" w:hAnsi="宋体" w:eastAsia="宋体" w:cs="宋体"/>
          <w:spacing w:val="14"/>
          <w:sz w:val="24"/>
          <w:szCs w:val="24"/>
          <w:highlight w:val="none"/>
          <w:u w:val="single"/>
        </w:rPr>
        <w:t xml:space="preserve">           </w:t>
      </w:r>
      <w:r>
        <w:rPr>
          <w:rFonts w:hint="eastAsia" w:ascii="宋体" w:hAnsi="宋体" w:eastAsia="宋体" w:cs="宋体"/>
          <w:spacing w:val="14"/>
          <w:sz w:val="24"/>
          <w:szCs w:val="24"/>
          <w:highlight w:val="none"/>
        </w:rPr>
        <w:t>）的投标活动，并代表我方全权处理一切与之有关的具体事务和签署相关文件，我均予以承认。</w:t>
      </w:r>
    </w:p>
    <w:p>
      <w:pPr>
        <w:pStyle w:val="54"/>
        <w:spacing w:line="360" w:lineRule="auto"/>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代理人无权转让委托权。</w:t>
      </w:r>
    </w:p>
    <w:p>
      <w:pPr>
        <w:pStyle w:val="54"/>
        <w:spacing w:line="360" w:lineRule="auto"/>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本授权书至投标有效期结束前始终有效。</w:t>
      </w:r>
    </w:p>
    <w:p>
      <w:pPr>
        <w:pStyle w:val="54"/>
        <w:spacing w:line="360" w:lineRule="auto"/>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特此声明。</w:t>
      </w:r>
    </w:p>
    <w:p>
      <w:pPr>
        <w:pStyle w:val="54"/>
        <w:spacing w:line="360" w:lineRule="auto"/>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 </w:t>
      </w:r>
    </w:p>
    <w:p>
      <w:pPr>
        <w:pStyle w:val="54"/>
        <w:spacing w:line="360" w:lineRule="auto"/>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 </w:t>
      </w:r>
    </w:p>
    <w:p>
      <w:pPr>
        <w:pStyle w:val="54"/>
        <w:spacing w:line="360" w:lineRule="auto"/>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供应商（企业电子章）：</w:t>
      </w:r>
    </w:p>
    <w:p>
      <w:pPr>
        <w:pStyle w:val="54"/>
        <w:spacing w:line="360" w:lineRule="auto"/>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 </w:t>
      </w:r>
    </w:p>
    <w:p>
      <w:pPr>
        <w:pStyle w:val="54"/>
        <w:spacing w:line="360" w:lineRule="auto"/>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法定代表人（个人电子章）：</w:t>
      </w:r>
    </w:p>
    <w:p>
      <w:pPr>
        <w:pStyle w:val="54"/>
        <w:spacing w:line="360" w:lineRule="auto"/>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 </w:t>
      </w:r>
    </w:p>
    <w:p>
      <w:pPr>
        <w:pStyle w:val="55"/>
        <w:spacing w:line="360" w:lineRule="auto"/>
        <w:ind w:firstLine="474" w:firstLineChars="200"/>
        <w:outlineLvl w:val="9"/>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日期：</w:t>
      </w:r>
    </w:p>
    <w:p>
      <w:pPr>
        <w:pStyle w:val="56"/>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56" w:name="_Toc256000118"/>
      <w:r>
        <w:rPr>
          <w:rFonts w:hint="eastAsia" w:ascii="宋体" w:hAnsi="宋体" w:eastAsia="宋体" w:cs="宋体"/>
          <w:sz w:val="24"/>
          <w:szCs w:val="24"/>
          <w:highlight w:val="none"/>
        </w:rPr>
        <w:t>四、法人被授权人身份证扫描件</w:t>
      </w:r>
      <w:bookmarkEnd w:id="156"/>
    </w:p>
    <w:p>
      <w:pPr>
        <w:pStyle w:val="57"/>
        <w:ind w:firstLine="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1、法定代表人身份证正面和反面扫描件/复印件</w:t>
      </w:r>
    </w:p>
    <w:p>
      <w:pPr>
        <w:pStyle w:val="57"/>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 </w:t>
      </w:r>
    </w:p>
    <w:p>
      <w:pPr>
        <w:pStyle w:val="57"/>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 </w:t>
      </w:r>
    </w:p>
    <w:p>
      <w:pPr>
        <w:pStyle w:val="58"/>
        <w:outlineLvl w:val="9"/>
        <w:rPr>
          <w:rFonts w:hint="eastAsia" w:ascii="宋体" w:hAnsi="宋体" w:eastAsia="宋体" w:cs="宋体"/>
          <w:spacing w:val="14"/>
          <w:sz w:val="24"/>
          <w:szCs w:val="24"/>
          <w:highlight w:val="none"/>
        </w:rPr>
      </w:pPr>
    </w:p>
    <w:p>
      <w:pPr>
        <w:pStyle w:val="58"/>
        <w:outlineLvl w:val="9"/>
        <w:rPr>
          <w:rFonts w:hint="eastAsia" w:ascii="宋体" w:hAnsi="宋体" w:eastAsia="宋体" w:cs="宋体"/>
          <w:spacing w:val="14"/>
          <w:sz w:val="24"/>
          <w:szCs w:val="24"/>
          <w:highlight w:val="none"/>
        </w:rPr>
      </w:pPr>
    </w:p>
    <w:p>
      <w:pPr>
        <w:pStyle w:val="58"/>
        <w:outlineLvl w:val="9"/>
        <w:rPr>
          <w:rFonts w:hint="eastAsia" w:ascii="宋体" w:hAnsi="宋体" w:eastAsia="宋体" w:cs="宋体"/>
          <w:spacing w:val="14"/>
          <w:sz w:val="24"/>
          <w:szCs w:val="24"/>
          <w:highlight w:val="none"/>
        </w:rPr>
      </w:pPr>
    </w:p>
    <w:p>
      <w:pPr>
        <w:pStyle w:val="58"/>
        <w:outlineLvl w:val="9"/>
        <w:rPr>
          <w:rFonts w:hint="eastAsia" w:ascii="宋体" w:hAnsi="宋体" w:eastAsia="宋体" w:cs="宋体"/>
          <w:spacing w:val="14"/>
          <w:sz w:val="24"/>
          <w:szCs w:val="24"/>
          <w:highlight w:val="none"/>
        </w:rPr>
      </w:pPr>
    </w:p>
    <w:p>
      <w:pPr>
        <w:pStyle w:val="58"/>
        <w:outlineLvl w:val="9"/>
        <w:rPr>
          <w:rFonts w:hint="eastAsia" w:ascii="宋体" w:hAnsi="宋体" w:eastAsia="宋体" w:cs="宋体"/>
          <w:spacing w:val="14"/>
          <w:sz w:val="24"/>
          <w:szCs w:val="24"/>
          <w:highlight w:val="none"/>
        </w:rPr>
      </w:pPr>
    </w:p>
    <w:p>
      <w:pPr>
        <w:pStyle w:val="58"/>
        <w:outlineLvl w:val="9"/>
        <w:rPr>
          <w:rFonts w:hint="eastAsia" w:ascii="宋体" w:hAnsi="宋体" w:eastAsia="宋体" w:cs="宋体"/>
          <w:spacing w:val="14"/>
          <w:sz w:val="24"/>
          <w:szCs w:val="24"/>
          <w:highlight w:val="none"/>
        </w:rPr>
      </w:pPr>
    </w:p>
    <w:p>
      <w:pPr>
        <w:pStyle w:val="57"/>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 </w:t>
      </w:r>
    </w:p>
    <w:p>
      <w:pPr>
        <w:pStyle w:val="57"/>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 </w:t>
      </w:r>
    </w:p>
    <w:p>
      <w:pPr>
        <w:pStyle w:val="57"/>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 </w:t>
      </w:r>
    </w:p>
    <w:p>
      <w:pPr>
        <w:pStyle w:val="57"/>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 </w:t>
      </w:r>
    </w:p>
    <w:p>
      <w:pPr>
        <w:pStyle w:val="57"/>
        <w:ind w:firstLine="0"/>
        <w:outlineLvl w:val="9"/>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2、供应商代表（被授权人）身份证正面和反面扫描件/复印件</w:t>
      </w:r>
    </w:p>
    <w:p>
      <w:pPr>
        <w:pStyle w:val="59"/>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57" w:name="_Toc256000119"/>
      <w:r>
        <w:rPr>
          <w:rFonts w:hint="eastAsia" w:ascii="宋体" w:hAnsi="宋体" w:eastAsia="宋体" w:cs="宋体"/>
          <w:sz w:val="24"/>
          <w:szCs w:val="24"/>
          <w:highlight w:val="none"/>
        </w:rPr>
        <w:t>五、资格证明材料</w:t>
      </w:r>
      <w:bookmarkEnd w:id="157"/>
    </w:p>
    <w:p>
      <w:pPr>
        <w:pStyle w:val="60"/>
        <w:ind w:firstLine="0"/>
        <w:jc w:val="center"/>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资格证明材料</w:t>
      </w:r>
    </w:p>
    <w:p>
      <w:pPr>
        <w:pStyle w:val="62"/>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r>
        <w:rPr>
          <w:rFonts w:hint="eastAsia" w:ascii="宋体" w:hAnsi="宋体" w:eastAsia="宋体" w:cs="宋体"/>
          <w:sz w:val="24"/>
          <w:szCs w:val="24"/>
          <w:highlight w:val="none"/>
        </w:rPr>
        <w:t>附件</w:t>
      </w:r>
    </w:p>
    <w:p>
      <w:pPr>
        <w:pStyle w:val="62"/>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洛阳市政府采购供应商信用承诺函</w:t>
      </w:r>
    </w:p>
    <w:p>
      <w:pPr>
        <w:pStyle w:val="63"/>
        <w:spacing w:line="500" w:lineRule="exac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致</w:t>
      </w:r>
      <w:r>
        <w:rPr>
          <w:rFonts w:hint="eastAsia" w:ascii="宋体" w:hAnsi="宋体" w:eastAsia="宋体" w:cs="宋体"/>
          <w:sz w:val="24"/>
          <w:szCs w:val="24"/>
          <w:highlight w:val="none"/>
          <w:u w:val="single"/>
        </w:rPr>
        <w:t xml:space="preserve">  （招标人）  </w:t>
      </w:r>
      <w:r>
        <w:rPr>
          <w:rFonts w:hint="eastAsia" w:ascii="宋体" w:hAnsi="宋体" w:eastAsia="宋体" w:cs="宋体"/>
          <w:sz w:val="24"/>
          <w:szCs w:val="24"/>
          <w:highlight w:val="none"/>
        </w:rPr>
        <w:t>：</w:t>
      </w:r>
    </w:p>
    <w:p>
      <w:pPr>
        <w:pStyle w:val="63"/>
        <w:spacing w:line="500" w:lineRule="exact"/>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单位名称（自然人姓名）：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pPr>
        <w:pStyle w:val="63"/>
        <w:spacing w:line="500" w:lineRule="exact"/>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统一社会信用代码（身份证号码）：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pPr>
        <w:pStyle w:val="63"/>
        <w:spacing w:line="500" w:lineRule="exact"/>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法定代表人（负责人）：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pPr>
        <w:pStyle w:val="63"/>
        <w:spacing w:line="500" w:lineRule="exact"/>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联系地址和电话：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pPr>
        <w:pStyle w:val="63"/>
        <w:spacing w:line="500" w:lineRule="exact"/>
        <w:ind w:firstLine="418"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为维护公平、公正、公开的政府采购市场秩序，树立诚实守信的政府采购供应商形象，我单位（本人）自愿作出以下承诺：</w:t>
      </w:r>
    </w:p>
    <w:p>
      <w:pPr>
        <w:pStyle w:val="63"/>
        <w:adjustRightInd w:val="0"/>
        <w:snapToGrid w:val="0"/>
        <w:spacing w:line="500" w:lineRule="exact"/>
        <w:ind w:firstLine="418"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pPr>
        <w:pStyle w:val="63"/>
        <w:adjustRightInd w:val="0"/>
        <w:snapToGrid w:val="0"/>
        <w:spacing w:line="500" w:lineRule="exact"/>
        <w:ind w:firstLine="418"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（一）具有独立承担民事责任的能力；</w:t>
      </w:r>
    </w:p>
    <w:p>
      <w:pPr>
        <w:pStyle w:val="63"/>
        <w:adjustRightInd w:val="0"/>
        <w:snapToGrid w:val="0"/>
        <w:spacing w:line="500" w:lineRule="exact"/>
        <w:ind w:firstLine="418"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（二）具有良好的商业信誉和健全的财务会计制度；</w:t>
      </w:r>
    </w:p>
    <w:p>
      <w:pPr>
        <w:pStyle w:val="63"/>
        <w:adjustRightInd w:val="0"/>
        <w:snapToGrid w:val="0"/>
        <w:spacing w:line="500" w:lineRule="exact"/>
        <w:ind w:firstLine="418"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（三）具有履行合同所必需的设备和专业技术能力；</w:t>
      </w:r>
    </w:p>
    <w:p>
      <w:pPr>
        <w:pStyle w:val="63"/>
        <w:adjustRightInd w:val="0"/>
        <w:snapToGrid w:val="0"/>
        <w:spacing w:line="500" w:lineRule="exact"/>
        <w:ind w:firstLine="418"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（四）有依法缴纳税收和社会保障资金的良好记录；</w:t>
      </w:r>
    </w:p>
    <w:p>
      <w:pPr>
        <w:pStyle w:val="63"/>
        <w:adjustRightInd w:val="0"/>
        <w:snapToGrid w:val="0"/>
        <w:spacing w:line="500" w:lineRule="exact"/>
        <w:ind w:firstLine="418"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（五）参加政府采购活动前三年内，在经营活动中没有重大违法记录；</w:t>
      </w:r>
    </w:p>
    <w:p>
      <w:pPr>
        <w:pStyle w:val="63"/>
        <w:adjustRightInd w:val="0"/>
        <w:snapToGrid w:val="0"/>
        <w:spacing w:line="500" w:lineRule="exact"/>
        <w:ind w:firstLine="418"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（六）未被列入经营异常名录或者严重违法失信名单、失信被执行人、重大税收违法案件当事人名单、政府采购严重违法失信行为记录名单；</w:t>
      </w:r>
    </w:p>
    <w:p>
      <w:pPr>
        <w:pStyle w:val="63"/>
        <w:adjustRightInd w:val="0"/>
        <w:snapToGrid w:val="0"/>
        <w:spacing w:line="500" w:lineRule="exact"/>
        <w:ind w:firstLine="418"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（七）未被相关监管部门作出行政处罚且尚在处罚有效期内；</w:t>
      </w:r>
    </w:p>
    <w:p>
      <w:pPr>
        <w:pStyle w:val="63"/>
        <w:adjustRightInd w:val="0"/>
        <w:snapToGrid w:val="0"/>
        <w:spacing w:line="500" w:lineRule="exact"/>
        <w:ind w:firstLine="418"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（八）未曾作出虚假采购承诺；</w:t>
      </w:r>
    </w:p>
    <w:p>
      <w:pPr>
        <w:pStyle w:val="63"/>
        <w:adjustRightInd w:val="0"/>
        <w:snapToGrid w:val="0"/>
        <w:spacing w:line="500" w:lineRule="exact"/>
        <w:ind w:firstLine="418"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（九）符合法律、行政法规规定的其他条件。</w:t>
      </w:r>
    </w:p>
    <w:p>
      <w:pPr>
        <w:pStyle w:val="63"/>
        <w:adjustRightInd w:val="0"/>
        <w:snapToGrid w:val="0"/>
        <w:spacing w:line="500" w:lineRule="exact"/>
        <w:ind w:firstLine="418"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pPr>
        <w:pStyle w:val="63"/>
        <w:adjustRightInd w:val="0"/>
        <w:snapToGrid w:val="0"/>
        <w:spacing w:before="233" w:beforeLines="50" w:line="400" w:lineRule="exact"/>
        <w:outlineLvl w:val="9"/>
        <w:rPr>
          <w:rFonts w:hint="eastAsia" w:ascii="宋体" w:hAnsi="宋体" w:eastAsia="宋体" w:cs="宋体"/>
          <w:color w:val="000000"/>
          <w:sz w:val="24"/>
          <w:szCs w:val="24"/>
          <w:highlight w:val="none"/>
        </w:rPr>
      </w:pPr>
    </w:p>
    <w:p>
      <w:pPr>
        <w:pStyle w:val="63"/>
        <w:adjustRightInd w:val="0"/>
        <w:snapToGrid w:val="0"/>
        <w:spacing w:before="233" w:beforeLines="50" w:line="500" w:lineRule="exact"/>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供应商（</w:t>
      </w:r>
      <w:r>
        <w:rPr>
          <w:rFonts w:hint="eastAsia" w:ascii="宋体" w:hAnsi="宋体" w:eastAsia="宋体" w:cs="宋体"/>
          <w:spacing w:val="14"/>
          <w:sz w:val="24"/>
          <w:szCs w:val="24"/>
          <w:highlight w:val="none"/>
        </w:rPr>
        <w:t>企业电子章</w:t>
      </w:r>
      <w:r>
        <w:rPr>
          <w:rFonts w:hint="eastAsia" w:ascii="宋体" w:hAnsi="宋体" w:eastAsia="宋体" w:cs="宋体"/>
          <w:color w:val="000000"/>
          <w:sz w:val="24"/>
          <w:szCs w:val="24"/>
          <w:highlight w:val="none"/>
        </w:rPr>
        <w:t xml:space="preserve">）： </w:t>
      </w:r>
    </w:p>
    <w:p>
      <w:pPr>
        <w:pStyle w:val="63"/>
        <w:adjustRightInd w:val="0"/>
        <w:snapToGrid w:val="0"/>
        <w:spacing w:before="233" w:beforeLines="50" w:line="500" w:lineRule="exact"/>
        <w:outlineLvl w:val="9"/>
        <w:rPr>
          <w:rFonts w:hint="eastAsia" w:ascii="宋体" w:hAnsi="宋体" w:eastAsia="宋体" w:cs="宋体"/>
          <w:color w:val="000000"/>
          <w:sz w:val="24"/>
          <w:szCs w:val="24"/>
          <w:highlight w:val="none"/>
        </w:rPr>
      </w:pPr>
      <w:r>
        <w:rPr>
          <w:rFonts w:hint="eastAsia" w:ascii="宋体" w:hAnsi="宋体" w:eastAsia="宋体" w:cs="宋体"/>
          <w:color w:val="000000"/>
          <w:spacing w:val="-20"/>
          <w:sz w:val="24"/>
          <w:szCs w:val="24"/>
          <w:highlight w:val="none"/>
        </w:rPr>
        <w:t>法定代表人、负责人、本人、或授权代表(签字或电子印章)：</w:t>
      </w:r>
      <w:r>
        <w:rPr>
          <w:rFonts w:hint="eastAsia" w:ascii="宋体" w:hAnsi="宋体" w:eastAsia="宋体" w:cs="宋体"/>
          <w:color w:val="000000"/>
          <w:sz w:val="24"/>
          <w:szCs w:val="24"/>
          <w:highlight w:val="none"/>
        </w:rPr>
        <w:t xml:space="preserve"> </w:t>
      </w:r>
    </w:p>
    <w:p>
      <w:pPr>
        <w:pStyle w:val="63"/>
        <w:adjustRightInd w:val="0"/>
        <w:snapToGrid w:val="0"/>
        <w:spacing w:before="233" w:beforeLines="50" w:line="500" w:lineRule="exact"/>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日期：    年    月   日 </w:t>
      </w:r>
    </w:p>
    <w:p>
      <w:pPr>
        <w:pStyle w:val="63"/>
        <w:adjustRightInd w:val="0"/>
        <w:snapToGrid w:val="0"/>
        <w:spacing w:before="233" w:beforeLines="50" w:line="460" w:lineRule="exact"/>
        <w:ind w:firstLine="418" w:firstLineChars="200"/>
        <w:outlineLvl w:val="9"/>
        <w:rPr>
          <w:rFonts w:hint="eastAsia" w:ascii="宋体" w:hAnsi="宋体" w:eastAsia="宋体" w:cs="宋体"/>
          <w:bCs/>
          <w:color w:val="000000"/>
          <w:sz w:val="24"/>
          <w:szCs w:val="24"/>
          <w:highlight w:val="none"/>
        </w:rPr>
      </w:pPr>
    </w:p>
    <w:p>
      <w:pPr>
        <w:pStyle w:val="63"/>
        <w:spacing w:line="400" w:lineRule="exac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注：1.投标人须在投标文件中按此模板提供承诺函，未提供视为未实质性响应招标文件要求，按无效投标处理。</w:t>
      </w:r>
    </w:p>
    <w:p>
      <w:pPr>
        <w:pStyle w:val="63"/>
        <w:numPr>
          <w:ilvl w:val="0"/>
          <w:numId w:val="6"/>
        </w:numPr>
        <w:spacing w:line="400" w:lineRule="exact"/>
        <w:outlineLvl w:val="9"/>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投标人的法定代表人或者授权代表的签字或盖章应真实、有效，如由授权代表签字或盖章的，应提供“法定代表人授权书”</w:t>
      </w:r>
      <w:r>
        <w:rPr>
          <w:rFonts w:hint="eastAsia" w:ascii="宋体" w:hAnsi="宋体" w:eastAsia="宋体" w:cs="宋体"/>
          <w:color w:val="000000"/>
          <w:sz w:val="24"/>
          <w:szCs w:val="24"/>
          <w:highlight w:val="none"/>
        </w:rPr>
        <w:t xml:space="preserve">。 </w:t>
      </w:r>
    </w:p>
    <w:p>
      <w:pPr>
        <w:pStyle w:val="66"/>
        <w:outlineLvl w:val="9"/>
        <w:rPr>
          <w:rFonts w:hint="eastAsia" w:ascii="宋体" w:hAnsi="宋体" w:eastAsia="宋体" w:cs="宋体"/>
          <w:sz w:val="24"/>
          <w:szCs w:val="24"/>
          <w:highlight w:val="none"/>
        </w:rPr>
      </w:pPr>
    </w:p>
    <w:p>
      <w:pPr>
        <w:pStyle w:val="66"/>
        <w:outlineLvl w:val="9"/>
        <w:rPr>
          <w:rFonts w:hint="eastAsia" w:ascii="宋体" w:hAnsi="宋体" w:eastAsia="宋体" w:cs="宋体"/>
          <w:sz w:val="24"/>
          <w:szCs w:val="24"/>
          <w:highlight w:val="none"/>
        </w:rPr>
      </w:pPr>
    </w:p>
    <w:p>
      <w:pPr>
        <w:pStyle w:val="66"/>
        <w:outlineLvl w:val="9"/>
        <w:rPr>
          <w:rFonts w:hint="eastAsia" w:ascii="宋体" w:hAnsi="宋体" w:eastAsia="宋体" w:cs="宋体"/>
          <w:sz w:val="24"/>
          <w:szCs w:val="24"/>
          <w:highlight w:val="none"/>
        </w:rPr>
      </w:pPr>
    </w:p>
    <w:p>
      <w:pPr>
        <w:pStyle w:val="66"/>
        <w:outlineLvl w:val="9"/>
        <w:rPr>
          <w:rFonts w:hint="eastAsia" w:ascii="宋体" w:hAnsi="宋体" w:eastAsia="宋体" w:cs="宋体"/>
          <w:sz w:val="24"/>
          <w:szCs w:val="24"/>
          <w:highlight w:val="none"/>
        </w:rPr>
      </w:pPr>
    </w:p>
    <w:p>
      <w:pPr>
        <w:pStyle w:val="66"/>
        <w:outlineLvl w:val="9"/>
        <w:rPr>
          <w:rFonts w:hint="eastAsia" w:ascii="宋体" w:hAnsi="宋体" w:eastAsia="宋体" w:cs="宋体"/>
          <w:sz w:val="24"/>
          <w:szCs w:val="24"/>
          <w:highlight w:val="none"/>
        </w:rPr>
      </w:pPr>
    </w:p>
    <w:p>
      <w:pPr>
        <w:pStyle w:val="66"/>
        <w:outlineLvl w:val="9"/>
        <w:rPr>
          <w:rFonts w:hint="eastAsia" w:ascii="宋体" w:hAnsi="宋体" w:eastAsia="宋体" w:cs="宋体"/>
          <w:sz w:val="24"/>
          <w:szCs w:val="24"/>
          <w:highlight w:val="none"/>
        </w:rPr>
      </w:pPr>
    </w:p>
    <w:p>
      <w:pPr>
        <w:pStyle w:val="66"/>
        <w:outlineLvl w:val="9"/>
        <w:rPr>
          <w:rFonts w:hint="eastAsia" w:ascii="宋体" w:hAnsi="宋体" w:eastAsia="宋体" w:cs="宋体"/>
          <w:sz w:val="24"/>
          <w:szCs w:val="24"/>
          <w:highlight w:val="none"/>
        </w:rPr>
      </w:pPr>
    </w:p>
    <w:p>
      <w:pPr>
        <w:pStyle w:val="66"/>
        <w:outlineLvl w:val="9"/>
        <w:rPr>
          <w:rFonts w:hint="eastAsia" w:ascii="宋体" w:hAnsi="宋体" w:eastAsia="宋体" w:cs="宋体"/>
          <w:sz w:val="24"/>
          <w:szCs w:val="24"/>
          <w:highlight w:val="none"/>
        </w:rPr>
      </w:pPr>
    </w:p>
    <w:p>
      <w:pPr>
        <w:pStyle w:val="66"/>
        <w:outlineLvl w:val="9"/>
        <w:rPr>
          <w:rFonts w:hint="eastAsia" w:ascii="宋体" w:hAnsi="宋体" w:eastAsia="宋体" w:cs="宋体"/>
          <w:sz w:val="24"/>
          <w:szCs w:val="24"/>
          <w:highlight w:val="none"/>
        </w:rPr>
      </w:pPr>
    </w:p>
    <w:p>
      <w:pPr>
        <w:pStyle w:val="66"/>
        <w:outlineLvl w:val="9"/>
        <w:rPr>
          <w:rFonts w:hint="eastAsia" w:ascii="宋体" w:hAnsi="宋体" w:eastAsia="宋体" w:cs="宋体"/>
          <w:sz w:val="24"/>
          <w:szCs w:val="24"/>
          <w:highlight w:val="none"/>
        </w:rPr>
      </w:pPr>
    </w:p>
    <w:p>
      <w:pPr>
        <w:pStyle w:val="66"/>
        <w:outlineLvl w:val="9"/>
        <w:rPr>
          <w:rFonts w:hint="eastAsia" w:ascii="宋体" w:hAnsi="宋体" w:eastAsia="宋体" w:cs="宋体"/>
          <w:sz w:val="24"/>
          <w:szCs w:val="24"/>
          <w:highlight w:val="none"/>
        </w:rPr>
      </w:pPr>
    </w:p>
    <w:p>
      <w:pPr>
        <w:pStyle w:val="66"/>
        <w:outlineLvl w:val="9"/>
        <w:rPr>
          <w:rFonts w:hint="eastAsia" w:ascii="宋体" w:hAnsi="宋体" w:eastAsia="宋体" w:cs="宋体"/>
          <w:sz w:val="24"/>
          <w:szCs w:val="24"/>
          <w:highlight w:val="none"/>
        </w:rPr>
      </w:pPr>
    </w:p>
    <w:p>
      <w:pPr>
        <w:pStyle w:val="66"/>
        <w:outlineLvl w:val="9"/>
        <w:rPr>
          <w:rFonts w:hint="eastAsia" w:ascii="宋体" w:hAnsi="宋体" w:eastAsia="宋体" w:cs="宋体"/>
          <w:sz w:val="24"/>
          <w:szCs w:val="24"/>
          <w:highlight w:val="none"/>
        </w:rPr>
      </w:pPr>
    </w:p>
    <w:p>
      <w:pPr>
        <w:pStyle w:val="66"/>
        <w:outlineLvl w:val="9"/>
        <w:rPr>
          <w:rFonts w:hint="eastAsia" w:ascii="宋体" w:hAnsi="宋体" w:eastAsia="宋体" w:cs="宋体"/>
          <w:sz w:val="24"/>
          <w:szCs w:val="24"/>
          <w:highlight w:val="none"/>
        </w:rPr>
      </w:pPr>
    </w:p>
    <w:p>
      <w:pPr>
        <w:pStyle w:val="6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58" w:name="_Toc256000120"/>
      <w:r>
        <w:rPr>
          <w:rFonts w:hint="eastAsia" w:ascii="宋体" w:hAnsi="宋体" w:eastAsia="宋体" w:cs="宋体"/>
          <w:sz w:val="24"/>
          <w:szCs w:val="24"/>
          <w:highlight w:val="none"/>
        </w:rPr>
        <w:t>六、开标一览表</w:t>
      </w:r>
      <w:bookmarkEnd w:id="158"/>
    </w:p>
    <w:p>
      <w:pPr>
        <w:pStyle w:val="68"/>
        <w:widowControl/>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开标一览表</w:t>
      </w:r>
    </w:p>
    <w:p>
      <w:pPr>
        <w:pStyle w:val="68"/>
        <w:outlineLvl w:val="9"/>
        <w:rPr>
          <w:rFonts w:hint="eastAsia" w:ascii="宋体" w:hAnsi="宋体" w:eastAsia="宋体" w:cs="宋体"/>
          <w:sz w:val="24"/>
          <w:szCs w:val="24"/>
          <w:highlight w:val="none"/>
        </w:rPr>
      </w:pPr>
      <w:bookmarkStart w:id="159" w:name="EBa811e9b6370d47b4980fd2916a2a2a5d"/>
    </w:p>
    <w:tbl>
      <w:tblPr>
        <w:tblStyle w:val="6"/>
        <w:tblW w:w="5000"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150" w:type="dxa"/>
          <w:left w:w="150" w:type="dxa"/>
          <w:bottom w:w="150" w:type="dxa"/>
          <w:right w:w="150" w:type="dxa"/>
        </w:tblCellMar>
      </w:tblPr>
      <w:tblGrid>
        <w:gridCol w:w="4770"/>
        <w:gridCol w:w="4771"/>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pPr>
              <w:pStyle w:val="69"/>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投标人总报价（小写）</w:t>
            </w:r>
          </w:p>
        </w:tc>
        <w:tc>
          <w:tcPr>
            <w:tcW w:w="2500" w:type="pct"/>
            <w:tcBorders>
              <w:top w:val="outset" w:color="auto" w:sz="6" w:space="0"/>
              <w:left w:val="outset" w:color="auto" w:sz="6" w:space="0"/>
              <w:bottom w:val="outset" w:color="auto" w:sz="6" w:space="0"/>
              <w:right w:val="outset" w:color="auto" w:sz="6" w:space="0"/>
            </w:tcBorders>
            <w:noWrap w:val="0"/>
            <w:vAlign w:val="center"/>
          </w:tcPr>
          <w:p>
            <w:pPr>
              <w:pStyle w:val="69"/>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元</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pPr>
              <w:pStyle w:val="69"/>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交货期</w:t>
            </w:r>
          </w:p>
        </w:tc>
        <w:tc>
          <w:tcPr>
            <w:tcW w:w="2500" w:type="pct"/>
            <w:tcBorders>
              <w:top w:val="outset" w:color="auto" w:sz="6" w:space="0"/>
              <w:left w:val="outset" w:color="auto" w:sz="6" w:space="0"/>
              <w:bottom w:val="outset" w:color="auto" w:sz="6" w:space="0"/>
              <w:right w:val="outset" w:color="auto" w:sz="6" w:space="0"/>
            </w:tcBorders>
            <w:noWrap w:val="0"/>
            <w:vAlign w:val="center"/>
          </w:tcPr>
          <w:p>
            <w:pPr>
              <w:pStyle w:val="69"/>
              <w:jc w:val="center"/>
              <w:outlineLvl w:val="9"/>
              <w:rPr>
                <w:rFonts w:hint="eastAsia" w:ascii="宋体" w:hAnsi="宋体" w:eastAsia="宋体" w:cs="宋体"/>
                <w:sz w:val="24"/>
                <w:szCs w:val="24"/>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pPr>
              <w:pStyle w:val="69"/>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质量要求</w:t>
            </w:r>
          </w:p>
        </w:tc>
        <w:tc>
          <w:tcPr>
            <w:tcW w:w="2500" w:type="pct"/>
            <w:tcBorders>
              <w:top w:val="outset" w:color="auto" w:sz="6" w:space="0"/>
              <w:left w:val="outset" w:color="auto" w:sz="6" w:space="0"/>
              <w:bottom w:val="outset" w:color="auto" w:sz="6" w:space="0"/>
              <w:right w:val="outset" w:color="auto" w:sz="6" w:space="0"/>
            </w:tcBorders>
            <w:noWrap w:val="0"/>
            <w:vAlign w:val="center"/>
          </w:tcPr>
          <w:p>
            <w:pPr>
              <w:pStyle w:val="69"/>
              <w:jc w:val="center"/>
              <w:outlineLvl w:val="9"/>
              <w:rPr>
                <w:rFonts w:hint="eastAsia" w:ascii="宋体" w:hAnsi="宋体" w:eastAsia="宋体" w:cs="宋体"/>
                <w:sz w:val="24"/>
                <w:szCs w:val="24"/>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pPr>
              <w:pStyle w:val="69"/>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质保期</w:t>
            </w:r>
          </w:p>
        </w:tc>
        <w:tc>
          <w:tcPr>
            <w:tcW w:w="2500" w:type="pct"/>
            <w:tcBorders>
              <w:top w:val="outset" w:color="auto" w:sz="6" w:space="0"/>
              <w:left w:val="outset" w:color="auto" w:sz="6" w:space="0"/>
              <w:bottom w:val="outset" w:color="auto" w:sz="6" w:space="0"/>
              <w:right w:val="outset" w:color="auto" w:sz="6" w:space="0"/>
            </w:tcBorders>
            <w:noWrap w:val="0"/>
            <w:vAlign w:val="center"/>
          </w:tcPr>
          <w:p>
            <w:pPr>
              <w:pStyle w:val="69"/>
              <w:jc w:val="center"/>
              <w:outlineLvl w:val="9"/>
              <w:rPr>
                <w:rFonts w:hint="eastAsia" w:ascii="宋体" w:hAnsi="宋体" w:eastAsia="宋体" w:cs="宋体"/>
                <w:sz w:val="24"/>
                <w:szCs w:val="24"/>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pPr>
              <w:pStyle w:val="69"/>
              <w:jc w:val="center"/>
              <w:outlineLvl w:val="9"/>
              <w:rPr>
                <w:rFonts w:hint="eastAsia" w:ascii="宋体" w:hAnsi="宋体" w:eastAsia="宋体" w:cs="宋体"/>
                <w:sz w:val="24"/>
                <w:szCs w:val="24"/>
                <w:highlight w:val="none"/>
              </w:rPr>
            </w:pPr>
            <w:r>
              <w:rPr>
                <w:rFonts w:hint="eastAsia" w:ascii="宋体" w:hAnsi="宋体" w:eastAsia="宋体" w:cs="宋体"/>
                <w:spacing w:val="30"/>
                <w:sz w:val="24"/>
                <w:szCs w:val="24"/>
                <w:highlight w:val="none"/>
              </w:rPr>
              <w:t>售后服务期</w:t>
            </w:r>
          </w:p>
        </w:tc>
        <w:tc>
          <w:tcPr>
            <w:tcW w:w="2500" w:type="pct"/>
            <w:tcBorders>
              <w:top w:val="outset" w:color="auto" w:sz="6" w:space="0"/>
              <w:left w:val="outset" w:color="auto" w:sz="6" w:space="0"/>
              <w:bottom w:val="outset" w:color="auto" w:sz="6" w:space="0"/>
              <w:right w:val="outset" w:color="auto" w:sz="6" w:space="0"/>
            </w:tcBorders>
            <w:noWrap w:val="0"/>
            <w:vAlign w:val="center"/>
          </w:tcPr>
          <w:p>
            <w:pPr>
              <w:pStyle w:val="69"/>
              <w:jc w:val="center"/>
              <w:outlineLvl w:val="9"/>
              <w:rPr>
                <w:rFonts w:hint="eastAsia" w:ascii="宋体" w:hAnsi="宋体" w:eastAsia="宋体" w:cs="宋体"/>
                <w:sz w:val="24"/>
                <w:szCs w:val="24"/>
                <w:highlight w:val="none"/>
              </w:rPr>
            </w:pPr>
          </w:p>
        </w:tc>
      </w:tr>
      <w:bookmarkEnd w:id="159"/>
    </w:tbl>
    <w:p>
      <w:pPr>
        <w:pStyle w:val="68"/>
        <w:outlineLvl w:val="9"/>
        <w:rPr>
          <w:rFonts w:hint="eastAsia" w:ascii="宋体" w:hAnsi="宋体" w:eastAsia="宋体" w:cs="宋体"/>
          <w:sz w:val="24"/>
          <w:szCs w:val="24"/>
          <w:highlight w:val="none"/>
        </w:rPr>
      </w:pPr>
    </w:p>
    <w:p>
      <w:pPr>
        <w:pStyle w:val="7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60" w:name="_Toc256000121"/>
      <w:r>
        <w:rPr>
          <w:rFonts w:hint="eastAsia" w:ascii="宋体" w:hAnsi="宋体" w:eastAsia="宋体" w:cs="宋体"/>
          <w:sz w:val="24"/>
          <w:szCs w:val="24"/>
          <w:highlight w:val="none"/>
        </w:rPr>
        <w:t>七、报价明细表</w:t>
      </w:r>
      <w:bookmarkEnd w:id="160"/>
    </w:p>
    <w:p>
      <w:pPr>
        <w:pStyle w:val="71"/>
        <w:jc w:val="center"/>
        <w:outlineLvl w:val="9"/>
        <w:rPr>
          <w:rFonts w:hint="eastAsia" w:ascii="宋体" w:hAnsi="宋体" w:eastAsia="宋体" w:cs="宋体"/>
          <w:sz w:val="24"/>
          <w:szCs w:val="24"/>
          <w:highlight w:val="none"/>
        </w:rPr>
      </w:pPr>
      <w:r>
        <w:rPr>
          <w:rFonts w:hint="eastAsia" w:ascii="宋体" w:hAnsi="宋体" w:eastAsia="宋体" w:cs="宋体"/>
          <w:b/>
          <w:spacing w:val="14"/>
          <w:kern w:val="0"/>
          <w:sz w:val="24"/>
          <w:szCs w:val="24"/>
          <w:highlight w:val="none"/>
        </w:rPr>
        <w:t>报价明细表</w:t>
      </w:r>
    </w:p>
    <w:p>
      <w:pPr>
        <w:pStyle w:val="7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61" w:name="_Toc256000122"/>
      <w:r>
        <w:rPr>
          <w:rFonts w:hint="eastAsia" w:ascii="宋体" w:hAnsi="宋体" w:eastAsia="宋体" w:cs="宋体"/>
          <w:sz w:val="24"/>
          <w:szCs w:val="24"/>
          <w:highlight w:val="none"/>
        </w:rPr>
        <w:t>八、中小微企业声明函（投标人）</w:t>
      </w:r>
      <w:bookmarkEnd w:id="161"/>
    </w:p>
    <w:p>
      <w:pPr>
        <w:pStyle w:val="73"/>
        <w:jc w:val="center"/>
        <w:outlineLvl w:val="9"/>
        <w:rPr>
          <w:rFonts w:hint="eastAsia" w:ascii="宋体" w:hAnsi="宋体" w:eastAsia="宋体" w:cs="宋体"/>
          <w:b/>
          <w:spacing w:val="14"/>
          <w:kern w:val="0"/>
          <w:sz w:val="24"/>
          <w:szCs w:val="24"/>
          <w:highlight w:val="none"/>
        </w:rPr>
      </w:pPr>
      <w:r>
        <w:rPr>
          <w:rFonts w:hint="eastAsia" w:ascii="宋体" w:hAnsi="宋体" w:eastAsia="宋体" w:cs="宋体"/>
          <w:b/>
          <w:spacing w:val="14"/>
          <w:kern w:val="0"/>
          <w:sz w:val="24"/>
          <w:szCs w:val="24"/>
          <w:highlight w:val="none"/>
        </w:rPr>
        <w:t>中小企业声明函</w:t>
      </w:r>
      <w:r>
        <w:rPr>
          <w:rFonts w:hint="eastAsia" w:ascii="宋体" w:hAnsi="宋体" w:eastAsia="宋体" w:cs="宋体"/>
          <w:b/>
          <w:sz w:val="24"/>
          <w:szCs w:val="24"/>
          <w:highlight w:val="none"/>
        </w:rPr>
        <w:t>（货物）</w:t>
      </w:r>
    </w:p>
    <w:p>
      <w:pPr>
        <w:pStyle w:val="73"/>
        <w:jc w:val="center"/>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73"/>
        <w:spacing w:line="360" w:lineRule="auto"/>
        <w:ind w:firstLine="420"/>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本公司（联合体）郑重声明，根据《政府采购促进中小企业发展管理办法》（财库〔2020〕46 号）的规定，本公司（联合体）参加（</w:t>
      </w:r>
      <w:r>
        <w:rPr>
          <w:rFonts w:hint="eastAsia" w:ascii="宋体" w:hAnsi="宋体" w:eastAsia="宋体" w:cs="宋体"/>
          <w:spacing w:val="14"/>
          <w:kern w:val="0"/>
          <w:sz w:val="24"/>
          <w:szCs w:val="24"/>
          <w:highlight w:val="none"/>
          <w:u w:val="single"/>
        </w:rPr>
        <w:t>单位名称</w:t>
      </w:r>
      <w:r>
        <w:rPr>
          <w:rFonts w:hint="eastAsia" w:ascii="宋体" w:hAnsi="宋体" w:eastAsia="宋体" w:cs="宋体"/>
          <w:spacing w:val="14"/>
          <w:kern w:val="0"/>
          <w:sz w:val="24"/>
          <w:szCs w:val="24"/>
          <w:highlight w:val="none"/>
        </w:rPr>
        <w:t>）的</w:t>
      </w:r>
      <w:r>
        <w:rPr>
          <w:rFonts w:hint="eastAsia" w:ascii="宋体" w:hAnsi="宋体" w:eastAsia="宋体" w:cs="宋体"/>
          <w:spacing w:val="14"/>
          <w:kern w:val="0"/>
          <w:sz w:val="24"/>
          <w:szCs w:val="24"/>
          <w:highlight w:val="none"/>
          <w:u w:val="single"/>
        </w:rPr>
        <w:t>（项目名称）</w:t>
      </w:r>
      <w:r>
        <w:rPr>
          <w:rFonts w:hint="eastAsia" w:ascii="宋体" w:hAnsi="宋体" w:eastAsia="宋体" w:cs="宋体"/>
          <w:spacing w:val="14"/>
          <w:kern w:val="0"/>
          <w:sz w:val="24"/>
          <w:szCs w:val="24"/>
          <w:highlight w:val="none"/>
        </w:rPr>
        <w:t>采购活动，提供的货物全部由符合政策要求的中小企业制造。相关企业（含联合体中的中小企业、签订分包意向协议的中小企业）的具体情况如下：</w:t>
      </w:r>
    </w:p>
    <w:p>
      <w:pPr>
        <w:pStyle w:val="73"/>
        <w:spacing w:line="360" w:lineRule="auto"/>
        <w:ind w:firstLine="420"/>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1.</w:t>
      </w:r>
      <w:r>
        <w:rPr>
          <w:rFonts w:hint="eastAsia" w:ascii="宋体" w:hAnsi="宋体" w:eastAsia="宋体" w:cs="宋体"/>
          <w:spacing w:val="14"/>
          <w:kern w:val="0"/>
          <w:sz w:val="24"/>
          <w:szCs w:val="24"/>
          <w:highlight w:val="none"/>
          <w:u w:val="single"/>
        </w:rPr>
        <w:t>（标的名称）</w:t>
      </w:r>
      <w:r>
        <w:rPr>
          <w:rFonts w:hint="eastAsia" w:ascii="宋体" w:hAnsi="宋体" w:eastAsia="宋体" w:cs="宋体"/>
          <w:spacing w:val="14"/>
          <w:kern w:val="0"/>
          <w:sz w:val="24"/>
          <w:szCs w:val="24"/>
          <w:highlight w:val="none"/>
        </w:rPr>
        <w:t>，属于</w:t>
      </w:r>
      <w:r>
        <w:rPr>
          <w:rFonts w:hint="eastAsia" w:ascii="宋体" w:hAnsi="宋体" w:eastAsia="宋体" w:cs="宋体"/>
          <w:spacing w:val="14"/>
          <w:kern w:val="0"/>
          <w:sz w:val="24"/>
          <w:szCs w:val="24"/>
          <w:highlight w:val="none"/>
          <w:u w:val="single"/>
        </w:rPr>
        <w:t>（采购文件中明确的所属行业）</w:t>
      </w:r>
      <w:r>
        <w:rPr>
          <w:rFonts w:hint="eastAsia" w:ascii="宋体" w:hAnsi="宋体" w:eastAsia="宋体" w:cs="宋体"/>
          <w:spacing w:val="14"/>
          <w:kern w:val="0"/>
          <w:sz w:val="24"/>
          <w:szCs w:val="24"/>
          <w:highlight w:val="none"/>
        </w:rPr>
        <w:t>行业；制造商为</w:t>
      </w:r>
      <w:r>
        <w:rPr>
          <w:rFonts w:hint="eastAsia" w:ascii="宋体" w:hAnsi="宋体" w:eastAsia="宋体" w:cs="宋体"/>
          <w:spacing w:val="14"/>
          <w:kern w:val="0"/>
          <w:sz w:val="24"/>
          <w:szCs w:val="24"/>
          <w:highlight w:val="none"/>
          <w:u w:val="single"/>
        </w:rPr>
        <w:t xml:space="preserve"> （企业名称） </w:t>
      </w:r>
      <w:r>
        <w:rPr>
          <w:rFonts w:hint="eastAsia" w:ascii="宋体" w:hAnsi="宋体" w:eastAsia="宋体" w:cs="宋体"/>
          <w:spacing w:val="14"/>
          <w:kern w:val="0"/>
          <w:sz w:val="24"/>
          <w:szCs w:val="24"/>
          <w:highlight w:val="none"/>
        </w:rPr>
        <w:t>，从业人员</w:t>
      </w:r>
      <w:r>
        <w:rPr>
          <w:rFonts w:hint="eastAsia" w:ascii="宋体" w:hAnsi="宋体" w:eastAsia="宋体" w:cs="宋体"/>
          <w:spacing w:val="14"/>
          <w:kern w:val="0"/>
          <w:sz w:val="24"/>
          <w:szCs w:val="24"/>
          <w:highlight w:val="none"/>
          <w:u w:val="single"/>
        </w:rPr>
        <w:t xml:space="preserve">    </w:t>
      </w:r>
      <w:r>
        <w:rPr>
          <w:rFonts w:hint="eastAsia" w:ascii="宋体" w:hAnsi="宋体" w:eastAsia="宋体" w:cs="宋体"/>
          <w:spacing w:val="14"/>
          <w:kern w:val="0"/>
          <w:sz w:val="24"/>
          <w:szCs w:val="24"/>
          <w:highlight w:val="none"/>
        </w:rPr>
        <w:t>人，营业收入为</w:t>
      </w:r>
      <w:r>
        <w:rPr>
          <w:rFonts w:hint="eastAsia" w:ascii="宋体" w:hAnsi="宋体" w:eastAsia="宋体" w:cs="宋体"/>
          <w:spacing w:val="14"/>
          <w:kern w:val="0"/>
          <w:sz w:val="24"/>
          <w:szCs w:val="24"/>
          <w:highlight w:val="none"/>
          <w:u w:val="single"/>
        </w:rPr>
        <w:t xml:space="preserve">     </w:t>
      </w:r>
      <w:r>
        <w:rPr>
          <w:rFonts w:hint="eastAsia" w:ascii="宋体" w:hAnsi="宋体" w:eastAsia="宋体" w:cs="宋体"/>
          <w:spacing w:val="14"/>
          <w:kern w:val="0"/>
          <w:sz w:val="24"/>
          <w:szCs w:val="24"/>
          <w:highlight w:val="none"/>
        </w:rPr>
        <w:t>万元，资产总额为</w:t>
      </w:r>
      <w:r>
        <w:rPr>
          <w:rFonts w:hint="eastAsia" w:ascii="宋体" w:hAnsi="宋体" w:eastAsia="宋体" w:cs="宋体"/>
          <w:spacing w:val="14"/>
          <w:kern w:val="0"/>
          <w:sz w:val="24"/>
          <w:szCs w:val="24"/>
          <w:highlight w:val="none"/>
          <w:u w:val="single"/>
        </w:rPr>
        <w:t xml:space="preserve">     </w:t>
      </w:r>
      <w:r>
        <w:rPr>
          <w:rFonts w:hint="eastAsia" w:ascii="宋体" w:hAnsi="宋体" w:eastAsia="宋体" w:cs="宋体"/>
          <w:spacing w:val="14"/>
          <w:kern w:val="0"/>
          <w:sz w:val="24"/>
          <w:szCs w:val="24"/>
          <w:highlight w:val="none"/>
        </w:rPr>
        <w:t>万元¹ ，属于</w:t>
      </w:r>
      <w:r>
        <w:rPr>
          <w:rFonts w:hint="eastAsia" w:ascii="宋体" w:hAnsi="宋体" w:eastAsia="宋体" w:cs="宋体"/>
          <w:spacing w:val="14"/>
          <w:kern w:val="0"/>
          <w:sz w:val="24"/>
          <w:szCs w:val="24"/>
          <w:highlight w:val="none"/>
          <w:u w:val="single"/>
        </w:rPr>
        <w:t>（中型企业、小型企业、微型企业）</w:t>
      </w:r>
      <w:r>
        <w:rPr>
          <w:rFonts w:hint="eastAsia" w:ascii="宋体" w:hAnsi="宋体" w:eastAsia="宋体" w:cs="宋体"/>
          <w:spacing w:val="14"/>
          <w:kern w:val="0"/>
          <w:sz w:val="24"/>
          <w:szCs w:val="24"/>
          <w:highlight w:val="none"/>
        </w:rPr>
        <w:t>；</w:t>
      </w:r>
    </w:p>
    <w:p>
      <w:pPr>
        <w:pStyle w:val="73"/>
        <w:spacing w:line="360" w:lineRule="auto"/>
        <w:ind w:firstLine="420"/>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2.</w:t>
      </w:r>
      <w:r>
        <w:rPr>
          <w:rFonts w:hint="eastAsia" w:ascii="宋体" w:hAnsi="宋体" w:eastAsia="宋体" w:cs="宋体"/>
          <w:spacing w:val="14"/>
          <w:kern w:val="0"/>
          <w:sz w:val="24"/>
          <w:szCs w:val="24"/>
          <w:highlight w:val="none"/>
          <w:u w:val="single"/>
        </w:rPr>
        <w:t>（标的名称）</w:t>
      </w:r>
      <w:r>
        <w:rPr>
          <w:rFonts w:hint="eastAsia" w:ascii="宋体" w:hAnsi="宋体" w:eastAsia="宋体" w:cs="宋体"/>
          <w:spacing w:val="14"/>
          <w:kern w:val="0"/>
          <w:sz w:val="24"/>
          <w:szCs w:val="24"/>
          <w:highlight w:val="none"/>
        </w:rPr>
        <w:t>，属于</w:t>
      </w:r>
      <w:r>
        <w:rPr>
          <w:rFonts w:hint="eastAsia" w:ascii="宋体" w:hAnsi="宋体" w:eastAsia="宋体" w:cs="宋体"/>
          <w:spacing w:val="14"/>
          <w:kern w:val="0"/>
          <w:sz w:val="24"/>
          <w:szCs w:val="24"/>
          <w:highlight w:val="none"/>
          <w:u w:val="single"/>
        </w:rPr>
        <w:t>（采购文件中明确的所属行业）</w:t>
      </w:r>
      <w:r>
        <w:rPr>
          <w:rFonts w:hint="eastAsia" w:ascii="宋体" w:hAnsi="宋体" w:eastAsia="宋体" w:cs="宋体"/>
          <w:spacing w:val="14"/>
          <w:kern w:val="0"/>
          <w:sz w:val="24"/>
          <w:szCs w:val="24"/>
          <w:highlight w:val="none"/>
        </w:rPr>
        <w:t>行业；制造商为</w:t>
      </w:r>
      <w:r>
        <w:rPr>
          <w:rFonts w:hint="eastAsia" w:ascii="宋体" w:hAnsi="宋体" w:eastAsia="宋体" w:cs="宋体"/>
          <w:spacing w:val="14"/>
          <w:kern w:val="0"/>
          <w:sz w:val="24"/>
          <w:szCs w:val="24"/>
          <w:highlight w:val="none"/>
          <w:u w:val="single"/>
        </w:rPr>
        <w:t xml:space="preserve"> （企业名称） </w:t>
      </w:r>
      <w:r>
        <w:rPr>
          <w:rFonts w:hint="eastAsia" w:ascii="宋体" w:hAnsi="宋体" w:eastAsia="宋体" w:cs="宋体"/>
          <w:spacing w:val="14"/>
          <w:kern w:val="0"/>
          <w:sz w:val="24"/>
          <w:szCs w:val="24"/>
          <w:highlight w:val="none"/>
        </w:rPr>
        <w:t>，从业人员</w:t>
      </w:r>
      <w:r>
        <w:rPr>
          <w:rFonts w:hint="eastAsia" w:ascii="宋体" w:hAnsi="宋体" w:eastAsia="宋体" w:cs="宋体"/>
          <w:spacing w:val="14"/>
          <w:kern w:val="0"/>
          <w:sz w:val="24"/>
          <w:szCs w:val="24"/>
          <w:highlight w:val="none"/>
          <w:u w:val="single"/>
        </w:rPr>
        <w:t xml:space="preserve">    </w:t>
      </w:r>
      <w:r>
        <w:rPr>
          <w:rFonts w:hint="eastAsia" w:ascii="宋体" w:hAnsi="宋体" w:eastAsia="宋体" w:cs="宋体"/>
          <w:spacing w:val="14"/>
          <w:kern w:val="0"/>
          <w:sz w:val="24"/>
          <w:szCs w:val="24"/>
          <w:highlight w:val="none"/>
        </w:rPr>
        <w:t>人，营业收入为</w:t>
      </w:r>
      <w:r>
        <w:rPr>
          <w:rFonts w:hint="eastAsia" w:ascii="宋体" w:hAnsi="宋体" w:eastAsia="宋体" w:cs="宋体"/>
          <w:spacing w:val="14"/>
          <w:kern w:val="0"/>
          <w:sz w:val="24"/>
          <w:szCs w:val="24"/>
          <w:highlight w:val="none"/>
          <w:u w:val="single"/>
        </w:rPr>
        <w:t xml:space="preserve">     </w:t>
      </w:r>
      <w:r>
        <w:rPr>
          <w:rFonts w:hint="eastAsia" w:ascii="宋体" w:hAnsi="宋体" w:eastAsia="宋体" w:cs="宋体"/>
          <w:spacing w:val="14"/>
          <w:kern w:val="0"/>
          <w:sz w:val="24"/>
          <w:szCs w:val="24"/>
          <w:highlight w:val="none"/>
        </w:rPr>
        <w:t>万元，资产总额为</w:t>
      </w:r>
      <w:r>
        <w:rPr>
          <w:rFonts w:hint="eastAsia" w:ascii="宋体" w:hAnsi="宋体" w:eastAsia="宋体" w:cs="宋体"/>
          <w:spacing w:val="14"/>
          <w:kern w:val="0"/>
          <w:sz w:val="24"/>
          <w:szCs w:val="24"/>
          <w:highlight w:val="none"/>
          <w:u w:val="single"/>
        </w:rPr>
        <w:t xml:space="preserve">     </w:t>
      </w:r>
      <w:r>
        <w:rPr>
          <w:rFonts w:hint="eastAsia" w:ascii="宋体" w:hAnsi="宋体" w:eastAsia="宋体" w:cs="宋体"/>
          <w:spacing w:val="14"/>
          <w:kern w:val="0"/>
          <w:sz w:val="24"/>
          <w:szCs w:val="24"/>
          <w:highlight w:val="none"/>
        </w:rPr>
        <w:t>万元，属于</w:t>
      </w:r>
      <w:r>
        <w:rPr>
          <w:rFonts w:hint="eastAsia" w:ascii="宋体" w:hAnsi="宋体" w:eastAsia="宋体" w:cs="宋体"/>
          <w:spacing w:val="14"/>
          <w:kern w:val="0"/>
          <w:sz w:val="24"/>
          <w:szCs w:val="24"/>
          <w:highlight w:val="none"/>
          <w:u w:val="single"/>
        </w:rPr>
        <w:t>（中型企业、小型企业、微型企业）</w:t>
      </w:r>
      <w:r>
        <w:rPr>
          <w:rFonts w:hint="eastAsia" w:ascii="宋体" w:hAnsi="宋体" w:eastAsia="宋体" w:cs="宋体"/>
          <w:spacing w:val="14"/>
          <w:kern w:val="0"/>
          <w:sz w:val="24"/>
          <w:szCs w:val="24"/>
          <w:highlight w:val="none"/>
        </w:rPr>
        <w:t>；</w:t>
      </w:r>
    </w:p>
    <w:p>
      <w:pPr>
        <w:pStyle w:val="73"/>
        <w:spacing w:line="360" w:lineRule="auto"/>
        <w:ind w:firstLine="420"/>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73"/>
        <w:spacing w:line="360" w:lineRule="auto"/>
        <w:ind w:firstLine="420"/>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以上企业，不属于大企业的分支机构，不存在控股股东为大企业的情形，也不存在与大企业的负责人为同一人的情形。</w:t>
      </w:r>
    </w:p>
    <w:p>
      <w:pPr>
        <w:pStyle w:val="73"/>
        <w:spacing w:line="360" w:lineRule="auto"/>
        <w:ind w:firstLine="420"/>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本企业对上述声明内容的真实性负责。如有虚假，将依法承担相应责任。</w:t>
      </w:r>
    </w:p>
    <w:p>
      <w:pPr>
        <w:pStyle w:val="73"/>
        <w:spacing w:line="360" w:lineRule="auto"/>
        <w:ind w:firstLine="420"/>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企业名称（盖章）：</w:t>
      </w:r>
    </w:p>
    <w:p>
      <w:pPr>
        <w:pStyle w:val="73"/>
        <w:spacing w:line="360" w:lineRule="auto"/>
        <w:ind w:firstLine="420"/>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日期：</w:t>
      </w:r>
    </w:p>
    <w:p>
      <w:pPr>
        <w:pStyle w:val="73"/>
        <w:spacing w:line="360" w:lineRule="auto"/>
        <w:ind w:firstLine="420"/>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¹从业人员、营业收入、资产总额填报上一年度数据，无上一年度数据的新成立企业可不填报。</w:t>
      </w:r>
    </w:p>
    <w:p>
      <w:pPr>
        <w:pStyle w:val="7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62" w:name="_Toc256000123"/>
      <w:r>
        <w:rPr>
          <w:rFonts w:hint="eastAsia" w:ascii="宋体" w:hAnsi="宋体" w:eastAsia="宋体" w:cs="宋体"/>
          <w:sz w:val="24"/>
          <w:szCs w:val="24"/>
          <w:highlight w:val="none"/>
        </w:rPr>
        <w:t>九、残疾人福利性单位声明函</w:t>
      </w:r>
      <w:bookmarkEnd w:id="162"/>
    </w:p>
    <w:p>
      <w:pPr>
        <w:pStyle w:val="76"/>
        <w:spacing w:line="360" w:lineRule="auto"/>
        <w:jc w:val="center"/>
        <w:outlineLvl w:val="9"/>
        <w:rPr>
          <w:rFonts w:hint="eastAsia" w:ascii="宋体" w:hAnsi="宋体" w:eastAsia="宋体" w:cs="宋体"/>
          <w:b/>
          <w:spacing w:val="14"/>
          <w:kern w:val="0"/>
          <w:sz w:val="24"/>
          <w:szCs w:val="24"/>
          <w:highlight w:val="none"/>
        </w:rPr>
      </w:pPr>
      <w:r>
        <w:rPr>
          <w:rFonts w:hint="eastAsia" w:ascii="宋体" w:hAnsi="宋体" w:eastAsia="宋体" w:cs="宋体"/>
          <w:b/>
          <w:spacing w:val="14"/>
          <w:kern w:val="0"/>
          <w:sz w:val="24"/>
          <w:szCs w:val="24"/>
          <w:highlight w:val="none"/>
        </w:rPr>
        <w:t>残疾人福利性单位声明函</w:t>
      </w:r>
    </w:p>
    <w:p>
      <w:pPr>
        <w:pStyle w:val="76"/>
        <w:spacing w:line="360" w:lineRule="auto"/>
        <w:jc w:val="center"/>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76"/>
        <w:spacing w:line="360" w:lineRule="auto"/>
        <w:ind w:firstLine="420"/>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本单位郑重声明，根据《财政部 民政部 中国残疾人联合会关于促进残疾人就业政府采购政策的通知》（财库〔2017〕 141号）的规定，本单位为符合条件的残疾人福利性单位，且本单位参加__________________单位的________________________项目采购活动提供本单位制造的货物（由本单位承担工程/提供服务），或者提供其他残疾人福利性单位制造的货物（不包括使用非残疾人福利性单位注册商标的货物）。</w:t>
      </w:r>
    </w:p>
    <w:p>
      <w:pPr>
        <w:pStyle w:val="76"/>
        <w:spacing w:line="360" w:lineRule="auto"/>
        <w:ind w:firstLine="420"/>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本单位对上述声明的真实性负责。如有虚假，将依法承担相应责任。</w:t>
      </w:r>
    </w:p>
    <w:p>
      <w:pPr>
        <w:pStyle w:val="76"/>
        <w:spacing w:line="360" w:lineRule="auto"/>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76"/>
        <w:spacing w:line="360" w:lineRule="auto"/>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76"/>
        <w:spacing w:line="360" w:lineRule="auto"/>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供应商（企业电子章）：</w:t>
      </w:r>
    </w:p>
    <w:p>
      <w:pPr>
        <w:pStyle w:val="78"/>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63" w:name="_Toc256000124"/>
      <w:r>
        <w:rPr>
          <w:rFonts w:hint="eastAsia" w:ascii="宋体" w:hAnsi="宋体" w:eastAsia="宋体" w:cs="宋体"/>
          <w:sz w:val="24"/>
          <w:szCs w:val="24"/>
          <w:highlight w:val="none"/>
        </w:rPr>
        <w:t>十、监狱企业证明文件</w:t>
      </w:r>
      <w:bookmarkEnd w:id="163"/>
    </w:p>
    <w:p>
      <w:pPr>
        <w:pStyle w:val="79"/>
        <w:jc w:val="center"/>
        <w:outlineLvl w:val="9"/>
        <w:rPr>
          <w:rFonts w:hint="eastAsia" w:ascii="宋体" w:hAnsi="宋体" w:eastAsia="宋体" w:cs="宋体"/>
          <w:b/>
          <w:spacing w:val="14"/>
          <w:kern w:val="0"/>
          <w:sz w:val="24"/>
          <w:szCs w:val="24"/>
          <w:highlight w:val="none"/>
        </w:rPr>
      </w:pPr>
      <w:r>
        <w:rPr>
          <w:rFonts w:hint="eastAsia" w:ascii="宋体" w:hAnsi="宋体" w:eastAsia="宋体" w:cs="宋体"/>
          <w:b/>
          <w:spacing w:val="14"/>
          <w:kern w:val="0"/>
          <w:sz w:val="24"/>
          <w:szCs w:val="24"/>
          <w:highlight w:val="none"/>
        </w:rPr>
        <w:t>监狱企业证明文件</w:t>
      </w:r>
    </w:p>
    <w:p>
      <w:pPr>
        <w:pStyle w:val="79"/>
        <w:jc w:val="center"/>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79"/>
        <w:spacing w:line="360" w:lineRule="auto"/>
        <w:ind w:firstLine="420"/>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（监狱企业参加政府采购活动时，应当提供由省级以上监狱管理局、戒毒管理局(含新疆生产建设兵团)出具的属于监狱企业的证明文件。</w:t>
      </w:r>
    </w:p>
    <w:p>
      <w:pPr>
        <w:pStyle w:val="79"/>
        <w:spacing w:line="360" w:lineRule="auto"/>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79"/>
        <w:spacing w:line="360" w:lineRule="auto"/>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79"/>
        <w:spacing w:line="360" w:lineRule="auto"/>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注：在投标文件中附扫描件</w:t>
      </w:r>
    </w:p>
    <w:p>
      <w:pPr>
        <w:pStyle w:val="81"/>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64" w:name="_Toc256000125"/>
      <w:r>
        <w:rPr>
          <w:rFonts w:hint="eastAsia" w:ascii="宋体" w:hAnsi="宋体" w:eastAsia="宋体" w:cs="宋体"/>
          <w:sz w:val="24"/>
          <w:szCs w:val="24"/>
          <w:highlight w:val="none"/>
        </w:rPr>
        <w:t>十一、技术要求响应与偏差表</w:t>
      </w:r>
      <w:bookmarkEnd w:id="164"/>
    </w:p>
    <w:p>
      <w:pPr>
        <w:pStyle w:val="82"/>
        <w:spacing w:line="360" w:lineRule="auto"/>
        <w:jc w:val="center"/>
        <w:outlineLvl w:val="9"/>
        <w:rPr>
          <w:rFonts w:hint="eastAsia" w:ascii="宋体" w:hAnsi="宋体" w:eastAsia="宋体" w:cs="宋体"/>
          <w:b/>
          <w:spacing w:val="14"/>
          <w:kern w:val="0"/>
          <w:sz w:val="24"/>
          <w:szCs w:val="24"/>
          <w:highlight w:val="none"/>
        </w:rPr>
      </w:pPr>
      <w:r>
        <w:rPr>
          <w:rFonts w:hint="eastAsia" w:ascii="宋体" w:hAnsi="宋体" w:eastAsia="宋体" w:cs="宋体"/>
          <w:b/>
          <w:spacing w:val="14"/>
          <w:kern w:val="0"/>
          <w:sz w:val="24"/>
          <w:szCs w:val="24"/>
          <w:highlight w:val="none"/>
        </w:rPr>
        <w:t>技术要求响应与偏差表</w:t>
      </w:r>
    </w:p>
    <w:p>
      <w:pPr>
        <w:pStyle w:val="82"/>
        <w:widowControl/>
        <w:spacing w:line="360" w:lineRule="auto"/>
        <w:jc w:val="center"/>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tbl>
      <w:tblPr>
        <w:tblStyle w:val="6"/>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174"/>
        <w:gridCol w:w="1134"/>
        <w:gridCol w:w="993"/>
        <w:gridCol w:w="850"/>
        <w:gridCol w:w="2126"/>
        <w:gridCol w:w="1418"/>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restart"/>
            <w:tcBorders>
              <w:top w:val="single" w:color="auto" w:sz="4" w:space="0"/>
              <w:left w:val="single" w:color="auto" w:sz="4" w:space="0"/>
              <w:bottom w:val="single" w:color="auto" w:sz="4" w:space="0"/>
              <w:right w:val="single" w:color="auto" w:sz="4" w:space="0"/>
            </w:tcBorders>
            <w:noWrap w:val="0"/>
            <w:vAlign w:val="center"/>
          </w:tcPr>
          <w:p>
            <w:pPr>
              <w:pStyle w:val="82"/>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序号</w:t>
            </w:r>
          </w:p>
        </w:tc>
        <w:tc>
          <w:tcPr>
            <w:tcW w:w="1174" w:type="dxa"/>
            <w:vMerge w:val="restart"/>
            <w:tcBorders>
              <w:top w:val="single" w:color="auto" w:sz="4" w:space="0"/>
              <w:left w:val="nil"/>
              <w:bottom w:val="single" w:color="auto" w:sz="4" w:space="0"/>
              <w:right w:val="single" w:color="auto" w:sz="4" w:space="0"/>
            </w:tcBorders>
            <w:noWrap w:val="0"/>
            <w:vAlign w:val="center"/>
          </w:tcPr>
          <w:p>
            <w:pPr>
              <w:pStyle w:val="82"/>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货物名称</w:t>
            </w:r>
          </w:p>
        </w:tc>
        <w:tc>
          <w:tcPr>
            <w:tcW w:w="1134" w:type="dxa"/>
            <w:vMerge w:val="restart"/>
            <w:tcBorders>
              <w:top w:val="single" w:color="auto" w:sz="4" w:space="0"/>
              <w:left w:val="nil"/>
              <w:bottom w:val="single" w:color="auto" w:sz="4" w:space="0"/>
              <w:right w:val="single" w:color="auto" w:sz="4" w:space="0"/>
            </w:tcBorders>
            <w:noWrap w:val="0"/>
            <w:vAlign w:val="center"/>
          </w:tcPr>
          <w:p>
            <w:pPr>
              <w:pStyle w:val="82"/>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招标文件技术要求技术参数</w:t>
            </w:r>
          </w:p>
        </w:tc>
        <w:tc>
          <w:tcPr>
            <w:tcW w:w="3969" w:type="dxa"/>
            <w:gridSpan w:val="3"/>
            <w:tcBorders>
              <w:top w:val="single" w:color="auto" w:sz="4" w:space="0"/>
              <w:left w:val="nil"/>
              <w:bottom w:val="single" w:color="auto" w:sz="4" w:space="0"/>
              <w:right w:val="single" w:color="auto" w:sz="4" w:space="0"/>
            </w:tcBorders>
            <w:noWrap w:val="0"/>
            <w:vAlign w:val="center"/>
          </w:tcPr>
          <w:p>
            <w:pPr>
              <w:pStyle w:val="82"/>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投标产品</w:t>
            </w:r>
          </w:p>
        </w:tc>
        <w:tc>
          <w:tcPr>
            <w:tcW w:w="1418" w:type="dxa"/>
            <w:vMerge w:val="restart"/>
            <w:tcBorders>
              <w:top w:val="single" w:color="auto" w:sz="4" w:space="0"/>
              <w:left w:val="nil"/>
              <w:bottom w:val="single" w:color="auto" w:sz="4" w:space="0"/>
              <w:right w:val="single" w:color="auto" w:sz="4" w:space="0"/>
            </w:tcBorders>
            <w:noWrap w:val="0"/>
            <w:vAlign w:val="center"/>
          </w:tcPr>
          <w:p>
            <w:pPr>
              <w:pStyle w:val="82"/>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偏差描述</w:t>
            </w:r>
          </w:p>
        </w:tc>
        <w:tc>
          <w:tcPr>
            <w:tcW w:w="850" w:type="dxa"/>
            <w:vMerge w:val="restart"/>
            <w:tcBorders>
              <w:top w:val="single" w:color="auto" w:sz="4" w:space="0"/>
              <w:left w:val="nil"/>
              <w:bottom w:val="single" w:color="auto" w:sz="4" w:space="0"/>
              <w:right w:val="single" w:color="auto" w:sz="4" w:space="0"/>
            </w:tcBorders>
            <w:noWrap w:val="0"/>
            <w:vAlign w:val="center"/>
          </w:tcPr>
          <w:p>
            <w:pPr>
              <w:pStyle w:val="82"/>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pStyle w:val="83"/>
              <w:widowControl/>
              <w:spacing w:line="360" w:lineRule="auto"/>
              <w:jc w:val="left"/>
              <w:outlineLvl w:val="9"/>
              <w:rPr>
                <w:rFonts w:hint="eastAsia" w:ascii="宋体" w:hAnsi="宋体" w:eastAsia="宋体" w:cs="宋体"/>
                <w:kern w:val="0"/>
                <w:sz w:val="24"/>
                <w:szCs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pStyle w:val="83"/>
              <w:widowControl/>
              <w:spacing w:line="360" w:lineRule="auto"/>
              <w:jc w:val="left"/>
              <w:outlineLvl w:val="9"/>
              <w:rPr>
                <w:rFonts w:hint="eastAsia" w:ascii="宋体" w:hAnsi="宋体" w:eastAsia="宋体" w:cs="宋体"/>
                <w:kern w:val="0"/>
                <w:sz w:val="24"/>
                <w:szCs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pStyle w:val="83"/>
              <w:widowControl/>
              <w:spacing w:line="360" w:lineRule="auto"/>
              <w:jc w:val="left"/>
              <w:outlineLvl w:val="9"/>
              <w:rPr>
                <w:rFonts w:hint="eastAsia" w:ascii="宋体" w:hAnsi="宋体" w:eastAsia="宋体" w:cs="宋体"/>
                <w:kern w:val="0"/>
                <w:sz w:val="24"/>
                <w:szCs w:val="24"/>
                <w:highlight w:val="none"/>
              </w:rPr>
            </w:pPr>
          </w:p>
        </w:tc>
        <w:tc>
          <w:tcPr>
            <w:tcW w:w="993" w:type="dxa"/>
            <w:tcBorders>
              <w:top w:val="single" w:color="auto" w:sz="4" w:space="0"/>
              <w:left w:val="nil"/>
              <w:bottom w:val="single" w:color="auto" w:sz="4" w:space="0"/>
              <w:right w:val="single" w:color="auto" w:sz="4" w:space="0"/>
            </w:tcBorders>
            <w:noWrap w:val="0"/>
            <w:vAlign w:val="center"/>
          </w:tcPr>
          <w:p>
            <w:pPr>
              <w:pStyle w:val="82"/>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制造商名称</w:t>
            </w:r>
          </w:p>
        </w:tc>
        <w:tc>
          <w:tcPr>
            <w:tcW w:w="850" w:type="dxa"/>
            <w:tcBorders>
              <w:top w:val="single" w:color="auto" w:sz="4" w:space="0"/>
              <w:left w:val="nil"/>
              <w:bottom w:val="single" w:color="auto" w:sz="4" w:space="0"/>
              <w:right w:val="single" w:color="auto" w:sz="4" w:space="0"/>
            </w:tcBorders>
            <w:noWrap w:val="0"/>
            <w:vAlign w:val="center"/>
          </w:tcPr>
          <w:p>
            <w:pPr>
              <w:pStyle w:val="82"/>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品牌规格型号</w:t>
            </w:r>
          </w:p>
        </w:tc>
        <w:tc>
          <w:tcPr>
            <w:tcW w:w="2126" w:type="dxa"/>
            <w:tcBorders>
              <w:top w:val="single" w:color="auto" w:sz="4" w:space="0"/>
              <w:left w:val="nil"/>
              <w:bottom w:val="single" w:color="auto" w:sz="4" w:space="0"/>
              <w:right w:val="single" w:color="auto" w:sz="4" w:space="0"/>
            </w:tcBorders>
            <w:noWrap w:val="0"/>
            <w:vAlign w:val="center"/>
          </w:tcPr>
          <w:p>
            <w:pPr>
              <w:pStyle w:val="82"/>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产品实际技术参数</w:t>
            </w:r>
          </w:p>
        </w:tc>
        <w:tc>
          <w:tcPr>
            <w:tcW w:w="0" w:type="auto"/>
            <w:vMerge w:val="continue"/>
            <w:tcBorders>
              <w:top w:val="single" w:color="auto" w:sz="4" w:space="0"/>
              <w:left w:val="nil"/>
              <w:bottom w:val="single" w:color="auto" w:sz="4" w:space="0"/>
              <w:right w:val="single" w:color="auto" w:sz="4" w:space="0"/>
            </w:tcBorders>
            <w:noWrap w:val="0"/>
            <w:vAlign w:val="center"/>
          </w:tcPr>
          <w:p>
            <w:pPr>
              <w:pStyle w:val="83"/>
              <w:widowControl/>
              <w:spacing w:line="360" w:lineRule="auto"/>
              <w:jc w:val="left"/>
              <w:outlineLvl w:val="9"/>
              <w:rPr>
                <w:rFonts w:hint="eastAsia" w:ascii="宋体" w:hAnsi="宋体" w:eastAsia="宋体" w:cs="宋体"/>
                <w:kern w:val="0"/>
                <w:sz w:val="24"/>
                <w:szCs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pStyle w:val="83"/>
              <w:widowControl/>
              <w:spacing w:line="360" w:lineRule="auto"/>
              <w:jc w:val="left"/>
              <w:outlineLvl w:val="9"/>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tcBorders>
              <w:top w:val="single" w:color="auto" w:sz="4" w:space="0"/>
              <w:left w:val="single" w:color="auto" w:sz="4" w:space="0"/>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1174"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1134"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993"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2126"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tcBorders>
              <w:top w:val="single" w:color="auto" w:sz="4" w:space="0"/>
              <w:left w:val="single" w:color="auto" w:sz="4" w:space="0"/>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1174"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1134"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993"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2126"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tcBorders>
              <w:top w:val="single" w:color="auto" w:sz="4" w:space="0"/>
              <w:left w:val="single" w:color="auto" w:sz="4" w:space="0"/>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1174"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1134"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993"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2126"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tcBorders>
              <w:top w:val="single" w:color="auto" w:sz="4" w:space="0"/>
              <w:left w:val="single" w:color="auto" w:sz="4" w:space="0"/>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1174"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1134"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993"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2126"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pStyle w:val="82"/>
              <w:spacing w:line="360" w:lineRule="auto"/>
              <w:outlineLvl w:val="9"/>
              <w:rPr>
                <w:rFonts w:hint="eastAsia" w:ascii="宋体" w:hAnsi="宋体" w:eastAsia="宋体" w:cs="宋体"/>
                <w:kern w:val="0"/>
                <w:sz w:val="24"/>
                <w:szCs w:val="24"/>
                <w:highlight w:val="none"/>
              </w:rPr>
            </w:pPr>
          </w:p>
        </w:tc>
      </w:tr>
    </w:tbl>
    <w:p>
      <w:pPr>
        <w:pStyle w:val="82"/>
        <w:widowControl/>
        <w:spacing w:line="360" w:lineRule="auto"/>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供应商（企业电子章）：                                           </w:t>
      </w:r>
    </w:p>
    <w:p>
      <w:pPr>
        <w:pStyle w:val="82"/>
        <w:widowControl/>
        <w:spacing w:line="360" w:lineRule="auto"/>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注：</w:t>
      </w:r>
    </w:p>
    <w:p>
      <w:pPr>
        <w:pStyle w:val="82"/>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1、供应商应根据招标要求逐条逐项表述说明投标响应情况。</w:t>
      </w:r>
    </w:p>
    <w:p>
      <w:pPr>
        <w:pStyle w:val="82"/>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2、供应商提交的投标文件中的技术参数与招标文件的技术要求、技术参数不同时，应逐条逐项如实填列在偏离表中。供应商不如实填写偏离情况、存在弄虚作假行为的，将依法承担相应的法律责任。</w:t>
      </w:r>
    </w:p>
    <w:p>
      <w:pPr>
        <w:pStyle w:val="82"/>
        <w:widowControl/>
        <w:spacing w:line="360" w:lineRule="auto"/>
        <w:ind w:firstLine="482"/>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3、供应商应结合所投产品说明或描述其实际技术参数和性能。如果完全复制粘贴本招标文件《招标货物清单及技术要求》之技术参数和性能描述，或者只注明“符合”、“满足”等类似无具体内容的表述，因此而产生的不利于供应商的评审风险由供应商自行承担。</w:t>
      </w:r>
    </w:p>
    <w:p>
      <w:pPr>
        <w:pStyle w:val="84"/>
        <w:spacing w:line="360" w:lineRule="auto"/>
        <w:outlineLvl w:val="9"/>
        <w:rPr>
          <w:rFonts w:hint="eastAsia" w:ascii="宋体" w:hAnsi="宋体" w:eastAsia="宋体" w:cs="宋体"/>
          <w:sz w:val="24"/>
          <w:szCs w:val="24"/>
          <w:highlight w:val="none"/>
        </w:rPr>
      </w:pPr>
      <w:r>
        <w:rPr>
          <w:rFonts w:hint="eastAsia" w:ascii="宋体" w:hAnsi="宋体" w:eastAsia="宋体" w:cs="宋体"/>
          <w:spacing w:val="14"/>
          <w:kern w:val="0"/>
          <w:sz w:val="24"/>
          <w:szCs w:val="24"/>
          <w:highlight w:val="none"/>
        </w:rPr>
        <w:t>4、供应商可根据需要自行增减表格行数。</w:t>
      </w:r>
    </w:p>
    <w:p>
      <w:pPr>
        <w:pStyle w:val="8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65" w:name="_Toc256000126"/>
      <w:r>
        <w:rPr>
          <w:rFonts w:hint="eastAsia" w:ascii="宋体" w:hAnsi="宋体" w:eastAsia="宋体" w:cs="宋体"/>
          <w:sz w:val="24"/>
          <w:szCs w:val="24"/>
          <w:highlight w:val="none"/>
        </w:rPr>
        <w:t>十二、商务要求响应与偏差表</w:t>
      </w:r>
      <w:bookmarkEnd w:id="165"/>
    </w:p>
    <w:p>
      <w:pPr>
        <w:pStyle w:val="86"/>
        <w:jc w:val="center"/>
        <w:outlineLvl w:val="9"/>
        <w:rPr>
          <w:rFonts w:hint="eastAsia" w:ascii="宋体" w:hAnsi="宋体" w:eastAsia="宋体" w:cs="宋体"/>
          <w:b/>
          <w:spacing w:val="14"/>
          <w:kern w:val="0"/>
          <w:sz w:val="24"/>
          <w:szCs w:val="24"/>
          <w:highlight w:val="none"/>
        </w:rPr>
      </w:pPr>
      <w:r>
        <w:rPr>
          <w:rFonts w:hint="eastAsia" w:ascii="宋体" w:hAnsi="宋体" w:eastAsia="宋体" w:cs="宋体"/>
          <w:b/>
          <w:spacing w:val="14"/>
          <w:kern w:val="0"/>
          <w:sz w:val="24"/>
          <w:szCs w:val="24"/>
          <w:highlight w:val="none"/>
        </w:rPr>
        <w:t>商务要求响应与偏差表</w:t>
      </w:r>
    </w:p>
    <w:p>
      <w:pPr>
        <w:pStyle w:val="86"/>
        <w:widowControl/>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w:t>
      </w:r>
    </w:p>
    <w:tbl>
      <w:tblPr>
        <w:tblStyle w:val="6"/>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3742"/>
        <w:gridCol w:w="3260"/>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pStyle w:val="86"/>
              <w:widowControl/>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序号</w:t>
            </w:r>
          </w:p>
        </w:tc>
        <w:tc>
          <w:tcPr>
            <w:tcW w:w="3742" w:type="dxa"/>
            <w:tcBorders>
              <w:top w:val="single" w:color="auto" w:sz="4" w:space="0"/>
              <w:left w:val="nil"/>
              <w:bottom w:val="single" w:color="auto" w:sz="4" w:space="0"/>
              <w:right w:val="single" w:color="auto" w:sz="4" w:space="0"/>
            </w:tcBorders>
            <w:noWrap w:val="0"/>
            <w:vAlign w:val="center"/>
          </w:tcPr>
          <w:p>
            <w:pPr>
              <w:pStyle w:val="86"/>
              <w:widowControl/>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招标文件商务要求</w:t>
            </w:r>
          </w:p>
        </w:tc>
        <w:tc>
          <w:tcPr>
            <w:tcW w:w="3260" w:type="dxa"/>
            <w:tcBorders>
              <w:top w:val="single" w:color="auto" w:sz="4" w:space="0"/>
              <w:left w:val="nil"/>
              <w:bottom w:val="single" w:color="auto" w:sz="4" w:space="0"/>
              <w:right w:val="single" w:color="auto" w:sz="4" w:space="0"/>
            </w:tcBorders>
            <w:noWrap w:val="0"/>
            <w:vAlign w:val="center"/>
          </w:tcPr>
          <w:p>
            <w:pPr>
              <w:pStyle w:val="86"/>
              <w:widowControl/>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供应商响应具体内容</w:t>
            </w:r>
          </w:p>
        </w:tc>
        <w:tc>
          <w:tcPr>
            <w:tcW w:w="1199" w:type="dxa"/>
            <w:tcBorders>
              <w:top w:val="single" w:color="auto" w:sz="4" w:space="0"/>
              <w:left w:val="nil"/>
              <w:bottom w:val="single" w:color="auto" w:sz="4" w:space="0"/>
              <w:right w:val="single" w:color="auto" w:sz="4" w:space="0"/>
            </w:tcBorders>
            <w:noWrap w:val="0"/>
            <w:vAlign w:val="center"/>
          </w:tcPr>
          <w:p>
            <w:pPr>
              <w:pStyle w:val="86"/>
              <w:widowControl/>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pStyle w:val="86"/>
              <w:widowControl/>
              <w:jc w:val="center"/>
              <w:outlineLvl w:val="9"/>
              <w:rPr>
                <w:rFonts w:hint="eastAsia" w:ascii="宋体" w:hAnsi="宋体" w:eastAsia="宋体" w:cs="宋体"/>
                <w:kern w:val="0"/>
                <w:sz w:val="24"/>
                <w:szCs w:val="24"/>
                <w:highlight w:val="none"/>
              </w:rPr>
            </w:pPr>
          </w:p>
        </w:tc>
        <w:tc>
          <w:tcPr>
            <w:tcW w:w="3742" w:type="dxa"/>
            <w:tcBorders>
              <w:top w:val="single" w:color="auto" w:sz="4" w:space="0"/>
              <w:left w:val="nil"/>
              <w:bottom w:val="single" w:color="auto" w:sz="4" w:space="0"/>
              <w:right w:val="single" w:color="auto" w:sz="4" w:space="0"/>
            </w:tcBorders>
            <w:noWrap w:val="0"/>
            <w:vAlign w:val="center"/>
          </w:tcPr>
          <w:p>
            <w:pPr>
              <w:pStyle w:val="86"/>
              <w:widowControl/>
              <w:jc w:val="left"/>
              <w:outlineLvl w:val="9"/>
              <w:rPr>
                <w:rFonts w:hint="eastAsia" w:ascii="宋体" w:hAnsi="宋体" w:eastAsia="宋体" w:cs="宋体"/>
                <w:kern w:val="0"/>
                <w:sz w:val="24"/>
                <w:szCs w:val="24"/>
                <w:highlight w:val="none"/>
              </w:rPr>
            </w:pPr>
          </w:p>
        </w:tc>
        <w:tc>
          <w:tcPr>
            <w:tcW w:w="3260" w:type="dxa"/>
            <w:tcBorders>
              <w:top w:val="single" w:color="auto" w:sz="4" w:space="0"/>
              <w:left w:val="nil"/>
              <w:bottom w:val="single" w:color="auto" w:sz="4" w:space="0"/>
              <w:right w:val="single" w:color="auto" w:sz="4" w:space="0"/>
            </w:tcBorders>
            <w:noWrap w:val="0"/>
            <w:vAlign w:val="center"/>
          </w:tcPr>
          <w:p>
            <w:pPr>
              <w:pStyle w:val="86"/>
              <w:widowControl/>
              <w:jc w:val="left"/>
              <w:outlineLvl w:val="9"/>
              <w:rPr>
                <w:rFonts w:hint="eastAsia" w:ascii="宋体" w:hAnsi="宋体" w:eastAsia="宋体" w:cs="宋体"/>
                <w:kern w:val="0"/>
                <w:sz w:val="24"/>
                <w:szCs w:val="24"/>
                <w:highlight w:val="none"/>
              </w:rPr>
            </w:pPr>
          </w:p>
        </w:tc>
        <w:tc>
          <w:tcPr>
            <w:tcW w:w="1199" w:type="dxa"/>
            <w:tcBorders>
              <w:top w:val="single" w:color="auto" w:sz="4" w:space="0"/>
              <w:left w:val="nil"/>
              <w:bottom w:val="single" w:color="auto" w:sz="4" w:space="0"/>
              <w:right w:val="single" w:color="auto" w:sz="4" w:space="0"/>
            </w:tcBorders>
            <w:noWrap w:val="0"/>
            <w:vAlign w:val="center"/>
          </w:tcPr>
          <w:p>
            <w:pPr>
              <w:pStyle w:val="86"/>
              <w:widowControl/>
              <w:jc w:val="left"/>
              <w:outlineLvl w:val="9"/>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pStyle w:val="86"/>
              <w:widowControl/>
              <w:jc w:val="center"/>
              <w:outlineLvl w:val="9"/>
              <w:rPr>
                <w:rFonts w:hint="eastAsia" w:ascii="宋体" w:hAnsi="宋体" w:eastAsia="宋体" w:cs="宋体"/>
                <w:kern w:val="0"/>
                <w:sz w:val="24"/>
                <w:szCs w:val="24"/>
                <w:highlight w:val="none"/>
              </w:rPr>
            </w:pPr>
          </w:p>
        </w:tc>
        <w:tc>
          <w:tcPr>
            <w:tcW w:w="3742" w:type="dxa"/>
            <w:tcBorders>
              <w:top w:val="single" w:color="auto" w:sz="4" w:space="0"/>
              <w:left w:val="nil"/>
              <w:bottom w:val="single" w:color="auto" w:sz="4" w:space="0"/>
              <w:right w:val="single" w:color="auto" w:sz="4" w:space="0"/>
            </w:tcBorders>
            <w:noWrap w:val="0"/>
            <w:vAlign w:val="center"/>
          </w:tcPr>
          <w:p>
            <w:pPr>
              <w:pStyle w:val="86"/>
              <w:widowControl/>
              <w:jc w:val="left"/>
              <w:outlineLvl w:val="9"/>
              <w:rPr>
                <w:rFonts w:hint="eastAsia" w:ascii="宋体" w:hAnsi="宋体" w:eastAsia="宋体" w:cs="宋体"/>
                <w:kern w:val="0"/>
                <w:sz w:val="24"/>
                <w:szCs w:val="24"/>
                <w:highlight w:val="none"/>
              </w:rPr>
            </w:pPr>
          </w:p>
        </w:tc>
        <w:tc>
          <w:tcPr>
            <w:tcW w:w="3260" w:type="dxa"/>
            <w:tcBorders>
              <w:top w:val="single" w:color="auto" w:sz="4" w:space="0"/>
              <w:left w:val="nil"/>
              <w:bottom w:val="single" w:color="auto" w:sz="4" w:space="0"/>
              <w:right w:val="single" w:color="auto" w:sz="4" w:space="0"/>
            </w:tcBorders>
            <w:noWrap w:val="0"/>
            <w:vAlign w:val="center"/>
          </w:tcPr>
          <w:p>
            <w:pPr>
              <w:pStyle w:val="86"/>
              <w:widowControl/>
              <w:jc w:val="left"/>
              <w:outlineLvl w:val="9"/>
              <w:rPr>
                <w:rFonts w:hint="eastAsia" w:ascii="宋体" w:hAnsi="宋体" w:eastAsia="宋体" w:cs="宋体"/>
                <w:kern w:val="0"/>
                <w:sz w:val="24"/>
                <w:szCs w:val="24"/>
                <w:highlight w:val="none"/>
              </w:rPr>
            </w:pPr>
          </w:p>
        </w:tc>
        <w:tc>
          <w:tcPr>
            <w:tcW w:w="1199" w:type="dxa"/>
            <w:tcBorders>
              <w:top w:val="single" w:color="auto" w:sz="4" w:space="0"/>
              <w:left w:val="nil"/>
              <w:bottom w:val="single" w:color="auto" w:sz="4" w:space="0"/>
              <w:right w:val="single" w:color="auto" w:sz="4" w:space="0"/>
            </w:tcBorders>
            <w:noWrap w:val="0"/>
            <w:vAlign w:val="center"/>
          </w:tcPr>
          <w:p>
            <w:pPr>
              <w:pStyle w:val="86"/>
              <w:widowControl/>
              <w:jc w:val="left"/>
              <w:outlineLvl w:val="9"/>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pStyle w:val="86"/>
              <w:widowControl/>
              <w:jc w:val="center"/>
              <w:outlineLvl w:val="9"/>
              <w:rPr>
                <w:rFonts w:hint="eastAsia" w:ascii="宋体" w:hAnsi="宋体" w:eastAsia="宋体" w:cs="宋体"/>
                <w:kern w:val="0"/>
                <w:sz w:val="24"/>
                <w:szCs w:val="24"/>
                <w:highlight w:val="none"/>
              </w:rPr>
            </w:pPr>
          </w:p>
        </w:tc>
        <w:tc>
          <w:tcPr>
            <w:tcW w:w="3742" w:type="dxa"/>
            <w:tcBorders>
              <w:top w:val="single" w:color="auto" w:sz="4" w:space="0"/>
              <w:left w:val="nil"/>
              <w:bottom w:val="single" w:color="auto" w:sz="4" w:space="0"/>
              <w:right w:val="single" w:color="auto" w:sz="4" w:space="0"/>
            </w:tcBorders>
            <w:noWrap w:val="0"/>
            <w:vAlign w:val="center"/>
          </w:tcPr>
          <w:p>
            <w:pPr>
              <w:pStyle w:val="86"/>
              <w:widowControl/>
              <w:jc w:val="left"/>
              <w:outlineLvl w:val="9"/>
              <w:rPr>
                <w:rFonts w:hint="eastAsia" w:ascii="宋体" w:hAnsi="宋体" w:eastAsia="宋体" w:cs="宋体"/>
                <w:kern w:val="0"/>
                <w:sz w:val="24"/>
                <w:szCs w:val="24"/>
                <w:highlight w:val="none"/>
              </w:rPr>
            </w:pPr>
          </w:p>
        </w:tc>
        <w:tc>
          <w:tcPr>
            <w:tcW w:w="3260" w:type="dxa"/>
            <w:tcBorders>
              <w:top w:val="single" w:color="auto" w:sz="4" w:space="0"/>
              <w:left w:val="nil"/>
              <w:bottom w:val="single" w:color="auto" w:sz="4" w:space="0"/>
              <w:right w:val="single" w:color="auto" w:sz="4" w:space="0"/>
            </w:tcBorders>
            <w:noWrap w:val="0"/>
            <w:vAlign w:val="center"/>
          </w:tcPr>
          <w:p>
            <w:pPr>
              <w:pStyle w:val="86"/>
              <w:widowControl/>
              <w:jc w:val="left"/>
              <w:outlineLvl w:val="9"/>
              <w:rPr>
                <w:rFonts w:hint="eastAsia" w:ascii="宋体" w:hAnsi="宋体" w:eastAsia="宋体" w:cs="宋体"/>
                <w:kern w:val="0"/>
                <w:sz w:val="24"/>
                <w:szCs w:val="24"/>
                <w:highlight w:val="none"/>
              </w:rPr>
            </w:pPr>
          </w:p>
        </w:tc>
        <w:tc>
          <w:tcPr>
            <w:tcW w:w="1199" w:type="dxa"/>
            <w:tcBorders>
              <w:top w:val="single" w:color="auto" w:sz="4" w:space="0"/>
              <w:left w:val="nil"/>
              <w:bottom w:val="single" w:color="auto" w:sz="4" w:space="0"/>
              <w:right w:val="single" w:color="auto" w:sz="4" w:space="0"/>
            </w:tcBorders>
            <w:noWrap w:val="0"/>
            <w:vAlign w:val="center"/>
          </w:tcPr>
          <w:p>
            <w:pPr>
              <w:pStyle w:val="86"/>
              <w:widowControl/>
              <w:jc w:val="left"/>
              <w:outlineLvl w:val="9"/>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pStyle w:val="86"/>
              <w:widowControl/>
              <w:jc w:val="center"/>
              <w:outlineLvl w:val="9"/>
              <w:rPr>
                <w:rFonts w:hint="eastAsia" w:ascii="宋体" w:hAnsi="宋体" w:eastAsia="宋体" w:cs="宋体"/>
                <w:kern w:val="0"/>
                <w:sz w:val="24"/>
                <w:szCs w:val="24"/>
                <w:highlight w:val="none"/>
              </w:rPr>
            </w:pPr>
          </w:p>
        </w:tc>
        <w:tc>
          <w:tcPr>
            <w:tcW w:w="3742" w:type="dxa"/>
            <w:tcBorders>
              <w:top w:val="single" w:color="auto" w:sz="4" w:space="0"/>
              <w:left w:val="nil"/>
              <w:bottom w:val="single" w:color="auto" w:sz="4" w:space="0"/>
              <w:right w:val="single" w:color="auto" w:sz="4" w:space="0"/>
            </w:tcBorders>
            <w:noWrap w:val="0"/>
            <w:vAlign w:val="center"/>
          </w:tcPr>
          <w:p>
            <w:pPr>
              <w:pStyle w:val="86"/>
              <w:widowControl/>
              <w:jc w:val="left"/>
              <w:outlineLvl w:val="9"/>
              <w:rPr>
                <w:rFonts w:hint="eastAsia" w:ascii="宋体" w:hAnsi="宋体" w:eastAsia="宋体" w:cs="宋体"/>
                <w:kern w:val="0"/>
                <w:sz w:val="24"/>
                <w:szCs w:val="24"/>
                <w:highlight w:val="none"/>
              </w:rPr>
            </w:pPr>
          </w:p>
        </w:tc>
        <w:tc>
          <w:tcPr>
            <w:tcW w:w="3260" w:type="dxa"/>
            <w:tcBorders>
              <w:top w:val="single" w:color="auto" w:sz="4" w:space="0"/>
              <w:left w:val="nil"/>
              <w:bottom w:val="single" w:color="auto" w:sz="4" w:space="0"/>
              <w:right w:val="single" w:color="auto" w:sz="4" w:space="0"/>
            </w:tcBorders>
            <w:noWrap w:val="0"/>
            <w:vAlign w:val="center"/>
          </w:tcPr>
          <w:p>
            <w:pPr>
              <w:pStyle w:val="86"/>
              <w:widowControl/>
              <w:jc w:val="left"/>
              <w:outlineLvl w:val="9"/>
              <w:rPr>
                <w:rFonts w:hint="eastAsia" w:ascii="宋体" w:hAnsi="宋体" w:eastAsia="宋体" w:cs="宋体"/>
                <w:kern w:val="0"/>
                <w:sz w:val="24"/>
                <w:szCs w:val="24"/>
                <w:highlight w:val="none"/>
              </w:rPr>
            </w:pPr>
          </w:p>
        </w:tc>
        <w:tc>
          <w:tcPr>
            <w:tcW w:w="1199" w:type="dxa"/>
            <w:tcBorders>
              <w:top w:val="single" w:color="auto" w:sz="4" w:space="0"/>
              <w:left w:val="nil"/>
              <w:bottom w:val="single" w:color="auto" w:sz="4" w:space="0"/>
              <w:right w:val="single" w:color="auto" w:sz="4" w:space="0"/>
            </w:tcBorders>
            <w:noWrap w:val="0"/>
            <w:vAlign w:val="center"/>
          </w:tcPr>
          <w:p>
            <w:pPr>
              <w:pStyle w:val="86"/>
              <w:widowControl/>
              <w:jc w:val="left"/>
              <w:outlineLvl w:val="9"/>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pStyle w:val="86"/>
              <w:widowControl/>
              <w:jc w:val="center"/>
              <w:outlineLvl w:val="9"/>
              <w:rPr>
                <w:rFonts w:hint="eastAsia" w:ascii="宋体" w:hAnsi="宋体" w:eastAsia="宋体" w:cs="宋体"/>
                <w:kern w:val="0"/>
                <w:sz w:val="24"/>
                <w:szCs w:val="24"/>
                <w:highlight w:val="none"/>
              </w:rPr>
            </w:pPr>
          </w:p>
        </w:tc>
        <w:tc>
          <w:tcPr>
            <w:tcW w:w="3742" w:type="dxa"/>
            <w:tcBorders>
              <w:top w:val="single" w:color="auto" w:sz="4" w:space="0"/>
              <w:left w:val="nil"/>
              <w:bottom w:val="single" w:color="auto" w:sz="4" w:space="0"/>
              <w:right w:val="single" w:color="auto" w:sz="4" w:space="0"/>
            </w:tcBorders>
            <w:noWrap w:val="0"/>
            <w:vAlign w:val="center"/>
          </w:tcPr>
          <w:p>
            <w:pPr>
              <w:pStyle w:val="86"/>
              <w:widowControl/>
              <w:jc w:val="left"/>
              <w:outlineLvl w:val="9"/>
              <w:rPr>
                <w:rFonts w:hint="eastAsia" w:ascii="宋体" w:hAnsi="宋体" w:eastAsia="宋体" w:cs="宋体"/>
                <w:kern w:val="0"/>
                <w:sz w:val="24"/>
                <w:szCs w:val="24"/>
                <w:highlight w:val="none"/>
              </w:rPr>
            </w:pPr>
          </w:p>
        </w:tc>
        <w:tc>
          <w:tcPr>
            <w:tcW w:w="3260" w:type="dxa"/>
            <w:tcBorders>
              <w:top w:val="single" w:color="auto" w:sz="4" w:space="0"/>
              <w:left w:val="nil"/>
              <w:bottom w:val="single" w:color="auto" w:sz="4" w:space="0"/>
              <w:right w:val="single" w:color="auto" w:sz="4" w:space="0"/>
            </w:tcBorders>
            <w:noWrap w:val="0"/>
            <w:vAlign w:val="center"/>
          </w:tcPr>
          <w:p>
            <w:pPr>
              <w:pStyle w:val="86"/>
              <w:widowControl/>
              <w:jc w:val="left"/>
              <w:outlineLvl w:val="9"/>
              <w:rPr>
                <w:rFonts w:hint="eastAsia" w:ascii="宋体" w:hAnsi="宋体" w:eastAsia="宋体" w:cs="宋体"/>
                <w:kern w:val="0"/>
                <w:sz w:val="24"/>
                <w:szCs w:val="24"/>
                <w:highlight w:val="none"/>
              </w:rPr>
            </w:pPr>
          </w:p>
        </w:tc>
        <w:tc>
          <w:tcPr>
            <w:tcW w:w="1199" w:type="dxa"/>
            <w:tcBorders>
              <w:top w:val="single" w:color="auto" w:sz="4" w:space="0"/>
              <w:left w:val="nil"/>
              <w:bottom w:val="single" w:color="auto" w:sz="4" w:space="0"/>
              <w:right w:val="single" w:color="auto" w:sz="4" w:space="0"/>
            </w:tcBorders>
            <w:noWrap w:val="0"/>
            <w:vAlign w:val="center"/>
          </w:tcPr>
          <w:p>
            <w:pPr>
              <w:pStyle w:val="86"/>
              <w:widowControl/>
              <w:jc w:val="left"/>
              <w:outlineLvl w:val="9"/>
              <w:rPr>
                <w:rFonts w:hint="eastAsia" w:ascii="宋体" w:hAnsi="宋体" w:eastAsia="宋体" w:cs="宋体"/>
                <w:kern w:val="0"/>
                <w:sz w:val="24"/>
                <w:szCs w:val="24"/>
                <w:highlight w:val="none"/>
              </w:rPr>
            </w:pPr>
          </w:p>
        </w:tc>
      </w:tr>
    </w:tbl>
    <w:p>
      <w:pPr>
        <w:pStyle w:val="86"/>
        <w:widowControl/>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w:t>
      </w:r>
    </w:p>
    <w:p>
      <w:pPr>
        <w:pStyle w:val="86"/>
        <w:widowControl/>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供应商保证：除本表列出的商务偏差外，供应商响应招标文件的全部商务要求。</w:t>
      </w:r>
    </w:p>
    <w:p>
      <w:pPr>
        <w:pStyle w:val="86"/>
        <w:widowControl/>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86"/>
        <w:widowControl/>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供应商（企业电子章）：                                            </w:t>
      </w:r>
    </w:p>
    <w:p>
      <w:pPr>
        <w:pStyle w:val="86"/>
        <w:widowControl/>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 xml:space="preserve"> </w:t>
      </w:r>
    </w:p>
    <w:p>
      <w:pPr>
        <w:pStyle w:val="86"/>
        <w:widowControl/>
        <w:outlineLvl w:val="9"/>
        <w:rPr>
          <w:rFonts w:hint="eastAsia" w:ascii="宋体" w:hAnsi="宋体" w:eastAsia="宋体" w:cs="宋体"/>
          <w:spacing w:val="14"/>
          <w:kern w:val="0"/>
          <w:sz w:val="24"/>
          <w:szCs w:val="24"/>
          <w:highlight w:val="none"/>
        </w:rPr>
      </w:pPr>
      <w:r>
        <w:rPr>
          <w:rFonts w:hint="eastAsia" w:ascii="宋体" w:hAnsi="宋体" w:eastAsia="宋体" w:cs="宋体"/>
          <w:spacing w:val="14"/>
          <w:kern w:val="0"/>
          <w:sz w:val="24"/>
          <w:szCs w:val="24"/>
          <w:highlight w:val="none"/>
        </w:rPr>
        <w:t>注：供应商可根据需要自行增减表格行数。</w:t>
      </w:r>
    </w:p>
    <w:p>
      <w:pPr>
        <w:pStyle w:val="88"/>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66" w:name="_Toc256000127"/>
      <w:r>
        <w:rPr>
          <w:rFonts w:hint="eastAsia" w:ascii="宋体" w:hAnsi="宋体" w:eastAsia="宋体" w:cs="宋体"/>
          <w:sz w:val="24"/>
          <w:szCs w:val="24"/>
          <w:highlight w:val="none"/>
        </w:rPr>
        <w:t>十三、节能产品、环境标志产品明细表</w:t>
      </w:r>
      <w:bookmarkEnd w:id="166"/>
    </w:p>
    <w:p>
      <w:pPr>
        <w:pStyle w:val="89"/>
        <w:spacing w:line="360" w:lineRule="auto"/>
        <w:jc w:val="center"/>
        <w:outlineLvl w:val="9"/>
        <w:rPr>
          <w:rFonts w:hint="eastAsia" w:ascii="宋体" w:hAnsi="宋体" w:eastAsia="宋体" w:cs="宋体"/>
          <w:b/>
          <w:sz w:val="24"/>
          <w:szCs w:val="24"/>
          <w:highlight w:val="none"/>
        </w:rPr>
      </w:pPr>
      <w:r>
        <w:rPr>
          <w:rFonts w:hint="eastAsia" w:ascii="宋体" w:hAnsi="宋体" w:eastAsia="宋体" w:cs="宋体"/>
          <w:b/>
          <w:spacing w:val="14"/>
          <w:sz w:val="24"/>
          <w:szCs w:val="24"/>
          <w:highlight w:val="none"/>
        </w:rPr>
        <w:t>节能产品、环境标志产品明细表</w:t>
      </w:r>
    </w:p>
    <w:tbl>
      <w:tblPr>
        <w:tblStyle w:val="6"/>
        <w:tblW w:w="8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124"/>
        <w:gridCol w:w="1375"/>
        <w:gridCol w:w="1874"/>
        <w:gridCol w:w="1749"/>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450" w:type="dxa"/>
            <w:tcBorders>
              <w:top w:val="single" w:color="auto" w:sz="4" w:space="0"/>
              <w:left w:val="single" w:color="auto" w:sz="4" w:space="0"/>
              <w:bottom w:val="single" w:color="auto" w:sz="4" w:space="0"/>
              <w:right w:val="single" w:color="auto" w:sz="4" w:space="0"/>
            </w:tcBorders>
            <w:noWrap w:val="0"/>
            <w:vAlign w:val="center"/>
          </w:tcPr>
          <w:p>
            <w:pPr>
              <w:pStyle w:val="89"/>
              <w:widowControl/>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序号</w:t>
            </w:r>
          </w:p>
        </w:tc>
        <w:tc>
          <w:tcPr>
            <w:tcW w:w="1124"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货物名称</w:t>
            </w:r>
          </w:p>
        </w:tc>
        <w:tc>
          <w:tcPr>
            <w:tcW w:w="1375"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品牌及制造商</w:t>
            </w:r>
          </w:p>
        </w:tc>
        <w:tc>
          <w:tcPr>
            <w:tcW w:w="1874"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规格型号</w:t>
            </w:r>
          </w:p>
        </w:tc>
        <w:tc>
          <w:tcPr>
            <w:tcW w:w="1749" w:type="dxa"/>
            <w:tcBorders>
              <w:top w:val="single" w:color="auto" w:sz="4" w:space="0"/>
              <w:left w:val="nil"/>
              <w:bottom w:val="single" w:color="auto" w:sz="4" w:space="0"/>
              <w:right w:val="single" w:color="auto" w:sz="4" w:space="0"/>
            </w:tcBorders>
            <w:noWrap w:val="0"/>
            <w:vAlign w:val="center"/>
          </w:tcPr>
          <w:p>
            <w:pPr>
              <w:pStyle w:val="89"/>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中国节能产品认证证书编号</w:t>
            </w:r>
          </w:p>
        </w:tc>
        <w:tc>
          <w:tcPr>
            <w:tcW w:w="1721"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jc w:val="center"/>
              <w:outlineLvl w:val="9"/>
              <w:rPr>
                <w:rFonts w:hint="eastAsia" w:ascii="宋体" w:hAnsi="宋体" w:eastAsia="宋体" w:cs="宋体"/>
                <w:strike/>
                <w:kern w:val="0"/>
                <w:sz w:val="24"/>
                <w:szCs w:val="24"/>
                <w:highlight w:val="none"/>
              </w:rPr>
            </w:pPr>
            <w:r>
              <w:rPr>
                <w:rFonts w:hint="eastAsia" w:ascii="宋体" w:hAnsi="宋体" w:eastAsia="宋体" w:cs="宋体"/>
                <w:kern w:val="0"/>
                <w:sz w:val="24"/>
                <w:szCs w:val="24"/>
                <w:highlight w:val="none"/>
              </w:rPr>
              <w:t>中国节能产品认证证书有效截止日期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0" w:type="dxa"/>
            <w:tcBorders>
              <w:top w:val="single" w:color="auto" w:sz="4" w:space="0"/>
              <w:left w:val="single" w:color="auto" w:sz="4" w:space="0"/>
              <w:bottom w:val="single" w:color="auto" w:sz="4" w:space="0"/>
              <w:right w:val="single" w:color="auto" w:sz="4" w:space="0"/>
            </w:tcBorders>
            <w:noWrap w:val="0"/>
            <w:vAlign w:val="center"/>
          </w:tcPr>
          <w:p>
            <w:pPr>
              <w:pStyle w:val="89"/>
              <w:widowControl/>
              <w:spacing w:line="360" w:lineRule="auto"/>
              <w:jc w:val="left"/>
              <w:outlineLvl w:val="9"/>
              <w:rPr>
                <w:rFonts w:hint="eastAsia" w:ascii="宋体" w:hAnsi="宋体" w:eastAsia="宋体" w:cs="宋体"/>
                <w:kern w:val="0"/>
                <w:sz w:val="24"/>
                <w:szCs w:val="24"/>
                <w:highlight w:val="none"/>
              </w:rPr>
            </w:pPr>
          </w:p>
        </w:tc>
        <w:tc>
          <w:tcPr>
            <w:tcW w:w="1124"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375"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874"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749"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721"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50" w:type="dxa"/>
            <w:tcBorders>
              <w:top w:val="single" w:color="auto" w:sz="4" w:space="0"/>
              <w:left w:val="single" w:color="auto" w:sz="4" w:space="0"/>
              <w:bottom w:val="single" w:color="auto" w:sz="4" w:space="0"/>
              <w:right w:val="single" w:color="auto" w:sz="4" w:space="0"/>
            </w:tcBorders>
            <w:noWrap w:val="0"/>
            <w:vAlign w:val="top"/>
          </w:tcPr>
          <w:p>
            <w:pPr>
              <w:pStyle w:val="89"/>
              <w:widowControl/>
              <w:spacing w:line="360" w:lineRule="auto"/>
              <w:jc w:val="left"/>
              <w:outlineLvl w:val="9"/>
              <w:rPr>
                <w:rFonts w:hint="eastAsia" w:ascii="宋体" w:hAnsi="宋体" w:eastAsia="宋体" w:cs="宋体"/>
                <w:kern w:val="0"/>
                <w:sz w:val="24"/>
                <w:szCs w:val="24"/>
                <w:highlight w:val="none"/>
              </w:rPr>
            </w:pPr>
          </w:p>
        </w:tc>
        <w:tc>
          <w:tcPr>
            <w:tcW w:w="1124" w:type="dxa"/>
            <w:tcBorders>
              <w:top w:val="single" w:color="auto" w:sz="4" w:space="0"/>
              <w:left w:val="nil"/>
              <w:bottom w:val="single" w:color="auto" w:sz="4" w:space="0"/>
              <w:right w:val="single" w:color="auto" w:sz="4" w:space="0"/>
            </w:tcBorders>
            <w:noWrap w:val="0"/>
            <w:vAlign w:val="top"/>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375" w:type="dxa"/>
            <w:tcBorders>
              <w:top w:val="single" w:color="auto" w:sz="4" w:space="0"/>
              <w:left w:val="nil"/>
              <w:bottom w:val="single" w:color="auto" w:sz="4" w:space="0"/>
              <w:right w:val="single" w:color="auto" w:sz="4" w:space="0"/>
            </w:tcBorders>
            <w:noWrap w:val="0"/>
            <w:vAlign w:val="top"/>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874" w:type="dxa"/>
            <w:tcBorders>
              <w:top w:val="single" w:color="auto" w:sz="4" w:space="0"/>
              <w:left w:val="nil"/>
              <w:bottom w:val="single" w:color="auto" w:sz="4" w:space="0"/>
              <w:right w:val="single" w:color="auto" w:sz="4" w:space="0"/>
            </w:tcBorders>
            <w:noWrap w:val="0"/>
            <w:vAlign w:val="top"/>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749" w:type="dxa"/>
            <w:tcBorders>
              <w:top w:val="single" w:color="auto" w:sz="4" w:space="0"/>
              <w:left w:val="nil"/>
              <w:bottom w:val="single" w:color="auto" w:sz="4" w:space="0"/>
              <w:right w:val="single" w:color="auto" w:sz="4" w:space="0"/>
            </w:tcBorders>
            <w:noWrap w:val="0"/>
            <w:vAlign w:val="top"/>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721" w:type="dxa"/>
            <w:tcBorders>
              <w:top w:val="single" w:color="auto" w:sz="4" w:space="0"/>
              <w:left w:val="nil"/>
              <w:bottom w:val="single" w:color="auto" w:sz="4" w:space="0"/>
              <w:right w:val="single" w:color="auto" w:sz="4" w:space="0"/>
            </w:tcBorders>
            <w:noWrap w:val="0"/>
            <w:vAlign w:val="top"/>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50" w:type="dxa"/>
            <w:tcBorders>
              <w:top w:val="single" w:color="auto" w:sz="4" w:space="0"/>
              <w:left w:val="single" w:color="auto" w:sz="4" w:space="0"/>
              <w:bottom w:val="single" w:color="auto" w:sz="4" w:space="0"/>
              <w:right w:val="single" w:color="auto" w:sz="4" w:space="0"/>
            </w:tcBorders>
            <w:noWrap w:val="0"/>
            <w:vAlign w:val="top"/>
          </w:tcPr>
          <w:p>
            <w:pPr>
              <w:pStyle w:val="89"/>
              <w:widowControl/>
              <w:spacing w:line="360" w:lineRule="auto"/>
              <w:jc w:val="left"/>
              <w:outlineLvl w:val="9"/>
              <w:rPr>
                <w:rFonts w:hint="eastAsia" w:ascii="宋体" w:hAnsi="宋体" w:eastAsia="宋体" w:cs="宋体"/>
                <w:kern w:val="0"/>
                <w:sz w:val="24"/>
                <w:szCs w:val="24"/>
                <w:highlight w:val="none"/>
              </w:rPr>
            </w:pPr>
          </w:p>
        </w:tc>
        <w:tc>
          <w:tcPr>
            <w:tcW w:w="1124" w:type="dxa"/>
            <w:tcBorders>
              <w:top w:val="single" w:color="auto" w:sz="4" w:space="0"/>
              <w:left w:val="nil"/>
              <w:bottom w:val="single" w:color="auto" w:sz="4" w:space="0"/>
              <w:right w:val="single" w:color="auto" w:sz="4" w:space="0"/>
            </w:tcBorders>
            <w:noWrap w:val="0"/>
            <w:vAlign w:val="top"/>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375" w:type="dxa"/>
            <w:tcBorders>
              <w:top w:val="single" w:color="auto" w:sz="4" w:space="0"/>
              <w:left w:val="nil"/>
              <w:bottom w:val="single" w:color="auto" w:sz="4" w:space="0"/>
              <w:right w:val="single" w:color="auto" w:sz="4" w:space="0"/>
            </w:tcBorders>
            <w:noWrap w:val="0"/>
            <w:vAlign w:val="top"/>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874" w:type="dxa"/>
            <w:tcBorders>
              <w:top w:val="single" w:color="auto" w:sz="4" w:space="0"/>
              <w:left w:val="nil"/>
              <w:bottom w:val="single" w:color="auto" w:sz="4" w:space="0"/>
              <w:right w:val="single" w:color="auto" w:sz="4" w:space="0"/>
            </w:tcBorders>
            <w:noWrap w:val="0"/>
            <w:vAlign w:val="top"/>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749" w:type="dxa"/>
            <w:tcBorders>
              <w:top w:val="single" w:color="auto" w:sz="4" w:space="0"/>
              <w:left w:val="nil"/>
              <w:bottom w:val="single" w:color="auto" w:sz="4" w:space="0"/>
              <w:right w:val="single" w:color="auto" w:sz="4" w:space="0"/>
            </w:tcBorders>
            <w:noWrap w:val="0"/>
            <w:vAlign w:val="top"/>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721" w:type="dxa"/>
            <w:tcBorders>
              <w:top w:val="single" w:color="auto" w:sz="4" w:space="0"/>
              <w:left w:val="nil"/>
              <w:bottom w:val="single" w:color="auto" w:sz="4" w:space="0"/>
              <w:right w:val="single" w:color="auto" w:sz="4" w:space="0"/>
            </w:tcBorders>
            <w:noWrap w:val="0"/>
            <w:vAlign w:val="top"/>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r>
    </w:tbl>
    <w:p>
      <w:pPr>
        <w:pStyle w:val="89"/>
        <w:widowControl/>
        <w:spacing w:line="360" w:lineRule="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w:t>
      </w:r>
    </w:p>
    <w:tbl>
      <w:tblPr>
        <w:tblStyle w:val="6"/>
        <w:tblW w:w="8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1292"/>
        <w:gridCol w:w="1371"/>
        <w:gridCol w:w="1930"/>
        <w:gridCol w:w="1801"/>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390" w:type="dxa"/>
            <w:tcBorders>
              <w:top w:val="single" w:color="auto" w:sz="4" w:space="0"/>
              <w:left w:val="single" w:color="auto" w:sz="4" w:space="0"/>
              <w:bottom w:val="single" w:color="auto" w:sz="4" w:space="0"/>
              <w:right w:val="single" w:color="auto" w:sz="4" w:space="0"/>
            </w:tcBorders>
            <w:noWrap w:val="0"/>
            <w:vAlign w:val="center"/>
          </w:tcPr>
          <w:p>
            <w:pPr>
              <w:pStyle w:val="89"/>
              <w:widowControl/>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序号</w:t>
            </w:r>
          </w:p>
        </w:tc>
        <w:tc>
          <w:tcPr>
            <w:tcW w:w="1292"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货物名称</w:t>
            </w:r>
          </w:p>
        </w:tc>
        <w:tc>
          <w:tcPr>
            <w:tcW w:w="1371"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品牌及制造商</w:t>
            </w:r>
          </w:p>
        </w:tc>
        <w:tc>
          <w:tcPr>
            <w:tcW w:w="1930"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规格型号</w:t>
            </w:r>
          </w:p>
        </w:tc>
        <w:tc>
          <w:tcPr>
            <w:tcW w:w="1801" w:type="dxa"/>
            <w:tcBorders>
              <w:top w:val="single" w:color="auto" w:sz="4" w:space="0"/>
              <w:left w:val="nil"/>
              <w:bottom w:val="single" w:color="auto" w:sz="4" w:space="0"/>
              <w:right w:val="single" w:color="auto" w:sz="4" w:space="0"/>
            </w:tcBorders>
            <w:noWrap w:val="0"/>
            <w:vAlign w:val="center"/>
          </w:tcPr>
          <w:p>
            <w:pPr>
              <w:pStyle w:val="89"/>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中国环境标志认证证书编号</w:t>
            </w:r>
          </w:p>
        </w:tc>
        <w:tc>
          <w:tcPr>
            <w:tcW w:w="1790"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jc w:val="center"/>
              <w:outlineLvl w:val="9"/>
              <w:rPr>
                <w:rFonts w:hint="eastAsia" w:ascii="宋体" w:hAnsi="宋体" w:eastAsia="宋体" w:cs="宋体"/>
                <w:strike/>
                <w:kern w:val="0"/>
                <w:sz w:val="24"/>
                <w:szCs w:val="24"/>
                <w:highlight w:val="none"/>
              </w:rPr>
            </w:pPr>
            <w:r>
              <w:rPr>
                <w:rFonts w:hint="eastAsia" w:ascii="宋体" w:hAnsi="宋体" w:eastAsia="宋体" w:cs="宋体"/>
                <w:kern w:val="0"/>
                <w:sz w:val="24"/>
                <w:szCs w:val="24"/>
                <w:highlight w:val="none"/>
              </w:rPr>
              <w:t>中国环境标志认证证书有效截止日期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90" w:type="dxa"/>
            <w:tcBorders>
              <w:top w:val="single" w:color="auto" w:sz="4" w:space="0"/>
              <w:left w:val="single" w:color="auto" w:sz="4" w:space="0"/>
              <w:bottom w:val="single" w:color="auto" w:sz="4" w:space="0"/>
              <w:right w:val="single" w:color="auto" w:sz="4" w:space="0"/>
            </w:tcBorders>
            <w:noWrap w:val="0"/>
            <w:vAlign w:val="center"/>
          </w:tcPr>
          <w:p>
            <w:pPr>
              <w:pStyle w:val="89"/>
              <w:widowControl/>
              <w:spacing w:line="360" w:lineRule="auto"/>
              <w:jc w:val="left"/>
              <w:outlineLvl w:val="9"/>
              <w:rPr>
                <w:rFonts w:hint="eastAsia" w:ascii="宋体" w:hAnsi="宋体" w:eastAsia="宋体" w:cs="宋体"/>
                <w:kern w:val="0"/>
                <w:sz w:val="24"/>
                <w:szCs w:val="24"/>
                <w:highlight w:val="none"/>
              </w:rPr>
            </w:pPr>
          </w:p>
        </w:tc>
        <w:tc>
          <w:tcPr>
            <w:tcW w:w="1292"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371"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930"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801"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790"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90" w:type="dxa"/>
            <w:tcBorders>
              <w:top w:val="single" w:color="auto" w:sz="4" w:space="0"/>
              <w:left w:val="single" w:color="auto" w:sz="4" w:space="0"/>
              <w:bottom w:val="single" w:color="auto" w:sz="4" w:space="0"/>
              <w:right w:val="single" w:color="auto" w:sz="4" w:space="0"/>
            </w:tcBorders>
            <w:noWrap w:val="0"/>
            <w:vAlign w:val="center"/>
          </w:tcPr>
          <w:p>
            <w:pPr>
              <w:pStyle w:val="89"/>
              <w:widowControl/>
              <w:spacing w:line="360" w:lineRule="auto"/>
              <w:jc w:val="left"/>
              <w:outlineLvl w:val="9"/>
              <w:rPr>
                <w:rFonts w:hint="eastAsia" w:ascii="宋体" w:hAnsi="宋体" w:eastAsia="宋体" w:cs="宋体"/>
                <w:kern w:val="0"/>
                <w:sz w:val="24"/>
                <w:szCs w:val="24"/>
                <w:highlight w:val="none"/>
              </w:rPr>
            </w:pPr>
          </w:p>
        </w:tc>
        <w:tc>
          <w:tcPr>
            <w:tcW w:w="1292"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371"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930"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801"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790"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90" w:type="dxa"/>
            <w:tcBorders>
              <w:top w:val="single" w:color="auto" w:sz="4" w:space="0"/>
              <w:left w:val="single" w:color="auto" w:sz="4" w:space="0"/>
              <w:bottom w:val="single" w:color="auto" w:sz="4" w:space="0"/>
              <w:right w:val="single" w:color="auto" w:sz="4" w:space="0"/>
            </w:tcBorders>
            <w:noWrap w:val="0"/>
            <w:vAlign w:val="center"/>
          </w:tcPr>
          <w:p>
            <w:pPr>
              <w:pStyle w:val="89"/>
              <w:widowControl/>
              <w:spacing w:line="360" w:lineRule="auto"/>
              <w:jc w:val="left"/>
              <w:outlineLvl w:val="9"/>
              <w:rPr>
                <w:rFonts w:hint="eastAsia" w:ascii="宋体" w:hAnsi="宋体" w:eastAsia="宋体" w:cs="宋体"/>
                <w:kern w:val="0"/>
                <w:sz w:val="24"/>
                <w:szCs w:val="24"/>
                <w:highlight w:val="none"/>
              </w:rPr>
            </w:pPr>
          </w:p>
        </w:tc>
        <w:tc>
          <w:tcPr>
            <w:tcW w:w="1292"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371"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930"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801"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c>
          <w:tcPr>
            <w:tcW w:w="1790" w:type="dxa"/>
            <w:tcBorders>
              <w:top w:val="single" w:color="auto" w:sz="4" w:space="0"/>
              <w:left w:val="nil"/>
              <w:bottom w:val="single" w:color="auto" w:sz="4" w:space="0"/>
              <w:right w:val="single" w:color="auto" w:sz="4" w:space="0"/>
            </w:tcBorders>
            <w:noWrap w:val="0"/>
            <w:vAlign w:val="center"/>
          </w:tcPr>
          <w:p>
            <w:pPr>
              <w:pStyle w:val="89"/>
              <w:widowControl/>
              <w:spacing w:line="360" w:lineRule="auto"/>
              <w:ind w:firstLine="482"/>
              <w:jc w:val="left"/>
              <w:outlineLvl w:val="9"/>
              <w:rPr>
                <w:rFonts w:hint="eastAsia" w:ascii="宋体" w:hAnsi="宋体" w:eastAsia="宋体" w:cs="宋体"/>
                <w:kern w:val="0"/>
                <w:sz w:val="24"/>
                <w:szCs w:val="24"/>
                <w:highlight w:val="none"/>
              </w:rPr>
            </w:pPr>
          </w:p>
        </w:tc>
      </w:tr>
    </w:tbl>
    <w:p>
      <w:pPr>
        <w:pStyle w:val="89"/>
        <w:widowControl/>
        <w:spacing w:line="360" w:lineRule="auto"/>
        <w:jc w:val="left"/>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供应商（企业电子章）：                                      </w:t>
      </w:r>
    </w:p>
    <w:p>
      <w:pPr>
        <w:pStyle w:val="89"/>
        <w:widowControl/>
        <w:spacing w:line="360" w:lineRule="auto"/>
        <w:jc w:val="left"/>
        <w:outlineLvl w:val="9"/>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注：</w:t>
      </w:r>
    </w:p>
    <w:p>
      <w:pPr>
        <w:pStyle w:val="89"/>
        <w:widowControl/>
        <w:spacing w:line="360" w:lineRule="auto"/>
        <w:jc w:val="left"/>
        <w:outlineLvl w:val="9"/>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供应商提供的产品属于节能产品、环境标志产品的，应提供相关证明资料(上述节能产品、环境标志产品认证证书复印件)，并如实填写本表，未按此要求提供证明资料或填写本表的，评审时不予认可、不予加分。</w:t>
      </w:r>
    </w:p>
    <w:p>
      <w:pPr>
        <w:pStyle w:val="89"/>
        <w:widowControl/>
        <w:spacing w:line="360" w:lineRule="auto"/>
        <w:jc w:val="left"/>
        <w:outlineLvl w:val="9"/>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2、证书应是由《市场监管总局关于发布参与实施政府采购节能产品、环境标志产品认证机构名录的公告》的认证机构出具的、处于有效期之内的。</w:t>
      </w:r>
    </w:p>
    <w:p>
      <w:pPr>
        <w:pStyle w:val="89"/>
        <w:widowControl/>
        <w:spacing w:line="360" w:lineRule="auto"/>
        <w:jc w:val="left"/>
        <w:outlineLvl w:val="9"/>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3、供应商可根据需要自行增减表格行数。</w:t>
      </w:r>
    </w:p>
    <w:p>
      <w:pPr>
        <w:pStyle w:val="89"/>
        <w:widowControl/>
        <w:spacing w:line="360" w:lineRule="auto"/>
        <w:jc w:val="left"/>
        <w:outlineLvl w:val="9"/>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4、相关证明资料附后。</w:t>
      </w:r>
    </w:p>
    <w:p>
      <w:pPr>
        <w:pStyle w:val="89"/>
        <w:widowControl/>
        <w:spacing w:line="360" w:lineRule="auto"/>
        <w:jc w:val="left"/>
        <w:outlineLvl w:val="9"/>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附：</w:t>
      </w:r>
    </w:p>
    <w:p>
      <w:pPr>
        <w:pStyle w:val="89"/>
        <w:widowControl/>
        <w:spacing w:line="360" w:lineRule="auto"/>
        <w:jc w:val="left"/>
        <w:outlineLvl w:val="9"/>
        <w:rPr>
          <w:rFonts w:hint="eastAsia" w:ascii="宋体" w:hAnsi="宋体" w:eastAsia="宋体" w:cs="宋体"/>
          <w:spacing w:val="14"/>
          <w:kern w:val="0"/>
          <w:sz w:val="24"/>
          <w:szCs w:val="24"/>
          <w:highlight w:val="none"/>
        </w:rPr>
      </w:pPr>
      <w:r>
        <w:rPr>
          <w:rFonts w:hint="eastAsia" w:ascii="宋体" w:hAnsi="宋体" w:eastAsia="宋体" w:cs="宋体"/>
          <w:bCs/>
          <w:kern w:val="0"/>
          <w:sz w:val="24"/>
          <w:szCs w:val="24"/>
          <w:highlight w:val="none"/>
        </w:rPr>
        <w:t>1、投标产品的《中国节能产品认证证书》</w:t>
      </w:r>
      <w:r>
        <w:rPr>
          <w:rFonts w:hint="eastAsia" w:ascii="宋体" w:hAnsi="宋体" w:eastAsia="宋体" w:cs="宋体"/>
          <w:spacing w:val="14"/>
          <w:kern w:val="0"/>
          <w:sz w:val="24"/>
          <w:szCs w:val="24"/>
          <w:highlight w:val="none"/>
        </w:rPr>
        <w:t>（应明显标画出对应的产品型号）</w:t>
      </w:r>
    </w:p>
    <w:p>
      <w:pPr>
        <w:pStyle w:val="91"/>
        <w:outlineLvl w:val="9"/>
        <w:rPr>
          <w:rFonts w:hint="eastAsia" w:ascii="宋体" w:hAnsi="宋体" w:eastAsia="宋体" w:cs="宋体"/>
          <w:sz w:val="24"/>
          <w:szCs w:val="24"/>
          <w:highlight w:val="none"/>
        </w:rPr>
      </w:pPr>
      <w:r>
        <w:rPr>
          <w:rFonts w:hint="eastAsia" w:ascii="宋体" w:hAnsi="宋体" w:eastAsia="宋体" w:cs="宋体"/>
          <w:bCs/>
          <w:sz w:val="24"/>
          <w:szCs w:val="24"/>
          <w:highlight w:val="none"/>
        </w:rPr>
        <w:t>2、投标产品的《中国环境标志产品认证证书》</w:t>
      </w:r>
      <w:r>
        <w:rPr>
          <w:rFonts w:hint="eastAsia" w:ascii="宋体" w:hAnsi="宋体" w:eastAsia="宋体" w:cs="宋体"/>
          <w:spacing w:val="14"/>
          <w:sz w:val="24"/>
          <w:szCs w:val="24"/>
          <w:highlight w:val="none"/>
        </w:rPr>
        <w:t>（应明显标画出对应的产品型号）</w:t>
      </w:r>
    </w:p>
    <w:p>
      <w:pPr>
        <w:pStyle w:val="9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67" w:name="_Toc256000128"/>
      <w:r>
        <w:rPr>
          <w:rFonts w:hint="eastAsia" w:ascii="宋体" w:hAnsi="宋体" w:eastAsia="宋体" w:cs="宋体"/>
          <w:sz w:val="24"/>
          <w:szCs w:val="24"/>
          <w:highlight w:val="none"/>
        </w:rPr>
        <w:t>十四、项目实施方案</w:t>
      </w:r>
      <w:bookmarkEnd w:id="167"/>
    </w:p>
    <w:p>
      <w:pPr>
        <w:pStyle w:val="93"/>
        <w:ind w:firstLine="420"/>
        <w:jc w:val="center"/>
        <w:outlineLvl w:val="9"/>
        <w:rPr>
          <w:rFonts w:hint="eastAsia" w:ascii="宋体" w:hAnsi="宋体" w:eastAsia="宋体" w:cs="宋体"/>
          <w:b/>
          <w:spacing w:val="10"/>
          <w:kern w:val="0"/>
          <w:sz w:val="24"/>
          <w:szCs w:val="24"/>
          <w:highlight w:val="none"/>
        </w:rPr>
      </w:pPr>
      <w:r>
        <w:rPr>
          <w:rFonts w:hint="eastAsia" w:ascii="宋体" w:hAnsi="宋体" w:eastAsia="宋体" w:cs="宋体"/>
          <w:b/>
          <w:spacing w:val="10"/>
          <w:kern w:val="0"/>
          <w:sz w:val="24"/>
          <w:szCs w:val="24"/>
          <w:highlight w:val="none"/>
        </w:rPr>
        <w:t>项目实施方案</w:t>
      </w:r>
    </w:p>
    <w:p>
      <w:pPr>
        <w:pStyle w:val="93"/>
        <w:ind w:firstLine="420"/>
        <w:jc w:val="center"/>
        <w:outlineLvl w:val="9"/>
        <w:rPr>
          <w:rFonts w:hint="eastAsia" w:ascii="宋体" w:hAnsi="宋体" w:eastAsia="宋体" w:cs="宋体"/>
          <w:bCs/>
          <w:spacing w:val="10"/>
          <w:kern w:val="0"/>
          <w:sz w:val="24"/>
          <w:szCs w:val="24"/>
          <w:highlight w:val="none"/>
        </w:rPr>
      </w:pPr>
      <w:r>
        <w:rPr>
          <w:rFonts w:hint="eastAsia" w:ascii="宋体" w:hAnsi="宋体" w:eastAsia="宋体" w:cs="宋体"/>
          <w:bCs/>
          <w:spacing w:val="10"/>
          <w:kern w:val="0"/>
          <w:sz w:val="24"/>
          <w:szCs w:val="24"/>
          <w:highlight w:val="none"/>
        </w:rPr>
        <w:t xml:space="preserve"> </w:t>
      </w:r>
    </w:p>
    <w:p>
      <w:pPr>
        <w:pStyle w:val="93"/>
        <w:ind w:left="420" w:firstLine="420"/>
        <w:outlineLvl w:val="9"/>
        <w:rPr>
          <w:rFonts w:hint="eastAsia" w:ascii="宋体" w:hAnsi="宋体" w:eastAsia="宋体" w:cs="宋体"/>
          <w:bCs/>
          <w:spacing w:val="10"/>
          <w:kern w:val="0"/>
          <w:sz w:val="24"/>
          <w:szCs w:val="24"/>
          <w:highlight w:val="none"/>
        </w:rPr>
      </w:pPr>
      <w:r>
        <w:rPr>
          <w:rFonts w:hint="eastAsia" w:ascii="宋体" w:hAnsi="宋体" w:eastAsia="宋体" w:cs="宋体"/>
          <w:bCs/>
          <w:spacing w:val="10"/>
          <w:kern w:val="0"/>
          <w:sz w:val="24"/>
          <w:szCs w:val="24"/>
          <w:highlight w:val="none"/>
        </w:rPr>
        <w:t>供应商根据招标项目要求及自身情况自行填报。</w:t>
      </w:r>
    </w:p>
    <w:p>
      <w:pPr>
        <w:pStyle w:val="93"/>
        <w:ind w:firstLine="420"/>
        <w:outlineLvl w:val="9"/>
        <w:rPr>
          <w:rFonts w:hint="eastAsia" w:ascii="宋体" w:hAnsi="宋体" w:eastAsia="宋体" w:cs="宋体"/>
          <w:bCs/>
          <w:spacing w:val="10"/>
          <w:kern w:val="0"/>
          <w:sz w:val="24"/>
          <w:szCs w:val="24"/>
          <w:highlight w:val="none"/>
        </w:rPr>
      </w:pPr>
      <w:r>
        <w:rPr>
          <w:rFonts w:hint="eastAsia" w:ascii="宋体" w:hAnsi="宋体" w:eastAsia="宋体" w:cs="宋体"/>
          <w:bCs/>
          <w:spacing w:val="10"/>
          <w:kern w:val="0"/>
          <w:sz w:val="24"/>
          <w:szCs w:val="24"/>
          <w:highlight w:val="none"/>
        </w:rPr>
        <w:t xml:space="preserve"> </w:t>
      </w:r>
    </w:p>
    <w:p>
      <w:pPr>
        <w:pStyle w:val="93"/>
        <w:ind w:firstLine="420"/>
        <w:outlineLvl w:val="9"/>
        <w:rPr>
          <w:rFonts w:hint="eastAsia" w:ascii="宋体" w:hAnsi="宋体" w:eastAsia="宋体" w:cs="宋体"/>
          <w:bCs/>
          <w:spacing w:val="10"/>
          <w:kern w:val="0"/>
          <w:sz w:val="24"/>
          <w:szCs w:val="24"/>
          <w:highlight w:val="none"/>
        </w:rPr>
      </w:pPr>
      <w:r>
        <w:rPr>
          <w:rFonts w:hint="eastAsia" w:ascii="宋体" w:hAnsi="宋体" w:eastAsia="宋体" w:cs="宋体"/>
          <w:bCs/>
          <w:spacing w:val="10"/>
          <w:kern w:val="0"/>
          <w:sz w:val="24"/>
          <w:szCs w:val="24"/>
          <w:highlight w:val="none"/>
        </w:rPr>
        <w:t xml:space="preserve"> </w:t>
      </w:r>
    </w:p>
    <w:p>
      <w:pPr>
        <w:pStyle w:val="93"/>
        <w:ind w:firstLine="420"/>
        <w:outlineLvl w:val="9"/>
        <w:rPr>
          <w:rFonts w:hint="eastAsia" w:ascii="宋体" w:hAnsi="宋体" w:eastAsia="宋体" w:cs="宋体"/>
          <w:kern w:val="0"/>
          <w:sz w:val="24"/>
          <w:szCs w:val="24"/>
          <w:highlight w:val="none"/>
        </w:rPr>
      </w:pPr>
      <w:r>
        <w:rPr>
          <w:rFonts w:hint="eastAsia" w:ascii="宋体" w:hAnsi="宋体" w:eastAsia="宋体" w:cs="宋体"/>
          <w:bCs/>
          <w:spacing w:val="10"/>
          <w:kern w:val="0"/>
          <w:sz w:val="24"/>
          <w:szCs w:val="24"/>
          <w:highlight w:val="none"/>
        </w:rPr>
        <w:t>供应商（企业电子章）：</w:t>
      </w:r>
    </w:p>
    <w:p>
      <w:pPr>
        <w:pStyle w:val="95"/>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68" w:name="_Toc256000129"/>
      <w:r>
        <w:rPr>
          <w:rFonts w:hint="eastAsia" w:ascii="宋体" w:hAnsi="宋体" w:eastAsia="宋体" w:cs="宋体"/>
          <w:sz w:val="24"/>
          <w:szCs w:val="24"/>
          <w:highlight w:val="none"/>
        </w:rPr>
        <w:t>十五、售后服务计划</w:t>
      </w:r>
      <w:bookmarkEnd w:id="168"/>
    </w:p>
    <w:p>
      <w:pPr>
        <w:pStyle w:val="96"/>
        <w:jc w:val="center"/>
        <w:outlineLvl w:val="9"/>
        <w:rPr>
          <w:rFonts w:hint="eastAsia" w:ascii="宋体" w:hAnsi="宋体" w:eastAsia="宋体" w:cs="宋体"/>
          <w:b/>
          <w:spacing w:val="10"/>
          <w:kern w:val="0"/>
          <w:sz w:val="24"/>
          <w:szCs w:val="24"/>
          <w:highlight w:val="none"/>
        </w:rPr>
      </w:pPr>
      <w:r>
        <w:rPr>
          <w:rFonts w:hint="eastAsia" w:ascii="宋体" w:hAnsi="宋体" w:eastAsia="宋体" w:cs="宋体"/>
          <w:b/>
          <w:spacing w:val="10"/>
          <w:kern w:val="0"/>
          <w:sz w:val="24"/>
          <w:szCs w:val="24"/>
          <w:highlight w:val="none"/>
        </w:rPr>
        <w:t>售后服务计划</w:t>
      </w:r>
    </w:p>
    <w:p>
      <w:pPr>
        <w:pStyle w:val="96"/>
        <w:jc w:val="center"/>
        <w:outlineLvl w:val="9"/>
        <w:rPr>
          <w:rFonts w:hint="eastAsia" w:ascii="宋体" w:hAnsi="宋体" w:eastAsia="宋体" w:cs="宋体"/>
          <w:bCs/>
          <w:spacing w:val="10"/>
          <w:kern w:val="0"/>
          <w:sz w:val="24"/>
          <w:szCs w:val="24"/>
          <w:highlight w:val="none"/>
        </w:rPr>
      </w:pPr>
      <w:r>
        <w:rPr>
          <w:rFonts w:hint="eastAsia" w:ascii="宋体" w:hAnsi="宋体" w:eastAsia="宋体" w:cs="宋体"/>
          <w:bCs/>
          <w:spacing w:val="10"/>
          <w:kern w:val="0"/>
          <w:sz w:val="24"/>
          <w:szCs w:val="24"/>
          <w:highlight w:val="none"/>
        </w:rPr>
        <w:t xml:space="preserve"> </w:t>
      </w:r>
    </w:p>
    <w:p>
      <w:pPr>
        <w:pStyle w:val="96"/>
        <w:outlineLvl w:val="9"/>
        <w:rPr>
          <w:rFonts w:hint="eastAsia" w:ascii="宋体" w:hAnsi="宋体" w:eastAsia="宋体" w:cs="宋体"/>
          <w:bCs/>
          <w:spacing w:val="10"/>
          <w:kern w:val="0"/>
          <w:sz w:val="24"/>
          <w:szCs w:val="24"/>
          <w:highlight w:val="none"/>
        </w:rPr>
      </w:pPr>
      <w:r>
        <w:rPr>
          <w:rFonts w:hint="eastAsia" w:ascii="宋体" w:hAnsi="宋体" w:eastAsia="宋体" w:cs="宋体"/>
          <w:bCs/>
          <w:spacing w:val="10"/>
          <w:kern w:val="0"/>
          <w:sz w:val="24"/>
          <w:szCs w:val="24"/>
          <w:highlight w:val="none"/>
        </w:rPr>
        <w:t xml:space="preserve"> </w:t>
      </w:r>
    </w:p>
    <w:p>
      <w:pPr>
        <w:pStyle w:val="96"/>
        <w:outlineLvl w:val="9"/>
        <w:rPr>
          <w:rFonts w:hint="eastAsia" w:ascii="宋体" w:hAnsi="宋体" w:eastAsia="宋体" w:cs="宋体"/>
          <w:bCs/>
          <w:spacing w:val="10"/>
          <w:kern w:val="0"/>
          <w:sz w:val="24"/>
          <w:szCs w:val="24"/>
          <w:highlight w:val="none"/>
        </w:rPr>
      </w:pPr>
      <w:r>
        <w:rPr>
          <w:rFonts w:hint="eastAsia" w:ascii="宋体" w:hAnsi="宋体" w:eastAsia="宋体" w:cs="宋体"/>
          <w:bCs/>
          <w:spacing w:val="10"/>
          <w:kern w:val="0"/>
          <w:sz w:val="24"/>
          <w:szCs w:val="24"/>
          <w:highlight w:val="none"/>
        </w:rPr>
        <w:t xml:space="preserve"> </w:t>
      </w:r>
    </w:p>
    <w:p>
      <w:pPr>
        <w:pStyle w:val="96"/>
        <w:outlineLvl w:val="9"/>
        <w:rPr>
          <w:rFonts w:hint="eastAsia" w:ascii="宋体" w:hAnsi="宋体" w:eastAsia="宋体" w:cs="宋体"/>
          <w:kern w:val="0"/>
          <w:sz w:val="24"/>
          <w:szCs w:val="24"/>
          <w:highlight w:val="none"/>
        </w:rPr>
      </w:pPr>
      <w:r>
        <w:rPr>
          <w:rFonts w:hint="eastAsia" w:ascii="宋体" w:hAnsi="宋体" w:eastAsia="宋体" w:cs="宋体"/>
          <w:bCs/>
          <w:spacing w:val="10"/>
          <w:kern w:val="0"/>
          <w:sz w:val="24"/>
          <w:szCs w:val="24"/>
          <w:highlight w:val="none"/>
        </w:rPr>
        <w:t>供应商（企业电子章）：</w:t>
      </w:r>
    </w:p>
    <w:p>
      <w:pPr>
        <w:pStyle w:val="98"/>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69" w:name="_Toc256000130"/>
      <w:r>
        <w:rPr>
          <w:rFonts w:hint="eastAsia" w:ascii="宋体" w:hAnsi="宋体" w:eastAsia="宋体" w:cs="宋体"/>
          <w:sz w:val="24"/>
          <w:szCs w:val="24"/>
          <w:highlight w:val="none"/>
        </w:rPr>
        <w:t>十六、其他需要提供的资料</w:t>
      </w:r>
      <w:bookmarkEnd w:id="169"/>
    </w:p>
    <w:p>
      <w:pPr>
        <w:pStyle w:val="99"/>
        <w:jc w:val="center"/>
        <w:outlineLvl w:val="9"/>
        <w:rPr>
          <w:rFonts w:hint="eastAsia" w:ascii="宋体" w:hAnsi="宋体" w:eastAsia="宋体" w:cs="宋体"/>
          <w:b/>
          <w:spacing w:val="10"/>
          <w:kern w:val="0"/>
          <w:sz w:val="24"/>
          <w:szCs w:val="24"/>
          <w:highlight w:val="none"/>
        </w:rPr>
      </w:pPr>
      <w:r>
        <w:rPr>
          <w:rFonts w:hint="eastAsia" w:ascii="宋体" w:hAnsi="宋体" w:eastAsia="宋体" w:cs="宋体"/>
          <w:b/>
          <w:spacing w:val="10"/>
          <w:kern w:val="0"/>
          <w:sz w:val="24"/>
          <w:szCs w:val="24"/>
          <w:highlight w:val="none"/>
        </w:rPr>
        <w:t>其他需要提供的资料</w:t>
      </w:r>
    </w:p>
    <w:p>
      <w:pPr>
        <w:pStyle w:val="99"/>
        <w:jc w:val="center"/>
        <w:outlineLvl w:val="9"/>
        <w:rPr>
          <w:rFonts w:hint="eastAsia" w:ascii="宋体" w:hAnsi="宋体" w:eastAsia="宋体" w:cs="宋体"/>
          <w:bCs/>
          <w:spacing w:val="10"/>
          <w:kern w:val="0"/>
          <w:sz w:val="24"/>
          <w:szCs w:val="24"/>
          <w:highlight w:val="none"/>
        </w:rPr>
      </w:pPr>
    </w:p>
    <w:p>
      <w:pPr>
        <w:pStyle w:val="99"/>
        <w:outlineLvl w:val="9"/>
        <w:rPr>
          <w:rFonts w:hint="eastAsia" w:ascii="宋体" w:hAnsi="宋体" w:eastAsia="宋体" w:cs="宋体"/>
          <w:kern w:val="0"/>
          <w:sz w:val="24"/>
          <w:szCs w:val="24"/>
          <w:highlight w:val="none"/>
        </w:rPr>
      </w:pPr>
      <w:r>
        <w:rPr>
          <w:rFonts w:hint="eastAsia" w:ascii="宋体" w:hAnsi="宋体" w:eastAsia="宋体" w:cs="宋体"/>
          <w:bCs/>
          <w:spacing w:val="10"/>
          <w:kern w:val="0"/>
          <w:sz w:val="24"/>
          <w:szCs w:val="24"/>
          <w:highlight w:val="none"/>
        </w:rPr>
        <w:t>供应商根据招标项目要求及自身情况自行填报。</w:t>
      </w:r>
    </w:p>
    <w:p>
      <w:pPr>
        <w:pStyle w:val="1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70" w:name="_Toc256000131"/>
      <w:r>
        <w:rPr>
          <w:rFonts w:hint="eastAsia" w:ascii="宋体" w:hAnsi="宋体" w:eastAsia="宋体" w:cs="宋体"/>
          <w:sz w:val="24"/>
          <w:szCs w:val="24"/>
          <w:highlight w:val="none"/>
        </w:rPr>
        <w:t>十七、参与评审打分的证书（证件）一览表</w:t>
      </w:r>
      <w:bookmarkEnd w:id="170"/>
    </w:p>
    <w:p>
      <w:pPr>
        <w:pStyle w:val="101"/>
        <w:widowControl/>
        <w:spacing w:line="360" w:lineRule="auto"/>
        <w:jc w:val="center"/>
        <w:outlineLvl w:val="9"/>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参与评审打分的证书（证件）一览表</w:t>
      </w:r>
    </w:p>
    <w:p>
      <w:pPr>
        <w:pStyle w:val="101"/>
        <w:widowControl/>
        <w:spacing w:line="360" w:lineRule="auto"/>
        <w:jc w:val="center"/>
        <w:outlineLvl w:val="9"/>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 xml:space="preserve">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409"/>
        <w:gridCol w:w="2410"/>
        <w:gridCol w:w="2410"/>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74" w:type="dxa"/>
            <w:tcBorders>
              <w:top w:val="single" w:color="auto" w:sz="4" w:space="0"/>
              <w:left w:val="single" w:color="auto" w:sz="4" w:space="0"/>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序号</w:t>
            </w:r>
          </w:p>
        </w:tc>
        <w:tc>
          <w:tcPr>
            <w:tcW w:w="2409"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证书（证件）名称</w:t>
            </w:r>
          </w:p>
        </w:tc>
        <w:tc>
          <w:tcPr>
            <w:tcW w:w="2410"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持证单位（人）</w:t>
            </w:r>
          </w:p>
        </w:tc>
        <w:tc>
          <w:tcPr>
            <w:tcW w:w="2410"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发证机构</w:t>
            </w:r>
          </w:p>
        </w:tc>
        <w:tc>
          <w:tcPr>
            <w:tcW w:w="1367"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发证日期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tcBorders>
              <w:top w:val="single" w:color="auto" w:sz="4" w:space="0"/>
              <w:left w:val="single" w:color="auto" w:sz="4" w:space="0"/>
              <w:bottom w:val="single" w:color="auto" w:sz="4" w:space="0"/>
              <w:right w:val="single" w:color="auto" w:sz="4" w:space="0"/>
            </w:tcBorders>
            <w:noWrap w:val="0"/>
            <w:vAlign w:val="center"/>
          </w:tcPr>
          <w:p>
            <w:pPr>
              <w:pStyle w:val="101"/>
              <w:widowControl/>
              <w:spacing w:line="360" w:lineRule="auto"/>
              <w:jc w:val="center"/>
              <w:outlineLvl w:val="9"/>
              <w:rPr>
                <w:rFonts w:hint="eastAsia" w:ascii="宋体" w:hAnsi="宋体" w:eastAsia="宋体" w:cs="宋体"/>
                <w:bCs/>
                <w:kern w:val="0"/>
                <w:sz w:val="24"/>
                <w:szCs w:val="24"/>
                <w:highlight w:val="none"/>
              </w:rPr>
            </w:pPr>
          </w:p>
        </w:tc>
        <w:tc>
          <w:tcPr>
            <w:tcW w:w="2409"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2410"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2410"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1367"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tcBorders>
              <w:top w:val="single" w:color="auto" w:sz="4" w:space="0"/>
              <w:left w:val="single" w:color="auto" w:sz="4" w:space="0"/>
              <w:bottom w:val="single" w:color="auto" w:sz="4" w:space="0"/>
              <w:right w:val="single" w:color="auto" w:sz="4" w:space="0"/>
            </w:tcBorders>
            <w:noWrap w:val="0"/>
            <w:vAlign w:val="center"/>
          </w:tcPr>
          <w:p>
            <w:pPr>
              <w:pStyle w:val="101"/>
              <w:widowControl/>
              <w:spacing w:line="360" w:lineRule="auto"/>
              <w:jc w:val="center"/>
              <w:outlineLvl w:val="9"/>
              <w:rPr>
                <w:rFonts w:hint="eastAsia" w:ascii="宋体" w:hAnsi="宋体" w:eastAsia="宋体" w:cs="宋体"/>
                <w:bCs/>
                <w:kern w:val="0"/>
                <w:sz w:val="24"/>
                <w:szCs w:val="24"/>
                <w:highlight w:val="none"/>
              </w:rPr>
            </w:pPr>
          </w:p>
        </w:tc>
        <w:tc>
          <w:tcPr>
            <w:tcW w:w="2409"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2410"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2410"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1367"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tcBorders>
              <w:top w:val="single" w:color="auto" w:sz="4" w:space="0"/>
              <w:left w:val="single" w:color="auto" w:sz="4" w:space="0"/>
              <w:bottom w:val="single" w:color="auto" w:sz="4" w:space="0"/>
              <w:right w:val="single" w:color="auto" w:sz="4" w:space="0"/>
            </w:tcBorders>
            <w:noWrap w:val="0"/>
            <w:vAlign w:val="center"/>
          </w:tcPr>
          <w:p>
            <w:pPr>
              <w:pStyle w:val="101"/>
              <w:widowControl/>
              <w:spacing w:line="360" w:lineRule="auto"/>
              <w:jc w:val="center"/>
              <w:outlineLvl w:val="9"/>
              <w:rPr>
                <w:rFonts w:hint="eastAsia" w:ascii="宋体" w:hAnsi="宋体" w:eastAsia="宋体" w:cs="宋体"/>
                <w:bCs/>
                <w:kern w:val="0"/>
                <w:sz w:val="24"/>
                <w:szCs w:val="24"/>
                <w:highlight w:val="none"/>
              </w:rPr>
            </w:pPr>
          </w:p>
        </w:tc>
        <w:tc>
          <w:tcPr>
            <w:tcW w:w="2409"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2410"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2410"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1367"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tcBorders>
              <w:top w:val="single" w:color="auto" w:sz="4" w:space="0"/>
              <w:left w:val="single" w:color="auto" w:sz="4" w:space="0"/>
              <w:bottom w:val="single" w:color="auto" w:sz="4" w:space="0"/>
              <w:right w:val="single" w:color="auto" w:sz="4" w:space="0"/>
            </w:tcBorders>
            <w:noWrap w:val="0"/>
            <w:vAlign w:val="center"/>
          </w:tcPr>
          <w:p>
            <w:pPr>
              <w:pStyle w:val="101"/>
              <w:widowControl/>
              <w:spacing w:line="360" w:lineRule="auto"/>
              <w:jc w:val="center"/>
              <w:outlineLvl w:val="9"/>
              <w:rPr>
                <w:rFonts w:hint="eastAsia" w:ascii="宋体" w:hAnsi="宋体" w:eastAsia="宋体" w:cs="宋体"/>
                <w:bCs/>
                <w:kern w:val="0"/>
                <w:sz w:val="24"/>
                <w:szCs w:val="24"/>
                <w:highlight w:val="none"/>
              </w:rPr>
            </w:pPr>
          </w:p>
        </w:tc>
        <w:tc>
          <w:tcPr>
            <w:tcW w:w="2409"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2410"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2410"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1367"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tcBorders>
              <w:top w:val="single" w:color="auto" w:sz="4" w:space="0"/>
              <w:left w:val="single" w:color="auto" w:sz="4" w:space="0"/>
              <w:bottom w:val="single" w:color="auto" w:sz="4" w:space="0"/>
              <w:right w:val="single" w:color="auto" w:sz="4" w:space="0"/>
            </w:tcBorders>
            <w:noWrap w:val="0"/>
            <w:vAlign w:val="center"/>
          </w:tcPr>
          <w:p>
            <w:pPr>
              <w:pStyle w:val="101"/>
              <w:widowControl/>
              <w:spacing w:line="360" w:lineRule="auto"/>
              <w:jc w:val="center"/>
              <w:outlineLvl w:val="9"/>
              <w:rPr>
                <w:rFonts w:hint="eastAsia" w:ascii="宋体" w:hAnsi="宋体" w:eastAsia="宋体" w:cs="宋体"/>
                <w:bCs/>
                <w:kern w:val="0"/>
                <w:sz w:val="24"/>
                <w:szCs w:val="24"/>
                <w:highlight w:val="none"/>
              </w:rPr>
            </w:pPr>
          </w:p>
        </w:tc>
        <w:tc>
          <w:tcPr>
            <w:tcW w:w="2409"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2410"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2410"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1367"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tcBorders>
              <w:top w:val="single" w:color="auto" w:sz="4" w:space="0"/>
              <w:left w:val="single" w:color="auto" w:sz="4" w:space="0"/>
              <w:bottom w:val="single" w:color="auto" w:sz="4" w:space="0"/>
              <w:right w:val="single" w:color="auto" w:sz="4" w:space="0"/>
            </w:tcBorders>
            <w:noWrap w:val="0"/>
            <w:vAlign w:val="center"/>
          </w:tcPr>
          <w:p>
            <w:pPr>
              <w:pStyle w:val="101"/>
              <w:widowControl/>
              <w:spacing w:line="360" w:lineRule="auto"/>
              <w:jc w:val="center"/>
              <w:outlineLvl w:val="9"/>
              <w:rPr>
                <w:rFonts w:hint="eastAsia" w:ascii="宋体" w:hAnsi="宋体" w:eastAsia="宋体" w:cs="宋体"/>
                <w:bCs/>
                <w:kern w:val="0"/>
                <w:sz w:val="24"/>
                <w:szCs w:val="24"/>
                <w:highlight w:val="none"/>
              </w:rPr>
            </w:pPr>
          </w:p>
        </w:tc>
        <w:tc>
          <w:tcPr>
            <w:tcW w:w="2409"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2410"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2410"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1367"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tcBorders>
              <w:top w:val="single" w:color="auto" w:sz="4" w:space="0"/>
              <w:left w:val="single" w:color="auto" w:sz="4" w:space="0"/>
              <w:bottom w:val="single" w:color="auto" w:sz="4" w:space="0"/>
              <w:right w:val="single" w:color="auto" w:sz="4" w:space="0"/>
            </w:tcBorders>
            <w:noWrap w:val="0"/>
            <w:vAlign w:val="center"/>
          </w:tcPr>
          <w:p>
            <w:pPr>
              <w:pStyle w:val="101"/>
              <w:widowControl/>
              <w:spacing w:line="360" w:lineRule="auto"/>
              <w:jc w:val="center"/>
              <w:outlineLvl w:val="9"/>
              <w:rPr>
                <w:rFonts w:hint="eastAsia" w:ascii="宋体" w:hAnsi="宋体" w:eastAsia="宋体" w:cs="宋体"/>
                <w:bCs/>
                <w:kern w:val="0"/>
                <w:sz w:val="24"/>
                <w:szCs w:val="24"/>
                <w:highlight w:val="none"/>
              </w:rPr>
            </w:pPr>
          </w:p>
        </w:tc>
        <w:tc>
          <w:tcPr>
            <w:tcW w:w="2409"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2410"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2410"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c>
          <w:tcPr>
            <w:tcW w:w="1367" w:type="dxa"/>
            <w:tcBorders>
              <w:top w:val="single" w:color="auto" w:sz="4" w:space="0"/>
              <w:left w:val="nil"/>
              <w:bottom w:val="single" w:color="auto" w:sz="4" w:space="0"/>
              <w:right w:val="single" w:color="auto" w:sz="4" w:space="0"/>
            </w:tcBorders>
            <w:noWrap w:val="0"/>
            <w:vAlign w:val="center"/>
          </w:tcPr>
          <w:p>
            <w:pPr>
              <w:pStyle w:val="101"/>
              <w:widowControl/>
              <w:spacing w:line="360" w:lineRule="auto"/>
              <w:outlineLvl w:val="9"/>
              <w:rPr>
                <w:rFonts w:hint="eastAsia" w:ascii="宋体" w:hAnsi="宋体" w:eastAsia="宋体" w:cs="宋体"/>
                <w:bCs/>
                <w:kern w:val="0"/>
                <w:sz w:val="24"/>
                <w:szCs w:val="24"/>
                <w:highlight w:val="none"/>
              </w:rPr>
            </w:pPr>
          </w:p>
        </w:tc>
      </w:tr>
    </w:tbl>
    <w:p>
      <w:pPr>
        <w:pStyle w:val="101"/>
        <w:widowControl/>
        <w:spacing w:line="360" w:lineRule="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供应商（企业电子章）：</w:t>
      </w:r>
    </w:p>
    <w:p>
      <w:pPr>
        <w:pStyle w:val="101"/>
        <w:widowControl/>
        <w:spacing w:line="360" w:lineRule="auto"/>
        <w:ind w:firstLine="482"/>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w:t>
      </w:r>
    </w:p>
    <w:p>
      <w:pPr>
        <w:pStyle w:val="101"/>
        <w:widowControl/>
        <w:spacing w:line="360" w:lineRule="auto"/>
        <w:outlineLvl w:val="9"/>
        <w:rPr>
          <w:rFonts w:hint="eastAsia" w:ascii="宋体" w:hAnsi="宋体" w:eastAsia="宋体" w:cs="宋体"/>
          <w:bCs/>
          <w:spacing w:val="10"/>
          <w:kern w:val="0"/>
          <w:sz w:val="24"/>
          <w:szCs w:val="24"/>
          <w:highlight w:val="none"/>
        </w:rPr>
      </w:pPr>
      <w:r>
        <w:rPr>
          <w:rFonts w:hint="eastAsia" w:ascii="宋体" w:hAnsi="宋体" w:eastAsia="宋体" w:cs="宋体"/>
          <w:bCs/>
          <w:spacing w:val="10"/>
          <w:kern w:val="0"/>
          <w:sz w:val="24"/>
          <w:szCs w:val="24"/>
          <w:highlight w:val="none"/>
        </w:rPr>
        <w:t>注：1.供应商可根据需要自行增减表格行数。</w:t>
      </w:r>
    </w:p>
    <w:p>
      <w:pPr>
        <w:pStyle w:val="101"/>
        <w:widowControl/>
        <w:spacing w:line="360" w:lineRule="auto"/>
        <w:ind w:firstLine="420"/>
        <w:outlineLvl w:val="9"/>
        <w:rPr>
          <w:rFonts w:hint="eastAsia" w:ascii="宋体" w:hAnsi="宋体" w:eastAsia="宋体" w:cs="宋体"/>
          <w:bCs/>
          <w:spacing w:val="10"/>
          <w:kern w:val="0"/>
          <w:sz w:val="24"/>
          <w:szCs w:val="24"/>
          <w:highlight w:val="none"/>
        </w:rPr>
      </w:pPr>
      <w:r>
        <w:rPr>
          <w:rFonts w:hint="eastAsia" w:ascii="宋体" w:hAnsi="宋体" w:eastAsia="宋体" w:cs="宋体"/>
          <w:bCs/>
          <w:spacing w:val="10"/>
          <w:kern w:val="0"/>
          <w:sz w:val="24"/>
          <w:szCs w:val="24"/>
          <w:highlight w:val="none"/>
        </w:rPr>
        <w:t>2.</w:t>
      </w:r>
      <w:r>
        <w:rPr>
          <w:rFonts w:hint="eastAsia" w:ascii="宋体" w:hAnsi="宋体" w:eastAsia="宋体" w:cs="宋体"/>
          <w:kern w:val="0"/>
          <w:sz w:val="24"/>
          <w:szCs w:val="24"/>
          <w:highlight w:val="none"/>
        </w:rPr>
        <w:t>供应商对所报相关内容的真实性负责，采购代理机构有权将相关内容进行公示，因弄虚作假导致的后果由供应商自行承担。</w:t>
      </w:r>
    </w:p>
    <w:p>
      <w:pPr>
        <w:pStyle w:val="103"/>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71" w:name="_Toc256000132"/>
      <w:r>
        <w:rPr>
          <w:rFonts w:hint="eastAsia" w:ascii="宋体" w:hAnsi="宋体" w:eastAsia="宋体" w:cs="宋体"/>
          <w:sz w:val="24"/>
          <w:szCs w:val="24"/>
          <w:highlight w:val="none"/>
        </w:rPr>
        <w:t>十八、参与评审打分的证书（证件）扫描件</w:t>
      </w:r>
      <w:bookmarkEnd w:id="171"/>
    </w:p>
    <w:p>
      <w:pPr>
        <w:pStyle w:val="104"/>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72" w:name="_Toc256000133"/>
      <w:r>
        <w:rPr>
          <w:rFonts w:hint="eastAsia" w:ascii="宋体" w:hAnsi="宋体" w:eastAsia="宋体" w:cs="宋体"/>
          <w:sz w:val="24"/>
          <w:szCs w:val="24"/>
          <w:highlight w:val="none"/>
        </w:rPr>
        <w:t>十九、参与评审打分的合同业绩一览表</w:t>
      </w:r>
      <w:bookmarkEnd w:id="172"/>
    </w:p>
    <w:p>
      <w:pPr>
        <w:pStyle w:val="105"/>
        <w:widowControl/>
        <w:spacing w:line="360" w:lineRule="auto"/>
        <w:jc w:val="center"/>
        <w:outlineLvl w:val="9"/>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参与评审打分的合同业绩一览表</w:t>
      </w:r>
    </w:p>
    <w:p>
      <w:pPr>
        <w:pStyle w:val="105"/>
        <w:widowControl/>
        <w:spacing w:line="360" w:lineRule="auto"/>
        <w:jc w:val="center"/>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339"/>
        <w:gridCol w:w="2552"/>
        <w:gridCol w:w="2126"/>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pStyle w:val="105"/>
              <w:widowControl/>
              <w:spacing w:line="360" w:lineRule="auto"/>
              <w:outlineLvl w:val="9"/>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序号</w:t>
            </w:r>
          </w:p>
        </w:tc>
        <w:tc>
          <w:tcPr>
            <w:tcW w:w="2339"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outlineLvl w:val="9"/>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项目名称</w:t>
            </w:r>
          </w:p>
        </w:tc>
        <w:tc>
          <w:tcPr>
            <w:tcW w:w="2552"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outlineLvl w:val="9"/>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采购单位（甲方）名称</w:t>
            </w:r>
          </w:p>
        </w:tc>
        <w:tc>
          <w:tcPr>
            <w:tcW w:w="2126"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outlineLvl w:val="9"/>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合同金额（元）</w:t>
            </w:r>
          </w:p>
        </w:tc>
        <w:tc>
          <w:tcPr>
            <w:tcW w:w="1255"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outlineLvl w:val="9"/>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签订时间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pStyle w:val="105"/>
              <w:widowControl/>
              <w:spacing w:line="360" w:lineRule="auto"/>
              <w:jc w:val="center"/>
              <w:outlineLvl w:val="9"/>
              <w:rPr>
                <w:rFonts w:hint="eastAsia" w:ascii="宋体" w:hAnsi="宋体" w:eastAsia="宋体" w:cs="宋体"/>
                <w:bCs/>
                <w:kern w:val="0"/>
                <w:sz w:val="24"/>
                <w:szCs w:val="24"/>
                <w:highlight w:val="none"/>
              </w:rPr>
            </w:pPr>
          </w:p>
        </w:tc>
        <w:tc>
          <w:tcPr>
            <w:tcW w:w="2339"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2552"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2126"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1255"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pStyle w:val="105"/>
              <w:widowControl/>
              <w:spacing w:line="360" w:lineRule="auto"/>
              <w:jc w:val="center"/>
              <w:outlineLvl w:val="9"/>
              <w:rPr>
                <w:rFonts w:hint="eastAsia" w:ascii="宋体" w:hAnsi="宋体" w:eastAsia="宋体" w:cs="宋体"/>
                <w:bCs/>
                <w:kern w:val="0"/>
                <w:sz w:val="24"/>
                <w:szCs w:val="24"/>
                <w:highlight w:val="none"/>
              </w:rPr>
            </w:pPr>
          </w:p>
        </w:tc>
        <w:tc>
          <w:tcPr>
            <w:tcW w:w="2339"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2552"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2126"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1255"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pStyle w:val="105"/>
              <w:widowControl/>
              <w:spacing w:line="360" w:lineRule="auto"/>
              <w:jc w:val="center"/>
              <w:outlineLvl w:val="9"/>
              <w:rPr>
                <w:rFonts w:hint="eastAsia" w:ascii="宋体" w:hAnsi="宋体" w:eastAsia="宋体" w:cs="宋体"/>
                <w:bCs/>
                <w:kern w:val="0"/>
                <w:sz w:val="24"/>
                <w:szCs w:val="24"/>
                <w:highlight w:val="none"/>
              </w:rPr>
            </w:pPr>
          </w:p>
        </w:tc>
        <w:tc>
          <w:tcPr>
            <w:tcW w:w="2339"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2552"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2126"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1255"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pStyle w:val="105"/>
              <w:widowControl/>
              <w:spacing w:line="360" w:lineRule="auto"/>
              <w:jc w:val="center"/>
              <w:outlineLvl w:val="9"/>
              <w:rPr>
                <w:rFonts w:hint="eastAsia" w:ascii="宋体" w:hAnsi="宋体" w:eastAsia="宋体" w:cs="宋体"/>
                <w:bCs/>
                <w:kern w:val="0"/>
                <w:sz w:val="24"/>
                <w:szCs w:val="24"/>
                <w:highlight w:val="none"/>
              </w:rPr>
            </w:pPr>
          </w:p>
        </w:tc>
        <w:tc>
          <w:tcPr>
            <w:tcW w:w="2339"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2552"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2126"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1255"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pStyle w:val="105"/>
              <w:widowControl/>
              <w:spacing w:line="360" w:lineRule="auto"/>
              <w:jc w:val="center"/>
              <w:outlineLvl w:val="9"/>
              <w:rPr>
                <w:rFonts w:hint="eastAsia" w:ascii="宋体" w:hAnsi="宋体" w:eastAsia="宋体" w:cs="宋体"/>
                <w:bCs/>
                <w:kern w:val="0"/>
                <w:sz w:val="24"/>
                <w:szCs w:val="24"/>
                <w:highlight w:val="none"/>
              </w:rPr>
            </w:pPr>
          </w:p>
        </w:tc>
        <w:tc>
          <w:tcPr>
            <w:tcW w:w="2339"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2552"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2126"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1255"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pStyle w:val="105"/>
              <w:widowControl/>
              <w:spacing w:line="360" w:lineRule="auto"/>
              <w:jc w:val="center"/>
              <w:outlineLvl w:val="9"/>
              <w:rPr>
                <w:rFonts w:hint="eastAsia" w:ascii="宋体" w:hAnsi="宋体" w:eastAsia="宋体" w:cs="宋体"/>
                <w:bCs/>
                <w:kern w:val="0"/>
                <w:sz w:val="24"/>
                <w:szCs w:val="24"/>
                <w:highlight w:val="none"/>
              </w:rPr>
            </w:pPr>
          </w:p>
        </w:tc>
        <w:tc>
          <w:tcPr>
            <w:tcW w:w="2339"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2552"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2126"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1255"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pStyle w:val="105"/>
              <w:widowControl/>
              <w:spacing w:line="360" w:lineRule="auto"/>
              <w:jc w:val="center"/>
              <w:outlineLvl w:val="9"/>
              <w:rPr>
                <w:rFonts w:hint="eastAsia" w:ascii="宋体" w:hAnsi="宋体" w:eastAsia="宋体" w:cs="宋体"/>
                <w:bCs/>
                <w:kern w:val="0"/>
                <w:sz w:val="24"/>
                <w:szCs w:val="24"/>
                <w:highlight w:val="none"/>
              </w:rPr>
            </w:pPr>
          </w:p>
        </w:tc>
        <w:tc>
          <w:tcPr>
            <w:tcW w:w="2339"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2552"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2126"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c>
          <w:tcPr>
            <w:tcW w:w="1255" w:type="dxa"/>
            <w:tcBorders>
              <w:top w:val="single" w:color="auto" w:sz="4" w:space="0"/>
              <w:left w:val="nil"/>
              <w:bottom w:val="single" w:color="auto" w:sz="4" w:space="0"/>
              <w:right w:val="single" w:color="auto" w:sz="4" w:space="0"/>
            </w:tcBorders>
            <w:noWrap w:val="0"/>
            <w:vAlign w:val="center"/>
          </w:tcPr>
          <w:p>
            <w:pPr>
              <w:pStyle w:val="105"/>
              <w:widowControl/>
              <w:spacing w:line="360" w:lineRule="auto"/>
              <w:jc w:val="left"/>
              <w:outlineLvl w:val="9"/>
              <w:rPr>
                <w:rFonts w:hint="eastAsia" w:ascii="宋体" w:hAnsi="宋体" w:eastAsia="宋体" w:cs="宋体"/>
                <w:bCs/>
                <w:kern w:val="0"/>
                <w:sz w:val="24"/>
                <w:szCs w:val="24"/>
                <w:highlight w:val="none"/>
              </w:rPr>
            </w:pPr>
          </w:p>
        </w:tc>
      </w:tr>
    </w:tbl>
    <w:p>
      <w:pPr>
        <w:pStyle w:val="105"/>
        <w:widowControl/>
        <w:spacing w:line="360" w:lineRule="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供应商（企业电子章）：</w:t>
      </w:r>
    </w:p>
    <w:p>
      <w:pPr>
        <w:pStyle w:val="105"/>
        <w:widowControl/>
        <w:spacing w:line="360" w:lineRule="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w:t>
      </w:r>
    </w:p>
    <w:p>
      <w:pPr>
        <w:pStyle w:val="105"/>
        <w:widowControl/>
        <w:spacing w:line="360" w:lineRule="auto"/>
        <w:outlineLvl w:val="9"/>
        <w:rPr>
          <w:rFonts w:hint="eastAsia" w:ascii="宋体" w:hAnsi="宋体" w:eastAsia="宋体" w:cs="宋体"/>
          <w:bCs/>
          <w:spacing w:val="10"/>
          <w:kern w:val="0"/>
          <w:sz w:val="24"/>
          <w:szCs w:val="24"/>
          <w:highlight w:val="none"/>
        </w:rPr>
      </w:pPr>
      <w:r>
        <w:rPr>
          <w:rFonts w:hint="eastAsia" w:ascii="宋体" w:hAnsi="宋体" w:eastAsia="宋体" w:cs="宋体"/>
          <w:bCs/>
          <w:spacing w:val="10"/>
          <w:kern w:val="0"/>
          <w:sz w:val="24"/>
          <w:szCs w:val="24"/>
          <w:highlight w:val="none"/>
        </w:rPr>
        <w:t>注：1.供应商可根据需要自行增减表格行数。</w:t>
      </w:r>
    </w:p>
    <w:p>
      <w:pPr>
        <w:pStyle w:val="105"/>
        <w:widowControl/>
        <w:spacing w:line="360" w:lineRule="auto"/>
        <w:ind w:firstLine="420"/>
        <w:outlineLvl w:val="9"/>
        <w:rPr>
          <w:rFonts w:hint="eastAsia" w:ascii="宋体" w:hAnsi="宋体" w:eastAsia="宋体" w:cs="宋体"/>
          <w:bCs/>
          <w:spacing w:val="10"/>
          <w:kern w:val="0"/>
          <w:sz w:val="24"/>
          <w:szCs w:val="24"/>
          <w:highlight w:val="none"/>
        </w:rPr>
      </w:pPr>
      <w:r>
        <w:rPr>
          <w:rFonts w:hint="eastAsia" w:ascii="宋体" w:hAnsi="宋体" w:eastAsia="宋体" w:cs="宋体"/>
          <w:bCs/>
          <w:spacing w:val="10"/>
          <w:kern w:val="0"/>
          <w:sz w:val="24"/>
          <w:szCs w:val="24"/>
          <w:highlight w:val="none"/>
        </w:rPr>
        <w:t>2.</w:t>
      </w:r>
      <w:r>
        <w:rPr>
          <w:rFonts w:hint="eastAsia" w:ascii="宋体" w:hAnsi="宋体" w:eastAsia="宋体" w:cs="宋体"/>
          <w:kern w:val="0"/>
          <w:sz w:val="24"/>
          <w:szCs w:val="24"/>
          <w:highlight w:val="none"/>
        </w:rPr>
        <w:t>供应商对所报相关内容的真实性负责，采购代理机构有权将相关内容进行公示，因弄虚作假导致的后果由供应商自行承担。</w:t>
      </w:r>
    </w:p>
    <w:p>
      <w:pPr>
        <w:pStyle w:val="107"/>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bookmarkStart w:id="173" w:name="_Toc256000134"/>
      <w:r>
        <w:rPr>
          <w:rFonts w:hint="eastAsia" w:ascii="宋体" w:hAnsi="宋体" w:eastAsia="宋体" w:cs="宋体"/>
          <w:sz w:val="24"/>
          <w:szCs w:val="24"/>
          <w:highlight w:val="none"/>
        </w:rPr>
        <w:t>二十、参与评审打分的合同业绩扫描件</w:t>
      </w:r>
      <w:bookmarkEnd w:id="173"/>
    </w:p>
    <w:p>
      <w:pPr>
        <w:outlineLvl w:val="9"/>
        <w:rPr>
          <w:rFonts w:hint="eastAsia" w:ascii="宋体" w:hAnsi="宋体" w:eastAsia="宋体" w:cs="宋体"/>
          <w:color w:val="000080"/>
          <w:sz w:val="24"/>
          <w:szCs w:val="24"/>
          <w:highlight w:val="none"/>
        </w:rPr>
      </w:pPr>
      <w:r>
        <w:rPr>
          <w:rFonts w:hint="eastAsia" w:ascii="宋体" w:hAnsi="宋体" w:eastAsia="宋体" w:cs="宋体"/>
          <w:color w:val="000080"/>
          <w:sz w:val="24"/>
          <w:szCs w:val="24"/>
          <w:highlight w:val="none"/>
        </w:rPr>
        <w:t xml:space="preserve"> </w:t>
      </w:r>
      <w:bookmarkEnd w:id="151"/>
    </w:p>
    <w:p/>
    <w:sectPr>
      <w:headerReference r:id="rId7" w:type="first"/>
      <w:footerReference r:id="rId10" w:type="first"/>
      <w:headerReference r:id="rId6" w:type="default"/>
      <w:footerReference r:id="rId8" w:type="default"/>
      <w:footerReference r:id="rId9" w:type="even"/>
      <w:pgSz w:w="11906" w:h="16838"/>
      <w:pgMar w:top="1418" w:right="1247" w:bottom="1418" w:left="1418" w:header="680" w:footer="680" w:gutter="0"/>
      <w:pgNumType w:fmt="decimal"/>
      <w:cols w:space="720" w:num="1"/>
      <w:docGrid w:type="linesAndChars" w:linePitch="466" w:charSpace="-639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A00002EF" w:usb1="4000004B" w:usb2="00000000" w:usb3="00000000" w:csb0="2000009F" w:csb1="00000000"/>
  </w:font>
  <w:font w:name="MS Sans Serif">
    <w:altName w:val="Arial"/>
    <w:panose1 w:val="00000000000000000000"/>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8"/>
      </w:rPr>
    </w:pPr>
    <w:r>
      <w:fldChar w:fldCharType="begin"/>
    </w:r>
    <w:r>
      <w:rPr>
        <w:rStyle w:val="8"/>
        <w:highlight w:val="white"/>
      </w:rPr>
      <w:instrText xml:space="preserve">PAGE  </w:instrText>
    </w:r>
    <w:r>
      <w:fldChar w:fldCharType="separate"/>
    </w:r>
    <w:r>
      <w:fldChar w:fldCharType="end"/>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8"/>
      </w:rPr>
    </w:pPr>
    <w:r>
      <w:fldChar w:fldCharType="begin"/>
    </w:r>
    <w:r>
      <w:rPr>
        <w:rStyle w:val="8"/>
        <w:highlight w:val="white"/>
      </w:rPr>
      <w:instrText xml:space="preserve">PAGE  </w:instrText>
    </w:r>
    <w:r>
      <w:fldChar w:fldCharType="separate"/>
    </w:r>
    <w:r>
      <w:fldChar w:fldCharType="end"/>
    </w:r>
  </w:p>
  <w:p>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rPr>
        <w:rFonts w:eastAsia="楷体_GB2312"/>
        <w:sz w:val="21"/>
        <w:shd w:val="pct10" w:color="auto" w:fill="FFFFFF"/>
        <w:lang w:eastAsia="zh-CN"/>
      </w:rPr>
    </w:pPr>
    <w:r>
      <w:rPr>
        <w:rFonts w:hint="eastAsia" w:eastAsia="楷体_GB2312"/>
        <w:sz w:val="21"/>
        <w:highlight w:val="white"/>
        <w:shd w:val="pct10" w:color="auto" w:fill="FFFFFF"/>
      </w:rPr>
      <w:t xml:space="preserve">公开 公平 公正 诚信                                          </w:t>
    </w:r>
    <w:r>
      <w:rPr>
        <w:rFonts w:hint="eastAsia" w:eastAsia="楷体_GB2312"/>
        <w:sz w:val="21"/>
        <w:highlight w:val="white"/>
        <w:shd w:val="pct10" w:color="auto" w:fill="FFFFFF"/>
        <w:lang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rPr>
        <w:rFonts w:eastAsia="楷体_GB2312"/>
        <w:sz w:val="21"/>
        <w:shd w:val="pct10" w:color="auto" w:fill="FFFFFF"/>
        <w:lang w:eastAsia="zh-CN"/>
      </w:rPr>
    </w:pPr>
    <w:r>
      <w:rPr>
        <w:rFonts w:hint="eastAsia" w:eastAsia="楷体_GB2312"/>
        <w:sz w:val="21"/>
        <w:highlight w:val="white"/>
        <w:shd w:val="pct10" w:color="auto" w:fill="FFFFFF"/>
      </w:rPr>
      <w:t xml:space="preserve">公开 公平 公正 诚信                                         </w:t>
    </w:r>
    <w:r>
      <w:rPr>
        <w:rFonts w:hint="eastAsia" w:eastAsia="楷体_GB2312"/>
        <w:sz w:val="21"/>
        <w:highlight w:val="white"/>
        <w:shd w:val="pct10" w:color="auto" w:fill="FFFFFF"/>
        <w:lang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rPr>
        <w:rFonts w:eastAsia="楷体_GB2312"/>
        <w:sz w:val="21"/>
        <w:shd w:val="pct10" w:color="auto" w:fill="FFFFFF"/>
      </w:rPr>
    </w:pPr>
    <w:r>
      <w:rPr>
        <w:rFonts w:hint="eastAsia" w:eastAsia="楷体_GB2312"/>
        <w:sz w:val="21"/>
        <w:highlight w:val="white"/>
        <w:shd w:val="pct10" w:color="auto" w:fill="FFFFFF"/>
      </w:rPr>
      <w:t>公开公平公正诚信洛阳市政府采购中心招标文件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80FBC9"/>
    <w:multiLevelType w:val="singleLevel"/>
    <w:tmpl w:val="AB80FBC9"/>
    <w:lvl w:ilvl="0" w:tentative="0">
      <w:start w:val="3"/>
      <w:numFmt w:val="decimal"/>
      <w:lvlText w:val="%1."/>
      <w:lvlJc w:val="left"/>
      <w:pPr>
        <w:tabs>
          <w:tab w:val="left" w:pos="312"/>
        </w:tabs>
      </w:pPr>
    </w:lvl>
  </w:abstractNum>
  <w:abstractNum w:abstractNumId="1">
    <w:nsid w:val="19F8CACE"/>
    <w:multiLevelType w:val="singleLevel"/>
    <w:tmpl w:val="19F8CACE"/>
    <w:lvl w:ilvl="0" w:tentative="0">
      <w:start w:val="1"/>
      <w:numFmt w:val="decimal"/>
      <w:suff w:val="nothing"/>
      <w:lvlText w:val="%1、"/>
      <w:lvlJc w:val="left"/>
    </w:lvl>
  </w:abstractNum>
  <w:abstractNum w:abstractNumId="2">
    <w:nsid w:val="4F724E86"/>
    <w:multiLevelType w:val="singleLevel"/>
    <w:tmpl w:val="4F724E86"/>
    <w:lvl w:ilvl="0" w:tentative="0">
      <w:start w:val="1"/>
      <w:numFmt w:val="decimal"/>
      <w:lvlText w:val="%1."/>
      <w:lvlJc w:val="left"/>
      <w:pPr>
        <w:tabs>
          <w:tab w:val="left" w:pos="312"/>
        </w:tabs>
      </w:pPr>
    </w:lvl>
  </w:abstractNum>
  <w:abstractNum w:abstractNumId="3">
    <w:nsid w:val="732F2F6A"/>
    <w:multiLevelType w:val="multilevel"/>
    <w:tmpl w:val="732F2F6A"/>
    <w:lvl w:ilvl="0" w:tentative="0">
      <w:start w:val="1"/>
      <w:numFmt w:val="japaneseCounting"/>
      <w:lvlText w:val="第%1条"/>
      <w:lvlJc w:val="left"/>
      <w:pPr>
        <w:ind w:left="1245" w:hanging="765"/>
      </w:pPr>
      <w:rPr>
        <w:rFonts w:hint="default" w:ascii="Times New Roman" w:hAnsi="Times New Roman" w:cs="Times New Roman"/>
      </w:rPr>
    </w:lvl>
    <w:lvl w:ilvl="1" w:tentative="0">
      <w:start w:val="1"/>
      <w:numFmt w:val="lowerLetter"/>
      <w:lvlText w:val="%2)"/>
      <w:lvlJc w:val="left"/>
      <w:pPr>
        <w:ind w:left="1320" w:hanging="420"/>
      </w:pPr>
      <w:rPr>
        <w:rFonts w:hint="default" w:ascii="Times New Roman" w:hAnsi="Times New Roman" w:cs="Times New Roman"/>
      </w:rPr>
    </w:lvl>
    <w:lvl w:ilvl="2" w:tentative="0">
      <w:start w:val="1"/>
      <w:numFmt w:val="lowerRoman"/>
      <w:lvlText w:val="%3."/>
      <w:lvlJc w:val="right"/>
      <w:pPr>
        <w:ind w:left="1740" w:hanging="420"/>
      </w:pPr>
      <w:rPr>
        <w:rFonts w:hint="default" w:ascii="Times New Roman" w:hAnsi="Times New Roman" w:cs="Times New Roman"/>
      </w:rPr>
    </w:lvl>
    <w:lvl w:ilvl="3" w:tentative="0">
      <w:start w:val="1"/>
      <w:numFmt w:val="decimal"/>
      <w:lvlText w:val="%4."/>
      <w:lvlJc w:val="left"/>
      <w:pPr>
        <w:ind w:left="2160" w:hanging="420"/>
      </w:pPr>
      <w:rPr>
        <w:rFonts w:hint="default" w:ascii="Times New Roman" w:hAnsi="Times New Roman" w:cs="Times New Roman"/>
      </w:rPr>
    </w:lvl>
    <w:lvl w:ilvl="4" w:tentative="0">
      <w:start w:val="1"/>
      <w:numFmt w:val="lowerLetter"/>
      <w:lvlText w:val="%5)"/>
      <w:lvlJc w:val="left"/>
      <w:pPr>
        <w:ind w:left="2580" w:hanging="420"/>
      </w:pPr>
      <w:rPr>
        <w:rFonts w:hint="default" w:ascii="Times New Roman" w:hAnsi="Times New Roman" w:cs="Times New Roman"/>
      </w:rPr>
    </w:lvl>
    <w:lvl w:ilvl="5" w:tentative="0">
      <w:start w:val="1"/>
      <w:numFmt w:val="lowerRoman"/>
      <w:lvlText w:val="%6."/>
      <w:lvlJc w:val="right"/>
      <w:pPr>
        <w:ind w:left="3000" w:hanging="420"/>
      </w:pPr>
      <w:rPr>
        <w:rFonts w:hint="default" w:ascii="Times New Roman" w:hAnsi="Times New Roman" w:cs="Times New Roman"/>
      </w:rPr>
    </w:lvl>
    <w:lvl w:ilvl="6" w:tentative="0">
      <w:start w:val="1"/>
      <w:numFmt w:val="decimal"/>
      <w:lvlText w:val="%7."/>
      <w:lvlJc w:val="left"/>
      <w:pPr>
        <w:ind w:left="3420" w:hanging="420"/>
      </w:pPr>
      <w:rPr>
        <w:rFonts w:hint="default" w:ascii="Times New Roman" w:hAnsi="Times New Roman" w:cs="Times New Roman"/>
      </w:rPr>
    </w:lvl>
    <w:lvl w:ilvl="7" w:tentative="0">
      <w:start w:val="1"/>
      <w:numFmt w:val="lowerLetter"/>
      <w:lvlText w:val="%8)"/>
      <w:lvlJc w:val="left"/>
      <w:pPr>
        <w:ind w:left="3840" w:hanging="420"/>
      </w:pPr>
      <w:rPr>
        <w:rFonts w:hint="default" w:ascii="Times New Roman" w:hAnsi="Times New Roman" w:cs="Times New Roman"/>
      </w:rPr>
    </w:lvl>
    <w:lvl w:ilvl="8" w:tentative="0">
      <w:start w:val="1"/>
      <w:numFmt w:val="lowerRoman"/>
      <w:lvlText w:val="%9."/>
      <w:lvlJc w:val="right"/>
      <w:pPr>
        <w:ind w:left="4260" w:hanging="420"/>
      </w:pPr>
      <w:rPr>
        <w:rFonts w:hint="default" w:ascii="Times New Roman" w:hAnsi="Times New Roman" w:cs="Times New Roman"/>
      </w:rPr>
    </w:lvl>
  </w:abstractNum>
  <w:abstractNum w:abstractNumId="4">
    <w:nsid w:val="732F2F6B"/>
    <w:multiLevelType w:val="singleLevel"/>
    <w:tmpl w:val="732F2F6B"/>
    <w:lvl w:ilvl="0" w:tentative="0">
      <w:start w:val="2"/>
      <w:numFmt w:val="decimal"/>
      <w:lvlText w:val="%1."/>
      <w:lvlJc w:val="left"/>
      <w:pPr>
        <w:tabs>
          <w:tab w:val="left" w:pos="312"/>
        </w:tabs>
      </w:pPr>
    </w:lvl>
  </w:abstractNum>
  <w:abstractNum w:abstractNumId="5">
    <w:nsid w:val="732F2F6C"/>
    <w:multiLevelType w:val="singleLevel"/>
    <w:tmpl w:val="732F2F6C"/>
    <w:lvl w:ilvl="0" w:tentative="0">
      <w:start w:val="2"/>
      <w:numFmt w:val="decimal"/>
      <w:lvlText w:val="%1."/>
      <w:lvlJc w:val="left"/>
      <w:pPr>
        <w:tabs>
          <w:tab w:val="left" w:pos="312"/>
        </w:tabs>
      </w:pPr>
    </w:lvl>
  </w:abstractNum>
  <w:num w:numId="1">
    <w:abstractNumId w:val="2"/>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xZWQyZDgyYzgwOTQ1Nzk1ODI2NmI1NjkyYjUxZWEifQ=="/>
  </w:docVars>
  <w:rsids>
    <w:rsidRoot w:val="62DF790C"/>
    <w:rsid w:val="0A301B77"/>
    <w:rsid w:val="32044D5A"/>
    <w:rsid w:val="36050986"/>
    <w:rsid w:val="62DF79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rFonts w:ascii="仿宋_GB2312" w:eastAsia="仿宋_GB2312"/>
      <w:kern w:val="2"/>
      <w:sz w:val="18"/>
      <w:szCs w:val="18"/>
    </w:rPr>
  </w:style>
  <w:style w:type="paragraph" w:styleId="3">
    <w:name w:val="header"/>
    <w:basedOn w:val="1"/>
    <w:qFormat/>
    <w:uiPriority w:val="99"/>
    <w:pPr>
      <w:pBdr>
        <w:bottom w:val="single" w:color="auto" w:sz="6" w:space="1"/>
      </w:pBdr>
      <w:tabs>
        <w:tab w:val="center" w:pos="4153"/>
        <w:tab w:val="right" w:pos="8306"/>
      </w:tabs>
      <w:snapToGrid w:val="0"/>
      <w:jc w:val="center"/>
    </w:pPr>
    <w:rPr>
      <w:rFonts w:ascii="仿宋_GB2312" w:eastAsia="仿宋_GB2312"/>
      <w:kern w:val="2"/>
      <w:sz w:val="18"/>
      <w:szCs w:val="18"/>
    </w:rPr>
  </w:style>
  <w:style w:type="paragraph" w:styleId="4">
    <w:name w:val="toc 1"/>
    <w:basedOn w:val="1"/>
    <w:next w:val="1"/>
    <w:qFormat/>
    <w:uiPriority w:val="39"/>
    <w:pPr>
      <w:spacing w:before="120" w:after="120"/>
      <w:jc w:val="left"/>
    </w:pPr>
    <w:rPr>
      <w:rFonts w:ascii="Calibri" w:hAnsi="Calibri" w:eastAsia="微软雅黑" w:cs="Calibri"/>
      <w:b/>
      <w:bCs/>
      <w:caps/>
      <w:spacing w:val="20"/>
    </w:rPr>
  </w:style>
  <w:style w:type="paragraph" w:styleId="5">
    <w:name w:val="Title"/>
    <w:basedOn w:val="1"/>
    <w:next w:val="1"/>
    <w:qFormat/>
    <w:uiPriority w:val="0"/>
    <w:pPr>
      <w:widowControl/>
      <w:jc w:val="center"/>
      <w:outlineLvl w:val="0"/>
    </w:pPr>
    <w:rPr>
      <w:rFonts w:ascii="Cambria" w:hAnsi="Cambria" w:eastAsia="微软雅黑"/>
      <w:b/>
      <w:bCs/>
      <w:kern w:val="28"/>
      <w:sz w:val="44"/>
      <w:lang w:eastAsia="en-US" w:bidi="en-US"/>
    </w:rPr>
  </w:style>
  <w:style w:type="character" w:styleId="8">
    <w:name w:val="page number"/>
    <w:basedOn w:val="7"/>
    <w:uiPriority w:val="0"/>
  </w:style>
  <w:style w:type="paragraph" w:customStyle="1" w:styleId="9">
    <w:name w:val="*正文_0"/>
    <w:basedOn w:val="10"/>
    <w:next w:val="10"/>
    <w:qFormat/>
    <w:uiPriority w:val="0"/>
    <w:pPr>
      <w:widowControl/>
      <w:ind w:firstLine="482"/>
    </w:pPr>
    <w:rPr>
      <w:rFonts w:ascii="微软雅黑" w:hAnsi="微软雅黑" w:eastAsia="微软雅黑"/>
      <w:kern w:val="0"/>
      <w:szCs w:val="21"/>
      <w:lang w:val="en-US" w:eastAsia="zh-CN"/>
    </w:rPr>
  </w:style>
  <w:style w:type="paragraph" w:customStyle="1" w:styleId="10">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
    <w:name w:val="正文_1"/>
    <w:next w:val="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
    <w:name w:val="正文首行缩进_0"/>
    <w:basedOn w:val="13"/>
    <w:unhideWhenUsed/>
    <w:qFormat/>
    <w:uiPriority w:val="0"/>
    <w:pPr>
      <w:spacing w:line="312" w:lineRule="auto"/>
      <w:ind w:firstLine="420"/>
    </w:pPr>
    <w:rPr>
      <w:rFonts w:ascii="Times New Roman" w:hAnsi="Times New Roman"/>
      <w:szCs w:val="24"/>
    </w:rPr>
  </w:style>
  <w:style w:type="paragraph" w:customStyle="1" w:styleId="13">
    <w:name w:val="正文文本_0"/>
    <w:basedOn w:val="11"/>
    <w:next w:val="11"/>
    <w:autoRedefine/>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14">
    <w:name w:val="*正文"/>
    <w:basedOn w:val="1"/>
    <w:next w:val="1"/>
    <w:qFormat/>
    <w:uiPriority w:val="0"/>
    <w:pPr>
      <w:widowControl/>
      <w:ind w:firstLine="482"/>
    </w:pPr>
    <w:rPr>
      <w:rFonts w:ascii="微软雅黑" w:hAnsi="微软雅黑" w:eastAsia="微软雅黑"/>
      <w:sz w:val="21"/>
    </w:rPr>
  </w:style>
  <w:style w:type="paragraph" w:customStyle="1" w:styleId="15">
    <w:name w:val="*正文_1"/>
    <w:basedOn w:val="16"/>
    <w:next w:val="16"/>
    <w:qFormat/>
    <w:uiPriority w:val="0"/>
    <w:pPr>
      <w:widowControl/>
      <w:ind w:firstLine="482"/>
    </w:pPr>
    <w:rPr>
      <w:rFonts w:ascii="微软雅黑" w:hAnsi="微软雅黑" w:eastAsia="微软雅黑"/>
      <w:kern w:val="0"/>
    </w:rPr>
  </w:style>
  <w:style w:type="paragraph" w:customStyle="1" w:styleId="16">
    <w:name w:val="正文_1_0_0"/>
    <w:basedOn w:val="17"/>
    <w:next w:val="18"/>
    <w:qFormat/>
    <w:uiPriority w:val="0"/>
    <w:rPr>
      <w:rFonts w:ascii="Times New Roman" w:hAnsi="Times New Roman"/>
      <w:szCs w:val="21"/>
    </w:rPr>
  </w:style>
  <w:style w:type="paragraph" w:customStyle="1" w:styleId="17">
    <w:name w:val="正文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
    <w:name w:val="Default_1_0"/>
    <w:next w:val="19"/>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9">
    <w:name w:val="正文_1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
    <w:name w:val="标题_0"/>
    <w:basedOn w:val="21"/>
    <w:next w:val="21"/>
    <w:qFormat/>
    <w:uiPriority w:val="0"/>
    <w:pPr>
      <w:widowControl/>
      <w:spacing w:before="240" w:after="60" w:line="360" w:lineRule="auto"/>
      <w:ind w:firstLine="200" w:firstLineChars="200"/>
      <w:jc w:val="center"/>
      <w:outlineLvl w:val="0"/>
    </w:pPr>
    <w:rPr>
      <w:rFonts w:ascii="Cambria" w:hAnsi="Cambria"/>
      <w:b/>
      <w:bCs/>
      <w:sz w:val="32"/>
      <w:szCs w:val="32"/>
    </w:rPr>
  </w:style>
  <w:style w:type="paragraph" w:customStyle="1" w:styleId="21">
    <w:name w:val="正文_1_0"/>
    <w:basedOn w:val="17"/>
    <w:next w:val="22"/>
    <w:qFormat/>
    <w:uiPriority w:val="0"/>
    <w:rPr>
      <w:rFonts w:ascii="Times New Roman" w:hAnsi="Times New Roman"/>
      <w:szCs w:val="21"/>
      <w:lang w:val="en-US" w:eastAsia="zh-CN"/>
    </w:rPr>
  </w:style>
  <w:style w:type="paragraph" w:customStyle="1" w:styleId="22">
    <w:name w:val="正文首行缩进 2_1"/>
    <w:basedOn w:val="23"/>
    <w:qFormat/>
    <w:uiPriority w:val="0"/>
    <w:pPr>
      <w:spacing w:before="100" w:beforeAutospacing="1" w:line="240" w:lineRule="auto"/>
      <w:ind w:left="200" w:leftChars="200" w:firstLine="200" w:firstLineChars="200"/>
    </w:pPr>
    <w:rPr>
      <w:rFonts w:ascii="Calibri" w:hAnsi="Calibri" w:cs="Times New Roman"/>
    </w:rPr>
  </w:style>
  <w:style w:type="paragraph" w:customStyle="1" w:styleId="23">
    <w:name w:val="正文文本缩进_1"/>
    <w:basedOn w:val="21"/>
    <w:qFormat/>
    <w:uiPriority w:val="0"/>
    <w:pPr>
      <w:widowControl/>
      <w:overflowPunct w:val="0"/>
      <w:autoSpaceDE w:val="0"/>
      <w:autoSpaceDN w:val="0"/>
      <w:adjustRightInd w:val="0"/>
      <w:spacing w:line="360" w:lineRule="auto"/>
      <w:ind w:firstLine="540"/>
    </w:pPr>
    <w:rPr>
      <w:rFonts w:ascii="宋体" w:hAnsi="MS Sans Serif" w:cs="宋体"/>
      <w:spacing w:val="12"/>
      <w:kern w:val="0"/>
      <w:sz w:val="24"/>
      <w:szCs w:val="24"/>
    </w:rPr>
  </w:style>
  <w:style w:type="paragraph" w:customStyle="1" w:styleId="24">
    <w:name w:val="正文_4"/>
    <w:next w:val="25"/>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
    <w:name w:val="副标题_0"/>
    <w:basedOn w:val="24"/>
    <w:next w:val="24"/>
    <w:autoRedefine/>
    <w:qFormat/>
    <w:uiPriority w:val="11"/>
    <w:pPr>
      <w:widowControl/>
      <w:spacing w:before="240" w:after="60" w:line="312" w:lineRule="auto"/>
      <w:ind w:firstLine="200" w:firstLineChars="200"/>
      <w:jc w:val="center"/>
      <w:outlineLvl w:val="1"/>
    </w:pPr>
    <w:rPr>
      <w:rFonts w:ascii="Cambria" w:hAnsi="Cambria"/>
      <w:b/>
      <w:bCs/>
      <w:kern w:val="28"/>
      <w:sz w:val="32"/>
      <w:szCs w:val="32"/>
    </w:rPr>
  </w:style>
  <w:style w:type="paragraph" w:customStyle="1" w:styleId="26">
    <w:name w:val="普通(网站)_0"/>
    <w:basedOn w:val="27"/>
    <w:autoRedefine/>
    <w:unhideWhenUsed/>
    <w:qFormat/>
    <w:uiPriority w:val="99"/>
    <w:pPr>
      <w:widowControl/>
      <w:spacing w:before="100" w:beforeAutospacing="1" w:after="100" w:afterAutospacing="1" w:line="320" w:lineRule="atLeast"/>
      <w:ind w:firstLine="200" w:firstLineChars="200"/>
      <w:jc w:val="left"/>
    </w:pPr>
    <w:rPr>
      <w:rFonts w:ascii="宋体" w:hAnsi="宋体"/>
      <w:kern w:val="0"/>
      <w:sz w:val="18"/>
      <w:szCs w:val="18"/>
    </w:rPr>
  </w:style>
  <w:style w:type="paragraph" w:customStyle="1" w:styleId="27">
    <w:name w:val="正文_3"/>
    <w:next w:val="2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
    <w:name w:val="正文首行缩进_1"/>
    <w:basedOn w:val="29"/>
    <w:autoRedefine/>
    <w:unhideWhenUsed/>
    <w:qFormat/>
    <w:uiPriority w:val="0"/>
    <w:pPr>
      <w:spacing w:line="312" w:lineRule="auto"/>
      <w:ind w:firstLine="420"/>
    </w:pPr>
    <w:rPr>
      <w:rFonts w:ascii="Times New Roman" w:hAnsi="Times New Roman"/>
      <w:szCs w:val="24"/>
    </w:rPr>
  </w:style>
  <w:style w:type="paragraph" w:customStyle="1" w:styleId="29">
    <w:name w:val="正文文本_1"/>
    <w:basedOn w:val="27"/>
    <w:next w:val="27"/>
    <w:autoRedefine/>
    <w:unhideWhenUsed/>
    <w:qFormat/>
    <w:uiPriority w:val="0"/>
    <w:pPr>
      <w:widowControl/>
      <w:adjustRightInd w:val="0"/>
      <w:spacing w:after="60" w:line="360" w:lineRule="atLeast"/>
      <w:ind w:left="72" w:leftChars="30" w:right="30" w:rightChars="30" w:firstLine="200" w:firstLineChars="200"/>
      <w:jc w:val="center"/>
    </w:pPr>
    <w:rPr>
      <w:rFonts w:ascii="Calibri" w:hAnsi="Calibri"/>
      <w:kern w:val="0"/>
      <w:sz w:val="20"/>
      <w:szCs w:val="20"/>
    </w:rPr>
  </w:style>
  <w:style w:type="paragraph" w:customStyle="1" w:styleId="30">
    <w:name w:val="_Style 388"/>
    <w:basedOn w:val="27"/>
    <w:next w:val="27"/>
    <w:autoRedefine/>
    <w:qFormat/>
    <w:uiPriority w:val="0"/>
    <w:pPr>
      <w:pBdr>
        <w:top w:val="single" w:color="auto" w:sz="6" w:space="1"/>
      </w:pBdr>
      <w:jc w:val="center"/>
    </w:pPr>
    <w:rPr>
      <w:rFonts w:ascii="Arial" w:hAnsi="Calibri" w:eastAsia="宋体"/>
      <w:vanish/>
      <w:sz w:val="16"/>
    </w:rPr>
  </w:style>
  <w:style w:type="paragraph" w:customStyle="1" w:styleId="31">
    <w:name w:val="普通(网站)_0_0"/>
    <w:basedOn w:val="17"/>
    <w:autoRedefine/>
    <w:qFormat/>
    <w:uiPriority w:val="99"/>
    <w:pPr>
      <w:widowControl/>
      <w:spacing w:before="100" w:beforeAutospacing="1" w:after="100" w:afterAutospacing="1" w:line="320" w:lineRule="atLeast"/>
      <w:ind w:firstLine="200" w:firstLineChars="200"/>
      <w:jc w:val="left"/>
    </w:pPr>
    <w:rPr>
      <w:rFonts w:ascii="宋体" w:hAnsi="宋体"/>
      <w:kern w:val="0"/>
      <w:sz w:val="18"/>
      <w:szCs w:val="18"/>
      <w:lang w:val="en-US" w:eastAsia="zh-CN"/>
    </w:rPr>
  </w:style>
  <w:style w:type="paragraph" w:customStyle="1" w:styleId="32">
    <w:name w:val="普通(网站)_1"/>
    <w:basedOn w:val="24"/>
    <w:unhideWhenUsed/>
    <w:qFormat/>
    <w:uiPriority w:val="99"/>
    <w:pPr>
      <w:widowControl/>
      <w:spacing w:before="100" w:beforeAutospacing="1" w:after="100" w:afterAutospacing="1" w:line="320" w:lineRule="atLeast"/>
      <w:ind w:firstLine="200" w:firstLineChars="200"/>
      <w:jc w:val="left"/>
    </w:pPr>
    <w:rPr>
      <w:rFonts w:ascii="宋体" w:hAnsi="宋体"/>
      <w:kern w:val="0"/>
      <w:sz w:val="18"/>
      <w:szCs w:val="18"/>
    </w:rPr>
  </w:style>
  <w:style w:type="paragraph" w:customStyle="1" w:styleId="33">
    <w:name w:val="*正文_1_0"/>
    <w:basedOn w:val="16"/>
    <w:next w:val="16"/>
    <w:qFormat/>
    <w:uiPriority w:val="0"/>
    <w:pPr>
      <w:widowControl/>
      <w:ind w:firstLine="482"/>
    </w:pPr>
    <w:rPr>
      <w:rFonts w:ascii="微软雅黑" w:hAnsi="微软雅黑" w:eastAsia="微软雅黑"/>
      <w:kern w:val="0"/>
      <w:lang w:val="en-US" w:eastAsia="zh-CN"/>
    </w:rPr>
  </w:style>
  <w:style w:type="paragraph" w:customStyle="1" w:styleId="34">
    <w:name w:val="标题 3_0"/>
    <w:basedOn w:val="21"/>
    <w:next w:val="21"/>
    <w:qFormat/>
    <w:uiPriority w:val="0"/>
    <w:pPr>
      <w:keepNext/>
      <w:keepLines/>
      <w:spacing w:before="260" w:after="260" w:line="412" w:lineRule="auto"/>
      <w:outlineLvl w:val="2"/>
    </w:pPr>
    <w:rPr>
      <w:rFonts w:ascii="Calibri" w:hAnsi="Calibri"/>
      <w:b/>
      <w:bCs/>
      <w:sz w:val="32"/>
      <w:szCs w:val="32"/>
    </w:rPr>
  </w:style>
  <w:style w:type="paragraph" w:customStyle="1" w:styleId="35">
    <w:name w:val="标题 4_0"/>
    <w:basedOn w:val="21"/>
    <w:next w:val="21"/>
    <w:autoRedefine/>
    <w:qFormat/>
    <w:uiPriority w:val="0"/>
    <w:pPr>
      <w:keepNext/>
      <w:keepLines/>
      <w:spacing w:before="280" w:after="290" w:line="372" w:lineRule="auto"/>
      <w:outlineLvl w:val="3"/>
    </w:pPr>
    <w:rPr>
      <w:rFonts w:ascii="Arial" w:hAnsi="Arial" w:eastAsia="黑体"/>
      <w:b/>
      <w:bCs/>
      <w:sz w:val="28"/>
      <w:szCs w:val="28"/>
    </w:rPr>
  </w:style>
  <w:style w:type="paragraph" w:customStyle="1" w:styleId="36">
    <w:name w:val="*正文_2"/>
    <w:basedOn w:val="24"/>
    <w:next w:val="24"/>
    <w:qFormat/>
    <w:uiPriority w:val="0"/>
    <w:pPr>
      <w:widowControl/>
      <w:ind w:firstLine="482"/>
    </w:pPr>
    <w:rPr>
      <w:rFonts w:ascii="微软雅黑" w:hAnsi="微软雅黑" w:eastAsia="微软雅黑"/>
      <w:kern w:val="0"/>
      <w:szCs w:val="20"/>
    </w:rPr>
  </w:style>
  <w:style w:type="paragraph" w:customStyle="1" w:styleId="37">
    <w:name w:val="批注文字_0"/>
    <w:basedOn w:val="24"/>
    <w:unhideWhenUsed/>
    <w:qFormat/>
    <w:uiPriority w:val="0"/>
    <w:pPr>
      <w:jc w:val="left"/>
    </w:pPr>
    <w:rPr>
      <w:rFonts w:ascii="Calibri" w:hAnsi="Calibri"/>
    </w:rPr>
  </w:style>
  <w:style w:type="paragraph" w:customStyle="1" w:styleId="38">
    <w:name w:val="标题 1_0"/>
    <w:basedOn w:val="24"/>
    <w:next w:val="24"/>
    <w:qFormat/>
    <w:uiPriority w:val="0"/>
    <w:pPr>
      <w:keepNext/>
      <w:keepLines/>
      <w:spacing w:line="360" w:lineRule="auto"/>
      <w:outlineLvl w:val="0"/>
    </w:pPr>
    <w:rPr>
      <w:rFonts w:ascii="Calibri" w:hAnsi="Calibri"/>
      <w:b/>
      <w:bCs/>
      <w:kern w:val="44"/>
      <w:sz w:val="32"/>
      <w:szCs w:val="44"/>
    </w:rPr>
  </w:style>
  <w:style w:type="paragraph" w:customStyle="1" w:styleId="39">
    <w:name w:val="标题 2_0"/>
    <w:basedOn w:val="24"/>
    <w:next w:val="24"/>
    <w:unhideWhenUsed/>
    <w:qFormat/>
    <w:uiPriority w:val="0"/>
    <w:pPr>
      <w:keepNext/>
      <w:keepLines/>
      <w:spacing w:before="260" w:after="260" w:line="415" w:lineRule="auto"/>
      <w:outlineLvl w:val="1"/>
    </w:pPr>
    <w:rPr>
      <w:rFonts w:ascii="Arial" w:hAnsi="Arial" w:eastAsia="黑体"/>
      <w:b/>
      <w:bCs/>
      <w:sz w:val="32"/>
      <w:szCs w:val="32"/>
    </w:rPr>
  </w:style>
  <w:style w:type="paragraph" w:customStyle="1" w:styleId="40">
    <w:name w:val="Default_0"/>
    <w:next w:val="4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1">
    <w:name w:val="大标题_0"/>
    <w:basedOn w:val="24"/>
    <w:next w:val="42"/>
    <w:autoRedefine/>
    <w:qFormat/>
    <w:uiPriority w:val="0"/>
    <w:pPr>
      <w:jc w:val="center"/>
    </w:pPr>
    <w:rPr>
      <w:rFonts w:ascii="Arial" w:hAnsi="Arial" w:eastAsia="宋体"/>
      <w:b/>
      <w:sz w:val="28"/>
      <w:szCs w:val="24"/>
    </w:rPr>
  </w:style>
  <w:style w:type="paragraph" w:customStyle="1" w:styleId="42">
    <w:name w:val="正文首行缩进 2_0"/>
    <w:basedOn w:val="43"/>
    <w:next w:val="24"/>
    <w:autoRedefine/>
    <w:qFormat/>
    <w:uiPriority w:val="0"/>
    <w:pPr>
      <w:spacing w:after="120" w:afterLines="0" w:line="240" w:lineRule="auto"/>
      <w:ind w:left="200" w:leftChars="200" w:firstLine="200" w:firstLineChars="200"/>
    </w:pPr>
    <w:rPr>
      <w:rFonts w:ascii="Calibri" w:hAnsi="Calibri"/>
    </w:rPr>
  </w:style>
  <w:style w:type="paragraph" w:customStyle="1" w:styleId="43">
    <w:name w:val="正文文本缩进_0"/>
    <w:basedOn w:val="24"/>
    <w:autoRedefine/>
    <w:unhideWhenUsed/>
    <w:qFormat/>
    <w:uiPriority w:val="0"/>
    <w:pPr>
      <w:widowControl/>
      <w:overflowPunct w:val="0"/>
      <w:autoSpaceDE w:val="0"/>
      <w:autoSpaceDN w:val="0"/>
      <w:adjustRightInd w:val="0"/>
      <w:spacing w:line="360" w:lineRule="auto"/>
      <w:ind w:firstLine="540"/>
    </w:pPr>
    <w:rPr>
      <w:rFonts w:ascii="宋体" w:hAnsi="MS Sans Serif"/>
      <w:spacing w:val="12"/>
      <w:kern w:val="0"/>
      <w:sz w:val="24"/>
      <w:szCs w:val="20"/>
    </w:rPr>
  </w:style>
  <w:style w:type="paragraph" w:customStyle="1" w:styleId="44">
    <w:name w:val="纯文本_0_0"/>
    <w:basedOn w:val="17"/>
    <w:qFormat/>
    <w:uiPriority w:val="99"/>
    <w:rPr>
      <w:rFonts w:ascii="宋体" w:hAnsi="Courier New"/>
      <w:bCs/>
      <w:lang w:val="en-US" w:eastAsia="zh-CN"/>
    </w:rPr>
  </w:style>
  <w:style w:type="paragraph" w:customStyle="1" w:styleId="45">
    <w:name w:val="Normal"/>
    <w:autoRedefine/>
    <w:qFormat/>
    <w:uiPriority w:val="0"/>
    <w:rPr>
      <w:rFonts w:ascii="Times New Roman" w:hAnsi="Times New Roman" w:eastAsia="Times New Roman" w:cs="Times New Roman"/>
      <w:sz w:val="24"/>
      <w:szCs w:val="24"/>
      <w:lang w:bidi="ar-SA"/>
    </w:rPr>
  </w:style>
  <w:style w:type="paragraph" w:customStyle="1" w:styleId="46">
    <w:name w:val="Normal_0"/>
    <w:autoRedefine/>
    <w:qFormat/>
    <w:uiPriority w:val="0"/>
    <w:rPr>
      <w:rFonts w:ascii="黑体" w:hAnsi="黑体" w:eastAsia="黑体" w:cs="Times New Roman"/>
      <w:b/>
      <w:sz w:val="32"/>
      <w:szCs w:val="24"/>
      <w:lang w:bidi="ar-SA"/>
    </w:rPr>
  </w:style>
  <w:style w:type="paragraph" w:customStyle="1" w:styleId="47">
    <w:name w:val="正文_2_0"/>
    <w:basedOn w:val="48"/>
    <w:qFormat/>
    <w:uiPriority w:val="0"/>
    <w:rPr>
      <w:rFonts w:ascii="Calibri" w:hAnsi="Calibri" w:eastAsia="宋体"/>
      <w:szCs w:val="21"/>
      <w:lang w:val="en-US" w:eastAsia="zh-CN"/>
    </w:rPr>
  </w:style>
  <w:style w:type="paragraph" w:customStyle="1" w:styleId="48">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
    <w:name w:val="Normal_2"/>
    <w:autoRedefine/>
    <w:qFormat/>
    <w:uiPriority w:val="0"/>
    <w:rPr>
      <w:rFonts w:ascii="黑体" w:hAnsi="黑体" w:eastAsia="黑体" w:cs="Times New Roman"/>
      <w:b/>
      <w:sz w:val="32"/>
      <w:szCs w:val="24"/>
      <w:lang w:bidi="ar-SA"/>
    </w:rPr>
  </w:style>
  <w:style w:type="paragraph" w:customStyle="1" w:styleId="50">
    <w:name w:val="正文_0_0"/>
    <w:basedOn w:val="51"/>
    <w:qFormat/>
    <w:uiPriority w:val="0"/>
    <w:rPr>
      <w:rFonts w:ascii="Calibri" w:hAnsi="Calibri" w:eastAsia="宋体"/>
      <w:szCs w:val="21"/>
      <w:lang w:val="en-US" w:eastAsia="zh-CN"/>
    </w:rPr>
  </w:style>
  <w:style w:type="paragraph" w:customStyle="1" w:styleId="51">
    <w:name w:val="正文_0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Normal_3"/>
    <w:qFormat/>
    <w:uiPriority w:val="0"/>
    <w:rPr>
      <w:rFonts w:ascii="黑体" w:hAnsi="黑体" w:eastAsia="黑体" w:cs="Times New Roman"/>
      <w:b/>
      <w:sz w:val="32"/>
      <w:szCs w:val="24"/>
      <w:lang w:bidi="ar-SA"/>
    </w:rPr>
  </w:style>
  <w:style w:type="paragraph" w:customStyle="1" w:styleId="53">
    <w:name w:val="Normal_2_0"/>
    <w:qFormat/>
    <w:uiPriority w:val="0"/>
    <w:rPr>
      <w:rFonts w:ascii="黑体" w:hAnsi="黑体" w:eastAsia="黑体" w:cs="Times New Roman"/>
      <w:b/>
      <w:sz w:val="32"/>
      <w:szCs w:val="24"/>
      <w:lang w:val="en-US" w:eastAsia="zh-CN" w:bidi="ar-SA"/>
    </w:rPr>
  </w:style>
  <w:style w:type="paragraph" w:customStyle="1" w:styleId="54">
    <w:name w:val="*正文_2_0"/>
    <w:basedOn w:val="19"/>
    <w:next w:val="19"/>
    <w:autoRedefine/>
    <w:qFormat/>
    <w:uiPriority w:val="0"/>
    <w:pPr>
      <w:widowControl/>
      <w:ind w:firstLine="482"/>
    </w:pPr>
    <w:rPr>
      <w:rFonts w:ascii="微软雅黑" w:hAnsi="微软雅黑" w:eastAsia="微软雅黑"/>
      <w:kern w:val="0"/>
      <w:szCs w:val="21"/>
      <w:lang w:val="en-US" w:eastAsia="zh-CN"/>
    </w:rPr>
  </w:style>
  <w:style w:type="paragraph" w:customStyle="1" w:styleId="55">
    <w:name w:val="正文_1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6">
    <w:name w:val="Normal_4"/>
    <w:autoRedefine/>
    <w:qFormat/>
    <w:uiPriority w:val="0"/>
    <w:rPr>
      <w:rFonts w:ascii="黑体" w:hAnsi="黑体" w:eastAsia="黑体" w:cs="Times New Roman"/>
      <w:b/>
      <w:sz w:val="32"/>
      <w:szCs w:val="24"/>
      <w:lang w:bidi="ar-SA"/>
    </w:rPr>
  </w:style>
  <w:style w:type="paragraph" w:customStyle="1" w:styleId="57">
    <w:name w:val="*正文_0_0"/>
    <w:basedOn w:val="58"/>
    <w:next w:val="58"/>
    <w:autoRedefine/>
    <w:qFormat/>
    <w:uiPriority w:val="0"/>
    <w:pPr>
      <w:widowControl/>
      <w:ind w:firstLine="482"/>
    </w:pPr>
    <w:rPr>
      <w:rFonts w:ascii="微软雅黑" w:hAnsi="微软雅黑" w:eastAsia="微软雅黑"/>
      <w:kern w:val="0"/>
      <w:szCs w:val="21"/>
      <w:lang w:val="en-US" w:eastAsia="zh-CN"/>
    </w:rPr>
  </w:style>
  <w:style w:type="paragraph" w:customStyle="1" w:styleId="58">
    <w:name w:val="正文_3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9">
    <w:name w:val="Normal_5"/>
    <w:autoRedefine/>
    <w:qFormat/>
    <w:uiPriority w:val="0"/>
    <w:rPr>
      <w:rFonts w:ascii="黑体" w:hAnsi="黑体" w:eastAsia="黑体" w:cs="Times New Roman"/>
      <w:b/>
      <w:sz w:val="32"/>
      <w:szCs w:val="24"/>
      <w:lang w:bidi="ar-SA"/>
    </w:rPr>
  </w:style>
  <w:style w:type="paragraph" w:customStyle="1" w:styleId="60">
    <w:name w:val="*正文_1_1"/>
    <w:basedOn w:val="61"/>
    <w:next w:val="61"/>
    <w:autoRedefine/>
    <w:qFormat/>
    <w:uiPriority w:val="0"/>
    <w:pPr>
      <w:widowControl/>
      <w:ind w:firstLine="482"/>
    </w:pPr>
    <w:rPr>
      <w:rFonts w:ascii="微软雅黑" w:hAnsi="微软雅黑" w:eastAsia="微软雅黑"/>
      <w:kern w:val="0"/>
      <w:szCs w:val="21"/>
      <w:lang w:val="en-US" w:eastAsia="zh-CN"/>
    </w:rPr>
  </w:style>
  <w:style w:type="paragraph" w:customStyle="1" w:styleId="61">
    <w:name w:val="正文_4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
    <w:name w:val="Normal_5_0"/>
    <w:qFormat/>
    <w:uiPriority w:val="0"/>
    <w:rPr>
      <w:rFonts w:ascii="黑体" w:hAnsi="黑体" w:eastAsia="黑体" w:cs="Times New Roman"/>
      <w:b/>
      <w:sz w:val="32"/>
      <w:szCs w:val="24"/>
      <w:lang w:bidi="ar-SA"/>
    </w:rPr>
  </w:style>
  <w:style w:type="paragraph" w:customStyle="1" w:styleId="63">
    <w:name w:val="正文_3_0_1"/>
    <w:next w:val="6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4">
    <w:name w:val="正文文本_3"/>
    <w:basedOn w:val="63"/>
    <w:next w:val="65"/>
    <w:autoRedefine/>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65">
    <w:name w:val="Default_3_0"/>
    <w:next w:val="63"/>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6">
    <w:name w:val="Normal_6"/>
    <w:qFormat/>
    <w:uiPriority w:val="0"/>
    <w:rPr>
      <w:rFonts w:ascii="黑体" w:hAnsi="黑体" w:eastAsia="黑体" w:cs="Times New Roman"/>
      <w:b/>
      <w:sz w:val="32"/>
      <w:szCs w:val="24"/>
      <w:lang w:bidi="ar-SA"/>
    </w:rPr>
  </w:style>
  <w:style w:type="paragraph" w:customStyle="1" w:styleId="67">
    <w:name w:val="Normal_7"/>
    <w:qFormat/>
    <w:uiPriority w:val="0"/>
    <w:rPr>
      <w:rFonts w:ascii="黑体" w:hAnsi="黑体" w:eastAsia="黑体" w:cs="Times New Roman"/>
      <w:b/>
      <w:sz w:val="32"/>
      <w:szCs w:val="24"/>
      <w:lang w:bidi="ar-SA"/>
    </w:rPr>
  </w:style>
  <w:style w:type="paragraph" w:customStyle="1" w:styleId="68">
    <w:name w:val="正文_4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Normal_22"/>
    <w:qFormat/>
    <w:uiPriority w:val="0"/>
    <w:rPr>
      <w:rFonts w:ascii="Times New Roman" w:hAnsi="Times New Roman" w:eastAsia="Times New Roman" w:cs="Times New Roman"/>
      <w:sz w:val="24"/>
      <w:szCs w:val="24"/>
      <w:lang w:bidi="ar-SA"/>
    </w:rPr>
  </w:style>
  <w:style w:type="paragraph" w:customStyle="1" w:styleId="70">
    <w:name w:val="Normal_8"/>
    <w:autoRedefine/>
    <w:qFormat/>
    <w:uiPriority w:val="0"/>
    <w:rPr>
      <w:rFonts w:ascii="黑体" w:hAnsi="黑体" w:eastAsia="黑体" w:cs="Times New Roman"/>
      <w:b/>
      <w:sz w:val="32"/>
      <w:szCs w:val="24"/>
      <w:lang w:bidi="ar-SA"/>
    </w:rPr>
  </w:style>
  <w:style w:type="paragraph" w:customStyle="1" w:styleId="71">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72">
    <w:name w:val="Normal_9"/>
    <w:qFormat/>
    <w:uiPriority w:val="0"/>
    <w:rPr>
      <w:rFonts w:ascii="黑体" w:hAnsi="黑体" w:eastAsia="黑体" w:cs="Times New Roman"/>
      <w:b/>
      <w:sz w:val="32"/>
      <w:szCs w:val="24"/>
      <w:lang w:bidi="ar-SA"/>
    </w:rPr>
  </w:style>
  <w:style w:type="paragraph" w:customStyle="1" w:styleId="73">
    <w:name w:val="正文_6_1"/>
    <w:basedOn w:val="74"/>
    <w:uiPriority w:val="0"/>
    <w:rPr>
      <w:rFonts w:ascii="Calibri" w:hAnsi="Calibri" w:eastAsia="宋体"/>
      <w:szCs w:val="21"/>
      <w:lang w:val="en-US" w:eastAsia="zh-CN"/>
    </w:rPr>
  </w:style>
  <w:style w:type="paragraph" w:customStyle="1" w:styleId="74">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Normal_10"/>
    <w:qFormat/>
    <w:uiPriority w:val="0"/>
    <w:rPr>
      <w:rFonts w:ascii="黑体" w:hAnsi="黑体" w:eastAsia="黑体" w:cs="Times New Roman"/>
      <w:b/>
      <w:sz w:val="32"/>
      <w:szCs w:val="24"/>
      <w:lang w:bidi="ar-SA"/>
    </w:rPr>
  </w:style>
  <w:style w:type="paragraph" w:customStyle="1" w:styleId="76">
    <w:name w:val="正文_8_0"/>
    <w:basedOn w:val="77"/>
    <w:uiPriority w:val="0"/>
    <w:rPr>
      <w:rFonts w:ascii="Calibri" w:hAnsi="Calibri" w:eastAsia="宋体"/>
      <w:szCs w:val="21"/>
      <w:lang w:val="en-US" w:eastAsia="zh-CN"/>
    </w:rPr>
  </w:style>
  <w:style w:type="paragraph" w:customStyle="1" w:styleId="77">
    <w:name w:val="正文_8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78">
    <w:name w:val="Normal_11"/>
    <w:qFormat/>
    <w:uiPriority w:val="0"/>
    <w:rPr>
      <w:rFonts w:ascii="黑体" w:hAnsi="黑体" w:eastAsia="黑体" w:cs="Times New Roman"/>
      <w:b/>
      <w:sz w:val="32"/>
      <w:szCs w:val="24"/>
      <w:lang w:bidi="ar-SA"/>
    </w:rPr>
  </w:style>
  <w:style w:type="paragraph" w:customStyle="1" w:styleId="79">
    <w:name w:val="正文_9_0"/>
    <w:basedOn w:val="80"/>
    <w:qFormat/>
    <w:uiPriority w:val="0"/>
    <w:rPr>
      <w:rFonts w:ascii="Calibri" w:hAnsi="Calibri" w:eastAsia="宋体"/>
      <w:szCs w:val="21"/>
      <w:lang w:val="en-US" w:eastAsia="zh-CN"/>
    </w:rPr>
  </w:style>
  <w:style w:type="paragraph" w:customStyle="1" w:styleId="80">
    <w:name w:val="正文_9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81">
    <w:name w:val="Normal_12"/>
    <w:qFormat/>
    <w:uiPriority w:val="0"/>
    <w:rPr>
      <w:rFonts w:ascii="黑体" w:hAnsi="黑体" w:eastAsia="黑体" w:cs="Times New Roman"/>
      <w:b/>
      <w:sz w:val="32"/>
      <w:szCs w:val="24"/>
      <w:lang w:bidi="ar-SA"/>
    </w:rPr>
  </w:style>
  <w:style w:type="paragraph" w:customStyle="1" w:styleId="82">
    <w:name w:val="正文_10_0"/>
    <w:basedOn w:val="83"/>
    <w:uiPriority w:val="0"/>
    <w:rPr>
      <w:rFonts w:ascii="Calibri" w:hAnsi="Calibri" w:eastAsia="宋体"/>
      <w:szCs w:val="21"/>
      <w:lang w:val="en-US" w:eastAsia="zh-CN"/>
    </w:rPr>
  </w:style>
  <w:style w:type="paragraph" w:customStyle="1" w:styleId="83">
    <w:name w:val="正文_1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84">
    <w:name w:val="正文_10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85">
    <w:name w:val="Normal_13"/>
    <w:qFormat/>
    <w:uiPriority w:val="0"/>
    <w:rPr>
      <w:rFonts w:ascii="黑体" w:hAnsi="黑体" w:eastAsia="黑体" w:cs="Times New Roman"/>
      <w:b/>
      <w:sz w:val="32"/>
      <w:szCs w:val="24"/>
      <w:lang w:bidi="ar-SA"/>
    </w:rPr>
  </w:style>
  <w:style w:type="paragraph" w:customStyle="1" w:styleId="86">
    <w:name w:val="正文_11_0"/>
    <w:basedOn w:val="87"/>
    <w:qFormat/>
    <w:uiPriority w:val="0"/>
    <w:rPr>
      <w:rFonts w:ascii="Calibri" w:hAnsi="Calibri" w:eastAsia="宋体"/>
      <w:szCs w:val="21"/>
      <w:lang w:val="en-US" w:eastAsia="zh-CN"/>
    </w:rPr>
  </w:style>
  <w:style w:type="paragraph" w:customStyle="1" w:styleId="87">
    <w:name w:val="正文_11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88">
    <w:name w:val="Normal_14"/>
    <w:qFormat/>
    <w:uiPriority w:val="0"/>
    <w:rPr>
      <w:rFonts w:ascii="黑体" w:hAnsi="黑体" w:eastAsia="黑体" w:cs="Times New Roman"/>
      <w:b/>
      <w:sz w:val="32"/>
      <w:szCs w:val="24"/>
      <w:lang w:bidi="ar-SA"/>
    </w:rPr>
  </w:style>
  <w:style w:type="paragraph" w:customStyle="1" w:styleId="89">
    <w:name w:val="正文_12_0"/>
    <w:basedOn w:val="90"/>
    <w:qFormat/>
    <w:uiPriority w:val="0"/>
    <w:rPr>
      <w:rFonts w:ascii="Calibri" w:hAnsi="Calibri" w:eastAsia="宋体"/>
      <w:szCs w:val="21"/>
      <w:lang w:val="en-US" w:eastAsia="zh-CN"/>
    </w:rPr>
  </w:style>
  <w:style w:type="paragraph" w:customStyle="1" w:styleId="90">
    <w:name w:val="正文_1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91">
    <w:name w:val="正文_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92">
    <w:name w:val="Normal_15"/>
    <w:qFormat/>
    <w:uiPriority w:val="0"/>
    <w:rPr>
      <w:rFonts w:ascii="黑体" w:hAnsi="黑体" w:eastAsia="黑体" w:cs="Times New Roman"/>
      <w:b/>
      <w:sz w:val="32"/>
      <w:szCs w:val="24"/>
      <w:lang w:bidi="ar-SA"/>
    </w:rPr>
  </w:style>
  <w:style w:type="paragraph" w:customStyle="1" w:styleId="93">
    <w:name w:val="正文_15_0"/>
    <w:basedOn w:val="94"/>
    <w:uiPriority w:val="0"/>
    <w:rPr>
      <w:rFonts w:ascii="Calibri" w:hAnsi="Calibri" w:eastAsia="宋体"/>
      <w:szCs w:val="21"/>
      <w:lang w:val="en-US" w:eastAsia="zh-CN"/>
    </w:rPr>
  </w:style>
  <w:style w:type="paragraph" w:customStyle="1" w:styleId="94">
    <w:name w:val="正文_1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95">
    <w:name w:val="Normal_16"/>
    <w:qFormat/>
    <w:uiPriority w:val="0"/>
    <w:rPr>
      <w:rFonts w:ascii="黑体" w:hAnsi="黑体" w:eastAsia="黑体" w:cs="Times New Roman"/>
      <w:b/>
      <w:sz w:val="32"/>
      <w:szCs w:val="24"/>
      <w:lang w:bidi="ar-SA"/>
    </w:rPr>
  </w:style>
  <w:style w:type="paragraph" w:customStyle="1" w:styleId="96">
    <w:name w:val="正文_16_0"/>
    <w:basedOn w:val="97"/>
    <w:qFormat/>
    <w:uiPriority w:val="0"/>
    <w:rPr>
      <w:rFonts w:ascii="Calibri" w:hAnsi="Calibri" w:eastAsia="宋体"/>
      <w:szCs w:val="21"/>
      <w:lang w:val="en-US" w:eastAsia="zh-CN"/>
    </w:rPr>
  </w:style>
  <w:style w:type="paragraph" w:customStyle="1" w:styleId="97">
    <w:name w:val="正文_16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98">
    <w:name w:val="Normal_17"/>
    <w:qFormat/>
    <w:uiPriority w:val="0"/>
    <w:rPr>
      <w:rFonts w:ascii="黑体" w:hAnsi="黑体" w:eastAsia="黑体" w:cs="Times New Roman"/>
      <w:b/>
      <w:sz w:val="32"/>
      <w:szCs w:val="24"/>
      <w:lang w:bidi="ar-SA"/>
    </w:rPr>
  </w:style>
  <w:style w:type="paragraph" w:customStyle="1" w:styleId="99">
    <w:name w:val="正文_1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0">
    <w:name w:val="Normal_18"/>
    <w:qFormat/>
    <w:uiPriority w:val="0"/>
    <w:rPr>
      <w:rFonts w:ascii="黑体" w:hAnsi="黑体" w:eastAsia="黑体" w:cs="Times New Roman"/>
      <w:b/>
      <w:sz w:val="32"/>
      <w:szCs w:val="24"/>
      <w:lang w:bidi="ar-SA"/>
    </w:rPr>
  </w:style>
  <w:style w:type="paragraph" w:customStyle="1" w:styleId="101">
    <w:name w:val="正文_18_0"/>
    <w:basedOn w:val="102"/>
    <w:uiPriority w:val="0"/>
    <w:rPr>
      <w:rFonts w:ascii="Calibri" w:hAnsi="Calibri" w:eastAsia="宋体"/>
      <w:szCs w:val="21"/>
      <w:lang w:val="en-US" w:eastAsia="zh-CN"/>
    </w:rPr>
  </w:style>
  <w:style w:type="paragraph" w:customStyle="1" w:styleId="102">
    <w:name w:val="正文_18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3">
    <w:name w:val="Normal_19"/>
    <w:qFormat/>
    <w:uiPriority w:val="0"/>
    <w:rPr>
      <w:rFonts w:ascii="黑体" w:hAnsi="黑体" w:eastAsia="黑体" w:cs="Times New Roman"/>
      <w:b/>
      <w:sz w:val="32"/>
      <w:szCs w:val="24"/>
      <w:lang w:bidi="ar-SA"/>
    </w:rPr>
  </w:style>
  <w:style w:type="paragraph" w:customStyle="1" w:styleId="104">
    <w:name w:val="Normal_20"/>
    <w:qFormat/>
    <w:uiPriority w:val="0"/>
    <w:rPr>
      <w:rFonts w:ascii="黑体" w:hAnsi="黑体" w:eastAsia="黑体" w:cs="Times New Roman"/>
      <w:b/>
      <w:sz w:val="32"/>
      <w:szCs w:val="24"/>
      <w:lang w:bidi="ar-SA"/>
    </w:rPr>
  </w:style>
  <w:style w:type="paragraph" w:customStyle="1" w:styleId="105">
    <w:name w:val="正文_20_0"/>
    <w:basedOn w:val="106"/>
    <w:qFormat/>
    <w:uiPriority w:val="0"/>
    <w:rPr>
      <w:rFonts w:ascii="Calibri" w:hAnsi="Calibri" w:eastAsia="宋体"/>
      <w:szCs w:val="21"/>
      <w:lang w:val="en-US" w:eastAsia="zh-CN"/>
    </w:rPr>
  </w:style>
  <w:style w:type="paragraph" w:customStyle="1" w:styleId="106">
    <w:name w:val="正文_2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
    <w:name w:val="Normal_21"/>
    <w:qFormat/>
    <w:uiPriority w:val="0"/>
    <w:rPr>
      <w:rFonts w:ascii="黑体" w:hAnsi="黑体" w:eastAsia="黑体" w:cs="Times New Roman"/>
      <w:b/>
      <w:sz w:val="32"/>
      <w:szCs w:val="24"/>
      <w:lang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2023-12-11T08:05:00Z</dcterms:created>
  <dc:creator>阳光</dc:creator>
  <cp:lastModifiedBy>Administrator</cp:lastModifiedBy>
  <dcterms:modified xsi:type="dcterms:W3CDTF">2023-12-26T07:10:32Z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B56F8D93A6DE43AB8A791D1160070586_11</vt:lpwstr>
  </property>
</Properties>
</file>