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宋体" w:hAnsi="宋体" w:cs="宋体"/>
          <w:b/>
          <w:bCs/>
          <w:color w:val="000000"/>
          <w:sz w:val="52"/>
          <w:szCs w:val="52"/>
          <w:highlight w:val="none"/>
        </w:rPr>
      </w:pPr>
      <w:bookmarkStart w:id="0" w:name="_Toc18924"/>
      <w:r>
        <w:rPr>
          <w:rFonts w:hint="eastAsia" w:ascii="宋体" w:hAnsi="宋体" w:cs="宋体"/>
          <w:b/>
          <w:bCs/>
          <w:color w:val="000000"/>
          <w:sz w:val="52"/>
          <w:szCs w:val="52"/>
          <w:highlight w:val="none"/>
        </w:rPr>
        <w:t>湖滨区测量标志普查保护工作</w:t>
      </w:r>
      <w:bookmarkEnd w:id="0"/>
    </w:p>
    <w:p>
      <w:pPr>
        <w:adjustRightInd w:val="0"/>
        <w:snapToGrid w:val="0"/>
        <w:spacing w:line="360" w:lineRule="auto"/>
        <w:jc w:val="center"/>
        <w:rPr>
          <w:rFonts w:ascii="宋体" w:hAnsi="宋体" w:cs="宋体"/>
          <w:b/>
          <w:bCs/>
          <w:color w:val="000000"/>
          <w:sz w:val="96"/>
          <w:szCs w:val="56"/>
          <w:highlight w:val="none"/>
        </w:rPr>
      </w:pPr>
    </w:p>
    <w:p>
      <w:pPr>
        <w:adjustRightInd w:val="0"/>
        <w:snapToGrid w:val="0"/>
        <w:spacing w:line="360" w:lineRule="auto"/>
        <w:jc w:val="center"/>
        <w:outlineLvl w:val="0"/>
        <w:rPr>
          <w:rFonts w:ascii="宋体" w:hAnsi="宋体" w:cs="宋体"/>
          <w:b/>
          <w:bCs/>
          <w:color w:val="000000"/>
          <w:sz w:val="96"/>
          <w:szCs w:val="56"/>
          <w:highlight w:val="none"/>
        </w:rPr>
      </w:pPr>
      <w:bookmarkStart w:id="1" w:name="_Toc9868"/>
      <w:r>
        <w:rPr>
          <w:rFonts w:hint="eastAsia" w:ascii="宋体" w:hAnsi="宋体" w:cs="宋体"/>
          <w:b/>
          <w:bCs/>
          <w:color w:val="000000"/>
          <w:sz w:val="96"/>
          <w:szCs w:val="56"/>
          <w:highlight w:val="none"/>
        </w:rPr>
        <w:t>竞争性磋商文件</w:t>
      </w:r>
      <w:bookmarkEnd w:id="1"/>
    </w:p>
    <w:p>
      <w:pPr>
        <w:adjustRightInd w:val="0"/>
        <w:snapToGrid w:val="0"/>
        <w:spacing w:line="360" w:lineRule="auto"/>
        <w:jc w:val="center"/>
        <w:rPr>
          <w:rFonts w:hint="eastAsia" w:ascii="宋体" w:hAnsi="宋体" w:cs="宋体"/>
          <w:b/>
          <w:bCs/>
          <w:sz w:val="32"/>
          <w:szCs w:val="32"/>
          <w:highlight w:val="none"/>
        </w:rPr>
      </w:pPr>
      <w:bookmarkStart w:id="2" w:name="_Toc14036"/>
      <w:r>
        <w:rPr>
          <w:rFonts w:hint="eastAsia" w:ascii="宋体" w:hAnsi="宋体" w:cs="宋体"/>
          <w:b/>
          <w:bCs/>
          <w:sz w:val="32"/>
          <w:szCs w:val="32"/>
          <w:highlight w:val="none"/>
        </w:rPr>
        <w:t>项目编号：</w:t>
      </w:r>
      <w:bookmarkEnd w:id="2"/>
      <w:r>
        <w:rPr>
          <w:rFonts w:hint="eastAsia" w:ascii="宋体" w:hAnsi="宋体" w:cs="宋体"/>
          <w:b/>
          <w:bCs/>
          <w:sz w:val="32"/>
          <w:szCs w:val="32"/>
          <w:highlight w:val="none"/>
          <w:lang w:val="en-US" w:eastAsia="zh-CN"/>
        </w:rPr>
        <w:t>SGZ[2023]571-ZC312</w:t>
      </w:r>
    </w:p>
    <w:p>
      <w:pPr>
        <w:adjustRightInd w:val="0"/>
        <w:snapToGrid w:val="0"/>
        <w:spacing w:line="360" w:lineRule="auto"/>
        <w:jc w:val="center"/>
        <w:rPr>
          <w:rFonts w:hint="default"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2023-11-23</w:t>
      </w:r>
    </w:p>
    <w:p>
      <w:pPr>
        <w:adjustRightInd w:val="0"/>
        <w:snapToGrid w:val="0"/>
        <w:spacing w:line="360" w:lineRule="auto"/>
        <w:rPr>
          <w:rFonts w:ascii="宋体" w:hAnsi="宋体" w:cs="_5b8b_4f53"/>
          <w:b/>
          <w:highlight w:val="none"/>
          <w:shd w:val="clear" w:color="auto" w:fill="FFFFFF"/>
        </w:rPr>
      </w:pPr>
    </w:p>
    <w:p>
      <w:pPr>
        <w:adjustRightInd w:val="0"/>
        <w:snapToGrid w:val="0"/>
        <w:spacing w:line="360" w:lineRule="auto"/>
        <w:jc w:val="center"/>
        <w:rPr>
          <w:rFonts w:ascii="宋体" w:hAnsi="宋体" w:cs="_5b8b_4f53"/>
          <w:b/>
          <w:highlight w:val="none"/>
          <w:shd w:val="clear" w:color="auto" w:fill="FFFFFF"/>
        </w:rPr>
      </w:pPr>
    </w:p>
    <w:p>
      <w:pPr>
        <w:pStyle w:val="2"/>
        <w:jc w:val="center"/>
        <w:rPr>
          <w:rFonts w:ascii="宋体" w:hAnsi="宋体" w:cs="_5b8b_4f53"/>
          <w:b/>
          <w:highlight w:val="none"/>
          <w:shd w:val="clear" w:color="auto" w:fill="FFFFFF"/>
        </w:rPr>
      </w:pPr>
      <w:r>
        <w:rPr>
          <w:rFonts w:hint="eastAsia" w:ascii="宋体" w:hAnsi="宋体" w:cs="宋体"/>
          <w:b/>
          <w:bCs/>
          <w:sz w:val="24"/>
          <w:szCs w:val="24"/>
          <w:highlight w:val="none"/>
        </w:rPr>
        <w:drawing>
          <wp:inline distT="0" distB="0" distL="0" distR="0">
            <wp:extent cx="3296285" cy="2740660"/>
            <wp:effectExtent l="0" t="0" r="18415" b="2540"/>
            <wp:docPr id="1" name="图片 0" descr="微信图片_20210709095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10709095058.png"/>
                    <pic:cNvPicPr>
                      <a:picLocks noChangeAspect="1"/>
                    </pic:cNvPicPr>
                  </pic:nvPicPr>
                  <pic:blipFill>
                    <a:blip r:embed="rId6" cstate="print"/>
                    <a:stretch>
                      <a:fillRect/>
                    </a:stretch>
                  </pic:blipFill>
                  <pic:spPr>
                    <a:xfrm>
                      <a:off x="0" y="0"/>
                      <a:ext cx="3296285" cy="2740660"/>
                    </a:xfrm>
                    <a:prstGeom prst="rect">
                      <a:avLst/>
                    </a:prstGeom>
                  </pic:spPr>
                </pic:pic>
              </a:graphicData>
            </a:graphic>
          </wp:inline>
        </w:drawing>
      </w:r>
    </w:p>
    <w:p>
      <w:pPr>
        <w:rPr>
          <w:rFonts w:ascii="宋体" w:hAnsi="宋体" w:cs="_5b8b_4f53"/>
          <w:b/>
          <w:highlight w:val="none"/>
          <w:shd w:val="clear" w:color="auto" w:fill="FFFFFF"/>
        </w:rPr>
      </w:pPr>
    </w:p>
    <w:p>
      <w:pPr>
        <w:pStyle w:val="12"/>
        <w:ind w:firstLine="0" w:firstLineChars="0"/>
        <w:rPr>
          <w:highlight w:val="none"/>
        </w:rPr>
      </w:pPr>
    </w:p>
    <w:p>
      <w:pPr>
        <w:adjustRightInd w:val="0"/>
        <w:snapToGrid w:val="0"/>
        <w:spacing w:line="360" w:lineRule="auto"/>
        <w:ind w:firstLine="1205" w:firstLineChars="400"/>
        <w:outlineLvl w:val="0"/>
        <w:rPr>
          <w:rFonts w:ascii="宋体" w:hAnsi="宋体" w:cs="宋体"/>
          <w:b/>
          <w:bCs/>
          <w:color w:val="000000"/>
          <w:sz w:val="30"/>
          <w:szCs w:val="30"/>
          <w:highlight w:val="none"/>
        </w:rPr>
      </w:pPr>
      <w:bookmarkStart w:id="3" w:name="_Toc7213"/>
      <w:r>
        <w:rPr>
          <w:rFonts w:hint="eastAsia" w:ascii="宋体" w:hAnsi="宋体" w:cs="宋体"/>
          <w:b/>
          <w:bCs/>
          <w:color w:val="000000"/>
          <w:sz w:val="30"/>
          <w:szCs w:val="30"/>
          <w:highlight w:val="none"/>
        </w:rPr>
        <w:t>采购人：三门峡市湖滨区自然资源局</w:t>
      </w:r>
      <w:bookmarkEnd w:id="3"/>
    </w:p>
    <w:p>
      <w:pPr>
        <w:adjustRightInd w:val="0"/>
        <w:snapToGrid w:val="0"/>
        <w:spacing w:line="360" w:lineRule="auto"/>
        <w:ind w:firstLine="1205" w:firstLineChars="400"/>
        <w:outlineLvl w:val="0"/>
        <w:rPr>
          <w:rFonts w:ascii="宋体" w:hAnsi="宋体" w:cs="宋体"/>
          <w:b/>
          <w:bCs/>
          <w:color w:val="000000"/>
          <w:sz w:val="30"/>
          <w:szCs w:val="30"/>
          <w:highlight w:val="none"/>
        </w:rPr>
      </w:pPr>
      <w:bookmarkStart w:id="4" w:name="_Toc20353"/>
      <w:r>
        <w:rPr>
          <w:rFonts w:hint="eastAsia" w:ascii="宋体" w:hAnsi="宋体" w:cs="宋体"/>
          <w:b/>
          <w:bCs/>
          <w:color w:val="000000"/>
          <w:sz w:val="30"/>
          <w:szCs w:val="30"/>
          <w:highlight w:val="none"/>
        </w:rPr>
        <w:t>招标代理：</w:t>
      </w:r>
      <w:bookmarkEnd w:id="4"/>
      <w:r>
        <w:rPr>
          <w:rFonts w:hint="eastAsia" w:ascii="宋体" w:hAnsi="宋体" w:cs="宋体"/>
          <w:b/>
          <w:bCs/>
          <w:color w:val="000000"/>
          <w:sz w:val="30"/>
          <w:szCs w:val="30"/>
          <w:highlight w:val="none"/>
        </w:rPr>
        <w:t>河南正晔企业管理有限公司</w:t>
      </w:r>
    </w:p>
    <w:p>
      <w:pPr>
        <w:adjustRightInd w:val="0"/>
        <w:snapToGrid w:val="0"/>
        <w:spacing w:line="360" w:lineRule="auto"/>
        <w:ind w:firstLine="1205" w:firstLineChars="400"/>
        <w:rPr>
          <w:rFonts w:ascii="宋体" w:hAnsi="宋体" w:cs="宋体"/>
          <w:sz w:val="36"/>
          <w:szCs w:val="36"/>
          <w:highlight w:val="none"/>
        </w:rPr>
      </w:pPr>
      <w:r>
        <w:rPr>
          <w:rFonts w:hint="eastAsia" w:ascii="宋体" w:hAnsi="宋体" w:cs="宋体"/>
          <w:b/>
          <w:bCs/>
          <w:color w:val="000000"/>
          <w:sz w:val="30"/>
          <w:szCs w:val="30"/>
          <w:highlight w:val="none"/>
        </w:rPr>
        <w:t>时间：二〇二三年</w:t>
      </w:r>
      <w:r>
        <w:rPr>
          <w:rFonts w:hint="eastAsia" w:ascii="宋体" w:hAnsi="宋体" w:cs="宋体"/>
          <w:b/>
          <w:bCs/>
          <w:color w:val="000000"/>
          <w:sz w:val="30"/>
          <w:szCs w:val="30"/>
          <w:highlight w:val="none"/>
          <w:lang w:val="en-US" w:eastAsia="zh-CN"/>
        </w:rPr>
        <w:t>十一</w:t>
      </w:r>
      <w:r>
        <w:rPr>
          <w:rFonts w:hint="eastAsia" w:ascii="宋体" w:hAnsi="宋体" w:cs="宋体"/>
          <w:b/>
          <w:bCs/>
          <w:color w:val="000000"/>
          <w:sz w:val="30"/>
          <w:szCs w:val="30"/>
          <w:highlight w:val="none"/>
        </w:rPr>
        <w:t>月</w:t>
      </w:r>
    </w:p>
    <w:p>
      <w:pPr>
        <w:jc w:val="center"/>
        <w:outlineLvl w:val="9"/>
        <w:rPr>
          <w:b/>
          <w:bCs/>
          <w:sz w:val="32"/>
          <w:szCs w:val="32"/>
          <w:highlight w:val="none"/>
        </w:rPr>
        <w:sectPr>
          <w:pgSz w:w="11906" w:h="16838"/>
          <w:pgMar w:top="1440" w:right="1800" w:bottom="1440" w:left="1800" w:header="851" w:footer="992" w:gutter="0"/>
          <w:pgNumType w:start="1"/>
          <w:cols w:space="425" w:num="1"/>
          <w:docGrid w:type="lines" w:linePitch="312" w:charSpace="0"/>
        </w:sectPr>
      </w:pPr>
    </w:p>
    <w:p>
      <w:pPr>
        <w:rPr>
          <w:highlight w:val="none"/>
        </w:rPr>
      </w:pPr>
    </w:p>
    <w:sdt>
      <w:sdtPr>
        <w:rPr>
          <w:rFonts w:ascii="宋体" w:hAnsi="宋体" w:eastAsia="宋体" w:cs="Times New Roman"/>
          <w:b/>
          <w:bCs/>
          <w:kern w:val="2"/>
          <w:sz w:val="32"/>
          <w:szCs w:val="32"/>
          <w:highlight w:val="none"/>
          <w:lang w:val="en-US" w:eastAsia="zh-CN" w:bidi="ar-SA"/>
        </w:rPr>
        <w:id w:val="147458278"/>
        <w15:color w:val="DBDBDB"/>
        <w:docPartObj>
          <w:docPartGallery w:val="Table of Contents"/>
          <w:docPartUnique/>
        </w:docPartObj>
      </w:sdtPr>
      <w:sdtEndPr>
        <w:rPr>
          <w:rFonts w:ascii="宋体" w:hAnsi="宋体" w:eastAsia="宋体" w:cs="Times New Roman"/>
          <w:b/>
          <w:bCs/>
          <w:kern w:val="2"/>
          <w:sz w:val="32"/>
          <w:szCs w:val="32"/>
          <w:highlight w:val="none"/>
          <w:lang w:val="en-US" w:eastAsia="zh-CN" w:bidi="ar-SA"/>
        </w:rPr>
      </w:sdtEndPr>
      <w:sdtContent>
        <w:p>
          <w:pPr>
            <w:spacing w:before="0" w:beforeLines="0" w:after="0" w:afterLines="0" w:line="240" w:lineRule="auto"/>
            <w:ind w:left="0" w:leftChars="0" w:right="0" w:rightChars="0" w:firstLine="0" w:firstLineChars="0"/>
            <w:jc w:val="center"/>
            <w:rPr>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pPr>
            <w:pStyle w:val="50"/>
            <w:tabs>
              <w:tab w:val="right" w:leader="dot" w:pos="8306"/>
            </w:tabs>
            <w:rPr>
              <w:highlight w:val="none"/>
            </w:rPr>
          </w:pPr>
          <w:r>
            <w:rPr>
              <w:highlight w:val="none"/>
            </w:rPr>
            <w:fldChar w:fldCharType="begin"/>
          </w:r>
          <w:r>
            <w:rPr>
              <w:highlight w:val="none"/>
            </w:rPr>
            <w:instrText xml:space="preserve">TOC \o "1-1" \h \u </w:instrText>
          </w:r>
          <w:r>
            <w:rPr>
              <w:highlight w:val="none"/>
            </w:rPr>
            <w:fldChar w:fldCharType="separate"/>
          </w:r>
        </w:p>
        <w:p>
          <w:pPr>
            <w:pStyle w:val="50"/>
            <w:tabs>
              <w:tab w:val="right" w:leader="dot" w:pos="8306"/>
            </w:tabs>
            <w:rPr>
              <w:b/>
              <w:bCs/>
              <w:sz w:val="28"/>
              <w:szCs w:val="28"/>
              <w:highlight w:val="none"/>
            </w:rPr>
          </w:pPr>
          <w:r>
            <w:rPr>
              <w:b/>
              <w:bCs/>
              <w:sz w:val="28"/>
              <w:szCs w:val="28"/>
              <w:highlight w:val="none"/>
            </w:rPr>
            <w:fldChar w:fldCharType="begin"/>
          </w:r>
          <w:r>
            <w:rPr>
              <w:b/>
              <w:bCs/>
              <w:sz w:val="28"/>
              <w:szCs w:val="28"/>
              <w:highlight w:val="none"/>
            </w:rPr>
            <w:instrText xml:space="preserve"> HYPERLINK \l _Toc20890 </w:instrText>
          </w:r>
          <w:r>
            <w:rPr>
              <w:b/>
              <w:bCs/>
              <w:sz w:val="28"/>
              <w:szCs w:val="28"/>
              <w:highlight w:val="none"/>
            </w:rPr>
            <w:fldChar w:fldCharType="separate"/>
          </w:r>
          <w:r>
            <w:rPr>
              <w:rFonts w:hint="eastAsia"/>
              <w:b/>
              <w:bCs/>
              <w:sz w:val="28"/>
              <w:szCs w:val="28"/>
              <w:highlight w:val="none"/>
            </w:rPr>
            <w:t>第一章竞争性磋商公告</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_Toc20890 \h </w:instrText>
          </w:r>
          <w:r>
            <w:rPr>
              <w:b/>
              <w:bCs/>
              <w:sz w:val="28"/>
              <w:szCs w:val="28"/>
              <w:highlight w:val="none"/>
            </w:rPr>
            <w:fldChar w:fldCharType="separate"/>
          </w:r>
          <w:r>
            <w:rPr>
              <w:b/>
              <w:bCs/>
              <w:sz w:val="28"/>
              <w:szCs w:val="28"/>
              <w:highlight w:val="none"/>
            </w:rPr>
            <w:t>1</w:t>
          </w:r>
          <w:r>
            <w:rPr>
              <w:b/>
              <w:bCs/>
              <w:sz w:val="28"/>
              <w:szCs w:val="28"/>
              <w:highlight w:val="none"/>
            </w:rPr>
            <w:fldChar w:fldCharType="end"/>
          </w:r>
          <w:r>
            <w:rPr>
              <w:b/>
              <w:bCs/>
              <w:sz w:val="28"/>
              <w:szCs w:val="28"/>
              <w:highlight w:val="none"/>
            </w:rPr>
            <w:fldChar w:fldCharType="end"/>
          </w:r>
        </w:p>
        <w:p>
          <w:pPr>
            <w:pStyle w:val="50"/>
            <w:tabs>
              <w:tab w:val="right" w:leader="dot" w:pos="8306"/>
            </w:tabs>
            <w:rPr>
              <w:b/>
              <w:bCs/>
              <w:sz w:val="28"/>
              <w:szCs w:val="28"/>
              <w:highlight w:val="none"/>
            </w:rPr>
          </w:pPr>
          <w:r>
            <w:rPr>
              <w:b/>
              <w:bCs/>
              <w:sz w:val="28"/>
              <w:szCs w:val="28"/>
              <w:highlight w:val="none"/>
            </w:rPr>
            <w:fldChar w:fldCharType="begin"/>
          </w:r>
          <w:r>
            <w:rPr>
              <w:b/>
              <w:bCs/>
              <w:sz w:val="28"/>
              <w:szCs w:val="28"/>
              <w:highlight w:val="none"/>
            </w:rPr>
            <w:instrText xml:space="preserve"> HYPERLINK \l _Toc5375 </w:instrText>
          </w:r>
          <w:r>
            <w:rPr>
              <w:b/>
              <w:bCs/>
              <w:sz w:val="28"/>
              <w:szCs w:val="28"/>
              <w:highlight w:val="none"/>
            </w:rPr>
            <w:fldChar w:fldCharType="separate"/>
          </w:r>
          <w:r>
            <w:rPr>
              <w:rFonts w:hint="eastAsia"/>
              <w:b/>
              <w:bCs/>
              <w:sz w:val="28"/>
              <w:szCs w:val="28"/>
              <w:highlight w:val="none"/>
            </w:rPr>
            <w:t>第二章响应人须知</w:t>
          </w:r>
          <w:r>
            <w:rPr>
              <w:b/>
              <w:bCs/>
              <w:sz w:val="28"/>
              <w:szCs w:val="28"/>
              <w:highlight w:val="none"/>
            </w:rPr>
            <w:tab/>
          </w:r>
          <w:r>
            <w:rPr>
              <w:b/>
              <w:bCs/>
              <w:sz w:val="28"/>
              <w:szCs w:val="28"/>
              <w:highlight w:val="none"/>
            </w:rPr>
            <w:fldChar w:fldCharType="begin"/>
          </w:r>
          <w:r>
            <w:rPr>
              <w:b/>
              <w:bCs/>
              <w:sz w:val="28"/>
              <w:szCs w:val="28"/>
              <w:highlight w:val="none"/>
            </w:rPr>
            <w:instrText xml:space="preserve"> PAGEREF _Toc5375 \h </w:instrText>
          </w:r>
          <w:r>
            <w:rPr>
              <w:b/>
              <w:bCs/>
              <w:sz w:val="28"/>
              <w:szCs w:val="28"/>
              <w:highlight w:val="none"/>
            </w:rPr>
            <w:fldChar w:fldCharType="separate"/>
          </w:r>
          <w:r>
            <w:rPr>
              <w:b/>
              <w:bCs/>
              <w:sz w:val="28"/>
              <w:szCs w:val="28"/>
              <w:highlight w:val="none"/>
            </w:rPr>
            <w:t>6</w:t>
          </w:r>
          <w:r>
            <w:rPr>
              <w:b/>
              <w:bCs/>
              <w:sz w:val="28"/>
              <w:szCs w:val="28"/>
              <w:highlight w:val="none"/>
            </w:rPr>
            <w:fldChar w:fldCharType="end"/>
          </w:r>
          <w:r>
            <w:rPr>
              <w:b/>
              <w:bCs/>
              <w:sz w:val="28"/>
              <w:szCs w:val="28"/>
              <w:highlight w:val="none"/>
            </w:rPr>
            <w:fldChar w:fldCharType="end"/>
          </w:r>
        </w:p>
        <w:p>
          <w:pPr>
            <w:pStyle w:val="50"/>
            <w:tabs>
              <w:tab w:val="right" w:leader="dot" w:pos="8306"/>
            </w:tabs>
            <w:rPr>
              <w:b/>
              <w:bCs/>
              <w:sz w:val="28"/>
              <w:szCs w:val="28"/>
              <w:highlight w:val="none"/>
            </w:rPr>
          </w:pPr>
          <w:r>
            <w:rPr>
              <w:b/>
              <w:bCs/>
              <w:sz w:val="28"/>
              <w:szCs w:val="28"/>
              <w:highlight w:val="none"/>
            </w:rPr>
            <w:fldChar w:fldCharType="begin"/>
          </w:r>
          <w:r>
            <w:rPr>
              <w:b/>
              <w:bCs/>
              <w:sz w:val="28"/>
              <w:szCs w:val="28"/>
              <w:highlight w:val="none"/>
            </w:rPr>
            <w:instrText xml:space="preserve"> HYPERLINK \l _Toc13193 </w:instrText>
          </w:r>
          <w:r>
            <w:rPr>
              <w:b/>
              <w:bCs/>
              <w:sz w:val="28"/>
              <w:szCs w:val="28"/>
              <w:highlight w:val="none"/>
            </w:rPr>
            <w:fldChar w:fldCharType="separate"/>
          </w:r>
          <w:r>
            <w:rPr>
              <w:rFonts w:hint="eastAsia"/>
              <w:b/>
              <w:bCs/>
              <w:sz w:val="28"/>
              <w:szCs w:val="28"/>
              <w:highlight w:val="none"/>
            </w:rPr>
            <w:t>第三章</w:t>
          </w:r>
          <w:r>
            <w:rPr>
              <w:b/>
              <w:bCs/>
              <w:kern w:val="0"/>
              <w:sz w:val="28"/>
              <w:szCs w:val="28"/>
              <w:highlight w:val="none"/>
            </w:rPr>
            <w:t>评审</w:t>
          </w:r>
          <w:r>
            <w:rPr>
              <w:rFonts w:hint="eastAsia"/>
              <w:b/>
              <w:bCs/>
              <w:kern w:val="0"/>
              <w:sz w:val="28"/>
              <w:szCs w:val="28"/>
              <w:highlight w:val="none"/>
            </w:rPr>
            <w:t>标准</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_Toc13193 \h </w:instrText>
          </w:r>
          <w:r>
            <w:rPr>
              <w:b/>
              <w:bCs/>
              <w:sz w:val="28"/>
              <w:szCs w:val="28"/>
              <w:highlight w:val="none"/>
            </w:rPr>
            <w:fldChar w:fldCharType="separate"/>
          </w:r>
          <w:r>
            <w:rPr>
              <w:b/>
              <w:bCs/>
              <w:sz w:val="28"/>
              <w:szCs w:val="28"/>
              <w:highlight w:val="none"/>
            </w:rPr>
            <w:t>26</w:t>
          </w:r>
          <w:r>
            <w:rPr>
              <w:b/>
              <w:bCs/>
              <w:sz w:val="28"/>
              <w:szCs w:val="28"/>
              <w:highlight w:val="none"/>
            </w:rPr>
            <w:fldChar w:fldCharType="end"/>
          </w:r>
          <w:r>
            <w:rPr>
              <w:b/>
              <w:bCs/>
              <w:sz w:val="28"/>
              <w:szCs w:val="28"/>
              <w:highlight w:val="none"/>
            </w:rPr>
            <w:fldChar w:fldCharType="end"/>
          </w:r>
        </w:p>
        <w:p>
          <w:pPr>
            <w:pStyle w:val="50"/>
            <w:tabs>
              <w:tab w:val="right" w:leader="dot" w:pos="8306"/>
            </w:tabs>
            <w:rPr>
              <w:b/>
              <w:bCs/>
              <w:sz w:val="28"/>
              <w:szCs w:val="28"/>
              <w:highlight w:val="none"/>
            </w:rPr>
          </w:pPr>
          <w:r>
            <w:rPr>
              <w:b/>
              <w:bCs/>
              <w:sz w:val="28"/>
              <w:szCs w:val="28"/>
              <w:highlight w:val="none"/>
            </w:rPr>
            <w:fldChar w:fldCharType="begin"/>
          </w:r>
          <w:r>
            <w:rPr>
              <w:b/>
              <w:bCs/>
              <w:sz w:val="28"/>
              <w:szCs w:val="28"/>
              <w:highlight w:val="none"/>
            </w:rPr>
            <w:instrText xml:space="preserve"> HYPERLINK \l _Toc17516 </w:instrText>
          </w:r>
          <w:r>
            <w:rPr>
              <w:b/>
              <w:bCs/>
              <w:sz w:val="28"/>
              <w:szCs w:val="28"/>
              <w:highlight w:val="none"/>
            </w:rPr>
            <w:fldChar w:fldCharType="separate"/>
          </w:r>
          <w:r>
            <w:rPr>
              <w:rFonts w:hint="eastAsia"/>
              <w:b/>
              <w:bCs/>
              <w:sz w:val="28"/>
              <w:szCs w:val="28"/>
              <w:highlight w:val="none"/>
            </w:rPr>
            <w:t>第四章合同条款</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_Toc17516 \h </w:instrText>
          </w:r>
          <w:r>
            <w:rPr>
              <w:b/>
              <w:bCs/>
              <w:sz w:val="28"/>
              <w:szCs w:val="28"/>
              <w:highlight w:val="none"/>
            </w:rPr>
            <w:fldChar w:fldCharType="separate"/>
          </w:r>
          <w:r>
            <w:rPr>
              <w:b/>
              <w:bCs/>
              <w:sz w:val="28"/>
              <w:szCs w:val="28"/>
              <w:highlight w:val="none"/>
            </w:rPr>
            <w:t>33</w:t>
          </w:r>
          <w:r>
            <w:rPr>
              <w:b/>
              <w:bCs/>
              <w:sz w:val="28"/>
              <w:szCs w:val="28"/>
              <w:highlight w:val="none"/>
            </w:rPr>
            <w:fldChar w:fldCharType="end"/>
          </w:r>
          <w:r>
            <w:rPr>
              <w:b/>
              <w:bCs/>
              <w:sz w:val="28"/>
              <w:szCs w:val="28"/>
              <w:highlight w:val="none"/>
            </w:rPr>
            <w:fldChar w:fldCharType="end"/>
          </w:r>
        </w:p>
        <w:p>
          <w:pPr>
            <w:pStyle w:val="50"/>
            <w:tabs>
              <w:tab w:val="right" w:leader="dot" w:pos="8306"/>
            </w:tabs>
            <w:rPr>
              <w:b/>
              <w:bCs/>
              <w:sz w:val="28"/>
              <w:szCs w:val="28"/>
              <w:highlight w:val="none"/>
            </w:rPr>
          </w:pPr>
          <w:r>
            <w:rPr>
              <w:b/>
              <w:bCs/>
              <w:sz w:val="28"/>
              <w:szCs w:val="28"/>
              <w:highlight w:val="none"/>
            </w:rPr>
            <w:fldChar w:fldCharType="begin"/>
          </w:r>
          <w:r>
            <w:rPr>
              <w:b/>
              <w:bCs/>
              <w:sz w:val="28"/>
              <w:szCs w:val="28"/>
              <w:highlight w:val="none"/>
            </w:rPr>
            <w:instrText xml:space="preserve"> HYPERLINK \l _Toc26080 </w:instrText>
          </w:r>
          <w:r>
            <w:rPr>
              <w:b/>
              <w:bCs/>
              <w:sz w:val="28"/>
              <w:szCs w:val="28"/>
              <w:highlight w:val="none"/>
            </w:rPr>
            <w:fldChar w:fldCharType="separate"/>
          </w:r>
          <w:r>
            <w:rPr>
              <w:rFonts w:hint="eastAsia"/>
              <w:b/>
              <w:bCs/>
              <w:sz w:val="28"/>
              <w:szCs w:val="28"/>
              <w:highlight w:val="none"/>
            </w:rPr>
            <w:t>第五章服务内容及要求</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_Toc26080 \h </w:instrText>
          </w:r>
          <w:r>
            <w:rPr>
              <w:b/>
              <w:bCs/>
              <w:sz w:val="28"/>
              <w:szCs w:val="28"/>
              <w:highlight w:val="none"/>
            </w:rPr>
            <w:fldChar w:fldCharType="separate"/>
          </w:r>
          <w:r>
            <w:rPr>
              <w:b/>
              <w:bCs/>
              <w:sz w:val="28"/>
              <w:szCs w:val="28"/>
              <w:highlight w:val="none"/>
            </w:rPr>
            <w:t>34</w:t>
          </w:r>
          <w:r>
            <w:rPr>
              <w:b/>
              <w:bCs/>
              <w:sz w:val="28"/>
              <w:szCs w:val="28"/>
              <w:highlight w:val="none"/>
            </w:rPr>
            <w:fldChar w:fldCharType="end"/>
          </w:r>
          <w:r>
            <w:rPr>
              <w:b/>
              <w:bCs/>
              <w:sz w:val="28"/>
              <w:szCs w:val="28"/>
              <w:highlight w:val="none"/>
            </w:rPr>
            <w:fldChar w:fldCharType="end"/>
          </w:r>
        </w:p>
        <w:p>
          <w:pPr>
            <w:pStyle w:val="50"/>
            <w:tabs>
              <w:tab w:val="right" w:leader="dot" w:pos="8306"/>
            </w:tabs>
            <w:rPr>
              <w:highlight w:val="none"/>
            </w:rPr>
          </w:pPr>
          <w:r>
            <w:rPr>
              <w:b/>
              <w:bCs/>
              <w:sz w:val="28"/>
              <w:szCs w:val="28"/>
              <w:highlight w:val="none"/>
            </w:rPr>
            <w:fldChar w:fldCharType="begin"/>
          </w:r>
          <w:r>
            <w:rPr>
              <w:b/>
              <w:bCs/>
              <w:sz w:val="28"/>
              <w:szCs w:val="28"/>
              <w:highlight w:val="none"/>
            </w:rPr>
            <w:instrText xml:space="preserve"> HYPERLINK \l _Toc19800 </w:instrText>
          </w:r>
          <w:r>
            <w:rPr>
              <w:b/>
              <w:bCs/>
              <w:sz w:val="28"/>
              <w:szCs w:val="28"/>
              <w:highlight w:val="none"/>
            </w:rPr>
            <w:fldChar w:fldCharType="separate"/>
          </w:r>
          <w:r>
            <w:rPr>
              <w:rFonts w:hint="eastAsia"/>
              <w:b/>
              <w:bCs/>
              <w:sz w:val="28"/>
              <w:szCs w:val="28"/>
              <w:highlight w:val="none"/>
            </w:rPr>
            <w:t>第六章响应文件格式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_Toc19800 \h </w:instrText>
          </w:r>
          <w:r>
            <w:rPr>
              <w:b/>
              <w:bCs/>
              <w:sz w:val="28"/>
              <w:szCs w:val="28"/>
              <w:highlight w:val="none"/>
            </w:rPr>
            <w:fldChar w:fldCharType="separate"/>
          </w:r>
          <w:r>
            <w:rPr>
              <w:b/>
              <w:bCs/>
              <w:sz w:val="28"/>
              <w:szCs w:val="28"/>
              <w:highlight w:val="none"/>
            </w:rPr>
            <w:t>34</w:t>
          </w:r>
          <w:r>
            <w:rPr>
              <w:b/>
              <w:bCs/>
              <w:sz w:val="28"/>
              <w:szCs w:val="28"/>
              <w:highlight w:val="none"/>
            </w:rPr>
            <w:fldChar w:fldCharType="end"/>
          </w:r>
          <w:r>
            <w:rPr>
              <w:b/>
              <w:bCs/>
              <w:sz w:val="28"/>
              <w:szCs w:val="28"/>
              <w:highlight w:val="none"/>
            </w:rPr>
            <w:fldChar w:fldCharType="end"/>
          </w:r>
        </w:p>
        <w:p>
          <w:pPr>
            <w:pStyle w:val="50"/>
            <w:tabs>
              <w:tab w:val="right" w:leader="dot" w:pos="8306"/>
            </w:tabs>
            <w:rPr>
              <w:highlight w:val="none"/>
            </w:rPr>
          </w:pPr>
        </w:p>
        <w:p>
          <w:pPr>
            <w:rPr>
              <w:highlight w:val="none"/>
            </w:rPr>
          </w:pPr>
          <w:r>
            <w:rPr>
              <w:highlight w:val="none"/>
            </w:rPr>
            <w:fldChar w:fldCharType="end"/>
          </w:r>
        </w:p>
      </w:sdtContent>
    </w:sdt>
    <w:p>
      <w:pPr>
        <w:tabs>
          <w:tab w:val="right" w:pos="8306"/>
        </w:tabs>
        <w:jc w:val="left"/>
        <w:outlineLvl w:val="9"/>
        <w:rPr>
          <w:b/>
          <w:bCs/>
          <w:sz w:val="32"/>
          <w:szCs w:val="32"/>
          <w:highlight w:val="none"/>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b/>
          <w:bCs/>
          <w:sz w:val="32"/>
          <w:szCs w:val="32"/>
          <w:highlight w:val="none"/>
        </w:rPr>
        <w:tab/>
      </w:r>
    </w:p>
    <w:p>
      <w:pPr>
        <w:jc w:val="center"/>
        <w:outlineLvl w:val="0"/>
        <w:rPr>
          <w:rFonts w:ascii="宋体" w:hAnsi="宋体" w:cs="宋体"/>
          <w:b/>
          <w:sz w:val="32"/>
          <w:szCs w:val="32"/>
          <w:highlight w:val="none"/>
        </w:rPr>
      </w:pPr>
      <w:bookmarkStart w:id="5" w:name="_Toc20890"/>
      <w:r>
        <w:rPr>
          <w:rFonts w:hint="eastAsia"/>
          <w:b/>
          <w:bCs/>
          <w:sz w:val="32"/>
          <w:szCs w:val="32"/>
          <w:highlight w:val="none"/>
        </w:rPr>
        <w:t>第一章竞争性磋商公告</w:t>
      </w:r>
      <w:bookmarkEnd w:id="5"/>
      <w:bookmarkStart w:id="6" w:name="_Toc2820184451"/>
      <w:bookmarkEnd w:id="6"/>
      <w:bookmarkStart w:id="7" w:name="_Toc2820163531"/>
      <w:bookmarkEnd w:id="7"/>
      <w:bookmarkStart w:id="8" w:name="_Toc488052440"/>
      <w:bookmarkStart w:id="9" w:name="_Toc30773"/>
    </w:p>
    <w:bookmarkEnd w:id="8"/>
    <w:bookmarkEnd w:id="9"/>
    <w:p>
      <w:pPr>
        <w:spacing w:line="480" w:lineRule="exact"/>
        <w:ind w:right="-92" w:rightChars="-44" w:firstLine="482" w:firstLineChars="200"/>
        <w:jc w:val="left"/>
        <w:rPr>
          <w:rFonts w:ascii="宋体" w:hAnsi="宋体" w:cs="宋体"/>
          <w:b/>
          <w:sz w:val="24"/>
          <w:szCs w:val="24"/>
          <w:highlight w:val="none"/>
        </w:rPr>
      </w:pPr>
      <w:bookmarkStart w:id="10" w:name="_Toc319400550"/>
      <w:r>
        <w:rPr>
          <w:rFonts w:hint="eastAsia" w:ascii="宋体" w:hAnsi="宋体" w:cs="宋体"/>
          <w:b/>
          <w:sz w:val="24"/>
          <w:szCs w:val="24"/>
          <w:highlight w:val="none"/>
        </w:rPr>
        <w:t>一、招标条件</w:t>
      </w:r>
    </w:p>
    <w:p>
      <w:pPr>
        <w:spacing w:line="480" w:lineRule="exact"/>
        <w:ind w:right="-92" w:rightChars="-44" w:firstLine="480" w:firstLineChars="200"/>
        <w:rPr>
          <w:rFonts w:ascii="宋体" w:hAnsi="宋体" w:cs="宋体"/>
          <w:sz w:val="24"/>
          <w:szCs w:val="24"/>
          <w:highlight w:val="none"/>
        </w:rPr>
      </w:pPr>
      <w:r>
        <w:rPr>
          <w:rFonts w:hint="eastAsia" w:ascii="宋体" w:hAnsi="宋体" w:cs="宋体"/>
          <w:sz w:val="24"/>
          <w:szCs w:val="24"/>
          <w:highlight w:val="none"/>
        </w:rPr>
        <w:t>湖滨区测量标志普查保护工作已由相关部门批准，资金来源为财政资金，采购人为三门峡市湖滨区自然资源局，采购代理机构为河南正晔企业管理有限公司。该项目已具备磋商条件，现对该项目进行竞争性磋商，欢迎符合相关条件的响应人参加投标。</w:t>
      </w:r>
    </w:p>
    <w:p>
      <w:pPr>
        <w:spacing w:line="480" w:lineRule="exact"/>
        <w:ind w:firstLine="482" w:firstLineChars="200"/>
        <w:rPr>
          <w:rFonts w:ascii="宋体" w:hAnsi="宋体" w:cs="宋体"/>
          <w:b/>
          <w:sz w:val="24"/>
          <w:szCs w:val="24"/>
          <w:highlight w:val="none"/>
        </w:rPr>
      </w:pPr>
      <w:bookmarkStart w:id="11" w:name="_Toc18434"/>
      <w:r>
        <w:rPr>
          <w:rFonts w:hint="eastAsia" w:ascii="宋体" w:hAnsi="宋体" w:cs="宋体"/>
          <w:b/>
          <w:sz w:val="24"/>
          <w:szCs w:val="24"/>
          <w:highlight w:val="none"/>
        </w:rPr>
        <w:t>二、项目概况</w:t>
      </w:r>
      <w:bookmarkEnd w:id="11"/>
    </w:p>
    <w:p>
      <w:pPr>
        <w:spacing w:line="480" w:lineRule="exact"/>
        <w:ind w:right="-92" w:rightChars="-44" w:firstLine="480" w:firstLineChars="200"/>
        <w:rPr>
          <w:rFonts w:ascii="宋体" w:hAnsi="宋体" w:cs="宋体"/>
          <w:sz w:val="24"/>
          <w:szCs w:val="24"/>
          <w:highlight w:val="none"/>
        </w:rPr>
      </w:pPr>
      <w:r>
        <w:rPr>
          <w:rFonts w:hint="eastAsia" w:ascii="宋体" w:hAnsi="宋体" w:cs="宋体"/>
          <w:sz w:val="24"/>
          <w:szCs w:val="24"/>
          <w:highlight w:val="none"/>
        </w:rPr>
        <w:t>1、项目名称：湖滨区测量标志普查保护工作</w:t>
      </w:r>
    </w:p>
    <w:p>
      <w:pPr>
        <w:spacing w:line="480" w:lineRule="exact"/>
        <w:ind w:left="480" w:right="-92" w:rightChars="-44"/>
        <w:jc w:val="left"/>
        <w:rPr>
          <w:rFonts w:hint="default" w:ascii="宋体" w:hAnsi="宋体" w:cs="宋体"/>
          <w:sz w:val="24"/>
          <w:szCs w:val="24"/>
          <w:highlight w:val="none"/>
          <w:lang w:val="en-US"/>
        </w:rPr>
      </w:pPr>
      <w:r>
        <w:rPr>
          <w:rFonts w:hint="eastAsia" w:ascii="宋体" w:hAnsi="宋体" w:cs="宋体"/>
          <w:sz w:val="24"/>
          <w:szCs w:val="24"/>
          <w:highlight w:val="none"/>
        </w:rPr>
        <w:t>2、项目编号：</w:t>
      </w:r>
      <w:bookmarkEnd w:id="10"/>
      <w:r>
        <w:rPr>
          <w:rFonts w:hint="eastAsia" w:ascii="宋体" w:hAnsi="宋体" w:cs="宋体"/>
          <w:sz w:val="24"/>
          <w:szCs w:val="24"/>
          <w:highlight w:val="none"/>
          <w:lang w:val="en-US" w:eastAsia="zh-CN"/>
        </w:rPr>
        <w:t>SGZ[2023]571-ZC312   2023-11-23</w:t>
      </w:r>
    </w:p>
    <w:p>
      <w:pPr>
        <w:spacing w:line="480" w:lineRule="exact"/>
        <w:ind w:right="-92" w:rightChars="-44" w:firstLine="480" w:firstLineChars="200"/>
        <w:rPr>
          <w:rFonts w:ascii="宋体" w:hAnsi="宋体" w:cs="宋体"/>
          <w:sz w:val="24"/>
          <w:szCs w:val="24"/>
          <w:highlight w:val="none"/>
        </w:rPr>
      </w:pPr>
      <w:r>
        <w:rPr>
          <w:rFonts w:hint="eastAsia" w:ascii="宋体" w:hAnsi="宋体" w:cs="宋体"/>
          <w:sz w:val="24"/>
          <w:szCs w:val="24"/>
          <w:highlight w:val="none"/>
        </w:rPr>
        <w:t>3、采购人：三门峡市湖滨区自然资源局</w:t>
      </w:r>
    </w:p>
    <w:p>
      <w:pPr>
        <w:spacing w:line="480" w:lineRule="exact"/>
        <w:ind w:right="-92" w:rightChars="-44" w:firstLine="480" w:firstLineChars="200"/>
        <w:rPr>
          <w:rFonts w:ascii="宋体" w:hAnsi="宋体" w:cs="宋体"/>
          <w:sz w:val="24"/>
          <w:szCs w:val="24"/>
          <w:highlight w:val="none"/>
        </w:rPr>
      </w:pPr>
      <w:r>
        <w:rPr>
          <w:rFonts w:hint="eastAsia" w:ascii="宋体" w:hAnsi="宋体" w:cs="宋体"/>
          <w:sz w:val="24"/>
          <w:szCs w:val="24"/>
          <w:highlight w:val="none"/>
        </w:rPr>
        <w:t>4、服务内容：湖滨区范围内的归属国家级和省级、市级管理的永久性测量标志。本次测量标志普查包括外业普查，业内整理，成果建库等工作并根据普查要求提交成果。</w:t>
      </w:r>
    </w:p>
    <w:p>
      <w:pPr>
        <w:spacing w:line="480" w:lineRule="exact"/>
        <w:ind w:left="480" w:right="-92" w:rightChars="-44"/>
        <w:jc w:val="left"/>
        <w:rPr>
          <w:rFonts w:ascii="宋体" w:hAnsi="宋体" w:cs="宋体"/>
          <w:sz w:val="24"/>
          <w:szCs w:val="24"/>
          <w:highlight w:val="none"/>
        </w:rPr>
      </w:pPr>
      <w:r>
        <w:rPr>
          <w:rFonts w:hint="eastAsia" w:ascii="宋体" w:hAnsi="宋体" w:cs="宋体"/>
          <w:sz w:val="24"/>
          <w:szCs w:val="24"/>
          <w:highlight w:val="none"/>
        </w:rPr>
        <w:t>5、磋商范围：磋商文件范围内的所有内容。</w:t>
      </w:r>
    </w:p>
    <w:p>
      <w:pPr>
        <w:spacing w:line="480" w:lineRule="exact"/>
        <w:ind w:left="480" w:right="-92" w:rightChars="-44"/>
        <w:jc w:val="left"/>
        <w:rPr>
          <w:rFonts w:ascii="宋体" w:hAnsi="宋体" w:cs="宋体"/>
          <w:sz w:val="24"/>
          <w:szCs w:val="24"/>
          <w:highlight w:val="none"/>
        </w:rPr>
      </w:pPr>
      <w:r>
        <w:rPr>
          <w:rFonts w:hint="eastAsia" w:ascii="宋体" w:hAnsi="宋体" w:cs="宋体"/>
          <w:sz w:val="24"/>
          <w:szCs w:val="24"/>
          <w:highlight w:val="none"/>
        </w:rPr>
        <w:t>6、服务周期：签订合同后</w:t>
      </w:r>
      <w:r>
        <w:rPr>
          <w:rFonts w:hint="eastAsia" w:ascii="宋体" w:hAnsi="宋体" w:cs="宋体"/>
          <w:sz w:val="24"/>
          <w:szCs w:val="24"/>
          <w:highlight w:val="none"/>
          <w:lang w:val="en-US" w:eastAsia="zh-CN"/>
        </w:rPr>
        <w:t>6</w:t>
      </w:r>
      <w:r>
        <w:rPr>
          <w:rFonts w:hint="eastAsia" w:ascii="宋体" w:hAnsi="宋体" w:cs="宋体"/>
          <w:sz w:val="24"/>
          <w:szCs w:val="24"/>
          <w:highlight w:val="none"/>
        </w:rPr>
        <w:t>0日历天。</w:t>
      </w:r>
    </w:p>
    <w:p>
      <w:pPr>
        <w:spacing w:line="480" w:lineRule="exact"/>
        <w:ind w:right="-92" w:rightChars="-44"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7、质量要求：符合国家现行相关法律、规范、标准等规定</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8、服务地点：三门峡市湖滨区。</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9、采购预算：</w:t>
      </w:r>
      <w:r>
        <w:rPr>
          <w:rFonts w:hint="eastAsia" w:ascii="宋体" w:hAnsi="宋体" w:cs="宋体"/>
          <w:sz w:val="24"/>
          <w:szCs w:val="24"/>
          <w:highlight w:val="none"/>
          <w:lang w:val="en-US" w:eastAsia="zh-CN"/>
        </w:rPr>
        <w:t>34.281285</w:t>
      </w:r>
      <w:r>
        <w:rPr>
          <w:rFonts w:hint="eastAsia" w:ascii="宋体" w:hAnsi="宋体" w:cs="宋体"/>
          <w:sz w:val="24"/>
          <w:szCs w:val="24"/>
          <w:highlight w:val="none"/>
        </w:rPr>
        <w:t>万元。</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10、资金来源：财政资金，已落实。</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11、标段划分：本项目共分为一个标段。</w:t>
      </w:r>
    </w:p>
    <w:p>
      <w:pPr>
        <w:spacing w:line="480" w:lineRule="exact"/>
        <w:ind w:right="-92" w:rightChars="-44" w:firstLine="480" w:firstLineChars="200"/>
        <w:rPr>
          <w:rFonts w:hint="default" w:eastAsia="楷体_GB2312"/>
          <w:highlight w:val="none"/>
          <w:lang w:val="en-US" w:eastAsia="zh-CN"/>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是否专门面向中小企业：</w:t>
      </w:r>
      <w:r>
        <w:rPr>
          <w:rFonts w:hint="eastAsia" w:ascii="宋体" w:hAnsi="宋体" w:cs="宋体"/>
          <w:sz w:val="24"/>
          <w:szCs w:val="24"/>
          <w:highlight w:val="none"/>
          <w:lang w:val="en-US" w:eastAsia="zh-CN"/>
        </w:rPr>
        <w:t>是</w:t>
      </w:r>
    </w:p>
    <w:p>
      <w:pPr>
        <w:spacing w:line="46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三、采购项目需要落实的政府采购政策:</w:t>
      </w:r>
    </w:p>
    <w:p>
      <w:pPr>
        <w:spacing w:line="460" w:lineRule="exact"/>
        <w:ind w:firstLine="480" w:firstLineChars="200"/>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rPr>
        <w:t>本项目执行促进中小型企业发展政策（监狱企业、残疾人福利性企业视同小微企业）、优先采购节能环保产品等政府采购政策</w:t>
      </w:r>
      <w:r>
        <w:rPr>
          <w:rFonts w:hint="eastAsia" w:ascii="宋体" w:hAnsi="宋体" w:cs="宋体"/>
          <w:b w:val="0"/>
          <w:bCs/>
          <w:sz w:val="24"/>
          <w:szCs w:val="24"/>
          <w:highlight w:val="none"/>
          <w:lang w:eastAsia="zh-CN"/>
        </w:rPr>
        <w:t>。</w:t>
      </w:r>
    </w:p>
    <w:p>
      <w:pPr>
        <w:spacing w:line="46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 xml:space="preserve">四、响应人资格要求 </w:t>
      </w:r>
    </w:p>
    <w:p>
      <w:pPr>
        <w:spacing w:line="460" w:lineRule="exact"/>
        <w:ind w:firstLine="480" w:firstLineChars="2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响应人必须符合《中华人民共和国政府采购法》第二十二条的规定并同时具备下列条件：</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1、响应人具有独立法人资格，具有合法有效的营业执照、税务登记证、组织机构代码证（三证合一的仅提供营业执照、事业单位需提供事业单位法人证书）；</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2、响应人具有</w:t>
      </w:r>
      <w:r>
        <w:rPr>
          <w:rFonts w:hint="eastAsia" w:ascii="黑体" w:hAnsi="黑体" w:eastAsia="黑体" w:cs="黑体"/>
          <w:b w:val="0"/>
          <w:bCs w:val="0"/>
          <w:sz w:val="24"/>
          <w:highlight w:val="none"/>
        </w:rPr>
        <w:t>测绘地理信息行政主管部门颁发的测绘乙级及以上资质证书</w:t>
      </w:r>
      <w:r>
        <w:rPr>
          <w:rFonts w:hint="eastAsia" w:ascii="黑体" w:hAnsi="黑体" w:eastAsia="黑体" w:cs="黑体"/>
          <w:b w:val="0"/>
          <w:bCs w:val="0"/>
          <w:sz w:val="24"/>
          <w:szCs w:val="24"/>
          <w:highlight w:val="none"/>
        </w:rPr>
        <w:t>；</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rPr>
        <w:t>3、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w:t>
      </w:r>
      <w:r>
        <w:rPr>
          <w:rFonts w:hint="eastAsia" w:ascii="黑体" w:hAnsi="黑体" w:eastAsia="黑体" w:cs="黑体"/>
          <w:b w:val="0"/>
          <w:bCs w:val="0"/>
          <w:sz w:val="24"/>
          <w:highlight w:val="none"/>
        </w:rPr>
        <w:t>【失信被执行人、税收违法黑名单或重大税收违法失信主体查询渠道：“信用中国”网站www.creditchina.gov.cn、政府采购严重违法失信行为记录名单查询渠道：中国政府采购网（www.ccgp.gov.cn）】提供查询结果截图</w:t>
      </w:r>
      <w:r>
        <w:rPr>
          <w:rFonts w:hint="eastAsia" w:ascii="黑体" w:hAnsi="黑体" w:eastAsia="黑体" w:cs="黑体"/>
          <w:b w:val="0"/>
          <w:bCs w:val="0"/>
          <w:sz w:val="24"/>
          <w:szCs w:val="24"/>
          <w:highlight w:val="none"/>
          <w:lang w:val="en-US" w:eastAsia="zh-CN"/>
        </w:rPr>
        <w:t>，查询时间自公告发布之日起；</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4、</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具有良好的商业信誉和健全的财务会计制度：（</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需提供具有良好的商业信誉和健全的财务会计制度承诺书，落款时间为磋商公告发出时间之日起）</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5、</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有依法缴纳税收和社会保障资金的良好记录：（</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需提供具有依法缴纳税收和社会保障资金的良好记录承诺书，落款时间为磋商公告发出时间之日起）</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6、企业出具无商业贿赂和不正当竞争行为承诺书；（格式自拟）</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7、企业出具无行贿犯罪记录在中国裁判文书网自行查询或自行承诺（查询对象为企业、法定代表人）；</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lang w:val="en-US" w:eastAsia="zh-CN"/>
        </w:rPr>
        <w:t>8</w:t>
      </w:r>
      <w:r>
        <w:rPr>
          <w:rFonts w:hint="eastAsia" w:ascii="黑体" w:hAnsi="黑体" w:eastAsia="黑体" w:cs="黑体"/>
          <w:b w:val="0"/>
          <w:bCs w:val="0"/>
          <w:sz w:val="24"/>
          <w:szCs w:val="24"/>
          <w:highlight w:val="none"/>
        </w:rPr>
        <w:t>、本项目不接受联合体磋商；</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lang w:val="en-US" w:eastAsia="zh-CN"/>
        </w:rPr>
        <w:t>9</w:t>
      </w:r>
      <w:r>
        <w:rPr>
          <w:rFonts w:hint="eastAsia" w:ascii="黑体" w:hAnsi="黑体" w:eastAsia="黑体" w:cs="黑体"/>
          <w:b w:val="0"/>
          <w:bCs w:val="0"/>
          <w:sz w:val="24"/>
          <w:szCs w:val="24"/>
          <w:highlight w:val="none"/>
        </w:rPr>
        <w:t>、本次招标实行资格后审，资格审查的具体要求见磋商文件。</w:t>
      </w:r>
    </w:p>
    <w:p>
      <w:pPr>
        <w:spacing w:line="48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五、磋商文件获取方式：</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1、获取磋商文件方式：本项目没有报名环节，响应人凭CA数字证书通过三门峡市公共资源交易中心网（网址：gzjy.smx.gov.cn），点击交易平台选择“市场主体登录”，在所参与项目右侧点击参与投标，即可直接下载本项目磋商文件。</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注：根据《关于进一步加强公共资源交易管理持续优化营商环境的通知》（三公管办〔2020〕2号）文件的要求,招标（磋商）文件费用不再收取。</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具体操作请查看以下链接：</w:t>
      </w:r>
    </w:p>
    <w:p>
      <w:pPr>
        <w:keepNext w:val="0"/>
        <w:keepLines w:val="0"/>
        <w:pageBreakBefore w:val="0"/>
        <w:widowControl w:val="0"/>
        <w:kinsoku/>
        <w:wordWrap/>
        <w:overflowPunct/>
        <w:topLinePunct w:val="0"/>
        <w:autoSpaceDE/>
        <w:autoSpaceDN/>
        <w:bidi w:val="0"/>
        <w:adjustRightInd/>
        <w:snapToGrid/>
        <w:spacing w:line="480" w:lineRule="exact"/>
        <w:ind w:left="479" w:leftChars="228" w:right="-92" w:rightChars="-44"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办理CA证书：</w:t>
      </w:r>
    </w:p>
    <w:p>
      <w:pPr>
        <w:spacing w:line="480" w:lineRule="exact"/>
        <w:ind w:right="-92" w:rightChars="-4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http://gzjy.smx.gov.cn/bzzx/008001/20211105/57b16af9-ab87-4395-a723-7758c628a3f8.html</w:t>
      </w:r>
    </w:p>
    <w:p>
      <w:pPr>
        <w:spacing w:line="480" w:lineRule="exact"/>
        <w:ind w:right="-92" w:rightChars="-4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三门峡市公共资源交易服务平台（市场主体信息库）操作手册：</w:t>
      </w:r>
    </w:p>
    <w:p>
      <w:pPr>
        <w:spacing w:line="480" w:lineRule="exact"/>
        <w:ind w:right="-92" w:rightChars="-4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http://gzjy.smx.gov.cn/bzzx/008001/20200325/4a2f9fa3-b923-4ddd-bd6f-138a0b63f7d1.html</w:t>
      </w:r>
    </w:p>
    <w:p>
      <w:pPr>
        <w:spacing w:line="480" w:lineRule="exact"/>
        <w:ind w:right="-92" w:rightChars="-44"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rPr>
        <w:t>磋商文件下载时间：2023年</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23 </w:t>
      </w:r>
      <w:r>
        <w:rPr>
          <w:rFonts w:hint="eastAsia" w:ascii="宋体" w:hAnsi="宋体" w:eastAsia="宋体" w:cs="宋体"/>
          <w:sz w:val="24"/>
          <w:szCs w:val="24"/>
          <w:highlight w:val="none"/>
        </w:rPr>
        <w:t>日8时00分至2023年</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6 </w:t>
      </w:r>
      <w:r>
        <w:rPr>
          <w:rFonts w:hint="eastAsia" w:ascii="宋体" w:hAnsi="宋体" w:eastAsia="宋体" w:cs="宋体"/>
          <w:sz w:val="24"/>
          <w:szCs w:val="24"/>
          <w:highlight w:val="none"/>
        </w:rPr>
        <w:t>日9时00分。</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注：本项目为不见面开标项目，开标当日，响应人无需到开标现场参加开标会议，响应人应当在投标截止时间前，登陆不见面开标大厅选择登陆三门峡市公共资源电子招投标系统进行登陆</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http://120.194.249.36:10094/BidOpening/bidopeninghallaction/hall/login）,在线准时参加开标活动并进行投标文件解密等。每位响应人的解密时间为开标时间起30分钟内完成。因响应人原因未能解密、解密失败或解密超时的将被拒绝。</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3、相关证书原件的提交</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根据优化营商环境的要求，评标时以投标文件自行上传业绩为准，主题库录入信息不作为打分依据：</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（1）资格评（预）审部分：资格评（预）以响应文件为准，其上传资料真实性由供应商自行承担，同时，供应商要完善主体库。</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（2）评标打分部分：评标打分部分仍按照100分制原则进行，涉及到资格审查、企业荣誉、人员业绩、企业业绩等计分部分时，以投标单位自行上传到响应文件中的相应内容为准。</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（4）本项目实行资格后审，评审中资格审查、评审打分以投标文件为准，其上传资料真实性由响应人自行承担，同时，响应人要完善主体库。</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（5）我单位（采购人）严格按三财购（2021）9号文要求的时限发布结果公告，发出成交通知书，签订采购合同，上传采购合同。</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4、磋商保证金：</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根据《河南省财政厅关于优化政府采购营商环境有关问题的通知》（豫财购【2019】4号）第6条的规定，磋商保证金不再收取。</w:t>
      </w:r>
    </w:p>
    <w:p>
      <w:pPr>
        <w:pStyle w:val="19"/>
        <w:shd w:val="clear" w:color="auto" w:fill="FFFFFF"/>
        <w:spacing w:beforeAutospacing="0" w:afterAutospacing="0" w:line="480" w:lineRule="exact"/>
        <w:ind w:firstLine="474" w:firstLineChars="200"/>
        <w:rPr>
          <w:rFonts w:cs="宋体"/>
          <w:spacing w:val="-2"/>
          <w:kern w:val="2"/>
          <w:szCs w:val="24"/>
          <w:highlight w:val="none"/>
        </w:rPr>
      </w:pPr>
      <w:r>
        <w:rPr>
          <w:rFonts w:hint="eastAsia" w:cs="宋体"/>
          <w:b/>
          <w:bCs/>
          <w:spacing w:val="-2"/>
          <w:kern w:val="2"/>
          <w:szCs w:val="24"/>
          <w:highlight w:val="none"/>
        </w:rPr>
        <w:t>六、响应性文件递交与开标时间及地点</w:t>
      </w:r>
      <w:r>
        <w:rPr>
          <w:rFonts w:hint="eastAsia" w:cs="宋体"/>
          <w:spacing w:val="-2"/>
          <w:kern w:val="2"/>
          <w:szCs w:val="24"/>
          <w:highlight w:val="none"/>
        </w:rPr>
        <w:t>：</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rPr>
        <w:t>响应文件递交的截止时间：2023年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6 </w:t>
      </w:r>
      <w:r>
        <w:rPr>
          <w:rFonts w:hint="eastAsia" w:ascii="宋体" w:hAnsi="宋体" w:cs="宋体"/>
          <w:sz w:val="24"/>
          <w:szCs w:val="24"/>
          <w:highlight w:val="none"/>
        </w:rPr>
        <w:t>日</w:t>
      </w:r>
      <w:r>
        <w:rPr>
          <w:rFonts w:hint="eastAsia" w:ascii="宋体" w:hAnsi="宋体" w:cs="宋体"/>
          <w:sz w:val="24"/>
          <w:szCs w:val="24"/>
          <w:highlight w:val="none"/>
          <w:lang w:val="en-US" w:eastAsia="zh-CN"/>
        </w:rPr>
        <w:t xml:space="preserve"> 9 </w:t>
      </w:r>
      <w:r>
        <w:rPr>
          <w:rFonts w:hint="eastAsia" w:ascii="宋体" w:hAnsi="宋体" w:cs="宋体"/>
          <w:sz w:val="24"/>
          <w:szCs w:val="24"/>
          <w:highlight w:val="none"/>
        </w:rPr>
        <w:t>时</w:t>
      </w:r>
      <w:r>
        <w:rPr>
          <w:rFonts w:hint="eastAsia" w:ascii="宋体" w:hAnsi="宋体" w:cs="宋体"/>
          <w:sz w:val="24"/>
          <w:szCs w:val="24"/>
          <w:highlight w:val="none"/>
          <w:lang w:val="en-US" w:eastAsia="zh-CN"/>
        </w:rPr>
        <w:t xml:space="preserve"> 10</w:t>
      </w:r>
      <w:r>
        <w:rPr>
          <w:rFonts w:hint="eastAsia" w:ascii="宋体" w:hAnsi="宋体" w:cs="宋体"/>
          <w:sz w:val="24"/>
          <w:szCs w:val="24"/>
          <w:highlight w:val="none"/>
        </w:rPr>
        <w:t>分（北京时间）；</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2、响应文件递交地点:上传至三门峡市公共资源交易中心系统</w:t>
      </w:r>
    </w:p>
    <w:p>
      <w:pPr>
        <w:spacing w:line="480" w:lineRule="exact"/>
        <w:ind w:right="-92" w:rightChars="-44" w:firstLine="480" w:firstLineChars="200"/>
        <w:jc w:val="left"/>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rPr>
        <w:t>磋商地点：三门峡市公共资源交易中心五楼开标</w:t>
      </w:r>
      <w:r>
        <w:rPr>
          <w:rFonts w:hint="eastAsia" w:ascii="宋体" w:hAnsi="宋体" w:cs="宋体"/>
          <w:sz w:val="24"/>
          <w:szCs w:val="24"/>
          <w:highlight w:val="none"/>
          <w:lang w:val="en-US" w:eastAsia="zh-CN"/>
        </w:rPr>
        <w:t>二</w:t>
      </w:r>
      <w:r>
        <w:rPr>
          <w:rFonts w:hint="eastAsia" w:ascii="宋体" w:hAnsi="宋体" w:cs="宋体"/>
          <w:sz w:val="24"/>
          <w:szCs w:val="24"/>
          <w:highlight w:val="none"/>
        </w:rPr>
        <w:t>室。</w:t>
      </w:r>
    </w:p>
    <w:p>
      <w:pPr>
        <w:pStyle w:val="19"/>
        <w:shd w:val="clear" w:color="auto" w:fill="FFFFFF"/>
        <w:spacing w:beforeAutospacing="0" w:afterAutospacing="0" w:line="480" w:lineRule="exact"/>
        <w:ind w:firstLine="474" w:firstLineChars="200"/>
        <w:rPr>
          <w:rFonts w:cs="宋体"/>
          <w:b/>
          <w:bCs/>
          <w:spacing w:val="-2"/>
          <w:kern w:val="2"/>
          <w:szCs w:val="24"/>
          <w:highlight w:val="none"/>
        </w:rPr>
      </w:pPr>
      <w:r>
        <w:rPr>
          <w:rFonts w:hint="eastAsia" w:cs="宋体"/>
          <w:b/>
          <w:bCs/>
          <w:spacing w:val="-2"/>
          <w:kern w:val="2"/>
          <w:szCs w:val="24"/>
          <w:highlight w:val="none"/>
        </w:rPr>
        <w:t>七、其他事项</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1、响应人应仔细阅读操作手册，在本公告中要求的截止时间前完成网上投标文件的上传递交等工作。因响应人操作不当等问题造成的无法下载磋商文件、无法投标等一切后果，由响应人自行承担。</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2、磋商所发生的一切费用由各响应人自行承担，并承担相应的风险和责任。</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3、响应人递交的磋商文件不论中标与否均不予退还。</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4、逾期上传或未按规定上传的电子磋商响应文件，采购人不予受理。</w:t>
      </w:r>
    </w:p>
    <w:p>
      <w:pPr>
        <w:pStyle w:val="19"/>
        <w:shd w:val="clear" w:color="auto" w:fill="FFFFFF"/>
        <w:spacing w:beforeAutospacing="0" w:afterAutospacing="0" w:line="480" w:lineRule="exact"/>
        <w:ind w:firstLine="474" w:firstLineChars="200"/>
        <w:rPr>
          <w:rFonts w:cs="宋体"/>
          <w:b/>
          <w:bCs/>
          <w:spacing w:val="-2"/>
          <w:kern w:val="2"/>
          <w:szCs w:val="24"/>
          <w:highlight w:val="none"/>
        </w:rPr>
      </w:pPr>
      <w:r>
        <w:rPr>
          <w:rFonts w:hint="eastAsia" w:cs="宋体"/>
          <w:b/>
          <w:bCs/>
          <w:spacing w:val="-2"/>
          <w:kern w:val="2"/>
          <w:szCs w:val="24"/>
          <w:highlight w:val="none"/>
        </w:rPr>
        <w:t>温馨提示：本项目为电子化、无纸化交易项目，开标时不再接受任何纸质资料，为保证您能投标成功，请需仔细阅读磋商文件和三门峡市公共资源交易中心官网业务办理指南。</w:t>
      </w:r>
    </w:p>
    <w:p>
      <w:pPr>
        <w:pStyle w:val="19"/>
        <w:shd w:val="clear" w:color="auto" w:fill="FFFFFF"/>
        <w:spacing w:beforeAutospacing="0" w:afterAutospacing="0" w:line="480" w:lineRule="exact"/>
        <w:ind w:firstLine="474" w:firstLineChars="200"/>
        <w:rPr>
          <w:rFonts w:cs="宋体"/>
          <w:spacing w:val="-2"/>
          <w:kern w:val="2"/>
          <w:szCs w:val="24"/>
          <w:highlight w:val="none"/>
        </w:rPr>
      </w:pPr>
      <w:r>
        <w:rPr>
          <w:rFonts w:hint="eastAsia" w:cs="宋体"/>
          <w:b/>
          <w:bCs/>
          <w:spacing w:val="-2"/>
          <w:kern w:val="2"/>
          <w:szCs w:val="24"/>
          <w:highlight w:val="none"/>
        </w:rPr>
        <w:t>八、发布公告的媒介</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本次磋商公告在《中国采购与招标网》、《河南省政府采购网》、《三门峡市公共资源交易中心》同时发布。</w:t>
      </w:r>
    </w:p>
    <w:p>
      <w:pPr>
        <w:pStyle w:val="19"/>
        <w:shd w:val="clear" w:color="auto" w:fill="FFFFFF"/>
        <w:spacing w:beforeAutospacing="0" w:afterAutospacing="0" w:line="480" w:lineRule="exact"/>
        <w:ind w:firstLine="474" w:firstLineChars="200"/>
        <w:rPr>
          <w:rFonts w:cs="宋体"/>
          <w:b/>
          <w:bCs/>
          <w:spacing w:val="-2"/>
          <w:kern w:val="2"/>
          <w:szCs w:val="24"/>
          <w:highlight w:val="none"/>
        </w:rPr>
      </w:pPr>
      <w:r>
        <w:rPr>
          <w:rFonts w:hint="eastAsia" w:cs="宋体"/>
          <w:b/>
          <w:bCs/>
          <w:spacing w:val="-2"/>
          <w:kern w:val="2"/>
          <w:szCs w:val="24"/>
          <w:highlight w:val="none"/>
        </w:rPr>
        <w:t>九、联系方式</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监督部门：三门峡市湖滨区政府采购管理办公室</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地址：三门峡市湖滨区河堤北路</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联系方式：0398-2957328</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采购人：三门峡市湖滨区自然资源局</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联系人：张先生</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联系电话：15517886066</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地址：河南省三门峡市上阳路南段</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代理机构：河南正晔企业管理有限公司</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联系人：白女士</w:t>
      </w:r>
    </w:p>
    <w:p>
      <w:pPr>
        <w:pStyle w:val="19"/>
        <w:shd w:val="clear" w:color="auto" w:fill="FFFFFF"/>
        <w:spacing w:beforeAutospacing="0" w:afterAutospacing="0" w:line="480" w:lineRule="exact"/>
        <w:ind w:firstLine="472" w:firstLineChars="200"/>
        <w:rPr>
          <w:rFonts w:cs="宋体"/>
          <w:spacing w:val="-2"/>
          <w:kern w:val="2"/>
          <w:szCs w:val="24"/>
          <w:highlight w:val="none"/>
        </w:rPr>
      </w:pPr>
      <w:r>
        <w:rPr>
          <w:rFonts w:hint="eastAsia" w:cs="宋体"/>
          <w:spacing w:val="-2"/>
          <w:kern w:val="2"/>
          <w:szCs w:val="24"/>
          <w:highlight w:val="none"/>
        </w:rPr>
        <w:t>联系电话：18639851550</w:t>
      </w:r>
    </w:p>
    <w:p>
      <w:pPr>
        <w:pStyle w:val="19"/>
        <w:shd w:val="clear" w:color="auto" w:fill="FFFFFF"/>
        <w:spacing w:beforeAutospacing="0" w:afterAutospacing="0" w:line="480" w:lineRule="exact"/>
        <w:ind w:firstLine="472" w:firstLineChars="200"/>
        <w:rPr>
          <w:rFonts w:hint="eastAsia" w:cs="宋体"/>
          <w:spacing w:val="-2"/>
          <w:kern w:val="2"/>
          <w:szCs w:val="24"/>
          <w:highlight w:val="none"/>
        </w:rPr>
      </w:pPr>
      <w:r>
        <w:rPr>
          <w:rFonts w:hint="eastAsia" w:cs="宋体"/>
          <w:spacing w:val="-2"/>
          <w:kern w:val="2"/>
          <w:szCs w:val="24"/>
          <w:highlight w:val="none"/>
        </w:rPr>
        <w:t>地址：河南省三门峡市五原西路文化体育中心体育场A-205</w:t>
      </w:r>
    </w:p>
    <w:p>
      <w:pPr>
        <w:rPr>
          <w:b/>
          <w:bCs/>
          <w:highlight w:val="none"/>
        </w:rPr>
      </w:pPr>
      <w:r>
        <w:rPr>
          <w:b/>
          <w:bCs/>
          <w:highlight w:val="none"/>
        </w:rPr>
        <w:br w:type="page"/>
      </w:r>
    </w:p>
    <w:p>
      <w:pPr>
        <w:jc w:val="center"/>
        <w:outlineLvl w:val="0"/>
        <w:rPr>
          <w:b/>
          <w:bCs/>
          <w:sz w:val="32"/>
          <w:szCs w:val="32"/>
          <w:highlight w:val="none"/>
        </w:rPr>
      </w:pPr>
      <w:bookmarkStart w:id="12" w:name="_Toc5375"/>
      <w:r>
        <w:rPr>
          <w:rFonts w:hint="eastAsia"/>
          <w:b/>
          <w:bCs/>
          <w:sz w:val="32"/>
          <w:szCs w:val="32"/>
          <w:highlight w:val="none"/>
        </w:rPr>
        <w:t>第二章响应人须知</w:t>
      </w:r>
      <w:bookmarkEnd w:id="12"/>
    </w:p>
    <w:p>
      <w:pPr>
        <w:spacing w:line="480" w:lineRule="auto"/>
        <w:jc w:val="center"/>
        <w:rPr>
          <w:rFonts w:ascii="宋体" w:hAnsi="宋体" w:cs="宋体"/>
          <w:b/>
          <w:bCs/>
          <w:color w:val="000000"/>
          <w:sz w:val="28"/>
          <w:szCs w:val="28"/>
          <w:highlight w:val="none"/>
        </w:rPr>
      </w:pPr>
      <w:r>
        <w:rPr>
          <w:rFonts w:hint="eastAsia" w:ascii="宋体" w:hAnsi="宋体" w:cs="宋体"/>
          <w:b/>
          <w:bCs/>
          <w:color w:val="000000"/>
          <w:sz w:val="28"/>
          <w:szCs w:val="28"/>
          <w:highlight w:val="none"/>
        </w:rPr>
        <w:t>响应人须知前附表</w:t>
      </w:r>
    </w:p>
    <w:tbl>
      <w:tblPr>
        <w:tblStyle w:val="21"/>
        <w:tblW w:w="9910" w:type="dxa"/>
        <w:jc w:val="center"/>
        <w:tblLayout w:type="fixed"/>
        <w:tblCellMar>
          <w:top w:w="0" w:type="dxa"/>
          <w:left w:w="108" w:type="dxa"/>
          <w:bottom w:w="0" w:type="dxa"/>
          <w:right w:w="108" w:type="dxa"/>
        </w:tblCellMar>
      </w:tblPr>
      <w:tblGrid>
        <w:gridCol w:w="1095"/>
        <w:gridCol w:w="2488"/>
        <w:gridCol w:w="6327"/>
      </w:tblGrid>
      <w:tr>
        <w:trPr>
          <w:trHeight w:val="463"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80" w:lineRule="auto"/>
              <w:jc w:val="center"/>
              <w:rPr>
                <w:rFonts w:ascii="宋体" w:hAnsi="宋体" w:cs="宋体"/>
                <w:b/>
                <w:bCs/>
                <w:color w:val="000000"/>
                <w:spacing w:val="11"/>
                <w:sz w:val="24"/>
                <w:szCs w:val="24"/>
                <w:highlight w:val="none"/>
              </w:rPr>
            </w:pPr>
            <w:r>
              <w:rPr>
                <w:rFonts w:hint="eastAsia" w:ascii="宋体" w:hAnsi="宋体" w:cs="宋体"/>
                <w:b/>
                <w:bCs/>
                <w:color w:val="000000"/>
                <w:spacing w:val="11"/>
                <w:sz w:val="24"/>
                <w:szCs w:val="24"/>
                <w:highlight w:val="none"/>
              </w:rPr>
              <w:t>条款号</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480" w:lineRule="auto"/>
              <w:jc w:val="center"/>
              <w:rPr>
                <w:rFonts w:ascii="宋体" w:hAnsi="宋体" w:cs="宋体"/>
                <w:b/>
                <w:bCs/>
                <w:color w:val="000000"/>
                <w:spacing w:val="11"/>
                <w:sz w:val="24"/>
                <w:szCs w:val="24"/>
                <w:highlight w:val="none"/>
              </w:rPr>
            </w:pPr>
            <w:r>
              <w:rPr>
                <w:rFonts w:hint="eastAsia" w:ascii="宋体" w:hAnsi="宋体" w:cs="宋体"/>
                <w:b/>
                <w:bCs/>
                <w:color w:val="000000"/>
                <w:spacing w:val="11"/>
                <w:sz w:val="24"/>
                <w:szCs w:val="24"/>
                <w:highlight w:val="none"/>
              </w:rPr>
              <w:t>条款名称</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480" w:lineRule="auto"/>
              <w:jc w:val="center"/>
              <w:rPr>
                <w:rFonts w:ascii="宋体" w:hAnsi="宋体" w:cs="宋体"/>
                <w:b/>
                <w:bCs/>
                <w:color w:val="000000"/>
                <w:spacing w:val="11"/>
                <w:sz w:val="24"/>
                <w:szCs w:val="24"/>
                <w:highlight w:val="none"/>
              </w:rPr>
            </w:pPr>
            <w:r>
              <w:rPr>
                <w:rFonts w:hint="eastAsia" w:ascii="宋体" w:hAnsi="宋体" w:cs="宋体"/>
                <w:b/>
                <w:bCs/>
                <w:color w:val="000000"/>
                <w:spacing w:val="11"/>
                <w:sz w:val="24"/>
                <w:szCs w:val="24"/>
                <w:highlight w:val="none"/>
              </w:rPr>
              <w:t>编列内容</w:t>
            </w:r>
          </w:p>
        </w:tc>
      </w:tr>
      <w:tr>
        <w:tblPrEx>
          <w:tblCellMar>
            <w:top w:w="0" w:type="dxa"/>
            <w:left w:w="108" w:type="dxa"/>
            <w:bottom w:w="0" w:type="dxa"/>
            <w:right w:w="108" w:type="dxa"/>
          </w:tblCellMar>
        </w:tblPrEx>
        <w:trPr>
          <w:trHeight w:val="1346"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1</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采购人</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采购人：三门峡市湖滨区自然资源局</w:t>
            </w:r>
          </w:p>
          <w:p>
            <w:pPr>
              <w:adjustRightInd w:val="0"/>
              <w:snapToGrid w:val="0"/>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联系人：张先生</w:t>
            </w:r>
          </w:p>
          <w:p>
            <w:pPr>
              <w:adjustRightInd w:val="0"/>
              <w:snapToGrid w:val="0"/>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联系电话：15517886066</w:t>
            </w:r>
          </w:p>
          <w:p>
            <w:pPr>
              <w:adjustRightInd w:val="0"/>
              <w:snapToGrid w:val="0"/>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地址：河南省三门峡市上阳路南段</w:t>
            </w:r>
          </w:p>
        </w:tc>
      </w:tr>
      <w:tr>
        <w:tblPrEx>
          <w:tblCellMar>
            <w:top w:w="0" w:type="dxa"/>
            <w:left w:w="108" w:type="dxa"/>
            <w:bottom w:w="0" w:type="dxa"/>
            <w:right w:w="108" w:type="dxa"/>
          </w:tblCellMar>
        </w:tblPrEx>
        <w:trPr>
          <w:trHeight w:val="1837"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2</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代理机构</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代理机构：河南正晔企业管理有限公司</w:t>
            </w:r>
          </w:p>
          <w:p>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联系人：白女士</w:t>
            </w:r>
          </w:p>
          <w:p>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联系电话：18639851550</w:t>
            </w:r>
          </w:p>
          <w:p>
            <w:pPr>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地址：河南省三门峡市五原西路文化体育中心体育场A-205</w:t>
            </w:r>
          </w:p>
        </w:tc>
      </w:tr>
      <w:tr>
        <w:tblPrEx>
          <w:tblCellMar>
            <w:top w:w="0" w:type="dxa"/>
            <w:left w:w="108" w:type="dxa"/>
            <w:bottom w:w="0" w:type="dxa"/>
            <w:right w:w="108" w:type="dxa"/>
          </w:tblCellMar>
        </w:tblPrEx>
        <w:trPr>
          <w:trHeight w:val="461"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3</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项目名称</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ind w:left="1200" w:hanging="1200" w:hangingChars="500"/>
              <w:jc w:val="left"/>
              <w:rPr>
                <w:rFonts w:ascii="宋体" w:hAnsi="宋体" w:cs="宋体"/>
                <w:kern w:val="21"/>
                <w:sz w:val="24"/>
                <w:szCs w:val="24"/>
                <w:highlight w:val="none"/>
              </w:rPr>
            </w:pPr>
            <w:r>
              <w:rPr>
                <w:rFonts w:hint="eastAsia" w:ascii="宋体" w:hAnsi="宋体" w:cs="宋体"/>
                <w:sz w:val="24"/>
                <w:szCs w:val="24"/>
                <w:highlight w:val="none"/>
              </w:rPr>
              <w:t>湖滨区测量标志普查保护工作</w:t>
            </w:r>
          </w:p>
        </w:tc>
      </w:tr>
      <w:tr>
        <w:tblPrEx>
          <w:tblCellMar>
            <w:top w:w="0" w:type="dxa"/>
            <w:left w:w="108" w:type="dxa"/>
            <w:bottom w:w="0" w:type="dxa"/>
            <w:right w:w="108" w:type="dxa"/>
          </w:tblCellMar>
        </w:tblPrEx>
        <w:trPr>
          <w:trHeight w:val="90"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4</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资金来源</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left"/>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财政资金，已落实</w:t>
            </w:r>
          </w:p>
        </w:tc>
      </w:tr>
      <w:tr>
        <w:tblPrEx>
          <w:tblCellMar>
            <w:top w:w="0" w:type="dxa"/>
            <w:left w:w="108" w:type="dxa"/>
            <w:bottom w:w="0" w:type="dxa"/>
            <w:right w:w="108" w:type="dxa"/>
          </w:tblCellMar>
        </w:tblPrEx>
        <w:trPr>
          <w:trHeight w:val="555"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5</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宋体"/>
                <w:spacing w:val="11"/>
                <w:sz w:val="24"/>
                <w:szCs w:val="24"/>
                <w:highlight w:val="none"/>
              </w:rPr>
            </w:pPr>
            <w:r>
              <w:rPr>
                <w:rFonts w:hint="eastAsia" w:ascii="宋体" w:hAnsi="宋体" w:cs="宋体"/>
                <w:spacing w:val="11"/>
                <w:sz w:val="24"/>
                <w:szCs w:val="24"/>
                <w:highlight w:val="none"/>
                <w:lang w:val="en-US" w:eastAsia="zh-CN"/>
              </w:rPr>
              <w:t>服务</w:t>
            </w:r>
            <w:r>
              <w:rPr>
                <w:rFonts w:hint="eastAsia" w:ascii="宋体" w:hAnsi="宋体" w:cs="宋体"/>
                <w:spacing w:val="11"/>
                <w:sz w:val="24"/>
                <w:szCs w:val="24"/>
                <w:highlight w:val="none"/>
              </w:rPr>
              <w:t>内容</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left"/>
              <w:rPr>
                <w:rFonts w:ascii="宋体" w:hAnsi="宋体" w:cs="宋体"/>
                <w:kern w:val="21"/>
                <w:sz w:val="24"/>
                <w:szCs w:val="24"/>
                <w:highlight w:val="none"/>
              </w:rPr>
            </w:pPr>
            <w:r>
              <w:rPr>
                <w:rFonts w:hint="eastAsia" w:ascii="宋体" w:hAnsi="宋体" w:cs="宋体"/>
                <w:kern w:val="21"/>
                <w:sz w:val="24"/>
                <w:szCs w:val="24"/>
                <w:highlight w:val="none"/>
              </w:rPr>
              <w:t>湖滨区范围内的归属国家级和省级、市级管理的永久性测量标志。本次测量标志普查包括外业普查，业内整理，成果建库等工作并根据普查要求提交成果。</w:t>
            </w:r>
          </w:p>
        </w:tc>
      </w:tr>
      <w:tr>
        <w:tblPrEx>
          <w:tblCellMar>
            <w:top w:w="0" w:type="dxa"/>
            <w:left w:w="108" w:type="dxa"/>
            <w:bottom w:w="0" w:type="dxa"/>
            <w:right w:w="108" w:type="dxa"/>
          </w:tblCellMar>
        </w:tblPrEx>
        <w:trPr>
          <w:trHeight w:val="592"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kern w:val="21"/>
                <w:sz w:val="24"/>
                <w:szCs w:val="24"/>
                <w:highlight w:val="none"/>
              </w:rPr>
            </w:pPr>
            <w:r>
              <w:rPr>
                <w:rFonts w:hint="eastAsia" w:ascii="宋体" w:hAnsi="宋体" w:cs="宋体"/>
                <w:kern w:val="21"/>
                <w:sz w:val="24"/>
                <w:szCs w:val="24"/>
                <w:highlight w:val="none"/>
              </w:rPr>
              <w:t>6</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ind w:firstLine="240" w:firstLineChars="100"/>
              <w:jc w:val="center"/>
              <w:rPr>
                <w:rFonts w:ascii="宋体" w:hAnsi="宋体" w:cs="宋体"/>
                <w:kern w:val="21"/>
                <w:sz w:val="24"/>
                <w:szCs w:val="24"/>
                <w:highlight w:val="none"/>
              </w:rPr>
            </w:pPr>
            <w:r>
              <w:rPr>
                <w:rFonts w:hint="eastAsia" w:ascii="宋体" w:hAnsi="宋体" w:cs="宋体"/>
                <w:kern w:val="21"/>
                <w:sz w:val="24"/>
                <w:szCs w:val="24"/>
                <w:highlight w:val="none"/>
              </w:rPr>
              <w:t>服务周期</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left"/>
              <w:rPr>
                <w:rFonts w:ascii="宋体" w:hAnsi="宋体" w:cs="宋体"/>
                <w:kern w:val="21"/>
                <w:sz w:val="24"/>
                <w:szCs w:val="24"/>
                <w:highlight w:val="none"/>
              </w:rPr>
            </w:pPr>
            <w:r>
              <w:rPr>
                <w:rFonts w:hint="eastAsia" w:ascii="宋体" w:hAnsi="宋体" w:cs="宋体"/>
                <w:kern w:val="21"/>
                <w:sz w:val="24"/>
                <w:szCs w:val="24"/>
                <w:highlight w:val="none"/>
              </w:rPr>
              <w:t>签订合同后</w:t>
            </w:r>
            <w:r>
              <w:rPr>
                <w:rFonts w:hint="eastAsia" w:ascii="宋体" w:hAnsi="宋体" w:cs="宋体"/>
                <w:kern w:val="21"/>
                <w:sz w:val="24"/>
                <w:szCs w:val="24"/>
                <w:highlight w:val="none"/>
                <w:lang w:val="en-US" w:eastAsia="zh-CN"/>
              </w:rPr>
              <w:t>6</w:t>
            </w:r>
            <w:r>
              <w:rPr>
                <w:rFonts w:hint="eastAsia" w:ascii="宋体" w:hAnsi="宋体" w:cs="宋体"/>
                <w:kern w:val="21"/>
                <w:sz w:val="24"/>
                <w:szCs w:val="24"/>
                <w:highlight w:val="none"/>
              </w:rPr>
              <w:t>0日历天</w:t>
            </w:r>
          </w:p>
        </w:tc>
      </w:tr>
      <w:tr>
        <w:tblPrEx>
          <w:tblCellMar>
            <w:top w:w="0" w:type="dxa"/>
            <w:left w:w="108" w:type="dxa"/>
            <w:bottom w:w="0" w:type="dxa"/>
            <w:right w:w="108" w:type="dxa"/>
          </w:tblCellMar>
        </w:tblPrEx>
        <w:trPr>
          <w:trHeight w:val="634"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7</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ind w:firstLine="262" w:firstLineChars="100"/>
              <w:jc w:val="center"/>
              <w:rPr>
                <w:rFonts w:ascii="宋体" w:hAnsi="宋体" w:cs="宋体"/>
                <w:spacing w:val="11"/>
                <w:sz w:val="24"/>
                <w:szCs w:val="24"/>
                <w:highlight w:val="none"/>
              </w:rPr>
            </w:pPr>
            <w:r>
              <w:rPr>
                <w:rFonts w:hint="eastAsia" w:ascii="宋体" w:hAnsi="宋体" w:cs="宋体"/>
                <w:spacing w:val="11"/>
                <w:sz w:val="24"/>
                <w:szCs w:val="24"/>
                <w:highlight w:val="none"/>
              </w:rPr>
              <w:t>质量标准</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spacing w:val="11"/>
                <w:sz w:val="24"/>
                <w:szCs w:val="24"/>
                <w:highlight w:val="none"/>
              </w:rPr>
            </w:pPr>
            <w:r>
              <w:rPr>
                <w:rFonts w:hint="eastAsia" w:ascii="宋体" w:hAnsi="宋体" w:cs="宋体"/>
                <w:spacing w:val="11"/>
                <w:sz w:val="24"/>
                <w:szCs w:val="24"/>
                <w:highlight w:val="none"/>
              </w:rPr>
              <w:t>符合国家现行相关法律、规范、标准等规定</w:t>
            </w:r>
          </w:p>
        </w:tc>
      </w:tr>
      <w:tr>
        <w:tblPrEx>
          <w:tblCellMar>
            <w:top w:w="0" w:type="dxa"/>
            <w:left w:w="108" w:type="dxa"/>
            <w:bottom w:w="0" w:type="dxa"/>
            <w:right w:w="108" w:type="dxa"/>
          </w:tblCellMar>
        </w:tblPrEx>
        <w:trPr>
          <w:trHeight w:val="570"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8</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ind w:firstLine="262" w:firstLineChars="100"/>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服务地点</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三门峡市湖滨区</w:t>
            </w:r>
          </w:p>
        </w:tc>
      </w:tr>
      <w:tr>
        <w:tblPrEx>
          <w:tblCellMar>
            <w:top w:w="0" w:type="dxa"/>
            <w:left w:w="108" w:type="dxa"/>
            <w:bottom w:w="0" w:type="dxa"/>
            <w:right w:w="108" w:type="dxa"/>
          </w:tblCellMar>
        </w:tblPrEx>
        <w:trPr>
          <w:trHeight w:val="570"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9</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ind w:firstLine="262" w:firstLineChars="100"/>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付款方式</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z w:val="24"/>
                <w:szCs w:val="24"/>
                <w:highlight w:val="none"/>
              </w:rPr>
              <w:t>中标后双方按合同中约定</w:t>
            </w:r>
          </w:p>
        </w:tc>
      </w:tr>
      <w:tr>
        <w:tblPrEx>
          <w:tblCellMar>
            <w:top w:w="0" w:type="dxa"/>
            <w:left w:w="108" w:type="dxa"/>
            <w:bottom w:w="0" w:type="dxa"/>
            <w:right w:w="108" w:type="dxa"/>
          </w:tblCellMar>
        </w:tblPrEx>
        <w:trPr>
          <w:trHeight w:val="570"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10</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spacing w:val="11"/>
                <w:sz w:val="24"/>
                <w:szCs w:val="24"/>
                <w:highlight w:val="none"/>
              </w:rPr>
            </w:pPr>
          </w:p>
          <w:p>
            <w:pPr>
              <w:adjustRightInd w:val="0"/>
              <w:snapToGrid w:val="0"/>
              <w:spacing w:line="360" w:lineRule="auto"/>
              <w:rPr>
                <w:rFonts w:ascii="宋体" w:hAnsi="宋体" w:cs="宋体"/>
                <w:spacing w:val="11"/>
                <w:sz w:val="24"/>
                <w:szCs w:val="24"/>
                <w:highlight w:val="none"/>
              </w:rPr>
            </w:pPr>
            <w:r>
              <w:rPr>
                <w:rFonts w:hint="eastAsia" w:ascii="宋体" w:hAnsi="宋体" w:cs="宋体"/>
                <w:b/>
                <w:bCs/>
                <w:spacing w:val="11"/>
                <w:sz w:val="24"/>
                <w:szCs w:val="24"/>
                <w:highlight w:val="none"/>
              </w:rPr>
              <w:t>响应人资质条件、能力和信誉</w:t>
            </w:r>
          </w:p>
        </w:tc>
        <w:tc>
          <w:tcPr>
            <w:tcW w:w="6327" w:type="dxa"/>
            <w:tcBorders>
              <w:top w:val="single" w:color="auto" w:sz="4" w:space="0"/>
              <w:left w:val="nil"/>
              <w:bottom w:val="single" w:color="auto" w:sz="4" w:space="0"/>
              <w:right w:val="single" w:color="auto" w:sz="4" w:space="0"/>
            </w:tcBorders>
            <w:noWrap/>
            <w:vAlign w:val="center"/>
          </w:tcPr>
          <w:p>
            <w:pPr>
              <w:spacing w:line="460" w:lineRule="exact"/>
              <w:ind w:firstLine="480" w:firstLineChars="2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响应人必须符合《中华人民共和国政府采购法》第二十二条的规定并同时具备下列条件：</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1、响应人具有独立法人资格，具有合法有效的营业执照、税务登记证、组织机构代码证（三证合一的仅提供营业执照、事业单位需提供事业单位法人证书）；</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2、响应人具有</w:t>
            </w:r>
            <w:r>
              <w:rPr>
                <w:rFonts w:hint="eastAsia" w:ascii="黑体" w:hAnsi="黑体" w:eastAsia="黑体" w:cs="黑体"/>
                <w:b w:val="0"/>
                <w:bCs w:val="0"/>
                <w:sz w:val="24"/>
                <w:highlight w:val="none"/>
              </w:rPr>
              <w:t>测绘地理信息行政主管部门颁发的测绘乙级及以上资质证书</w:t>
            </w:r>
            <w:r>
              <w:rPr>
                <w:rFonts w:hint="eastAsia" w:ascii="黑体" w:hAnsi="黑体" w:eastAsia="黑体" w:cs="黑体"/>
                <w:b w:val="0"/>
                <w:bCs w:val="0"/>
                <w:sz w:val="24"/>
                <w:szCs w:val="24"/>
                <w:highlight w:val="none"/>
              </w:rPr>
              <w:t>；</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rPr>
              <w:t>3、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w:t>
            </w:r>
            <w:r>
              <w:rPr>
                <w:rFonts w:hint="eastAsia" w:ascii="黑体" w:hAnsi="黑体" w:eastAsia="黑体" w:cs="黑体"/>
                <w:b w:val="0"/>
                <w:bCs w:val="0"/>
                <w:sz w:val="24"/>
                <w:highlight w:val="none"/>
              </w:rPr>
              <w:t>【失信被执行人、税收违法黑名单或重大税收违法失信主体查询渠道：“信用中国”网站www.creditchina.gov.cn、政府采购严重违法失信行为记录名单查询渠道：中国政府采购网（www.ccgp.gov.cn）】提供查询结果截图</w:t>
            </w:r>
            <w:r>
              <w:rPr>
                <w:rFonts w:hint="eastAsia" w:ascii="黑体" w:hAnsi="黑体" w:eastAsia="黑体" w:cs="黑体"/>
                <w:b w:val="0"/>
                <w:bCs w:val="0"/>
                <w:sz w:val="24"/>
                <w:szCs w:val="24"/>
                <w:highlight w:val="none"/>
                <w:lang w:val="en-US" w:eastAsia="zh-CN"/>
              </w:rPr>
              <w:t>，查询时间自公告发布之日起；</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4、</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具有良好的商业信誉和健全的财务会计制度：（</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需提供具有良好的商业信誉和健全的财务会计制度承诺书，落款时间为磋商公告发出时间之日起）</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5、</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有依法缴纳税收和社会保障资金的良好记录：（</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需提供具有依法缴纳税收和社会保障资金的良好记录承诺书，落款时间为磋商公告发出时间之日起字）</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6、企业出具无商业贿赂和不正当竞争行为承诺书；（格式自拟）</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7、企业出具无行贿犯罪记录在中国裁判文书网自行查询或自行承诺（查询对象为企业、法定代表人）；</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lang w:val="en-US" w:eastAsia="zh-CN"/>
              </w:rPr>
              <w:t>8</w:t>
            </w:r>
            <w:r>
              <w:rPr>
                <w:rFonts w:hint="eastAsia" w:ascii="黑体" w:hAnsi="黑体" w:eastAsia="黑体" w:cs="黑体"/>
                <w:b w:val="0"/>
                <w:bCs w:val="0"/>
                <w:sz w:val="24"/>
                <w:szCs w:val="24"/>
                <w:highlight w:val="none"/>
              </w:rPr>
              <w:t>、本项目不接受联合体磋商；</w:t>
            </w:r>
          </w:p>
          <w:p>
            <w:pPr>
              <w:spacing w:line="480" w:lineRule="exact"/>
              <w:ind w:right="-92" w:rightChars="-44" w:firstLine="480" w:firstLineChars="200"/>
              <w:jc w:val="left"/>
              <w:rPr>
                <w:rFonts w:cs="宋体"/>
                <w:szCs w:val="24"/>
                <w:highlight w:val="none"/>
              </w:rPr>
            </w:pPr>
            <w:r>
              <w:rPr>
                <w:rFonts w:hint="eastAsia" w:ascii="黑体" w:hAnsi="黑体" w:eastAsia="黑体" w:cs="黑体"/>
                <w:b w:val="0"/>
                <w:bCs w:val="0"/>
                <w:sz w:val="24"/>
                <w:szCs w:val="24"/>
                <w:highlight w:val="none"/>
                <w:lang w:val="en-US" w:eastAsia="zh-CN"/>
              </w:rPr>
              <w:t>9</w:t>
            </w:r>
            <w:r>
              <w:rPr>
                <w:rFonts w:hint="eastAsia" w:ascii="黑体" w:hAnsi="黑体" w:eastAsia="黑体" w:cs="黑体"/>
                <w:b w:val="0"/>
                <w:bCs w:val="0"/>
                <w:sz w:val="24"/>
                <w:szCs w:val="24"/>
                <w:highlight w:val="none"/>
              </w:rPr>
              <w:t>、本次招标实行资格后审，资格审查的具体要求见磋商文件。</w:t>
            </w:r>
          </w:p>
        </w:tc>
      </w:tr>
      <w:tr>
        <w:tblPrEx>
          <w:tblCellMar>
            <w:top w:w="0" w:type="dxa"/>
            <w:left w:w="108" w:type="dxa"/>
            <w:bottom w:w="0" w:type="dxa"/>
            <w:right w:w="108" w:type="dxa"/>
          </w:tblCellMar>
        </w:tblPrEx>
        <w:trPr>
          <w:trHeight w:val="570"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11</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是否接受联合体投标</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不接受</w:t>
            </w:r>
          </w:p>
        </w:tc>
      </w:tr>
      <w:tr>
        <w:tblPrEx>
          <w:tblCellMar>
            <w:top w:w="0" w:type="dxa"/>
            <w:left w:w="108" w:type="dxa"/>
            <w:bottom w:w="0" w:type="dxa"/>
            <w:right w:w="108" w:type="dxa"/>
          </w:tblCellMar>
        </w:tblPrEx>
        <w:trPr>
          <w:trHeight w:val="570"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12</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磋商预备会</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z w:val="24"/>
                <w:szCs w:val="24"/>
                <w:highlight w:val="none"/>
              </w:rPr>
            </w:pPr>
            <w:r>
              <w:rPr>
                <w:rFonts w:hint="eastAsia" w:ascii="宋体" w:hAnsi="宋体" w:cs="宋体"/>
                <w:color w:val="000000"/>
                <w:spacing w:val="11"/>
                <w:sz w:val="24"/>
                <w:szCs w:val="24"/>
                <w:highlight w:val="none"/>
              </w:rPr>
              <w:t>不召开</w:t>
            </w:r>
          </w:p>
        </w:tc>
      </w:tr>
      <w:tr>
        <w:tblPrEx>
          <w:tblCellMar>
            <w:top w:w="0" w:type="dxa"/>
            <w:left w:w="108" w:type="dxa"/>
            <w:bottom w:w="0" w:type="dxa"/>
            <w:right w:w="108" w:type="dxa"/>
          </w:tblCellMar>
        </w:tblPrEx>
        <w:trPr>
          <w:trHeight w:val="570"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13</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spacing w:val="11"/>
                <w:sz w:val="24"/>
                <w:szCs w:val="24"/>
                <w:highlight w:val="none"/>
              </w:rPr>
            </w:pPr>
            <w:r>
              <w:rPr>
                <w:rFonts w:hint="eastAsia" w:ascii="宋体" w:hAnsi="宋体" w:cs="宋体"/>
                <w:spacing w:val="11"/>
                <w:sz w:val="24"/>
                <w:szCs w:val="24"/>
                <w:highlight w:val="none"/>
              </w:rPr>
              <w:t>现场踏勘</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spacing w:val="11"/>
                <w:sz w:val="24"/>
                <w:szCs w:val="24"/>
                <w:highlight w:val="none"/>
              </w:rPr>
            </w:pPr>
            <w:r>
              <w:rPr>
                <w:rFonts w:hAnsi="宋体"/>
                <w:sz w:val="24"/>
                <w:highlight w:val="none"/>
              </w:rPr>
              <w:t>由</w:t>
            </w:r>
            <w:r>
              <w:rPr>
                <w:rFonts w:hint="eastAsia" w:ascii="宋体" w:hAnsi="宋体" w:cs="宋体"/>
                <w:sz w:val="24"/>
                <w:szCs w:val="24"/>
                <w:highlight w:val="none"/>
              </w:rPr>
              <w:t>响应</w:t>
            </w:r>
            <w:r>
              <w:rPr>
                <w:rFonts w:hint="eastAsia" w:hAnsi="宋体"/>
                <w:sz w:val="24"/>
                <w:highlight w:val="none"/>
              </w:rPr>
              <w:t>人或响应意向人根据需要自行组织</w:t>
            </w:r>
            <w:r>
              <w:rPr>
                <w:rFonts w:hAnsi="宋体"/>
                <w:sz w:val="24"/>
                <w:highlight w:val="none"/>
              </w:rPr>
              <w:t>现场踏勘</w:t>
            </w:r>
          </w:p>
        </w:tc>
      </w:tr>
      <w:tr>
        <w:tblPrEx>
          <w:tblCellMar>
            <w:top w:w="0" w:type="dxa"/>
            <w:left w:w="108" w:type="dxa"/>
            <w:bottom w:w="0" w:type="dxa"/>
            <w:right w:w="108" w:type="dxa"/>
          </w:tblCellMar>
        </w:tblPrEx>
        <w:trPr>
          <w:trHeight w:val="670"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14</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FF0000"/>
                <w:spacing w:val="11"/>
                <w:sz w:val="24"/>
                <w:szCs w:val="24"/>
                <w:highlight w:val="none"/>
              </w:rPr>
            </w:pPr>
            <w:r>
              <w:rPr>
                <w:rFonts w:hint="eastAsia" w:ascii="宋体" w:hAnsi="宋体" w:cs="宋体"/>
                <w:color w:val="000000"/>
                <w:spacing w:val="11"/>
                <w:sz w:val="24"/>
                <w:szCs w:val="24"/>
                <w:highlight w:val="none"/>
              </w:rPr>
              <w:t>响应人提出问题的截止时间</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FF0000"/>
                <w:sz w:val="24"/>
                <w:szCs w:val="24"/>
                <w:highlight w:val="none"/>
              </w:rPr>
            </w:pPr>
            <w:r>
              <w:rPr>
                <w:rFonts w:hint="eastAsia" w:ascii="宋体" w:hAnsi="宋体" w:cs="宋体"/>
                <w:sz w:val="24"/>
                <w:szCs w:val="24"/>
                <w:highlight w:val="none"/>
              </w:rPr>
              <w:t>响应性文件递交截止时间5天前</w:t>
            </w:r>
          </w:p>
        </w:tc>
      </w:tr>
      <w:tr>
        <w:tblPrEx>
          <w:tblCellMar>
            <w:top w:w="0" w:type="dxa"/>
            <w:left w:w="108" w:type="dxa"/>
            <w:bottom w:w="0" w:type="dxa"/>
            <w:right w:w="108" w:type="dxa"/>
          </w:tblCellMar>
        </w:tblPrEx>
        <w:trPr>
          <w:trHeight w:val="670"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15</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采购人书面澄清的时间</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sz w:val="24"/>
                <w:szCs w:val="24"/>
                <w:highlight w:val="none"/>
              </w:rPr>
              <w:t>响应性文件递交截止时间5天前</w:t>
            </w:r>
          </w:p>
        </w:tc>
      </w:tr>
      <w:tr>
        <w:tblPrEx>
          <w:tblCellMar>
            <w:top w:w="0" w:type="dxa"/>
            <w:left w:w="108" w:type="dxa"/>
            <w:bottom w:w="0" w:type="dxa"/>
            <w:right w:w="108" w:type="dxa"/>
          </w:tblCellMar>
        </w:tblPrEx>
        <w:trPr>
          <w:trHeight w:val="613"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16</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分包</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不允许（转包、分包均不允许）</w:t>
            </w:r>
          </w:p>
        </w:tc>
      </w:tr>
      <w:tr>
        <w:tblPrEx>
          <w:tblCellMar>
            <w:top w:w="0" w:type="dxa"/>
            <w:left w:w="108" w:type="dxa"/>
            <w:bottom w:w="0" w:type="dxa"/>
            <w:right w:w="108" w:type="dxa"/>
          </w:tblCellMar>
        </w:tblPrEx>
        <w:trPr>
          <w:trHeight w:val="613"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17</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偏离</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不允许</w:t>
            </w:r>
          </w:p>
        </w:tc>
      </w:tr>
      <w:tr>
        <w:tblPrEx>
          <w:tblCellMar>
            <w:top w:w="0" w:type="dxa"/>
            <w:left w:w="108" w:type="dxa"/>
            <w:bottom w:w="0" w:type="dxa"/>
            <w:right w:w="108" w:type="dxa"/>
          </w:tblCellMar>
        </w:tblPrEx>
        <w:trPr>
          <w:trHeight w:val="607"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18</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构成磋商文件的其他材料</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采购人在磋商期间发出的磋商文件修改、磋商答疑纪要及澄清</w:t>
            </w:r>
          </w:p>
        </w:tc>
      </w:tr>
      <w:tr>
        <w:tblPrEx>
          <w:tblCellMar>
            <w:top w:w="0" w:type="dxa"/>
            <w:left w:w="108" w:type="dxa"/>
            <w:bottom w:w="0" w:type="dxa"/>
            <w:right w:w="108" w:type="dxa"/>
          </w:tblCellMar>
        </w:tblPrEx>
        <w:trPr>
          <w:trHeight w:val="931"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spacing w:val="11"/>
                <w:sz w:val="24"/>
                <w:szCs w:val="24"/>
                <w:highlight w:val="none"/>
              </w:rPr>
            </w:pPr>
            <w:r>
              <w:rPr>
                <w:rFonts w:hint="eastAsia" w:ascii="宋体" w:hAnsi="宋体" w:cs="宋体"/>
                <w:spacing w:val="11"/>
                <w:sz w:val="24"/>
                <w:szCs w:val="24"/>
                <w:highlight w:val="none"/>
              </w:rPr>
              <w:t>19</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spacing w:val="11"/>
                <w:sz w:val="24"/>
                <w:szCs w:val="24"/>
                <w:highlight w:val="none"/>
              </w:rPr>
            </w:pPr>
            <w:r>
              <w:rPr>
                <w:rFonts w:hint="eastAsia" w:ascii="宋体" w:hAnsi="宋体" w:cs="宋体"/>
                <w:spacing w:val="11"/>
                <w:sz w:val="24"/>
                <w:szCs w:val="24"/>
                <w:highlight w:val="none"/>
              </w:rPr>
              <w:t>响应文件递交截止时间和地点</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spacing w:val="11"/>
                <w:sz w:val="24"/>
                <w:szCs w:val="24"/>
                <w:highlight w:val="none"/>
              </w:rPr>
            </w:pPr>
            <w:r>
              <w:rPr>
                <w:rFonts w:hint="eastAsia" w:ascii="宋体" w:hAnsi="宋体" w:cs="宋体"/>
                <w:spacing w:val="11"/>
                <w:sz w:val="24"/>
                <w:szCs w:val="24"/>
                <w:highlight w:val="none"/>
              </w:rPr>
              <w:t>截止时间:2023年</w:t>
            </w:r>
            <w:r>
              <w:rPr>
                <w:rFonts w:hint="eastAsia" w:ascii="宋体" w:hAnsi="宋体" w:cs="宋体"/>
                <w:spacing w:val="11"/>
                <w:sz w:val="24"/>
                <w:szCs w:val="24"/>
                <w:highlight w:val="none"/>
                <w:lang w:val="en-US" w:eastAsia="zh-CN"/>
              </w:rPr>
              <w:t>12</w:t>
            </w:r>
            <w:r>
              <w:rPr>
                <w:rFonts w:hint="eastAsia" w:ascii="宋体" w:hAnsi="宋体" w:cs="宋体"/>
                <w:spacing w:val="11"/>
                <w:sz w:val="24"/>
                <w:szCs w:val="24"/>
                <w:highlight w:val="none"/>
              </w:rPr>
              <w:t>月</w:t>
            </w:r>
            <w:r>
              <w:rPr>
                <w:rFonts w:hint="eastAsia" w:ascii="宋体" w:hAnsi="宋体" w:cs="宋体"/>
                <w:spacing w:val="11"/>
                <w:sz w:val="24"/>
                <w:szCs w:val="24"/>
                <w:highlight w:val="none"/>
                <w:lang w:val="en-US" w:eastAsia="zh-CN"/>
              </w:rPr>
              <w:t xml:space="preserve"> 6 </w:t>
            </w:r>
            <w:r>
              <w:rPr>
                <w:rFonts w:hint="eastAsia" w:ascii="宋体" w:hAnsi="宋体" w:cs="宋体"/>
                <w:spacing w:val="11"/>
                <w:sz w:val="24"/>
                <w:szCs w:val="24"/>
                <w:highlight w:val="none"/>
              </w:rPr>
              <w:t>日9时</w:t>
            </w:r>
            <w:r>
              <w:rPr>
                <w:rFonts w:hint="eastAsia" w:ascii="宋体" w:hAnsi="宋体" w:cs="宋体"/>
                <w:spacing w:val="11"/>
                <w:sz w:val="24"/>
                <w:szCs w:val="24"/>
                <w:highlight w:val="none"/>
                <w:lang w:val="en-US" w:eastAsia="zh-CN"/>
              </w:rPr>
              <w:t>1</w:t>
            </w:r>
            <w:r>
              <w:rPr>
                <w:rFonts w:hint="eastAsia" w:ascii="宋体" w:hAnsi="宋体" w:cs="宋体"/>
                <w:spacing w:val="11"/>
                <w:sz w:val="24"/>
                <w:szCs w:val="24"/>
                <w:highlight w:val="none"/>
              </w:rPr>
              <w:t>0分</w:t>
            </w:r>
          </w:p>
          <w:p>
            <w:pPr>
              <w:adjustRightInd w:val="0"/>
              <w:snapToGrid w:val="0"/>
              <w:spacing w:line="360" w:lineRule="auto"/>
              <w:rPr>
                <w:rFonts w:ascii="宋体" w:hAnsi="宋体" w:cs="宋体"/>
                <w:spacing w:val="11"/>
                <w:sz w:val="24"/>
                <w:szCs w:val="24"/>
                <w:highlight w:val="none"/>
              </w:rPr>
            </w:pPr>
            <w:r>
              <w:rPr>
                <w:rFonts w:hint="eastAsia" w:ascii="宋体" w:hAnsi="宋体" w:cs="宋体"/>
                <w:spacing w:val="11"/>
                <w:sz w:val="24"/>
                <w:szCs w:val="24"/>
                <w:highlight w:val="none"/>
              </w:rPr>
              <w:t>地点：三门峡市公共资源交易中心五楼开标</w:t>
            </w:r>
            <w:r>
              <w:rPr>
                <w:rFonts w:hint="eastAsia" w:ascii="宋体" w:hAnsi="宋体" w:cs="宋体"/>
                <w:spacing w:val="11"/>
                <w:sz w:val="24"/>
                <w:szCs w:val="24"/>
                <w:highlight w:val="none"/>
                <w:lang w:val="en-US" w:eastAsia="zh-CN"/>
              </w:rPr>
              <w:t>二</w:t>
            </w:r>
            <w:r>
              <w:rPr>
                <w:rFonts w:hint="eastAsia" w:ascii="宋体" w:hAnsi="宋体" w:cs="宋体"/>
                <w:spacing w:val="11"/>
                <w:sz w:val="24"/>
                <w:szCs w:val="24"/>
                <w:highlight w:val="none"/>
              </w:rPr>
              <w:t>室</w:t>
            </w:r>
          </w:p>
        </w:tc>
      </w:tr>
      <w:tr>
        <w:tblPrEx>
          <w:tblCellMar>
            <w:top w:w="0" w:type="dxa"/>
            <w:left w:w="108" w:type="dxa"/>
            <w:bottom w:w="0" w:type="dxa"/>
            <w:right w:w="108" w:type="dxa"/>
          </w:tblCellMar>
        </w:tblPrEx>
        <w:trPr>
          <w:trHeight w:val="732"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20</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响应人确认收到磋商文件澄清的时间</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收到澄清后24小时内（以发出时间为准）</w:t>
            </w:r>
          </w:p>
        </w:tc>
      </w:tr>
      <w:tr>
        <w:tblPrEx>
          <w:tblCellMar>
            <w:top w:w="0" w:type="dxa"/>
            <w:left w:w="108" w:type="dxa"/>
            <w:bottom w:w="0" w:type="dxa"/>
            <w:right w:w="108" w:type="dxa"/>
          </w:tblCellMar>
        </w:tblPrEx>
        <w:trPr>
          <w:trHeight w:val="586"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21</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响应人确认收到磋商文件修改的时间</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收到澄清后24小时内（以发出时间为准）</w:t>
            </w:r>
          </w:p>
        </w:tc>
      </w:tr>
      <w:tr>
        <w:tblPrEx>
          <w:tblCellMar>
            <w:top w:w="0" w:type="dxa"/>
            <w:left w:w="108" w:type="dxa"/>
            <w:bottom w:w="0" w:type="dxa"/>
            <w:right w:w="108" w:type="dxa"/>
          </w:tblCellMar>
        </w:tblPrEx>
        <w:trPr>
          <w:trHeight w:val="622"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22</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构成响应文件的其他材料</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响应人认为需要提供其他的资料</w:t>
            </w:r>
          </w:p>
        </w:tc>
      </w:tr>
      <w:tr>
        <w:tblPrEx>
          <w:tblCellMar>
            <w:top w:w="0" w:type="dxa"/>
            <w:left w:w="108" w:type="dxa"/>
            <w:bottom w:w="0" w:type="dxa"/>
            <w:right w:w="108" w:type="dxa"/>
          </w:tblCellMar>
        </w:tblPrEx>
        <w:trPr>
          <w:trHeight w:val="610"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23</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宋体"/>
                <w:spacing w:val="11"/>
                <w:sz w:val="24"/>
                <w:szCs w:val="24"/>
                <w:highlight w:val="none"/>
              </w:rPr>
            </w:pPr>
            <w:r>
              <w:rPr>
                <w:rFonts w:hint="eastAsia" w:ascii="宋体" w:hAnsi="宋体" w:cs="宋体"/>
                <w:color w:val="000000"/>
                <w:spacing w:val="11"/>
                <w:sz w:val="24"/>
                <w:szCs w:val="24"/>
                <w:highlight w:val="none"/>
              </w:rPr>
              <w:t>磋商有效期</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spacing w:val="11"/>
                <w:sz w:val="24"/>
                <w:szCs w:val="24"/>
                <w:highlight w:val="none"/>
              </w:rPr>
            </w:pPr>
            <w:r>
              <w:rPr>
                <w:rFonts w:hint="eastAsia" w:ascii="宋体" w:hAnsi="宋体" w:cs="宋体"/>
                <w:sz w:val="24"/>
                <w:szCs w:val="24"/>
                <w:highlight w:val="none"/>
              </w:rPr>
              <w:t>自响应性文件递交截止之日起90日历天</w:t>
            </w:r>
          </w:p>
        </w:tc>
      </w:tr>
      <w:tr>
        <w:tblPrEx>
          <w:tblCellMar>
            <w:top w:w="0" w:type="dxa"/>
            <w:left w:w="108" w:type="dxa"/>
            <w:bottom w:w="0" w:type="dxa"/>
            <w:right w:w="108" w:type="dxa"/>
          </w:tblCellMar>
        </w:tblPrEx>
        <w:trPr>
          <w:trHeight w:val="915"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24</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bCs/>
                <w:color w:val="000000"/>
                <w:spacing w:val="11"/>
                <w:sz w:val="24"/>
                <w:szCs w:val="24"/>
                <w:highlight w:val="none"/>
              </w:rPr>
              <w:t>磋商保证金</w:t>
            </w:r>
          </w:p>
        </w:tc>
        <w:tc>
          <w:tcPr>
            <w:tcW w:w="6327" w:type="dxa"/>
            <w:tcBorders>
              <w:top w:val="single" w:color="auto" w:sz="4" w:space="0"/>
              <w:left w:val="nil"/>
              <w:bottom w:val="single" w:color="auto" w:sz="4" w:space="0"/>
              <w:right w:val="single" w:color="auto" w:sz="4" w:space="0"/>
            </w:tcBorders>
            <w:noWrap/>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根据《河南省财政厅关于优化政府采购营商环境有关问题的通知》（豫财购【2019】4号）第6条的规定，磋商保证金不再收取。</w:t>
            </w:r>
          </w:p>
        </w:tc>
      </w:tr>
      <w:tr>
        <w:tblPrEx>
          <w:tblCellMar>
            <w:top w:w="0" w:type="dxa"/>
            <w:left w:w="108" w:type="dxa"/>
            <w:bottom w:w="0" w:type="dxa"/>
            <w:right w:w="108" w:type="dxa"/>
          </w:tblCellMar>
        </w:tblPrEx>
        <w:trPr>
          <w:trHeight w:val="565"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25</w:t>
            </w:r>
          </w:p>
        </w:tc>
        <w:tc>
          <w:tcPr>
            <w:tcW w:w="2488" w:type="dxa"/>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电子化响应文件的签章</w:t>
            </w:r>
          </w:p>
        </w:tc>
        <w:tc>
          <w:tcPr>
            <w:tcW w:w="6327" w:type="dxa"/>
            <w:tcBorders>
              <w:top w:val="single" w:color="auto" w:sz="4" w:space="0"/>
              <w:left w:val="nil"/>
              <w:bottom w:val="single" w:color="auto" w:sz="4" w:space="0"/>
              <w:right w:val="single" w:color="auto" w:sz="4" w:space="0"/>
            </w:tcBorders>
            <w:noWrap/>
            <w:vAlign w:val="center"/>
          </w:tcPr>
          <w:p>
            <w:pPr>
              <w:spacing w:line="400" w:lineRule="exact"/>
              <w:jc w:val="left"/>
              <w:rPr>
                <w:rFonts w:ascii="宋体" w:hAnsi="宋体" w:cs="宋体"/>
                <w:sz w:val="24"/>
                <w:szCs w:val="24"/>
                <w:highlight w:val="none"/>
              </w:rPr>
            </w:pPr>
            <w:r>
              <w:rPr>
                <w:rFonts w:hint="eastAsia" w:ascii="宋体" w:hAnsi="宋体" w:cs="宋体"/>
                <w:sz w:val="24"/>
                <w:szCs w:val="24"/>
                <w:highlight w:val="none"/>
              </w:rPr>
              <w:t>1、响应人在生成电子化投标文件后，应对电子化投标文件进行签章，未进行签章的视为无效投标。</w:t>
            </w:r>
          </w:p>
          <w:p>
            <w:pPr>
              <w:spacing w:line="360" w:lineRule="auto"/>
              <w:rPr>
                <w:rFonts w:ascii="宋体" w:hAnsi="宋体" w:cs="宋体"/>
                <w:spacing w:val="5"/>
                <w:sz w:val="24"/>
                <w:szCs w:val="24"/>
                <w:highlight w:val="none"/>
              </w:rPr>
            </w:pPr>
            <w:r>
              <w:rPr>
                <w:rFonts w:hint="eastAsia" w:ascii="宋体" w:hAnsi="宋体" w:cs="宋体"/>
                <w:sz w:val="24"/>
                <w:szCs w:val="24"/>
                <w:highlight w:val="none"/>
              </w:rPr>
              <w:t>2、要求法定代表人或授权委托人签字或盖章的，响应人在进行电子化投标文件签章时，以签盖法定代表人签章为准。授权委托书委托代理人无法手写签字，可以电脑打印字体为准并加盖法定代表人签章。</w:t>
            </w:r>
          </w:p>
        </w:tc>
      </w:tr>
      <w:tr>
        <w:tblPrEx>
          <w:tblCellMar>
            <w:top w:w="0" w:type="dxa"/>
            <w:left w:w="108" w:type="dxa"/>
            <w:bottom w:w="0" w:type="dxa"/>
            <w:right w:w="108" w:type="dxa"/>
          </w:tblCellMar>
        </w:tblPrEx>
        <w:trPr>
          <w:trHeight w:val="908"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bCs/>
                <w:color w:val="000000"/>
                <w:spacing w:val="11"/>
                <w:sz w:val="24"/>
                <w:szCs w:val="24"/>
                <w:highlight w:val="none"/>
              </w:rPr>
              <w:t>26</w:t>
            </w:r>
          </w:p>
        </w:tc>
        <w:tc>
          <w:tcPr>
            <w:tcW w:w="2488" w:type="dxa"/>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磋商小组</w:t>
            </w:r>
          </w:p>
        </w:tc>
        <w:tc>
          <w:tcPr>
            <w:tcW w:w="6327" w:type="dxa"/>
            <w:tcBorders>
              <w:top w:val="single" w:color="auto" w:sz="4" w:space="0"/>
              <w:left w:val="nil"/>
              <w:bottom w:val="single" w:color="auto" w:sz="4" w:space="0"/>
              <w:right w:val="single" w:color="auto" w:sz="4" w:space="0"/>
            </w:tcBorders>
            <w:noWrap/>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磋商小组构成：由采购人代表及有关经济、技术等方面的专家共3人组成，采购人代表1名、经济、技术等方面的专家2人。</w:t>
            </w:r>
          </w:p>
          <w:p>
            <w:pPr>
              <w:spacing w:line="360" w:lineRule="auto"/>
              <w:rPr>
                <w:rFonts w:ascii="宋体" w:hAnsi="宋体" w:cs="宋体"/>
                <w:sz w:val="24"/>
                <w:szCs w:val="24"/>
                <w:highlight w:val="none"/>
              </w:rPr>
            </w:pPr>
            <w:r>
              <w:rPr>
                <w:rFonts w:hint="eastAsia" w:ascii="宋体" w:hAnsi="宋体" w:cs="宋体"/>
                <w:sz w:val="24"/>
                <w:szCs w:val="24"/>
                <w:highlight w:val="none"/>
              </w:rPr>
              <w:t>专家确定方式：</w:t>
            </w:r>
            <w:r>
              <w:rPr>
                <w:rFonts w:ascii="宋体" w:hAnsi="宋体" w:eastAsia="宋体" w:cs="宋体"/>
                <w:sz w:val="24"/>
                <w:szCs w:val="24"/>
                <w:highlight w:val="none"/>
              </w:rPr>
              <w:t>由采购人依法从</w:t>
            </w:r>
            <w:r>
              <w:rPr>
                <w:rFonts w:hint="eastAsia" w:ascii="宋体" w:hAnsi="宋体" w:eastAsia="宋体" w:cs="宋体"/>
                <w:sz w:val="24"/>
                <w:szCs w:val="24"/>
                <w:highlight w:val="none"/>
                <w:lang w:eastAsia="zh-CN"/>
              </w:rPr>
              <w:t>相关专家库抽取</w:t>
            </w:r>
            <w:r>
              <w:rPr>
                <w:rFonts w:hint="eastAsia" w:ascii="宋体" w:hAnsi="宋体" w:cs="宋体"/>
                <w:sz w:val="24"/>
                <w:szCs w:val="24"/>
                <w:highlight w:val="none"/>
              </w:rPr>
              <w:t>。</w:t>
            </w:r>
          </w:p>
        </w:tc>
      </w:tr>
      <w:tr>
        <w:tblPrEx>
          <w:tblCellMar>
            <w:top w:w="0" w:type="dxa"/>
            <w:left w:w="108" w:type="dxa"/>
            <w:bottom w:w="0" w:type="dxa"/>
            <w:right w:w="108" w:type="dxa"/>
          </w:tblCellMar>
        </w:tblPrEx>
        <w:trPr>
          <w:trHeight w:val="288"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27</w:t>
            </w:r>
          </w:p>
        </w:tc>
        <w:tc>
          <w:tcPr>
            <w:tcW w:w="2488"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spacing w:val="5"/>
                <w:sz w:val="24"/>
                <w:szCs w:val="24"/>
                <w:highlight w:val="none"/>
              </w:rPr>
            </w:pPr>
            <w:r>
              <w:rPr>
                <w:rFonts w:hint="eastAsia" w:ascii="宋体" w:hAnsi="宋体" w:cs="宋体"/>
                <w:spacing w:val="5"/>
                <w:sz w:val="24"/>
                <w:szCs w:val="24"/>
                <w:highlight w:val="none"/>
              </w:rPr>
              <w:t>磋商标准及方法</w:t>
            </w:r>
          </w:p>
        </w:tc>
        <w:tc>
          <w:tcPr>
            <w:tcW w:w="6327" w:type="dxa"/>
            <w:tcBorders>
              <w:top w:val="single" w:color="auto" w:sz="4" w:space="0"/>
              <w:left w:val="nil"/>
              <w:bottom w:val="single" w:color="auto" w:sz="4" w:space="0"/>
              <w:right w:val="single" w:color="auto" w:sz="4" w:space="0"/>
            </w:tcBorders>
            <w:noWrap/>
            <w:vAlign w:val="center"/>
          </w:tcPr>
          <w:p>
            <w:pPr>
              <w:spacing w:line="360" w:lineRule="auto"/>
              <w:rPr>
                <w:rFonts w:ascii="宋体" w:hAnsi="宋体" w:cs="宋体"/>
                <w:bCs/>
                <w:sz w:val="24"/>
                <w:szCs w:val="24"/>
                <w:highlight w:val="none"/>
              </w:rPr>
            </w:pPr>
            <w:r>
              <w:rPr>
                <w:rFonts w:hint="eastAsia" w:ascii="宋体" w:hAnsi="宋体" w:cs="宋体"/>
                <w:spacing w:val="5"/>
                <w:sz w:val="24"/>
                <w:szCs w:val="24"/>
                <w:highlight w:val="none"/>
              </w:rPr>
              <w:t>由磋商小组采用综合评分法对提交最后报价的磋商响应人的磋商响应文件和最后报价进行综合评分。综合评分法，是指磋商响应文件满足竞争性磋商文件全部实质性要求且按评审因素的量化指标评审得分最高的响应人为中标候选响应人的磋商方法；</w:t>
            </w:r>
            <w:r>
              <w:rPr>
                <w:rFonts w:hint="eastAsia" w:ascii="宋体" w:hAnsi="宋体" w:cs="宋体"/>
                <w:bCs/>
                <w:sz w:val="24"/>
                <w:szCs w:val="24"/>
                <w:highlight w:val="none"/>
              </w:rPr>
              <w:t>评审得分相同的，按照最后报价由低到高的顺序推荐。评审得分且最后报价相同的，按照技术指标优劣顺序推荐。</w:t>
            </w:r>
          </w:p>
        </w:tc>
      </w:tr>
      <w:tr>
        <w:tblPrEx>
          <w:tblCellMar>
            <w:top w:w="0" w:type="dxa"/>
            <w:left w:w="108" w:type="dxa"/>
            <w:bottom w:w="0" w:type="dxa"/>
            <w:right w:w="108" w:type="dxa"/>
          </w:tblCellMar>
        </w:tblPrEx>
        <w:trPr>
          <w:trHeight w:val="459"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28</w:t>
            </w:r>
          </w:p>
        </w:tc>
        <w:tc>
          <w:tcPr>
            <w:tcW w:w="2488" w:type="dxa"/>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是否授权磋商小组确定成交供应商</w:t>
            </w:r>
          </w:p>
        </w:tc>
        <w:tc>
          <w:tcPr>
            <w:tcW w:w="6327" w:type="dxa"/>
            <w:tcBorders>
              <w:top w:val="single" w:color="auto" w:sz="4" w:space="0"/>
              <w:left w:val="nil"/>
              <w:bottom w:val="single" w:color="auto" w:sz="4" w:space="0"/>
              <w:right w:val="single" w:color="auto" w:sz="4" w:space="0"/>
            </w:tcBorders>
            <w:noWrap/>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■否，推荐的成交候选人数：1-3名</w:t>
            </w:r>
          </w:p>
        </w:tc>
      </w:tr>
      <w:tr>
        <w:tblPrEx>
          <w:tblCellMar>
            <w:top w:w="0" w:type="dxa"/>
            <w:left w:w="108" w:type="dxa"/>
            <w:bottom w:w="0" w:type="dxa"/>
            <w:right w:w="108" w:type="dxa"/>
          </w:tblCellMar>
        </w:tblPrEx>
        <w:trPr>
          <w:trHeight w:val="558"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bCs/>
                <w:color w:val="000000"/>
                <w:spacing w:val="11"/>
                <w:sz w:val="24"/>
                <w:szCs w:val="24"/>
                <w:highlight w:val="none"/>
              </w:rPr>
            </w:pPr>
            <w:r>
              <w:rPr>
                <w:rFonts w:hint="eastAsia" w:ascii="宋体" w:hAnsi="宋体" w:cs="宋体"/>
                <w:color w:val="000000"/>
                <w:spacing w:val="11"/>
                <w:sz w:val="24"/>
                <w:szCs w:val="24"/>
                <w:highlight w:val="none"/>
              </w:rPr>
              <w:t>29</w:t>
            </w:r>
          </w:p>
        </w:tc>
        <w:tc>
          <w:tcPr>
            <w:tcW w:w="2488" w:type="dxa"/>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履约担保</w:t>
            </w:r>
          </w:p>
        </w:tc>
        <w:tc>
          <w:tcPr>
            <w:tcW w:w="6327" w:type="dxa"/>
            <w:tcBorders>
              <w:top w:val="single" w:color="auto" w:sz="4" w:space="0"/>
              <w:left w:val="nil"/>
              <w:bottom w:val="single" w:color="auto" w:sz="4" w:space="0"/>
              <w:right w:val="single" w:color="auto" w:sz="4" w:space="0"/>
            </w:tcBorders>
            <w:noWrap/>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本项目不收取履约保证金。</w:t>
            </w:r>
          </w:p>
        </w:tc>
      </w:tr>
      <w:tr>
        <w:tblPrEx>
          <w:tblCellMar>
            <w:top w:w="0" w:type="dxa"/>
            <w:left w:w="108" w:type="dxa"/>
            <w:bottom w:w="0" w:type="dxa"/>
            <w:right w:w="108" w:type="dxa"/>
          </w:tblCellMar>
        </w:tblPrEx>
        <w:trPr>
          <w:trHeight w:val="452"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30</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磋商控制价</w:t>
            </w:r>
          </w:p>
        </w:tc>
        <w:tc>
          <w:tcPr>
            <w:tcW w:w="6327" w:type="dxa"/>
            <w:tcBorders>
              <w:top w:val="single" w:color="auto" w:sz="4" w:space="0"/>
              <w:left w:val="nil"/>
              <w:bottom w:val="single" w:color="auto" w:sz="4" w:space="0"/>
              <w:right w:val="single" w:color="auto" w:sz="4" w:space="0"/>
            </w:tcBorders>
            <w:noWrap/>
          </w:tcPr>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磋商控制价为</w:t>
            </w:r>
            <w:r>
              <w:rPr>
                <w:rFonts w:hint="eastAsia" w:ascii="宋体" w:hAnsi="宋体" w:cs="宋体"/>
                <w:sz w:val="24"/>
                <w:szCs w:val="24"/>
                <w:highlight w:val="none"/>
                <w:lang w:val="en-US" w:eastAsia="zh-CN"/>
              </w:rPr>
              <w:t>34.281285</w:t>
            </w:r>
            <w:r>
              <w:rPr>
                <w:rFonts w:hint="eastAsia" w:ascii="宋体" w:hAnsi="宋体" w:cs="宋体"/>
                <w:sz w:val="24"/>
                <w:szCs w:val="24"/>
                <w:highlight w:val="none"/>
              </w:rPr>
              <w:t>万元</w:t>
            </w:r>
          </w:p>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投标报价不能超过磋商控制价，否则其磋商无效。</w:t>
            </w:r>
          </w:p>
        </w:tc>
      </w:tr>
      <w:tr>
        <w:tblPrEx>
          <w:tblCellMar>
            <w:top w:w="0" w:type="dxa"/>
            <w:left w:w="108" w:type="dxa"/>
            <w:bottom w:w="0" w:type="dxa"/>
            <w:right w:w="108" w:type="dxa"/>
          </w:tblCellMar>
        </w:tblPrEx>
        <w:trPr>
          <w:trHeight w:val="536"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31</w:t>
            </w:r>
          </w:p>
        </w:tc>
        <w:tc>
          <w:tcPr>
            <w:tcW w:w="2488" w:type="dxa"/>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cs="宋体"/>
                <w:spacing w:val="5"/>
                <w:sz w:val="24"/>
                <w:szCs w:val="24"/>
                <w:highlight w:val="none"/>
              </w:rPr>
            </w:pPr>
            <w:r>
              <w:rPr>
                <w:rFonts w:hint="eastAsia" w:ascii="宋体" w:hAnsi="宋体" w:cs="宋体"/>
                <w:spacing w:val="5"/>
                <w:sz w:val="24"/>
                <w:szCs w:val="24"/>
                <w:highlight w:val="none"/>
              </w:rPr>
              <w:t>报价</w:t>
            </w:r>
          </w:p>
        </w:tc>
        <w:tc>
          <w:tcPr>
            <w:tcW w:w="6327" w:type="dxa"/>
            <w:tcBorders>
              <w:top w:val="single" w:color="auto" w:sz="4" w:space="0"/>
              <w:left w:val="nil"/>
              <w:bottom w:val="single" w:color="auto" w:sz="4" w:space="0"/>
              <w:right w:val="single" w:color="auto" w:sz="4" w:space="0"/>
            </w:tcBorders>
            <w:noWrap/>
            <w:vAlign w:val="center"/>
          </w:tcPr>
          <w:p>
            <w:pPr>
              <w:spacing w:line="360" w:lineRule="auto"/>
              <w:rPr>
                <w:rFonts w:ascii="宋体" w:hAnsi="宋体" w:cs="宋体"/>
                <w:spacing w:val="5"/>
                <w:sz w:val="24"/>
                <w:szCs w:val="24"/>
                <w:highlight w:val="none"/>
              </w:rPr>
            </w:pPr>
            <w:r>
              <w:rPr>
                <w:rFonts w:hint="eastAsia" w:ascii="宋体" w:hAnsi="宋体" w:cs="宋体"/>
                <w:spacing w:val="5"/>
                <w:sz w:val="24"/>
                <w:szCs w:val="24"/>
                <w:highlight w:val="none"/>
              </w:rPr>
              <w:t>本次磋商应以人民币报价，分两次进行报价。</w:t>
            </w:r>
          </w:p>
        </w:tc>
      </w:tr>
      <w:tr>
        <w:tblPrEx>
          <w:tblCellMar>
            <w:top w:w="0" w:type="dxa"/>
            <w:left w:w="108" w:type="dxa"/>
            <w:bottom w:w="0" w:type="dxa"/>
            <w:right w:w="108" w:type="dxa"/>
          </w:tblCellMar>
        </w:tblPrEx>
        <w:trPr>
          <w:trHeight w:val="463"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32</w:t>
            </w:r>
          </w:p>
        </w:tc>
        <w:tc>
          <w:tcPr>
            <w:tcW w:w="2488" w:type="dxa"/>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cs="宋体"/>
                <w:sz w:val="24"/>
                <w:szCs w:val="24"/>
                <w:highlight w:val="none"/>
              </w:rPr>
            </w:pPr>
            <w:r>
              <w:rPr>
                <w:rFonts w:hint="eastAsia" w:ascii="宋体" w:hAnsi="宋体"/>
                <w:sz w:val="24"/>
                <w:highlight w:val="none"/>
              </w:rPr>
              <w:t>是否采用电子招标投标</w:t>
            </w:r>
          </w:p>
        </w:tc>
        <w:tc>
          <w:tcPr>
            <w:tcW w:w="6327" w:type="dxa"/>
            <w:tcBorders>
              <w:top w:val="single" w:color="auto" w:sz="4" w:space="0"/>
              <w:left w:val="nil"/>
              <w:bottom w:val="single" w:color="auto" w:sz="4" w:space="0"/>
              <w:right w:val="single" w:color="auto" w:sz="4" w:space="0"/>
            </w:tcBorders>
            <w:noWrap/>
            <w:vAlign w:val="center"/>
          </w:tcPr>
          <w:p>
            <w:pPr>
              <w:spacing w:line="360" w:lineRule="auto"/>
              <w:jc w:val="left"/>
              <w:rPr>
                <w:rFonts w:ascii="宋体" w:hAnsi="宋体" w:cs="宋体"/>
                <w:sz w:val="24"/>
                <w:szCs w:val="24"/>
                <w:highlight w:val="none"/>
              </w:rPr>
            </w:pPr>
            <w:r>
              <w:rPr>
                <w:rFonts w:hint="eastAsia" w:ascii="宋体" w:hAnsi="宋体"/>
                <w:sz w:val="24"/>
                <w:highlight w:val="none"/>
              </w:rPr>
              <w:t>是</w:t>
            </w:r>
          </w:p>
        </w:tc>
      </w:tr>
      <w:tr>
        <w:tblPrEx>
          <w:tblCellMar>
            <w:top w:w="0" w:type="dxa"/>
            <w:left w:w="108" w:type="dxa"/>
            <w:bottom w:w="0" w:type="dxa"/>
            <w:right w:w="108" w:type="dxa"/>
          </w:tblCellMar>
        </w:tblPrEx>
        <w:trPr>
          <w:trHeight w:val="463"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33</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spacing w:val="11"/>
                <w:sz w:val="24"/>
                <w:szCs w:val="24"/>
                <w:highlight w:val="none"/>
              </w:rPr>
              <w:t>是否退还响应文件</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spacing w:val="11"/>
                <w:sz w:val="24"/>
                <w:szCs w:val="24"/>
                <w:highlight w:val="none"/>
              </w:rPr>
              <w:t>否</w:t>
            </w:r>
          </w:p>
        </w:tc>
      </w:tr>
      <w:tr>
        <w:tblPrEx>
          <w:tblCellMar>
            <w:top w:w="0" w:type="dxa"/>
            <w:left w:w="108" w:type="dxa"/>
            <w:bottom w:w="0" w:type="dxa"/>
            <w:right w:w="108" w:type="dxa"/>
          </w:tblCellMar>
        </w:tblPrEx>
        <w:trPr>
          <w:trHeight w:val="492"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34</w:t>
            </w:r>
          </w:p>
        </w:tc>
        <w:tc>
          <w:tcPr>
            <w:tcW w:w="2488" w:type="dxa"/>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样品</w:t>
            </w:r>
          </w:p>
        </w:tc>
        <w:tc>
          <w:tcPr>
            <w:tcW w:w="6327"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sz w:val="24"/>
                <w:szCs w:val="24"/>
                <w:highlight w:val="none"/>
              </w:rPr>
            </w:pPr>
            <w:r>
              <w:rPr>
                <w:rFonts w:hint="eastAsia" w:ascii="宋体" w:hAnsi="宋体" w:cs="宋体"/>
                <w:sz w:val="24"/>
                <w:szCs w:val="24"/>
                <w:highlight w:val="none"/>
              </w:rPr>
              <w:t>不提供</w:t>
            </w:r>
          </w:p>
        </w:tc>
      </w:tr>
      <w:tr>
        <w:tblPrEx>
          <w:tblCellMar>
            <w:top w:w="0" w:type="dxa"/>
            <w:left w:w="108" w:type="dxa"/>
            <w:bottom w:w="0" w:type="dxa"/>
            <w:right w:w="108" w:type="dxa"/>
          </w:tblCellMar>
        </w:tblPrEx>
        <w:trPr>
          <w:trHeight w:val="90"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35</w:t>
            </w:r>
          </w:p>
        </w:tc>
        <w:tc>
          <w:tcPr>
            <w:tcW w:w="2488" w:type="dxa"/>
            <w:tcBorders>
              <w:top w:val="single" w:color="auto" w:sz="4" w:space="0"/>
              <w:left w:val="nil"/>
              <w:bottom w:val="single" w:color="auto" w:sz="4" w:space="0"/>
              <w:right w:val="single" w:color="auto" w:sz="4" w:space="0"/>
            </w:tcBorders>
            <w:noWrap/>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签订合同时间</w:t>
            </w:r>
          </w:p>
        </w:tc>
        <w:tc>
          <w:tcPr>
            <w:tcW w:w="6327" w:type="dxa"/>
            <w:tcBorders>
              <w:top w:val="single" w:color="auto" w:sz="4" w:space="0"/>
              <w:left w:val="nil"/>
              <w:bottom w:val="single" w:color="auto" w:sz="4" w:space="0"/>
              <w:right w:val="single" w:color="auto" w:sz="4" w:space="0"/>
            </w:tcBorders>
            <w:noWrap/>
          </w:tcPr>
          <w:p>
            <w:pPr>
              <w:spacing w:line="400" w:lineRule="exact"/>
              <w:jc w:val="left"/>
              <w:rPr>
                <w:rFonts w:ascii="宋体" w:hAnsi="宋体" w:cs="宋体"/>
                <w:sz w:val="24"/>
                <w:szCs w:val="24"/>
                <w:highlight w:val="none"/>
              </w:rPr>
            </w:pPr>
            <w:r>
              <w:rPr>
                <w:rFonts w:hint="eastAsia" w:ascii="宋体" w:hAnsi="宋体" w:cs="宋体"/>
                <w:sz w:val="24"/>
                <w:szCs w:val="24"/>
                <w:highlight w:val="none"/>
              </w:rPr>
              <w:t>成交通知书发出后30日内</w:t>
            </w:r>
          </w:p>
        </w:tc>
      </w:tr>
      <w:tr>
        <w:tblPrEx>
          <w:tblCellMar>
            <w:top w:w="0" w:type="dxa"/>
            <w:left w:w="108" w:type="dxa"/>
            <w:bottom w:w="0" w:type="dxa"/>
            <w:right w:w="108" w:type="dxa"/>
          </w:tblCellMar>
        </w:tblPrEx>
        <w:trPr>
          <w:trHeight w:val="90"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36</w:t>
            </w:r>
          </w:p>
        </w:tc>
        <w:tc>
          <w:tcPr>
            <w:tcW w:w="2488" w:type="dxa"/>
            <w:tcBorders>
              <w:top w:val="single" w:color="auto" w:sz="4" w:space="0"/>
              <w:left w:val="nil"/>
              <w:bottom w:val="single" w:color="auto" w:sz="4" w:space="0"/>
              <w:right w:val="single" w:color="auto" w:sz="4" w:space="0"/>
            </w:tcBorders>
            <w:noWrap/>
            <w:vAlign w:val="center"/>
          </w:tcPr>
          <w:p>
            <w:pPr>
              <w:keepLines/>
              <w:spacing w:line="360" w:lineRule="auto"/>
              <w:jc w:val="center"/>
              <w:rPr>
                <w:rFonts w:ascii="宋体" w:hAnsi="宋体" w:cs="宋体"/>
                <w:kern w:val="0"/>
                <w:sz w:val="24"/>
                <w:highlight w:val="none"/>
              </w:rPr>
            </w:pPr>
            <w:r>
              <w:rPr>
                <w:rFonts w:hint="eastAsia" w:ascii="宋体" w:hAnsi="宋体" w:cs="宋体"/>
                <w:kern w:val="0"/>
                <w:sz w:val="24"/>
                <w:highlight w:val="none"/>
              </w:rPr>
              <w:t>成交通知书</w:t>
            </w:r>
          </w:p>
        </w:tc>
        <w:tc>
          <w:tcPr>
            <w:tcW w:w="6327" w:type="dxa"/>
            <w:tcBorders>
              <w:top w:val="single" w:color="auto" w:sz="4" w:space="0"/>
              <w:left w:val="nil"/>
              <w:bottom w:val="single" w:color="auto" w:sz="4" w:space="0"/>
              <w:right w:val="single" w:color="auto" w:sz="4" w:space="0"/>
            </w:tcBorders>
            <w:noWrap/>
          </w:tcPr>
          <w:p>
            <w:pPr>
              <w:spacing w:line="400" w:lineRule="exact"/>
              <w:jc w:val="left"/>
              <w:rPr>
                <w:rFonts w:ascii="宋体" w:hAnsi="宋体" w:cs="宋体"/>
                <w:sz w:val="24"/>
                <w:szCs w:val="24"/>
                <w:highlight w:val="none"/>
              </w:rPr>
            </w:pPr>
            <w:r>
              <w:rPr>
                <w:rFonts w:hint="eastAsia" w:ascii="宋体" w:hAnsi="宋体" w:cs="宋体"/>
                <w:sz w:val="24"/>
                <w:szCs w:val="24"/>
                <w:highlight w:val="none"/>
              </w:rPr>
              <w:t>采购人以书面形式向中标人（成交人）发出中标（成交）通知书，同时向未中标（成交）企业以书面或电子形式告知未中标（成交）原因</w:t>
            </w:r>
          </w:p>
        </w:tc>
      </w:tr>
      <w:tr>
        <w:tblPrEx>
          <w:tblCellMar>
            <w:top w:w="0" w:type="dxa"/>
            <w:left w:w="108" w:type="dxa"/>
            <w:bottom w:w="0" w:type="dxa"/>
            <w:right w:w="108" w:type="dxa"/>
          </w:tblCellMar>
        </w:tblPrEx>
        <w:trPr>
          <w:trHeight w:val="90"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37</w:t>
            </w:r>
          </w:p>
        </w:tc>
        <w:tc>
          <w:tcPr>
            <w:tcW w:w="2488" w:type="dxa"/>
            <w:tcBorders>
              <w:top w:val="single" w:color="auto" w:sz="4" w:space="0"/>
              <w:left w:val="nil"/>
              <w:bottom w:val="single" w:color="auto" w:sz="4" w:space="0"/>
              <w:right w:val="single" w:color="auto" w:sz="4" w:space="0"/>
            </w:tcBorders>
            <w:noWrap/>
            <w:vAlign w:val="center"/>
          </w:tcPr>
          <w:p>
            <w:pPr>
              <w:spacing w:line="360" w:lineRule="exact"/>
              <w:jc w:val="center"/>
              <w:rPr>
                <w:rFonts w:ascii="宋体" w:hAnsi="宋体" w:cs="宋体"/>
                <w:sz w:val="24"/>
                <w:szCs w:val="24"/>
                <w:highlight w:val="none"/>
              </w:rPr>
            </w:pPr>
            <w:r>
              <w:rPr>
                <w:rFonts w:hint="eastAsia" w:ascii="宋体" w:hAnsi="宋体" w:cs="宋体"/>
                <w:sz w:val="24"/>
                <w:szCs w:val="24"/>
                <w:highlight w:val="none"/>
              </w:rPr>
              <w:t>电子化交易注意事项</w:t>
            </w:r>
          </w:p>
        </w:tc>
        <w:tc>
          <w:tcPr>
            <w:tcW w:w="6327" w:type="dxa"/>
            <w:tcBorders>
              <w:top w:val="single" w:color="auto" w:sz="4" w:space="0"/>
              <w:left w:val="nil"/>
              <w:bottom w:val="single" w:color="auto" w:sz="4" w:space="0"/>
              <w:right w:val="single" w:color="auto" w:sz="4" w:space="0"/>
            </w:tcBorders>
            <w:noWrap/>
          </w:tcPr>
          <w:p>
            <w:pPr>
              <w:spacing w:line="48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项目为电子化、无纸化交易项目，响应性文件是响应人（以下简称“响应人”）通过中心响应性文件制作系统制作，并经过电子签章和加密后生成的电子版响应性文件。响应人投标时，将不再接受任何纸质文件资料。</w:t>
            </w:r>
          </w:p>
          <w:p>
            <w:pPr>
              <w:spacing w:line="48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电子化响应性文件具体制作文件请点击</w:t>
            </w:r>
            <w:r>
              <w:rPr>
                <w:highlight w:val="none"/>
              </w:rPr>
              <w:fldChar w:fldCharType="begin"/>
            </w:r>
            <w:r>
              <w:rPr>
                <w:highlight w:val="none"/>
              </w:rPr>
              <w:instrText xml:space="preserve"> HYPERLINK "http://t.cn/A6ZvtVob" </w:instrText>
            </w:r>
            <w:r>
              <w:rPr>
                <w:highlight w:val="none"/>
              </w:rPr>
              <w:fldChar w:fldCharType="separate"/>
            </w:r>
            <w:r>
              <w:rPr>
                <w:rFonts w:hint="eastAsia" w:ascii="宋体" w:hAnsi="宋体" w:cs="宋体"/>
                <w:sz w:val="24"/>
                <w:szCs w:val="24"/>
                <w:highlight w:val="none"/>
              </w:rPr>
              <w:t>https://download.bqpoint.com/download/downloaddetail.html?SourceFrom=Ztb&amp;ZtbSoftXiaQuCode=1506&amp;ZtbSoftType=tballinclusiveb</w:t>
            </w:r>
            <w:r>
              <w:rPr>
                <w:rFonts w:hint="eastAsia" w:ascii="宋体" w:hAnsi="宋体" w:cs="宋体"/>
                <w:sz w:val="24"/>
                <w:szCs w:val="24"/>
                <w:highlight w:val="none"/>
              </w:rPr>
              <w:fldChar w:fldCharType="end"/>
            </w:r>
            <w:r>
              <w:rPr>
                <w:rFonts w:hint="eastAsia" w:ascii="宋体" w:hAnsi="宋体" w:cs="宋体"/>
                <w:sz w:val="24"/>
                <w:szCs w:val="24"/>
                <w:highlight w:val="none"/>
              </w:rPr>
              <w:t>进行下载。</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温馨提示：本项目为电子化、无纸化交易项目，开标时不接受任何纸质资料，为保证您能投标成功，请需仔细阅读以下条款。</w:t>
            </w:r>
          </w:p>
          <w:p>
            <w:pPr>
              <w:spacing w:line="48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一、电子化投标</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电子化响应性文件的签章</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1、响应人在生成电子化响应性文件后，应对电子化响应性文件进行签章，未进行签章的视为无效投标。</w:t>
            </w:r>
          </w:p>
          <w:p>
            <w:pPr>
              <w:spacing w:line="48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响应性文件中要求法定代表人或授权委托人盖章的，响应人在进行电子化响应性文件签章时，以签盖法定代表人签章为准。授权委托书委托代理人无法手写签字，可以电脑打印字体为准并加盖法定代表人签章。</w:t>
            </w:r>
          </w:p>
          <w:p>
            <w:pPr>
              <w:spacing w:line="48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（三）电子化响应性文件的格式及上传投标</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1、响应人所上传的电子化响应性文件，应是通过中心响应性文件制作系统制作的（响应性文件制作工具下载地址：https://download.bqpoint.com/download/downloadlist.html?SoftTypeCode=），经过签章和加密后生成的电子版响应性文件。生成的电子版响应性文件包含用于响应性文件上传的主文件（后缀为.smxtf），和用于应急补救的响应性文件备份文件（后缀为.nsmxtf），备份文件主要用于电子化开标出现技术问题后的补救，请响应人随身携带。</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注：（1）响应人投报多个标段的，需要每个标段单独制作电子响应性文件。</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2、电子化响应性文件应在投标截止时间前成功上传至三门峡市公共资源电子化交易系统。至投标截止时间止，仍未上传成功的电子化响应性文件将不予接收。</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注：如按照电子化投标操作教材制作完成的电子化响应性文件无法上传的，响应人应在投标截止时间前尽早的联系中心技术人员，以便有充分的时间进行处理。响应人应充分考虑到处理技术问题和上传数据等工作所需的时间问题，响应性文件未在投标截止时间前成功上传的，其响应性文件不予接收。</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技术联系电话：400-998-0000</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（四）电子化项目开标、解密、唱标、评标</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1、本项目采用电子化、无纸化进行招标，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响应性文件解密等</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2、电子化响应性文件采用一次加密方式。开标时，由响应人使用CA证书，在规定时间内对其电子化响应性文件进行解密。每位响应人的解密时间为开标时间起30分钟内，如在规定时间内未完成解密的，其响应性文件不予开标、唱标。</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3、电子化响应性文件异常情况的处理</w:t>
            </w:r>
          </w:p>
          <w:p>
            <w:pPr>
              <w:spacing w:line="48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如出现响应人的电子响应性文件无法解密等异常情况，响应人应及时致电中介服务机构说明。响应性文件异常，按以下步骤进行处理：</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（1）首先由技术人员进行问题排查。</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（2）经技术人员排查后，是响应人文件自身问题导致响应性文件无法解密的，该响应性文件将不予接收、解密和唱标。开标会议继续进行。</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4、待所有响应人响应性文件解密完成后，由中介服务机构操作，对所有已解密响应性文件进行唱标。</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响应人应保证在开标期间电话、电脑、网络能够正常工作，响应人因停电、电脑病毒、网络堵塞等原因，未在规定的解密时间内对响应性文件进行解密的，其响应性文件不予接收、唱标。</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5、开标时响应人可登录到交易系统中在开标大厅中点击开标一览表查看自己的投标报价。如对自己的唱标内容有异议的，应在唱标内容显示后10分钟内向中介服务机构电话质疑。中介服务机构应在监督人员的监督下进行免提通话接受响应人的质疑并做好书面记录。响应人未在规定时间内提出质疑的，视为认可唱标内容。</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6、评标时，评标委员会对电子化响应性文件有质疑的，将通过电子化交易系统对响应人发起质疑，并在监督人员的监督下，用免提模式致电需要答复的响应人进行详细质询。质疑回复内容确认后，响应人的回复文件必须以经过响应人和其法定代表人签章的PDF格式文件为准，并通过电子化交易系统提交至评标委员会。</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7、如评标委员会对需要回复的响应人连续三次致电未接通的，视为响应人放弃回复，磋商小组将自行对需要回复的内容进行认定。</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二、相关证书原件的提交</w:t>
            </w:r>
          </w:p>
          <w:p>
            <w:pPr>
              <w:spacing w:line="348" w:lineRule="auto"/>
              <w:ind w:firstLine="480" w:firstLineChars="200"/>
              <w:rPr>
                <w:sz w:val="24"/>
                <w:szCs w:val="24"/>
                <w:highlight w:val="none"/>
              </w:rPr>
            </w:pPr>
            <w:r>
              <w:rPr>
                <w:rFonts w:hint="eastAsia"/>
                <w:sz w:val="24"/>
                <w:szCs w:val="24"/>
                <w:highlight w:val="none"/>
              </w:rPr>
              <w:t>根据优化营商环境的要求，评标时以投标文件自行上传业绩为准，主题库录入信息不作为打分依据：</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（1）资格评（预）审部分：资格评（预）以响应文件为准，其上传资料真实性由供应商自行承担，同时，供应商要完善主体库。</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（2）评标打分部分：评标打分部分仍按照100分制原则进行，涉及到资格审查、企业荣誉、人员业绩、企业业绩等计分部分时，以投标单位自行上传到响应文件中的相应内容为准。</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（4）本项目实行资格后审，评审中资格审查、评审打分以投标文件为准，其上传资料真实性由响应人自行承担，同时，响应人要完善主体库。</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（5）我单位（采购人）严格按三财购（2021）9号文要求的时限发布结果公告，发出成交通知书，签订采购合同，上传采购合同。</w:t>
            </w:r>
          </w:p>
          <w:p>
            <w:pPr>
              <w:spacing w:line="480" w:lineRule="exact"/>
              <w:ind w:firstLine="420"/>
              <w:jc w:val="left"/>
              <w:rPr>
                <w:rFonts w:hint="eastAsia" w:ascii="宋体" w:hAnsi="宋体" w:cs="宋体"/>
                <w:sz w:val="24"/>
                <w:szCs w:val="24"/>
                <w:highlight w:val="none"/>
              </w:rPr>
            </w:pPr>
            <w:r>
              <w:rPr>
                <w:rFonts w:hint="eastAsia" w:ascii="宋体" w:hAnsi="宋体" w:cs="宋体"/>
                <w:sz w:val="24"/>
                <w:szCs w:val="24"/>
                <w:highlight w:val="none"/>
              </w:rPr>
              <w:t>具体操作详见《三门峡市公共资源交易响应人市场主体库操作手册》。链接地址：</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http://gzjy.smx.gov.cn/bzzx/008001/20200325/4a2f9fa3-b923-4ddd-bd6f-138a0b63f7d1.html</w:t>
            </w:r>
          </w:p>
          <w:p>
            <w:pPr>
              <w:spacing w:line="480" w:lineRule="exact"/>
              <w:ind w:firstLine="420"/>
              <w:jc w:val="left"/>
              <w:rPr>
                <w:rFonts w:ascii="宋体" w:hAnsi="宋体" w:cs="宋体"/>
                <w:sz w:val="24"/>
                <w:szCs w:val="24"/>
                <w:highlight w:val="none"/>
              </w:rPr>
            </w:pPr>
            <w:r>
              <w:rPr>
                <w:rFonts w:hint="eastAsia" w:ascii="宋体" w:hAnsi="宋体" w:cs="宋体"/>
                <w:sz w:val="24"/>
                <w:szCs w:val="24"/>
                <w:highlight w:val="none"/>
              </w:rPr>
              <w:t>（4）响应人需应仔细阅读操作手册，保证上传内容齐全，真实有效，原件扫描件清晰可辨。</w:t>
            </w:r>
          </w:p>
          <w:p>
            <w:pPr>
              <w:spacing w:line="360" w:lineRule="auto"/>
              <w:rPr>
                <w:rFonts w:ascii="宋体" w:hAnsi="宋体" w:cs="宋体"/>
                <w:sz w:val="24"/>
                <w:szCs w:val="24"/>
                <w:highlight w:val="none"/>
              </w:rPr>
            </w:pPr>
            <w:r>
              <w:rPr>
                <w:rFonts w:hint="eastAsia" w:ascii="宋体" w:hAnsi="宋体" w:cs="宋体"/>
                <w:sz w:val="24"/>
                <w:szCs w:val="24"/>
                <w:highlight w:val="none"/>
              </w:rPr>
              <w:t>提示：本项目为电子化、无纸化交易项目，开标时不再接受任何纸质资料，为保证您能投标成功，请需仔细阅读以上条款。</w:t>
            </w:r>
          </w:p>
        </w:tc>
      </w:tr>
      <w:tr>
        <w:tblPrEx>
          <w:tblCellMar>
            <w:top w:w="0" w:type="dxa"/>
            <w:left w:w="108" w:type="dxa"/>
            <w:bottom w:w="0" w:type="dxa"/>
            <w:right w:w="108" w:type="dxa"/>
          </w:tblCellMar>
        </w:tblPrEx>
        <w:trPr>
          <w:trHeight w:val="452"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38</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宋体"/>
                <w:b/>
                <w:bCs/>
                <w:color w:val="000000"/>
                <w:spacing w:val="11"/>
                <w:sz w:val="24"/>
                <w:szCs w:val="24"/>
                <w:highlight w:val="none"/>
              </w:rPr>
            </w:pPr>
          </w:p>
          <w:p>
            <w:pPr>
              <w:adjustRightInd w:val="0"/>
              <w:snapToGrid w:val="0"/>
              <w:spacing w:line="360" w:lineRule="auto"/>
              <w:jc w:val="center"/>
              <w:rPr>
                <w:rFonts w:ascii="宋体" w:hAnsi="宋体" w:cs="宋体"/>
                <w:b/>
                <w:bCs/>
                <w:color w:val="000000"/>
                <w:spacing w:val="11"/>
                <w:sz w:val="24"/>
                <w:szCs w:val="24"/>
                <w:highlight w:val="none"/>
              </w:rPr>
            </w:pPr>
            <w:r>
              <w:rPr>
                <w:rFonts w:hint="eastAsia" w:ascii="宋体" w:hAnsi="宋体" w:cs="宋体"/>
                <w:color w:val="000000"/>
                <w:spacing w:val="11"/>
                <w:sz w:val="24"/>
                <w:szCs w:val="24"/>
                <w:highlight w:val="none"/>
              </w:rPr>
              <w:t>解释权</w:t>
            </w:r>
          </w:p>
        </w:tc>
        <w:tc>
          <w:tcPr>
            <w:tcW w:w="6327" w:type="dxa"/>
            <w:tcBorders>
              <w:top w:val="single" w:color="auto" w:sz="4" w:space="0"/>
              <w:left w:val="nil"/>
              <w:bottom w:val="single" w:color="auto" w:sz="4" w:space="0"/>
              <w:right w:val="single" w:color="auto" w:sz="4" w:space="0"/>
            </w:tcBorders>
            <w:noWrap/>
          </w:tcPr>
          <w:p>
            <w:pPr>
              <w:adjustRightInd w:val="0"/>
              <w:snapToGrid w:val="0"/>
              <w:spacing w:line="360" w:lineRule="auto"/>
              <w:ind w:firstLine="480" w:firstLineChars="200"/>
              <w:rPr>
                <w:rFonts w:ascii="宋体" w:hAnsi="宋体" w:cs="宋体"/>
                <w:color w:val="000000"/>
                <w:spacing w:val="11"/>
                <w:sz w:val="24"/>
                <w:szCs w:val="24"/>
                <w:highlight w:val="none"/>
              </w:rPr>
            </w:pPr>
            <w:r>
              <w:rPr>
                <w:rFonts w:hint="eastAsia" w:ascii="宋体" w:hAnsi="宋体" w:eastAsia="宋体" w:cs="宋体"/>
                <w:sz w:val="24"/>
                <w:szCs w:val="24"/>
                <w:highlight w:val="none"/>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采购磋商阶段的规定，按竞争性磋商公告、响应人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388"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39</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其他</w:t>
            </w:r>
          </w:p>
        </w:tc>
        <w:tc>
          <w:tcPr>
            <w:tcW w:w="6327" w:type="dxa"/>
            <w:tcBorders>
              <w:top w:val="single" w:color="auto" w:sz="4" w:space="0"/>
              <w:left w:val="nil"/>
              <w:bottom w:val="single" w:color="auto" w:sz="4" w:space="0"/>
              <w:right w:val="single" w:color="auto" w:sz="4" w:space="0"/>
            </w:tcBorders>
            <w:noWrap/>
          </w:tcPr>
          <w:p>
            <w:pPr>
              <w:adjustRightInd w:val="0"/>
              <w:snapToGrid w:val="0"/>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pacing w:val="11"/>
                <w:sz w:val="24"/>
                <w:szCs w:val="24"/>
                <w:highlight w:val="none"/>
              </w:rPr>
              <w:t>响应人</w:t>
            </w:r>
            <w:r>
              <w:rPr>
                <w:rFonts w:hint="eastAsia" w:ascii="宋体" w:hAnsi="宋体" w:cs="宋体"/>
                <w:color w:val="000000"/>
                <w:sz w:val="24"/>
                <w:szCs w:val="24"/>
                <w:highlight w:val="none"/>
              </w:rPr>
              <w:t>应仔细阅读操作手册，因</w:t>
            </w:r>
            <w:r>
              <w:rPr>
                <w:rFonts w:hint="eastAsia" w:ascii="宋体" w:hAnsi="宋体" w:cs="宋体"/>
                <w:color w:val="000000"/>
                <w:spacing w:val="11"/>
                <w:sz w:val="24"/>
                <w:szCs w:val="24"/>
                <w:highlight w:val="none"/>
              </w:rPr>
              <w:t>响应人</w:t>
            </w:r>
            <w:r>
              <w:rPr>
                <w:rFonts w:hint="eastAsia" w:ascii="宋体" w:hAnsi="宋体" w:cs="宋体"/>
                <w:color w:val="000000"/>
                <w:sz w:val="24"/>
                <w:szCs w:val="24"/>
                <w:highlight w:val="none"/>
              </w:rPr>
              <w:t>操作不当等问题造成的无法下载磋商文件、无法投标等一切后果，由响应人自行承担。。</w:t>
            </w:r>
          </w:p>
          <w:p>
            <w:pPr>
              <w:adjustRightInd w:val="0"/>
              <w:snapToGrid w:val="0"/>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2、磋商所发生一切费用由各响应人自行承担，并承担相应的风险和责任。</w:t>
            </w:r>
          </w:p>
          <w:p>
            <w:pPr>
              <w:adjustRightInd w:val="0"/>
              <w:snapToGrid w:val="0"/>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3、响应人认为磋商文件、磋商过程和成交结果使自己的权益受到损害的,可以在知道或者应知其权益受到损害之日起七个工作日内，按照政府磋商质疑和投诉办法（中华人民共和国财政部令94号）以书面形式向采购人或招标代理机构提出质疑（邮寄件、传真件不予受理），逾期不再接收。</w:t>
            </w:r>
          </w:p>
        </w:tc>
      </w:tr>
      <w:tr>
        <w:tblPrEx>
          <w:tblCellMar>
            <w:top w:w="0" w:type="dxa"/>
            <w:left w:w="108" w:type="dxa"/>
            <w:bottom w:w="0" w:type="dxa"/>
            <w:right w:w="108" w:type="dxa"/>
          </w:tblCellMar>
        </w:tblPrEx>
        <w:trPr>
          <w:trHeight w:val="587" w:hRule="atLeast"/>
          <w:jc w:val="center"/>
        </w:trPr>
        <w:tc>
          <w:tcPr>
            <w:tcW w:w="109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40</w:t>
            </w:r>
          </w:p>
        </w:tc>
        <w:tc>
          <w:tcPr>
            <w:tcW w:w="24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rPr>
                <w:rFonts w:ascii="宋体" w:hAnsi="宋体" w:cs="宋体"/>
                <w:color w:val="000000"/>
                <w:spacing w:val="11"/>
                <w:sz w:val="24"/>
                <w:szCs w:val="24"/>
                <w:highlight w:val="none"/>
              </w:rPr>
            </w:pPr>
            <w:r>
              <w:rPr>
                <w:rFonts w:hint="eastAsia" w:ascii="宋体" w:hAnsi="宋体" w:cs="宋体"/>
                <w:color w:val="000000"/>
                <w:spacing w:val="11"/>
                <w:sz w:val="24"/>
                <w:szCs w:val="24"/>
                <w:highlight w:val="none"/>
              </w:rPr>
              <w:t>需要补充的其他内容</w:t>
            </w:r>
          </w:p>
        </w:tc>
        <w:tc>
          <w:tcPr>
            <w:tcW w:w="6327" w:type="dxa"/>
            <w:tcBorders>
              <w:top w:val="single" w:color="auto" w:sz="4" w:space="0"/>
              <w:left w:val="nil"/>
              <w:bottom w:val="single" w:color="auto" w:sz="4" w:space="0"/>
              <w:right w:val="single" w:color="auto" w:sz="4" w:space="0"/>
            </w:tcBorders>
            <w:noWrap/>
          </w:tcPr>
          <w:p>
            <w:pPr>
              <w:adjustRightInd w:val="0"/>
              <w:snapToGrid w:val="0"/>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响应人需要开标前用CA在电子平台上上传电子响应文件。</w:t>
            </w:r>
          </w:p>
          <w:p>
            <w:pPr>
              <w:adjustRightInd w:val="0"/>
              <w:snapToGrid w:val="0"/>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开标时不再递交纸质文件。</w:t>
            </w:r>
          </w:p>
          <w:p>
            <w:pPr>
              <w:adjustRightInd w:val="0"/>
              <w:snapToGrid w:val="0"/>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3、响应人成交后必须向采购人提供与所投相同的同质量、同品质的服务，如出现不一致的，采购人有权取消其成交资格。</w:t>
            </w:r>
          </w:p>
          <w:p>
            <w:pPr>
              <w:adjustRightInd w:val="0"/>
              <w:snapToGrid w:val="0"/>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4、响应人必须在规定时间内对采购人进行服务，不得拖延。</w:t>
            </w:r>
          </w:p>
          <w:p>
            <w:pPr>
              <w:adjustRightInd w:val="0"/>
              <w:snapToGrid w:val="0"/>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5、磋商文件的最终解释权归采购人。</w:t>
            </w:r>
          </w:p>
          <w:p>
            <w:pPr>
              <w:adjustRightInd w:val="0"/>
              <w:snapToGrid w:val="0"/>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6、其它未尽事宜，按国家有关法律、法规执行。</w:t>
            </w:r>
          </w:p>
          <w:p>
            <w:pPr>
              <w:adjustRightInd w:val="0"/>
              <w:snapToGrid w:val="0"/>
              <w:spacing w:line="360" w:lineRule="auto"/>
              <w:jc w:val="left"/>
              <w:rPr>
                <w:rFonts w:hint="eastAsia" w:eastAsia="宋体"/>
                <w:highlight w:val="none"/>
                <w:lang w:val="en-US" w:eastAsia="zh-CN"/>
              </w:rPr>
            </w:pPr>
            <w:r>
              <w:rPr>
                <w:rFonts w:hint="eastAsia" w:ascii="宋体" w:hAnsi="宋体" w:cs="宋体"/>
                <w:color w:val="000000"/>
                <w:sz w:val="24"/>
                <w:szCs w:val="24"/>
                <w:highlight w:val="none"/>
                <w:lang w:val="en-US" w:eastAsia="zh-CN"/>
              </w:rPr>
              <w:t>7、业主评委无评标劳务费用。</w:t>
            </w:r>
          </w:p>
        </w:tc>
      </w:tr>
      <w:tr>
        <w:tblPrEx>
          <w:tblCellMar>
            <w:top w:w="0" w:type="dxa"/>
            <w:left w:w="108" w:type="dxa"/>
            <w:bottom w:w="0" w:type="dxa"/>
            <w:right w:w="108" w:type="dxa"/>
          </w:tblCellMar>
        </w:tblPrEx>
        <w:trPr>
          <w:trHeight w:val="587" w:hRule="atLeast"/>
          <w:jc w:val="center"/>
        </w:trPr>
        <w:tc>
          <w:tcPr>
            <w:tcW w:w="9910"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left"/>
              <w:rPr>
                <w:rFonts w:ascii="宋体" w:hAnsi="宋体" w:cs="宋体"/>
                <w:color w:val="000000"/>
                <w:sz w:val="24"/>
                <w:szCs w:val="24"/>
                <w:highlight w:val="none"/>
              </w:rPr>
            </w:pPr>
            <w:r>
              <w:rPr>
                <w:rFonts w:hint="eastAsia"/>
                <w:b/>
                <w:kern w:val="0"/>
                <w:sz w:val="24"/>
                <w:szCs w:val="24"/>
                <w:highlight w:val="none"/>
              </w:rPr>
              <w:t>提示：本项目为电子化、无纸化交易项目，开标时不再接受任何纸质资料，为保证您能投标成功，请仔细阅读以上条款。</w:t>
            </w:r>
          </w:p>
        </w:tc>
      </w:tr>
    </w:tbl>
    <w:p>
      <w:pPr>
        <w:rPr>
          <w:b/>
          <w:bCs/>
          <w:highlight w:val="none"/>
        </w:rPr>
      </w:pPr>
      <w:bookmarkStart w:id="13" w:name="_Toc23306"/>
      <w:bookmarkEnd w:id="13"/>
      <w:bookmarkStart w:id="14" w:name="_Toc27425"/>
      <w:bookmarkEnd w:id="14"/>
      <w:r>
        <w:rPr>
          <w:rFonts w:hint="eastAsia" w:ascii="宋体" w:hAnsi="宋体" w:cs="宋体"/>
          <w:kern w:val="1"/>
          <w:sz w:val="24"/>
          <w:szCs w:val="24"/>
          <w:highlight w:val="none"/>
        </w:rPr>
        <w:br w:type="page"/>
      </w:r>
    </w:p>
    <w:p>
      <w:pPr>
        <w:widowControl/>
        <w:spacing w:after="200" w:line="360" w:lineRule="auto"/>
        <w:jc w:val="left"/>
        <w:outlineLvl w:val="1"/>
        <w:rPr>
          <w:rFonts w:ascii="宋体" w:hAnsi="宋体" w:cs="宋体"/>
          <w:b/>
          <w:color w:val="000000"/>
          <w:kern w:val="0"/>
          <w:sz w:val="24"/>
          <w:highlight w:val="none"/>
          <w:lang w:bidi="en-US"/>
        </w:rPr>
      </w:pPr>
      <w:r>
        <w:rPr>
          <w:rFonts w:hint="eastAsia" w:ascii="宋体" w:hAnsi="宋体" w:cs="宋体"/>
          <w:b/>
          <w:color w:val="000000"/>
          <w:kern w:val="0"/>
          <w:sz w:val="24"/>
          <w:highlight w:val="none"/>
          <w:lang w:bidi="en-US"/>
        </w:rPr>
        <w:t>1.总则</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1.1项目概况</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1.1.1《中华人民共和国政府采购法》《政府采购竞争性磋商采购方式管理暂行办法》及财库〔2015〕124号文</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1.1.2采购人：见响应人须知前附表。</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1.1.3采购代理机构：见响应人须知前附表。</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1.1.4采购项目名称：见响应人须知前附表。</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1.1.5项目地点：见响应人须知前附表。</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1.2资金来源和落实情况</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1.2.1资金来源：见响应人须知前附表。</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1.2.2资金落实情况：见响应人须知前附表。</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1.3招标内容、服务周期和质量标准</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1.3.1招标内容：见响应人须知前附表。</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1.3.2服务周期：见响应人须知前附表。</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1.3.3质量标准：见响应人须知前附表。</w:t>
      </w:r>
    </w:p>
    <w:p>
      <w:pPr>
        <w:spacing w:line="360" w:lineRule="auto"/>
        <w:rPr>
          <w:rFonts w:ascii="宋体" w:hAnsi="宋体" w:cs="宋体"/>
          <w:b/>
          <w:bCs/>
          <w:kern w:val="0"/>
          <w:sz w:val="24"/>
          <w:highlight w:val="none"/>
        </w:rPr>
      </w:pPr>
      <w:r>
        <w:rPr>
          <w:rFonts w:hint="eastAsia" w:ascii="宋体" w:hAnsi="宋体" w:cs="宋体"/>
          <w:b/>
          <w:bCs/>
          <w:kern w:val="0"/>
          <w:sz w:val="24"/>
          <w:highlight w:val="none"/>
        </w:rPr>
        <w:t>1.4响应人资格要求</w:t>
      </w:r>
    </w:p>
    <w:p>
      <w:pPr>
        <w:spacing w:line="460" w:lineRule="exact"/>
        <w:ind w:firstLine="480" w:firstLineChars="2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响应人必须符合《中华人民共和国政府采购法》第二十二条的规定并同时具备下列条件：</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1、响应人具有独立法人资格，具有合法有效的营业执照、税务登记证、组织机构代码证（三证合一的仅提供营业执照、事业单位需提供事业单位法人证书）；</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2、响应人具有</w:t>
      </w:r>
      <w:r>
        <w:rPr>
          <w:rFonts w:hint="eastAsia" w:ascii="黑体" w:hAnsi="黑体" w:eastAsia="黑体" w:cs="黑体"/>
          <w:b w:val="0"/>
          <w:bCs w:val="0"/>
          <w:sz w:val="24"/>
          <w:highlight w:val="none"/>
        </w:rPr>
        <w:t>测绘地理信息行政主管部门颁发的测绘乙级及以上资质证书</w:t>
      </w:r>
      <w:r>
        <w:rPr>
          <w:rFonts w:hint="eastAsia" w:ascii="黑体" w:hAnsi="黑体" w:eastAsia="黑体" w:cs="黑体"/>
          <w:b w:val="0"/>
          <w:bCs w:val="0"/>
          <w:sz w:val="24"/>
          <w:szCs w:val="24"/>
          <w:highlight w:val="none"/>
        </w:rPr>
        <w:t>；</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rPr>
        <w:t>3、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w:t>
      </w:r>
      <w:r>
        <w:rPr>
          <w:rFonts w:hint="eastAsia" w:ascii="黑体" w:hAnsi="黑体" w:eastAsia="黑体" w:cs="黑体"/>
          <w:b w:val="0"/>
          <w:bCs w:val="0"/>
          <w:sz w:val="24"/>
          <w:highlight w:val="none"/>
        </w:rPr>
        <w:t>【失信被执行人、税收违法黑名单或重大税收违法失信主体查询渠道：“信用中国”网站www.creditchina.gov.cn、政府采购严重违法失信行为记录名单查询渠道：中国政府采购网（www.ccgp.gov.cn）】提供查询结果截图</w:t>
      </w:r>
      <w:r>
        <w:rPr>
          <w:rFonts w:hint="eastAsia" w:ascii="黑体" w:hAnsi="黑体" w:eastAsia="黑体" w:cs="黑体"/>
          <w:b w:val="0"/>
          <w:bCs w:val="0"/>
          <w:sz w:val="24"/>
          <w:szCs w:val="24"/>
          <w:highlight w:val="none"/>
          <w:lang w:val="en-US" w:eastAsia="zh-CN"/>
        </w:rPr>
        <w:t>，查询时间自公告发布之日起；</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4、</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具有良好的商业信誉和健全的财务会计制度：（</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需提供具有良好的商业信誉和健全的财务会计制度承诺书，落款时间为磋商公告发出时间之日起）</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5、</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有依法缴纳税收和社会保障资金的良好记录：（</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需提供具有依法缴纳税收和社会保障资金的良好记录承诺书，落款时间为磋商公告发出时间之日起字）</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6、企业出具无商业贿赂和不正当竞争行为承诺书；（格式自拟）</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7、企业出具无行贿犯罪记录在中国裁判文书网自行查询或自行承诺（查询对象为企业、法定代表人）；</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lang w:val="en-US" w:eastAsia="zh-CN"/>
        </w:rPr>
        <w:t>8</w:t>
      </w:r>
      <w:r>
        <w:rPr>
          <w:rFonts w:hint="eastAsia" w:ascii="黑体" w:hAnsi="黑体" w:eastAsia="黑体" w:cs="黑体"/>
          <w:b w:val="0"/>
          <w:bCs w:val="0"/>
          <w:sz w:val="24"/>
          <w:szCs w:val="24"/>
          <w:highlight w:val="none"/>
        </w:rPr>
        <w:t>、本项目不接受联合体磋商；</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lang w:val="en-US" w:eastAsia="zh-CN"/>
        </w:rPr>
        <w:t>9</w:t>
      </w:r>
      <w:r>
        <w:rPr>
          <w:rFonts w:hint="eastAsia" w:ascii="黑体" w:hAnsi="黑体" w:eastAsia="黑体" w:cs="黑体"/>
          <w:b w:val="0"/>
          <w:bCs w:val="0"/>
          <w:sz w:val="24"/>
          <w:szCs w:val="24"/>
          <w:highlight w:val="none"/>
        </w:rPr>
        <w:t>、本次招标实行资格后审，资格审查的具体要求见磋商文件。</w:t>
      </w:r>
    </w:p>
    <w:p>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响应人不得存在下列情形之一：</w:t>
      </w:r>
    </w:p>
    <w:p>
      <w:pPr>
        <w:spacing w:line="360" w:lineRule="auto"/>
        <w:ind w:firstLine="435"/>
        <w:rPr>
          <w:rFonts w:ascii="宋体" w:hAnsi="宋体" w:cs="宋体"/>
          <w:kern w:val="0"/>
          <w:sz w:val="24"/>
          <w:highlight w:val="none"/>
        </w:rPr>
      </w:pPr>
      <w:r>
        <w:rPr>
          <w:rFonts w:hint="eastAsia" w:ascii="宋体" w:hAnsi="宋体" w:cs="宋体"/>
          <w:kern w:val="0"/>
          <w:sz w:val="24"/>
          <w:highlight w:val="none"/>
        </w:rPr>
        <w:t>(1)不具有独立法人资格的附属机构(单位)；</w:t>
      </w:r>
    </w:p>
    <w:p>
      <w:pPr>
        <w:spacing w:line="360" w:lineRule="auto"/>
        <w:ind w:firstLine="435"/>
        <w:rPr>
          <w:rFonts w:ascii="宋体" w:hAnsi="宋体" w:cs="宋体"/>
          <w:kern w:val="0"/>
          <w:sz w:val="24"/>
          <w:highlight w:val="none"/>
        </w:rPr>
      </w:pPr>
      <w:r>
        <w:rPr>
          <w:rFonts w:hint="eastAsia" w:ascii="宋体" w:hAnsi="宋体" w:cs="宋体"/>
          <w:kern w:val="0"/>
          <w:sz w:val="24"/>
          <w:highlight w:val="none"/>
        </w:rPr>
        <w:t>(2)被责令停业的；</w:t>
      </w:r>
    </w:p>
    <w:p>
      <w:pPr>
        <w:spacing w:line="360" w:lineRule="auto"/>
        <w:ind w:firstLine="435"/>
        <w:rPr>
          <w:rFonts w:ascii="宋体" w:hAnsi="宋体" w:cs="宋体"/>
          <w:kern w:val="0"/>
          <w:sz w:val="24"/>
          <w:highlight w:val="none"/>
        </w:rPr>
      </w:pPr>
      <w:r>
        <w:rPr>
          <w:rFonts w:hint="eastAsia" w:ascii="宋体" w:hAnsi="宋体" w:cs="宋体"/>
          <w:kern w:val="0"/>
          <w:sz w:val="24"/>
          <w:highlight w:val="none"/>
        </w:rPr>
        <w:t>(3)被暂停或取消投标资格的；</w:t>
      </w:r>
    </w:p>
    <w:p>
      <w:pPr>
        <w:spacing w:line="360" w:lineRule="auto"/>
        <w:ind w:firstLine="435"/>
        <w:rPr>
          <w:rFonts w:ascii="宋体" w:hAnsi="宋体" w:cs="宋体"/>
          <w:kern w:val="0"/>
          <w:sz w:val="24"/>
          <w:highlight w:val="none"/>
        </w:rPr>
      </w:pPr>
      <w:r>
        <w:rPr>
          <w:rFonts w:hint="eastAsia" w:ascii="宋体" w:hAnsi="宋体" w:cs="宋体"/>
          <w:kern w:val="0"/>
          <w:sz w:val="24"/>
          <w:highlight w:val="none"/>
        </w:rPr>
        <w:t>(4)财产被接管或冻结的；</w:t>
      </w:r>
    </w:p>
    <w:p>
      <w:pPr>
        <w:spacing w:line="360" w:lineRule="auto"/>
        <w:ind w:firstLine="435"/>
        <w:rPr>
          <w:rFonts w:ascii="宋体" w:hAnsi="宋体" w:cs="宋体"/>
          <w:kern w:val="0"/>
          <w:sz w:val="24"/>
          <w:highlight w:val="none"/>
        </w:rPr>
      </w:pPr>
      <w:r>
        <w:rPr>
          <w:rFonts w:hint="eastAsia" w:ascii="宋体" w:hAnsi="宋体" w:cs="宋体"/>
          <w:kern w:val="0"/>
          <w:sz w:val="24"/>
          <w:highlight w:val="none"/>
        </w:rPr>
        <w:t>(5)在最近三年内有骗取中标或严重违约原因引起的重大工程质量问题的。</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1.5费用承担</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响应人准备和参加磋商活动发生的费用自理。</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1.6保密</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参与磋商活动的各方应对磋商文件和响应文件中的商业和技术等秘密保密，违者应对由此造成的后果承担法律责任。</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1.7语言文字</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除专用术语外，与磋商有关的语言均使用中文。必要时专用术语应附有中文注释。</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1.8计量单位</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所有计量均采用中华人民共和国法定计量单位。</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1.9踏勘现场</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1.9.1采购人不统一组织响应人踏勘项目现场。</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1.9.2响应人踏勘现场发生的费用自理。</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1.9.3响应人自行负责在踏勘现场中所发生的人员伤亡和财产损失。</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1.10磋商预备会：不召开</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1.11分包：不允许分包</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1.12偏离：不允许偏离</w:t>
      </w:r>
    </w:p>
    <w:p>
      <w:pPr>
        <w:widowControl/>
        <w:spacing w:after="200" w:line="360" w:lineRule="auto"/>
        <w:jc w:val="left"/>
        <w:outlineLvl w:val="1"/>
        <w:rPr>
          <w:rFonts w:ascii="宋体" w:hAnsi="宋体" w:cs="宋体"/>
          <w:b/>
          <w:color w:val="000000"/>
          <w:kern w:val="0"/>
          <w:sz w:val="24"/>
          <w:highlight w:val="none"/>
          <w:lang w:bidi="en-US"/>
        </w:rPr>
      </w:pPr>
      <w:bookmarkStart w:id="15" w:name="_Toc16938526"/>
      <w:bookmarkStart w:id="16" w:name="_Toc513029210"/>
      <w:bookmarkStart w:id="17" w:name="_Toc20823282"/>
      <w:r>
        <w:rPr>
          <w:rFonts w:hint="eastAsia" w:ascii="宋体" w:hAnsi="宋体" w:cs="宋体"/>
          <w:b/>
          <w:color w:val="000000"/>
          <w:kern w:val="0"/>
          <w:sz w:val="24"/>
          <w:highlight w:val="none"/>
          <w:lang w:bidi="en-US"/>
        </w:rPr>
        <w:t>2.竞争性磋商文件构成</w:t>
      </w:r>
      <w:bookmarkEnd w:id="15"/>
      <w:bookmarkEnd w:id="16"/>
      <w:bookmarkEnd w:id="17"/>
    </w:p>
    <w:p>
      <w:pPr>
        <w:autoSpaceDE w:val="0"/>
        <w:autoSpaceDN w:val="0"/>
        <w:adjustRightInd w:val="0"/>
        <w:spacing w:line="360" w:lineRule="auto"/>
        <w:jc w:val="left"/>
        <w:textAlignment w:val="baseline"/>
        <w:outlineLvl w:val="2"/>
        <w:rPr>
          <w:rFonts w:ascii="宋体" w:hAnsi="宋体" w:cs="宋体"/>
          <w:b/>
          <w:color w:val="C00000"/>
          <w:kern w:val="0"/>
          <w:sz w:val="24"/>
          <w:highlight w:val="none"/>
        </w:rPr>
      </w:pPr>
      <w:r>
        <w:rPr>
          <w:rFonts w:hint="eastAsia" w:ascii="宋体" w:hAnsi="宋体" w:cs="宋体"/>
          <w:b/>
          <w:color w:val="000000"/>
          <w:kern w:val="0"/>
          <w:sz w:val="24"/>
          <w:highlight w:val="none"/>
        </w:rPr>
        <w:t>2.1竞争性磋商文件有以下部分组成：</w:t>
      </w:r>
    </w:p>
    <w:p>
      <w:pPr>
        <w:spacing w:line="440" w:lineRule="exact"/>
        <w:ind w:firstLine="480" w:firstLineChars="200"/>
        <w:rPr>
          <w:rFonts w:ascii="宋体" w:hAnsi="宋体" w:cs="宋体"/>
          <w:sz w:val="24"/>
          <w:highlight w:val="none"/>
        </w:rPr>
      </w:pPr>
      <w:bookmarkStart w:id="18" w:name="_Toc16938527"/>
      <w:bookmarkStart w:id="19" w:name="_Toc462564070"/>
      <w:bookmarkStart w:id="20" w:name="_Toc513029211"/>
      <w:bookmarkStart w:id="21" w:name="_Toc20823283"/>
      <w:r>
        <w:rPr>
          <w:rFonts w:hint="eastAsia" w:ascii="宋体" w:hAnsi="宋体" w:cs="宋体"/>
          <w:sz w:val="24"/>
          <w:highlight w:val="none"/>
        </w:rPr>
        <w:t>本竞争性磋商文件包括：</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（1）竞争性磋商公告</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（2）响应人须知</w:t>
      </w:r>
    </w:p>
    <w:p>
      <w:pPr>
        <w:spacing w:line="440" w:lineRule="exact"/>
        <w:ind w:firstLine="480" w:firstLineChars="200"/>
        <w:rPr>
          <w:sz w:val="24"/>
          <w:szCs w:val="24"/>
          <w:highlight w:val="none"/>
        </w:rPr>
      </w:pPr>
      <w:r>
        <w:rPr>
          <w:rFonts w:hint="eastAsia" w:ascii="宋体" w:hAnsi="宋体" w:cs="宋体"/>
          <w:sz w:val="24"/>
          <w:highlight w:val="none"/>
        </w:rPr>
        <w:t>（3）</w:t>
      </w:r>
      <w:r>
        <w:rPr>
          <w:rFonts w:hint="eastAsia"/>
          <w:sz w:val="24"/>
          <w:szCs w:val="24"/>
          <w:highlight w:val="none"/>
        </w:rPr>
        <w:t>评审办法</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（4）</w:t>
      </w:r>
      <w:r>
        <w:rPr>
          <w:rFonts w:hint="eastAsia"/>
          <w:sz w:val="24"/>
          <w:szCs w:val="24"/>
          <w:highlight w:val="none"/>
        </w:rPr>
        <w:t>合同条款</w:t>
      </w:r>
    </w:p>
    <w:p>
      <w:pPr>
        <w:spacing w:line="440" w:lineRule="exact"/>
        <w:ind w:firstLine="480" w:firstLineChars="200"/>
        <w:rPr>
          <w:sz w:val="24"/>
          <w:szCs w:val="24"/>
          <w:highlight w:val="none"/>
        </w:rPr>
      </w:pPr>
      <w:r>
        <w:rPr>
          <w:rFonts w:hint="eastAsia" w:ascii="宋体" w:hAnsi="宋体" w:cs="宋体"/>
          <w:sz w:val="24"/>
          <w:highlight w:val="none"/>
        </w:rPr>
        <w:t>（5）</w:t>
      </w:r>
      <w:r>
        <w:rPr>
          <w:rFonts w:hint="eastAsia"/>
          <w:sz w:val="24"/>
          <w:szCs w:val="24"/>
          <w:highlight w:val="none"/>
        </w:rPr>
        <w:t>服务内容及要求</w:t>
      </w:r>
    </w:p>
    <w:p>
      <w:pPr>
        <w:spacing w:line="440" w:lineRule="exact"/>
        <w:ind w:firstLine="480" w:firstLineChars="200"/>
        <w:rPr>
          <w:sz w:val="24"/>
          <w:szCs w:val="24"/>
          <w:highlight w:val="none"/>
        </w:rPr>
      </w:pPr>
      <w:r>
        <w:rPr>
          <w:rFonts w:hint="eastAsia" w:ascii="宋体" w:hAnsi="宋体" w:cs="宋体"/>
          <w:sz w:val="24"/>
          <w:highlight w:val="none"/>
        </w:rPr>
        <w:t>（6）</w:t>
      </w:r>
      <w:r>
        <w:rPr>
          <w:rFonts w:hint="eastAsia"/>
          <w:sz w:val="24"/>
          <w:szCs w:val="24"/>
          <w:highlight w:val="none"/>
        </w:rPr>
        <w:t>响应文件格式</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对竞争性磋商文件所作的澄清、修改，构成竞争性磋商文件的组成部分。</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2.2竞争性磋商文件的澄清</w:t>
      </w:r>
      <w:bookmarkEnd w:id="18"/>
      <w:bookmarkEnd w:id="19"/>
      <w:bookmarkEnd w:id="20"/>
      <w:bookmarkEnd w:id="21"/>
      <w:r>
        <w:rPr>
          <w:rFonts w:hint="eastAsia" w:ascii="宋体" w:hAnsi="宋体" w:cs="宋体"/>
          <w:b/>
          <w:kern w:val="0"/>
          <w:sz w:val="24"/>
          <w:highlight w:val="none"/>
        </w:rPr>
        <w:t>及修改</w:t>
      </w:r>
    </w:p>
    <w:p>
      <w:pPr>
        <w:spacing w:line="440" w:lineRule="exact"/>
        <w:ind w:firstLine="480" w:firstLineChars="200"/>
        <w:rPr>
          <w:rFonts w:ascii="宋体" w:hAnsi="宋体" w:cs="宋体"/>
          <w:sz w:val="24"/>
          <w:highlight w:val="none"/>
        </w:rPr>
      </w:pPr>
      <w:bookmarkStart w:id="22" w:name="_Hlt16619475"/>
      <w:bookmarkEnd w:id="22"/>
      <w:r>
        <w:rPr>
          <w:rFonts w:hint="eastAsia" w:ascii="宋体" w:hAnsi="宋体" w:cs="宋体"/>
          <w:sz w:val="24"/>
          <w:highlight w:val="none"/>
        </w:rPr>
        <w:t>2.2.1响应人应仔细阅读和检查竞争性磋商文件的全部内容。如发现缺页或附件不全，应及时向采购人提出，以便补齐。如有疑问，应在响应人须知前附表规定的时间前以书面的形式，要求采购人对竞争性磋商文件予以澄清。</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2.2.2竞争性磋商文件的澄清将以书面形式发给所有购买竞争性磋商文件的响应人，但不指明澄清问题的来源。如果澄清发出的时间距响应人须知前附表规定的投标截止时间不足5日，并且澄清内容影响磋商响应文件编制的，将相应延长磋商截止时间。</w:t>
      </w:r>
    </w:p>
    <w:p>
      <w:pPr>
        <w:pStyle w:val="6"/>
        <w:spacing w:line="440" w:lineRule="exact"/>
        <w:ind w:firstLine="241" w:firstLineChars="100"/>
        <w:jc w:val="left"/>
        <w:rPr>
          <w:rFonts w:ascii="宋体" w:hAnsi="宋体" w:eastAsia="宋体" w:cs="宋体"/>
          <w:sz w:val="24"/>
          <w:szCs w:val="24"/>
          <w:highlight w:val="none"/>
        </w:rPr>
      </w:pPr>
      <w:bookmarkStart w:id="23" w:name="_Toc179632563"/>
      <w:bookmarkStart w:id="24" w:name="_Toc144974513"/>
      <w:bookmarkStart w:id="25" w:name="_Toc247085704"/>
      <w:bookmarkStart w:id="26" w:name="_Toc296602435"/>
      <w:bookmarkStart w:id="27" w:name="_Toc152042321"/>
      <w:bookmarkStart w:id="28" w:name="_Toc246996190"/>
      <w:bookmarkStart w:id="29" w:name="_Toc246996933"/>
      <w:bookmarkStart w:id="30" w:name="_Toc152045545"/>
      <w:r>
        <w:rPr>
          <w:rFonts w:hint="eastAsia" w:ascii="宋体" w:hAnsi="宋体" w:eastAsia="宋体" w:cs="宋体"/>
          <w:sz w:val="24"/>
          <w:szCs w:val="24"/>
          <w:highlight w:val="none"/>
        </w:rPr>
        <w:t>2.3竞争性磋商文件的修改</w:t>
      </w:r>
      <w:bookmarkEnd w:id="23"/>
      <w:bookmarkEnd w:id="24"/>
      <w:bookmarkEnd w:id="25"/>
      <w:bookmarkEnd w:id="26"/>
      <w:bookmarkEnd w:id="27"/>
      <w:bookmarkEnd w:id="28"/>
      <w:bookmarkEnd w:id="29"/>
      <w:bookmarkEnd w:id="30"/>
    </w:p>
    <w:p>
      <w:pPr>
        <w:spacing w:line="440" w:lineRule="exact"/>
        <w:ind w:firstLine="480" w:firstLineChars="200"/>
        <w:rPr>
          <w:rFonts w:ascii="宋体" w:hAnsi="宋体" w:cs="宋体"/>
          <w:sz w:val="24"/>
          <w:highlight w:val="none"/>
        </w:rPr>
      </w:pPr>
      <w:r>
        <w:rPr>
          <w:rFonts w:hint="eastAsia" w:ascii="宋体" w:hAnsi="宋体" w:cs="宋体"/>
          <w:sz w:val="24"/>
          <w:highlight w:val="none"/>
        </w:rPr>
        <w:t>2.3.1采购人可以书面形式修改竞争性磋商文件，但如果修改竞争性磋商文件的时间距投标截止时间不足5日，并且修改内容影响磋商响应文件编制的，将相应延长磋商截止时间。</w:t>
      </w:r>
    </w:p>
    <w:p>
      <w:pPr>
        <w:widowControl/>
        <w:spacing w:after="200" w:line="360" w:lineRule="auto"/>
        <w:jc w:val="left"/>
        <w:outlineLvl w:val="1"/>
        <w:rPr>
          <w:rFonts w:ascii="宋体" w:hAnsi="宋体" w:cs="宋体"/>
          <w:b/>
          <w:color w:val="000000"/>
          <w:kern w:val="0"/>
          <w:sz w:val="24"/>
          <w:highlight w:val="none"/>
          <w:lang w:bidi="en-US"/>
        </w:rPr>
      </w:pPr>
      <w:r>
        <w:rPr>
          <w:rFonts w:hint="eastAsia" w:ascii="宋体" w:hAnsi="宋体" w:cs="宋体"/>
          <w:b/>
          <w:color w:val="000000"/>
          <w:kern w:val="0"/>
          <w:sz w:val="24"/>
          <w:highlight w:val="none"/>
          <w:lang w:bidi="en-US"/>
        </w:rPr>
        <w:t>3.响应文件</w:t>
      </w:r>
    </w:p>
    <w:p>
      <w:pPr>
        <w:autoSpaceDE w:val="0"/>
        <w:autoSpaceDN w:val="0"/>
        <w:adjustRightInd w:val="0"/>
        <w:spacing w:line="360" w:lineRule="auto"/>
        <w:ind w:firstLine="482" w:firstLineChars="200"/>
        <w:jc w:val="left"/>
        <w:textAlignment w:val="baseline"/>
        <w:rPr>
          <w:rFonts w:ascii="宋体" w:hAnsi="宋体" w:cs="宋体"/>
          <w:b/>
          <w:bCs/>
          <w:kern w:val="0"/>
          <w:sz w:val="24"/>
          <w:highlight w:val="none"/>
        </w:rPr>
      </w:pPr>
      <w:r>
        <w:rPr>
          <w:rFonts w:hint="eastAsia" w:ascii="宋体" w:hAnsi="宋体" w:cs="宋体"/>
          <w:b/>
          <w:bCs/>
          <w:kern w:val="0"/>
          <w:sz w:val="24"/>
          <w:highlight w:val="none"/>
        </w:rPr>
        <w:t>3.1响应文件的组成</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响应文件应包括下列内容：</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一、磋商函及磋商函附录</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二、法定代表人身份证明书</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三、授权委托书</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四、项目实施方案</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五、资格审查资料</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六、项目管理机构</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七、投标承诺函</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八、响应人应附的其它资料</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九、中小微企业声明函</w:t>
      </w:r>
    </w:p>
    <w:p>
      <w:pPr>
        <w:spacing w:line="44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十、残疾人福利性单位声明函</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十一、监狱企业证明文件（如需）</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3.2报价</w:t>
      </w:r>
    </w:p>
    <w:p>
      <w:pPr>
        <w:wordWrap w:val="0"/>
        <w:spacing w:line="360" w:lineRule="auto"/>
        <w:ind w:firstLine="480"/>
        <w:rPr>
          <w:rFonts w:ascii="宋体" w:hAnsi="宋体"/>
          <w:sz w:val="24"/>
          <w:szCs w:val="21"/>
          <w:highlight w:val="none"/>
        </w:rPr>
      </w:pPr>
      <w:r>
        <w:rPr>
          <w:rFonts w:hint="eastAsia" w:ascii="宋体" w:hAnsi="宋体"/>
          <w:sz w:val="24"/>
          <w:szCs w:val="21"/>
          <w:highlight w:val="none"/>
        </w:rPr>
        <w:t>3.2.1响应人</w:t>
      </w:r>
      <w:r>
        <w:rPr>
          <w:rFonts w:ascii="宋体" w:hAnsi="宋体"/>
          <w:sz w:val="24"/>
          <w:szCs w:val="21"/>
          <w:highlight w:val="none"/>
        </w:rPr>
        <w:t>应按照竞争性磋商文件中提供的格式完整地填写响应文件、报价一览表等。</w:t>
      </w:r>
    </w:p>
    <w:p>
      <w:pPr>
        <w:wordWrap w:val="0"/>
        <w:spacing w:line="360" w:lineRule="auto"/>
        <w:ind w:firstLine="480"/>
        <w:rPr>
          <w:rFonts w:ascii="宋体" w:hAnsi="宋体"/>
          <w:sz w:val="24"/>
          <w:szCs w:val="21"/>
          <w:highlight w:val="none"/>
        </w:rPr>
      </w:pPr>
      <w:r>
        <w:rPr>
          <w:rFonts w:hint="eastAsia" w:ascii="宋体" w:hAnsi="宋体"/>
          <w:sz w:val="24"/>
          <w:szCs w:val="21"/>
          <w:highlight w:val="none"/>
        </w:rPr>
        <w:t>3.2.</w:t>
      </w:r>
      <w:r>
        <w:rPr>
          <w:rFonts w:ascii="宋体" w:hAnsi="宋体"/>
          <w:sz w:val="24"/>
          <w:szCs w:val="21"/>
          <w:highlight w:val="none"/>
        </w:rPr>
        <w:t>2</w:t>
      </w:r>
      <w:r>
        <w:rPr>
          <w:rFonts w:hint="eastAsia" w:ascii="宋体" w:hAnsi="宋体"/>
          <w:sz w:val="24"/>
          <w:szCs w:val="21"/>
          <w:highlight w:val="none"/>
        </w:rPr>
        <w:t>响应人</w:t>
      </w:r>
      <w:r>
        <w:rPr>
          <w:rFonts w:ascii="宋体" w:hAnsi="宋体"/>
          <w:sz w:val="24"/>
          <w:szCs w:val="21"/>
          <w:highlight w:val="none"/>
        </w:rPr>
        <w:t>应按照竞争性磋商文件提供的报价表格式填写报价。</w:t>
      </w:r>
    </w:p>
    <w:p>
      <w:pPr>
        <w:wordWrap w:val="0"/>
        <w:spacing w:line="360" w:lineRule="auto"/>
        <w:ind w:firstLine="480"/>
        <w:rPr>
          <w:rFonts w:ascii="宋体" w:hAnsi="宋体"/>
          <w:sz w:val="24"/>
          <w:szCs w:val="21"/>
          <w:highlight w:val="none"/>
        </w:rPr>
      </w:pPr>
      <w:r>
        <w:rPr>
          <w:rFonts w:hint="eastAsia" w:ascii="宋体" w:hAnsi="宋体"/>
          <w:sz w:val="24"/>
          <w:szCs w:val="21"/>
          <w:highlight w:val="none"/>
        </w:rPr>
        <w:t>3.2.3</w:t>
      </w:r>
      <w:r>
        <w:rPr>
          <w:rFonts w:ascii="宋体" w:hAnsi="宋体"/>
          <w:sz w:val="24"/>
          <w:szCs w:val="21"/>
          <w:highlight w:val="none"/>
        </w:rPr>
        <w:t>响应人的响应报价应结合现行标准和</w:t>
      </w:r>
      <w:r>
        <w:rPr>
          <w:rFonts w:hint="eastAsia" w:ascii="宋体" w:hAnsi="宋体"/>
          <w:sz w:val="24"/>
          <w:szCs w:val="21"/>
          <w:highlight w:val="none"/>
        </w:rPr>
        <w:t>招标控制价</w:t>
      </w:r>
      <w:r>
        <w:rPr>
          <w:rFonts w:ascii="宋体" w:hAnsi="宋体"/>
          <w:sz w:val="24"/>
          <w:szCs w:val="21"/>
          <w:highlight w:val="none"/>
        </w:rPr>
        <w:t>自主进行报价。</w:t>
      </w:r>
    </w:p>
    <w:p>
      <w:pPr>
        <w:wordWrap w:val="0"/>
        <w:spacing w:line="360" w:lineRule="auto"/>
        <w:ind w:firstLine="480"/>
        <w:rPr>
          <w:rFonts w:ascii="宋体" w:hAnsi="宋体"/>
          <w:sz w:val="24"/>
          <w:szCs w:val="21"/>
          <w:highlight w:val="none"/>
        </w:rPr>
      </w:pPr>
      <w:r>
        <w:rPr>
          <w:rFonts w:hint="eastAsia" w:ascii="宋体" w:hAnsi="宋体"/>
          <w:sz w:val="24"/>
          <w:szCs w:val="21"/>
          <w:highlight w:val="none"/>
        </w:rPr>
        <w:t>3.2.4响应人的投标报价应是在合同期内，按合同规定的范围，实施完成本次采购范围内的全部工作所需的现场办公、生活设施、劳务费、技术服务费等编制工作以及后续技术服务、交通、通讯、保险、税费和利润以及为完成本项目所提供的专用仪器、设备和设施等与编制业务有关的全部费用。</w:t>
      </w:r>
    </w:p>
    <w:p>
      <w:pPr>
        <w:wordWrap w:val="0"/>
        <w:spacing w:line="360" w:lineRule="auto"/>
        <w:ind w:firstLine="480"/>
        <w:rPr>
          <w:rFonts w:ascii="宋体" w:hAnsi="宋体"/>
          <w:sz w:val="24"/>
          <w:highlight w:val="none"/>
          <w:lang w:val="zh-CN"/>
        </w:rPr>
      </w:pPr>
      <w:r>
        <w:rPr>
          <w:rFonts w:hint="eastAsia" w:ascii="宋体" w:hAnsi="宋体"/>
          <w:sz w:val="24"/>
          <w:szCs w:val="21"/>
          <w:highlight w:val="none"/>
        </w:rPr>
        <w:t>3.2.5</w:t>
      </w:r>
      <w:r>
        <w:rPr>
          <w:rFonts w:ascii="宋体" w:hAnsi="宋体"/>
          <w:sz w:val="24"/>
          <w:highlight w:val="none"/>
          <w:lang w:val="zh-CN"/>
        </w:rPr>
        <w:t>磋商过程</w:t>
      </w:r>
      <w:r>
        <w:rPr>
          <w:rFonts w:hint="eastAsia" w:ascii="宋体" w:hAnsi="宋体"/>
          <w:sz w:val="24"/>
          <w:highlight w:val="none"/>
          <w:lang w:val="zh-CN"/>
        </w:rPr>
        <w:t>响应人</w:t>
      </w:r>
      <w:r>
        <w:rPr>
          <w:rFonts w:ascii="宋体" w:hAnsi="宋体"/>
          <w:sz w:val="24"/>
          <w:highlight w:val="none"/>
          <w:lang w:val="zh-CN"/>
        </w:rPr>
        <w:t>需两轮报价</w:t>
      </w:r>
      <w:r>
        <w:rPr>
          <w:rFonts w:hint="eastAsia" w:ascii="宋体" w:hAnsi="宋体"/>
          <w:sz w:val="24"/>
          <w:highlight w:val="none"/>
          <w:lang w:val="zh-CN"/>
        </w:rPr>
        <w:t>，不得超过采购人公布的项目预算，否则其投标无效。</w:t>
      </w:r>
      <w:r>
        <w:rPr>
          <w:rFonts w:ascii="宋体" w:hAnsi="宋体"/>
          <w:sz w:val="24"/>
          <w:highlight w:val="none"/>
          <w:lang w:val="zh-CN"/>
        </w:rPr>
        <w:t>（</w:t>
      </w:r>
      <w:r>
        <w:rPr>
          <w:rFonts w:hint="eastAsia" w:ascii="宋体" w:hAnsi="宋体"/>
          <w:sz w:val="24"/>
          <w:highlight w:val="none"/>
          <w:lang w:val="zh-CN"/>
        </w:rPr>
        <w:t>初次</w:t>
      </w:r>
      <w:r>
        <w:rPr>
          <w:rFonts w:ascii="宋体" w:hAnsi="宋体"/>
          <w:sz w:val="24"/>
          <w:highlight w:val="none"/>
          <w:lang w:val="zh-CN"/>
        </w:rPr>
        <w:t>报价、最终报价。本项目进行两次报价，</w:t>
      </w:r>
      <w:r>
        <w:rPr>
          <w:rFonts w:hint="eastAsia" w:ascii="宋体" w:hAnsi="宋体"/>
          <w:sz w:val="24"/>
          <w:highlight w:val="none"/>
          <w:lang w:val="zh-CN"/>
        </w:rPr>
        <w:t>响应文件中报价为初次报价，</w:t>
      </w:r>
      <w:r>
        <w:rPr>
          <w:rFonts w:ascii="宋体" w:hAnsi="宋体"/>
          <w:sz w:val="24"/>
          <w:highlight w:val="none"/>
          <w:lang w:val="zh-CN"/>
        </w:rPr>
        <w:t>最终报价不能高于上次报价，高于上次报价视为无效响应</w:t>
      </w:r>
      <w:r>
        <w:rPr>
          <w:rFonts w:ascii="宋体" w:hAnsi="宋体"/>
          <w:bCs/>
          <w:sz w:val="24"/>
          <w:highlight w:val="none"/>
          <w:lang w:val="zh-CN"/>
        </w:rPr>
        <w:t>）</w:t>
      </w:r>
      <w:r>
        <w:rPr>
          <w:rFonts w:hint="eastAsia" w:ascii="宋体" w:hAnsi="宋体"/>
          <w:bCs/>
          <w:sz w:val="24"/>
          <w:highlight w:val="none"/>
          <w:lang w:val="zh-CN"/>
        </w:rPr>
        <w:t>。</w:t>
      </w:r>
    </w:p>
    <w:p>
      <w:pPr>
        <w:wordWrap w:val="0"/>
        <w:spacing w:line="360" w:lineRule="auto"/>
        <w:ind w:firstLine="480"/>
        <w:rPr>
          <w:rFonts w:ascii="宋体" w:hAnsi="宋体"/>
          <w:bCs/>
          <w:sz w:val="24"/>
          <w:szCs w:val="21"/>
          <w:highlight w:val="none"/>
        </w:rPr>
      </w:pPr>
      <w:r>
        <w:rPr>
          <w:rFonts w:hint="eastAsia" w:ascii="宋体" w:hAnsi="宋体"/>
          <w:sz w:val="24"/>
          <w:szCs w:val="21"/>
          <w:highlight w:val="none"/>
        </w:rPr>
        <w:t>3.2.6</w:t>
      </w:r>
      <w:r>
        <w:rPr>
          <w:rFonts w:hint="eastAsia" w:ascii="宋体" w:hAnsi="宋体"/>
          <w:sz w:val="24"/>
          <w:szCs w:val="21"/>
          <w:highlight w:val="none"/>
          <w:lang w:val="zh-CN"/>
        </w:rPr>
        <w:t>响应人</w:t>
      </w:r>
      <w:r>
        <w:rPr>
          <w:rFonts w:ascii="宋体" w:hAnsi="宋体"/>
          <w:sz w:val="24"/>
          <w:szCs w:val="21"/>
          <w:highlight w:val="none"/>
          <w:lang w:val="zh-CN"/>
        </w:rPr>
        <w:t>不得以他人名义磋商或者以其他方式弄虚作假，骗取成交；</w:t>
      </w:r>
    </w:p>
    <w:p>
      <w:pPr>
        <w:wordWrap w:val="0"/>
        <w:spacing w:line="360" w:lineRule="auto"/>
        <w:ind w:firstLine="480"/>
        <w:rPr>
          <w:rFonts w:ascii="宋体" w:hAnsi="宋体"/>
          <w:sz w:val="24"/>
          <w:szCs w:val="21"/>
          <w:highlight w:val="none"/>
          <w:lang w:val="zh-CN"/>
        </w:rPr>
      </w:pPr>
      <w:r>
        <w:rPr>
          <w:rFonts w:hint="eastAsia" w:ascii="宋体" w:hAnsi="宋体"/>
          <w:sz w:val="24"/>
          <w:szCs w:val="21"/>
          <w:highlight w:val="none"/>
        </w:rPr>
        <w:t>3.2.7</w:t>
      </w:r>
      <w:r>
        <w:rPr>
          <w:rFonts w:ascii="宋体" w:hAnsi="宋体"/>
          <w:sz w:val="24"/>
          <w:szCs w:val="21"/>
          <w:highlight w:val="none"/>
          <w:lang w:val="zh-CN"/>
        </w:rPr>
        <w:t>响应性文件应对竞争性磋商文件中各项做出实质性响应，否则该磋商将可能被拒绝。</w:t>
      </w:r>
      <w:r>
        <w:rPr>
          <w:rFonts w:hint="eastAsia" w:ascii="宋体" w:hAnsi="宋体"/>
          <w:sz w:val="24"/>
          <w:szCs w:val="21"/>
          <w:highlight w:val="none"/>
          <w:lang w:val="zh-CN"/>
        </w:rPr>
        <w:t>响应人</w:t>
      </w:r>
      <w:r>
        <w:rPr>
          <w:rFonts w:ascii="宋体" w:hAnsi="宋体"/>
          <w:sz w:val="24"/>
          <w:szCs w:val="21"/>
          <w:highlight w:val="none"/>
          <w:lang w:val="zh-CN"/>
        </w:rPr>
        <w:t>服务承诺书应按不低于竞争性磋商文件中的服务要求标准做出响应。</w:t>
      </w:r>
    </w:p>
    <w:p>
      <w:pPr>
        <w:wordWrap w:val="0"/>
        <w:spacing w:line="360" w:lineRule="auto"/>
        <w:ind w:firstLine="480"/>
        <w:rPr>
          <w:rFonts w:ascii="宋体" w:hAnsi="宋体"/>
          <w:sz w:val="24"/>
          <w:szCs w:val="21"/>
          <w:highlight w:val="none"/>
          <w:lang w:val="zh-CN"/>
        </w:rPr>
      </w:pPr>
      <w:r>
        <w:rPr>
          <w:rFonts w:hint="eastAsia" w:ascii="宋体" w:hAnsi="宋体"/>
          <w:sz w:val="24"/>
          <w:szCs w:val="21"/>
          <w:highlight w:val="none"/>
        </w:rPr>
        <w:t>3.2.8</w:t>
      </w:r>
      <w:r>
        <w:rPr>
          <w:rFonts w:ascii="宋体" w:hAnsi="宋体"/>
          <w:sz w:val="24"/>
          <w:szCs w:val="21"/>
          <w:highlight w:val="none"/>
          <w:lang w:val="zh-CN"/>
        </w:rPr>
        <w:t>磋商文件能够详细列明采购标的服务要求的，磋商结束后，磋商小组应当要求所有实质性响应的</w:t>
      </w:r>
      <w:r>
        <w:rPr>
          <w:rFonts w:hint="eastAsia" w:ascii="宋体" w:hAnsi="宋体"/>
          <w:sz w:val="24"/>
          <w:szCs w:val="21"/>
          <w:highlight w:val="none"/>
          <w:lang w:val="zh-CN"/>
        </w:rPr>
        <w:t>响应人</w:t>
      </w:r>
      <w:r>
        <w:rPr>
          <w:rFonts w:ascii="宋体" w:hAnsi="宋体"/>
          <w:sz w:val="24"/>
          <w:szCs w:val="21"/>
          <w:highlight w:val="none"/>
          <w:lang w:val="zh-CN"/>
        </w:rPr>
        <w:t>在规定时间内提交最终报价。最终报价是</w:t>
      </w:r>
      <w:r>
        <w:rPr>
          <w:rFonts w:hint="eastAsia" w:ascii="宋体" w:hAnsi="宋体"/>
          <w:sz w:val="24"/>
          <w:szCs w:val="21"/>
          <w:highlight w:val="none"/>
          <w:lang w:val="zh-CN"/>
        </w:rPr>
        <w:t>响应人</w:t>
      </w:r>
      <w:r>
        <w:rPr>
          <w:rFonts w:ascii="宋体" w:hAnsi="宋体"/>
          <w:sz w:val="24"/>
          <w:szCs w:val="21"/>
          <w:highlight w:val="none"/>
          <w:lang w:val="zh-CN"/>
        </w:rPr>
        <w:t>响应文件的有效组成部分。</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3.3磋商有效期</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3.3.1在响应人须知前附表规定的磋商有效期内，响应人撤销或修改其磋商响应文件的，应承担磋商文件和法律规定的责任。</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3.3.2出现特殊情况需要延长磋商有效期的，采购人以书面形式通知所有响应人延长磋商效期。响应人同意延长的，不得要求或被允许修改或撤销其响应文件；响应人拒绝延长的，其投标失效。</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3.4磋商保证金</w:t>
      </w:r>
    </w:p>
    <w:p>
      <w:pPr>
        <w:autoSpaceDE w:val="0"/>
        <w:autoSpaceDN w:val="0"/>
        <w:adjustRightInd w:val="0"/>
        <w:spacing w:line="360" w:lineRule="auto"/>
        <w:ind w:firstLine="480" w:firstLineChars="200"/>
        <w:jc w:val="left"/>
        <w:textAlignment w:val="baseline"/>
        <w:outlineLvl w:val="2"/>
        <w:rPr>
          <w:rFonts w:ascii="宋体" w:hAnsi="宋体" w:cs="宋体"/>
          <w:b/>
          <w:kern w:val="0"/>
          <w:sz w:val="24"/>
          <w:highlight w:val="none"/>
        </w:rPr>
      </w:pPr>
      <w:r>
        <w:rPr>
          <w:rFonts w:hint="eastAsia" w:ascii="宋体" w:hAnsi="宋体" w:cs="宋体"/>
          <w:sz w:val="24"/>
          <w:highlight w:val="none"/>
        </w:rPr>
        <w:t>根据《河南省财政厅关于优化政府采购营商环境有关问题的通知》（豫财购【2019】4号）第6条的规定，磋商保证金不再收取。</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3.5资格审查资料</w:t>
      </w:r>
    </w:p>
    <w:p>
      <w:pPr>
        <w:spacing w:line="460" w:lineRule="exact"/>
        <w:ind w:firstLine="480" w:firstLineChars="2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响应人必须符合《中华人民共和国政府采购法》第二十二条的规定并同时具备下列条件：</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1、响应人具有独立法人资格，具有合法有效的营业执照、税务登记证、组织机构代码证（三证合一的仅提供营业执照、事业单位需提供事业单位法人证书）；</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2、响应人具有</w:t>
      </w:r>
      <w:r>
        <w:rPr>
          <w:rFonts w:hint="eastAsia" w:ascii="黑体" w:hAnsi="黑体" w:eastAsia="黑体" w:cs="黑体"/>
          <w:b w:val="0"/>
          <w:bCs w:val="0"/>
          <w:sz w:val="24"/>
          <w:highlight w:val="none"/>
        </w:rPr>
        <w:t>测绘地理信息行政主管部门颁发的测绘乙级及以上资质证书</w:t>
      </w:r>
      <w:r>
        <w:rPr>
          <w:rFonts w:hint="eastAsia" w:ascii="黑体" w:hAnsi="黑体" w:eastAsia="黑体" w:cs="黑体"/>
          <w:b w:val="0"/>
          <w:bCs w:val="0"/>
          <w:sz w:val="24"/>
          <w:szCs w:val="24"/>
          <w:highlight w:val="none"/>
        </w:rPr>
        <w:t>；</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rPr>
        <w:t>3、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w:t>
      </w:r>
      <w:r>
        <w:rPr>
          <w:rFonts w:hint="eastAsia" w:ascii="黑体" w:hAnsi="黑体" w:eastAsia="黑体" w:cs="黑体"/>
          <w:b w:val="0"/>
          <w:bCs w:val="0"/>
          <w:sz w:val="24"/>
          <w:highlight w:val="none"/>
        </w:rPr>
        <w:t>【失信被执行人、税收违法黑名单或重大税收违法失信主体查询渠道：“信用中国”网站www.creditchina.gov.cn、政府采购严重违法失信行为记录名单查询渠道：中国政府采购网（www.ccgp.gov.cn）】提供查询结果截图</w:t>
      </w:r>
      <w:r>
        <w:rPr>
          <w:rFonts w:hint="eastAsia" w:ascii="黑体" w:hAnsi="黑体" w:eastAsia="黑体" w:cs="黑体"/>
          <w:b w:val="0"/>
          <w:bCs w:val="0"/>
          <w:sz w:val="24"/>
          <w:szCs w:val="24"/>
          <w:highlight w:val="none"/>
          <w:lang w:val="en-US" w:eastAsia="zh-CN"/>
        </w:rPr>
        <w:t>，查询时间自公告发布之日起；</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4、</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具有良好的商业信誉和健全的财务会计制度：（</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需提供具有良好的商业信誉和健全的财务会计制度承诺书，落款时间为磋商公告发出时间之日起）</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5、</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有依法缴纳税收和社会保障资金的良好记录：（</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需提供具有依法缴纳税收和社会保障资金的良好记录承诺书，落款时间为磋商公告发出时间之日起字）</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6、企业出具无商业贿赂和不正当竞争行为承诺书；（格式自拟）</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7、企业出具无行贿犯罪记录在中国裁判文书网自行查询或自行承诺（查询对象为企业、法定代表人）；</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lang w:val="en-US" w:eastAsia="zh-CN"/>
        </w:rPr>
        <w:t>8</w:t>
      </w:r>
      <w:r>
        <w:rPr>
          <w:rFonts w:hint="eastAsia" w:ascii="黑体" w:hAnsi="黑体" w:eastAsia="黑体" w:cs="黑体"/>
          <w:b w:val="0"/>
          <w:bCs w:val="0"/>
          <w:sz w:val="24"/>
          <w:szCs w:val="24"/>
          <w:highlight w:val="none"/>
        </w:rPr>
        <w:t>、本项目不接受联合体磋商；</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lang w:val="en-US" w:eastAsia="zh-CN"/>
        </w:rPr>
        <w:t>9</w:t>
      </w:r>
      <w:r>
        <w:rPr>
          <w:rFonts w:hint="eastAsia" w:ascii="黑体" w:hAnsi="黑体" w:eastAsia="黑体" w:cs="黑体"/>
          <w:b w:val="0"/>
          <w:bCs w:val="0"/>
          <w:sz w:val="24"/>
          <w:szCs w:val="24"/>
          <w:highlight w:val="none"/>
        </w:rPr>
        <w:t>、本次招标实行资格后审，资格审查的具体要求见磋商文件。</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3.6备选投标方案</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响应人不得递交备选投标方案。</w:t>
      </w:r>
    </w:p>
    <w:p>
      <w:pPr>
        <w:autoSpaceDE w:val="0"/>
        <w:autoSpaceDN w:val="0"/>
        <w:adjustRightInd w:val="0"/>
        <w:spacing w:line="360" w:lineRule="auto"/>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3.7响应文件的编制</w:t>
      </w:r>
    </w:p>
    <w:p>
      <w:pPr>
        <w:spacing w:line="440" w:lineRule="exact"/>
        <w:ind w:firstLine="480" w:firstLineChars="200"/>
        <w:jc w:val="left"/>
        <w:rPr>
          <w:rFonts w:ascii="宋体" w:hAnsi="宋体"/>
          <w:sz w:val="24"/>
          <w:highlight w:val="none"/>
        </w:rPr>
      </w:pPr>
      <w:r>
        <w:rPr>
          <w:rFonts w:hint="eastAsia" w:ascii="宋体" w:hAnsi="宋体" w:cs="宋体"/>
          <w:sz w:val="24"/>
          <w:highlight w:val="none"/>
        </w:rPr>
        <w:t>3.7.1磋商响应文件可按第六章“响应文件格式”进行编写</w:t>
      </w:r>
      <w:r>
        <w:rPr>
          <w:rFonts w:hint="eastAsia" w:ascii="宋体" w:hAnsi="宋体" w:cs="宋体"/>
          <w:color w:val="000000"/>
          <w:sz w:val="24"/>
          <w:highlight w:val="none"/>
        </w:rPr>
        <w:t>，如有必要，可以增加附页作为磋商响应文件的组成部分。其中，投标函附录在满足竞争性磋商文件实质性要求的基础上，可以提出比竞争性磋商文件要求更有利于采购人的承诺。</w:t>
      </w:r>
    </w:p>
    <w:p>
      <w:pPr>
        <w:spacing w:line="440" w:lineRule="exact"/>
        <w:ind w:firstLine="480" w:firstLineChars="200"/>
        <w:jc w:val="left"/>
        <w:rPr>
          <w:rFonts w:ascii="宋体" w:hAnsi="宋体"/>
          <w:sz w:val="24"/>
          <w:highlight w:val="none"/>
        </w:rPr>
      </w:pPr>
      <w:r>
        <w:rPr>
          <w:rFonts w:hint="eastAsia" w:ascii="宋体" w:hAnsi="宋体"/>
          <w:sz w:val="24"/>
          <w:highlight w:val="none"/>
        </w:rPr>
        <w:t>3.7.2磋商响应文件应当对磋商文件有关项目服务周期、磋商有效期、服务质量要求、磋商范围等实质性内容作出响应。</w:t>
      </w:r>
    </w:p>
    <w:p>
      <w:pPr>
        <w:spacing w:line="440" w:lineRule="exact"/>
        <w:ind w:firstLine="480" w:firstLineChars="200"/>
        <w:jc w:val="left"/>
        <w:rPr>
          <w:rFonts w:ascii="宋体" w:hAnsi="宋体" w:cs="宋体"/>
          <w:b/>
          <w:color w:val="000000"/>
          <w:kern w:val="0"/>
          <w:sz w:val="24"/>
          <w:highlight w:val="none"/>
          <w:lang w:bidi="en-US"/>
        </w:rPr>
      </w:pPr>
      <w:r>
        <w:rPr>
          <w:rFonts w:hint="eastAsia" w:ascii="宋体" w:hAnsi="宋体"/>
          <w:sz w:val="24"/>
          <w:highlight w:val="none"/>
        </w:rPr>
        <w:t>3.7.3响应人所上传的电子化磋商响应文件，应是通过中心投标文件制作系统制作的（投标文件制作工具下载地址：https://download.bqpoint.com/download/downloadlist.html?SoftTypeCode=03），经过签章和加密后生成的电子版磋商响应文件。其中包含用于磋商响应文件上传的主文件（后缀为.smxtf）和用于应急补救的磋商响应文件备份文件（后缀为.nsmxtf）。</w:t>
      </w:r>
    </w:p>
    <w:p>
      <w:pPr>
        <w:widowControl/>
        <w:spacing w:after="200"/>
        <w:jc w:val="left"/>
        <w:outlineLvl w:val="1"/>
        <w:rPr>
          <w:rFonts w:ascii="宋体" w:hAnsi="宋体" w:cs="宋体"/>
          <w:b/>
          <w:color w:val="000000"/>
          <w:kern w:val="0"/>
          <w:sz w:val="24"/>
          <w:highlight w:val="none"/>
          <w:lang w:bidi="en-US"/>
        </w:rPr>
      </w:pPr>
      <w:r>
        <w:rPr>
          <w:rFonts w:hint="eastAsia" w:ascii="宋体" w:hAnsi="宋体" w:cs="宋体"/>
          <w:b/>
          <w:color w:val="000000"/>
          <w:kern w:val="0"/>
          <w:sz w:val="24"/>
          <w:highlight w:val="none"/>
          <w:lang w:bidi="en-US"/>
        </w:rPr>
        <w:t>4.投标</w:t>
      </w:r>
    </w:p>
    <w:p>
      <w:pPr>
        <w:pStyle w:val="6"/>
        <w:spacing w:line="240" w:lineRule="auto"/>
        <w:ind w:firstLine="241" w:firstLineChars="100"/>
        <w:jc w:val="left"/>
        <w:rPr>
          <w:rFonts w:ascii="宋体" w:hAnsi="宋体" w:eastAsia="宋体" w:cs="宋体"/>
          <w:sz w:val="24"/>
          <w:szCs w:val="24"/>
          <w:highlight w:val="none"/>
        </w:rPr>
      </w:pPr>
      <w:bookmarkStart w:id="31" w:name="_Toc246996943"/>
      <w:bookmarkStart w:id="32" w:name="_Toc296602444"/>
      <w:bookmarkStart w:id="33" w:name="_Toc247085714"/>
      <w:bookmarkStart w:id="34" w:name="_Toc144974524"/>
      <w:bookmarkStart w:id="35" w:name="_Toc152045556"/>
      <w:bookmarkStart w:id="36" w:name="_Toc246996200"/>
      <w:bookmarkStart w:id="37" w:name="_Toc179632574"/>
      <w:bookmarkStart w:id="38" w:name="_Toc152042332"/>
      <w:r>
        <w:rPr>
          <w:rFonts w:hint="eastAsia" w:ascii="宋体" w:hAnsi="宋体" w:eastAsia="宋体" w:cs="宋体"/>
          <w:sz w:val="24"/>
          <w:szCs w:val="24"/>
          <w:highlight w:val="none"/>
        </w:rPr>
        <w:t>4.1磋商响应文件的</w:t>
      </w:r>
      <w:bookmarkEnd w:id="31"/>
      <w:bookmarkEnd w:id="32"/>
      <w:bookmarkEnd w:id="33"/>
      <w:bookmarkEnd w:id="34"/>
      <w:bookmarkEnd w:id="35"/>
      <w:bookmarkEnd w:id="36"/>
      <w:bookmarkEnd w:id="37"/>
      <w:bookmarkEnd w:id="38"/>
      <w:r>
        <w:rPr>
          <w:rFonts w:hint="eastAsia" w:ascii="宋体" w:hAnsi="宋体" w:eastAsia="宋体" w:cs="宋体"/>
          <w:sz w:val="24"/>
          <w:szCs w:val="24"/>
          <w:highlight w:val="none"/>
        </w:rPr>
        <w:t>签署</w:t>
      </w:r>
    </w:p>
    <w:p>
      <w:pPr>
        <w:spacing w:line="440" w:lineRule="exact"/>
        <w:ind w:firstLine="465"/>
        <w:rPr>
          <w:rFonts w:ascii="宋体" w:hAnsi="宋体" w:cs="宋体"/>
          <w:bCs/>
          <w:sz w:val="24"/>
          <w:highlight w:val="none"/>
        </w:rPr>
      </w:pPr>
      <w:r>
        <w:rPr>
          <w:rFonts w:hint="eastAsia" w:ascii="宋体" w:hAnsi="宋体" w:cs="宋体"/>
          <w:bCs/>
          <w:sz w:val="24"/>
          <w:highlight w:val="none"/>
        </w:rPr>
        <w:t>4.1.1响应人在生成电子化投标文件后，应对电子化投标文件进行签章，未进行签章的视为无效投标。</w:t>
      </w:r>
    </w:p>
    <w:p>
      <w:pPr>
        <w:spacing w:line="440" w:lineRule="exact"/>
        <w:ind w:firstLine="465"/>
        <w:rPr>
          <w:rFonts w:ascii="宋体" w:hAnsi="宋体" w:cs="宋体"/>
          <w:sz w:val="24"/>
          <w:highlight w:val="none"/>
        </w:rPr>
      </w:pPr>
      <w:r>
        <w:rPr>
          <w:rFonts w:hint="eastAsia" w:ascii="宋体" w:hAnsi="宋体" w:cs="宋体"/>
          <w:bCs/>
          <w:sz w:val="24"/>
          <w:highlight w:val="none"/>
        </w:rPr>
        <w:t>4.1.2要求法定代表人或授权委托人签字或盖章的，响应人在进行电子化投标文件签章时，以签盖法定代表人签章为准。授权委托书委托代理人无法手写签字，可以电脑打印字体为准并加盖法定代表人签章。</w:t>
      </w:r>
      <w:r>
        <w:rPr>
          <w:rFonts w:hint="eastAsia" w:ascii="宋体" w:hAnsi="宋体" w:cs="宋体"/>
          <w:sz w:val="24"/>
          <w:highlight w:val="none"/>
        </w:rPr>
        <w:t>电子化磋商响应文件具体制作教材请响应人通过CA证书登录三门峡市公共资源电子化交易系统在右上角“组件下载”中查看。</w:t>
      </w:r>
    </w:p>
    <w:p>
      <w:pPr>
        <w:pStyle w:val="6"/>
        <w:spacing w:line="440" w:lineRule="exact"/>
        <w:ind w:firstLine="241" w:firstLineChars="100"/>
        <w:jc w:val="left"/>
        <w:rPr>
          <w:rFonts w:ascii="宋体" w:hAnsi="宋体" w:eastAsia="宋体" w:cs="宋体"/>
          <w:sz w:val="24"/>
          <w:szCs w:val="24"/>
          <w:highlight w:val="none"/>
        </w:rPr>
      </w:pPr>
      <w:r>
        <w:rPr>
          <w:rFonts w:hint="eastAsia" w:ascii="宋体" w:hAnsi="宋体" w:eastAsia="宋体" w:cs="宋体"/>
          <w:sz w:val="24"/>
          <w:szCs w:val="24"/>
          <w:highlight w:val="none"/>
        </w:rPr>
        <w:t>4.2磋商响应文件的上传</w:t>
      </w:r>
    </w:p>
    <w:p>
      <w:pPr>
        <w:spacing w:line="440" w:lineRule="exact"/>
        <w:ind w:firstLine="480"/>
        <w:rPr>
          <w:rFonts w:ascii="宋体" w:hAnsi="宋体"/>
          <w:sz w:val="24"/>
          <w:highlight w:val="none"/>
        </w:rPr>
      </w:pPr>
      <w:r>
        <w:rPr>
          <w:rFonts w:hint="eastAsia" w:ascii="宋体" w:hAnsi="宋体"/>
          <w:sz w:val="24"/>
          <w:highlight w:val="none"/>
        </w:rPr>
        <w:t>电子化磋商响应文件应在投标截止时间前成功上传至三门峡市公共资源电子化交易系统。至投标截止时间止，仍未上传成功的电子化</w:t>
      </w:r>
      <w:r>
        <w:rPr>
          <w:rFonts w:hint="eastAsia" w:ascii="宋体" w:hAnsi="宋体" w:cs="宋体"/>
          <w:sz w:val="24"/>
          <w:highlight w:val="none"/>
        </w:rPr>
        <w:t>磋商响应</w:t>
      </w:r>
      <w:r>
        <w:rPr>
          <w:rFonts w:hint="eastAsia" w:ascii="宋体" w:hAnsi="宋体"/>
          <w:sz w:val="24"/>
          <w:highlight w:val="none"/>
        </w:rPr>
        <w:t>文件将不予接收。</w:t>
      </w:r>
    </w:p>
    <w:p>
      <w:pPr>
        <w:spacing w:line="440" w:lineRule="exact"/>
        <w:ind w:firstLine="480"/>
        <w:rPr>
          <w:rFonts w:ascii="宋体" w:hAnsi="宋体"/>
          <w:sz w:val="24"/>
          <w:highlight w:val="none"/>
        </w:rPr>
      </w:pPr>
      <w:r>
        <w:rPr>
          <w:rFonts w:hint="eastAsia" w:ascii="宋体" w:hAnsi="宋体"/>
          <w:sz w:val="24"/>
          <w:highlight w:val="none"/>
        </w:rPr>
        <w:t>注：如按照电子化投标操作教材制作完成的电子化</w:t>
      </w:r>
      <w:r>
        <w:rPr>
          <w:rFonts w:hint="eastAsia" w:ascii="宋体" w:hAnsi="宋体" w:cs="宋体"/>
          <w:sz w:val="24"/>
          <w:highlight w:val="none"/>
        </w:rPr>
        <w:t>磋商响应</w:t>
      </w:r>
      <w:r>
        <w:rPr>
          <w:rFonts w:hint="eastAsia" w:ascii="宋体" w:hAnsi="宋体"/>
          <w:sz w:val="24"/>
          <w:highlight w:val="none"/>
        </w:rPr>
        <w:t>文件无法上传的，响应人应在</w:t>
      </w:r>
      <w:r>
        <w:rPr>
          <w:rFonts w:hint="eastAsia" w:ascii="宋体" w:hAnsi="宋体"/>
          <w:b/>
          <w:sz w:val="24"/>
          <w:highlight w:val="none"/>
        </w:rPr>
        <w:t>投标截止时间前尽早的</w:t>
      </w:r>
      <w:r>
        <w:rPr>
          <w:rFonts w:hint="eastAsia" w:ascii="宋体" w:hAnsi="宋体"/>
          <w:sz w:val="24"/>
          <w:highlight w:val="none"/>
        </w:rPr>
        <w:t>联系中心技术人员，以便有充分的时间进行处理。</w:t>
      </w:r>
      <w:r>
        <w:rPr>
          <w:rFonts w:hint="eastAsia" w:ascii="宋体" w:hAnsi="宋体"/>
          <w:b/>
          <w:sz w:val="24"/>
          <w:highlight w:val="none"/>
        </w:rPr>
        <w:t>响应人应充分考虑到处理技术问题和上传数据等工作所需的时间问题，电子化磋商响应文件未在投标截止时间前成功上传的，其磋商响应文件不予接收。</w:t>
      </w:r>
    </w:p>
    <w:p>
      <w:pPr>
        <w:autoSpaceDE w:val="0"/>
        <w:autoSpaceDN w:val="0"/>
        <w:adjustRightInd w:val="0"/>
        <w:spacing w:line="360" w:lineRule="auto"/>
        <w:ind w:firstLine="241" w:firstLineChars="100"/>
        <w:jc w:val="left"/>
        <w:textAlignment w:val="baseline"/>
        <w:outlineLvl w:val="2"/>
        <w:rPr>
          <w:rFonts w:ascii="宋体" w:hAnsi="宋体" w:cs="宋体"/>
          <w:b/>
          <w:kern w:val="0"/>
          <w:sz w:val="24"/>
          <w:highlight w:val="none"/>
        </w:rPr>
      </w:pPr>
      <w:r>
        <w:rPr>
          <w:rFonts w:hint="eastAsia" w:ascii="宋体" w:hAnsi="宋体" w:cs="宋体"/>
          <w:b/>
          <w:kern w:val="0"/>
          <w:sz w:val="24"/>
          <w:highlight w:val="none"/>
        </w:rPr>
        <w:t>4.3响应文件的修改与撤回</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4.3.1在规定的投标截止时间前，响应人可以修改或撤回响应文件。</w:t>
      </w:r>
    </w:p>
    <w:p>
      <w:pPr>
        <w:autoSpaceDE w:val="0"/>
        <w:autoSpaceDN w:val="0"/>
        <w:adjustRightIn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4.3.2在投标截止时间之后，响应人不得补充、修改电子化磋商响应文件。</w:t>
      </w:r>
    </w:p>
    <w:p>
      <w:pPr>
        <w:widowControl/>
        <w:spacing w:after="200" w:line="360" w:lineRule="auto"/>
        <w:jc w:val="left"/>
        <w:outlineLvl w:val="1"/>
        <w:rPr>
          <w:rFonts w:ascii="宋体" w:hAnsi="宋体" w:cs="宋体"/>
          <w:b/>
          <w:color w:val="000000"/>
          <w:kern w:val="0"/>
          <w:sz w:val="24"/>
          <w:highlight w:val="none"/>
          <w:lang w:bidi="en-US"/>
        </w:rPr>
      </w:pPr>
      <w:r>
        <w:rPr>
          <w:rFonts w:hint="eastAsia" w:ascii="宋体" w:hAnsi="宋体" w:cs="宋体"/>
          <w:b/>
          <w:color w:val="000000"/>
          <w:kern w:val="0"/>
          <w:sz w:val="24"/>
          <w:highlight w:val="none"/>
          <w:lang w:bidi="en-US"/>
        </w:rPr>
        <w:t>5．磋商</w:t>
      </w:r>
    </w:p>
    <w:p>
      <w:pPr>
        <w:spacing w:line="440" w:lineRule="exact"/>
        <w:ind w:firstLine="422" w:firstLineChars="176"/>
        <w:rPr>
          <w:rFonts w:ascii="宋体" w:hAnsi="宋体"/>
          <w:sz w:val="24"/>
          <w:highlight w:val="none"/>
        </w:rPr>
      </w:pPr>
      <w:bookmarkStart w:id="39" w:name="_Toc144974529"/>
      <w:bookmarkStart w:id="40" w:name="_Toc152042337"/>
      <w:bookmarkStart w:id="41" w:name="_Toc179632579"/>
      <w:bookmarkStart w:id="42" w:name="_Toc152045561"/>
      <w:bookmarkStart w:id="43" w:name="_Toc179632580"/>
      <w:bookmarkStart w:id="44" w:name="_Toc152042338"/>
      <w:bookmarkStart w:id="45" w:name="_Toc246996949"/>
      <w:bookmarkStart w:id="46" w:name="_Toc152045562"/>
      <w:bookmarkStart w:id="47" w:name="_Toc246996206"/>
      <w:bookmarkStart w:id="48" w:name="_Toc247085720"/>
      <w:bookmarkStart w:id="49" w:name="_Toc144974530"/>
      <w:bookmarkStart w:id="50" w:name="_Toc296602451"/>
      <w:r>
        <w:rPr>
          <w:rFonts w:hint="eastAsia" w:ascii="宋体" w:hAnsi="宋体"/>
          <w:sz w:val="24"/>
          <w:highlight w:val="none"/>
        </w:rPr>
        <w:t>5.1本项目采用电子化、无纸化进行招标，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w:t>
      </w:r>
    </w:p>
    <w:p>
      <w:pPr>
        <w:spacing w:line="440" w:lineRule="exact"/>
        <w:ind w:firstLine="422" w:firstLineChars="176"/>
        <w:rPr>
          <w:rFonts w:ascii="宋体" w:hAnsi="宋体"/>
          <w:sz w:val="24"/>
          <w:highlight w:val="none"/>
        </w:rPr>
      </w:pPr>
      <w:r>
        <w:rPr>
          <w:rFonts w:hint="eastAsia" w:ascii="宋体" w:hAnsi="宋体"/>
          <w:sz w:val="24"/>
          <w:highlight w:val="none"/>
        </w:rPr>
        <w:t>5.2电子化磋商响应文件采用一次加密方式。开标时，由响应人使用CA证书，在规定时间内对其电子化</w:t>
      </w:r>
      <w:r>
        <w:rPr>
          <w:rFonts w:hint="eastAsia" w:ascii="宋体" w:hAnsi="宋体" w:cs="宋体"/>
          <w:sz w:val="24"/>
          <w:highlight w:val="none"/>
        </w:rPr>
        <w:t>磋商响应</w:t>
      </w:r>
      <w:r>
        <w:rPr>
          <w:rFonts w:hint="eastAsia" w:ascii="宋体" w:hAnsi="宋体"/>
          <w:sz w:val="24"/>
          <w:highlight w:val="none"/>
        </w:rPr>
        <w:t>文件进行解密。每位响应人的解密时间为开标时间起30分钟内，如在规定时间内未完成解密的，其</w:t>
      </w:r>
      <w:r>
        <w:rPr>
          <w:rFonts w:hint="eastAsia" w:ascii="宋体" w:hAnsi="宋体" w:cs="宋体"/>
          <w:sz w:val="24"/>
          <w:highlight w:val="none"/>
        </w:rPr>
        <w:t>磋商响应</w:t>
      </w:r>
      <w:r>
        <w:rPr>
          <w:rFonts w:hint="eastAsia" w:ascii="宋体" w:hAnsi="宋体"/>
          <w:sz w:val="24"/>
          <w:highlight w:val="none"/>
        </w:rPr>
        <w:t>文件不予开标、唱标。每位响应人的解密时间为开标时间起30分钟内完成。</w:t>
      </w:r>
    </w:p>
    <w:p>
      <w:pPr>
        <w:spacing w:line="440" w:lineRule="exact"/>
        <w:ind w:firstLine="241" w:firstLineChars="100"/>
        <w:rPr>
          <w:rFonts w:ascii="宋体" w:hAnsi="宋体"/>
          <w:b/>
          <w:sz w:val="24"/>
          <w:highlight w:val="none"/>
        </w:rPr>
      </w:pPr>
      <w:r>
        <w:rPr>
          <w:rFonts w:hint="eastAsia" w:ascii="宋体" w:hAnsi="宋体"/>
          <w:b/>
          <w:sz w:val="24"/>
          <w:highlight w:val="none"/>
        </w:rPr>
        <w:t>5.3电子化磋商响应文件解密异常的处理</w:t>
      </w:r>
    </w:p>
    <w:p>
      <w:pPr>
        <w:spacing w:line="440" w:lineRule="exact"/>
        <w:ind w:firstLine="422" w:firstLineChars="176"/>
        <w:rPr>
          <w:rFonts w:ascii="宋体" w:hAnsi="宋体"/>
          <w:sz w:val="24"/>
          <w:highlight w:val="none"/>
        </w:rPr>
      </w:pPr>
      <w:r>
        <w:rPr>
          <w:rFonts w:hint="eastAsia" w:ascii="宋体" w:hAnsi="宋体"/>
          <w:sz w:val="24"/>
          <w:highlight w:val="none"/>
        </w:rPr>
        <w:t>如出现响应人的电子磋商响应文件无法解密等异常情况，响应人应及时致电中介服务机构说明。磋商响应文件异常，按以下步骤进行处理：</w:t>
      </w:r>
    </w:p>
    <w:p>
      <w:pPr>
        <w:spacing w:line="440" w:lineRule="exact"/>
        <w:ind w:firstLine="422" w:firstLineChars="176"/>
        <w:rPr>
          <w:rFonts w:ascii="宋体" w:hAnsi="宋体"/>
          <w:sz w:val="24"/>
          <w:highlight w:val="none"/>
        </w:rPr>
      </w:pPr>
      <w:r>
        <w:rPr>
          <w:rFonts w:hint="eastAsia" w:ascii="宋体" w:hAnsi="宋体"/>
          <w:sz w:val="24"/>
          <w:highlight w:val="none"/>
        </w:rPr>
        <w:t>（1）首先由技术人员进行问题排查。</w:t>
      </w:r>
    </w:p>
    <w:p>
      <w:pPr>
        <w:spacing w:line="440" w:lineRule="exact"/>
        <w:ind w:firstLine="422" w:firstLineChars="176"/>
        <w:rPr>
          <w:rFonts w:ascii="宋体" w:hAnsi="宋体"/>
          <w:sz w:val="24"/>
          <w:highlight w:val="none"/>
        </w:rPr>
      </w:pPr>
      <w:r>
        <w:rPr>
          <w:rFonts w:hint="eastAsia" w:ascii="宋体" w:hAnsi="宋体"/>
          <w:sz w:val="24"/>
          <w:highlight w:val="none"/>
        </w:rPr>
        <w:t>（2）经技术人员排查后，是响应人文件自身问题导致磋商响应文件无法解密的，该磋商响应文件将不予接收、解密和唱标。开标会议继续进行。</w:t>
      </w:r>
    </w:p>
    <w:p>
      <w:pPr>
        <w:spacing w:line="440" w:lineRule="exact"/>
        <w:ind w:firstLine="422" w:firstLineChars="176"/>
        <w:rPr>
          <w:rFonts w:ascii="宋体" w:hAnsi="宋体"/>
          <w:sz w:val="24"/>
          <w:highlight w:val="none"/>
        </w:rPr>
      </w:pPr>
      <w:r>
        <w:rPr>
          <w:rFonts w:hint="eastAsia" w:ascii="宋体" w:hAnsi="宋体"/>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bookmarkEnd w:id="39"/>
      <w:bookmarkEnd w:id="40"/>
      <w:bookmarkEnd w:id="41"/>
      <w:bookmarkEnd w:id="42"/>
    </w:p>
    <w:bookmarkEnd w:id="43"/>
    <w:bookmarkEnd w:id="44"/>
    <w:bookmarkEnd w:id="45"/>
    <w:bookmarkEnd w:id="46"/>
    <w:bookmarkEnd w:id="47"/>
    <w:bookmarkEnd w:id="48"/>
    <w:bookmarkEnd w:id="49"/>
    <w:bookmarkEnd w:id="50"/>
    <w:p>
      <w:pPr>
        <w:spacing w:line="440" w:lineRule="exact"/>
        <w:ind w:firstLine="241" w:firstLineChars="100"/>
        <w:rPr>
          <w:rFonts w:ascii="宋体" w:hAnsi="宋体"/>
          <w:b/>
          <w:sz w:val="24"/>
          <w:highlight w:val="none"/>
        </w:rPr>
      </w:pPr>
      <w:bookmarkStart w:id="51" w:name="_Toc152045563"/>
      <w:bookmarkStart w:id="52" w:name="_Toc246996950"/>
      <w:bookmarkStart w:id="53" w:name="_Toc179632581"/>
      <w:bookmarkStart w:id="54" w:name="_Toc144974531"/>
      <w:bookmarkStart w:id="55" w:name="_Toc296602452"/>
      <w:bookmarkStart w:id="56" w:name="_Toc246996207"/>
      <w:bookmarkStart w:id="57" w:name="_Toc152042339"/>
      <w:bookmarkStart w:id="58" w:name="_Toc247085721"/>
      <w:r>
        <w:rPr>
          <w:rFonts w:hint="eastAsia" w:ascii="宋体" w:hAnsi="宋体"/>
          <w:b/>
          <w:sz w:val="24"/>
          <w:highlight w:val="none"/>
        </w:rPr>
        <w:t>5.4磋商小组</w:t>
      </w:r>
      <w:bookmarkEnd w:id="51"/>
      <w:bookmarkEnd w:id="52"/>
      <w:bookmarkEnd w:id="53"/>
      <w:bookmarkEnd w:id="54"/>
      <w:bookmarkEnd w:id="55"/>
      <w:bookmarkEnd w:id="56"/>
      <w:bookmarkEnd w:id="57"/>
      <w:bookmarkEnd w:id="58"/>
    </w:p>
    <w:p>
      <w:pPr>
        <w:spacing w:line="440" w:lineRule="exact"/>
        <w:ind w:firstLine="480" w:firstLineChars="200"/>
        <w:rPr>
          <w:rFonts w:ascii="宋体" w:hAnsi="宋体" w:cs="宋体"/>
          <w:sz w:val="24"/>
          <w:highlight w:val="none"/>
        </w:rPr>
      </w:pPr>
      <w:r>
        <w:rPr>
          <w:rFonts w:hint="eastAsia" w:ascii="宋体" w:hAnsi="宋体" w:cs="宋体"/>
          <w:sz w:val="24"/>
          <w:highlight w:val="none"/>
        </w:rPr>
        <w:t>5.4.1按照国家相关规定组建，磋商小组由采购人代表及有关技术、经济等方面的专家组成，成员为3人。其中：采购人代表1人，技术和经济方面专家各1人（技术和经济方面专家从专家库抽取）</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5.4.2磋商小组对所有响应人的磋商响应文件进行评审，按评审后得分由高到低顺序排列，递交给采购人。</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5.4.4磋商小组成员有下列情形之一的，应当回避：</w:t>
      </w:r>
    </w:p>
    <w:p>
      <w:pPr>
        <w:spacing w:line="440" w:lineRule="exact"/>
        <w:ind w:firstLine="410" w:firstLineChars="171"/>
        <w:rPr>
          <w:rFonts w:ascii="宋体" w:hAnsi="宋体" w:cs="宋体"/>
          <w:sz w:val="24"/>
          <w:highlight w:val="none"/>
        </w:rPr>
      </w:pPr>
      <w:r>
        <w:rPr>
          <w:rFonts w:hint="eastAsia" w:ascii="宋体" w:hAnsi="宋体" w:cs="宋体"/>
          <w:sz w:val="24"/>
          <w:highlight w:val="none"/>
        </w:rPr>
        <w:t>（1）响应人或响应人主要负责人的近亲属；</w:t>
      </w:r>
    </w:p>
    <w:p>
      <w:pPr>
        <w:spacing w:line="440" w:lineRule="exact"/>
        <w:ind w:firstLine="410" w:firstLineChars="171"/>
        <w:rPr>
          <w:rFonts w:ascii="宋体" w:hAnsi="宋体" w:cs="宋体"/>
          <w:sz w:val="24"/>
          <w:highlight w:val="none"/>
        </w:rPr>
      </w:pPr>
      <w:r>
        <w:rPr>
          <w:rFonts w:hint="eastAsia" w:ascii="宋体" w:hAnsi="宋体" w:cs="宋体"/>
          <w:sz w:val="24"/>
          <w:highlight w:val="none"/>
        </w:rPr>
        <w:t>（2）项目主管部门或者行政监督部门的人员；</w:t>
      </w:r>
    </w:p>
    <w:p>
      <w:pPr>
        <w:spacing w:line="440" w:lineRule="exact"/>
        <w:ind w:firstLine="410" w:firstLineChars="171"/>
        <w:rPr>
          <w:rFonts w:ascii="宋体" w:hAnsi="宋体" w:cs="宋体"/>
          <w:sz w:val="24"/>
          <w:highlight w:val="none"/>
        </w:rPr>
      </w:pPr>
      <w:r>
        <w:rPr>
          <w:rFonts w:hint="eastAsia" w:ascii="宋体" w:hAnsi="宋体" w:cs="宋体"/>
          <w:sz w:val="24"/>
          <w:highlight w:val="none"/>
        </w:rPr>
        <w:t>（3）与响应人有经济利益关系；</w:t>
      </w:r>
    </w:p>
    <w:p>
      <w:pPr>
        <w:spacing w:line="440" w:lineRule="exact"/>
        <w:ind w:firstLine="410" w:firstLineChars="171"/>
        <w:rPr>
          <w:rFonts w:ascii="宋体" w:hAnsi="宋体" w:cs="宋体"/>
          <w:sz w:val="24"/>
          <w:highlight w:val="none"/>
        </w:rPr>
      </w:pPr>
      <w:r>
        <w:rPr>
          <w:rFonts w:hint="eastAsia" w:ascii="宋体" w:hAnsi="宋体" w:cs="宋体"/>
          <w:sz w:val="24"/>
          <w:highlight w:val="none"/>
        </w:rPr>
        <w:t>（4）曾因在招标、评标以及其他与招标投标有关活动中从事违法行为而受过行政处罚或刑事处罚的；</w:t>
      </w:r>
    </w:p>
    <w:p>
      <w:pPr>
        <w:spacing w:line="440" w:lineRule="exact"/>
        <w:ind w:firstLine="410" w:firstLineChars="171"/>
        <w:rPr>
          <w:rFonts w:ascii="宋体" w:hAnsi="宋体" w:cs="宋体"/>
          <w:sz w:val="24"/>
          <w:highlight w:val="none"/>
        </w:rPr>
      </w:pPr>
      <w:r>
        <w:rPr>
          <w:rFonts w:hint="eastAsia" w:ascii="宋体" w:hAnsi="宋体" w:cs="宋体"/>
          <w:sz w:val="24"/>
          <w:highlight w:val="none"/>
        </w:rPr>
        <w:t>（5）与响应人有其他利害关系。</w:t>
      </w:r>
    </w:p>
    <w:p>
      <w:pPr>
        <w:spacing w:line="440" w:lineRule="exact"/>
        <w:ind w:firstLine="241" w:firstLineChars="100"/>
        <w:rPr>
          <w:rFonts w:ascii="宋体" w:hAnsi="宋体" w:cs="宋体"/>
          <w:b/>
          <w:bCs/>
          <w:sz w:val="24"/>
          <w:highlight w:val="none"/>
        </w:rPr>
      </w:pPr>
      <w:bookmarkStart w:id="59" w:name="_Toc179632582"/>
      <w:bookmarkStart w:id="60" w:name="_Toc246996951"/>
      <w:bookmarkStart w:id="61" w:name="_Toc247085722"/>
      <w:bookmarkStart w:id="62" w:name="_Toc246996208"/>
      <w:bookmarkStart w:id="63" w:name="_Toc152042340"/>
      <w:bookmarkStart w:id="64" w:name="_Toc296602453"/>
      <w:bookmarkStart w:id="65" w:name="_Toc144974532"/>
      <w:bookmarkStart w:id="66" w:name="_Toc152045564"/>
      <w:r>
        <w:rPr>
          <w:rFonts w:hint="eastAsia" w:ascii="宋体" w:hAnsi="宋体" w:cs="宋体"/>
          <w:b/>
          <w:bCs/>
          <w:sz w:val="24"/>
          <w:highlight w:val="none"/>
        </w:rPr>
        <w:t>5.5磋商原则和方法</w:t>
      </w:r>
    </w:p>
    <w:p>
      <w:pPr>
        <w:spacing w:line="440" w:lineRule="exact"/>
        <w:ind w:firstLine="410" w:firstLineChars="171"/>
        <w:rPr>
          <w:rFonts w:ascii="宋体" w:hAnsi="宋体" w:cs="宋体"/>
          <w:sz w:val="24"/>
          <w:highlight w:val="none"/>
        </w:rPr>
      </w:pPr>
      <w:r>
        <w:rPr>
          <w:rFonts w:hint="eastAsia" w:ascii="宋体" w:hAnsi="宋体" w:cs="宋体"/>
          <w:sz w:val="24"/>
          <w:highlight w:val="none"/>
        </w:rPr>
        <w:t>5.5.1坚持公开、公平、公正的原则。</w:t>
      </w:r>
    </w:p>
    <w:p>
      <w:pPr>
        <w:spacing w:line="440" w:lineRule="exact"/>
        <w:ind w:firstLine="410" w:firstLineChars="171"/>
        <w:rPr>
          <w:rFonts w:ascii="宋体" w:hAnsi="宋体" w:cs="宋体"/>
          <w:sz w:val="24"/>
          <w:highlight w:val="none"/>
        </w:rPr>
      </w:pPr>
      <w:r>
        <w:rPr>
          <w:rFonts w:hint="eastAsia" w:ascii="宋体" w:hAnsi="宋体" w:cs="宋体"/>
          <w:sz w:val="24"/>
          <w:highlight w:val="none"/>
        </w:rPr>
        <w:t>5.5.2磋商在磋商小组应当集中与单一响应人分别进行磋商，磋商小组将遵照磋商原则，公正、平等地对待所有响应人。</w:t>
      </w:r>
    </w:p>
    <w:p>
      <w:pPr>
        <w:spacing w:line="440" w:lineRule="exact"/>
        <w:ind w:firstLine="410" w:firstLineChars="171"/>
        <w:rPr>
          <w:rFonts w:ascii="宋体" w:hAnsi="宋体" w:cs="宋体"/>
          <w:sz w:val="24"/>
          <w:highlight w:val="none"/>
        </w:rPr>
      </w:pPr>
      <w:r>
        <w:rPr>
          <w:rFonts w:hint="eastAsia" w:ascii="宋体" w:hAnsi="宋体" w:cs="宋体"/>
          <w:sz w:val="24"/>
          <w:highlight w:val="none"/>
        </w:rPr>
        <w:t>5.5.3评审方法</w:t>
      </w:r>
    </w:p>
    <w:p>
      <w:pPr>
        <w:spacing w:line="440" w:lineRule="exact"/>
        <w:ind w:firstLine="410" w:firstLineChars="171"/>
        <w:rPr>
          <w:rFonts w:ascii="宋体" w:hAnsi="宋体" w:cs="宋体"/>
          <w:sz w:val="24"/>
          <w:highlight w:val="none"/>
        </w:rPr>
      </w:pPr>
      <w:r>
        <w:rPr>
          <w:rFonts w:hint="eastAsia" w:ascii="宋体" w:hAnsi="宋体" w:cs="宋体"/>
          <w:sz w:val="24"/>
          <w:highlight w:val="none"/>
        </w:rPr>
        <w:t>（1）初步评审（是否响应竞争性磋商文件的要求），确定合格的响应人。</w:t>
      </w:r>
    </w:p>
    <w:p>
      <w:pPr>
        <w:spacing w:line="440" w:lineRule="exact"/>
        <w:ind w:firstLine="410" w:firstLineChars="171"/>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）各响应人依据各自情况进行最后报价。</w:t>
      </w:r>
    </w:p>
    <w:p>
      <w:pPr>
        <w:spacing w:line="440" w:lineRule="exact"/>
        <w:ind w:firstLine="410" w:firstLineChars="171"/>
        <w:rPr>
          <w:rFonts w:ascii="宋体" w:hAnsi="宋体" w:cs="宋体"/>
          <w:b/>
          <w:bCs/>
          <w:kern w:val="28"/>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）磋商小组采用综合评分法对提交最后报价的响应人的响应文件和最后报价进行综合评分。</w:t>
      </w:r>
    </w:p>
    <w:p>
      <w:pPr>
        <w:spacing w:line="440" w:lineRule="exact"/>
        <w:ind w:firstLine="241" w:firstLineChars="100"/>
        <w:rPr>
          <w:rFonts w:ascii="宋体" w:hAnsi="宋体" w:cs="宋体"/>
          <w:b/>
          <w:bCs/>
          <w:kern w:val="28"/>
          <w:sz w:val="24"/>
          <w:highlight w:val="none"/>
        </w:rPr>
      </w:pPr>
      <w:r>
        <w:rPr>
          <w:rFonts w:hint="eastAsia" w:ascii="宋体" w:hAnsi="宋体" w:cs="宋体"/>
          <w:b/>
          <w:bCs/>
          <w:kern w:val="28"/>
          <w:sz w:val="24"/>
          <w:highlight w:val="none"/>
        </w:rPr>
        <w:t>5.6对响应人的评价</w:t>
      </w:r>
    </w:p>
    <w:p>
      <w:pPr>
        <w:spacing w:line="440" w:lineRule="exact"/>
        <w:ind w:firstLine="410" w:firstLineChars="171"/>
        <w:rPr>
          <w:rFonts w:ascii="宋体" w:hAnsi="宋体" w:cs="宋体"/>
          <w:sz w:val="24"/>
          <w:highlight w:val="none"/>
        </w:rPr>
      </w:pPr>
      <w:r>
        <w:rPr>
          <w:rFonts w:hint="eastAsia" w:ascii="宋体" w:hAnsi="宋体" w:cs="宋体"/>
          <w:sz w:val="24"/>
          <w:highlight w:val="none"/>
        </w:rPr>
        <w:t>5.6.1磋商小组只对已判定为实质性响应且通过初步审查的磋商响应文件进行详细评价和比较。</w:t>
      </w:r>
    </w:p>
    <w:p>
      <w:pPr>
        <w:spacing w:line="440" w:lineRule="exact"/>
        <w:ind w:firstLine="410" w:firstLineChars="171"/>
        <w:rPr>
          <w:rFonts w:ascii="宋体" w:hAnsi="宋体" w:cs="宋体"/>
          <w:sz w:val="24"/>
          <w:highlight w:val="none"/>
        </w:rPr>
      </w:pPr>
      <w:r>
        <w:rPr>
          <w:rFonts w:hint="eastAsia" w:ascii="宋体" w:hAnsi="宋体" w:cs="宋体"/>
          <w:sz w:val="24"/>
          <w:highlight w:val="none"/>
        </w:rPr>
        <w:t>5.6.2磋商小组所有成员应当集中与单一响应人分别进行磋商，并给予所有参加磋商的响应人平等的磋商机会。磋商完成后，要求其在规定时间内提交最后报价，提交最后报价的响应人可以为两家。</w:t>
      </w:r>
    </w:p>
    <w:p>
      <w:pPr>
        <w:spacing w:line="440" w:lineRule="exact"/>
        <w:ind w:firstLine="410" w:firstLineChars="171"/>
        <w:rPr>
          <w:rFonts w:ascii="宋体" w:hAnsi="宋体" w:cs="宋体"/>
          <w:sz w:val="24"/>
          <w:highlight w:val="none"/>
        </w:rPr>
      </w:pPr>
      <w:r>
        <w:rPr>
          <w:rFonts w:hint="eastAsia" w:ascii="宋体" w:hAnsi="宋体" w:cs="宋体"/>
          <w:sz w:val="24"/>
          <w:highlight w:val="none"/>
        </w:rPr>
        <w:t>5.6.3经磋商确定最终项目需求和提交最后报价的响应人后，磋商小组采用综合评分法对提交最后报价的响应人的磋商响应文件和最后报价进行综合评分。</w:t>
      </w:r>
    </w:p>
    <w:p>
      <w:pPr>
        <w:spacing w:line="440" w:lineRule="exact"/>
        <w:ind w:firstLine="410" w:firstLineChars="171"/>
        <w:rPr>
          <w:rFonts w:ascii="宋体" w:hAnsi="宋体" w:cs="宋体"/>
          <w:sz w:val="24"/>
          <w:highlight w:val="none"/>
        </w:rPr>
      </w:pPr>
      <w:r>
        <w:rPr>
          <w:rFonts w:hint="eastAsia" w:ascii="宋体" w:hAnsi="宋体" w:cs="宋体"/>
          <w:sz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autoSpaceDE w:val="0"/>
        <w:autoSpaceDN w:val="0"/>
        <w:adjustRightInd w:val="0"/>
        <w:spacing w:line="440" w:lineRule="exact"/>
        <w:ind w:firstLine="420"/>
        <w:jc w:val="left"/>
        <w:rPr>
          <w:rFonts w:ascii="宋体" w:hAnsi="宋体" w:cs="宋体"/>
          <w:sz w:val="24"/>
          <w:highlight w:val="none"/>
        </w:rPr>
      </w:pPr>
      <w:r>
        <w:rPr>
          <w:rFonts w:hint="eastAsia" w:ascii="宋体" w:hAnsi="宋体" w:cs="宋体"/>
          <w:sz w:val="24"/>
          <w:highlight w:val="none"/>
        </w:rPr>
        <w:t>5.6.5如果第一名响应人放弃成交资格或因不可抗力提出不能履行合同、竞争性磋商文件规定应当提交履约担保而在规定的期限内未能提交的</w:t>
      </w:r>
      <w:bookmarkEnd w:id="59"/>
      <w:bookmarkEnd w:id="60"/>
      <w:bookmarkEnd w:id="61"/>
      <w:bookmarkEnd w:id="62"/>
      <w:bookmarkEnd w:id="63"/>
      <w:bookmarkEnd w:id="64"/>
      <w:bookmarkEnd w:id="65"/>
      <w:bookmarkEnd w:id="66"/>
      <w:bookmarkStart w:id="67" w:name="_Toc152045566"/>
      <w:bookmarkStart w:id="68" w:name="_Toc179632584"/>
      <w:bookmarkStart w:id="69" w:name="_Toc247085724"/>
      <w:bookmarkStart w:id="70" w:name="_Toc246996953"/>
      <w:bookmarkStart w:id="71" w:name="_Toc152042342"/>
      <w:bookmarkStart w:id="72" w:name="_Toc246996210"/>
      <w:bookmarkStart w:id="73" w:name="_Toc144974534"/>
      <w:bookmarkStart w:id="74" w:name="_Toc296602455"/>
      <w:r>
        <w:rPr>
          <w:rFonts w:hint="eastAsia" w:ascii="宋体" w:hAnsi="宋体" w:cs="宋体"/>
          <w:sz w:val="24"/>
          <w:highlight w:val="none"/>
        </w:rPr>
        <w:t>，采购人可以按照评审报告推荐的成交候选人名单，确定下一成交候选人为成交人，也可以重新开展采购活动。</w:t>
      </w:r>
    </w:p>
    <w:p>
      <w:pPr>
        <w:spacing w:line="440" w:lineRule="exact"/>
        <w:ind w:firstLine="412" w:firstLineChars="171"/>
        <w:rPr>
          <w:rFonts w:ascii="宋体" w:hAnsi="宋体" w:cs="宋体"/>
          <w:b/>
          <w:bCs/>
          <w:sz w:val="24"/>
          <w:highlight w:val="none"/>
        </w:rPr>
      </w:pPr>
      <w:r>
        <w:rPr>
          <w:rFonts w:hint="eastAsia" w:ascii="宋体" w:hAnsi="宋体" w:cs="宋体"/>
          <w:b/>
          <w:bCs/>
          <w:sz w:val="24"/>
          <w:highlight w:val="none"/>
        </w:rPr>
        <w:t>5.7确定成交人</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磋商小组根据综合评分情况，按评审得分由高到低的顺序确定1-3名成交候选人，并编写评审报告。评审得分相同的，按照最后报价由低到高的顺序推荐。评审得分相同且最后报价相同的，按照技术优劣顺序推荐。</w:t>
      </w:r>
    </w:p>
    <w:p>
      <w:pPr>
        <w:spacing w:line="440" w:lineRule="exact"/>
        <w:ind w:firstLine="241" w:firstLineChars="100"/>
        <w:rPr>
          <w:rFonts w:ascii="宋体" w:hAnsi="宋体"/>
          <w:b/>
          <w:sz w:val="24"/>
          <w:highlight w:val="none"/>
        </w:rPr>
      </w:pPr>
      <w:r>
        <w:rPr>
          <w:rFonts w:hint="eastAsia" w:ascii="宋体" w:hAnsi="宋体"/>
          <w:b/>
          <w:sz w:val="24"/>
          <w:highlight w:val="none"/>
        </w:rPr>
        <w:t>6.合同授予</w:t>
      </w:r>
      <w:bookmarkEnd w:id="67"/>
      <w:bookmarkEnd w:id="68"/>
      <w:bookmarkEnd w:id="69"/>
      <w:bookmarkEnd w:id="70"/>
      <w:bookmarkEnd w:id="71"/>
      <w:bookmarkEnd w:id="72"/>
      <w:bookmarkEnd w:id="73"/>
      <w:bookmarkEnd w:id="74"/>
    </w:p>
    <w:p>
      <w:pPr>
        <w:spacing w:line="440" w:lineRule="exact"/>
        <w:ind w:firstLine="241" w:firstLineChars="100"/>
        <w:rPr>
          <w:rFonts w:ascii="宋体" w:hAnsi="宋体"/>
          <w:b/>
          <w:sz w:val="24"/>
          <w:highlight w:val="none"/>
        </w:rPr>
      </w:pPr>
      <w:bookmarkStart w:id="75" w:name="_Toc152045567"/>
      <w:bookmarkStart w:id="76" w:name="_Toc144974535"/>
      <w:bookmarkStart w:id="77" w:name="_Toc246996211"/>
      <w:bookmarkStart w:id="78" w:name="_Toc179632585"/>
      <w:bookmarkStart w:id="79" w:name="_Toc152042343"/>
      <w:bookmarkStart w:id="80" w:name="_Toc247085725"/>
      <w:bookmarkStart w:id="81" w:name="_Toc246996954"/>
      <w:bookmarkStart w:id="82" w:name="_Toc296602456"/>
      <w:r>
        <w:rPr>
          <w:rFonts w:hint="eastAsia" w:ascii="宋体" w:hAnsi="宋体"/>
          <w:b/>
          <w:sz w:val="24"/>
          <w:highlight w:val="none"/>
        </w:rPr>
        <w:t>6.1定标方式</w:t>
      </w:r>
      <w:bookmarkEnd w:id="75"/>
      <w:bookmarkEnd w:id="76"/>
      <w:bookmarkEnd w:id="77"/>
      <w:bookmarkEnd w:id="78"/>
      <w:bookmarkEnd w:id="79"/>
      <w:bookmarkEnd w:id="80"/>
      <w:bookmarkEnd w:id="81"/>
      <w:bookmarkEnd w:id="82"/>
    </w:p>
    <w:p>
      <w:pPr>
        <w:spacing w:line="440" w:lineRule="exact"/>
        <w:ind w:firstLine="480" w:firstLineChars="200"/>
        <w:rPr>
          <w:rFonts w:ascii="宋体" w:hAnsi="宋体" w:cs="宋体"/>
          <w:sz w:val="24"/>
          <w:highlight w:val="none"/>
        </w:rPr>
      </w:pPr>
      <w:r>
        <w:rPr>
          <w:rFonts w:hint="eastAsia" w:ascii="宋体" w:hAnsi="宋体" w:cs="宋体"/>
          <w:sz w:val="24"/>
          <w:highlight w:val="none"/>
        </w:rPr>
        <w:t>采购人依据磋商小组推荐的成交候选人确定成交人。</w:t>
      </w:r>
    </w:p>
    <w:p>
      <w:pPr>
        <w:spacing w:line="440" w:lineRule="exact"/>
        <w:ind w:firstLine="241" w:firstLineChars="100"/>
        <w:rPr>
          <w:rFonts w:ascii="宋体" w:hAnsi="宋体"/>
          <w:b/>
          <w:sz w:val="24"/>
          <w:highlight w:val="none"/>
        </w:rPr>
      </w:pPr>
      <w:bookmarkStart w:id="83" w:name="_Toc296602457"/>
      <w:r>
        <w:rPr>
          <w:rFonts w:hint="eastAsia" w:ascii="宋体" w:hAnsi="宋体"/>
          <w:b/>
          <w:sz w:val="24"/>
          <w:highlight w:val="none"/>
        </w:rPr>
        <w:t>6.2成交候选人公示</w:t>
      </w:r>
      <w:bookmarkEnd w:id="83"/>
    </w:p>
    <w:p>
      <w:pPr>
        <w:spacing w:line="440" w:lineRule="exact"/>
        <w:ind w:firstLine="480" w:firstLineChars="200"/>
        <w:rPr>
          <w:rFonts w:ascii="宋体" w:hAnsi="宋体" w:cs="宋体"/>
          <w:sz w:val="24"/>
          <w:highlight w:val="none"/>
        </w:rPr>
      </w:pPr>
      <w:r>
        <w:rPr>
          <w:rFonts w:hint="eastAsia" w:ascii="宋体" w:hAnsi="宋体" w:cs="宋体"/>
          <w:sz w:val="24"/>
          <w:highlight w:val="none"/>
        </w:rPr>
        <w:t>成交候选人公示同时在《三门峡市公共资源交易中心》、《河南省政府采购网》、《中国采购与招标网》上发布。</w:t>
      </w:r>
    </w:p>
    <w:p>
      <w:pPr>
        <w:spacing w:line="440" w:lineRule="exact"/>
        <w:ind w:firstLine="241" w:firstLineChars="100"/>
        <w:rPr>
          <w:rFonts w:ascii="宋体" w:hAnsi="宋体"/>
          <w:b/>
          <w:sz w:val="24"/>
          <w:highlight w:val="none"/>
        </w:rPr>
      </w:pPr>
      <w:bookmarkStart w:id="84" w:name="_Toc296602458"/>
      <w:bookmarkStart w:id="85" w:name="_Toc247085726"/>
      <w:bookmarkStart w:id="86" w:name="_Toc179632586"/>
      <w:bookmarkStart w:id="87" w:name="_Toc152045568"/>
      <w:bookmarkStart w:id="88" w:name="_Toc152042344"/>
      <w:bookmarkStart w:id="89" w:name="_Toc144974536"/>
      <w:bookmarkStart w:id="90" w:name="_Toc246996955"/>
      <w:bookmarkStart w:id="91" w:name="_Toc246996212"/>
      <w:r>
        <w:rPr>
          <w:rFonts w:hint="eastAsia" w:ascii="宋体" w:hAnsi="宋体"/>
          <w:b/>
          <w:sz w:val="24"/>
          <w:highlight w:val="none"/>
        </w:rPr>
        <w:t>6.3成交通知</w:t>
      </w:r>
      <w:bookmarkEnd w:id="84"/>
      <w:bookmarkEnd w:id="85"/>
      <w:bookmarkEnd w:id="86"/>
      <w:bookmarkEnd w:id="87"/>
      <w:bookmarkEnd w:id="88"/>
      <w:bookmarkEnd w:id="89"/>
      <w:bookmarkEnd w:id="90"/>
      <w:bookmarkEnd w:id="91"/>
    </w:p>
    <w:p>
      <w:pPr>
        <w:spacing w:line="440" w:lineRule="exact"/>
        <w:ind w:firstLine="410" w:firstLineChars="171"/>
        <w:rPr>
          <w:rFonts w:ascii="宋体" w:hAnsi="宋体" w:cs="宋体"/>
          <w:sz w:val="24"/>
          <w:highlight w:val="none"/>
        </w:rPr>
      </w:pPr>
      <w:r>
        <w:rPr>
          <w:rFonts w:hint="eastAsia" w:ascii="宋体" w:hAnsi="宋体" w:cs="宋体"/>
          <w:sz w:val="24"/>
          <w:highlight w:val="none"/>
        </w:rPr>
        <w:t>在本章第3.3款规定的投标有效期内，采购人以书面形式向成交人发出成交通知书，同时将成交结果通知未成交的响应人。</w:t>
      </w:r>
    </w:p>
    <w:p>
      <w:pPr>
        <w:spacing w:line="440" w:lineRule="exact"/>
        <w:ind w:firstLine="241" w:firstLineChars="100"/>
        <w:rPr>
          <w:rFonts w:ascii="宋体" w:hAnsi="宋体"/>
          <w:b/>
          <w:sz w:val="24"/>
          <w:highlight w:val="none"/>
        </w:rPr>
      </w:pPr>
      <w:bookmarkStart w:id="92" w:name="_Toc179632587"/>
      <w:bookmarkStart w:id="93" w:name="_Toc247085727"/>
      <w:bookmarkStart w:id="94" w:name="_Toc152045569"/>
      <w:bookmarkStart w:id="95" w:name="_Toc296602459"/>
      <w:bookmarkStart w:id="96" w:name="_Toc152042345"/>
      <w:bookmarkStart w:id="97" w:name="_Toc246996213"/>
      <w:bookmarkStart w:id="98" w:name="_Toc144974537"/>
      <w:bookmarkStart w:id="99" w:name="_Toc246996956"/>
      <w:r>
        <w:rPr>
          <w:rFonts w:hint="eastAsia" w:ascii="宋体" w:hAnsi="宋体"/>
          <w:b/>
          <w:sz w:val="24"/>
          <w:highlight w:val="none"/>
        </w:rPr>
        <w:t>6.4履约、支付担保</w:t>
      </w:r>
      <w:bookmarkEnd w:id="92"/>
      <w:bookmarkEnd w:id="93"/>
      <w:bookmarkEnd w:id="94"/>
      <w:bookmarkEnd w:id="95"/>
      <w:bookmarkEnd w:id="96"/>
      <w:bookmarkEnd w:id="97"/>
      <w:bookmarkEnd w:id="98"/>
      <w:bookmarkEnd w:id="99"/>
    </w:p>
    <w:p>
      <w:pPr>
        <w:spacing w:line="440" w:lineRule="exact"/>
        <w:ind w:firstLine="480" w:firstLineChars="200"/>
        <w:rPr>
          <w:rFonts w:ascii="宋体" w:hAnsi="宋体" w:cs="宋体"/>
          <w:sz w:val="24"/>
          <w:highlight w:val="none"/>
        </w:rPr>
      </w:pPr>
      <w:r>
        <w:rPr>
          <w:rFonts w:hint="eastAsia" w:ascii="宋体" w:hAnsi="宋体" w:cs="宋体"/>
          <w:sz w:val="24"/>
          <w:highlight w:val="none"/>
        </w:rPr>
        <w:t>6.4.1履约担保金额：见响应人须知前附表，与前附表一致。</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6.4.2采购人支付担保的提交与释放程序：见响应人须知前附表，与前附表一致。</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6.4.3成交人不能按响应人须知前附表要求提交履约担保的，视为放弃成交，给采购人造成的损失应当予以赔偿。</w:t>
      </w:r>
    </w:p>
    <w:p>
      <w:pPr>
        <w:spacing w:line="440" w:lineRule="exact"/>
        <w:ind w:firstLine="241" w:firstLineChars="100"/>
        <w:rPr>
          <w:rFonts w:ascii="宋体" w:hAnsi="宋体"/>
          <w:b/>
          <w:sz w:val="24"/>
          <w:highlight w:val="none"/>
        </w:rPr>
      </w:pPr>
      <w:bookmarkStart w:id="100" w:name="_Toc152042346"/>
      <w:bookmarkStart w:id="101" w:name="_Toc152045570"/>
      <w:bookmarkStart w:id="102" w:name="_Toc179632588"/>
      <w:bookmarkStart w:id="103" w:name="_Toc246996214"/>
      <w:bookmarkStart w:id="104" w:name="_Toc296602460"/>
      <w:bookmarkStart w:id="105" w:name="_Toc247085728"/>
      <w:bookmarkStart w:id="106" w:name="_Toc144974538"/>
      <w:bookmarkStart w:id="107" w:name="_Toc246996957"/>
      <w:r>
        <w:rPr>
          <w:rFonts w:hint="eastAsia" w:ascii="宋体" w:hAnsi="宋体"/>
          <w:b/>
          <w:sz w:val="24"/>
          <w:highlight w:val="none"/>
        </w:rPr>
        <w:t>6.5签订合同</w:t>
      </w:r>
      <w:bookmarkEnd w:id="100"/>
      <w:bookmarkEnd w:id="101"/>
      <w:bookmarkEnd w:id="102"/>
      <w:bookmarkEnd w:id="103"/>
      <w:bookmarkEnd w:id="104"/>
      <w:bookmarkEnd w:id="105"/>
      <w:bookmarkEnd w:id="106"/>
      <w:bookmarkEnd w:id="107"/>
    </w:p>
    <w:p>
      <w:pPr>
        <w:spacing w:line="440" w:lineRule="exact"/>
        <w:ind w:firstLine="480" w:firstLineChars="200"/>
        <w:rPr>
          <w:rFonts w:ascii="宋体" w:hAnsi="宋体" w:cs="宋体"/>
          <w:sz w:val="24"/>
          <w:highlight w:val="none"/>
        </w:rPr>
      </w:pPr>
      <w:r>
        <w:rPr>
          <w:rFonts w:hint="eastAsia" w:ascii="宋体" w:hAnsi="宋体" w:cs="宋体"/>
          <w:sz w:val="24"/>
          <w:highlight w:val="none"/>
        </w:rPr>
        <w:t>6.5.1采购人和成交人应当自成交通知书发出之日起30天内，根据竞争性磋商文件和成交人的磋商响应文件订立书面合同。成交人无正当理由拒签合同的，采购人取消其成交资格，给采购人造成的损失应当予以赔偿。</w:t>
      </w:r>
    </w:p>
    <w:p>
      <w:pPr>
        <w:spacing w:line="440" w:lineRule="exact"/>
        <w:ind w:firstLine="241" w:firstLineChars="100"/>
        <w:rPr>
          <w:rFonts w:ascii="宋体" w:hAnsi="宋体"/>
          <w:b/>
          <w:sz w:val="24"/>
          <w:highlight w:val="none"/>
        </w:rPr>
      </w:pPr>
      <w:bookmarkStart w:id="108" w:name="_Toc296602461"/>
      <w:r>
        <w:rPr>
          <w:rFonts w:hint="eastAsia" w:ascii="宋体" w:hAnsi="宋体"/>
          <w:b/>
          <w:sz w:val="24"/>
          <w:highlight w:val="none"/>
        </w:rPr>
        <w:t>7.纪律和监督</w:t>
      </w:r>
      <w:bookmarkEnd w:id="108"/>
    </w:p>
    <w:p>
      <w:pPr>
        <w:spacing w:line="440" w:lineRule="exact"/>
        <w:ind w:firstLine="241" w:firstLineChars="100"/>
        <w:rPr>
          <w:rFonts w:ascii="宋体" w:hAnsi="宋体"/>
          <w:b/>
          <w:sz w:val="24"/>
          <w:highlight w:val="none"/>
        </w:rPr>
      </w:pPr>
      <w:bookmarkStart w:id="109" w:name="_Toc296602462"/>
      <w:bookmarkStart w:id="110" w:name="_Toc144974543"/>
      <w:bookmarkStart w:id="111" w:name="_Toc247085733"/>
      <w:bookmarkStart w:id="112" w:name="_Toc246996219"/>
      <w:bookmarkStart w:id="113" w:name="_Toc246996962"/>
      <w:bookmarkStart w:id="114" w:name="_Toc152045575"/>
      <w:bookmarkStart w:id="115" w:name="_Toc152042351"/>
      <w:bookmarkStart w:id="116" w:name="_Toc296590983"/>
      <w:bookmarkStart w:id="117" w:name="_Toc179632593"/>
      <w:r>
        <w:rPr>
          <w:rFonts w:hint="eastAsia" w:ascii="宋体" w:hAnsi="宋体"/>
          <w:b/>
          <w:sz w:val="24"/>
          <w:highlight w:val="none"/>
        </w:rPr>
        <w:t>7.1对采购人的纪律要求</w:t>
      </w:r>
      <w:bookmarkEnd w:id="109"/>
      <w:bookmarkEnd w:id="110"/>
      <w:bookmarkEnd w:id="111"/>
      <w:bookmarkEnd w:id="112"/>
      <w:bookmarkEnd w:id="113"/>
      <w:bookmarkEnd w:id="114"/>
      <w:bookmarkEnd w:id="115"/>
      <w:bookmarkEnd w:id="116"/>
      <w:bookmarkEnd w:id="117"/>
    </w:p>
    <w:p>
      <w:pPr>
        <w:spacing w:line="440" w:lineRule="exact"/>
        <w:ind w:firstLine="480" w:firstLineChars="200"/>
        <w:rPr>
          <w:rFonts w:ascii="宋体" w:hAnsi="宋体" w:cs="宋体"/>
          <w:sz w:val="24"/>
          <w:highlight w:val="none"/>
        </w:rPr>
      </w:pPr>
      <w:r>
        <w:rPr>
          <w:rFonts w:hint="eastAsia" w:ascii="宋体" w:hAnsi="宋体" w:cs="宋体"/>
          <w:sz w:val="24"/>
          <w:highlight w:val="none"/>
        </w:rPr>
        <w:t>采购人不得泄漏招标投标活动中应当保密的情况和资料，不得与响应人串通损害国家利益、社会公共利益或者他人合法权益。</w:t>
      </w:r>
    </w:p>
    <w:p>
      <w:pPr>
        <w:spacing w:line="440" w:lineRule="exact"/>
        <w:ind w:firstLine="241" w:firstLineChars="100"/>
        <w:rPr>
          <w:rFonts w:ascii="宋体" w:hAnsi="宋体"/>
          <w:b/>
          <w:sz w:val="24"/>
          <w:highlight w:val="none"/>
        </w:rPr>
      </w:pPr>
      <w:bookmarkStart w:id="118" w:name="_Toc179632594"/>
      <w:bookmarkStart w:id="119" w:name="_Toc152045576"/>
      <w:bookmarkStart w:id="120" w:name="_Toc152042352"/>
      <w:bookmarkStart w:id="121" w:name="_Toc246996220"/>
      <w:bookmarkStart w:id="122" w:name="_Toc246996963"/>
      <w:bookmarkStart w:id="123" w:name="_Toc296602463"/>
      <w:bookmarkStart w:id="124" w:name="_Toc247085734"/>
      <w:bookmarkStart w:id="125" w:name="_Toc144974544"/>
      <w:r>
        <w:rPr>
          <w:rFonts w:hint="eastAsia" w:ascii="宋体" w:hAnsi="宋体"/>
          <w:b/>
          <w:sz w:val="24"/>
          <w:highlight w:val="none"/>
        </w:rPr>
        <w:t>7.2对响应人的纪律要求</w:t>
      </w:r>
      <w:bookmarkEnd w:id="118"/>
      <w:bookmarkEnd w:id="119"/>
      <w:bookmarkEnd w:id="120"/>
      <w:bookmarkEnd w:id="121"/>
      <w:bookmarkEnd w:id="122"/>
      <w:bookmarkEnd w:id="123"/>
      <w:bookmarkEnd w:id="124"/>
      <w:bookmarkEnd w:id="125"/>
    </w:p>
    <w:p>
      <w:pPr>
        <w:spacing w:line="440" w:lineRule="exact"/>
        <w:ind w:firstLine="240" w:firstLineChars="100"/>
        <w:rPr>
          <w:rFonts w:ascii="宋体" w:hAnsi="宋体" w:cs="宋体"/>
          <w:sz w:val="24"/>
          <w:highlight w:val="none"/>
        </w:rPr>
      </w:pPr>
      <w:r>
        <w:rPr>
          <w:rFonts w:hint="eastAsia" w:ascii="宋体" w:hAnsi="宋体" w:cs="宋体"/>
          <w:sz w:val="24"/>
          <w:highlight w:val="none"/>
        </w:rPr>
        <w:t>响应人不得相互串通投标或者与采购人串通投标，不得向采购人或者磋商小组成员行贿谋取成交，不得以他人名义投标或者以其他方式弄虚作假骗取成交；响应人不得以任何方式干扰、影响评标工作。</w:t>
      </w:r>
    </w:p>
    <w:p>
      <w:pPr>
        <w:spacing w:line="440" w:lineRule="exact"/>
        <w:ind w:firstLine="241" w:firstLineChars="100"/>
        <w:rPr>
          <w:rFonts w:ascii="宋体" w:hAnsi="宋体"/>
          <w:b/>
          <w:sz w:val="24"/>
          <w:highlight w:val="none"/>
        </w:rPr>
      </w:pPr>
      <w:bookmarkStart w:id="126" w:name="_Toc246996964"/>
      <w:bookmarkStart w:id="127" w:name="_Toc247085735"/>
      <w:bookmarkStart w:id="128" w:name="_Toc246996221"/>
      <w:bookmarkStart w:id="129" w:name="_Toc179632595"/>
      <w:bookmarkStart w:id="130" w:name="_Toc296602464"/>
      <w:bookmarkStart w:id="131" w:name="_Toc152042353"/>
      <w:bookmarkStart w:id="132" w:name="_Toc152045577"/>
      <w:bookmarkStart w:id="133" w:name="_Toc144974545"/>
      <w:r>
        <w:rPr>
          <w:rFonts w:hint="eastAsia" w:ascii="宋体" w:hAnsi="宋体"/>
          <w:b/>
          <w:sz w:val="24"/>
          <w:highlight w:val="none"/>
        </w:rPr>
        <w:t>7.3对磋商小组成员的纪律要求</w:t>
      </w:r>
      <w:bookmarkEnd w:id="126"/>
      <w:bookmarkEnd w:id="127"/>
      <w:bookmarkEnd w:id="128"/>
      <w:bookmarkEnd w:id="129"/>
      <w:bookmarkEnd w:id="130"/>
      <w:bookmarkEnd w:id="131"/>
      <w:bookmarkEnd w:id="132"/>
      <w:bookmarkEnd w:id="133"/>
    </w:p>
    <w:p>
      <w:pPr>
        <w:spacing w:line="440" w:lineRule="exact"/>
        <w:ind w:firstLine="240" w:firstLineChars="100"/>
        <w:rPr>
          <w:rFonts w:ascii="宋体" w:hAnsi="宋体" w:cs="宋体"/>
          <w:sz w:val="24"/>
          <w:highlight w:val="none"/>
        </w:rPr>
      </w:pPr>
      <w:r>
        <w:rPr>
          <w:rFonts w:hint="eastAsia" w:ascii="宋体" w:hAnsi="宋体" w:cs="宋体"/>
          <w:sz w:val="24"/>
          <w:highlight w:val="none"/>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四章“评标办法”没有规定的评审因素和标准进行评标。</w:t>
      </w:r>
    </w:p>
    <w:p>
      <w:pPr>
        <w:spacing w:line="440" w:lineRule="exact"/>
        <w:ind w:firstLine="241" w:firstLineChars="100"/>
        <w:rPr>
          <w:rFonts w:ascii="宋体" w:hAnsi="宋体"/>
          <w:b/>
          <w:sz w:val="24"/>
          <w:highlight w:val="none"/>
        </w:rPr>
      </w:pPr>
      <w:bookmarkStart w:id="134" w:name="_Toc246996222"/>
      <w:bookmarkStart w:id="135" w:name="_Toc246996965"/>
      <w:bookmarkStart w:id="136" w:name="_Toc152042354"/>
      <w:bookmarkStart w:id="137" w:name="_Toc296602465"/>
      <w:bookmarkStart w:id="138" w:name="_Toc152045578"/>
      <w:bookmarkStart w:id="139" w:name="_Toc179632596"/>
      <w:bookmarkStart w:id="140" w:name="_Toc247085736"/>
      <w:bookmarkStart w:id="141" w:name="_Toc144974546"/>
      <w:r>
        <w:rPr>
          <w:rFonts w:hint="eastAsia" w:ascii="宋体" w:hAnsi="宋体"/>
          <w:b/>
          <w:sz w:val="24"/>
          <w:highlight w:val="none"/>
        </w:rPr>
        <w:t>7.4对与评标活动有关的工作人员的纪律要求</w:t>
      </w:r>
      <w:bookmarkEnd w:id="134"/>
      <w:bookmarkEnd w:id="135"/>
      <w:bookmarkEnd w:id="136"/>
      <w:bookmarkEnd w:id="137"/>
      <w:bookmarkEnd w:id="138"/>
      <w:bookmarkEnd w:id="139"/>
      <w:bookmarkEnd w:id="140"/>
    </w:p>
    <w:p>
      <w:pPr>
        <w:spacing w:line="440" w:lineRule="exact"/>
        <w:ind w:firstLine="480" w:firstLineChars="200"/>
        <w:rPr>
          <w:rFonts w:ascii="宋体" w:hAnsi="宋体" w:cs="宋体"/>
          <w:sz w:val="24"/>
          <w:highlight w:val="none"/>
        </w:rPr>
      </w:pPr>
      <w:bookmarkStart w:id="142" w:name="_Toc152042355"/>
      <w:r>
        <w:rPr>
          <w:rFonts w:hint="eastAsia" w:ascii="宋体" w:hAnsi="宋体" w:cs="宋体"/>
          <w:sz w:val="24"/>
          <w:highlight w:val="none"/>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142"/>
    </w:p>
    <w:p>
      <w:pPr>
        <w:spacing w:line="440" w:lineRule="exact"/>
        <w:ind w:firstLine="241" w:firstLineChars="100"/>
        <w:rPr>
          <w:rFonts w:ascii="宋体" w:hAnsi="宋体"/>
          <w:b/>
          <w:sz w:val="24"/>
          <w:highlight w:val="none"/>
        </w:rPr>
      </w:pPr>
      <w:bookmarkStart w:id="143" w:name="_Toc296602466"/>
      <w:bookmarkStart w:id="144" w:name="_Toc152042356"/>
      <w:bookmarkStart w:id="145" w:name="_Toc179632597"/>
      <w:bookmarkStart w:id="146" w:name="_Toc247085737"/>
      <w:bookmarkStart w:id="147" w:name="_Toc246996966"/>
      <w:bookmarkStart w:id="148" w:name="_Toc246996223"/>
      <w:bookmarkStart w:id="149" w:name="_Toc152045579"/>
      <w:r>
        <w:rPr>
          <w:rFonts w:hint="eastAsia" w:ascii="宋体" w:hAnsi="宋体"/>
          <w:b/>
          <w:sz w:val="24"/>
          <w:highlight w:val="none"/>
        </w:rPr>
        <w:t>7.5投诉</w:t>
      </w:r>
      <w:bookmarkEnd w:id="141"/>
      <w:bookmarkEnd w:id="143"/>
      <w:bookmarkEnd w:id="144"/>
      <w:bookmarkEnd w:id="145"/>
      <w:bookmarkEnd w:id="146"/>
      <w:bookmarkEnd w:id="147"/>
      <w:bookmarkEnd w:id="148"/>
      <w:bookmarkEnd w:id="149"/>
    </w:p>
    <w:p>
      <w:pPr>
        <w:spacing w:line="440" w:lineRule="exact"/>
        <w:ind w:firstLine="480" w:firstLineChars="200"/>
        <w:rPr>
          <w:rFonts w:ascii="宋体" w:hAnsi="宋体" w:cs="宋体"/>
          <w:sz w:val="24"/>
          <w:highlight w:val="none"/>
        </w:rPr>
      </w:pPr>
      <w:r>
        <w:rPr>
          <w:rFonts w:hint="eastAsia" w:ascii="宋体" w:hAnsi="宋体" w:cs="宋体"/>
          <w:sz w:val="24"/>
          <w:highlight w:val="none"/>
        </w:rPr>
        <w:t>响应人和其他利害关系人认为本次招标活动违反法律、法规和规章规定的，有权向有关行政监督部门投诉。</w:t>
      </w:r>
    </w:p>
    <w:p>
      <w:pPr>
        <w:pStyle w:val="6"/>
        <w:spacing w:line="440" w:lineRule="exact"/>
        <w:jc w:val="left"/>
        <w:rPr>
          <w:rFonts w:ascii="宋体" w:hAnsi="宋体" w:eastAsia="宋体" w:cs="宋体"/>
          <w:sz w:val="24"/>
          <w:szCs w:val="24"/>
          <w:highlight w:val="none"/>
        </w:rPr>
      </w:pPr>
      <w:bookmarkStart w:id="150" w:name="_Toc296602467"/>
      <w:bookmarkStart w:id="151" w:name="_Toc152045580"/>
      <w:bookmarkStart w:id="152" w:name="_Toc246996224"/>
      <w:bookmarkStart w:id="153" w:name="_Toc144974547"/>
      <w:bookmarkStart w:id="154" w:name="_Toc152042357"/>
      <w:bookmarkStart w:id="155" w:name="_Toc179632598"/>
      <w:bookmarkStart w:id="156" w:name="_Toc247085738"/>
      <w:bookmarkStart w:id="157" w:name="_Toc246996967"/>
      <w:r>
        <w:rPr>
          <w:rFonts w:hint="eastAsia" w:ascii="宋体" w:hAnsi="宋体" w:eastAsia="宋体" w:cs="宋体"/>
          <w:sz w:val="24"/>
          <w:szCs w:val="24"/>
          <w:highlight w:val="none"/>
        </w:rPr>
        <w:t>8.</w:t>
      </w:r>
      <w:bookmarkEnd w:id="150"/>
      <w:bookmarkEnd w:id="151"/>
      <w:bookmarkEnd w:id="152"/>
      <w:bookmarkEnd w:id="153"/>
      <w:bookmarkEnd w:id="154"/>
      <w:bookmarkEnd w:id="155"/>
      <w:bookmarkEnd w:id="156"/>
      <w:bookmarkEnd w:id="157"/>
      <w:r>
        <w:rPr>
          <w:rFonts w:hint="eastAsia" w:ascii="宋体" w:hAnsi="宋体" w:eastAsia="宋体" w:cs="宋体"/>
          <w:sz w:val="24"/>
          <w:szCs w:val="24"/>
          <w:highlight w:val="none"/>
        </w:rPr>
        <w:t>重新招标和不再招标</w:t>
      </w:r>
    </w:p>
    <w:p>
      <w:pPr>
        <w:ind w:firstLine="241" w:firstLineChars="100"/>
        <w:rPr>
          <w:rFonts w:cs="TimesNewRomanPSMT"/>
          <w:b/>
          <w:kern w:val="0"/>
          <w:sz w:val="24"/>
          <w:szCs w:val="28"/>
          <w:highlight w:val="none"/>
        </w:rPr>
      </w:pPr>
      <w:bookmarkStart w:id="158" w:name="_Toc391284776"/>
      <w:bookmarkStart w:id="159" w:name="_Toc438797979"/>
      <w:bookmarkStart w:id="160" w:name="_Toc438797214"/>
      <w:r>
        <w:rPr>
          <w:rFonts w:cs="TimesNewRomanPSMT"/>
          <w:b/>
          <w:kern w:val="0"/>
          <w:sz w:val="24"/>
          <w:szCs w:val="28"/>
          <w:highlight w:val="none"/>
        </w:rPr>
        <w:t>8.1</w:t>
      </w:r>
      <w:r>
        <w:rPr>
          <w:rFonts w:hint="eastAsia" w:cs="TimesNewRomanPSMT"/>
          <w:b/>
          <w:kern w:val="0"/>
          <w:sz w:val="24"/>
          <w:szCs w:val="28"/>
          <w:highlight w:val="none"/>
        </w:rPr>
        <w:t>重新招标</w:t>
      </w:r>
      <w:bookmarkEnd w:id="158"/>
      <w:bookmarkEnd w:id="159"/>
      <w:bookmarkEnd w:id="160"/>
    </w:p>
    <w:p>
      <w:pPr>
        <w:spacing w:line="360" w:lineRule="auto"/>
        <w:ind w:firstLine="607" w:firstLineChars="253"/>
        <w:rPr>
          <w:rFonts w:ascii="宋体" w:hAnsi="宋体"/>
          <w:sz w:val="24"/>
          <w:szCs w:val="24"/>
          <w:highlight w:val="none"/>
        </w:rPr>
      </w:pPr>
      <w:r>
        <w:rPr>
          <w:rFonts w:hint="eastAsia" w:ascii="宋体" w:hAnsi="宋体"/>
          <w:sz w:val="24"/>
          <w:szCs w:val="24"/>
          <w:highlight w:val="none"/>
        </w:rPr>
        <w:t>有下列情形之一的，采购人将重新招标：</w:t>
      </w:r>
    </w:p>
    <w:p>
      <w:pPr>
        <w:autoSpaceDE w:val="0"/>
        <w:autoSpaceDN w:val="0"/>
        <w:adjustRightInd w:val="0"/>
        <w:spacing w:line="360" w:lineRule="auto"/>
        <w:ind w:firstLine="484" w:firstLineChars="202"/>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TimesNewRomanPSMT"/>
          <w:kern w:val="0"/>
          <w:sz w:val="24"/>
          <w:szCs w:val="24"/>
          <w:highlight w:val="none"/>
        </w:rPr>
        <w:t>1</w:t>
      </w:r>
      <w:r>
        <w:rPr>
          <w:rFonts w:hint="eastAsia" w:ascii="宋体" w:hAnsi="宋体" w:cs="宋体"/>
          <w:kern w:val="0"/>
          <w:sz w:val="24"/>
          <w:szCs w:val="24"/>
          <w:highlight w:val="none"/>
        </w:rPr>
        <w:t>）磋商截止时间止，响应人少于</w:t>
      </w:r>
      <w:r>
        <w:rPr>
          <w:rFonts w:ascii="宋体" w:hAnsi="宋体" w:cs="TimesNewRomanPSMT"/>
          <w:kern w:val="0"/>
          <w:sz w:val="24"/>
          <w:szCs w:val="24"/>
          <w:highlight w:val="none"/>
        </w:rPr>
        <w:t>法定人数</w:t>
      </w:r>
      <w:r>
        <w:rPr>
          <w:rFonts w:hint="eastAsia" w:ascii="宋体" w:hAnsi="宋体" w:cs="宋体"/>
          <w:kern w:val="0"/>
          <w:sz w:val="24"/>
          <w:szCs w:val="24"/>
          <w:highlight w:val="none"/>
        </w:rPr>
        <w:t>的；</w:t>
      </w:r>
    </w:p>
    <w:p>
      <w:pPr>
        <w:autoSpaceDE w:val="0"/>
        <w:autoSpaceDN w:val="0"/>
        <w:adjustRightInd w:val="0"/>
        <w:spacing w:line="360" w:lineRule="auto"/>
        <w:ind w:firstLine="484" w:firstLineChars="202"/>
        <w:jc w:val="left"/>
        <w:rPr>
          <w:rFonts w:ascii="宋体" w:hAnsi="宋体" w:cs="宋体"/>
          <w:kern w:val="0"/>
          <w:sz w:val="24"/>
          <w:szCs w:val="24"/>
          <w:highlight w:val="none"/>
        </w:rPr>
      </w:pPr>
      <w:r>
        <w:rPr>
          <w:rFonts w:hint="eastAsia" w:ascii="宋体" w:hAnsi="宋体" w:cs="宋体"/>
          <w:kern w:val="0"/>
          <w:sz w:val="24"/>
          <w:szCs w:val="24"/>
          <w:highlight w:val="none"/>
        </w:rPr>
        <w:t>（</w:t>
      </w:r>
      <w:r>
        <w:rPr>
          <w:rFonts w:ascii="宋体" w:hAnsi="宋体" w:cs="TimesNewRomanPSMT"/>
          <w:kern w:val="0"/>
          <w:sz w:val="24"/>
          <w:szCs w:val="24"/>
          <w:highlight w:val="none"/>
        </w:rPr>
        <w:t>2</w:t>
      </w:r>
      <w:r>
        <w:rPr>
          <w:rFonts w:hint="eastAsia" w:ascii="宋体" w:hAnsi="宋体" w:cs="宋体"/>
          <w:kern w:val="0"/>
          <w:sz w:val="24"/>
          <w:szCs w:val="24"/>
          <w:highlight w:val="none"/>
        </w:rPr>
        <w:t>）经磋商小组评审后否决所有竞标的。</w:t>
      </w:r>
    </w:p>
    <w:p>
      <w:pPr>
        <w:ind w:firstLine="241" w:firstLineChars="100"/>
        <w:rPr>
          <w:rFonts w:cs="TimesNewRomanPSMT"/>
          <w:b/>
          <w:kern w:val="0"/>
          <w:sz w:val="24"/>
          <w:szCs w:val="28"/>
          <w:highlight w:val="none"/>
        </w:rPr>
      </w:pPr>
      <w:bookmarkStart w:id="161" w:name="_Toc391284777"/>
      <w:bookmarkStart w:id="162" w:name="_Toc438797980"/>
      <w:bookmarkStart w:id="163" w:name="_Toc438797215"/>
      <w:r>
        <w:rPr>
          <w:rFonts w:cs="TimesNewRomanPSMT"/>
          <w:b/>
          <w:kern w:val="0"/>
          <w:sz w:val="24"/>
          <w:szCs w:val="28"/>
          <w:highlight w:val="none"/>
        </w:rPr>
        <w:t>8.2</w:t>
      </w:r>
      <w:r>
        <w:rPr>
          <w:rFonts w:hint="eastAsia" w:cs="TimesNewRomanPSMT"/>
          <w:b/>
          <w:kern w:val="0"/>
          <w:sz w:val="24"/>
          <w:szCs w:val="28"/>
          <w:highlight w:val="none"/>
        </w:rPr>
        <w:t>不再</w:t>
      </w:r>
      <w:bookmarkEnd w:id="161"/>
      <w:bookmarkEnd w:id="162"/>
      <w:bookmarkEnd w:id="163"/>
      <w:r>
        <w:rPr>
          <w:rFonts w:hint="eastAsia" w:cs="TimesNewRomanPSMT"/>
          <w:b/>
          <w:kern w:val="0"/>
          <w:sz w:val="24"/>
          <w:szCs w:val="28"/>
          <w:highlight w:val="none"/>
        </w:rPr>
        <w:t>招标</w:t>
      </w:r>
    </w:p>
    <w:p>
      <w:pPr>
        <w:spacing w:line="360" w:lineRule="auto"/>
        <w:ind w:firstLine="607" w:firstLineChars="253"/>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重新磋商后响应人仍少于法定人数或者所有响应文件被否决的，经原审批或核准部门批准后不再进行磋商。</w:t>
      </w:r>
    </w:p>
    <w:p>
      <w:pPr>
        <w:spacing w:line="360" w:lineRule="auto"/>
        <w:ind w:firstLine="607" w:firstLineChars="253"/>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br w:type="page"/>
      </w:r>
    </w:p>
    <w:p>
      <w:pPr>
        <w:jc w:val="center"/>
        <w:outlineLvl w:val="0"/>
        <w:rPr>
          <w:b/>
          <w:bCs/>
          <w:sz w:val="32"/>
          <w:szCs w:val="32"/>
          <w:highlight w:val="none"/>
        </w:rPr>
      </w:pPr>
      <w:bookmarkStart w:id="164" w:name="_Toc13193"/>
      <w:r>
        <w:rPr>
          <w:rFonts w:hint="eastAsia"/>
          <w:b/>
          <w:bCs/>
          <w:sz w:val="32"/>
          <w:szCs w:val="32"/>
          <w:highlight w:val="none"/>
        </w:rPr>
        <w:t>第三章</w:t>
      </w:r>
      <w:r>
        <w:rPr>
          <w:b/>
          <w:bCs/>
          <w:kern w:val="0"/>
          <w:sz w:val="32"/>
          <w:szCs w:val="32"/>
          <w:highlight w:val="none"/>
        </w:rPr>
        <w:t>评审</w:t>
      </w:r>
      <w:r>
        <w:rPr>
          <w:rFonts w:hint="eastAsia"/>
          <w:b/>
          <w:bCs/>
          <w:kern w:val="0"/>
          <w:sz w:val="32"/>
          <w:szCs w:val="32"/>
          <w:highlight w:val="none"/>
        </w:rPr>
        <w:t>标准</w:t>
      </w:r>
      <w:bookmarkEnd w:id="164"/>
    </w:p>
    <w:p>
      <w:pPr>
        <w:spacing w:line="360" w:lineRule="exact"/>
        <w:jc w:val="center"/>
        <w:rPr>
          <w:b/>
          <w:bCs/>
          <w:sz w:val="24"/>
          <w:szCs w:val="24"/>
          <w:highlight w:val="none"/>
        </w:rPr>
      </w:pPr>
      <w:r>
        <w:rPr>
          <w:b/>
          <w:bCs/>
          <w:sz w:val="24"/>
          <w:szCs w:val="24"/>
          <w:highlight w:val="none"/>
        </w:rPr>
        <w:t>初步审查详见下表</w:t>
      </w:r>
    </w:p>
    <w:tbl>
      <w:tblPr>
        <w:tblStyle w:val="21"/>
        <w:tblW w:w="935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1253"/>
        <w:gridCol w:w="1740"/>
        <w:gridCol w:w="54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2153" w:type="dxa"/>
            <w:gridSpan w:val="2"/>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条款号</w:t>
            </w:r>
          </w:p>
        </w:tc>
        <w:tc>
          <w:tcPr>
            <w:tcW w:w="1740" w:type="dxa"/>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评审因素</w:t>
            </w:r>
          </w:p>
        </w:tc>
        <w:tc>
          <w:tcPr>
            <w:tcW w:w="5463" w:type="dxa"/>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900" w:type="dxa"/>
            <w:vMerge w:val="restart"/>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1</w:t>
            </w:r>
          </w:p>
        </w:tc>
        <w:tc>
          <w:tcPr>
            <w:tcW w:w="1253" w:type="dxa"/>
            <w:vMerge w:val="restart"/>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lang w:val="en-US" w:eastAsia="zh-CN"/>
              </w:rPr>
              <w:t>符合</w:t>
            </w:r>
            <w:r>
              <w:rPr>
                <w:rFonts w:hint="eastAsia" w:ascii="黑体" w:hAnsi="黑体" w:eastAsia="黑体" w:cs="黑体"/>
                <w:kern w:val="0"/>
                <w:sz w:val="24"/>
                <w:highlight w:val="none"/>
              </w:rPr>
              <w:t>评审标准</w:t>
            </w:r>
          </w:p>
        </w:tc>
        <w:tc>
          <w:tcPr>
            <w:tcW w:w="1740" w:type="dxa"/>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响应人名称</w:t>
            </w:r>
          </w:p>
        </w:tc>
        <w:tc>
          <w:tcPr>
            <w:tcW w:w="5463" w:type="dxa"/>
            <w:vAlign w:val="center"/>
          </w:tcPr>
          <w:p>
            <w:pPr>
              <w:spacing w:line="360" w:lineRule="auto"/>
              <w:rPr>
                <w:rFonts w:hint="eastAsia" w:ascii="黑体" w:hAnsi="黑体" w:eastAsia="黑体" w:cs="黑体"/>
                <w:kern w:val="0"/>
                <w:sz w:val="24"/>
                <w:highlight w:val="none"/>
              </w:rPr>
            </w:pPr>
            <w:r>
              <w:rPr>
                <w:rFonts w:hint="eastAsia" w:ascii="黑体" w:hAnsi="黑体" w:eastAsia="黑体" w:cs="黑体"/>
                <w:kern w:val="0"/>
                <w:sz w:val="24"/>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900" w:type="dxa"/>
            <w:vMerge w:val="continue"/>
            <w:vAlign w:val="center"/>
          </w:tcPr>
          <w:p>
            <w:pPr>
              <w:spacing w:line="360" w:lineRule="auto"/>
              <w:ind w:firstLine="480" w:firstLineChars="200"/>
              <w:rPr>
                <w:rFonts w:hint="eastAsia" w:ascii="黑体" w:hAnsi="黑体" w:eastAsia="黑体" w:cs="黑体"/>
                <w:kern w:val="0"/>
                <w:sz w:val="24"/>
                <w:highlight w:val="none"/>
              </w:rPr>
            </w:pPr>
          </w:p>
        </w:tc>
        <w:tc>
          <w:tcPr>
            <w:tcW w:w="1253" w:type="dxa"/>
            <w:vMerge w:val="continue"/>
            <w:vAlign w:val="center"/>
          </w:tcPr>
          <w:p>
            <w:pPr>
              <w:spacing w:line="360" w:lineRule="auto"/>
              <w:jc w:val="center"/>
              <w:rPr>
                <w:rFonts w:hint="eastAsia" w:ascii="黑体" w:hAnsi="黑体" w:eastAsia="黑体" w:cs="黑体"/>
                <w:kern w:val="0"/>
                <w:sz w:val="24"/>
                <w:highlight w:val="none"/>
              </w:rPr>
            </w:pPr>
          </w:p>
        </w:tc>
        <w:tc>
          <w:tcPr>
            <w:tcW w:w="1740" w:type="dxa"/>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响应文件盖章</w:t>
            </w:r>
          </w:p>
        </w:tc>
        <w:tc>
          <w:tcPr>
            <w:tcW w:w="5463" w:type="dxa"/>
            <w:vAlign w:val="center"/>
          </w:tcPr>
          <w:p>
            <w:pPr>
              <w:spacing w:line="360" w:lineRule="auto"/>
              <w:rPr>
                <w:rFonts w:hint="eastAsia" w:ascii="黑体" w:hAnsi="黑体" w:eastAsia="黑体" w:cs="黑体"/>
                <w:kern w:val="0"/>
                <w:sz w:val="24"/>
                <w:highlight w:val="none"/>
              </w:rPr>
            </w:pPr>
            <w:r>
              <w:rPr>
                <w:rFonts w:hint="eastAsia" w:ascii="黑体" w:hAnsi="黑体" w:eastAsia="黑体" w:cs="黑体"/>
                <w:kern w:val="0"/>
                <w:sz w:val="24"/>
                <w:highlight w:val="none"/>
              </w:rPr>
              <w:t>符合竞争性磋商文件要求的签字、盖章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900" w:type="dxa"/>
            <w:vMerge w:val="continue"/>
            <w:vAlign w:val="center"/>
          </w:tcPr>
          <w:p>
            <w:pPr>
              <w:spacing w:line="360" w:lineRule="auto"/>
              <w:ind w:firstLine="480" w:firstLineChars="200"/>
              <w:rPr>
                <w:rFonts w:hint="eastAsia" w:ascii="黑体" w:hAnsi="黑体" w:eastAsia="黑体" w:cs="黑体"/>
                <w:kern w:val="0"/>
                <w:sz w:val="24"/>
                <w:highlight w:val="none"/>
              </w:rPr>
            </w:pPr>
          </w:p>
        </w:tc>
        <w:tc>
          <w:tcPr>
            <w:tcW w:w="1253" w:type="dxa"/>
            <w:vMerge w:val="continue"/>
            <w:vAlign w:val="center"/>
          </w:tcPr>
          <w:p>
            <w:pPr>
              <w:spacing w:line="360" w:lineRule="auto"/>
              <w:jc w:val="center"/>
              <w:rPr>
                <w:rFonts w:hint="eastAsia" w:ascii="黑体" w:hAnsi="黑体" w:eastAsia="黑体" w:cs="黑体"/>
                <w:kern w:val="0"/>
                <w:sz w:val="24"/>
                <w:highlight w:val="none"/>
              </w:rPr>
            </w:pPr>
          </w:p>
        </w:tc>
        <w:tc>
          <w:tcPr>
            <w:tcW w:w="1740" w:type="dxa"/>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磋商报价</w:t>
            </w:r>
          </w:p>
        </w:tc>
        <w:tc>
          <w:tcPr>
            <w:tcW w:w="5463" w:type="dxa"/>
            <w:vAlign w:val="center"/>
          </w:tcPr>
          <w:p>
            <w:pPr>
              <w:numPr>
                <w:ilvl w:val="0"/>
                <w:numId w:val="1"/>
              </w:numPr>
              <w:spacing w:line="360" w:lineRule="auto"/>
              <w:rPr>
                <w:rFonts w:hint="eastAsia" w:ascii="黑体" w:hAnsi="黑体" w:eastAsia="黑体" w:cs="黑体"/>
                <w:kern w:val="0"/>
                <w:sz w:val="24"/>
                <w:highlight w:val="none"/>
              </w:rPr>
            </w:pPr>
            <w:r>
              <w:rPr>
                <w:rFonts w:hint="eastAsia" w:ascii="黑体" w:hAnsi="黑体" w:eastAsia="黑体" w:cs="黑体"/>
                <w:kern w:val="0"/>
                <w:sz w:val="24"/>
                <w:highlight w:val="none"/>
              </w:rPr>
              <w:t>不得超出最高限价，超出最高限价者，按无效标处理</w:t>
            </w:r>
          </w:p>
          <w:p>
            <w:pPr>
              <w:numPr>
                <w:ilvl w:val="0"/>
                <w:numId w:val="1"/>
              </w:numPr>
              <w:spacing w:line="360" w:lineRule="auto"/>
              <w:rPr>
                <w:rFonts w:hint="eastAsia" w:ascii="黑体" w:hAnsi="黑体" w:eastAsia="黑体" w:cs="黑体"/>
                <w:kern w:val="0"/>
                <w:sz w:val="24"/>
                <w:highlight w:val="none"/>
              </w:rPr>
            </w:pPr>
            <w:r>
              <w:rPr>
                <w:rFonts w:hint="eastAsia" w:ascii="黑体" w:hAnsi="黑体" w:eastAsia="黑体" w:cs="黑体"/>
                <w:kern w:val="0"/>
                <w:sz w:val="24"/>
                <w:highlight w:val="none"/>
              </w:rPr>
              <w:t>最终报价不得超过第一次磋商报价；</w:t>
            </w:r>
          </w:p>
          <w:p>
            <w:pPr>
              <w:spacing w:line="360" w:lineRule="auto"/>
              <w:rPr>
                <w:rFonts w:hint="eastAsia" w:ascii="黑体" w:hAnsi="黑体" w:eastAsia="黑体" w:cs="黑体"/>
                <w:kern w:val="0"/>
                <w:sz w:val="24"/>
                <w:highlight w:val="none"/>
              </w:rPr>
            </w:pPr>
            <w:r>
              <w:rPr>
                <w:rFonts w:hint="eastAsia" w:ascii="黑体" w:hAnsi="黑体" w:eastAsia="黑体" w:cs="黑体"/>
                <w:kern w:val="0"/>
                <w:sz w:val="24"/>
                <w:highlight w:val="none"/>
              </w:rPr>
              <w:t>3、最终报价明显低于成本价的，响应人需做出合理说明，否则将承担不被接受的风险。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7" w:hRule="atLeast"/>
          <w:jc w:val="center"/>
        </w:trPr>
        <w:tc>
          <w:tcPr>
            <w:tcW w:w="900" w:type="dxa"/>
            <w:vMerge w:val="restart"/>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2</w:t>
            </w:r>
          </w:p>
        </w:tc>
        <w:tc>
          <w:tcPr>
            <w:tcW w:w="1253" w:type="dxa"/>
            <w:vMerge w:val="restart"/>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资格评审标准</w:t>
            </w:r>
          </w:p>
        </w:tc>
        <w:tc>
          <w:tcPr>
            <w:tcW w:w="1740" w:type="dxa"/>
            <w:vAlign w:val="center"/>
          </w:tcPr>
          <w:p>
            <w:pPr>
              <w:jc w:val="center"/>
              <w:rPr>
                <w:rFonts w:hint="eastAsia" w:ascii="黑体" w:hAnsi="黑体" w:eastAsia="黑体" w:cs="黑体"/>
                <w:kern w:val="0"/>
                <w:sz w:val="24"/>
                <w:highlight w:val="none"/>
              </w:rPr>
            </w:pPr>
            <w:r>
              <w:rPr>
                <w:rFonts w:hint="eastAsia" w:ascii="黑体" w:hAnsi="黑体" w:eastAsia="黑体" w:cs="黑体"/>
                <w:sz w:val="24"/>
                <w:szCs w:val="24"/>
                <w:highlight w:val="none"/>
              </w:rPr>
              <w:t>营业执照</w:t>
            </w:r>
          </w:p>
        </w:tc>
        <w:tc>
          <w:tcPr>
            <w:tcW w:w="5463" w:type="dxa"/>
            <w:vAlign w:val="center"/>
          </w:tcPr>
          <w:p>
            <w:pPr>
              <w:spacing w:line="360" w:lineRule="auto"/>
              <w:rPr>
                <w:rFonts w:hint="eastAsia" w:ascii="黑体" w:hAnsi="黑体" w:eastAsia="黑体" w:cs="黑体"/>
                <w:kern w:val="0"/>
                <w:sz w:val="24"/>
                <w:highlight w:val="none"/>
              </w:rPr>
            </w:pPr>
            <w:r>
              <w:rPr>
                <w:rFonts w:hint="eastAsia" w:ascii="黑体" w:hAnsi="黑体" w:eastAsia="黑体" w:cs="黑体"/>
                <w:sz w:val="24"/>
                <w:szCs w:val="24"/>
                <w:highlight w:val="none"/>
              </w:rPr>
              <w:t>具有独立法人资格，具有合法有效的营业执照、税务登记证、组织机构代码证（三证合一的仅提供营业执照、事业单位需提供事业单位法人证书）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61" w:hRule="atLeast"/>
          <w:jc w:val="center"/>
        </w:trPr>
        <w:tc>
          <w:tcPr>
            <w:tcW w:w="900" w:type="dxa"/>
            <w:vMerge w:val="continue"/>
            <w:vAlign w:val="center"/>
          </w:tcPr>
          <w:p>
            <w:pPr>
              <w:spacing w:line="360" w:lineRule="auto"/>
              <w:ind w:firstLine="480" w:firstLineChars="200"/>
              <w:rPr>
                <w:rFonts w:hint="eastAsia" w:ascii="黑体" w:hAnsi="黑体" w:eastAsia="黑体" w:cs="黑体"/>
                <w:kern w:val="0"/>
                <w:sz w:val="24"/>
                <w:highlight w:val="none"/>
              </w:rPr>
            </w:pPr>
          </w:p>
        </w:tc>
        <w:tc>
          <w:tcPr>
            <w:tcW w:w="1253" w:type="dxa"/>
            <w:vMerge w:val="continue"/>
            <w:vAlign w:val="center"/>
          </w:tcPr>
          <w:p>
            <w:pPr>
              <w:spacing w:line="360" w:lineRule="auto"/>
              <w:jc w:val="center"/>
              <w:rPr>
                <w:rFonts w:hint="eastAsia" w:ascii="黑体" w:hAnsi="黑体" w:eastAsia="黑体" w:cs="黑体"/>
                <w:kern w:val="0"/>
                <w:sz w:val="24"/>
                <w:highlight w:val="none"/>
              </w:rPr>
            </w:pPr>
          </w:p>
        </w:tc>
        <w:tc>
          <w:tcPr>
            <w:tcW w:w="1740" w:type="dxa"/>
            <w:vAlign w:val="center"/>
          </w:tcPr>
          <w:p>
            <w:pPr>
              <w:jc w:val="center"/>
              <w:rPr>
                <w:rFonts w:hint="eastAsia" w:ascii="黑体" w:hAnsi="黑体" w:eastAsia="黑体" w:cs="黑体"/>
                <w:kern w:val="0"/>
                <w:sz w:val="24"/>
                <w:highlight w:val="none"/>
              </w:rPr>
            </w:pPr>
            <w:r>
              <w:rPr>
                <w:rFonts w:hint="eastAsia" w:ascii="黑体" w:hAnsi="黑体" w:eastAsia="黑体" w:cs="黑体"/>
                <w:sz w:val="24"/>
                <w:szCs w:val="24"/>
                <w:highlight w:val="none"/>
              </w:rPr>
              <w:t>企业资质</w:t>
            </w:r>
          </w:p>
        </w:tc>
        <w:tc>
          <w:tcPr>
            <w:tcW w:w="5463" w:type="dxa"/>
            <w:vAlign w:val="center"/>
          </w:tcPr>
          <w:p>
            <w:pPr>
              <w:spacing w:line="360" w:lineRule="auto"/>
              <w:rPr>
                <w:rFonts w:hint="eastAsia" w:ascii="黑体" w:hAnsi="黑体" w:eastAsia="黑体" w:cs="黑体"/>
                <w:kern w:val="0"/>
                <w:sz w:val="24"/>
                <w:highlight w:val="none"/>
              </w:rPr>
            </w:pPr>
            <w:r>
              <w:rPr>
                <w:rFonts w:hint="eastAsia" w:ascii="黑体" w:hAnsi="黑体" w:eastAsia="黑体" w:cs="黑体"/>
                <w:sz w:val="24"/>
                <w:szCs w:val="24"/>
                <w:highlight w:val="none"/>
              </w:rPr>
              <w:t>响应人具有</w:t>
            </w:r>
            <w:r>
              <w:rPr>
                <w:rFonts w:hint="eastAsia" w:ascii="黑体" w:hAnsi="黑体" w:eastAsia="黑体" w:cs="黑体"/>
                <w:sz w:val="24"/>
                <w:highlight w:val="none"/>
              </w:rPr>
              <w:t>测绘地理信息行政主管部门颁发的测绘乙级及以上资质证书</w:t>
            </w:r>
            <w:r>
              <w:rPr>
                <w:rFonts w:hint="eastAsia" w:ascii="黑体" w:hAnsi="黑体" w:eastAsia="黑体" w:cs="黑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90" w:hRule="atLeast"/>
          <w:jc w:val="center"/>
        </w:trPr>
        <w:tc>
          <w:tcPr>
            <w:tcW w:w="900" w:type="dxa"/>
            <w:vMerge w:val="continue"/>
            <w:vAlign w:val="center"/>
          </w:tcPr>
          <w:p>
            <w:pPr>
              <w:spacing w:line="360" w:lineRule="auto"/>
              <w:ind w:firstLine="480" w:firstLineChars="200"/>
              <w:rPr>
                <w:rFonts w:hint="eastAsia" w:ascii="黑体" w:hAnsi="黑体" w:eastAsia="黑体" w:cs="黑体"/>
                <w:kern w:val="0"/>
                <w:sz w:val="24"/>
                <w:highlight w:val="none"/>
              </w:rPr>
            </w:pPr>
          </w:p>
        </w:tc>
        <w:tc>
          <w:tcPr>
            <w:tcW w:w="1253" w:type="dxa"/>
            <w:vMerge w:val="continue"/>
            <w:vAlign w:val="center"/>
          </w:tcPr>
          <w:p>
            <w:pPr>
              <w:spacing w:line="360" w:lineRule="auto"/>
              <w:jc w:val="center"/>
              <w:rPr>
                <w:rFonts w:hint="eastAsia" w:ascii="黑体" w:hAnsi="黑体" w:eastAsia="黑体" w:cs="黑体"/>
                <w:kern w:val="0"/>
                <w:sz w:val="24"/>
                <w:highlight w:val="none"/>
              </w:rPr>
            </w:pPr>
          </w:p>
        </w:tc>
        <w:tc>
          <w:tcPr>
            <w:tcW w:w="1740" w:type="dxa"/>
            <w:vAlign w:val="center"/>
          </w:tcPr>
          <w:p>
            <w:pPr>
              <w:jc w:val="center"/>
              <w:rPr>
                <w:rFonts w:hint="eastAsia" w:ascii="黑体" w:hAnsi="黑体" w:eastAsia="黑体" w:cs="黑体"/>
                <w:sz w:val="24"/>
                <w:highlight w:val="none"/>
              </w:rPr>
            </w:pPr>
            <w:r>
              <w:rPr>
                <w:rFonts w:hint="eastAsia" w:ascii="黑体" w:hAnsi="黑体" w:eastAsia="黑体" w:cs="黑体"/>
                <w:sz w:val="24"/>
                <w:szCs w:val="24"/>
                <w:highlight w:val="none"/>
              </w:rPr>
              <w:t>信用查询</w:t>
            </w:r>
          </w:p>
        </w:tc>
        <w:tc>
          <w:tcPr>
            <w:tcW w:w="5463" w:type="dxa"/>
            <w:vAlign w:val="center"/>
          </w:tcPr>
          <w:p>
            <w:pPr>
              <w:spacing w:line="360" w:lineRule="auto"/>
              <w:ind w:firstLine="484" w:firstLineChars="202"/>
              <w:rPr>
                <w:rFonts w:hint="eastAsia" w:ascii="黑体" w:hAnsi="黑体" w:eastAsia="黑体" w:cs="黑体"/>
                <w:color w:val="C00000"/>
                <w:kern w:val="0"/>
                <w:sz w:val="24"/>
                <w:highlight w:val="none"/>
              </w:rPr>
            </w:pPr>
            <w:r>
              <w:rPr>
                <w:rFonts w:hint="eastAsia" w:ascii="黑体" w:hAnsi="黑体" w:eastAsia="黑体" w:cs="黑体"/>
                <w:sz w:val="24"/>
                <w:szCs w:val="24"/>
                <w:highlight w:val="none"/>
              </w:rPr>
              <w:t>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w:t>
            </w:r>
            <w:r>
              <w:rPr>
                <w:rFonts w:hint="eastAsia" w:ascii="黑体" w:hAnsi="黑体" w:eastAsia="黑体" w:cs="黑体"/>
                <w:sz w:val="24"/>
                <w:highlight w:val="none"/>
              </w:rPr>
              <w:t>【失信被执行人、税收违法黑名单或重大税收违法失信主体查询渠道：“信用中国”网站www.creditchina.gov.cn、政府采购严重违法失信行为记录名单查询渠道：中国政府采购网（www.ccgp.gov.cn）】提供查询结果截图</w:t>
            </w:r>
            <w:r>
              <w:rPr>
                <w:rFonts w:hint="eastAsia" w:ascii="黑体" w:hAnsi="黑体" w:eastAsia="黑体" w:cs="黑体"/>
                <w:sz w:val="24"/>
                <w:szCs w:val="24"/>
                <w:highlight w:val="none"/>
              </w:rPr>
              <w:t>，查询时间自公告发布之日起；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30" w:hRule="atLeast"/>
          <w:jc w:val="center"/>
        </w:trPr>
        <w:tc>
          <w:tcPr>
            <w:tcW w:w="900" w:type="dxa"/>
            <w:vMerge w:val="continue"/>
            <w:vAlign w:val="center"/>
          </w:tcPr>
          <w:p>
            <w:pPr>
              <w:spacing w:line="360" w:lineRule="auto"/>
              <w:ind w:firstLine="480" w:firstLineChars="200"/>
              <w:rPr>
                <w:rFonts w:hint="eastAsia" w:ascii="黑体" w:hAnsi="黑体" w:eastAsia="黑体" w:cs="黑体"/>
                <w:kern w:val="0"/>
                <w:sz w:val="24"/>
                <w:highlight w:val="none"/>
              </w:rPr>
            </w:pPr>
          </w:p>
        </w:tc>
        <w:tc>
          <w:tcPr>
            <w:tcW w:w="1253" w:type="dxa"/>
            <w:vMerge w:val="continue"/>
            <w:vAlign w:val="center"/>
          </w:tcPr>
          <w:p>
            <w:pPr>
              <w:spacing w:line="360" w:lineRule="auto"/>
              <w:jc w:val="center"/>
              <w:rPr>
                <w:rFonts w:hint="eastAsia" w:ascii="黑体" w:hAnsi="黑体" w:eastAsia="黑体" w:cs="黑体"/>
                <w:kern w:val="0"/>
                <w:sz w:val="24"/>
                <w:highlight w:val="none"/>
              </w:rPr>
            </w:pPr>
          </w:p>
        </w:tc>
        <w:tc>
          <w:tcPr>
            <w:tcW w:w="1740" w:type="dxa"/>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b w:val="0"/>
                <w:bCs w:val="0"/>
                <w:sz w:val="24"/>
                <w:szCs w:val="24"/>
                <w:highlight w:val="none"/>
                <w:lang w:val="en-US" w:eastAsia="zh-CN"/>
              </w:rPr>
              <w:t>良好的商业信誉和健全的财务会计制度</w:t>
            </w:r>
          </w:p>
        </w:tc>
        <w:tc>
          <w:tcPr>
            <w:tcW w:w="5463" w:type="dxa"/>
            <w:vAlign w:val="center"/>
          </w:tcPr>
          <w:p>
            <w:pPr>
              <w:spacing w:line="360" w:lineRule="auto"/>
              <w:rPr>
                <w:rFonts w:hint="eastAsia" w:ascii="黑体" w:hAnsi="黑体" w:eastAsia="黑体" w:cs="黑体"/>
                <w:kern w:val="0"/>
                <w:sz w:val="24"/>
                <w:highlight w:val="none"/>
              </w:rPr>
            </w:pP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需提供具有良好的商业信誉和健全的财务会计制度承诺书，落款时间为磋商公告发出时间之日起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30" w:hRule="atLeast"/>
          <w:jc w:val="center"/>
        </w:trPr>
        <w:tc>
          <w:tcPr>
            <w:tcW w:w="900" w:type="dxa"/>
            <w:vMerge w:val="continue"/>
            <w:vAlign w:val="center"/>
          </w:tcPr>
          <w:p>
            <w:pPr>
              <w:spacing w:line="360" w:lineRule="auto"/>
              <w:ind w:firstLine="480" w:firstLineChars="200"/>
              <w:rPr>
                <w:rFonts w:hint="eastAsia" w:ascii="黑体" w:hAnsi="黑体" w:eastAsia="黑体" w:cs="黑体"/>
                <w:kern w:val="0"/>
                <w:sz w:val="24"/>
                <w:highlight w:val="none"/>
              </w:rPr>
            </w:pPr>
          </w:p>
        </w:tc>
        <w:tc>
          <w:tcPr>
            <w:tcW w:w="1253" w:type="dxa"/>
            <w:vMerge w:val="continue"/>
            <w:vAlign w:val="center"/>
          </w:tcPr>
          <w:p>
            <w:pPr>
              <w:spacing w:line="360" w:lineRule="auto"/>
              <w:jc w:val="center"/>
              <w:rPr>
                <w:rFonts w:hint="eastAsia" w:ascii="黑体" w:hAnsi="黑体" w:eastAsia="黑体" w:cs="黑体"/>
                <w:kern w:val="0"/>
                <w:sz w:val="24"/>
                <w:highlight w:val="none"/>
              </w:rPr>
            </w:pPr>
          </w:p>
        </w:tc>
        <w:tc>
          <w:tcPr>
            <w:tcW w:w="1740" w:type="dxa"/>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b w:val="0"/>
                <w:bCs w:val="0"/>
                <w:sz w:val="24"/>
                <w:szCs w:val="24"/>
                <w:highlight w:val="none"/>
                <w:lang w:val="en-US" w:eastAsia="zh-CN"/>
              </w:rPr>
              <w:t>有依法缴纳税收和社会保障资金的良好记录</w:t>
            </w:r>
          </w:p>
        </w:tc>
        <w:tc>
          <w:tcPr>
            <w:tcW w:w="5463" w:type="dxa"/>
            <w:vAlign w:val="center"/>
          </w:tcPr>
          <w:p>
            <w:pPr>
              <w:spacing w:line="360" w:lineRule="auto"/>
              <w:rPr>
                <w:rFonts w:hint="eastAsia" w:ascii="黑体" w:hAnsi="黑体" w:eastAsia="黑体" w:cs="黑体"/>
                <w:kern w:val="0"/>
                <w:sz w:val="24"/>
                <w:highlight w:val="none"/>
              </w:rPr>
            </w:pP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需提供具有依法缴纳税收和社会保障资金的良好记录承诺书，落款时间为磋商公告发出时间之日起字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30" w:hRule="atLeast"/>
          <w:jc w:val="center"/>
        </w:trPr>
        <w:tc>
          <w:tcPr>
            <w:tcW w:w="900" w:type="dxa"/>
            <w:vMerge w:val="continue"/>
            <w:vAlign w:val="center"/>
          </w:tcPr>
          <w:p>
            <w:pPr>
              <w:spacing w:line="360" w:lineRule="auto"/>
              <w:ind w:firstLine="480" w:firstLineChars="200"/>
              <w:rPr>
                <w:rFonts w:hint="eastAsia" w:ascii="黑体" w:hAnsi="黑体" w:eastAsia="黑体" w:cs="黑体"/>
                <w:kern w:val="0"/>
                <w:sz w:val="24"/>
                <w:highlight w:val="none"/>
              </w:rPr>
            </w:pPr>
          </w:p>
        </w:tc>
        <w:tc>
          <w:tcPr>
            <w:tcW w:w="1253" w:type="dxa"/>
            <w:vMerge w:val="continue"/>
            <w:vAlign w:val="center"/>
          </w:tcPr>
          <w:p>
            <w:pPr>
              <w:spacing w:line="360" w:lineRule="auto"/>
              <w:jc w:val="center"/>
              <w:rPr>
                <w:rFonts w:hint="eastAsia" w:ascii="黑体" w:hAnsi="黑体" w:eastAsia="黑体" w:cs="黑体"/>
                <w:kern w:val="0"/>
                <w:sz w:val="24"/>
                <w:highlight w:val="none"/>
              </w:rPr>
            </w:pPr>
          </w:p>
        </w:tc>
        <w:tc>
          <w:tcPr>
            <w:tcW w:w="1740" w:type="dxa"/>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无商业贿赂和不正当竞争行为</w:t>
            </w:r>
          </w:p>
        </w:tc>
        <w:tc>
          <w:tcPr>
            <w:tcW w:w="5463" w:type="dxa"/>
            <w:vAlign w:val="center"/>
          </w:tcPr>
          <w:p>
            <w:pPr>
              <w:spacing w:line="360" w:lineRule="auto"/>
              <w:rPr>
                <w:rFonts w:hint="eastAsia" w:ascii="黑体" w:hAnsi="黑体" w:eastAsia="黑体" w:cs="黑体"/>
                <w:kern w:val="0"/>
                <w:sz w:val="24"/>
                <w:highlight w:val="none"/>
              </w:rPr>
            </w:pPr>
            <w:r>
              <w:rPr>
                <w:rFonts w:hint="eastAsia" w:ascii="黑体" w:hAnsi="黑体" w:eastAsia="黑体" w:cs="黑体"/>
                <w:kern w:val="0"/>
                <w:sz w:val="24"/>
                <w:highlight w:val="none"/>
              </w:rPr>
              <w:t>企业出具无商业贿赂和不正当竞争行为承诺书；（格式自拟）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30" w:hRule="atLeast"/>
          <w:jc w:val="center"/>
        </w:trPr>
        <w:tc>
          <w:tcPr>
            <w:tcW w:w="900" w:type="dxa"/>
            <w:vMerge w:val="continue"/>
            <w:vAlign w:val="center"/>
          </w:tcPr>
          <w:p>
            <w:pPr>
              <w:spacing w:line="360" w:lineRule="auto"/>
              <w:ind w:firstLine="480" w:firstLineChars="200"/>
              <w:rPr>
                <w:rFonts w:hint="eastAsia" w:ascii="黑体" w:hAnsi="黑体" w:eastAsia="黑体" w:cs="黑体"/>
                <w:kern w:val="0"/>
                <w:sz w:val="24"/>
                <w:highlight w:val="none"/>
              </w:rPr>
            </w:pPr>
          </w:p>
        </w:tc>
        <w:tc>
          <w:tcPr>
            <w:tcW w:w="1253" w:type="dxa"/>
            <w:vMerge w:val="continue"/>
            <w:vAlign w:val="center"/>
          </w:tcPr>
          <w:p>
            <w:pPr>
              <w:spacing w:line="360" w:lineRule="auto"/>
              <w:jc w:val="center"/>
              <w:rPr>
                <w:rFonts w:hint="eastAsia" w:ascii="黑体" w:hAnsi="黑体" w:eastAsia="黑体" w:cs="黑体"/>
                <w:kern w:val="0"/>
                <w:sz w:val="24"/>
                <w:highlight w:val="none"/>
              </w:rPr>
            </w:pPr>
          </w:p>
        </w:tc>
        <w:tc>
          <w:tcPr>
            <w:tcW w:w="1740" w:type="dxa"/>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无行贿犯罪记录在中国裁判文书网自行查询或自行承诺</w:t>
            </w:r>
          </w:p>
        </w:tc>
        <w:tc>
          <w:tcPr>
            <w:tcW w:w="5463" w:type="dxa"/>
            <w:vAlign w:val="center"/>
          </w:tcPr>
          <w:p>
            <w:pPr>
              <w:spacing w:line="360" w:lineRule="auto"/>
              <w:rPr>
                <w:rFonts w:hint="eastAsia" w:ascii="黑体" w:hAnsi="黑体" w:eastAsia="黑体" w:cs="黑体"/>
                <w:kern w:val="0"/>
                <w:sz w:val="24"/>
                <w:highlight w:val="none"/>
              </w:rPr>
            </w:pPr>
            <w:r>
              <w:rPr>
                <w:rFonts w:hint="eastAsia" w:ascii="黑体" w:hAnsi="黑体" w:eastAsia="黑体" w:cs="黑体"/>
                <w:kern w:val="0"/>
                <w:sz w:val="24"/>
                <w:highlight w:val="none"/>
              </w:rPr>
              <w:t>企业出具无行贿犯罪记录在中国裁判文书网自行查询或自行承诺（查询对象为企业、法定代表人）；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2" w:hRule="atLeast"/>
          <w:jc w:val="center"/>
        </w:trPr>
        <w:tc>
          <w:tcPr>
            <w:tcW w:w="900" w:type="dxa"/>
            <w:vMerge w:val="continue"/>
            <w:vAlign w:val="center"/>
          </w:tcPr>
          <w:p>
            <w:pPr>
              <w:spacing w:line="360" w:lineRule="auto"/>
              <w:ind w:firstLine="480" w:firstLineChars="200"/>
              <w:rPr>
                <w:rFonts w:hint="eastAsia" w:ascii="黑体" w:hAnsi="黑体" w:eastAsia="黑体" w:cs="黑体"/>
                <w:kern w:val="0"/>
                <w:sz w:val="24"/>
                <w:highlight w:val="none"/>
              </w:rPr>
            </w:pPr>
          </w:p>
        </w:tc>
        <w:tc>
          <w:tcPr>
            <w:tcW w:w="1253" w:type="dxa"/>
            <w:vMerge w:val="continue"/>
            <w:vAlign w:val="center"/>
          </w:tcPr>
          <w:p>
            <w:pPr>
              <w:spacing w:line="360" w:lineRule="auto"/>
              <w:jc w:val="center"/>
              <w:rPr>
                <w:rFonts w:hint="eastAsia" w:ascii="黑体" w:hAnsi="黑体" w:eastAsia="黑体" w:cs="黑体"/>
                <w:kern w:val="0"/>
                <w:sz w:val="24"/>
                <w:highlight w:val="none"/>
              </w:rPr>
            </w:pPr>
          </w:p>
        </w:tc>
        <w:tc>
          <w:tcPr>
            <w:tcW w:w="1740" w:type="dxa"/>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非联合体磋商</w:t>
            </w:r>
          </w:p>
        </w:tc>
        <w:tc>
          <w:tcPr>
            <w:tcW w:w="5463" w:type="dxa"/>
            <w:vAlign w:val="center"/>
          </w:tcPr>
          <w:p>
            <w:pPr>
              <w:spacing w:line="360" w:lineRule="auto"/>
              <w:rPr>
                <w:rFonts w:hint="eastAsia" w:ascii="黑体" w:hAnsi="黑体" w:eastAsia="黑体" w:cs="黑体"/>
                <w:kern w:val="0"/>
                <w:sz w:val="24"/>
                <w:highlight w:val="none"/>
              </w:rPr>
            </w:pPr>
            <w:r>
              <w:rPr>
                <w:rFonts w:hint="eastAsia" w:ascii="黑体" w:hAnsi="黑体" w:eastAsia="黑体" w:cs="黑体"/>
                <w:kern w:val="0"/>
                <w:sz w:val="24"/>
                <w:highlight w:val="none"/>
              </w:rPr>
              <w:t>响应人需提供非联合体磋商承诺书。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2" w:hRule="atLeast"/>
          <w:jc w:val="center"/>
        </w:trPr>
        <w:tc>
          <w:tcPr>
            <w:tcW w:w="900" w:type="dxa"/>
            <w:vAlign w:val="center"/>
          </w:tcPr>
          <w:p>
            <w:pPr>
              <w:spacing w:line="360" w:lineRule="auto"/>
              <w:ind w:firstLine="480" w:firstLineChars="200"/>
              <w:rPr>
                <w:rFonts w:hint="eastAsia" w:ascii="黑体" w:hAnsi="黑体" w:eastAsia="黑体" w:cs="黑体"/>
                <w:kern w:val="0"/>
                <w:sz w:val="24"/>
                <w:highlight w:val="none"/>
              </w:rPr>
            </w:pPr>
          </w:p>
        </w:tc>
        <w:tc>
          <w:tcPr>
            <w:tcW w:w="1253" w:type="dxa"/>
            <w:vAlign w:val="center"/>
          </w:tcPr>
          <w:p>
            <w:pPr>
              <w:spacing w:line="360" w:lineRule="auto"/>
              <w:jc w:val="center"/>
              <w:rPr>
                <w:rFonts w:hint="eastAsia" w:ascii="黑体" w:hAnsi="黑体" w:eastAsia="黑体" w:cs="黑体"/>
                <w:kern w:val="0"/>
                <w:sz w:val="24"/>
                <w:highlight w:val="none"/>
              </w:rPr>
            </w:pPr>
          </w:p>
        </w:tc>
        <w:tc>
          <w:tcPr>
            <w:tcW w:w="7203" w:type="dxa"/>
            <w:gridSpan w:val="2"/>
            <w:vAlign w:val="center"/>
          </w:tcPr>
          <w:p>
            <w:pPr>
              <w:spacing w:line="360" w:lineRule="auto"/>
              <w:rPr>
                <w:rFonts w:hint="eastAsia" w:ascii="黑体" w:hAnsi="黑体" w:eastAsia="黑体" w:cs="黑体"/>
                <w:kern w:val="0"/>
                <w:sz w:val="24"/>
                <w:highlight w:val="none"/>
              </w:rPr>
            </w:pPr>
            <w:r>
              <w:rPr>
                <w:rFonts w:hint="eastAsia" w:ascii="宋体" w:hAnsi="宋体" w:cs="宋体"/>
                <w:b/>
                <w:bCs/>
                <w:sz w:val="24"/>
                <w:szCs w:val="24"/>
                <w:highlight w:val="none"/>
              </w:rPr>
              <w:t>注：</w:t>
            </w:r>
            <w:r>
              <w:rPr>
                <w:rFonts w:hint="eastAsia" w:ascii="宋体" w:hAnsi="宋体" w:cs="宋体"/>
                <w:b/>
                <w:sz w:val="24"/>
                <w:szCs w:val="24"/>
                <w:highlight w:val="none"/>
              </w:rPr>
              <w:t>本项目实行资格后审，审查内容以竞争性磋商响应文件为准</w:t>
            </w:r>
            <w:r>
              <w:rPr>
                <w:rFonts w:hint="eastAsia" w:ascii="宋体" w:hAnsi="宋体" w:cs="宋体"/>
                <w:b/>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jc w:val="center"/>
        </w:trPr>
        <w:tc>
          <w:tcPr>
            <w:tcW w:w="900" w:type="dxa"/>
            <w:vMerge w:val="restart"/>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3</w:t>
            </w:r>
          </w:p>
        </w:tc>
        <w:tc>
          <w:tcPr>
            <w:tcW w:w="1253" w:type="dxa"/>
            <w:vMerge w:val="restart"/>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响应性评审标准</w:t>
            </w:r>
          </w:p>
        </w:tc>
        <w:tc>
          <w:tcPr>
            <w:tcW w:w="1740" w:type="dxa"/>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磋商范围</w:t>
            </w:r>
          </w:p>
        </w:tc>
        <w:tc>
          <w:tcPr>
            <w:tcW w:w="5463" w:type="dxa"/>
            <w:vAlign w:val="center"/>
          </w:tcPr>
          <w:p>
            <w:pPr>
              <w:spacing w:line="360" w:lineRule="auto"/>
              <w:rPr>
                <w:rFonts w:hint="eastAsia" w:ascii="黑体" w:hAnsi="黑体" w:eastAsia="黑体" w:cs="黑体"/>
                <w:kern w:val="0"/>
                <w:sz w:val="24"/>
                <w:highlight w:val="none"/>
              </w:rPr>
            </w:pPr>
            <w:r>
              <w:rPr>
                <w:rFonts w:hint="eastAsia" w:ascii="黑体" w:hAnsi="黑体" w:eastAsia="黑体" w:cs="黑体"/>
                <w:kern w:val="0"/>
                <w:sz w:val="24"/>
                <w:highlight w:val="none"/>
              </w:rPr>
              <w:t>磋商文件范围内的所有内容。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3" w:hRule="atLeast"/>
          <w:jc w:val="center"/>
        </w:trPr>
        <w:tc>
          <w:tcPr>
            <w:tcW w:w="900" w:type="dxa"/>
            <w:vMerge w:val="continue"/>
            <w:vAlign w:val="center"/>
          </w:tcPr>
          <w:p>
            <w:pPr>
              <w:spacing w:line="360" w:lineRule="auto"/>
              <w:ind w:firstLine="480" w:firstLineChars="200"/>
              <w:rPr>
                <w:rFonts w:hint="eastAsia" w:ascii="黑体" w:hAnsi="黑体" w:eastAsia="黑体" w:cs="黑体"/>
                <w:kern w:val="0"/>
                <w:sz w:val="24"/>
                <w:highlight w:val="none"/>
              </w:rPr>
            </w:pPr>
          </w:p>
        </w:tc>
        <w:tc>
          <w:tcPr>
            <w:tcW w:w="1253" w:type="dxa"/>
            <w:vMerge w:val="continue"/>
            <w:vAlign w:val="center"/>
          </w:tcPr>
          <w:p>
            <w:pPr>
              <w:spacing w:line="360" w:lineRule="auto"/>
              <w:jc w:val="center"/>
              <w:rPr>
                <w:rFonts w:hint="eastAsia" w:ascii="黑体" w:hAnsi="黑体" w:eastAsia="黑体" w:cs="黑体"/>
                <w:kern w:val="0"/>
                <w:sz w:val="24"/>
                <w:highlight w:val="none"/>
              </w:rPr>
            </w:pPr>
          </w:p>
        </w:tc>
        <w:tc>
          <w:tcPr>
            <w:tcW w:w="1740" w:type="dxa"/>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服务周期</w:t>
            </w:r>
          </w:p>
        </w:tc>
        <w:tc>
          <w:tcPr>
            <w:tcW w:w="5463" w:type="dxa"/>
            <w:vAlign w:val="center"/>
          </w:tcPr>
          <w:p>
            <w:pPr>
              <w:spacing w:line="360" w:lineRule="auto"/>
              <w:rPr>
                <w:rFonts w:hint="eastAsia" w:ascii="黑体" w:hAnsi="黑体" w:eastAsia="黑体" w:cs="黑体"/>
                <w:sz w:val="24"/>
                <w:highlight w:val="none"/>
              </w:rPr>
            </w:pPr>
            <w:r>
              <w:rPr>
                <w:rFonts w:hint="eastAsia" w:ascii="黑体" w:hAnsi="黑体" w:eastAsia="黑体" w:cs="黑体"/>
                <w:sz w:val="24"/>
                <w:highlight w:val="none"/>
              </w:rPr>
              <w:t>签订合同后</w:t>
            </w:r>
            <w:r>
              <w:rPr>
                <w:rFonts w:hint="eastAsia" w:ascii="黑体" w:hAnsi="黑体" w:eastAsia="黑体" w:cs="黑体"/>
                <w:sz w:val="24"/>
                <w:highlight w:val="none"/>
                <w:lang w:val="en-US" w:eastAsia="zh-CN"/>
              </w:rPr>
              <w:t>6</w:t>
            </w:r>
            <w:r>
              <w:rPr>
                <w:rFonts w:hint="eastAsia" w:ascii="黑体" w:hAnsi="黑体" w:eastAsia="黑体" w:cs="黑体"/>
                <w:sz w:val="24"/>
                <w:highlight w:val="none"/>
              </w:rPr>
              <w:t>0日历天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03" w:hRule="atLeast"/>
          <w:jc w:val="center"/>
        </w:trPr>
        <w:tc>
          <w:tcPr>
            <w:tcW w:w="900" w:type="dxa"/>
            <w:vMerge w:val="continue"/>
            <w:vAlign w:val="center"/>
          </w:tcPr>
          <w:p>
            <w:pPr>
              <w:spacing w:line="360" w:lineRule="auto"/>
              <w:ind w:firstLine="480" w:firstLineChars="200"/>
              <w:rPr>
                <w:rFonts w:hint="eastAsia" w:ascii="黑体" w:hAnsi="黑体" w:eastAsia="黑体" w:cs="黑体"/>
                <w:kern w:val="0"/>
                <w:sz w:val="24"/>
                <w:highlight w:val="none"/>
              </w:rPr>
            </w:pPr>
          </w:p>
        </w:tc>
        <w:tc>
          <w:tcPr>
            <w:tcW w:w="1253" w:type="dxa"/>
            <w:vMerge w:val="continue"/>
            <w:vAlign w:val="center"/>
          </w:tcPr>
          <w:p>
            <w:pPr>
              <w:spacing w:line="360" w:lineRule="auto"/>
              <w:jc w:val="center"/>
              <w:rPr>
                <w:rFonts w:hint="eastAsia" w:ascii="黑体" w:hAnsi="黑体" w:eastAsia="黑体" w:cs="黑体"/>
                <w:kern w:val="0"/>
                <w:sz w:val="24"/>
                <w:highlight w:val="none"/>
              </w:rPr>
            </w:pPr>
          </w:p>
        </w:tc>
        <w:tc>
          <w:tcPr>
            <w:tcW w:w="1740" w:type="dxa"/>
            <w:vAlign w:val="center"/>
          </w:tcPr>
          <w:p>
            <w:pPr>
              <w:spacing w:line="360" w:lineRule="auto"/>
              <w:jc w:val="center"/>
              <w:rPr>
                <w:rFonts w:hint="eastAsia" w:ascii="黑体" w:hAnsi="黑体" w:eastAsia="黑体" w:cs="黑体"/>
                <w:sz w:val="24"/>
                <w:highlight w:val="none"/>
                <w:lang w:eastAsia="zh-CN"/>
              </w:rPr>
            </w:pPr>
            <w:r>
              <w:rPr>
                <w:rFonts w:hint="eastAsia" w:ascii="黑体" w:hAnsi="黑体" w:eastAsia="黑体" w:cs="黑体"/>
                <w:sz w:val="24"/>
                <w:highlight w:val="none"/>
              </w:rPr>
              <w:t>质量</w:t>
            </w:r>
            <w:r>
              <w:rPr>
                <w:rFonts w:hint="eastAsia" w:ascii="黑体" w:hAnsi="黑体" w:eastAsia="黑体" w:cs="黑体"/>
                <w:sz w:val="24"/>
                <w:highlight w:val="none"/>
                <w:lang w:val="en-US" w:eastAsia="zh-CN"/>
              </w:rPr>
              <w:t>要求</w:t>
            </w:r>
          </w:p>
        </w:tc>
        <w:tc>
          <w:tcPr>
            <w:tcW w:w="5463" w:type="dxa"/>
            <w:vAlign w:val="center"/>
          </w:tcPr>
          <w:p>
            <w:pPr>
              <w:spacing w:line="360" w:lineRule="auto"/>
              <w:rPr>
                <w:rFonts w:hint="eastAsia" w:ascii="黑体" w:hAnsi="黑体" w:eastAsia="黑体" w:cs="黑体"/>
                <w:sz w:val="24"/>
                <w:highlight w:val="none"/>
              </w:rPr>
            </w:pPr>
            <w:r>
              <w:rPr>
                <w:rFonts w:hint="eastAsia" w:ascii="黑体" w:hAnsi="黑体" w:eastAsia="黑体" w:cs="黑体"/>
                <w:sz w:val="24"/>
                <w:highlight w:val="none"/>
              </w:rPr>
              <w:t>符合国家现行相关法律、规范、标准等规定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900" w:type="dxa"/>
            <w:vMerge w:val="continue"/>
            <w:vAlign w:val="center"/>
          </w:tcPr>
          <w:p>
            <w:pPr>
              <w:spacing w:line="360" w:lineRule="auto"/>
              <w:ind w:firstLine="480" w:firstLineChars="200"/>
              <w:rPr>
                <w:rFonts w:hint="eastAsia" w:ascii="黑体" w:hAnsi="黑体" w:eastAsia="黑体" w:cs="黑体"/>
                <w:kern w:val="0"/>
                <w:sz w:val="24"/>
                <w:highlight w:val="none"/>
              </w:rPr>
            </w:pPr>
          </w:p>
        </w:tc>
        <w:tc>
          <w:tcPr>
            <w:tcW w:w="1253" w:type="dxa"/>
            <w:vMerge w:val="continue"/>
            <w:vAlign w:val="center"/>
          </w:tcPr>
          <w:p>
            <w:pPr>
              <w:spacing w:line="360" w:lineRule="auto"/>
              <w:jc w:val="center"/>
              <w:rPr>
                <w:rFonts w:hint="eastAsia" w:ascii="黑体" w:hAnsi="黑体" w:eastAsia="黑体" w:cs="黑体"/>
                <w:kern w:val="0"/>
                <w:sz w:val="24"/>
                <w:highlight w:val="none"/>
              </w:rPr>
            </w:pPr>
          </w:p>
        </w:tc>
        <w:tc>
          <w:tcPr>
            <w:tcW w:w="1740" w:type="dxa"/>
            <w:vAlign w:val="center"/>
          </w:tcPr>
          <w:p>
            <w:pPr>
              <w:spacing w:line="360" w:lineRule="auto"/>
              <w:jc w:val="center"/>
              <w:rPr>
                <w:rFonts w:hint="eastAsia" w:ascii="黑体" w:hAnsi="黑体" w:eastAsia="黑体" w:cs="黑体"/>
                <w:kern w:val="0"/>
                <w:sz w:val="24"/>
                <w:highlight w:val="none"/>
              </w:rPr>
            </w:pPr>
            <w:r>
              <w:rPr>
                <w:rFonts w:hint="eastAsia" w:ascii="黑体" w:hAnsi="黑体" w:eastAsia="黑体" w:cs="黑体"/>
                <w:kern w:val="0"/>
                <w:sz w:val="24"/>
                <w:highlight w:val="none"/>
              </w:rPr>
              <w:t>磋商有效期</w:t>
            </w:r>
          </w:p>
        </w:tc>
        <w:tc>
          <w:tcPr>
            <w:tcW w:w="5463" w:type="dxa"/>
            <w:vAlign w:val="center"/>
          </w:tcPr>
          <w:p>
            <w:pPr>
              <w:spacing w:line="360" w:lineRule="auto"/>
              <w:rPr>
                <w:rFonts w:hint="eastAsia" w:ascii="黑体" w:hAnsi="黑体" w:eastAsia="黑体" w:cs="黑体"/>
                <w:kern w:val="0"/>
                <w:sz w:val="24"/>
                <w:highlight w:val="none"/>
              </w:rPr>
            </w:pPr>
            <w:r>
              <w:rPr>
                <w:rFonts w:hint="eastAsia" w:ascii="黑体" w:hAnsi="黑体" w:eastAsia="黑体" w:cs="黑体"/>
                <w:kern w:val="0"/>
                <w:sz w:val="24"/>
                <w:highlight w:val="none"/>
              </w:rPr>
              <w:t>自响应性文件递交截止之日起90日历天</w:t>
            </w:r>
          </w:p>
        </w:tc>
      </w:tr>
    </w:tbl>
    <w:p>
      <w:pPr>
        <w:rPr>
          <w:rFonts w:ascii="宋体" w:hAnsi="宋体" w:cs="宋体"/>
          <w:b/>
          <w:kern w:val="0"/>
          <w:sz w:val="24"/>
          <w:highlight w:val="none"/>
        </w:rPr>
      </w:pPr>
    </w:p>
    <w:p>
      <w:pPr>
        <w:rPr>
          <w:rFonts w:ascii="宋体" w:hAnsi="宋体" w:cs="宋体"/>
          <w:b/>
          <w:kern w:val="0"/>
          <w:sz w:val="24"/>
          <w:highlight w:val="none"/>
        </w:rPr>
      </w:pPr>
      <w:r>
        <w:rPr>
          <w:rFonts w:ascii="宋体" w:hAnsi="宋体" w:cs="宋体"/>
          <w:b/>
          <w:kern w:val="0"/>
          <w:sz w:val="24"/>
          <w:highlight w:val="none"/>
        </w:rPr>
        <w:br w:type="page"/>
      </w:r>
    </w:p>
    <w:tbl>
      <w:tblPr>
        <w:tblStyle w:val="21"/>
        <w:tblpPr w:leftFromText="180" w:rightFromText="180" w:vertAnchor="text" w:horzAnchor="page" w:tblpXSpec="center" w:tblpY="762"/>
        <w:tblOverlap w:val="never"/>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45"/>
        <w:gridCol w:w="2984"/>
        <w:gridCol w:w="4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40" w:type="dxa"/>
            <w:noWrap/>
            <w:vAlign w:val="center"/>
          </w:tcPr>
          <w:p>
            <w:pPr>
              <w:ind w:leftChars="-48" w:right="-250" w:rightChars="-119" w:hanging="101" w:hangingChars="42"/>
              <w:rPr>
                <w:b/>
                <w:sz w:val="24"/>
                <w:szCs w:val="24"/>
                <w:highlight w:val="none"/>
              </w:rPr>
            </w:pPr>
            <w:r>
              <w:rPr>
                <w:b/>
                <w:sz w:val="24"/>
                <w:szCs w:val="24"/>
                <w:highlight w:val="none"/>
              </w:rPr>
              <w:t>序号</w:t>
            </w:r>
          </w:p>
        </w:tc>
        <w:tc>
          <w:tcPr>
            <w:tcW w:w="1845" w:type="dxa"/>
            <w:noWrap/>
            <w:vAlign w:val="center"/>
          </w:tcPr>
          <w:p>
            <w:pPr>
              <w:ind w:right="-88" w:rightChars="-42"/>
              <w:rPr>
                <w:b/>
                <w:sz w:val="24"/>
                <w:szCs w:val="24"/>
                <w:highlight w:val="none"/>
              </w:rPr>
            </w:pPr>
            <w:r>
              <w:rPr>
                <w:b/>
                <w:sz w:val="24"/>
                <w:szCs w:val="24"/>
                <w:highlight w:val="none"/>
              </w:rPr>
              <w:t>条款号</w:t>
            </w:r>
          </w:p>
        </w:tc>
        <w:tc>
          <w:tcPr>
            <w:tcW w:w="7900" w:type="dxa"/>
            <w:gridSpan w:val="2"/>
            <w:noWrap/>
            <w:vAlign w:val="center"/>
          </w:tcPr>
          <w:p>
            <w:pPr>
              <w:ind w:right="-340" w:rightChars="-162"/>
              <w:jc w:val="center"/>
              <w:rPr>
                <w:b/>
                <w:sz w:val="24"/>
                <w:szCs w:val="24"/>
                <w:highlight w:val="none"/>
              </w:rPr>
            </w:pPr>
            <w:r>
              <w:rPr>
                <w:b/>
                <w:w w:val="99"/>
                <w:sz w:val="24"/>
                <w:szCs w:val="24"/>
                <w:highlight w:val="none"/>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40" w:type="dxa"/>
            <w:vMerge w:val="restart"/>
            <w:noWrap/>
            <w:vAlign w:val="center"/>
          </w:tcPr>
          <w:p>
            <w:pPr>
              <w:ind w:left="-141" w:leftChars="-76" w:right="-250" w:rightChars="-119" w:hanging="19" w:hangingChars="8"/>
              <w:jc w:val="center"/>
              <w:rPr>
                <w:b/>
                <w:sz w:val="24"/>
                <w:szCs w:val="24"/>
                <w:highlight w:val="none"/>
              </w:rPr>
            </w:pPr>
            <w:r>
              <w:rPr>
                <w:b/>
                <w:sz w:val="24"/>
                <w:szCs w:val="24"/>
                <w:highlight w:val="none"/>
              </w:rPr>
              <w:t>1</w:t>
            </w:r>
          </w:p>
        </w:tc>
        <w:tc>
          <w:tcPr>
            <w:tcW w:w="1845" w:type="dxa"/>
            <w:noWrap/>
            <w:vAlign w:val="center"/>
          </w:tcPr>
          <w:p>
            <w:pPr>
              <w:spacing w:line="400" w:lineRule="exact"/>
              <w:jc w:val="center"/>
              <w:rPr>
                <w:sz w:val="24"/>
                <w:highlight w:val="none"/>
              </w:rPr>
            </w:pPr>
            <w:r>
              <w:rPr>
                <w:sz w:val="24"/>
                <w:highlight w:val="none"/>
              </w:rPr>
              <w:t>分值构成</w:t>
            </w:r>
          </w:p>
          <w:p>
            <w:pPr>
              <w:spacing w:line="400" w:lineRule="exact"/>
              <w:ind w:right="-107" w:rightChars="-51"/>
              <w:jc w:val="center"/>
              <w:rPr>
                <w:snapToGrid w:val="0"/>
                <w:sz w:val="24"/>
                <w:szCs w:val="24"/>
                <w:highlight w:val="none"/>
              </w:rPr>
            </w:pPr>
            <w:r>
              <w:rPr>
                <w:sz w:val="24"/>
                <w:highlight w:val="none"/>
              </w:rPr>
              <w:t>(总分100分)</w:t>
            </w:r>
          </w:p>
        </w:tc>
        <w:tc>
          <w:tcPr>
            <w:tcW w:w="7900" w:type="dxa"/>
            <w:gridSpan w:val="2"/>
            <w:noWrap/>
            <w:vAlign w:val="center"/>
          </w:tcPr>
          <w:p>
            <w:pPr>
              <w:spacing w:line="276" w:lineRule="auto"/>
              <w:ind w:firstLine="240" w:firstLineChars="100"/>
              <w:jc w:val="left"/>
              <w:rPr>
                <w:sz w:val="24"/>
                <w:highlight w:val="none"/>
              </w:rPr>
            </w:pPr>
            <w:r>
              <w:rPr>
                <w:sz w:val="24"/>
                <w:highlight w:val="none"/>
              </w:rPr>
              <w:t>报价分：</w:t>
            </w:r>
            <w:r>
              <w:rPr>
                <w:rFonts w:hint="eastAsia" w:ascii="宋体" w:hAnsi="宋体" w:cs="宋体"/>
                <w:kern w:val="0"/>
                <w:sz w:val="24"/>
                <w:szCs w:val="24"/>
                <w:highlight w:val="none"/>
                <w:lang w:val="en-US" w:eastAsia="zh-CN"/>
              </w:rPr>
              <w:t>10分</w:t>
            </w:r>
            <w:r>
              <w:rPr>
                <w:sz w:val="24"/>
                <w:highlight w:val="none"/>
              </w:rPr>
              <w:t>；技术分：</w:t>
            </w:r>
            <w:r>
              <w:rPr>
                <w:rFonts w:hint="eastAsia"/>
                <w:sz w:val="24"/>
                <w:highlight w:val="none"/>
                <w:lang w:val="en-US" w:eastAsia="zh-CN"/>
              </w:rPr>
              <w:t>5</w:t>
            </w:r>
            <w:r>
              <w:rPr>
                <w:rFonts w:hint="eastAsia"/>
                <w:sz w:val="24"/>
                <w:highlight w:val="none"/>
              </w:rPr>
              <w:t>5</w:t>
            </w:r>
            <w:r>
              <w:rPr>
                <w:sz w:val="24"/>
                <w:highlight w:val="none"/>
              </w:rPr>
              <w:t>分；</w:t>
            </w:r>
            <w:r>
              <w:rPr>
                <w:rFonts w:hint="eastAsia"/>
                <w:sz w:val="24"/>
                <w:highlight w:val="none"/>
              </w:rPr>
              <w:t>综合</w:t>
            </w:r>
            <w:r>
              <w:rPr>
                <w:sz w:val="24"/>
                <w:highlight w:val="none"/>
              </w:rPr>
              <w:t>分：</w:t>
            </w:r>
            <w:r>
              <w:rPr>
                <w:rFonts w:hint="eastAsia"/>
                <w:sz w:val="24"/>
                <w:highlight w:val="none"/>
                <w:lang w:val="en-US" w:eastAsia="zh-CN"/>
              </w:rPr>
              <w:t>35</w:t>
            </w:r>
            <w:r>
              <w:rPr>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540" w:type="dxa"/>
            <w:vMerge w:val="continue"/>
            <w:noWrap/>
            <w:vAlign w:val="center"/>
          </w:tcPr>
          <w:p>
            <w:pPr>
              <w:ind w:left="-141" w:leftChars="-76" w:right="-250" w:rightChars="-119" w:hanging="19" w:hangingChars="8"/>
              <w:jc w:val="center"/>
              <w:rPr>
                <w:b/>
                <w:sz w:val="24"/>
                <w:szCs w:val="24"/>
                <w:highlight w:val="none"/>
              </w:rPr>
            </w:pPr>
          </w:p>
        </w:tc>
        <w:tc>
          <w:tcPr>
            <w:tcW w:w="1845" w:type="dxa"/>
            <w:noWrap/>
            <w:vAlign w:val="center"/>
          </w:tcPr>
          <w:p>
            <w:pPr>
              <w:spacing w:line="400" w:lineRule="exact"/>
              <w:jc w:val="center"/>
              <w:rPr>
                <w:sz w:val="24"/>
                <w:highlight w:val="none"/>
              </w:rPr>
            </w:pPr>
            <w:r>
              <w:rPr>
                <w:sz w:val="24"/>
                <w:highlight w:val="none"/>
              </w:rPr>
              <w:t>综合得分</w:t>
            </w:r>
          </w:p>
          <w:p>
            <w:pPr>
              <w:spacing w:line="400" w:lineRule="exact"/>
              <w:jc w:val="center"/>
              <w:rPr>
                <w:sz w:val="24"/>
                <w:highlight w:val="none"/>
              </w:rPr>
            </w:pPr>
            <w:r>
              <w:rPr>
                <w:sz w:val="24"/>
                <w:highlight w:val="none"/>
              </w:rPr>
              <w:t>按公式计算</w:t>
            </w:r>
          </w:p>
        </w:tc>
        <w:tc>
          <w:tcPr>
            <w:tcW w:w="7900" w:type="dxa"/>
            <w:gridSpan w:val="2"/>
            <w:noWrap/>
            <w:vAlign w:val="center"/>
          </w:tcPr>
          <w:p>
            <w:pPr>
              <w:spacing w:line="360" w:lineRule="auto"/>
              <w:ind w:firstLine="240" w:firstLineChars="100"/>
              <w:rPr>
                <w:sz w:val="24"/>
                <w:highlight w:val="none"/>
              </w:rPr>
            </w:pPr>
            <w:r>
              <w:rPr>
                <w:sz w:val="24"/>
                <w:highlight w:val="none"/>
              </w:rPr>
              <w:t>综合得分=报价得分＋技术得分＋商务得分；</w:t>
            </w:r>
          </w:p>
          <w:p>
            <w:pPr>
              <w:spacing w:line="360" w:lineRule="auto"/>
              <w:ind w:firstLine="240" w:firstLineChars="100"/>
              <w:rPr>
                <w:sz w:val="24"/>
                <w:highlight w:val="none"/>
              </w:rPr>
            </w:pPr>
            <w:r>
              <w:rPr>
                <w:rFonts w:hint="eastAsia"/>
                <w:sz w:val="24"/>
                <w:highlight w:val="none"/>
              </w:rPr>
              <w:t>响应人</w:t>
            </w:r>
            <w:r>
              <w:rPr>
                <w:sz w:val="24"/>
                <w:highlight w:val="none"/>
              </w:rPr>
              <w:t>综合得分按下列公式计算（计算分值均保留两位小数）；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0" w:type="dxa"/>
            <w:vMerge w:val="restart"/>
            <w:noWrap/>
            <w:vAlign w:val="center"/>
          </w:tcPr>
          <w:p>
            <w:pPr>
              <w:ind w:left="-141" w:leftChars="-76" w:right="-250" w:rightChars="-119" w:hanging="19" w:hangingChars="8"/>
              <w:jc w:val="center"/>
              <w:rPr>
                <w:b/>
                <w:sz w:val="24"/>
                <w:szCs w:val="24"/>
                <w:highlight w:val="none"/>
              </w:rPr>
            </w:pPr>
            <w:r>
              <w:rPr>
                <w:b/>
                <w:sz w:val="24"/>
                <w:szCs w:val="24"/>
                <w:highlight w:val="none"/>
              </w:rPr>
              <w:t>2</w:t>
            </w:r>
          </w:p>
        </w:tc>
        <w:tc>
          <w:tcPr>
            <w:tcW w:w="1845" w:type="dxa"/>
            <w:vMerge w:val="restart"/>
            <w:noWrap/>
            <w:vAlign w:val="center"/>
          </w:tcPr>
          <w:p>
            <w:pPr>
              <w:ind w:right="-107" w:rightChars="-51"/>
              <w:jc w:val="center"/>
              <w:rPr>
                <w:snapToGrid w:val="0"/>
                <w:kern w:val="0"/>
                <w:sz w:val="24"/>
                <w:szCs w:val="24"/>
                <w:highlight w:val="none"/>
              </w:rPr>
            </w:pPr>
            <w:r>
              <w:rPr>
                <w:snapToGrid w:val="0"/>
                <w:kern w:val="0"/>
                <w:sz w:val="24"/>
                <w:szCs w:val="24"/>
                <w:highlight w:val="none"/>
              </w:rPr>
              <w:t>磋商报价</w:t>
            </w:r>
            <w:r>
              <w:rPr>
                <w:rFonts w:hint="eastAsia"/>
                <w:snapToGrid w:val="0"/>
                <w:kern w:val="0"/>
                <w:sz w:val="24"/>
                <w:szCs w:val="24"/>
                <w:highlight w:val="none"/>
              </w:rPr>
              <w:t>分</w:t>
            </w:r>
          </w:p>
          <w:p>
            <w:pPr>
              <w:ind w:right="-107" w:rightChars="-51"/>
              <w:jc w:val="center"/>
              <w:rPr>
                <w:snapToGrid w:val="0"/>
                <w:kern w:val="0"/>
                <w:sz w:val="24"/>
                <w:szCs w:val="24"/>
                <w:highlight w:val="none"/>
              </w:rPr>
            </w:pPr>
            <w:r>
              <w:rPr>
                <w:rFonts w:hint="eastAsia"/>
                <w:snapToGrid w:val="0"/>
                <w:kern w:val="0"/>
                <w:sz w:val="24"/>
                <w:szCs w:val="24"/>
                <w:highlight w:val="none"/>
              </w:rPr>
              <w:t>1</w:t>
            </w:r>
            <w:r>
              <w:rPr>
                <w:rFonts w:hint="eastAsia"/>
                <w:snapToGrid w:val="0"/>
                <w:kern w:val="0"/>
                <w:sz w:val="24"/>
                <w:szCs w:val="24"/>
                <w:highlight w:val="none"/>
                <w:lang w:val="en-US" w:eastAsia="zh-CN"/>
              </w:rPr>
              <w:t>0</w:t>
            </w:r>
            <w:r>
              <w:rPr>
                <w:snapToGrid w:val="0"/>
                <w:kern w:val="0"/>
                <w:sz w:val="24"/>
                <w:szCs w:val="24"/>
                <w:highlight w:val="none"/>
              </w:rPr>
              <w:t>分</w:t>
            </w:r>
          </w:p>
        </w:tc>
        <w:tc>
          <w:tcPr>
            <w:tcW w:w="7900" w:type="dxa"/>
            <w:gridSpan w:val="2"/>
            <w:noWrap/>
            <w:vAlign w:val="center"/>
          </w:tcPr>
          <w:p>
            <w:pPr>
              <w:spacing w:line="400" w:lineRule="exact"/>
              <w:ind w:right="-21" w:rightChars="-10"/>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价格分统一采用低价优先法计算，即满足磋商文件要求且最后报价最低的供应商的价格为磋商基准价，其价格分为满分。</w:t>
            </w:r>
          </w:p>
          <w:p>
            <w:pPr>
              <w:spacing w:line="400" w:lineRule="exact"/>
              <w:ind w:right="-21" w:rightChars="-10"/>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其他供应商的价格分统一按照下列公式计算：</w:t>
            </w:r>
          </w:p>
          <w:p>
            <w:pPr>
              <w:spacing w:line="400" w:lineRule="exact"/>
              <w:ind w:right="-21" w:rightChars="-10"/>
              <w:rPr>
                <w:rFonts w:hint="eastAsia" w:eastAsia="宋体"/>
                <w:color w:val="000000"/>
                <w:kern w:val="0"/>
                <w:sz w:val="24"/>
                <w:szCs w:val="24"/>
                <w:highlight w:val="none"/>
                <w:lang w:eastAsia="zh-CN"/>
              </w:rPr>
            </w:pPr>
            <w:r>
              <w:rPr>
                <w:rFonts w:hint="eastAsia" w:ascii="Times New Roman" w:hAnsi="Times New Roman" w:cs="Times New Roman"/>
                <w:sz w:val="24"/>
                <w:szCs w:val="24"/>
                <w:highlight w:val="none"/>
              </w:rPr>
              <w:t>磋商报价得分=（磋商基准价/最后磋商报价）×</w:t>
            </w:r>
            <w:r>
              <w:rPr>
                <w:rFonts w:hint="eastAsia" w:ascii="Times New Roman" w:hAnsi="Times New Roman" w:cs="Times New Roman"/>
                <w:sz w:val="24"/>
                <w:szCs w:val="24"/>
                <w:highlight w:val="none"/>
                <w:lang w:val="en-US" w:eastAsia="zh-CN"/>
              </w:rPr>
              <w:t>1</w:t>
            </w:r>
            <w:r>
              <w:rPr>
                <w:rFonts w:hint="eastAsia" w:ascii="Times New Roman" w:hAnsi="Times New Roman" w:cs="Times New Roman"/>
                <w:sz w:val="24"/>
                <w:szCs w:val="24"/>
                <w:highlight w:val="none"/>
              </w:rPr>
              <w:t>0                            注：项目评审过程中，不得去掉最后报价中的最高报价和最低报价。价格分计算保留小数点后二位</w:t>
            </w:r>
            <w:r>
              <w:rPr>
                <w:rFonts w:hint="eastAsia" w:ascii="Times New Roman" w:hAnsi="Times New Roman" w:cs="Times New Roman"/>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jc w:val="center"/>
        </w:trPr>
        <w:tc>
          <w:tcPr>
            <w:tcW w:w="540" w:type="dxa"/>
            <w:vMerge w:val="continue"/>
            <w:noWrap/>
            <w:vAlign w:val="center"/>
          </w:tcPr>
          <w:p>
            <w:pPr>
              <w:ind w:left="-141" w:leftChars="-76" w:right="-250" w:rightChars="-119" w:hanging="19" w:hangingChars="8"/>
              <w:jc w:val="center"/>
              <w:rPr>
                <w:b/>
                <w:sz w:val="24"/>
                <w:szCs w:val="24"/>
                <w:highlight w:val="none"/>
              </w:rPr>
            </w:pPr>
          </w:p>
        </w:tc>
        <w:tc>
          <w:tcPr>
            <w:tcW w:w="1845" w:type="dxa"/>
            <w:vMerge w:val="continue"/>
            <w:noWrap/>
            <w:vAlign w:val="center"/>
          </w:tcPr>
          <w:p>
            <w:pPr>
              <w:ind w:left="-107" w:leftChars="-51" w:right="-107" w:rightChars="-51" w:firstLine="1"/>
              <w:jc w:val="center"/>
              <w:rPr>
                <w:snapToGrid w:val="0"/>
                <w:kern w:val="0"/>
                <w:sz w:val="24"/>
                <w:szCs w:val="24"/>
                <w:highlight w:val="none"/>
              </w:rPr>
            </w:pPr>
          </w:p>
        </w:tc>
        <w:tc>
          <w:tcPr>
            <w:tcW w:w="7900" w:type="dxa"/>
            <w:gridSpan w:val="2"/>
            <w:noWrap/>
            <w:vAlign w:val="center"/>
          </w:tcPr>
          <w:p>
            <w:pPr>
              <w:spacing w:line="400" w:lineRule="exact"/>
              <w:ind w:right="-21" w:rightChars="-10"/>
              <w:rPr>
                <w:rFonts w:hint="eastAsia"/>
                <w:sz w:val="24"/>
                <w:szCs w:val="24"/>
                <w:highlight w:val="none"/>
              </w:rPr>
            </w:pPr>
            <w:r>
              <w:rPr>
                <w:rFonts w:hint="eastAsia"/>
                <w:sz w:val="24"/>
                <w:szCs w:val="24"/>
                <w:highlight w:val="none"/>
              </w:rPr>
              <w:t>注：</w:t>
            </w:r>
          </w:p>
          <w:p>
            <w:pPr>
              <w:spacing w:line="400" w:lineRule="exact"/>
              <w:ind w:right="-21" w:rightChars="-10"/>
              <w:rPr>
                <w:rFonts w:hint="eastAsia"/>
                <w:sz w:val="24"/>
                <w:szCs w:val="24"/>
                <w:highlight w:val="none"/>
              </w:rPr>
            </w:pPr>
            <w:r>
              <w:rPr>
                <w:rFonts w:hint="eastAsia"/>
                <w:sz w:val="24"/>
                <w:szCs w:val="24"/>
                <w:highlight w:val="none"/>
              </w:rPr>
              <w:t>1、本项目专门面向中小企业采购，不再进行价格扣除。</w:t>
            </w:r>
          </w:p>
          <w:p>
            <w:pPr>
              <w:spacing w:line="400" w:lineRule="exact"/>
              <w:ind w:right="-21" w:rightChars="-10"/>
              <w:rPr>
                <w:rFonts w:hint="eastAsia"/>
                <w:sz w:val="24"/>
                <w:szCs w:val="24"/>
                <w:highlight w:val="none"/>
              </w:rPr>
            </w:pPr>
            <w:r>
              <w:rPr>
                <w:rFonts w:hint="eastAsia"/>
                <w:sz w:val="24"/>
                <w:szCs w:val="24"/>
                <w:highlight w:val="none"/>
              </w:rPr>
              <w:t>2、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pPr>
              <w:spacing w:line="400" w:lineRule="exact"/>
              <w:ind w:right="-21" w:rightChars="-10"/>
              <w:rPr>
                <w:sz w:val="24"/>
                <w:szCs w:val="24"/>
                <w:highlight w:val="none"/>
              </w:rPr>
            </w:pPr>
            <w:r>
              <w:rPr>
                <w:rFonts w:hint="eastAsia"/>
                <w:sz w:val="24"/>
                <w:szCs w:val="24"/>
                <w:highlight w:val="none"/>
              </w:rPr>
              <w:t>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540" w:type="dxa"/>
            <w:vMerge w:val="restart"/>
            <w:noWrap/>
            <w:vAlign w:val="center"/>
          </w:tcPr>
          <w:p>
            <w:pPr>
              <w:ind w:left="-141" w:leftChars="-76" w:right="-250" w:rightChars="-119" w:hanging="19" w:hangingChars="8"/>
              <w:jc w:val="center"/>
              <w:rPr>
                <w:b/>
                <w:sz w:val="24"/>
                <w:szCs w:val="24"/>
                <w:highlight w:val="none"/>
              </w:rPr>
            </w:pPr>
            <w:r>
              <w:rPr>
                <w:b/>
                <w:sz w:val="24"/>
                <w:szCs w:val="24"/>
                <w:highlight w:val="none"/>
              </w:rPr>
              <w:t>3</w:t>
            </w:r>
          </w:p>
        </w:tc>
        <w:tc>
          <w:tcPr>
            <w:tcW w:w="1845" w:type="dxa"/>
            <w:vMerge w:val="restart"/>
            <w:noWrap/>
            <w:vAlign w:val="center"/>
          </w:tcPr>
          <w:p>
            <w:pPr>
              <w:snapToGrid w:val="0"/>
              <w:spacing w:line="400" w:lineRule="exact"/>
              <w:jc w:val="center"/>
              <w:rPr>
                <w:kern w:val="0"/>
                <w:sz w:val="24"/>
                <w:szCs w:val="24"/>
                <w:highlight w:val="none"/>
              </w:rPr>
            </w:pPr>
            <w:r>
              <w:rPr>
                <w:kern w:val="0"/>
                <w:sz w:val="24"/>
                <w:szCs w:val="24"/>
                <w:highlight w:val="none"/>
              </w:rPr>
              <w:t>技术</w:t>
            </w:r>
            <w:r>
              <w:rPr>
                <w:rFonts w:hint="eastAsia"/>
                <w:kern w:val="0"/>
                <w:sz w:val="24"/>
                <w:szCs w:val="24"/>
                <w:highlight w:val="none"/>
              </w:rPr>
              <w:t>部</w:t>
            </w:r>
            <w:r>
              <w:rPr>
                <w:kern w:val="0"/>
                <w:sz w:val="24"/>
                <w:szCs w:val="24"/>
                <w:highlight w:val="none"/>
              </w:rPr>
              <w:t>分</w:t>
            </w:r>
          </w:p>
          <w:p>
            <w:pPr>
              <w:snapToGrid w:val="0"/>
              <w:spacing w:line="400" w:lineRule="exact"/>
              <w:jc w:val="center"/>
              <w:rPr>
                <w:kern w:val="0"/>
                <w:sz w:val="24"/>
                <w:szCs w:val="24"/>
                <w:highlight w:val="none"/>
              </w:rPr>
            </w:pPr>
            <w:r>
              <w:rPr>
                <w:rFonts w:hint="eastAsia"/>
                <w:kern w:val="0"/>
                <w:sz w:val="24"/>
                <w:szCs w:val="24"/>
                <w:highlight w:val="none"/>
                <w:lang w:val="en-US" w:eastAsia="zh-CN"/>
              </w:rPr>
              <w:t>5</w:t>
            </w:r>
            <w:r>
              <w:rPr>
                <w:rFonts w:hint="eastAsia"/>
                <w:kern w:val="0"/>
                <w:sz w:val="24"/>
                <w:szCs w:val="24"/>
                <w:highlight w:val="none"/>
              </w:rPr>
              <w:t>5</w:t>
            </w:r>
            <w:r>
              <w:rPr>
                <w:kern w:val="0"/>
                <w:sz w:val="24"/>
                <w:szCs w:val="24"/>
                <w:highlight w:val="none"/>
              </w:rPr>
              <w:t>分</w:t>
            </w:r>
          </w:p>
        </w:tc>
        <w:tc>
          <w:tcPr>
            <w:tcW w:w="2984" w:type="dxa"/>
            <w:noWrap/>
            <w:vAlign w:val="center"/>
          </w:tcPr>
          <w:p>
            <w:pPr>
              <w:spacing w:line="3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对项目的需求理解分析</w:t>
            </w:r>
          </w:p>
          <w:p>
            <w:pPr>
              <w:spacing w:line="360" w:lineRule="exact"/>
              <w:rPr>
                <w:kern w:val="0"/>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w:t>
            </w:r>
          </w:p>
        </w:tc>
        <w:tc>
          <w:tcPr>
            <w:tcW w:w="4916" w:type="dxa"/>
            <w:noWrap/>
            <w:vAlign w:val="center"/>
          </w:tcPr>
          <w:p>
            <w:pPr>
              <w:spacing w:line="360" w:lineRule="exact"/>
              <w:rPr>
                <w:rFonts w:hint="eastAsia"/>
                <w:kern w:val="0"/>
                <w:sz w:val="24"/>
                <w:szCs w:val="24"/>
                <w:highlight w:val="none"/>
                <w:lang w:val="en-US" w:eastAsia="zh-CN" w:bidi="en-US"/>
              </w:rPr>
            </w:pPr>
            <w:r>
              <w:rPr>
                <w:rFonts w:hint="eastAsia"/>
                <w:kern w:val="0"/>
                <w:sz w:val="24"/>
                <w:szCs w:val="24"/>
                <w:highlight w:val="none"/>
                <w:lang w:val="en-US" w:eastAsia="zh-CN" w:bidi="en-US"/>
              </w:rPr>
              <w:t xml:space="preserve">根据供应商结合项目背景对本项目阐述现状情况，对重难点进行分析等进行综合评审： </w:t>
            </w:r>
          </w:p>
          <w:p>
            <w:pPr>
              <w:spacing w:line="360" w:lineRule="exact"/>
              <w:rPr>
                <w:rFonts w:hint="eastAsia"/>
                <w:kern w:val="0"/>
                <w:sz w:val="24"/>
                <w:szCs w:val="24"/>
                <w:highlight w:val="none"/>
                <w:lang w:val="en-US" w:eastAsia="zh-CN" w:bidi="en-US"/>
              </w:rPr>
            </w:pPr>
            <w:r>
              <w:rPr>
                <w:rFonts w:hint="eastAsia"/>
                <w:kern w:val="0"/>
                <w:sz w:val="24"/>
                <w:szCs w:val="24"/>
                <w:highlight w:val="none"/>
                <w:lang w:val="en-US" w:eastAsia="zh-CN" w:bidi="en-US"/>
              </w:rPr>
              <w:t xml:space="preserve">熟悉程度高，理解清晰、分析透彻得 15 分； </w:t>
            </w:r>
          </w:p>
          <w:p>
            <w:pPr>
              <w:spacing w:line="360" w:lineRule="exact"/>
              <w:rPr>
                <w:rFonts w:hint="eastAsia"/>
                <w:kern w:val="0"/>
                <w:sz w:val="24"/>
                <w:szCs w:val="24"/>
                <w:highlight w:val="none"/>
                <w:lang w:val="en-US" w:eastAsia="zh-CN" w:bidi="en-US"/>
              </w:rPr>
            </w:pPr>
            <w:r>
              <w:rPr>
                <w:rFonts w:hint="eastAsia"/>
                <w:kern w:val="0"/>
                <w:sz w:val="24"/>
                <w:szCs w:val="24"/>
                <w:highlight w:val="none"/>
                <w:lang w:val="en-US" w:eastAsia="zh-CN" w:bidi="en-US"/>
              </w:rPr>
              <w:t xml:space="preserve">熟悉程度较高，理解较清晰、分析较透彻得10 分； </w:t>
            </w:r>
          </w:p>
          <w:p>
            <w:pPr>
              <w:spacing w:line="360" w:lineRule="exact"/>
              <w:rPr>
                <w:rFonts w:hint="eastAsia"/>
                <w:kern w:val="0"/>
                <w:sz w:val="24"/>
                <w:szCs w:val="24"/>
                <w:highlight w:val="none"/>
                <w:lang w:val="en-US" w:eastAsia="zh-CN" w:bidi="en-US"/>
              </w:rPr>
            </w:pPr>
            <w:r>
              <w:rPr>
                <w:rFonts w:hint="eastAsia"/>
                <w:kern w:val="0"/>
                <w:sz w:val="24"/>
                <w:szCs w:val="24"/>
                <w:highlight w:val="none"/>
                <w:lang w:val="en-US" w:eastAsia="zh-CN" w:bidi="en-US"/>
              </w:rPr>
              <w:t>熟悉程度低、理解、分析不清晰得5分。</w:t>
            </w:r>
          </w:p>
          <w:p>
            <w:pPr>
              <w:spacing w:line="360" w:lineRule="exact"/>
            </w:pPr>
            <w:r>
              <w:rPr>
                <w:rFonts w:hint="eastAsia"/>
                <w:kern w:val="0"/>
                <w:sz w:val="24"/>
                <w:szCs w:val="24"/>
                <w:highlight w:val="none"/>
                <w:lang w:val="en-US" w:eastAsia="zh-CN" w:bidi="en-US"/>
              </w:rPr>
              <w:t>备注：以上项目若有缺项的，该项为0分；不缺项的，不低于最低分。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40" w:type="dxa"/>
            <w:vMerge w:val="continue"/>
            <w:noWrap/>
            <w:vAlign w:val="center"/>
          </w:tcPr>
          <w:p>
            <w:pPr>
              <w:ind w:left="-141" w:leftChars="-76" w:right="-250" w:rightChars="-119" w:hanging="19" w:hangingChars="8"/>
              <w:jc w:val="center"/>
              <w:rPr>
                <w:b/>
                <w:sz w:val="24"/>
                <w:szCs w:val="24"/>
                <w:highlight w:val="none"/>
              </w:rPr>
            </w:pPr>
          </w:p>
        </w:tc>
        <w:tc>
          <w:tcPr>
            <w:tcW w:w="1845" w:type="dxa"/>
            <w:vMerge w:val="continue"/>
            <w:noWrap/>
            <w:vAlign w:val="center"/>
          </w:tcPr>
          <w:p>
            <w:pPr>
              <w:snapToGrid w:val="0"/>
              <w:spacing w:line="400" w:lineRule="exact"/>
              <w:jc w:val="center"/>
              <w:rPr>
                <w:kern w:val="0"/>
                <w:sz w:val="24"/>
                <w:szCs w:val="24"/>
                <w:highlight w:val="none"/>
              </w:rPr>
            </w:pPr>
          </w:p>
        </w:tc>
        <w:tc>
          <w:tcPr>
            <w:tcW w:w="2984" w:type="dxa"/>
            <w:noWrap/>
            <w:vAlign w:val="center"/>
          </w:tcPr>
          <w:p>
            <w:pPr>
              <w:spacing w:line="3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服务方案</w:t>
            </w:r>
          </w:p>
          <w:p>
            <w:pPr>
              <w:spacing w:line="360" w:lineRule="exact"/>
              <w:rPr>
                <w:kern w:val="0"/>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w:t>
            </w:r>
          </w:p>
        </w:tc>
        <w:tc>
          <w:tcPr>
            <w:tcW w:w="4916" w:type="dxa"/>
            <w:noWrap/>
            <w:vAlign w:val="center"/>
          </w:tcPr>
          <w:p>
            <w:pPr>
              <w:pStyle w:val="20"/>
              <w:ind w:firstLine="0"/>
              <w:jc w:val="left"/>
              <w:rPr>
                <w:kern w:val="0"/>
                <w:sz w:val="24"/>
                <w:highlight w:val="none"/>
              </w:rPr>
            </w:pPr>
            <w:r>
              <w:rPr>
                <w:rFonts w:hint="eastAsia"/>
                <w:kern w:val="0"/>
                <w:sz w:val="24"/>
                <w:highlight w:val="none"/>
                <w:lang w:val="en-US" w:eastAsia="zh-CN"/>
              </w:rPr>
              <w:t xml:space="preserve">评审委员会根据各供应商对服务方案进行综合评定，统一确定各供应商的进档划分，各评委在相应的档次内独立打分。 </w:t>
            </w:r>
          </w:p>
          <w:p>
            <w:pPr>
              <w:pStyle w:val="20"/>
              <w:ind w:firstLine="0"/>
              <w:jc w:val="left"/>
              <w:rPr>
                <w:kern w:val="0"/>
                <w:sz w:val="24"/>
                <w:highlight w:val="none"/>
              </w:rPr>
            </w:pPr>
            <w:r>
              <w:rPr>
                <w:rFonts w:hint="eastAsia"/>
                <w:kern w:val="0"/>
                <w:sz w:val="24"/>
                <w:highlight w:val="none"/>
                <w:lang w:val="en-US" w:eastAsia="zh-CN"/>
              </w:rPr>
              <w:t xml:space="preserve">完全满足采购需求、方案完善、合理得15分； </w:t>
            </w:r>
          </w:p>
          <w:p>
            <w:pPr>
              <w:pStyle w:val="20"/>
              <w:ind w:firstLine="0"/>
              <w:jc w:val="left"/>
              <w:rPr>
                <w:kern w:val="0"/>
                <w:sz w:val="24"/>
                <w:highlight w:val="none"/>
              </w:rPr>
            </w:pPr>
            <w:r>
              <w:rPr>
                <w:rFonts w:hint="eastAsia"/>
                <w:kern w:val="0"/>
                <w:sz w:val="24"/>
                <w:highlight w:val="none"/>
                <w:lang w:val="en-US" w:eastAsia="zh-CN"/>
              </w:rPr>
              <w:t xml:space="preserve">满足采购需求、方案较完善、合理得10分； </w:t>
            </w:r>
          </w:p>
          <w:p>
            <w:pPr>
              <w:pStyle w:val="20"/>
              <w:ind w:firstLine="0"/>
              <w:jc w:val="left"/>
              <w:rPr>
                <w:kern w:val="0"/>
                <w:sz w:val="24"/>
                <w:highlight w:val="none"/>
              </w:rPr>
            </w:pPr>
            <w:r>
              <w:rPr>
                <w:rFonts w:hint="eastAsia"/>
                <w:kern w:val="0"/>
                <w:sz w:val="24"/>
                <w:highlight w:val="none"/>
                <w:lang w:val="en-US" w:eastAsia="zh-CN"/>
              </w:rPr>
              <w:t xml:space="preserve">基本满足采购需求、方案基本完善、基本合理得6分； </w:t>
            </w:r>
          </w:p>
          <w:p>
            <w:pPr>
              <w:pStyle w:val="20"/>
              <w:ind w:firstLine="0" w:firstLineChars="0"/>
              <w:jc w:val="left"/>
              <w:rPr>
                <w:rFonts w:hint="eastAsia"/>
                <w:kern w:val="0"/>
                <w:sz w:val="24"/>
                <w:highlight w:val="none"/>
                <w:lang w:val="en-US" w:eastAsia="zh-CN"/>
              </w:rPr>
            </w:pPr>
            <w:r>
              <w:rPr>
                <w:rFonts w:hint="eastAsia"/>
                <w:kern w:val="0"/>
                <w:sz w:val="24"/>
                <w:highlight w:val="none"/>
                <w:lang w:val="en-US" w:eastAsia="zh-CN"/>
              </w:rPr>
              <w:t>不满足采购需求、方案不完善、不合理得2分；</w:t>
            </w:r>
          </w:p>
          <w:p>
            <w:r>
              <w:rPr>
                <w:rFonts w:hint="eastAsia" w:ascii="宋体" w:hAnsi="宋体" w:cs="宋体"/>
                <w:kern w:val="0"/>
                <w:sz w:val="24"/>
                <w:highlight w:val="none"/>
                <w:lang w:bidi="en-US"/>
              </w:rPr>
              <w:t>备注：以上项目若有缺项的，该项为0分；不缺项的，不低于最低分。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540" w:type="dxa"/>
            <w:vMerge w:val="continue"/>
            <w:noWrap/>
            <w:vAlign w:val="center"/>
          </w:tcPr>
          <w:p>
            <w:pPr>
              <w:ind w:left="-141" w:leftChars="-76" w:right="-250" w:rightChars="-119" w:hanging="19" w:hangingChars="8"/>
              <w:jc w:val="center"/>
              <w:rPr>
                <w:b/>
                <w:sz w:val="24"/>
                <w:szCs w:val="24"/>
                <w:highlight w:val="none"/>
              </w:rPr>
            </w:pPr>
          </w:p>
        </w:tc>
        <w:tc>
          <w:tcPr>
            <w:tcW w:w="1845" w:type="dxa"/>
            <w:vMerge w:val="continue"/>
            <w:noWrap/>
            <w:vAlign w:val="center"/>
          </w:tcPr>
          <w:p>
            <w:pPr>
              <w:snapToGrid w:val="0"/>
              <w:spacing w:line="400" w:lineRule="exact"/>
              <w:jc w:val="center"/>
              <w:rPr>
                <w:kern w:val="0"/>
                <w:sz w:val="24"/>
                <w:szCs w:val="24"/>
                <w:highlight w:val="none"/>
              </w:rPr>
            </w:pPr>
          </w:p>
        </w:tc>
        <w:tc>
          <w:tcPr>
            <w:tcW w:w="2984" w:type="dxa"/>
            <w:noWrap/>
            <w:vAlign w:val="center"/>
          </w:tcPr>
          <w:p>
            <w:pPr>
              <w:spacing w:line="360" w:lineRule="exact"/>
              <w:rPr>
                <w:kern w:val="0"/>
                <w:sz w:val="24"/>
                <w:szCs w:val="24"/>
                <w:highlight w:val="none"/>
              </w:rPr>
            </w:pPr>
            <w:r>
              <w:rPr>
                <w:rFonts w:hint="eastAsia" w:ascii="宋体" w:hAnsi="宋体" w:cs="宋体"/>
                <w:sz w:val="24"/>
                <w:szCs w:val="24"/>
                <w:highlight w:val="none"/>
              </w:rPr>
              <w:t>质量保障及保密管理(1</w:t>
            </w:r>
            <w:r>
              <w:rPr>
                <w:rFonts w:hint="eastAsia" w:ascii="宋体" w:hAnsi="宋体" w:cs="宋体"/>
                <w:sz w:val="24"/>
                <w:szCs w:val="24"/>
                <w:highlight w:val="none"/>
                <w:lang w:val="en-US" w:eastAsia="zh-CN"/>
              </w:rPr>
              <w:t>0</w:t>
            </w:r>
            <w:r>
              <w:rPr>
                <w:rFonts w:hint="eastAsia" w:ascii="宋体" w:hAnsi="宋体" w:cs="宋体"/>
                <w:sz w:val="24"/>
                <w:szCs w:val="24"/>
                <w:highlight w:val="none"/>
              </w:rPr>
              <w:t>分)</w:t>
            </w:r>
          </w:p>
        </w:tc>
        <w:tc>
          <w:tcPr>
            <w:tcW w:w="4916" w:type="dxa"/>
            <w:noWrap/>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1.针对本项目制定有详细的质量保证措施，措施分析具体可行，所有措施满足本项目要求的，优秀得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分，良好得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分，一般得1-</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p>
          <w:p>
            <w:pPr>
              <w:spacing w:line="360" w:lineRule="exact"/>
              <w:jc w:val="left"/>
              <w:rPr>
                <w:rFonts w:ascii="宋体" w:hAnsi="宋体" w:cs="宋体"/>
                <w:sz w:val="24"/>
                <w:szCs w:val="24"/>
                <w:highlight w:val="none"/>
              </w:rPr>
            </w:pPr>
            <w:r>
              <w:rPr>
                <w:rFonts w:hint="eastAsia" w:ascii="宋体" w:hAnsi="宋体" w:cs="宋体"/>
                <w:sz w:val="24"/>
                <w:szCs w:val="24"/>
                <w:highlight w:val="none"/>
              </w:rPr>
              <w:t>2.针对本项目制定有保密管理制度和措施。优秀得</w:t>
            </w:r>
            <w:r>
              <w:rPr>
                <w:rFonts w:hint="eastAsia" w:ascii="宋体" w:hAnsi="宋体" w:cs="宋体"/>
                <w:sz w:val="24"/>
                <w:szCs w:val="24"/>
                <w:highlight w:val="none"/>
                <w:lang w:val="en-US" w:eastAsia="zh-CN"/>
              </w:rPr>
              <w:t>5</w:t>
            </w:r>
            <w:r>
              <w:rPr>
                <w:rFonts w:hint="eastAsia" w:ascii="宋体" w:hAnsi="宋体" w:cs="宋体"/>
                <w:sz w:val="24"/>
                <w:szCs w:val="24"/>
                <w:highlight w:val="none"/>
              </w:rPr>
              <w:t>分，良好得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分，一般得1-</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p>
          <w:p>
            <w:pPr>
              <w:pStyle w:val="20"/>
              <w:ind w:firstLine="0" w:firstLineChars="0"/>
              <w:jc w:val="left"/>
              <w:rPr>
                <w:kern w:val="0"/>
                <w:sz w:val="24"/>
                <w:highlight w:val="none"/>
              </w:rPr>
            </w:pPr>
            <w:r>
              <w:rPr>
                <w:rFonts w:hint="eastAsia" w:ascii="宋体" w:hAnsi="宋体" w:cs="宋体"/>
                <w:kern w:val="0"/>
                <w:sz w:val="24"/>
                <w:highlight w:val="none"/>
                <w:lang w:bidi="en-US"/>
              </w:rPr>
              <w:t>备注：以上项目若有缺项的，该项为0分；不缺项的，不低于最低分。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40" w:type="dxa"/>
            <w:vMerge w:val="continue"/>
            <w:noWrap/>
            <w:vAlign w:val="center"/>
          </w:tcPr>
          <w:p>
            <w:pPr>
              <w:ind w:left="-141" w:leftChars="-76" w:right="-250" w:rightChars="-119" w:hanging="19" w:hangingChars="8"/>
              <w:jc w:val="center"/>
              <w:rPr>
                <w:b/>
                <w:sz w:val="24"/>
                <w:szCs w:val="24"/>
                <w:highlight w:val="none"/>
              </w:rPr>
            </w:pPr>
          </w:p>
        </w:tc>
        <w:tc>
          <w:tcPr>
            <w:tcW w:w="1845" w:type="dxa"/>
            <w:vMerge w:val="continue"/>
            <w:noWrap/>
            <w:vAlign w:val="center"/>
          </w:tcPr>
          <w:p>
            <w:pPr>
              <w:snapToGrid w:val="0"/>
              <w:spacing w:line="400" w:lineRule="exact"/>
              <w:jc w:val="center"/>
              <w:rPr>
                <w:kern w:val="0"/>
                <w:sz w:val="24"/>
                <w:szCs w:val="24"/>
                <w:highlight w:val="none"/>
              </w:rPr>
            </w:pPr>
          </w:p>
        </w:tc>
        <w:tc>
          <w:tcPr>
            <w:tcW w:w="2984" w:type="dxa"/>
            <w:noWrap/>
            <w:vAlign w:val="center"/>
          </w:tcPr>
          <w:p>
            <w:pPr>
              <w:spacing w:line="360" w:lineRule="exact"/>
              <w:rPr>
                <w:kern w:val="0"/>
                <w:sz w:val="24"/>
                <w:szCs w:val="24"/>
                <w:highlight w:val="none"/>
              </w:rPr>
            </w:pPr>
            <w:r>
              <w:rPr>
                <w:rFonts w:hint="eastAsia" w:ascii="宋体" w:hAnsi="宋体" w:cs="宋体"/>
                <w:sz w:val="24"/>
                <w:szCs w:val="24"/>
                <w:highlight w:val="none"/>
              </w:rPr>
              <w:t>人员安排及进度保障(10分)</w:t>
            </w:r>
          </w:p>
        </w:tc>
        <w:tc>
          <w:tcPr>
            <w:tcW w:w="4916" w:type="dxa"/>
            <w:noWrap/>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1.有合理的人员安排计划，人员职责分工明确，优秀得5分，良好得4分，一般得1-3分；</w:t>
            </w:r>
          </w:p>
          <w:p>
            <w:pPr>
              <w:spacing w:line="360" w:lineRule="exact"/>
              <w:jc w:val="left"/>
              <w:rPr>
                <w:rFonts w:ascii="宋体" w:hAnsi="宋体" w:cs="宋体"/>
                <w:sz w:val="24"/>
                <w:szCs w:val="24"/>
                <w:highlight w:val="none"/>
              </w:rPr>
            </w:pPr>
            <w:r>
              <w:rPr>
                <w:rFonts w:hint="eastAsia" w:ascii="宋体" w:hAnsi="宋体" w:cs="宋体"/>
                <w:sz w:val="24"/>
                <w:szCs w:val="24"/>
                <w:highlight w:val="none"/>
              </w:rPr>
              <w:t>2.有明确的进度计划及进度保证措施，优秀得5分，良好得4分，一般得1-3分；</w:t>
            </w:r>
          </w:p>
          <w:p>
            <w:pPr>
              <w:pStyle w:val="20"/>
              <w:ind w:firstLine="0" w:firstLineChars="0"/>
              <w:jc w:val="left"/>
              <w:rPr>
                <w:kern w:val="0"/>
                <w:sz w:val="24"/>
                <w:highlight w:val="none"/>
              </w:rPr>
            </w:pPr>
            <w:r>
              <w:rPr>
                <w:rFonts w:hint="eastAsia" w:ascii="宋体" w:hAnsi="宋体" w:cs="宋体"/>
                <w:kern w:val="0"/>
                <w:sz w:val="24"/>
                <w:highlight w:val="none"/>
                <w:lang w:bidi="en-US"/>
              </w:rPr>
              <w:t>备注：以上项目若有缺项的，该项为0分；不缺项的，不低于最低分。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40" w:type="dxa"/>
            <w:vMerge w:val="continue"/>
            <w:noWrap/>
            <w:vAlign w:val="center"/>
          </w:tcPr>
          <w:p>
            <w:pPr>
              <w:ind w:left="-141" w:leftChars="-76" w:right="-250" w:rightChars="-119" w:hanging="19" w:hangingChars="8"/>
              <w:jc w:val="center"/>
              <w:rPr>
                <w:b/>
                <w:sz w:val="24"/>
                <w:szCs w:val="24"/>
                <w:highlight w:val="none"/>
              </w:rPr>
            </w:pPr>
          </w:p>
        </w:tc>
        <w:tc>
          <w:tcPr>
            <w:tcW w:w="1845" w:type="dxa"/>
            <w:vMerge w:val="continue"/>
            <w:noWrap/>
            <w:vAlign w:val="center"/>
          </w:tcPr>
          <w:p>
            <w:pPr>
              <w:snapToGrid w:val="0"/>
              <w:spacing w:line="400" w:lineRule="exact"/>
              <w:jc w:val="center"/>
              <w:rPr>
                <w:kern w:val="0"/>
                <w:sz w:val="24"/>
                <w:szCs w:val="24"/>
                <w:highlight w:val="none"/>
              </w:rPr>
            </w:pPr>
          </w:p>
        </w:tc>
        <w:tc>
          <w:tcPr>
            <w:tcW w:w="2984" w:type="dxa"/>
            <w:noWrap/>
            <w:vAlign w:val="center"/>
          </w:tcPr>
          <w:p>
            <w:pPr>
              <w:jc w:val="both"/>
              <w:rPr>
                <w:kern w:val="0"/>
                <w:sz w:val="24"/>
                <w:szCs w:val="24"/>
                <w:highlight w:val="none"/>
              </w:rPr>
            </w:pPr>
            <w:r>
              <w:rPr>
                <w:rFonts w:hint="eastAsia" w:ascii="宋体" w:hAnsi="宋体" w:cs="宋体"/>
                <w:sz w:val="24"/>
                <w:szCs w:val="24"/>
                <w:highlight w:val="none"/>
              </w:rPr>
              <w:t>项目后期保障(</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c>
          <w:tcPr>
            <w:tcW w:w="4916" w:type="dxa"/>
            <w:noWrap/>
            <w:vAlign w:val="center"/>
          </w:tcPr>
          <w:p>
            <w:pPr>
              <w:spacing w:line="360" w:lineRule="exact"/>
              <w:jc w:val="left"/>
              <w:rPr>
                <w:rFonts w:ascii="宋体" w:hAnsi="宋体" w:cs="宋体"/>
                <w:sz w:val="24"/>
                <w:szCs w:val="24"/>
                <w:highlight w:val="none"/>
              </w:rPr>
            </w:pPr>
            <w:r>
              <w:rPr>
                <w:rFonts w:hint="eastAsia" w:ascii="宋体" w:hAnsi="宋体" w:cs="宋体"/>
                <w:sz w:val="24"/>
                <w:szCs w:val="24"/>
                <w:highlight w:val="none"/>
              </w:rPr>
              <w:t>项目后期数据保障期为一年，对项目后期提供数据支持及修正服务，承诺在3个工作日内给予解决，1个工作日解决的得5分，2个工作日解决的得3分，3个工作日解决的得1分，未提供不得分；</w:t>
            </w:r>
          </w:p>
          <w:p>
            <w:pPr>
              <w:pStyle w:val="20"/>
              <w:ind w:firstLine="0" w:firstLineChars="0"/>
              <w:jc w:val="left"/>
              <w:rPr>
                <w:kern w:val="0"/>
                <w:sz w:val="24"/>
                <w:highlight w:val="none"/>
              </w:rPr>
            </w:pPr>
            <w:r>
              <w:rPr>
                <w:rFonts w:hint="eastAsia" w:ascii="宋体" w:hAnsi="宋体" w:cs="宋体"/>
                <w:kern w:val="0"/>
                <w:sz w:val="24"/>
                <w:highlight w:val="none"/>
                <w:lang w:bidi="en-US"/>
              </w:rPr>
              <w:t>备注：以上项目若有缺项的，该项为0分；不缺项的，不低于最低分。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540" w:type="dxa"/>
            <w:vMerge w:val="restart"/>
            <w:noWrap/>
            <w:vAlign w:val="center"/>
          </w:tcPr>
          <w:p>
            <w:pPr>
              <w:ind w:left="-141" w:leftChars="-76" w:right="-107" w:rightChars="-51" w:hanging="19" w:hangingChars="8"/>
              <w:jc w:val="center"/>
              <w:rPr>
                <w:b/>
                <w:sz w:val="24"/>
                <w:szCs w:val="24"/>
                <w:highlight w:val="none"/>
              </w:rPr>
            </w:pPr>
            <w:r>
              <w:rPr>
                <w:b/>
                <w:sz w:val="24"/>
                <w:szCs w:val="24"/>
                <w:highlight w:val="none"/>
              </w:rPr>
              <w:t>4</w:t>
            </w:r>
          </w:p>
        </w:tc>
        <w:tc>
          <w:tcPr>
            <w:tcW w:w="1845" w:type="dxa"/>
            <w:vMerge w:val="restart"/>
            <w:noWrap/>
            <w:vAlign w:val="center"/>
          </w:tcPr>
          <w:p>
            <w:pPr>
              <w:ind w:right="-107" w:rightChars="-51"/>
              <w:jc w:val="center"/>
              <w:rPr>
                <w:sz w:val="24"/>
                <w:szCs w:val="24"/>
                <w:highlight w:val="none"/>
              </w:rPr>
            </w:pPr>
            <w:r>
              <w:rPr>
                <w:rFonts w:hint="eastAsia"/>
                <w:sz w:val="24"/>
                <w:szCs w:val="24"/>
                <w:highlight w:val="none"/>
              </w:rPr>
              <w:t>综合部</w:t>
            </w:r>
            <w:r>
              <w:rPr>
                <w:sz w:val="24"/>
                <w:szCs w:val="24"/>
                <w:highlight w:val="none"/>
              </w:rPr>
              <w:t>分</w:t>
            </w:r>
          </w:p>
          <w:p>
            <w:pPr>
              <w:ind w:right="-107" w:rightChars="-51"/>
              <w:jc w:val="center"/>
              <w:rPr>
                <w:sz w:val="24"/>
                <w:szCs w:val="24"/>
                <w:highlight w:val="none"/>
              </w:rPr>
            </w:pPr>
            <w:r>
              <w:rPr>
                <w:rFonts w:hint="eastAsia"/>
                <w:sz w:val="24"/>
                <w:szCs w:val="24"/>
                <w:highlight w:val="none"/>
                <w:lang w:val="en-US" w:eastAsia="zh-CN"/>
              </w:rPr>
              <w:t>35</w:t>
            </w:r>
            <w:r>
              <w:rPr>
                <w:sz w:val="24"/>
                <w:szCs w:val="24"/>
                <w:highlight w:val="none"/>
              </w:rPr>
              <w:t>分</w:t>
            </w:r>
          </w:p>
        </w:tc>
        <w:tc>
          <w:tcPr>
            <w:tcW w:w="2984" w:type="dxa"/>
            <w:noWrap/>
            <w:vAlign w:val="center"/>
          </w:tcPr>
          <w:p>
            <w:pPr>
              <w:pStyle w:val="20"/>
              <w:ind w:firstLine="0"/>
              <w:rPr>
                <w:snapToGrid w:val="0"/>
                <w:kern w:val="0"/>
                <w:sz w:val="24"/>
                <w:highlight w:val="none"/>
              </w:rPr>
            </w:pPr>
            <w:r>
              <w:rPr>
                <w:rFonts w:hint="eastAsia" w:ascii="宋体" w:hAnsi="宋体" w:cs="宋体"/>
                <w:sz w:val="24"/>
                <w:highlight w:val="none"/>
                <w:lang w:val="zh-CN"/>
              </w:rPr>
              <w:t>企业业绩（</w:t>
            </w:r>
            <w:r>
              <w:rPr>
                <w:rFonts w:hint="eastAsia" w:ascii="宋体" w:hAnsi="宋体" w:cs="宋体"/>
                <w:sz w:val="24"/>
                <w:highlight w:val="none"/>
              </w:rPr>
              <w:t>6分）</w:t>
            </w:r>
          </w:p>
        </w:tc>
        <w:tc>
          <w:tcPr>
            <w:tcW w:w="4916" w:type="dxa"/>
            <w:noWrap/>
            <w:vAlign w:val="center"/>
          </w:tcPr>
          <w:p>
            <w:pPr>
              <w:spacing w:line="360" w:lineRule="exact"/>
              <w:rPr>
                <w:rFonts w:ascii="宋体" w:hAnsi="宋体" w:cs="宋体"/>
                <w:sz w:val="24"/>
                <w:szCs w:val="24"/>
                <w:highlight w:val="none"/>
              </w:rPr>
            </w:pPr>
            <w:r>
              <w:rPr>
                <w:rFonts w:hint="eastAsia" w:ascii="宋体" w:hAnsi="宋体" w:cs="宋体"/>
                <w:sz w:val="24"/>
                <w:szCs w:val="24"/>
                <w:highlight w:val="none"/>
              </w:rPr>
              <w:t>提供近三年（2020年1月1日至开标前）以来类似业绩的(须提供合同或中标通知书），每一份得2分，最高得6分；</w:t>
            </w:r>
          </w:p>
          <w:p>
            <w:pPr>
              <w:spacing w:line="360" w:lineRule="exact"/>
              <w:rPr>
                <w:snapToGrid w:val="0"/>
                <w:kern w:val="0"/>
                <w:sz w:val="24"/>
                <w:szCs w:val="24"/>
                <w:highlight w:val="none"/>
              </w:rPr>
            </w:pPr>
            <w:r>
              <w:rPr>
                <w:rFonts w:hint="eastAsia" w:ascii="宋体" w:hAnsi="宋体" w:cs="宋体"/>
                <w:sz w:val="24"/>
                <w:szCs w:val="24"/>
                <w:highlight w:val="none"/>
                <w:lang w:val="zh-CN"/>
              </w:rPr>
              <w:t>（提供中标通知书或合同协议书扫描件，以签订合同</w:t>
            </w:r>
            <w:r>
              <w:rPr>
                <w:rFonts w:hint="eastAsia" w:ascii="宋体" w:hAnsi="宋体" w:cs="宋体"/>
                <w:sz w:val="24"/>
                <w:szCs w:val="24"/>
                <w:highlight w:val="none"/>
              </w:rPr>
              <w:t>时间</w:t>
            </w:r>
            <w:r>
              <w:rPr>
                <w:rFonts w:hint="eastAsia" w:ascii="宋体" w:hAnsi="宋体" w:cs="宋体"/>
                <w:sz w:val="24"/>
                <w:szCs w:val="24"/>
                <w:highlight w:val="none"/>
                <w:lang w:val="zh-CN"/>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continue"/>
            <w:noWrap/>
            <w:vAlign w:val="center"/>
          </w:tcPr>
          <w:p>
            <w:pPr>
              <w:ind w:left="-141" w:leftChars="-76" w:right="-107" w:rightChars="-51" w:hanging="19" w:hangingChars="8"/>
              <w:jc w:val="center"/>
              <w:rPr>
                <w:b/>
                <w:sz w:val="24"/>
                <w:szCs w:val="24"/>
                <w:highlight w:val="none"/>
              </w:rPr>
            </w:pPr>
          </w:p>
        </w:tc>
        <w:tc>
          <w:tcPr>
            <w:tcW w:w="1845" w:type="dxa"/>
            <w:vMerge w:val="continue"/>
            <w:noWrap/>
            <w:vAlign w:val="center"/>
          </w:tcPr>
          <w:p>
            <w:pPr>
              <w:ind w:left="-107" w:leftChars="-52" w:right="-107" w:rightChars="-51" w:hanging="2"/>
              <w:jc w:val="center"/>
              <w:rPr>
                <w:sz w:val="24"/>
                <w:szCs w:val="24"/>
                <w:highlight w:val="none"/>
              </w:rPr>
            </w:pPr>
          </w:p>
        </w:tc>
        <w:tc>
          <w:tcPr>
            <w:tcW w:w="2984" w:type="dxa"/>
            <w:noWrap/>
            <w:vAlign w:val="center"/>
          </w:tcPr>
          <w:p>
            <w:pPr>
              <w:pStyle w:val="20"/>
              <w:ind w:firstLine="0"/>
              <w:rPr>
                <w:kern w:val="0"/>
                <w:sz w:val="24"/>
                <w:highlight w:val="none"/>
              </w:rPr>
            </w:pPr>
            <w:r>
              <w:rPr>
                <w:rFonts w:hint="eastAsia"/>
                <w:sz w:val="24"/>
                <w:highlight w:val="none"/>
              </w:rPr>
              <w:t>信用评价</w:t>
            </w:r>
            <w:r>
              <w:rPr>
                <w:rFonts w:hint="eastAsia" w:ascii="宋体" w:hAnsi="宋体" w:cs="宋体"/>
                <w:sz w:val="24"/>
                <w:highlight w:val="none"/>
              </w:rPr>
              <w:t>（</w:t>
            </w:r>
            <w:r>
              <w:rPr>
                <w:rFonts w:hint="eastAsia" w:ascii="宋体" w:hAnsi="宋体" w:cs="宋体"/>
                <w:sz w:val="24"/>
                <w:highlight w:val="none"/>
              </w:rPr>
              <w:t>4分</w:t>
            </w:r>
            <w:r>
              <w:rPr>
                <w:rFonts w:hint="eastAsia" w:ascii="宋体" w:hAnsi="宋体" w:cs="宋体"/>
                <w:sz w:val="24"/>
                <w:highlight w:val="none"/>
              </w:rPr>
              <w:t>）</w:t>
            </w:r>
          </w:p>
        </w:tc>
        <w:tc>
          <w:tcPr>
            <w:tcW w:w="4916" w:type="dxa"/>
            <w:noWrap/>
            <w:vAlign w:val="center"/>
          </w:tcPr>
          <w:p>
            <w:pPr>
              <w:spacing w:line="360" w:lineRule="exact"/>
              <w:rPr>
                <w:rFonts w:ascii="宋体" w:hAnsi="宋体" w:cs="宋体"/>
                <w:sz w:val="24"/>
                <w:szCs w:val="24"/>
                <w:highlight w:val="none"/>
              </w:rPr>
            </w:pPr>
            <w:r>
              <w:rPr>
                <w:rFonts w:hint="eastAsia" w:ascii="宋体" w:hAnsi="宋体" w:cs="宋体"/>
                <w:sz w:val="24"/>
                <w:szCs w:val="24"/>
                <w:highlight w:val="none"/>
              </w:rPr>
              <w:t>1、具有3A信用等级证书（有效期内）的得</w:t>
            </w:r>
            <w:r>
              <w:rPr>
                <w:rFonts w:hint="eastAsia" w:ascii="宋体" w:hAnsi="宋体" w:cs="宋体"/>
                <w:sz w:val="24"/>
                <w:szCs w:val="24"/>
                <w:highlight w:val="none"/>
              </w:rPr>
              <w:t>1分</w:t>
            </w:r>
            <w:r>
              <w:rPr>
                <w:rFonts w:hint="eastAsia" w:ascii="宋体" w:hAnsi="宋体" w:cs="宋体"/>
                <w:sz w:val="24"/>
                <w:szCs w:val="24"/>
                <w:highlight w:val="none"/>
              </w:rPr>
              <w:t>；</w:t>
            </w:r>
          </w:p>
          <w:p>
            <w:pPr>
              <w:spacing w:line="360" w:lineRule="exact"/>
              <w:rPr>
                <w:kern w:val="0"/>
                <w:sz w:val="24"/>
                <w:szCs w:val="24"/>
                <w:highlight w:val="none"/>
              </w:rPr>
            </w:pPr>
            <w:r>
              <w:rPr>
                <w:rFonts w:hint="eastAsia" w:ascii="宋体" w:hAnsi="宋体" w:cs="宋体"/>
                <w:sz w:val="24"/>
                <w:szCs w:val="24"/>
                <w:highlight w:val="none"/>
              </w:rPr>
              <w:t>2、具有质量管理体系、职业健康安全管理体系、环境管理体系，每一项体系得1分，最高</w:t>
            </w:r>
            <w:bookmarkStart w:id="233" w:name="_GoBack"/>
            <w:bookmarkEnd w:id="233"/>
            <w:r>
              <w:rPr>
                <w:rFonts w:hint="eastAsia" w:ascii="宋体" w:hAnsi="宋体" w:cs="宋体"/>
                <w:sz w:val="24"/>
                <w:szCs w:val="24"/>
                <w:highlight w:val="none"/>
              </w:rPr>
              <w:t>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40" w:type="dxa"/>
            <w:vMerge w:val="continue"/>
            <w:noWrap/>
            <w:vAlign w:val="center"/>
          </w:tcPr>
          <w:p>
            <w:pPr>
              <w:ind w:left="-141" w:leftChars="-76" w:right="-107" w:rightChars="-51" w:hanging="19" w:hangingChars="8"/>
              <w:jc w:val="center"/>
              <w:rPr>
                <w:b/>
                <w:sz w:val="24"/>
                <w:szCs w:val="24"/>
                <w:highlight w:val="none"/>
              </w:rPr>
            </w:pPr>
          </w:p>
        </w:tc>
        <w:tc>
          <w:tcPr>
            <w:tcW w:w="1845" w:type="dxa"/>
            <w:vMerge w:val="continue"/>
            <w:noWrap/>
            <w:vAlign w:val="center"/>
          </w:tcPr>
          <w:p>
            <w:pPr>
              <w:ind w:left="-107" w:leftChars="-52" w:right="-107" w:rightChars="-51" w:hanging="2"/>
              <w:jc w:val="center"/>
              <w:rPr>
                <w:sz w:val="24"/>
                <w:szCs w:val="24"/>
                <w:highlight w:val="none"/>
              </w:rPr>
            </w:pPr>
          </w:p>
        </w:tc>
        <w:tc>
          <w:tcPr>
            <w:tcW w:w="2984" w:type="dxa"/>
            <w:noWrap/>
            <w:vAlign w:val="center"/>
          </w:tcPr>
          <w:p>
            <w:pPr>
              <w:pStyle w:val="20"/>
              <w:ind w:firstLine="0"/>
              <w:rPr>
                <w:kern w:val="0"/>
                <w:sz w:val="24"/>
                <w:highlight w:val="none"/>
              </w:rPr>
            </w:pPr>
            <w:r>
              <w:rPr>
                <w:rFonts w:hint="eastAsia" w:ascii="宋体" w:hAnsi="宋体" w:cs="宋体"/>
                <w:sz w:val="24"/>
                <w:highlight w:val="none"/>
              </w:rPr>
              <w:t>项目负责人（4分）</w:t>
            </w:r>
          </w:p>
        </w:tc>
        <w:tc>
          <w:tcPr>
            <w:tcW w:w="4916" w:type="dxa"/>
            <w:noWrap/>
            <w:vAlign w:val="center"/>
          </w:tcPr>
          <w:p>
            <w:pPr>
              <w:numPr>
                <w:ilvl w:val="0"/>
                <w:numId w:val="2"/>
              </w:numPr>
              <w:spacing w:line="360" w:lineRule="exact"/>
              <w:rPr>
                <w:rFonts w:ascii="宋体" w:hAnsi="宋体" w:cs="宋体"/>
                <w:sz w:val="24"/>
                <w:szCs w:val="24"/>
                <w:highlight w:val="none"/>
              </w:rPr>
            </w:pPr>
            <w:r>
              <w:rPr>
                <w:rFonts w:hint="eastAsia" w:ascii="宋体" w:hAnsi="宋体" w:cs="宋体"/>
                <w:sz w:val="24"/>
                <w:szCs w:val="24"/>
                <w:highlight w:val="none"/>
              </w:rPr>
              <w:t>拟设项目负责人具有测绘专业高级工程师职称证书得2分；</w:t>
            </w:r>
          </w:p>
          <w:p>
            <w:pPr>
              <w:spacing w:line="360" w:lineRule="exact"/>
              <w:rPr>
                <w:rFonts w:ascii="宋体" w:hAnsi="宋体" w:cs="宋体"/>
                <w:sz w:val="24"/>
                <w:highlight w:val="none"/>
              </w:rPr>
            </w:pPr>
            <w:r>
              <w:rPr>
                <w:rFonts w:hint="eastAsia" w:ascii="宋体" w:hAnsi="宋体" w:cs="宋体"/>
                <w:sz w:val="24"/>
                <w:szCs w:val="24"/>
                <w:highlight w:val="none"/>
              </w:rPr>
              <w:t>拟设项目负责人具有注册测绘师证书得2分；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40" w:type="dxa"/>
            <w:vMerge w:val="continue"/>
            <w:noWrap/>
            <w:vAlign w:val="center"/>
          </w:tcPr>
          <w:p>
            <w:pPr>
              <w:ind w:left="-141" w:leftChars="-76" w:right="-107" w:rightChars="-51" w:hanging="19" w:hangingChars="8"/>
              <w:jc w:val="center"/>
              <w:rPr>
                <w:b/>
                <w:sz w:val="24"/>
                <w:szCs w:val="24"/>
                <w:highlight w:val="none"/>
              </w:rPr>
            </w:pPr>
          </w:p>
        </w:tc>
        <w:tc>
          <w:tcPr>
            <w:tcW w:w="1845" w:type="dxa"/>
            <w:vMerge w:val="continue"/>
            <w:noWrap/>
            <w:vAlign w:val="center"/>
          </w:tcPr>
          <w:p>
            <w:pPr>
              <w:ind w:left="-107" w:leftChars="-52" w:right="-107" w:rightChars="-51" w:hanging="2"/>
              <w:jc w:val="center"/>
              <w:rPr>
                <w:sz w:val="24"/>
                <w:szCs w:val="24"/>
                <w:highlight w:val="none"/>
              </w:rPr>
            </w:pPr>
          </w:p>
        </w:tc>
        <w:tc>
          <w:tcPr>
            <w:tcW w:w="2984" w:type="dxa"/>
            <w:noWrap/>
            <w:vAlign w:val="center"/>
          </w:tcPr>
          <w:p>
            <w:pPr>
              <w:spacing w:line="300" w:lineRule="exact"/>
              <w:rPr>
                <w:kern w:val="0"/>
                <w:sz w:val="24"/>
                <w:szCs w:val="24"/>
                <w:highlight w:val="none"/>
              </w:rPr>
            </w:pPr>
            <w:r>
              <w:rPr>
                <w:rFonts w:hint="eastAsia" w:ascii="宋体" w:hAnsi="宋体" w:cs="宋体"/>
                <w:sz w:val="24"/>
                <w:szCs w:val="24"/>
                <w:highlight w:val="none"/>
              </w:rPr>
              <w:t>项目管理机构（</w:t>
            </w: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r>
              <w:rPr>
                <w:rFonts w:hint="eastAsia" w:ascii="宋体" w:hAnsi="宋体" w:cs="宋体"/>
                <w:sz w:val="24"/>
                <w:szCs w:val="24"/>
                <w:highlight w:val="none"/>
              </w:rPr>
              <w:t>）</w:t>
            </w:r>
          </w:p>
        </w:tc>
        <w:tc>
          <w:tcPr>
            <w:tcW w:w="4916" w:type="dxa"/>
            <w:noWrap/>
            <w:vAlign w:val="center"/>
          </w:tcPr>
          <w:p>
            <w:pPr>
              <w:spacing w:line="360" w:lineRule="exact"/>
              <w:rPr>
                <w:rFonts w:hint="eastAsia" w:ascii="宋体" w:hAnsi="宋体" w:eastAsia="宋体" w:cs="宋体"/>
                <w:sz w:val="24"/>
                <w:szCs w:val="24"/>
                <w:highlight w:val="none"/>
                <w:lang w:eastAsia="zh-CN"/>
              </w:rPr>
            </w:pPr>
            <w:r>
              <w:rPr>
                <w:rFonts w:hint="default" w:ascii="宋体" w:hAnsi="宋体" w:eastAsia="宋体" w:cs="宋体"/>
                <w:sz w:val="24"/>
                <w:szCs w:val="24"/>
                <w:highlight w:val="none"/>
                <w:lang w:val="en-US" w:eastAsia="zh-CN"/>
              </w:rPr>
              <w:t>1</w:t>
            </w:r>
            <w:r>
              <w:rPr>
                <w:rFonts w:hint="default" w:ascii="宋体" w:hAnsi="宋体" w:eastAsia="宋体" w:cs="宋体"/>
                <w:sz w:val="24"/>
                <w:szCs w:val="24"/>
                <w:highlight w:val="none"/>
                <w:lang w:eastAsia="zh-CN"/>
              </w:rPr>
              <w:t>、除项目负责人外拟投入本项目人员具有注册测绘师证书，每提供一人得1分，最高得4分；</w:t>
            </w:r>
          </w:p>
          <w:p>
            <w:pPr>
              <w:spacing w:line="360" w:lineRule="exact"/>
              <w:rPr>
                <w:highlight w:val="none"/>
              </w:rPr>
            </w:pPr>
            <w:r>
              <w:rPr>
                <w:rFonts w:hint="default" w:ascii="宋体" w:hAnsi="宋体" w:eastAsia="宋体" w:cs="宋体"/>
                <w:sz w:val="24"/>
                <w:szCs w:val="24"/>
                <w:highlight w:val="none"/>
                <w:lang w:val="en-US" w:eastAsia="zh-CN"/>
              </w:rPr>
              <w:t>2</w:t>
            </w:r>
            <w:r>
              <w:rPr>
                <w:rFonts w:hint="default" w:ascii="宋体" w:hAnsi="宋体" w:eastAsia="宋体" w:cs="宋体"/>
                <w:sz w:val="24"/>
                <w:szCs w:val="24"/>
                <w:highlight w:val="none"/>
                <w:lang w:eastAsia="zh-CN"/>
              </w:rPr>
              <w:t>、除项目负责人外拟投入本项目人员具有测绘专业高级工程师职称证书，每提供一人得2分，最高得8分；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40" w:type="dxa"/>
            <w:vMerge w:val="continue"/>
            <w:noWrap/>
            <w:vAlign w:val="center"/>
          </w:tcPr>
          <w:p>
            <w:pPr>
              <w:ind w:left="-141" w:leftChars="-76" w:right="-107" w:rightChars="-51" w:hanging="19" w:hangingChars="8"/>
              <w:jc w:val="center"/>
              <w:rPr>
                <w:b/>
                <w:sz w:val="24"/>
                <w:szCs w:val="24"/>
                <w:highlight w:val="none"/>
              </w:rPr>
            </w:pPr>
          </w:p>
        </w:tc>
        <w:tc>
          <w:tcPr>
            <w:tcW w:w="1845" w:type="dxa"/>
            <w:vMerge w:val="continue"/>
            <w:noWrap/>
            <w:vAlign w:val="center"/>
          </w:tcPr>
          <w:p>
            <w:pPr>
              <w:ind w:left="-107" w:leftChars="-52" w:right="-107" w:rightChars="-51" w:hanging="2"/>
              <w:jc w:val="center"/>
              <w:rPr>
                <w:sz w:val="24"/>
                <w:szCs w:val="24"/>
                <w:highlight w:val="none"/>
              </w:rPr>
            </w:pPr>
          </w:p>
        </w:tc>
        <w:tc>
          <w:tcPr>
            <w:tcW w:w="2984" w:type="dxa"/>
            <w:noWrap/>
            <w:vAlign w:val="center"/>
          </w:tcPr>
          <w:p>
            <w:pPr>
              <w:pStyle w:val="2"/>
              <w:ind w:left="0" w:leftChars="0" w:firstLine="0" w:firstLineChars="0"/>
              <w:jc w:val="both"/>
              <w:rPr>
                <w:kern w:val="0"/>
                <w:sz w:val="24"/>
                <w:szCs w:val="24"/>
                <w:highlight w:val="none"/>
              </w:rPr>
            </w:pPr>
            <w:r>
              <w:rPr>
                <w:rFonts w:hint="eastAsia" w:ascii="宋体" w:hAnsi="宋体" w:cs="宋体"/>
                <w:sz w:val="24"/>
                <w:szCs w:val="24"/>
                <w:highlight w:val="none"/>
              </w:rPr>
              <w:t>企业荣誉（6分）</w:t>
            </w:r>
          </w:p>
        </w:tc>
        <w:tc>
          <w:tcPr>
            <w:tcW w:w="4916" w:type="dxa"/>
            <w:noWrap/>
            <w:vAlign w:val="center"/>
          </w:tcPr>
          <w:p>
            <w:pPr>
              <w:spacing w:line="360" w:lineRule="exact"/>
              <w:rPr>
                <w:rFonts w:ascii="宋体" w:hAnsi="宋体" w:cs="宋体"/>
                <w:sz w:val="24"/>
                <w:highlight w:val="none"/>
              </w:rPr>
            </w:pPr>
            <w:r>
              <w:rPr>
                <w:rFonts w:hint="eastAsia" w:ascii="宋体" w:hAnsi="宋体" w:cs="宋体"/>
                <w:sz w:val="24"/>
                <w:szCs w:val="24"/>
                <w:highlight w:val="none"/>
              </w:rPr>
              <w:t>提供近年（</w:t>
            </w: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年1月1日至开标前</w:t>
            </w:r>
            <w:r>
              <w:rPr>
                <w:rFonts w:hint="eastAsia" w:ascii="宋体" w:hAnsi="宋体" w:cs="宋体"/>
                <w:sz w:val="24"/>
                <w:szCs w:val="24"/>
                <w:highlight w:val="none"/>
              </w:rPr>
              <w:t>）省级测绘优质工程奖一个得2分，最多得6分；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540" w:type="dxa"/>
            <w:vMerge w:val="continue"/>
            <w:noWrap/>
            <w:vAlign w:val="center"/>
          </w:tcPr>
          <w:p>
            <w:pPr>
              <w:ind w:left="-141" w:leftChars="-76" w:right="-107" w:rightChars="-51" w:hanging="19" w:hangingChars="8"/>
              <w:jc w:val="center"/>
              <w:rPr>
                <w:b/>
                <w:sz w:val="24"/>
                <w:szCs w:val="24"/>
                <w:highlight w:val="none"/>
              </w:rPr>
            </w:pPr>
          </w:p>
        </w:tc>
        <w:tc>
          <w:tcPr>
            <w:tcW w:w="1845" w:type="dxa"/>
            <w:vMerge w:val="continue"/>
            <w:noWrap/>
            <w:vAlign w:val="center"/>
          </w:tcPr>
          <w:p>
            <w:pPr>
              <w:ind w:left="-107" w:leftChars="-52" w:right="-107" w:rightChars="-51" w:hanging="2"/>
              <w:jc w:val="center"/>
              <w:rPr>
                <w:sz w:val="24"/>
                <w:szCs w:val="24"/>
                <w:highlight w:val="none"/>
              </w:rPr>
            </w:pPr>
          </w:p>
        </w:tc>
        <w:tc>
          <w:tcPr>
            <w:tcW w:w="2984" w:type="dxa"/>
            <w:noWrap/>
            <w:vAlign w:val="center"/>
          </w:tcPr>
          <w:p>
            <w:pPr>
              <w:tabs>
                <w:tab w:val="center" w:pos="731"/>
                <w:tab w:val="right" w:pos="1342"/>
              </w:tabs>
              <w:jc w:val="left"/>
              <w:rPr>
                <w:kern w:val="0"/>
                <w:sz w:val="24"/>
                <w:szCs w:val="24"/>
                <w:highlight w:val="none"/>
              </w:rPr>
            </w:pPr>
            <w:r>
              <w:rPr>
                <w:rFonts w:hint="eastAsia" w:ascii="宋体" w:hAnsi="宋体" w:cs="宋体"/>
                <w:sz w:val="24"/>
                <w:szCs w:val="24"/>
                <w:highlight w:val="none"/>
              </w:rPr>
              <w:t>服务承诺</w:t>
            </w:r>
            <w:r>
              <w:rPr>
                <w:rFonts w:hint="eastAsia" w:ascii="宋体" w:hAnsi="宋体" w:cs="宋体"/>
                <w:sz w:val="24"/>
                <w:szCs w:val="24"/>
                <w:highlight w:val="none"/>
              </w:rPr>
              <w:tab/>
            </w:r>
            <w:r>
              <w:rPr>
                <w:rFonts w:hint="eastAsia" w:ascii="宋体" w:hAnsi="宋体" w:cs="宋体"/>
                <w:bCs/>
                <w:kern w:val="0"/>
                <w:sz w:val="24"/>
                <w:szCs w:val="24"/>
                <w:highlight w:val="none"/>
              </w:rPr>
              <w:t>（</w:t>
            </w:r>
            <w:r>
              <w:rPr>
                <w:rFonts w:hint="eastAsia" w:ascii="宋体" w:hAnsi="宋体" w:cs="宋体"/>
                <w:bCs/>
                <w:kern w:val="0"/>
                <w:sz w:val="24"/>
                <w:szCs w:val="24"/>
                <w:highlight w:val="none"/>
              </w:rPr>
              <w:t>3分）</w:t>
            </w:r>
          </w:p>
        </w:tc>
        <w:tc>
          <w:tcPr>
            <w:tcW w:w="4916" w:type="dxa"/>
            <w:noWrap/>
            <w:vAlign w:val="center"/>
          </w:tcPr>
          <w:p>
            <w:pPr>
              <w:pStyle w:val="20"/>
              <w:ind w:firstLine="0"/>
              <w:rPr>
                <w:highlight w:val="none"/>
              </w:rPr>
            </w:pPr>
            <w:r>
              <w:rPr>
                <w:rFonts w:hint="eastAsia" w:ascii="宋体" w:hAnsi="宋体" w:cs="宋体"/>
                <w:sz w:val="24"/>
                <w:highlight w:val="none"/>
                <w:lang w:val="zh-CN"/>
              </w:rPr>
              <w:t>针</w:t>
            </w:r>
            <w:r>
              <w:rPr>
                <w:rFonts w:hint="eastAsia" w:ascii="宋体" w:hAnsi="宋体" w:cs="宋体"/>
                <w:sz w:val="24"/>
                <w:highlight w:val="none"/>
                <w:lang w:val="zh-CN"/>
              </w:rPr>
              <w:t>对后期服务、本地化服务、其他优惠服务等方面提出的切实可行的服务承诺</w:t>
            </w:r>
            <w:r>
              <w:rPr>
                <w:rFonts w:hint="eastAsia" w:ascii="宋体" w:hAnsi="宋体" w:cs="宋体"/>
                <w:sz w:val="24"/>
                <w:highlight w:val="none"/>
              </w:rPr>
              <w:t>（优得2-3分，良得1-2分，一般得0-1分。）最多得3分</w:t>
            </w:r>
          </w:p>
        </w:tc>
      </w:tr>
    </w:tbl>
    <w:p>
      <w:pPr>
        <w:rPr>
          <w:b/>
          <w:bCs/>
          <w:sz w:val="24"/>
          <w:szCs w:val="24"/>
          <w:highlight w:val="none"/>
        </w:rPr>
      </w:pPr>
    </w:p>
    <w:p>
      <w:pPr>
        <w:rPr>
          <w:b/>
          <w:bCs/>
          <w:sz w:val="24"/>
          <w:szCs w:val="24"/>
          <w:highlight w:val="none"/>
        </w:rPr>
      </w:pPr>
      <w:r>
        <w:rPr>
          <w:b/>
          <w:bCs/>
          <w:sz w:val="24"/>
          <w:szCs w:val="24"/>
          <w:highlight w:val="none"/>
        </w:rPr>
        <w:t>三、综合评分法</w:t>
      </w:r>
    </w:p>
    <w:p>
      <w:pPr>
        <w:spacing w:line="460" w:lineRule="exact"/>
        <w:ind w:firstLine="504" w:firstLineChars="200"/>
        <w:rPr>
          <w:color w:val="000000"/>
          <w:spacing w:val="6"/>
          <w:sz w:val="24"/>
          <w:highlight w:val="none"/>
        </w:rPr>
      </w:pPr>
      <w:r>
        <w:rPr>
          <w:color w:val="000000"/>
          <w:spacing w:val="6"/>
          <w:sz w:val="24"/>
          <w:highlight w:val="none"/>
        </w:rPr>
        <w:t>1、根据《政府采购法》及相关法律法规的有关规定与本工程特点，本着公开、公平、公正的原则，特制定本评标办法。</w:t>
      </w:r>
    </w:p>
    <w:p>
      <w:pPr>
        <w:spacing w:line="460" w:lineRule="exact"/>
        <w:ind w:firstLine="493" w:firstLineChars="196"/>
        <w:rPr>
          <w:color w:val="000000"/>
          <w:spacing w:val="6"/>
          <w:sz w:val="24"/>
          <w:highlight w:val="none"/>
        </w:rPr>
      </w:pPr>
      <w:r>
        <w:rPr>
          <w:color w:val="000000"/>
          <w:spacing w:val="6"/>
          <w:sz w:val="24"/>
          <w:highlight w:val="none"/>
        </w:rPr>
        <w:t>评标工作在评标委员会内独立进行，评标委员会将遵照评标原则，公正、平等地对待所有</w:t>
      </w:r>
      <w:r>
        <w:rPr>
          <w:rFonts w:hint="eastAsia"/>
          <w:color w:val="000000"/>
          <w:spacing w:val="6"/>
          <w:sz w:val="24"/>
          <w:highlight w:val="none"/>
        </w:rPr>
        <w:t>响应人</w:t>
      </w:r>
      <w:r>
        <w:rPr>
          <w:color w:val="000000"/>
          <w:spacing w:val="6"/>
          <w:sz w:val="24"/>
          <w:highlight w:val="none"/>
        </w:rPr>
        <w:t>。</w:t>
      </w:r>
    </w:p>
    <w:p>
      <w:pPr>
        <w:spacing w:line="400" w:lineRule="exact"/>
        <w:ind w:firstLine="420"/>
        <w:rPr>
          <w:sz w:val="24"/>
          <w:szCs w:val="24"/>
          <w:highlight w:val="none"/>
        </w:rPr>
      </w:pPr>
      <w:r>
        <w:rPr>
          <w:sz w:val="24"/>
          <w:szCs w:val="24"/>
          <w:highlight w:val="none"/>
        </w:rPr>
        <w:t>详细审查采用综合评分法，总分为100分。</w:t>
      </w:r>
    </w:p>
    <w:p>
      <w:pPr>
        <w:spacing w:line="460" w:lineRule="exact"/>
        <w:ind w:firstLine="480" w:firstLineChars="200"/>
        <w:jc w:val="left"/>
        <w:rPr>
          <w:sz w:val="24"/>
          <w:szCs w:val="24"/>
          <w:highlight w:val="none"/>
        </w:rPr>
      </w:pPr>
      <w:r>
        <w:rPr>
          <w:sz w:val="24"/>
          <w:szCs w:val="24"/>
          <w:highlight w:val="none"/>
        </w:rPr>
        <w:t>2、磋商小组对满足采购文件实质性要求的响应文件，按照本章规定的评分标准进行打分，按最终得分由高到低顺序推荐候选成交</w:t>
      </w:r>
      <w:r>
        <w:rPr>
          <w:rFonts w:hint="eastAsia"/>
          <w:sz w:val="24"/>
          <w:szCs w:val="24"/>
          <w:highlight w:val="none"/>
        </w:rPr>
        <w:t>响应人</w:t>
      </w:r>
      <w:r>
        <w:rPr>
          <w:sz w:val="24"/>
          <w:szCs w:val="24"/>
          <w:highlight w:val="none"/>
        </w:rPr>
        <w:t>。得分相同的，按照最后报价由低到高的顺序推荐。评审得分且最后报价相同的，按照技术指标优劣顺序推荐。</w:t>
      </w:r>
    </w:p>
    <w:p>
      <w:pPr>
        <w:spacing w:line="460" w:lineRule="exact"/>
        <w:ind w:firstLine="520" w:firstLineChars="217"/>
        <w:jc w:val="left"/>
        <w:rPr>
          <w:sz w:val="24"/>
          <w:szCs w:val="24"/>
          <w:highlight w:val="none"/>
        </w:rPr>
      </w:pPr>
      <w:r>
        <w:rPr>
          <w:sz w:val="24"/>
          <w:szCs w:val="24"/>
          <w:highlight w:val="none"/>
        </w:rPr>
        <w:t>3、评分分值计算保留小数点后两位，小数点后第三位“四舍五入”。</w:t>
      </w:r>
    </w:p>
    <w:p>
      <w:pPr>
        <w:spacing w:line="460" w:lineRule="exact"/>
        <w:ind w:firstLine="520" w:firstLineChars="217"/>
        <w:jc w:val="left"/>
        <w:rPr>
          <w:sz w:val="24"/>
          <w:szCs w:val="24"/>
          <w:highlight w:val="none"/>
        </w:rPr>
      </w:pPr>
      <w:r>
        <w:rPr>
          <w:sz w:val="24"/>
          <w:szCs w:val="24"/>
          <w:highlight w:val="none"/>
        </w:rPr>
        <w:t>4、在评标过程中，凡遇到磋商文件中无界定或界定不清、前后不一致使磋商小组成员意见有分歧且又难以协商一致的问题，均由磋商小组成员投票予以表决，少数服从多数原则确定。</w:t>
      </w:r>
    </w:p>
    <w:p>
      <w:pPr>
        <w:spacing w:line="460" w:lineRule="exact"/>
        <w:ind w:firstLine="480" w:firstLineChars="200"/>
        <w:jc w:val="left"/>
        <w:rPr>
          <w:sz w:val="24"/>
          <w:szCs w:val="24"/>
          <w:highlight w:val="none"/>
        </w:rPr>
      </w:pPr>
      <w:r>
        <w:rPr>
          <w:sz w:val="24"/>
          <w:szCs w:val="24"/>
          <w:highlight w:val="none"/>
        </w:rPr>
        <w:t>5、磋商小组完成评审后，向采购人出具书面评审报告。</w:t>
      </w:r>
    </w:p>
    <w:p>
      <w:pPr>
        <w:spacing w:line="480" w:lineRule="exact"/>
        <w:jc w:val="left"/>
        <w:rPr>
          <w:b/>
          <w:bCs/>
          <w:sz w:val="24"/>
          <w:szCs w:val="24"/>
          <w:highlight w:val="none"/>
        </w:rPr>
      </w:pPr>
      <w:r>
        <w:rPr>
          <w:b/>
          <w:bCs/>
          <w:sz w:val="24"/>
          <w:szCs w:val="24"/>
          <w:highlight w:val="none"/>
        </w:rPr>
        <w:t>四、磋商程序</w:t>
      </w:r>
    </w:p>
    <w:p>
      <w:pPr>
        <w:spacing w:line="480" w:lineRule="exact"/>
        <w:ind w:firstLine="482" w:firstLineChars="200"/>
        <w:jc w:val="left"/>
        <w:rPr>
          <w:b/>
          <w:bCs/>
          <w:sz w:val="24"/>
          <w:szCs w:val="24"/>
          <w:highlight w:val="none"/>
        </w:rPr>
      </w:pPr>
      <w:r>
        <w:rPr>
          <w:b/>
          <w:bCs/>
          <w:sz w:val="24"/>
          <w:szCs w:val="24"/>
          <w:highlight w:val="none"/>
        </w:rPr>
        <w:t>1、初步评审</w:t>
      </w:r>
    </w:p>
    <w:p>
      <w:pPr>
        <w:spacing w:line="460" w:lineRule="exact"/>
        <w:ind w:firstLine="480" w:firstLineChars="200"/>
        <w:jc w:val="left"/>
        <w:rPr>
          <w:sz w:val="24"/>
          <w:szCs w:val="24"/>
          <w:highlight w:val="none"/>
        </w:rPr>
      </w:pPr>
      <w:r>
        <w:rPr>
          <w:sz w:val="24"/>
          <w:szCs w:val="24"/>
          <w:highlight w:val="none"/>
        </w:rPr>
        <w:t>1.1磋商小组应该以</w:t>
      </w:r>
      <w:r>
        <w:rPr>
          <w:rFonts w:hint="eastAsia"/>
          <w:sz w:val="24"/>
          <w:szCs w:val="24"/>
          <w:highlight w:val="none"/>
        </w:rPr>
        <w:t>响应人</w:t>
      </w:r>
      <w:r>
        <w:rPr>
          <w:sz w:val="24"/>
          <w:szCs w:val="24"/>
          <w:highlight w:val="none"/>
        </w:rPr>
        <w:t>上传</w:t>
      </w:r>
      <w:r>
        <w:rPr>
          <w:rFonts w:hint="eastAsia"/>
          <w:sz w:val="24"/>
          <w:szCs w:val="24"/>
          <w:highlight w:val="none"/>
        </w:rPr>
        <w:t>响应文件</w:t>
      </w:r>
      <w:r>
        <w:rPr>
          <w:sz w:val="24"/>
          <w:szCs w:val="24"/>
          <w:highlight w:val="none"/>
        </w:rPr>
        <w:t>的有关证明和证件的原件扫描件为准，进行核验。</w:t>
      </w:r>
    </w:p>
    <w:p>
      <w:pPr>
        <w:spacing w:line="460" w:lineRule="exact"/>
        <w:ind w:firstLine="480" w:firstLineChars="200"/>
        <w:jc w:val="left"/>
        <w:rPr>
          <w:sz w:val="24"/>
          <w:szCs w:val="24"/>
          <w:highlight w:val="none"/>
        </w:rPr>
      </w:pPr>
      <w:r>
        <w:rPr>
          <w:sz w:val="24"/>
          <w:szCs w:val="24"/>
          <w:highlight w:val="none"/>
        </w:rPr>
        <w:t>1.2磋商小组依据本章附表1初步评审表规定的标准对磋商响应文件进行初步评审。有一项不符合评审标准的，作无效标处理。</w:t>
      </w:r>
    </w:p>
    <w:p>
      <w:pPr>
        <w:spacing w:line="460" w:lineRule="exact"/>
        <w:ind w:firstLine="480" w:firstLineChars="200"/>
        <w:jc w:val="left"/>
        <w:rPr>
          <w:sz w:val="24"/>
          <w:szCs w:val="24"/>
          <w:highlight w:val="none"/>
        </w:rPr>
      </w:pPr>
      <w:r>
        <w:rPr>
          <w:sz w:val="24"/>
          <w:szCs w:val="24"/>
          <w:highlight w:val="none"/>
        </w:rPr>
        <w:t>1.3</w:t>
      </w:r>
      <w:r>
        <w:rPr>
          <w:rFonts w:hint="eastAsia"/>
          <w:sz w:val="24"/>
          <w:szCs w:val="24"/>
          <w:highlight w:val="none"/>
        </w:rPr>
        <w:t>响应人</w:t>
      </w:r>
      <w:r>
        <w:rPr>
          <w:sz w:val="24"/>
          <w:szCs w:val="24"/>
          <w:highlight w:val="none"/>
        </w:rPr>
        <w:t>有以下情之一的，其磋商作无效标处理：</w:t>
      </w:r>
    </w:p>
    <w:p>
      <w:pPr>
        <w:spacing w:line="460" w:lineRule="exact"/>
        <w:ind w:firstLine="480" w:firstLineChars="200"/>
        <w:jc w:val="left"/>
        <w:rPr>
          <w:sz w:val="24"/>
          <w:szCs w:val="24"/>
          <w:highlight w:val="none"/>
        </w:rPr>
      </w:pPr>
      <w:r>
        <w:rPr>
          <w:sz w:val="24"/>
          <w:szCs w:val="24"/>
          <w:highlight w:val="none"/>
        </w:rPr>
        <w:t>（1）串通磋商或弄虚作假或有其他违法行为的；</w:t>
      </w:r>
    </w:p>
    <w:p>
      <w:pPr>
        <w:spacing w:line="460" w:lineRule="exact"/>
        <w:ind w:firstLine="480" w:firstLineChars="200"/>
        <w:jc w:val="left"/>
        <w:rPr>
          <w:sz w:val="24"/>
          <w:szCs w:val="24"/>
          <w:highlight w:val="none"/>
        </w:rPr>
      </w:pPr>
      <w:r>
        <w:rPr>
          <w:sz w:val="24"/>
          <w:szCs w:val="24"/>
          <w:highlight w:val="none"/>
        </w:rPr>
        <w:t>（2）不按磋商小组要求澄清、说明或补正的。</w:t>
      </w:r>
    </w:p>
    <w:p>
      <w:pPr>
        <w:spacing w:line="460" w:lineRule="exact"/>
        <w:ind w:firstLine="480" w:firstLineChars="200"/>
        <w:jc w:val="left"/>
        <w:rPr>
          <w:sz w:val="24"/>
          <w:szCs w:val="24"/>
          <w:highlight w:val="none"/>
        </w:rPr>
      </w:pPr>
      <w:r>
        <w:rPr>
          <w:sz w:val="24"/>
          <w:szCs w:val="24"/>
          <w:highlight w:val="none"/>
        </w:rPr>
        <w:t>1.4磋商报价有算术错误的，磋商小组按以下原则对磋商报价进行修正，修正的价格经</w:t>
      </w:r>
      <w:r>
        <w:rPr>
          <w:rFonts w:hint="eastAsia"/>
          <w:sz w:val="24"/>
          <w:szCs w:val="24"/>
          <w:highlight w:val="none"/>
        </w:rPr>
        <w:t>响应人</w:t>
      </w:r>
      <w:r>
        <w:rPr>
          <w:sz w:val="24"/>
          <w:szCs w:val="24"/>
          <w:highlight w:val="none"/>
        </w:rPr>
        <w:t>书面确认后具有约束力。</w:t>
      </w:r>
      <w:r>
        <w:rPr>
          <w:rFonts w:hint="eastAsia"/>
          <w:sz w:val="24"/>
          <w:szCs w:val="24"/>
          <w:highlight w:val="none"/>
        </w:rPr>
        <w:t>响应人</w:t>
      </w:r>
      <w:r>
        <w:rPr>
          <w:sz w:val="24"/>
          <w:szCs w:val="24"/>
          <w:highlight w:val="none"/>
        </w:rPr>
        <w:t>不接受修正价格的，其磋商作废标处理。</w:t>
      </w:r>
    </w:p>
    <w:p>
      <w:pPr>
        <w:spacing w:line="460" w:lineRule="exact"/>
        <w:ind w:firstLine="480" w:firstLineChars="200"/>
        <w:jc w:val="left"/>
        <w:rPr>
          <w:sz w:val="24"/>
          <w:szCs w:val="24"/>
          <w:highlight w:val="none"/>
        </w:rPr>
      </w:pPr>
      <w:r>
        <w:rPr>
          <w:sz w:val="24"/>
          <w:szCs w:val="24"/>
          <w:highlight w:val="none"/>
        </w:rPr>
        <w:t>（1）磋商文件中的大写金额与小写金额不一致的，以大写金额为准；</w:t>
      </w:r>
    </w:p>
    <w:p>
      <w:pPr>
        <w:spacing w:line="460" w:lineRule="exact"/>
        <w:ind w:firstLine="480" w:firstLineChars="200"/>
        <w:jc w:val="left"/>
        <w:rPr>
          <w:sz w:val="24"/>
          <w:szCs w:val="24"/>
          <w:highlight w:val="none"/>
        </w:rPr>
      </w:pPr>
      <w:r>
        <w:rPr>
          <w:sz w:val="24"/>
          <w:szCs w:val="24"/>
          <w:highlight w:val="none"/>
        </w:rPr>
        <w:t>（2）总价金额与依据单价计算出的结果不一致的，以单价金额为准修正总价，但单价金额小数点有明显错误的除外。</w:t>
      </w:r>
    </w:p>
    <w:p>
      <w:pPr>
        <w:spacing w:line="460" w:lineRule="exact"/>
        <w:ind w:firstLine="482" w:firstLineChars="200"/>
        <w:jc w:val="left"/>
        <w:rPr>
          <w:b/>
          <w:bCs/>
          <w:sz w:val="24"/>
          <w:szCs w:val="24"/>
          <w:highlight w:val="none"/>
        </w:rPr>
      </w:pPr>
      <w:r>
        <w:rPr>
          <w:b/>
          <w:bCs/>
          <w:sz w:val="24"/>
          <w:szCs w:val="24"/>
          <w:highlight w:val="none"/>
        </w:rPr>
        <w:t>2、详细评审</w:t>
      </w:r>
    </w:p>
    <w:p>
      <w:pPr>
        <w:spacing w:line="460" w:lineRule="exact"/>
        <w:ind w:firstLine="480" w:firstLineChars="200"/>
        <w:jc w:val="left"/>
        <w:rPr>
          <w:sz w:val="24"/>
          <w:szCs w:val="24"/>
          <w:highlight w:val="none"/>
        </w:rPr>
      </w:pPr>
      <w:r>
        <w:rPr>
          <w:sz w:val="24"/>
          <w:szCs w:val="24"/>
          <w:highlight w:val="none"/>
        </w:rPr>
        <w:t>2.1磋商小组按本章评标办法前附表规定的量化因素和分值进行打分，并计算出综合评估得分。</w:t>
      </w:r>
    </w:p>
    <w:p>
      <w:pPr>
        <w:spacing w:line="460" w:lineRule="exact"/>
        <w:ind w:firstLine="480" w:firstLineChars="200"/>
        <w:jc w:val="left"/>
        <w:rPr>
          <w:sz w:val="24"/>
          <w:szCs w:val="24"/>
          <w:highlight w:val="none"/>
        </w:rPr>
      </w:pPr>
      <w:r>
        <w:rPr>
          <w:sz w:val="24"/>
          <w:szCs w:val="24"/>
          <w:highlight w:val="none"/>
        </w:rPr>
        <w:t>2.2在评审过程中，磋商小组发现</w:t>
      </w:r>
      <w:r>
        <w:rPr>
          <w:rFonts w:hint="eastAsia"/>
          <w:sz w:val="24"/>
          <w:szCs w:val="24"/>
          <w:highlight w:val="none"/>
        </w:rPr>
        <w:t>响应人</w:t>
      </w:r>
      <w:r>
        <w:rPr>
          <w:sz w:val="24"/>
          <w:szCs w:val="24"/>
          <w:highlight w:val="none"/>
        </w:rPr>
        <w:t>的磋商报价明显低于其他</w:t>
      </w:r>
      <w:r>
        <w:rPr>
          <w:rFonts w:hint="eastAsia"/>
          <w:sz w:val="24"/>
          <w:szCs w:val="24"/>
          <w:highlight w:val="none"/>
        </w:rPr>
        <w:t>响应人</w:t>
      </w:r>
      <w:r>
        <w:rPr>
          <w:sz w:val="24"/>
          <w:szCs w:val="24"/>
          <w:highlight w:val="none"/>
        </w:rPr>
        <w:t>的报价，并有可能低于其企业成本的，则磋商小组可以以书面形式要求该</w:t>
      </w:r>
      <w:r>
        <w:rPr>
          <w:rFonts w:hint="eastAsia"/>
          <w:sz w:val="24"/>
          <w:szCs w:val="24"/>
          <w:highlight w:val="none"/>
        </w:rPr>
        <w:t>响应人</w:t>
      </w:r>
      <w:r>
        <w:rPr>
          <w:sz w:val="24"/>
          <w:szCs w:val="24"/>
          <w:highlight w:val="none"/>
        </w:rPr>
        <w:t>作出书面说明并提供相关证明材料。</w:t>
      </w:r>
      <w:r>
        <w:rPr>
          <w:rFonts w:hint="eastAsia"/>
          <w:sz w:val="24"/>
          <w:szCs w:val="24"/>
          <w:highlight w:val="none"/>
        </w:rPr>
        <w:t>响应人</w:t>
      </w:r>
      <w:r>
        <w:rPr>
          <w:sz w:val="24"/>
          <w:szCs w:val="24"/>
          <w:highlight w:val="none"/>
        </w:rPr>
        <w:t>不能合理说明或不能提供相关证明材料的，经磋商小组</w:t>
      </w:r>
      <w:r>
        <w:rPr>
          <w:color w:val="000000"/>
          <w:spacing w:val="6"/>
          <w:sz w:val="24"/>
          <w:highlight w:val="none"/>
        </w:rPr>
        <w:t>小组认定，属于恶性竞标的，可以按废标处理；评标委员会将不对无效响应文件或废标的</w:t>
      </w:r>
      <w:r>
        <w:rPr>
          <w:rFonts w:hint="eastAsia"/>
          <w:color w:val="000000"/>
          <w:spacing w:val="6"/>
          <w:sz w:val="24"/>
          <w:highlight w:val="none"/>
        </w:rPr>
        <w:t>响应人</w:t>
      </w:r>
      <w:r>
        <w:rPr>
          <w:color w:val="000000"/>
          <w:spacing w:val="6"/>
          <w:sz w:val="24"/>
          <w:highlight w:val="none"/>
        </w:rPr>
        <w:t>进行评审或打分。</w:t>
      </w:r>
    </w:p>
    <w:p>
      <w:pPr>
        <w:spacing w:line="460" w:lineRule="exact"/>
        <w:ind w:firstLine="482" w:firstLineChars="200"/>
        <w:jc w:val="left"/>
        <w:rPr>
          <w:b/>
          <w:bCs/>
          <w:sz w:val="24"/>
          <w:szCs w:val="24"/>
          <w:highlight w:val="none"/>
        </w:rPr>
      </w:pPr>
      <w:r>
        <w:rPr>
          <w:b/>
          <w:bCs/>
          <w:sz w:val="24"/>
          <w:szCs w:val="24"/>
          <w:highlight w:val="none"/>
        </w:rPr>
        <w:t>3、磋商文件的澄清和补正</w:t>
      </w:r>
    </w:p>
    <w:p>
      <w:pPr>
        <w:spacing w:line="460" w:lineRule="exact"/>
        <w:ind w:firstLine="480" w:firstLineChars="200"/>
        <w:jc w:val="left"/>
        <w:rPr>
          <w:sz w:val="24"/>
          <w:szCs w:val="24"/>
          <w:highlight w:val="none"/>
        </w:rPr>
      </w:pPr>
      <w:r>
        <w:rPr>
          <w:sz w:val="24"/>
          <w:szCs w:val="24"/>
          <w:highlight w:val="none"/>
        </w:rPr>
        <w:t>3.1在磋商过程中，磋商小组可以书面形式要求</w:t>
      </w:r>
      <w:r>
        <w:rPr>
          <w:rFonts w:hint="eastAsia"/>
          <w:sz w:val="24"/>
          <w:szCs w:val="24"/>
          <w:highlight w:val="none"/>
        </w:rPr>
        <w:t>响应人</w:t>
      </w:r>
      <w:r>
        <w:rPr>
          <w:sz w:val="24"/>
          <w:szCs w:val="24"/>
          <w:highlight w:val="none"/>
        </w:rPr>
        <w:t>对所提交磋商响应文件中不明确的内容进行书面澄清或说明，或者对细微偏差进行补正。磋商小组不接受</w:t>
      </w:r>
      <w:r>
        <w:rPr>
          <w:rFonts w:hint="eastAsia"/>
          <w:sz w:val="24"/>
          <w:szCs w:val="24"/>
          <w:highlight w:val="none"/>
        </w:rPr>
        <w:t>响应人</w:t>
      </w:r>
      <w:r>
        <w:rPr>
          <w:sz w:val="24"/>
          <w:szCs w:val="24"/>
          <w:highlight w:val="none"/>
        </w:rPr>
        <w:t>主动提出的澄清、说明或补正。</w:t>
      </w:r>
    </w:p>
    <w:p>
      <w:pPr>
        <w:spacing w:line="460" w:lineRule="exact"/>
        <w:ind w:firstLine="480" w:firstLineChars="200"/>
        <w:jc w:val="left"/>
        <w:rPr>
          <w:sz w:val="24"/>
          <w:szCs w:val="24"/>
          <w:highlight w:val="none"/>
        </w:rPr>
      </w:pPr>
      <w:r>
        <w:rPr>
          <w:sz w:val="24"/>
          <w:szCs w:val="24"/>
          <w:highlight w:val="none"/>
        </w:rPr>
        <w:t>3.2澄清、说明和补正不得改变磋商文件的实质性内容（算术性错误修正的除外）。</w:t>
      </w:r>
      <w:r>
        <w:rPr>
          <w:rFonts w:hint="eastAsia"/>
          <w:sz w:val="24"/>
          <w:szCs w:val="24"/>
          <w:highlight w:val="none"/>
        </w:rPr>
        <w:t>响应人</w:t>
      </w:r>
      <w:r>
        <w:rPr>
          <w:sz w:val="24"/>
          <w:szCs w:val="24"/>
          <w:highlight w:val="none"/>
        </w:rPr>
        <w:t>的书面澄清、说明和补正属于磋商响应文件的组成部分。</w:t>
      </w:r>
    </w:p>
    <w:p>
      <w:pPr>
        <w:spacing w:line="460" w:lineRule="exact"/>
        <w:ind w:firstLine="480" w:firstLineChars="200"/>
        <w:jc w:val="left"/>
        <w:rPr>
          <w:sz w:val="24"/>
          <w:szCs w:val="24"/>
          <w:highlight w:val="none"/>
        </w:rPr>
      </w:pPr>
      <w:r>
        <w:rPr>
          <w:sz w:val="24"/>
          <w:szCs w:val="24"/>
          <w:highlight w:val="none"/>
        </w:rPr>
        <w:t>3.3磋商小组对</w:t>
      </w:r>
      <w:r>
        <w:rPr>
          <w:rFonts w:hint="eastAsia"/>
          <w:sz w:val="24"/>
          <w:szCs w:val="24"/>
          <w:highlight w:val="none"/>
        </w:rPr>
        <w:t>响应人</w:t>
      </w:r>
      <w:r>
        <w:rPr>
          <w:sz w:val="24"/>
          <w:szCs w:val="24"/>
          <w:highlight w:val="none"/>
        </w:rPr>
        <w:t>提交的澄清、说明或补正有疑问的，可以要求</w:t>
      </w:r>
      <w:r>
        <w:rPr>
          <w:rFonts w:hint="eastAsia"/>
          <w:sz w:val="24"/>
          <w:szCs w:val="24"/>
          <w:highlight w:val="none"/>
        </w:rPr>
        <w:t>响应人</w:t>
      </w:r>
      <w:r>
        <w:rPr>
          <w:sz w:val="24"/>
          <w:szCs w:val="24"/>
          <w:highlight w:val="none"/>
        </w:rPr>
        <w:t>进一步澄清、说明或补正，直至满足磋商小组的要求。</w:t>
      </w:r>
    </w:p>
    <w:p>
      <w:pPr>
        <w:spacing w:line="460" w:lineRule="exact"/>
        <w:ind w:firstLine="482" w:firstLineChars="200"/>
        <w:jc w:val="left"/>
        <w:rPr>
          <w:b/>
          <w:bCs/>
          <w:sz w:val="24"/>
          <w:szCs w:val="24"/>
          <w:highlight w:val="none"/>
        </w:rPr>
      </w:pPr>
      <w:r>
        <w:rPr>
          <w:b/>
          <w:bCs/>
          <w:sz w:val="24"/>
          <w:szCs w:val="24"/>
          <w:highlight w:val="none"/>
        </w:rPr>
        <w:t>4、计分办法</w:t>
      </w:r>
    </w:p>
    <w:p>
      <w:pPr>
        <w:spacing w:line="460" w:lineRule="exact"/>
        <w:ind w:firstLine="480" w:firstLineChars="200"/>
        <w:jc w:val="left"/>
        <w:rPr>
          <w:sz w:val="24"/>
          <w:szCs w:val="24"/>
          <w:highlight w:val="none"/>
        </w:rPr>
      </w:pPr>
      <w:r>
        <w:rPr>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pPr>
        <w:spacing w:line="460" w:lineRule="exact"/>
        <w:ind w:firstLine="482" w:firstLineChars="200"/>
        <w:jc w:val="left"/>
        <w:rPr>
          <w:b/>
          <w:bCs/>
          <w:sz w:val="24"/>
          <w:szCs w:val="24"/>
          <w:highlight w:val="none"/>
        </w:rPr>
      </w:pPr>
      <w:r>
        <w:rPr>
          <w:b/>
          <w:bCs/>
          <w:sz w:val="24"/>
          <w:szCs w:val="24"/>
          <w:highlight w:val="none"/>
        </w:rPr>
        <w:t>5、磋商结果</w:t>
      </w:r>
    </w:p>
    <w:p>
      <w:pPr>
        <w:spacing w:line="460" w:lineRule="exact"/>
        <w:ind w:firstLine="480" w:firstLineChars="200"/>
        <w:jc w:val="left"/>
        <w:rPr>
          <w:sz w:val="24"/>
          <w:szCs w:val="24"/>
          <w:highlight w:val="none"/>
        </w:rPr>
      </w:pPr>
      <w:r>
        <w:rPr>
          <w:sz w:val="24"/>
          <w:szCs w:val="24"/>
          <w:highlight w:val="none"/>
        </w:rPr>
        <w:t>磋商小组按照得分由高到低的顺序推荐</w:t>
      </w:r>
      <w:r>
        <w:rPr>
          <w:rFonts w:hint="eastAsia"/>
          <w:sz w:val="24"/>
          <w:szCs w:val="24"/>
          <w:highlight w:val="none"/>
        </w:rPr>
        <w:t>1-3</w:t>
      </w:r>
      <w:r>
        <w:rPr>
          <w:sz w:val="24"/>
          <w:szCs w:val="24"/>
          <w:highlight w:val="none"/>
        </w:rPr>
        <w:t>名中标候选人。磋商小组完成磋商后，应当向采购人提交书面磋商报告。</w:t>
      </w:r>
    </w:p>
    <w:p>
      <w:pPr>
        <w:spacing w:line="460" w:lineRule="exact"/>
        <w:ind w:firstLine="482" w:firstLineChars="200"/>
        <w:jc w:val="left"/>
        <w:rPr>
          <w:b/>
          <w:bCs/>
          <w:sz w:val="24"/>
          <w:szCs w:val="24"/>
          <w:highlight w:val="none"/>
        </w:rPr>
      </w:pPr>
      <w:r>
        <w:rPr>
          <w:b/>
          <w:bCs/>
          <w:sz w:val="24"/>
          <w:szCs w:val="24"/>
          <w:highlight w:val="none"/>
        </w:rPr>
        <w:t>6、定标办法</w:t>
      </w:r>
    </w:p>
    <w:p>
      <w:pPr>
        <w:spacing w:line="460" w:lineRule="exact"/>
        <w:ind w:firstLine="480" w:firstLineChars="200"/>
        <w:jc w:val="left"/>
        <w:rPr>
          <w:sz w:val="24"/>
          <w:szCs w:val="24"/>
          <w:highlight w:val="none"/>
        </w:rPr>
      </w:pPr>
      <w:r>
        <w:rPr>
          <w:sz w:val="24"/>
          <w:szCs w:val="24"/>
          <w:highlight w:val="none"/>
        </w:rPr>
        <w:t>（1）磋商小组应当根据</w:t>
      </w:r>
      <w:r>
        <w:rPr>
          <w:rFonts w:hint="eastAsia"/>
          <w:sz w:val="24"/>
          <w:szCs w:val="24"/>
          <w:highlight w:val="none"/>
        </w:rPr>
        <w:t>响应人</w:t>
      </w:r>
      <w:r>
        <w:rPr>
          <w:sz w:val="24"/>
          <w:szCs w:val="24"/>
          <w:highlight w:val="none"/>
        </w:rPr>
        <w:t>最终得分由高到低的顺序推荐</w:t>
      </w:r>
      <w:r>
        <w:rPr>
          <w:rFonts w:hint="eastAsia"/>
          <w:sz w:val="24"/>
          <w:szCs w:val="24"/>
          <w:highlight w:val="none"/>
        </w:rPr>
        <w:t>1-3</w:t>
      </w:r>
      <w:r>
        <w:rPr>
          <w:sz w:val="24"/>
          <w:szCs w:val="24"/>
          <w:highlight w:val="none"/>
        </w:rPr>
        <w:t>名成交候选</w:t>
      </w:r>
      <w:r>
        <w:rPr>
          <w:rFonts w:hint="eastAsia"/>
          <w:sz w:val="24"/>
          <w:szCs w:val="24"/>
          <w:highlight w:val="none"/>
        </w:rPr>
        <w:t>响应人</w:t>
      </w:r>
      <w:r>
        <w:rPr>
          <w:sz w:val="24"/>
          <w:szCs w:val="24"/>
          <w:highlight w:val="none"/>
        </w:rPr>
        <w:t>，出具磋商评审报告。</w:t>
      </w:r>
    </w:p>
    <w:p>
      <w:pPr>
        <w:spacing w:line="460" w:lineRule="exact"/>
        <w:ind w:firstLine="480" w:firstLineChars="200"/>
        <w:jc w:val="left"/>
        <w:rPr>
          <w:sz w:val="24"/>
          <w:szCs w:val="24"/>
          <w:highlight w:val="none"/>
        </w:rPr>
      </w:pPr>
      <w:r>
        <w:rPr>
          <w:rFonts w:hint="eastAsia"/>
          <w:sz w:val="24"/>
          <w:szCs w:val="24"/>
          <w:highlight w:val="none"/>
        </w:rPr>
        <w:t>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pPr>
        <w:spacing w:line="460" w:lineRule="exact"/>
        <w:ind w:firstLine="480" w:firstLineChars="200"/>
        <w:jc w:val="left"/>
        <w:rPr>
          <w:sz w:val="24"/>
          <w:szCs w:val="24"/>
          <w:highlight w:val="none"/>
        </w:rPr>
      </w:pPr>
      <w:r>
        <w:rPr>
          <w:sz w:val="24"/>
          <w:szCs w:val="24"/>
          <w:highlight w:val="none"/>
        </w:rPr>
        <w:t>（2）采购人按磋商小组写出磋商报告确定排序第一的响应单位为成交人。</w:t>
      </w:r>
    </w:p>
    <w:p>
      <w:pPr>
        <w:spacing w:line="460" w:lineRule="exact"/>
        <w:ind w:firstLine="480" w:firstLineChars="200"/>
        <w:jc w:val="left"/>
        <w:rPr>
          <w:sz w:val="24"/>
          <w:szCs w:val="24"/>
          <w:highlight w:val="none"/>
        </w:rPr>
      </w:pPr>
      <w:r>
        <w:rPr>
          <w:sz w:val="24"/>
          <w:szCs w:val="24"/>
          <w:highlight w:val="none"/>
        </w:rPr>
        <w:t>（3）成交</w:t>
      </w:r>
      <w:r>
        <w:rPr>
          <w:rFonts w:hint="eastAsia"/>
          <w:sz w:val="24"/>
          <w:szCs w:val="24"/>
          <w:highlight w:val="none"/>
        </w:rPr>
        <w:t>响应人</w:t>
      </w:r>
      <w:r>
        <w:rPr>
          <w:sz w:val="24"/>
          <w:szCs w:val="24"/>
          <w:highlight w:val="none"/>
        </w:rPr>
        <w:t>拒绝签订政府采购合同的，采购人可以按照“财库【2014】214号”文第二十八条第二款规定的原则确定其他</w:t>
      </w:r>
      <w:r>
        <w:rPr>
          <w:rFonts w:hint="eastAsia"/>
          <w:sz w:val="24"/>
          <w:szCs w:val="24"/>
          <w:highlight w:val="none"/>
        </w:rPr>
        <w:t>响应人</w:t>
      </w:r>
      <w:r>
        <w:rPr>
          <w:sz w:val="24"/>
          <w:szCs w:val="24"/>
          <w:highlight w:val="none"/>
        </w:rPr>
        <w:t>作为成交</w:t>
      </w:r>
      <w:r>
        <w:rPr>
          <w:rFonts w:hint="eastAsia"/>
          <w:sz w:val="24"/>
          <w:szCs w:val="24"/>
          <w:highlight w:val="none"/>
        </w:rPr>
        <w:t>响应人</w:t>
      </w:r>
      <w:r>
        <w:rPr>
          <w:sz w:val="24"/>
          <w:szCs w:val="24"/>
          <w:highlight w:val="none"/>
        </w:rPr>
        <w:t>并签订政府采购合同，也可以重新开展采购活动。拒绝签订政府采购合同的成交</w:t>
      </w:r>
      <w:r>
        <w:rPr>
          <w:rFonts w:hint="eastAsia"/>
          <w:sz w:val="24"/>
          <w:szCs w:val="24"/>
          <w:highlight w:val="none"/>
        </w:rPr>
        <w:t>响应人</w:t>
      </w:r>
      <w:r>
        <w:rPr>
          <w:sz w:val="24"/>
          <w:szCs w:val="24"/>
          <w:highlight w:val="none"/>
        </w:rPr>
        <w:t>不得参加对该项目重新开展的采购活动</w:t>
      </w:r>
      <w:r>
        <w:rPr>
          <w:rFonts w:hint="eastAsia"/>
          <w:sz w:val="24"/>
          <w:szCs w:val="24"/>
          <w:highlight w:val="none"/>
        </w:rPr>
        <w:t>。</w:t>
      </w:r>
    </w:p>
    <w:p>
      <w:pPr>
        <w:rPr>
          <w:b/>
          <w:bCs/>
          <w:sz w:val="32"/>
          <w:szCs w:val="32"/>
          <w:highlight w:val="none"/>
        </w:rPr>
      </w:pPr>
      <w:r>
        <w:rPr>
          <w:rFonts w:hint="eastAsia"/>
          <w:b/>
          <w:bCs/>
          <w:sz w:val="32"/>
          <w:szCs w:val="32"/>
          <w:highlight w:val="none"/>
        </w:rPr>
        <w:br w:type="page"/>
      </w:r>
    </w:p>
    <w:p>
      <w:pPr>
        <w:jc w:val="center"/>
        <w:outlineLvl w:val="0"/>
        <w:rPr>
          <w:b/>
          <w:bCs/>
          <w:sz w:val="32"/>
          <w:szCs w:val="32"/>
          <w:highlight w:val="none"/>
        </w:rPr>
      </w:pPr>
      <w:bookmarkStart w:id="165" w:name="_Toc17516"/>
      <w:r>
        <w:rPr>
          <w:rFonts w:hint="eastAsia"/>
          <w:b/>
          <w:bCs/>
          <w:sz w:val="32"/>
          <w:szCs w:val="32"/>
          <w:highlight w:val="none"/>
        </w:rPr>
        <w:t>第四章合同条款</w:t>
      </w:r>
      <w:bookmarkEnd w:id="165"/>
    </w:p>
    <w:p>
      <w:pPr>
        <w:jc w:val="center"/>
        <w:outlineLvl w:val="9"/>
        <w:rPr>
          <w:b/>
          <w:bCs/>
          <w:sz w:val="24"/>
          <w:szCs w:val="24"/>
          <w:highlight w:val="none"/>
        </w:rPr>
      </w:pPr>
      <w:bookmarkStart w:id="166" w:name="_Toc23145"/>
    </w:p>
    <w:p>
      <w:pPr>
        <w:keepNext w:val="0"/>
        <w:keepLines w:val="0"/>
        <w:pageBreakBefore w:val="0"/>
        <w:widowControl w:val="0"/>
        <w:kinsoku/>
        <w:wordWrap/>
        <w:overflowPunct/>
        <w:topLinePunct w:val="0"/>
        <w:autoSpaceDE/>
        <w:autoSpaceDN/>
        <w:bidi w:val="0"/>
        <w:adjustRightInd/>
        <w:snapToGrid/>
        <w:jc w:val="both"/>
        <w:textAlignment w:val="auto"/>
        <w:outlineLvl w:val="0"/>
        <w:rPr>
          <w:b/>
          <w:bCs/>
          <w:sz w:val="24"/>
          <w:szCs w:val="24"/>
          <w:highlight w:val="none"/>
        </w:rPr>
      </w:pPr>
      <w:bookmarkStart w:id="167" w:name="_Toc6188"/>
      <w:r>
        <w:rPr>
          <w:rFonts w:hint="eastAsia"/>
          <w:b/>
          <w:bCs/>
          <w:sz w:val="24"/>
          <w:szCs w:val="24"/>
          <w:highlight w:val="none"/>
        </w:rPr>
        <w:t>（供应商中标之后按《三门峡市财政局关于市本级政府采购合同备案管理工作的通知》（三财购[2021]9号）文要求，集中采购目录以外政府采购项目，原则上自中标通知书发出之日起2个工作日内与中标（成交）供应商按照采购文件确定的事项与</w:t>
      </w:r>
      <w:r>
        <w:rPr>
          <w:rFonts w:hint="eastAsia"/>
          <w:b/>
          <w:bCs/>
          <w:sz w:val="24"/>
          <w:szCs w:val="24"/>
          <w:highlight w:val="none"/>
          <w:lang w:val="en-US" w:eastAsia="zh-CN"/>
        </w:rPr>
        <w:t>采购人</w:t>
      </w:r>
      <w:r>
        <w:rPr>
          <w:rFonts w:hint="eastAsia"/>
          <w:b/>
          <w:bCs/>
          <w:sz w:val="24"/>
          <w:szCs w:val="24"/>
          <w:highlight w:val="none"/>
        </w:rPr>
        <w:t>签订政府采购合同。）</w:t>
      </w:r>
      <w:bookmarkEnd w:id="167"/>
    </w:p>
    <w:p>
      <w:pPr>
        <w:keepNext w:val="0"/>
        <w:keepLines w:val="0"/>
        <w:pageBreakBefore w:val="0"/>
        <w:widowControl w:val="0"/>
        <w:kinsoku/>
        <w:wordWrap/>
        <w:overflowPunct/>
        <w:topLinePunct w:val="0"/>
        <w:autoSpaceDE/>
        <w:autoSpaceDN/>
        <w:bidi w:val="0"/>
        <w:adjustRightInd/>
        <w:snapToGrid/>
        <w:ind w:firstLine="241" w:firstLineChars="100"/>
        <w:jc w:val="both"/>
        <w:textAlignment w:val="auto"/>
        <w:rPr>
          <w:b/>
          <w:bCs/>
          <w:sz w:val="24"/>
          <w:szCs w:val="24"/>
          <w:highlight w:val="none"/>
        </w:rPr>
      </w:pPr>
      <w:r>
        <w:rPr>
          <w:rFonts w:hint="eastAsia"/>
          <w:b/>
          <w:bCs/>
          <w:sz w:val="24"/>
          <w:szCs w:val="24"/>
          <w:highlight w:val="none"/>
        </w:rPr>
        <w:br w:type="page"/>
      </w:r>
    </w:p>
    <w:p>
      <w:pPr>
        <w:jc w:val="center"/>
        <w:outlineLvl w:val="0"/>
        <w:rPr>
          <w:b/>
          <w:bCs/>
          <w:sz w:val="32"/>
          <w:szCs w:val="32"/>
          <w:highlight w:val="none"/>
        </w:rPr>
      </w:pPr>
      <w:bookmarkStart w:id="168" w:name="_Toc26080"/>
      <w:r>
        <w:rPr>
          <w:rFonts w:hint="eastAsia"/>
          <w:b/>
          <w:bCs/>
          <w:sz w:val="32"/>
          <w:szCs w:val="32"/>
          <w:highlight w:val="none"/>
        </w:rPr>
        <w:t>第五章服务内容及要求</w:t>
      </w:r>
      <w:bookmarkEnd w:id="166"/>
      <w:bookmarkEnd w:id="168"/>
    </w:p>
    <w:p>
      <w:pPr>
        <w:spacing w:line="460" w:lineRule="exact"/>
        <w:ind w:firstLine="480" w:firstLineChars="200"/>
        <w:jc w:val="left"/>
        <w:rPr>
          <w:rFonts w:hint="eastAsia" w:ascii="Times New Roman" w:hAnsi="Times New Roman" w:eastAsia="宋体" w:cs="Times New Roman"/>
          <w:sz w:val="24"/>
          <w:szCs w:val="24"/>
          <w:highlight w:val="none"/>
        </w:rPr>
      </w:pPr>
      <w:bookmarkStart w:id="169" w:name="_Toc19800"/>
      <w:r>
        <w:rPr>
          <w:rFonts w:hint="eastAsia" w:ascii="Times New Roman" w:hAnsi="Times New Roman" w:eastAsia="宋体" w:cs="Times New Roman"/>
          <w:sz w:val="24"/>
          <w:szCs w:val="24"/>
          <w:highlight w:val="none"/>
          <w:lang w:val="en-US" w:eastAsia="zh-CN"/>
        </w:rPr>
        <w:t>湖滨区范围内的归属国家级和省级、市级管理的永久性测量标志。本次测量标志普查包括外业普查，业内整理，成果建库等工作并根据普查要求提交成果 。</w:t>
      </w:r>
    </w:p>
    <w:p>
      <w:pPr>
        <w:spacing w:line="460" w:lineRule="exact"/>
        <w:ind w:firstLine="480" w:firstLineChars="200"/>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项目名称：</w:t>
      </w:r>
      <w:r>
        <w:rPr>
          <w:rFonts w:hint="eastAsia" w:ascii="宋体" w:hAnsi="宋体" w:cs="宋体"/>
          <w:sz w:val="24"/>
          <w:szCs w:val="24"/>
          <w:highlight w:val="none"/>
        </w:rPr>
        <w:t>湖滨区测量标志普查保护工作</w:t>
      </w:r>
      <w:r>
        <w:rPr>
          <w:rFonts w:hint="eastAsia" w:ascii="Times New Roman" w:hAnsi="Times New Roman" w:eastAsia="宋体" w:cs="Times New Roman"/>
          <w:sz w:val="24"/>
          <w:szCs w:val="24"/>
          <w:highlight w:val="none"/>
          <w:lang w:val="en-US" w:eastAsia="zh-CN"/>
        </w:rPr>
        <w:t xml:space="preserve"> </w:t>
      </w:r>
    </w:p>
    <w:p>
      <w:pPr>
        <w:spacing w:line="460" w:lineRule="exact"/>
        <w:ind w:firstLine="480" w:firstLineChars="200"/>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资金来源：财政资金； </w:t>
      </w:r>
    </w:p>
    <w:p>
      <w:pPr>
        <w:spacing w:line="480" w:lineRule="exact"/>
        <w:ind w:right="-92" w:rightChars="-44"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服务内容：</w:t>
      </w:r>
      <w:r>
        <w:rPr>
          <w:rFonts w:hint="eastAsia" w:ascii="宋体" w:hAnsi="宋体" w:cs="宋体"/>
          <w:sz w:val="24"/>
          <w:szCs w:val="24"/>
          <w:highlight w:val="none"/>
        </w:rPr>
        <w:t>湖滨区范围内的归属国家级和省级、市级管理的永久性测量标志。本次测量标志普查包括外业普查，业内整理，成果建库等工作并根据普查要求提交成果。</w:t>
      </w:r>
    </w:p>
    <w:p>
      <w:pPr>
        <w:spacing w:line="460" w:lineRule="exact"/>
        <w:ind w:firstLine="480" w:firstLineChars="200"/>
        <w:jc w:val="left"/>
        <w:rPr>
          <w:rFonts w:hint="eastAsia" w:ascii="Times New Roman" w:hAnsi="Times New Roman" w:eastAsia="宋体" w:cs="Times New Roman"/>
          <w:sz w:val="24"/>
          <w:szCs w:val="24"/>
          <w:highlight w:val="none"/>
        </w:rPr>
      </w:pPr>
      <w:r>
        <w:rPr>
          <w:rFonts w:hint="eastAsia" w:ascii="宋体" w:hAnsi="宋体" w:cs="宋体"/>
          <w:sz w:val="24"/>
          <w:szCs w:val="24"/>
          <w:highlight w:val="none"/>
        </w:rPr>
        <w:t>质量要求：符合国家现行相关法律、规范、标准等规定</w:t>
      </w:r>
      <w:r>
        <w:rPr>
          <w:rFonts w:hint="eastAsia" w:ascii="Times New Roman" w:hAnsi="Times New Roman" w:eastAsia="宋体" w:cs="Times New Roman"/>
          <w:sz w:val="24"/>
          <w:szCs w:val="24"/>
          <w:highlight w:val="none"/>
          <w:lang w:val="en-US" w:eastAsia="zh-CN"/>
        </w:rPr>
        <w:t xml:space="preserve"> </w:t>
      </w:r>
    </w:p>
    <w:p>
      <w:pPr>
        <w:spacing w:line="460" w:lineRule="exact"/>
        <w:ind w:firstLine="480" w:firstLineChars="200"/>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服务地点：</w:t>
      </w:r>
      <w:r>
        <w:rPr>
          <w:rFonts w:hint="eastAsia" w:ascii="宋体" w:hAnsi="宋体" w:cs="宋体"/>
          <w:sz w:val="24"/>
          <w:szCs w:val="24"/>
          <w:highlight w:val="none"/>
        </w:rPr>
        <w:t>三门峡市湖滨区</w:t>
      </w:r>
    </w:p>
    <w:p>
      <w:pPr>
        <w:spacing w:line="460" w:lineRule="exact"/>
        <w:ind w:firstLine="480" w:firstLineChars="200"/>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服务周期： </w:t>
      </w:r>
      <w:r>
        <w:rPr>
          <w:rFonts w:hint="eastAsia" w:ascii="宋体" w:hAnsi="宋体" w:cs="宋体"/>
          <w:sz w:val="24"/>
          <w:szCs w:val="24"/>
          <w:highlight w:val="none"/>
        </w:rPr>
        <w:t>签订合同后</w:t>
      </w:r>
      <w:r>
        <w:rPr>
          <w:rFonts w:hint="eastAsia" w:ascii="宋体" w:hAnsi="宋体" w:cs="宋体"/>
          <w:sz w:val="24"/>
          <w:szCs w:val="24"/>
          <w:highlight w:val="none"/>
          <w:lang w:val="en-US" w:eastAsia="zh-CN"/>
        </w:rPr>
        <w:t>6</w:t>
      </w:r>
      <w:r>
        <w:rPr>
          <w:rFonts w:hint="eastAsia" w:ascii="宋体" w:hAnsi="宋体" w:cs="宋体"/>
          <w:sz w:val="24"/>
          <w:szCs w:val="24"/>
          <w:highlight w:val="none"/>
        </w:rPr>
        <w:t>0日历天</w:t>
      </w:r>
    </w:p>
    <w:p>
      <w:pPr>
        <w:spacing w:line="480" w:lineRule="exact"/>
        <w:ind w:right="-92" w:rightChars="-44"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是否专门面向中小企业：</w:t>
      </w:r>
      <w:r>
        <w:rPr>
          <w:rFonts w:hint="eastAsia" w:ascii="宋体" w:hAnsi="宋体" w:cs="宋体"/>
          <w:sz w:val="24"/>
          <w:szCs w:val="24"/>
          <w:highlight w:val="none"/>
          <w:lang w:val="en-US" w:eastAsia="zh-CN"/>
        </w:rPr>
        <w:t>是</w:t>
      </w:r>
    </w:p>
    <w:p>
      <w:pPr>
        <w:rPr>
          <w:rFonts w:hint="eastAsia"/>
          <w:b/>
          <w:bCs/>
          <w:sz w:val="32"/>
          <w:szCs w:val="32"/>
          <w:highlight w:val="none"/>
        </w:rPr>
      </w:pPr>
      <w:r>
        <w:rPr>
          <w:rFonts w:hint="eastAsia"/>
          <w:b/>
          <w:bCs/>
          <w:sz w:val="32"/>
          <w:szCs w:val="32"/>
          <w:highlight w:val="none"/>
        </w:rPr>
        <w:br w:type="page"/>
      </w:r>
    </w:p>
    <w:p>
      <w:pPr>
        <w:jc w:val="center"/>
        <w:outlineLvl w:val="0"/>
        <w:rPr>
          <w:b/>
          <w:bCs/>
          <w:sz w:val="32"/>
          <w:szCs w:val="32"/>
          <w:highlight w:val="none"/>
        </w:rPr>
      </w:pPr>
      <w:r>
        <w:rPr>
          <w:rFonts w:hint="eastAsia"/>
          <w:b/>
          <w:bCs/>
          <w:sz w:val="32"/>
          <w:szCs w:val="32"/>
          <w:highlight w:val="none"/>
        </w:rPr>
        <w:t>第六章响应文件格式</w:t>
      </w:r>
      <w:bookmarkEnd w:id="169"/>
    </w:p>
    <w:p>
      <w:pPr>
        <w:widowControl/>
        <w:jc w:val="left"/>
        <w:rPr>
          <w:rFonts w:ascii="宋体" w:hAnsi="宋体"/>
          <w:color w:val="000000"/>
          <w:kern w:val="0"/>
          <w:sz w:val="32"/>
          <w:szCs w:val="32"/>
          <w:highlight w:val="none"/>
        </w:rPr>
      </w:pPr>
    </w:p>
    <w:p>
      <w:pPr>
        <w:widowControl/>
        <w:jc w:val="center"/>
        <w:rPr>
          <w:rFonts w:ascii="宋体" w:hAnsi="宋体"/>
          <w:color w:val="000000"/>
          <w:kern w:val="0"/>
          <w:sz w:val="32"/>
          <w:szCs w:val="32"/>
          <w:highlight w:val="none"/>
        </w:rPr>
      </w:pPr>
      <w:r>
        <w:rPr>
          <w:rFonts w:hint="eastAsia" w:ascii="宋体" w:hAnsi="宋体"/>
          <w:color w:val="000000"/>
          <w:kern w:val="0"/>
          <w:sz w:val="32"/>
          <w:szCs w:val="32"/>
          <w:highlight w:val="none"/>
        </w:rPr>
        <w:t>（项目名称）</w:t>
      </w:r>
    </w:p>
    <w:p>
      <w:pPr>
        <w:rPr>
          <w:rFonts w:ascii="宋体" w:hAnsi="宋体"/>
          <w:kern w:val="0"/>
          <w:highlight w:val="none"/>
        </w:rPr>
      </w:pPr>
    </w:p>
    <w:p>
      <w:pPr>
        <w:rPr>
          <w:rFonts w:ascii="宋体" w:hAnsi="宋体"/>
          <w:kern w:val="0"/>
          <w:highlight w:val="none"/>
        </w:rPr>
      </w:pPr>
    </w:p>
    <w:p>
      <w:pPr>
        <w:widowControl/>
        <w:jc w:val="center"/>
        <w:rPr>
          <w:rFonts w:ascii="宋体" w:hAnsi="宋体"/>
          <w:color w:val="000000"/>
          <w:kern w:val="0"/>
          <w:sz w:val="20"/>
          <w:highlight w:val="none"/>
        </w:rPr>
      </w:pPr>
      <w:r>
        <w:rPr>
          <w:rFonts w:hint="eastAsia" w:ascii="宋体" w:hAnsi="宋体"/>
          <w:b/>
          <w:bCs/>
          <w:color w:val="000000"/>
          <w:kern w:val="0"/>
          <w:sz w:val="72"/>
          <w:szCs w:val="72"/>
          <w:highlight w:val="none"/>
        </w:rPr>
        <w:t>响应文件</w:t>
      </w:r>
      <w:bookmarkStart w:id="170" w:name="_Toc223432387"/>
      <w:bookmarkEnd w:id="170"/>
      <w:bookmarkStart w:id="171" w:name="_Toc169921407"/>
      <w:bookmarkEnd w:id="171"/>
      <w:bookmarkStart w:id="172" w:name="_Toc171073042"/>
      <w:bookmarkEnd w:id="172"/>
      <w:bookmarkStart w:id="173" w:name="_Toc171073207"/>
      <w:bookmarkEnd w:id="173"/>
    </w:p>
    <w:p>
      <w:pPr>
        <w:widowControl/>
        <w:rPr>
          <w:rFonts w:ascii="宋体" w:hAnsi="宋体"/>
          <w:color w:val="000000"/>
          <w:kern w:val="0"/>
          <w:sz w:val="20"/>
          <w:highlight w:val="none"/>
        </w:rPr>
      </w:pPr>
    </w:p>
    <w:p>
      <w:pPr>
        <w:rPr>
          <w:rFonts w:ascii="宋体" w:hAnsi="宋体" w:cs="宋体"/>
          <w:b/>
          <w:sz w:val="32"/>
          <w:szCs w:val="32"/>
          <w:highlight w:val="none"/>
        </w:rPr>
      </w:pPr>
    </w:p>
    <w:p>
      <w:pPr>
        <w:ind w:firstLine="2891" w:firstLineChars="900"/>
        <w:rPr>
          <w:rFonts w:ascii="宋体" w:hAnsi="宋体"/>
          <w:b/>
          <w:sz w:val="32"/>
          <w:szCs w:val="32"/>
          <w:highlight w:val="none"/>
        </w:rPr>
      </w:pPr>
      <w:r>
        <w:rPr>
          <w:rFonts w:hint="eastAsia" w:ascii="宋体" w:hAnsi="宋体" w:cs="宋体"/>
          <w:b/>
          <w:sz w:val="32"/>
          <w:szCs w:val="32"/>
          <w:highlight w:val="none"/>
        </w:rPr>
        <w:t>项目编号：</w:t>
      </w:r>
    </w:p>
    <w:p>
      <w:pPr>
        <w:widowControl/>
        <w:rPr>
          <w:rFonts w:ascii="宋体" w:hAnsi="宋体"/>
          <w:color w:val="000000"/>
          <w:kern w:val="0"/>
          <w:sz w:val="72"/>
          <w:szCs w:val="72"/>
          <w:highlight w:val="none"/>
        </w:rPr>
      </w:pPr>
    </w:p>
    <w:p>
      <w:pPr>
        <w:widowControl/>
        <w:rPr>
          <w:rFonts w:ascii="宋体" w:hAnsi="宋体"/>
          <w:color w:val="000000"/>
          <w:kern w:val="0"/>
          <w:sz w:val="20"/>
          <w:highlight w:val="none"/>
        </w:rPr>
      </w:pPr>
    </w:p>
    <w:p>
      <w:pPr>
        <w:rPr>
          <w:rFonts w:ascii="宋体" w:hAnsi="宋体" w:cs="宋体"/>
          <w:b/>
          <w:sz w:val="28"/>
          <w:szCs w:val="28"/>
          <w:highlight w:val="none"/>
        </w:rPr>
      </w:pPr>
    </w:p>
    <w:p>
      <w:pPr>
        <w:rPr>
          <w:rFonts w:ascii="宋体" w:hAnsi="宋体"/>
          <w:kern w:val="0"/>
          <w:highlight w:val="none"/>
        </w:rPr>
      </w:pPr>
    </w:p>
    <w:p>
      <w:pPr>
        <w:rPr>
          <w:rFonts w:ascii="宋体" w:hAnsi="宋体"/>
          <w:kern w:val="0"/>
          <w:highlight w:val="none"/>
        </w:rPr>
      </w:pPr>
    </w:p>
    <w:p>
      <w:pPr>
        <w:rPr>
          <w:rFonts w:ascii="宋体" w:hAnsi="宋体"/>
          <w:kern w:val="0"/>
          <w:highlight w:val="none"/>
        </w:rPr>
      </w:pPr>
    </w:p>
    <w:p>
      <w:pPr>
        <w:spacing w:line="360" w:lineRule="auto"/>
        <w:jc w:val="left"/>
        <w:rPr>
          <w:rFonts w:ascii="宋体" w:hAnsi="宋体"/>
          <w:sz w:val="28"/>
          <w:szCs w:val="28"/>
          <w:highlight w:val="none"/>
        </w:rPr>
      </w:pPr>
    </w:p>
    <w:p>
      <w:pPr>
        <w:spacing w:line="500" w:lineRule="exact"/>
        <w:ind w:firstLine="1687" w:firstLineChars="600"/>
        <w:jc w:val="left"/>
        <w:rPr>
          <w:rFonts w:ascii="宋体" w:hAnsi="宋体"/>
          <w:b/>
          <w:sz w:val="28"/>
          <w:szCs w:val="28"/>
          <w:highlight w:val="none"/>
        </w:rPr>
      </w:pPr>
      <w:r>
        <w:rPr>
          <w:rFonts w:hint="eastAsia" w:ascii="宋体" w:hAnsi="宋体"/>
          <w:b/>
          <w:sz w:val="28"/>
          <w:szCs w:val="28"/>
          <w:highlight w:val="none"/>
        </w:rPr>
        <w:t>响应人：（单位签章）</w:t>
      </w:r>
    </w:p>
    <w:p>
      <w:pPr>
        <w:spacing w:line="500" w:lineRule="exact"/>
        <w:jc w:val="left"/>
        <w:rPr>
          <w:rFonts w:ascii="宋体" w:hAnsi="宋体"/>
          <w:b/>
          <w:sz w:val="28"/>
          <w:szCs w:val="28"/>
          <w:highlight w:val="none"/>
        </w:rPr>
      </w:pPr>
    </w:p>
    <w:p>
      <w:pPr>
        <w:spacing w:line="500" w:lineRule="exact"/>
        <w:ind w:firstLine="1687" w:firstLineChars="600"/>
        <w:jc w:val="left"/>
        <w:rPr>
          <w:rFonts w:ascii="宋体" w:hAnsi="宋体"/>
          <w:b/>
          <w:sz w:val="28"/>
          <w:szCs w:val="28"/>
          <w:highlight w:val="none"/>
        </w:rPr>
      </w:pPr>
      <w:r>
        <w:rPr>
          <w:rFonts w:hint="eastAsia" w:ascii="宋体" w:hAnsi="宋体"/>
          <w:b/>
          <w:sz w:val="28"/>
          <w:szCs w:val="28"/>
          <w:highlight w:val="none"/>
        </w:rPr>
        <w:t>法定代表人：（电子签章）</w:t>
      </w:r>
    </w:p>
    <w:p>
      <w:pPr>
        <w:spacing w:line="500" w:lineRule="exact"/>
        <w:jc w:val="left"/>
        <w:rPr>
          <w:rFonts w:ascii="宋体" w:hAnsi="宋体"/>
          <w:b/>
          <w:sz w:val="28"/>
          <w:szCs w:val="28"/>
          <w:highlight w:val="none"/>
        </w:rPr>
      </w:pPr>
    </w:p>
    <w:p>
      <w:pPr>
        <w:widowControl/>
        <w:spacing w:line="500" w:lineRule="exact"/>
        <w:ind w:firstLine="1760" w:firstLineChars="626"/>
        <w:rPr>
          <w:rFonts w:ascii="宋体" w:hAnsi="宋体"/>
          <w:b/>
          <w:color w:val="000000"/>
          <w:kern w:val="0"/>
          <w:sz w:val="28"/>
          <w:szCs w:val="28"/>
          <w:highlight w:val="none"/>
          <w:u w:val="single"/>
        </w:rPr>
      </w:pPr>
      <w:r>
        <w:rPr>
          <w:rFonts w:hint="eastAsia" w:ascii="宋体" w:hAnsi="宋体"/>
          <w:b/>
          <w:color w:val="000000"/>
          <w:kern w:val="0"/>
          <w:sz w:val="28"/>
          <w:szCs w:val="28"/>
          <w:highlight w:val="none"/>
        </w:rPr>
        <w:t>年月日</w:t>
      </w:r>
    </w:p>
    <w:p>
      <w:pPr>
        <w:jc w:val="center"/>
        <w:rPr>
          <w:rFonts w:ascii="宋体" w:hAnsi="宋体"/>
          <w:szCs w:val="21"/>
          <w:highlight w:val="none"/>
        </w:rPr>
      </w:pPr>
      <w:bookmarkStart w:id="174" w:name="_Toc169921411"/>
      <w:bookmarkEnd w:id="174"/>
      <w:bookmarkStart w:id="175" w:name="_Toc171073046"/>
      <w:bookmarkEnd w:id="175"/>
      <w:bookmarkStart w:id="176" w:name="_Toc223432391"/>
      <w:bookmarkEnd w:id="176"/>
      <w:bookmarkStart w:id="177" w:name="_Toc171073211"/>
      <w:bookmarkEnd w:id="177"/>
      <w:r>
        <w:rPr>
          <w:rFonts w:ascii="宋体" w:hAnsi="宋体"/>
          <w:szCs w:val="21"/>
          <w:highlight w:val="none"/>
        </w:rPr>
        <w:br w:type="page"/>
      </w:r>
      <w:bookmarkStart w:id="178" w:name="_Toc375040623"/>
      <w:bookmarkStart w:id="179" w:name="_Toc375041763"/>
      <w:bookmarkStart w:id="180" w:name="_Toc375041320"/>
      <w:bookmarkStart w:id="181" w:name="_Toc375040687"/>
      <w:bookmarkStart w:id="182" w:name="_Toc375041569"/>
      <w:bookmarkStart w:id="183" w:name="_Toc384309419"/>
      <w:bookmarkStart w:id="184" w:name="_Toc374947247"/>
      <w:bookmarkStart w:id="185" w:name="_Toc533862726"/>
      <w:bookmarkStart w:id="186" w:name="_Toc27534"/>
      <w:bookmarkStart w:id="187" w:name="_Toc4424898"/>
      <w:bookmarkStart w:id="188" w:name="_Toc4514811"/>
      <w:bookmarkStart w:id="189" w:name="_Toc25648"/>
      <w:r>
        <w:rPr>
          <w:rFonts w:hint="eastAsia" w:ascii="宋体" w:hAnsi="宋体"/>
          <w:b/>
          <w:bCs/>
          <w:sz w:val="30"/>
          <w:szCs w:val="30"/>
          <w:highlight w:val="none"/>
        </w:rPr>
        <w:t>目录</w:t>
      </w:r>
    </w:p>
    <w:p>
      <w:pPr>
        <w:spacing w:line="360" w:lineRule="auto"/>
        <w:rPr>
          <w:rFonts w:ascii="宋体" w:hAnsi="宋体"/>
          <w:szCs w:val="21"/>
          <w:highlight w:val="none"/>
        </w:rPr>
      </w:pPr>
      <w:r>
        <w:rPr>
          <w:rFonts w:hint="eastAsia" w:ascii="宋体" w:hAnsi="宋体"/>
          <w:szCs w:val="21"/>
          <w:highlight w:val="none"/>
        </w:rPr>
        <w:t>一、磋商函及磋商函附录</w:t>
      </w:r>
    </w:p>
    <w:p>
      <w:pPr>
        <w:spacing w:line="360" w:lineRule="auto"/>
        <w:rPr>
          <w:rFonts w:ascii="宋体" w:hAnsi="宋体"/>
          <w:szCs w:val="21"/>
          <w:highlight w:val="none"/>
        </w:rPr>
      </w:pPr>
      <w:r>
        <w:rPr>
          <w:rFonts w:hint="eastAsia" w:ascii="宋体" w:hAnsi="宋体"/>
          <w:szCs w:val="21"/>
          <w:highlight w:val="none"/>
        </w:rPr>
        <w:t>二、法定代表人身份证明书</w:t>
      </w:r>
    </w:p>
    <w:p>
      <w:pPr>
        <w:spacing w:line="360" w:lineRule="auto"/>
        <w:rPr>
          <w:rFonts w:ascii="宋体" w:hAnsi="宋体"/>
          <w:szCs w:val="21"/>
          <w:highlight w:val="none"/>
        </w:rPr>
      </w:pPr>
      <w:r>
        <w:rPr>
          <w:rFonts w:hint="eastAsia" w:ascii="宋体" w:hAnsi="宋体"/>
          <w:szCs w:val="21"/>
          <w:highlight w:val="none"/>
        </w:rPr>
        <w:t>三、授权委托书</w:t>
      </w:r>
    </w:p>
    <w:p>
      <w:pPr>
        <w:spacing w:line="360" w:lineRule="auto"/>
        <w:rPr>
          <w:rFonts w:ascii="宋体" w:hAnsi="宋体"/>
          <w:szCs w:val="21"/>
          <w:highlight w:val="none"/>
        </w:rPr>
      </w:pPr>
      <w:r>
        <w:rPr>
          <w:rFonts w:hint="eastAsia" w:ascii="宋体" w:hAnsi="宋体"/>
          <w:szCs w:val="21"/>
          <w:highlight w:val="none"/>
        </w:rPr>
        <w:t>四、项目实施方案</w:t>
      </w:r>
    </w:p>
    <w:p>
      <w:pPr>
        <w:spacing w:line="360" w:lineRule="auto"/>
        <w:rPr>
          <w:rFonts w:ascii="宋体" w:hAnsi="宋体"/>
          <w:szCs w:val="21"/>
          <w:highlight w:val="none"/>
        </w:rPr>
      </w:pPr>
      <w:r>
        <w:rPr>
          <w:rFonts w:hint="eastAsia" w:ascii="宋体" w:hAnsi="宋体"/>
          <w:szCs w:val="21"/>
          <w:highlight w:val="none"/>
        </w:rPr>
        <w:t>五、资格审查资料</w:t>
      </w:r>
    </w:p>
    <w:p>
      <w:pPr>
        <w:spacing w:line="360" w:lineRule="auto"/>
        <w:rPr>
          <w:rFonts w:ascii="宋体" w:hAnsi="宋体"/>
          <w:szCs w:val="21"/>
          <w:highlight w:val="none"/>
        </w:rPr>
      </w:pPr>
      <w:r>
        <w:rPr>
          <w:rFonts w:hint="eastAsia" w:ascii="宋体" w:hAnsi="宋体"/>
          <w:szCs w:val="21"/>
          <w:highlight w:val="none"/>
        </w:rPr>
        <w:t>六、项目管理机构</w:t>
      </w:r>
    </w:p>
    <w:p>
      <w:pPr>
        <w:spacing w:line="360" w:lineRule="auto"/>
        <w:rPr>
          <w:rFonts w:ascii="宋体" w:hAnsi="宋体"/>
          <w:szCs w:val="21"/>
          <w:highlight w:val="none"/>
        </w:rPr>
      </w:pPr>
      <w:r>
        <w:rPr>
          <w:rFonts w:hint="eastAsia" w:ascii="宋体" w:hAnsi="宋体"/>
          <w:szCs w:val="21"/>
          <w:highlight w:val="none"/>
        </w:rPr>
        <w:t>七、投标承诺函</w:t>
      </w:r>
    </w:p>
    <w:p>
      <w:pPr>
        <w:spacing w:line="360" w:lineRule="auto"/>
        <w:rPr>
          <w:rFonts w:ascii="宋体" w:hAnsi="宋体"/>
          <w:szCs w:val="21"/>
          <w:highlight w:val="none"/>
        </w:rPr>
      </w:pPr>
      <w:r>
        <w:rPr>
          <w:rFonts w:hint="eastAsia" w:ascii="宋体" w:hAnsi="宋体"/>
          <w:szCs w:val="21"/>
          <w:highlight w:val="none"/>
        </w:rPr>
        <w:t>八、响应人应附的其它资料</w:t>
      </w:r>
    </w:p>
    <w:p>
      <w:pPr>
        <w:spacing w:line="360" w:lineRule="auto"/>
        <w:rPr>
          <w:rFonts w:ascii="宋体" w:hAnsi="宋体"/>
          <w:szCs w:val="21"/>
          <w:highlight w:val="none"/>
        </w:rPr>
      </w:pPr>
      <w:r>
        <w:rPr>
          <w:rFonts w:hint="eastAsia" w:ascii="宋体" w:hAnsi="宋体"/>
          <w:szCs w:val="21"/>
          <w:highlight w:val="none"/>
        </w:rPr>
        <w:t>九、中小微企业声明函</w:t>
      </w:r>
    </w:p>
    <w:p>
      <w:pPr>
        <w:spacing w:line="360" w:lineRule="auto"/>
        <w:rPr>
          <w:rFonts w:ascii="宋体" w:hAnsi="宋体"/>
          <w:szCs w:val="21"/>
          <w:highlight w:val="none"/>
        </w:rPr>
      </w:pPr>
      <w:r>
        <w:rPr>
          <w:rFonts w:hint="eastAsia" w:ascii="宋体" w:hAnsi="宋体"/>
          <w:szCs w:val="21"/>
          <w:highlight w:val="none"/>
        </w:rPr>
        <w:t>十、残疾人福利性单位声明函</w:t>
      </w:r>
    </w:p>
    <w:p>
      <w:pPr>
        <w:spacing w:line="360" w:lineRule="auto"/>
        <w:rPr>
          <w:rFonts w:ascii="宋体" w:hAnsi="宋体"/>
          <w:szCs w:val="21"/>
          <w:highlight w:val="none"/>
        </w:rPr>
      </w:pPr>
      <w:r>
        <w:rPr>
          <w:rFonts w:hint="eastAsia" w:ascii="宋体" w:hAnsi="宋体"/>
          <w:szCs w:val="21"/>
          <w:highlight w:val="none"/>
        </w:rPr>
        <w:t>十一、监狱企业证明文件（如需）</w:t>
      </w:r>
    </w:p>
    <w:p>
      <w:pPr>
        <w:spacing w:line="360" w:lineRule="auto"/>
        <w:rPr>
          <w:rFonts w:ascii="宋体" w:hAnsi="宋体"/>
          <w:szCs w:val="21"/>
          <w:highlight w:val="none"/>
        </w:rPr>
      </w:pPr>
    </w:p>
    <w:p>
      <w:pPr>
        <w:rPr>
          <w:rFonts w:ascii="宋体" w:hAnsi="宋体"/>
          <w:b/>
          <w:color w:val="000000"/>
          <w:sz w:val="28"/>
          <w:szCs w:val="28"/>
          <w:highlight w:val="none"/>
        </w:rPr>
      </w:pPr>
      <w:r>
        <w:rPr>
          <w:rFonts w:hint="eastAsia" w:ascii="宋体" w:hAnsi="宋体"/>
          <w:b/>
          <w:color w:val="000000"/>
          <w:sz w:val="28"/>
          <w:szCs w:val="28"/>
          <w:highlight w:val="none"/>
        </w:rPr>
        <w:br w:type="page"/>
      </w:r>
    </w:p>
    <w:p>
      <w:pPr>
        <w:spacing w:line="360" w:lineRule="auto"/>
        <w:jc w:val="center"/>
        <w:outlineLvl w:val="0"/>
        <w:rPr>
          <w:rFonts w:ascii="宋体" w:hAnsi="宋体"/>
          <w:color w:val="000000"/>
          <w:sz w:val="28"/>
          <w:szCs w:val="28"/>
          <w:highlight w:val="none"/>
        </w:rPr>
      </w:pPr>
      <w:bookmarkStart w:id="190" w:name="_Toc25317"/>
      <w:r>
        <w:rPr>
          <w:rFonts w:hint="eastAsia" w:ascii="宋体" w:hAnsi="宋体"/>
          <w:b/>
          <w:color w:val="000000"/>
          <w:sz w:val="28"/>
          <w:szCs w:val="28"/>
          <w:highlight w:val="none"/>
        </w:rPr>
        <w:t>一、磋商函及</w:t>
      </w:r>
      <w:bookmarkEnd w:id="178"/>
      <w:bookmarkEnd w:id="179"/>
      <w:bookmarkEnd w:id="180"/>
      <w:bookmarkEnd w:id="181"/>
      <w:bookmarkEnd w:id="182"/>
      <w:bookmarkEnd w:id="183"/>
      <w:bookmarkEnd w:id="184"/>
      <w:r>
        <w:rPr>
          <w:rFonts w:hint="eastAsia" w:ascii="宋体" w:hAnsi="宋体"/>
          <w:b/>
          <w:color w:val="000000"/>
          <w:sz w:val="28"/>
          <w:szCs w:val="28"/>
          <w:highlight w:val="none"/>
        </w:rPr>
        <w:t>磋商函附录</w:t>
      </w:r>
      <w:bookmarkEnd w:id="185"/>
      <w:bookmarkEnd w:id="186"/>
      <w:bookmarkEnd w:id="187"/>
      <w:bookmarkEnd w:id="188"/>
      <w:bookmarkEnd w:id="189"/>
      <w:bookmarkEnd w:id="190"/>
    </w:p>
    <w:p>
      <w:pPr>
        <w:spacing w:line="0" w:lineRule="atLeast"/>
        <w:jc w:val="center"/>
        <w:rPr>
          <w:rFonts w:ascii="宋体" w:hAnsi="宋体" w:cs="宋体"/>
          <w:b/>
          <w:bCs/>
          <w:sz w:val="28"/>
          <w:szCs w:val="28"/>
          <w:highlight w:val="none"/>
        </w:rPr>
      </w:pPr>
      <w:bookmarkStart w:id="191" w:name="_Toc375041321"/>
      <w:bookmarkStart w:id="192" w:name="_Toc375041570"/>
      <w:r>
        <w:rPr>
          <w:rFonts w:hint="eastAsia"/>
          <w:b/>
          <w:color w:val="000000"/>
          <w:sz w:val="28"/>
          <w:szCs w:val="28"/>
          <w:highlight w:val="none"/>
        </w:rPr>
        <w:t>（一）</w:t>
      </w:r>
      <w:bookmarkEnd w:id="191"/>
      <w:bookmarkEnd w:id="192"/>
      <w:r>
        <w:rPr>
          <w:rFonts w:hint="eastAsia"/>
          <w:b/>
          <w:sz w:val="28"/>
          <w:szCs w:val="28"/>
          <w:highlight w:val="none"/>
        </w:rPr>
        <w:t>磋商函</w:t>
      </w:r>
    </w:p>
    <w:p>
      <w:pPr>
        <w:spacing w:line="460" w:lineRule="exact"/>
        <w:jc w:val="left"/>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采购单位名称</w:t>
      </w:r>
      <w:r>
        <w:rPr>
          <w:rFonts w:hint="eastAsia" w:ascii="宋体" w:hAnsi="宋体" w:cs="宋体"/>
          <w:sz w:val="24"/>
          <w:highlight w:val="none"/>
        </w:rPr>
        <w:t>）：</w:t>
      </w:r>
    </w:p>
    <w:p>
      <w:pPr>
        <w:spacing w:line="560" w:lineRule="exact"/>
        <w:ind w:firstLine="560"/>
        <w:rPr>
          <w:rFonts w:ascii="宋体" w:hAnsi="宋体" w:cs="宋体"/>
          <w:kern w:val="0"/>
          <w:sz w:val="24"/>
          <w:highlight w:val="none"/>
        </w:rPr>
      </w:pPr>
      <w:r>
        <w:rPr>
          <w:rFonts w:hint="eastAsia" w:ascii="宋体" w:hAnsi="宋体" w:cs="宋体"/>
          <w:sz w:val="24"/>
          <w:highlight w:val="none"/>
        </w:rPr>
        <w:t>1、根据已收到的项目编号为的</w:t>
      </w:r>
      <w:r>
        <w:rPr>
          <w:rFonts w:hint="eastAsia" w:ascii="宋体" w:hAnsi="宋体" w:cs="宋体"/>
          <w:sz w:val="24"/>
          <w:highlight w:val="none"/>
          <w:u w:val="single"/>
        </w:rPr>
        <w:t xml:space="preserve">     （项目名称）</w:t>
      </w:r>
      <w:r>
        <w:rPr>
          <w:rFonts w:hint="eastAsia" w:ascii="宋体" w:hAnsi="宋体" w:cs="宋体"/>
          <w:sz w:val="24"/>
          <w:highlight w:val="none"/>
        </w:rPr>
        <w:t>的磋商文件，遵守《中华人民共和国政府采购法》《政府采购竞争性磋商采购方式管理暂行办法》及财库〔2015〕124号文和有关文件的规定，我单位经考察现场并研究上述项目磋商文件的响应人须知和其他有关文件后，我公司愿以(</w:t>
      </w:r>
      <w:r>
        <w:rPr>
          <w:rFonts w:hint="eastAsia" w:ascii="宋体" w:hAnsi="宋体" w:cs="宋体"/>
          <w:kern w:val="0"/>
          <w:sz w:val="24"/>
          <w:highlight w:val="none"/>
        </w:rPr>
        <w:t>大写</w:t>
      </w:r>
      <w:r>
        <w:rPr>
          <w:rFonts w:hint="eastAsia" w:ascii="宋体" w:hAnsi="宋体" w:cs="宋体"/>
          <w:sz w:val="24"/>
          <w:highlight w:val="none"/>
        </w:rPr>
        <w:t xml:space="preserve">)（小写）              </w:t>
      </w:r>
      <w:r>
        <w:rPr>
          <w:rFonts w:hint="eastAsia" w:ascii="宋体" w:hAnsi="宋体" w:cs="宋体"/>
          <w:sz w:val="24"/>
          <w:highlight w:val="none"/>
          <w:u w:val="single"/>
        </w:rPr>
        <w:t>元</w:t>
      </w:r>
      <w:r>
        <w:rPr>
          <w:rFonts w:hint="eastAsia" w:ascii="宋体" w:hAnsi="宋体" w:cs="宋体"/>
          <w:sz w:val="24"/>
          <w:highlight w:val="none"/>
        </w:rPr>
        <w:t>的报价参加该项目的投标，并按上述文件中的条款承包该项目。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2、我公司完全响应磋商文件中提出的所有实质性要求。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3、我公司同意在磋商文件规定的投标期限内，本响应文件始终对我公司具有约束力，且随时可以按此文件成交。</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4、一旦我公司成交，我公司保证在成交后的规定期限内签订项目合同，</w:t>
      </w:r>
      <w:r>
        <w:rPr>
          <w:rFonts w:hint="eastAsia" w:ascii="宋体" w:hAnsi="宋体" w:cs="宋体"/>
          <w:color w:val="000000"/>
          <w:sz w:val="24"/>
          <w:highlight w:val="none"/>
        </w:rPr>
        <w:t>并保证在自签订合同之日起</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日历天完成项目服务并提交成果，</w:t>
      </w:r>
      <w:r>
        <w:rPr>
          <w:rFonts w:hint="eastAsia" w:ascii="宋体" w:hAnsi="宋体" w:cs="宋体"/>
          <w:sz w:val="24"/>
          <w:highlight w:val="none"/>
        </w:rPr>
        <w:t>确保质量标准达到</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。拟派总负责人为</w:t>
      </w:r>
      <w:r>
        <w:rPr>
          <w:rFonts w:hint="eastAsia" w:ascii="宋体" w:hAnsi="宋体" w:cs="宋体"/>
          <w:sz w:val="24"/>
          <w:highlight w:val="none"/>
          <w:lang w:val="en-US" w:eastAsia="zh-CN"/>
        </w:rPr>
        <w:t xml:space="preserve"> </w:t>
      </w:r>
      <w:r>
        <w:rPr>
          <w:rFonts w:hint="eastAsia"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5、成交后，我公司将提交规定数额的履约保证金（如有），并对此承担责任。</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6、我们承诺最低报价是成交的重要选择，但不是唯一选择。</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7、除非与贵方另外达成协议并生效，贵方的成交通知书、本响应文件将与双方签订的合同具有同等的约束力。</w:t>
      </w:r>
    </w:p>
    <w:p>
      <w:pPr>
        <w:spacing w:before="319" w:after="159" w:line="360" w:lineRule="auto"/>
        <w:ind w:firstLine="3578" w:firstLineChars="1491"/>
        <w:jc w:val="left"/>
        <w:textAlignment w:val="center"/>
        <w:rPr>
          <w:rFonts w:ascii="宋体" w:hAnsi="宋体" w:cs="宋体"/>
          <w:sz w:val="24"/>
          <w:highlight w:val="none"/>
        </w:rPr>
      </w:pPr>
    </w:p>
    <w:p>
      <w:pPr>
        <w:ind w:firstLine="1440" w:firstLineChars="600"/>
        <w:jc w:val="left"/>
        <w:rPr>
          <w:rFonts w:ascii="宋体" w:hAnsi="宋体"/>
          <w:bCs/>
          <w:sz w:val="24"/>
          <w:highlight w:val="none"/>
        </w:rPr>
      </w:pPr>
      <w:r>
        <w:rPr>
          <w:rFonts w:hint="eastAsia" w:ascii="宋体" w:hAnsi="宋体"/>
          <w:bCs/>
          <w:sz w:val="24"/>
          <w:highlight w:val="none"/>
        </w:rPr>
        <w:t>响应人：（单位签章）</w:t>
      </w:r>
    </w:p>
    <w:p>
      <w:pPr>
        <w:ind w:firstLine="1440" w:firstLineChars="600"/>
        <w:jc w:val="left"/>
        <w:rPr>
          <w:rFonts w:ascii="宋体" w:hAnsi="宋体"/>
          <w:bCs/>
          <w:sz w:val="24"/>
          <w:highlight w:val="none"/>
        </w:rPr>
      </w:pPr>
    </w:p>
    <w:p>
      <w:pPr>
        <w:ind w:firstLine="1440" w:firstLineChars="600"/>
        <w:jc w:val="left"/>
        <w:rPr>
          <w:rFonts w:ascii="宋体" w:hAnsi="宋体"/>
          <w:bCs/>
          <w:sz w:val="24"/>
          <w:highlight w:val="none"/>
        </w:rPr>
      </w:pPr>
      <w:r>
        <w:rPr>
          <w:rFonts w:hint="eastAsia" w:ascii="宋体" w:hAnsi="宋体"/>
          <w:bCs/>
          <w:sz w:val="24"/>
          <w:highlight w:val="none"/>
        </w:rPr>
        <w:t>法定代表人：（电子签章）</w:t>
      </w:r>
    </w:p>
    <w:p>
      <w:pPr>
        <w:ind w:firstLine="2280" w:firstLineChars="950"/>
        <w:jc w:val="left"/>
        <w:rPr>
          <w:rFonts w:ascii="宋体" w:hAnsi="宋体"/>
          <w:bCs/>
          <w:sz w:val="24"/>
          <w:highlight w:val="none"/>
        </w:rPr>
      </w:pPr>
    </w:p>
    <w:p>
      <w:pPr>
        <w:widowControl/>
        <w:ind w:firstLine="480"/>
        <w:jc w:val="center"/>
        <w:rPr>
          <w:rFonts w:ascii="宋体" w:hAnsi="宋体"/>
          <w:bCs/>
          <w:color w:val="000000"/>
          <w:kern w:val="0"/>
          <w:sz w:val="24"/>
          <w:highlight w:val="none"/>
          <w:u w:val="single"/>
        </w:rPr>
      </w:pPr>
      <w:r>
        <w:rPr>
          <w:rFonts w:hint="eastAsia" w:ascii="宋体" w:hAnsi="宋体"/>
          <w:bCs/>
          <w:color w:val="000000"/>
          <w:kern w:val="0"/>
          <w:sz w:val="24"/>
          <w:highlight w:val="none"/>
        </w:rPr>
        <w:t>年月日</w:t>
      </w:r>
    </w:p>
    <w:p>
      <w:pPr>
        <w:spacing w:line="440" w:lineRule="exact"/>
        <w:jc w:val="center"/>
        <w:rPr>
          <w:rFonts w:ascii="宋体" w:hAnsi="宋体"/>
          <w:b/>
          <w:color w:val="000000"/>
          <w:sz w:val="32"/>
          <w:szCs w:val="32"/>
          <w:highlight w:val="none"/>
        </w:rPr>
      </w:pPr>
    </w:p>
    <w:p>
      <w:pPr>
        <w:spacing w:line="440" w:lineRule="exact"/>
        <w:jc w:val="center"/>
        <w:rPr>
          <w:rFonts w:ascii="宋体" w:hAnsi="宋体"/>
          <w:b/>
          <w:color w:val="000000"/>
          <w:sz w:val="32"/>
          <w:szCs w:val="32"/>
          <w:highlight w:val="none"/>
        </w:rPr>
      </w:pPr>
    </w:p>
    <w:p>
      <w:pPr>
        <w:spacing w:line="440" w:lineRule="exact"/>
        <w:jc w:val="center"/>
        <w:rPr>
          <w:rFonts w:ascii="宋体" w:hAnsi="宋体"/>
          <w:b/>
          <w:color w:val="000000"/>
          <w:sz w:val="28"/>
          <w:szCs w:val="28"/>
          <w:highlight w:val="none"/>
        </w:rPr>
      </w:pPr>
      <w:r>
        <w:rPr>
          <w:rFonts w:hint="eastAsia" w:ascii="宋体" w:hAnsi="宋体"/>
          <w:b/>
          <w:color w:val="000000"/>
          <w:sz w:val="32"/>
          <w:szCs w:val="32"/>
          <w:highlight w:val="none"/>
        </w:rPr>
        <w:br w:type="page"/>
      </w:r>
      <w:r>
        <w:rPr>
          <w:rFonts w:hint="eastAsia" w:ascii="宋体" w:hAnsi="宋体"/>
          <w:b/>
          <w:color w:val="000000"/>
          <w:sz w:val="28"/>
          <w:szCs w:val="28"/>
          <w:highlight w:val="none"/>
        </w:rPr>
        <w:t>（二）磋商函附录</w:t>
      </w:r>
    </w:p>
    <w:p>
      <w:pPr>
        <w:rPr>
          <w:rFonts w:ascii="宋体" w:hAnsi="宋体"/>
          <w:color w:val="000000"/>
          <w:sz w:val="24"/>
          <w:highlight w:val="none"/>
        </w:rPr>
      </w:pPr>
    </w:p>
    <w:tbl>
      <w:tblPr>
        <w:tblStyle w:val="21"/>
        <w:tblW w:w="8926" w:type="dxa"/>
        <w:tblInd w:w="5" w:type="dxa"/>
        <w:tblLayout w:type="fixed"/>
        <w:tblCellMar>
          <w:top w:w="0" w:type="dxa"/>
          <w:left w:w="0" w:type="dxa"/>
          <w:bottom w:w="0" w:type="dxa"/>
          <w:right w:w="0" w:type="dxa"/>
        </w:tblCellMar>
      </w:tblPr>
      <w:tblGrid>
        <w:gridCol w:w="2695"/>
        <w:gridCol w:w="6231"/>
      </w:tblGrid>
      <w:tr>
        <w:tblPrEx>
          <w:tblCellMar>
            <w:top w:w="0" w:type="dxa"/>
            <w:left w:w="0" w:type="dxa"/>
            <w:bottom w:w="0" w:type="dxa"/>
            <w:right w:w="0" w:type="dxa"/>
          </w:tblCellMar>
        </w:tblPrEx>
        <w:trPr>
          <w:trHeight w:val="816" w:hRule="atLeast"/>
        </w:trPr>
        <w:tc>
          <w:tcPr>
            <w:tcW w:w="2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r>
              <w:rPr>
                <w:rFonts w:ascii="宋体" w:hAnsi="宋体"/>
                <w:color w:val="000000"/>
                <w:sz w:val="24"/>
                <w:highlight w:val="none"/>
              </w:rPr>
              <w:t>项目名称</w:t>
            </w:r>
          </w:p>
        </w:tc>
        <w:tc>
          <w:tcPr>
            <w:tcW w:w="6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p>
        </w:tc>
      </w:tr>
      <w:tr>
        <w:tblPrEx>
          <w:tblCellMar>
            <w:top w:w="0" w:type="dxa"/>
            <w:left w:w="0" w:type="dxa"/>
            <w:bottom w:w="0" w:type="dxa"/>
            <w:right w:w="0" w:type="dxa"/>
          </w:tblCellMar>
        </w:tblPrEx>
        <w:trPr>
          <w:trHeight w:val="939" w:hRule="atLeast"/>
        </w:trPr>
        <w:tc>
          <w:tcPr>
            <w:tcW w:w="2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r>
              <w:rPr>
                <w:rFonts w:hint="eastAsia" w:ascii="宋体" w:hAnsi="宋体"/>
                <w:color w:val="000000"/>
                <w:sz w:val="24"/>
                <w:highlight w:val="none"/>
              </w:rPr>
              <w:t>响应人名称</w:t>
            </w:r>
          </w:p>
        </w:tc>
        <w:tc>
          <w:tcPr>
            <w:tcW w:w="6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p>
        </w:tc>
      </w:tr>
      <w:tr>
        <w:tblPrEx>
          <w:tblCellMar>
            <w:top w:w="0" w:type="dxa"/>
            <w:left w:w="0" w:type="dxa"/>
            <w:bottom w:w="0" w:type="dxa"/>
            <w:right w:w="0" w:type="dxa"/>
          </w:tblCellMar>
        </w:tblPrEx>
        <w:trPr>
          <w:trHeight w:val="886" w:hRule="atLeast"/>
        </w:trPr>
        <w:tc>
          <w:tcPr>
            <w:tcW w:w="26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zh-TW"/>
              </w:rPr>
              <w:t>项目负责人</w:t>
            </w:r>
            <w:r>
              <w:rPr>
                <w:rFonts w:hint="eastAsia" w:ascii="宋体" w:hAnsi="宋体"/>
                <w:color w:val="000000"/>
                <w:sz w:val="24"/>
                <w:highlight w:val="none"/>
                <w:lang w:val="en-US" w:eastAsia="zh-CN"/>
              </w:rPr>
              <w:t>及联系电话</w:t>
            </w:r>
          </w:p>
        </w:tc>
        <w:tc>
          <w:tcPr>
            <w:tcW w:w="6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p>
        </w:tc>
      </w:tr>
      <w:tr>
        <w:tblPrEx>
          <w:tblCellMar>
            <w:top w:w="0" w:type="dxa"/>
            <w:left w:w="0" w:type="dxa"/>
            <w:bottom w:w="0" w:type="dxa"/>
            <w:right w:w="0" w:type="dxa"/>
          </w:tblCellMar>
        </w:tblPrEx>
        <w:trPr>
          <w:trHeight w:val="1822" w:hRule="atLeast"/>
        </w:trPr>
        <w:tc>
          <w:tcPr>
            <w:tcW w:w="2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r>
              <w:rPr>
                <w:rFonts w:hint="eastAsia" w:ascii="宋体" w:hAnsi="宋体"/>
                <w:color w:val="000000"/>
                <w:sz w:val="24"/>
                <w:highlight w:val="none"/>
              </w:rPr>
              <w:t>磋商报</w:t>
            </w:r>
            <w:r>
              <w:rPr>
                <w:rFonts w:ascii="宋体" w:hAnsi="宋体"/>
                <w:color w:val="000000"/>
                <w:sz w:val="24"/>
                <w:highlight w:val="none"/>
              </w:rPr>
              <w:t>价</w:t>
            </w:r>
          </w:p>
        </w:tc>
        <w:tc>
          <w:tcPr>
            <w:tcW w:w="6231" w:type="dxa"/>
            <w:tcBorders>
              <w:top w:val="single" w:color="auto" w:sz="4" w:space="0"/>
              <w:left w:val="single" w:color="auto" w:sz="4" w:space="0"/>
              <w:bottom w:val="single" w:color="auto" w:sz="4" w:space="0"/>
              <w:right w:val="single" w:color="auto" w:sz="8" w:space="0"/>
            </w:tcBorders>
            <w:vAlign w:val="center"/>
          </w:tcPr>
          <w:p>
            <w:pPr>
              <w:rPr>
                <w:rFonts w:ascii="宋体" w:hAnsi="宋体"/>
                <w:color w:val="000000"/>
                <w:sz w:val="24"/>
                <w:highlight w:val="none"/>
              </w:rPr>
            </w:pPr>
            <w:r>
              <w:rPr>
                <w:rFonts w:ascii="宋体" w:hAnsi="宋体"/>
                <w:color w:val="000000"/>
                <w:sz w:val="24"/>
                <w:highlight w:val="none"/>
              </w:rPr>
              <w:t>大写：</w:t>
            </w:r>
            <w:r>
              <w:rPr>
                <w:rFonts w:hint="eastAsia" w:ascii="宋体" w:hAnsi="宋体"/>
                <w:color w:val="000000"/>
                <w:sz w:val="24"/>
                <w:highlight w:val="none"/>
              </w:rPr>
              <w:t>小</w:t>
            </w:r>
            <w:r>
              <w:rPr>
                <w:rFonts w:ascii="宋体" w:hAnsi="宋体"/>
                <w:color w:val="000000"/>
                <w:sz w:val="24"/>
                <w:highlight w:val="none"/>
              </w:rPr>
              <w:t>写：</w:t>
            </w:r>
          </w:p>
        </w:tc>
      </w:tr>
      <w:tr>
        <w:tblPrEx>
          <w:tblCellMar>
            <w:top w:w="0" w:type="dxa"/>
            <w:left w:w="0" w:type="dxa"/>
            <w:bottom w:w="0" w:type="dxa"/>
            <w:right w:w="0" w:type="dxa"/>
          </w:tblCellMar>
        </w:tblPrEx>
        <w:trPr>
          <w:trHeight w:val="977" w:hRule="atLeast"/>
        </w:trPr>
        <w:tc>
          <w:tcPr>
            <w:tcW w:w="2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r>
              <w:rPr>
                <w:rFonts w:hint="eastAsia" w:ascii="宋体" w:hAnsi="宋体"/>
                <w:color w:val="000000"/>
                <w:sz w:val="24"/>
                <w:highlight w:val="none"/>
              </w:rPr>
              <w:t>质量</w:t>
            </w:r>
            <w:r>
              <w:rPr>
                <w:rFonts w:hint="eastAsia" w:ascii="宋体" w:hAnsi="宋体" w:cs="宋体"/>
                <w:sz w:val="24"/>
                <w:szCs w:val="24"/>
                <w:highlight w:val="none"/>
              </w:rPr>
              <w:t>要求</w:t>
            </w:r>
          </w:p>
        </w:tc>
        <w:tc>
          <w:tcPr>
            <w:tcW w:w="6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p>
        </w:tc>
      </w:tr>
      <w:tr>
        <w:tblPrEx>
          <w:tblCellMar>
            <w:top w:w="0" w:type="dxa"/>
            <w:left w:w="0" w:type="dxa"/>
            <w:bottom w:w="0" w:type="dxa"/>
            <w:right w:w="0" w:type="dxa"/>
          </w:tblCellMar>
        </w:tblPrEx>
        <w:trPr>
          <w:trHeight w:val="977" w:hRule="atLeast"/>
        </w:trPr>
        <w:tc>
          <w:tcPr>
            <w:tcW w:w="2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r>
              <w:rPr>
                <w:rFonts w:hint="eastAsia" w:ascii="宋体" w:hAnsi="宋体" w:cs="宋体"/>
                <w:sz w:val="24"/>
                <w:szCs w:val="24"/>
                <w:highlight w:val="none"/>
              </w:rPr>
              <w:t>服务周期</w:t>
            </w:r>
          </w:p>
        </w:tc>
        <w:tc>
          <w:tcPr>
            <w:tcW w:w="6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p>
        </w:tc>
      </w:tr>
      <w:tr>
        <w:tblPrEx>
          <w:tblCellMar>
            <w:top w:w="0" w:type="dxa"/>
            <w:left w:w="0" w:type="dxa"/>
            <w:bottom w:w="0" w:type="dxa"/>
            <w:right w:w="0" w:type="dxa"/>
          </w:tblCellMar>
        </w:tblPrEx>
        <w:trPr>
          <w:trHeight w:val="977" w:hRule="atLeast"/>
        </w:trPr>
        <w:tc>
          <w:tcPr>
            <w:tcW w:w="26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磋商范围</w:t>
            </w:r>
          </w:p>
        </w:tc>
        <w:tc>
          <w:tcPr>
            <w:tcW w:w="6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p>
        </w:tc>
      </w:tr>
      <w:tr>
        <w:tblPrEx>
          <w:tblCellMar>
            <w:top w:w="0" w:type="dxa"/>
            <w:left w:w="0" w:type="dxa"/>
            <w:bottom w:w="0" w:type="dxa"/>
            <w:right w:w="0" w:type="dxa"/>
          </w:tblCellMar>
        </w:tblPrEx>
        <w:trPr>
          <w:trHeight w:val="866" w:hRule="atLeast"/>
        </w:trPr>
        <w:tc>
          <w:tcPr>
            <w:tcW w:w="2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r>
              <w:rPr>
                <w:rFonts w:hint="eastAsia" w:ascii="宋体" w:hAnsi="宋体"/>
                <w:color w:val="000000"/>
                <w:sz w:val="24"/>
                <w:highlight w:val="none"/>
              </w:rPr>
              <w:t>磋商有效期</w:t>
            </w:r>
          </w:p>
        </w:tc>
        <w:tc>
          <w:tcPr>
            <w:tcW w:w="6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p>
        </w:tc>
      </w:tr>
      <w:tr>
        <w:tblPrEx>
          <w:tblCellMar>
            <w:top w:w="0" w:type="dxa"/>
            <w:left w:w="0" w:type="dxa"/>
            <w:bottom w:w="0" w:type="dxa"/>
            <w:right w:w="0" w:type="dxa"/>
          </w:tblCellMar>
        </w:tblPrEx>
        <w:trPr>
          <w:trHeight w:val="972" w:hRule="atLeast"/>
        </w:trPr>
        <w:tc>
          <w:tcPr>
            <w:tcW w:w="26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r>
              <w:rPr>
                <w:rFonts w:hint="eastAsia" w:ascii="宋体" w:hAnsi="宋体"/>
                <w:color w:val="000000"/>
                <w:sz w:val="24"/>
                <w:highlight w:val="none"/>
              </w:rPr>
              <w:t>备注</w:t>
            </w:r>
          </w:p>
        </w:tc>
        <w:tc>
          <w:tcPr>
            <w:tcW w:w="6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highlight w:val="none"/>
              </w:rPr>
            </w:pPr>
          </w:p>
        </w:tc>
      </w:tr>
    </w:tbl>
    <w:p>
      <w:pPr>
        <w:spacing w:line="440" w:lineRule="exact"/>
        <w:jc w:val="left"/>
        <w:rPr>
          <w:rFonts w:ascii="宋体" w:hAnsi="宋体"/>
          <w:b/>
          <w:color w:val="000000"/>
          <w:sz w:val="32"/>
          <w:szCs w:val="32"/>
          <w:highlight w:val="none"/>
        </w:rPr>
      </w:pPr>
      <w:r>
        <w:rPr>
          <w:rFonts w:hint="eastAsia" w:ascii="宋体" w:hAnsi="宋体" w:cs="宋体"/>
          <w:b/>
          <w:bCs/>
          <w:color w:val="000000"/>
          <w:highlight w:val="none"/>
        </w:rPr>
        <w:t>注：该表中所有空白项均为必填项。</w:t>
      </w:r>
    </w:p>
    <w:p>
      <w:pPr>
        <w:spacing w:line="580" w:lineRule="exact"/>
        <w:rPr>
          <w:rFonts w:ascii="宋体" w:hAnsi="宋体"/>
          <w:color w:val="000000"/>
          <w:sz w:val="24"/>
          <w:highlight w:val="none"/>
        </w:rPr>
      </w:pPr>
    </w:p>
    <w:p>
      <w:pPr>
        <w:spacing w:line="580" w:lineRule="exact"/>
        <w:rPr>
          <w:rFonts w:ascii="宋体" w:hAnsi="宋体"/>
          <w:color w:val="000000"/>
          <w:sz w:val="24"/>
          <w:highlight w:val="none"/>
        </w:rPr>
      </w:pPr>
    </w:p>
    <w:p>
      <w:pPr>
        <w:ind w:firstLine="1440" w:firstLineChars="600"/>
        <w:jc w:val="left"/>
        <w:rPr>
          <w:rFonts w:ascii="宋体" w:hAnsi="宋体"/>
          <w:bCs/>
          <w:sz w:val="24"/>
          <w:highlight w:val="none"/>
        </w:rPr>
      </w:pPr>
      <w:r>
        <w:rPr>
          <w:rFonts w:hint="eastAsia" w:ascii="宋体" w:hAnsi="宋体"/>
          <w:bCs/>
          <w:sz w:val="24"/>
          <w:highlight w:val="none"/>
        </w:rPr>
        <w:t>响应人：（单位签章）</w:t>
      </w:r>
    </w:p>
    <w:p>
      <w:pPr>
        <w:ind w:firstLine="1440" w:firstLineChars="600"/>
        <w:jc w:val="left"/>
        <w:rPr>
          <w:rFonts w:ascii="宋体" w:hAnsi="宋体"/>
          <w:bCs/>
          <w:sz w:val="24"/>
          <w:highlight w:val="none"/>
        </w:rPr>
      </w:pPr>
    </w:p>
    <w:p>
      <w:pPr>
        <w:ind w:firstLine="1440" w:firstLineChars="600"/>
        <w:jc w:val="left"/>
        <w:rPr>
          <w:rFonts w:ascii="宋体" w:hAnsi="宋体"/>
          <w:bCs/>
          <w:sz w:val="24"/>
          <w:highlight w:val="none"/>
        </w:rPr>
      </w:pPr>
      <w:r>
        <w:rPr>
          <w:rFonts w:hint="eastAsia" w:ascii="宋体" w:hAnsi="宋体"/>
          <w:bCs/>
          <w:sz w:val="24"/>
          <w:highlight w:val="none"/>
        </w:rPr>
        <w:t>法定代表人：（电子签章）</w:t>
      </w:r>
    </w:p>
    <w:p>
      <w:pPr>
        <w:ind w:firstLine="2280" w:firstLineChars="950"/>
        <w:jc w:val="left"/>
        <w:rPr>
          <w:rFonts w:ascii="宋体" w:hAnsi="宋体"/>
          <w:bCs/>
          <w:sz w:val="24"/>
          <w:highlight w:val="none"/>
        </w:rPr>
      </w:pPr>
    </w:p>
    <w:p>
      <w:pPr>
        <w:widowControl/>
        <w:ind w:firstLine="480"/>
        <w:jc w:val="center"/>
        <w:rPr>
          <w:rFonts w:ascii="宋体" w:hAnsi="宋体"/>
          <w:bCs/>
          <w:color w:val="000000"/>
          <w:kern w:val="0"/>
          <w:sz w:val="24"/>
          <w:highlight w:val="none"/>
          <w:u w:val="single"/>
        </w:rPr>
      </w:pPr>
      <w:r>
        <w:rPr>
          <w:rFonts w:hint="eastAsia" w:ascii="宋体" w:hAnsi="宋体"/>
          <w:bCs/>
          <w:color w:val="000000"/>
          <w:kern w:val="0"/>
          <w:sz w:val="24"/>
          <w:highlight w:val="none"/>
        </w:rPr>
        <w:t>年月日</w:t>
      </w:r>
    </w:p>
    <w:p>
      <w:pPr>
        <w:widowControl/>
        <w:spacing w:line="480" w:lineRule="auto"/>
        <w:rPr>
          <w:rFonts w:ascii="宋体" w:hAnsi="宋体"/>
          <w:bCs/>
          <w:sz w:val="28"/>
          <w:szCs w:val="28"/>
          <w:highlight w:val="none"/>
        </w:rPr>
      </w:pPr>
    </w:p>
    <w:p>
      <w:pPr>
        <w:rPr>
          <w:rFonts w:ascii="宋体" w:hAnsi="宋体"/>
          <w:b/>
          <w:color w:val="000000"/>
          <w:kern w:val="0"/>
          <w:sz w:val="28"/>
          <w:szCs w:val="28"/>
          <w:highlight w:val="none"/>
        </w:rPr>
      </w:pPr>
      <w:r>
        <w:rPr>
          <w:rFonts w:hint="eastAsia" w:ascii="宋体" w:hAnsi="宋体"/>
          <w:b/>
          <w:color w:val="000000"/>
          <w:kern w:val="0"/>
          <w:sz w:val="28"/>
          <w:szCs w:val="28"/>
          <w:highlight w:val="none"/>
        </w:rPr>
        <w:br w:type="page"/>
      </w:r>
    </w:p>
    <w:p>
      <w:pPr>
        <w:spacing w:line="360" w:lineRule="auto"/>
        <w:jc w:val="center"/>
        <w:outlineLvl w:val="0"/>
        <w:rPr>
          <w:rFonts w:ascii="宋体" w:hAnsi="宋体"/>
          <w:b/>
          <w:color w:val="000000"/>
          <w:sz w:val="28"/>
          <w:szCs w:val="28"/>
          <w:highlight w:val="none"/>
        </w:rPr>
      </w:pPr>
      <w:bookmarkStart w:id="193" w:name="_Toc17744"/>
      <w:r>
        <w:rPr>
          <w:rFonts w:hint="eastAsia" w:ascii="宋体" w:hAnsi="宋体"/>
          <w:b/>
          <w:color w:val="000000"/>
          <w:sz w:val="28"/>
          <w:szCs w:val="28"/>
          <w:highlight w:val="none"/>
        </w:rPr>
        <w:t>二、法定代表人身份证明书</w:t>
      </w:r>
      <w:bookmarkEnd w:id="193"/>
    </w:p>
    <w:p>
      <w:pPr>
        <w:tabs>
          <w:tab w:val="left" w:pos="5970"/>
        </w:tabs>
        <w:snapToGrid w:val="0"/>
        <w:spacing w:line="360" w:lineRule="auto"/>
        <w:rPr>
          <w:rFonts w:hint="eastAsia" w:ascii="宋体" w:hAnsi="宋体" w:cs="宋体"/>
          <w:sz w:val="24"/>
          <w:highlight w:val="none"/>
        </w:rPr>
      </w:pPr>
    </w:p>
    <w:p>
      <w:pPr>
        <w:tabs>
          <w:tab w:val="left" w:pos="5970"/>
        </w:tabs>
        <w:snapToGrid w:val="0"/>
        <w:spacing w:line="360" w:lineRule="auto"/>
        <w:rPr>
          <w:rFonts w:ascii="宋体" w:hAnsi="宋体" w:cs="宋体"/>
          <w:sz w:val="24"/>
          <w:highlight w:val="none"/>
        </w:rPr>
      </w:pPr>
      <w:r>
        <w:rPr>
          <w:rFonts w:hint="eastAsia" w:ascii="宋体" w:hAnsi="宋体" w:cs="宋体"/>
          <w:sz w:val="24"/>
          <w:highlight w:val="none"/>
        </w:rPr>
        <w:t>响应人名称：</w:t>
      </w:r>
    </w:p>
    <w:p>
      <w:pPr>
        <w:tabs>
          <w:tab w:val="left" w:pos="5970"/>
        </w:tabs>
        <w:snapToGrid w:val="0"/>
        <w:spacing w:line="360" w:lineRule="auto"/>
        <w:rPr>
          <w:rFonts w:ascii="宋体" w:hAnsi="宋体" w:cs="宋体"/>
          <w:sz w:val="24"/>
          <w:highlight w:val="none"/>
        </w:rPr>
      </w:pPr>
      <w:r>
        <w:rPr>
          <w:rFonts w:hint="eastAsia" w:ascii="宋体" w:hAnsi="宋体" w:cs="宋体"/>
          <w:sz w:val="24"/>
          <w:highlight w:val="none"/>
        </w:rPr>
        <w:t>单位性质：</w:t>
      </w:r>
    </w:p>
    <w:p>
      <w:pPr>
        <w:tabs>
          <w:tab w:val="left" w:pos="5970"/>
        </w:tabs>
        <w:snapToGrid w:val="0"/>
        <w:spacing w:line="360" w:lineRule="auto"/>
        <w:rPr>
          <w:rFonts w:ascii="宋体" w:hAnsi="宋体" w:cs="宋体"/>
          <w:sz w:val="24"/>
          <w:highlight w:val="none"/>
        </w:rPr>
      </w:pPr>
      <w:r>
        <w:rPr>
          <w:rFonts w:hint="eastAsia" w:ascii="宋体" w:hAnsi="宋体" w:cs="宋体"/>
          <w:sz w:val="24"/>
          <w:highlight w:val="none"/>
        </w:rPr>
        <w:t>地址：</w:t>
      </w:r>
    </w:p>
    <w:p>
      <w:pPr>
        <w:tabs>
          <w:tab w:val="left" w:pos="5970"/>
        </w:tabs>
        <w:snapToGrid w:val="0"/>
        <w:spacing w:line="360" w:lineRule="auto"/>
        <w:rPr>
          <w:rFonts w:ascii="宋体" w:hAnsi="宋体" w:cs="宋体"/>
          <w:sz w:val="24"/>
          <w:highlight w:val="none"/>
        </w:rPr>
      </w:pPr>
      <w:r>
        <w:rPr>
          <w:rFonts w:hint="eastAsia" w:ascii="宋体" w:hAnsi="宋体" w:cs="宋体"/>
          <w:sz w:val="24"/>
          <w:highlight w:val="none"/>
        </w:rPr>
        <w:t>成立时间：年月日</w:t>
      </w:r>
    </w:p>
    <w:p>
      <w:pPr>
        <w:tabs>
          <w:tab w:val="left" w:pos="5970"/>
        </w:tabs>
        <w:snapToGrid w:val="0"/>
        <w:spacing w:line="360" w:lineRule="auto"/>
        <w:rPr>
          <w:rFonts w:ascii="宋体" w:hAnsi="宋体" w:cs="宋体"/>
          <w:sz w:val="24"/>
          <w:highlight w:val="none"/>
        </w:rPr>
      </w:pPr>
      <w:r>
        <w:rPr>
          <w:rFonts w:hint="eastAsia" w:ascii="宋体" w:hAnsi="宋体" w:cs="宋体"/>
          <w:sz w:val="24"/>
          <w:highlight w:val="none"/>
        </w:rPr>
        <w:t>经营期限</w:t>
      </w:r>
      <w:r>
        <w:rPr>
          <w:rFonts w:hint="eastAsia" w:ascii="宋体" w:hAnsi="宋体" w:cs="宋体"/>
          <w:sz w:val="24"/>
          <w:highlight w:val="none"/>
          <w:u w:val="single"/>
        </w:rPr>
        <w:t>：</w:t>
      </w:r>
    </w:p>
    <w:p>
      <w:pPr>
        <w:tabs>
          <w:tab w:val="left" w:pos="5970"/>
        </w:tabs>
        <w:snapToGrid w:val="0"/>
        <w:spacing w:line="360" w:lineRule="auto"/>
        <w:rPr>
          <w:rFonts w:ascii="宋体" w:hAnsi="宋体" w:cs="宋体"/>
          <w:sz w:val="24"/>
          <w:highlight w:val="none"/>
        </w:rPr>
      </w:pPr>
      <w:r>
        <w:rPr>
          <w:rFonts w:hint="eastAsia" w:ascii="宋体" w:hAnsi="宋体" w:cs="宋体"/>
          <w:sz w:val="24"/>
          <w:highlight w:val="none"/>
        </w:rPr>
        <w:t>姓名：性别：年龄：职务：</w:t>
      </w:r>
    </w:p>
    <w:p>
      <w:pPr>
        <w:tabs>
          <w:tab w:val="left" w:pos="5970"/>
        </w:tabs>
        <w:snapToGrid w:val="0"/>
        <w:spacing w:line="360" w:lineRule="auto"/>
        <w:rPr>
          <w:rFonts w:ascii="宋体" w:hAnsi="宋体" w:cs="宋体"/>
          <w:sz w:val="24"/>
          <w:highlight w:val="none"/>
        </w:rPr>
      </w:pPr>
      <w:r>
        <w:rPr>
          <w:rFonts w:hint="eastAsia" w:ascii="宋体" w:hAnsi="宋体" w:cs="宋体"/>
          <w:sz w:val="24"/>
          <w:highlight w:val="none"/>
        </w:rPr>
        <w:t>系（响应人名称）的法定代表人。</w:t>
      </w:r>
    </w:p>
    <w:p>
      <w:pPr>
        <w:tabs>
          <w:tab w:val="left" w:pos="5970"/>
        </w:tabs>
        <w:snapToGrid w:val="0"/>
        <w:spacing w:line="360" w:lineRule="auto"/>
        <w:rPr>
          <w:rFonts w:ascii="宋体" w:hAnsi="宋体" w:cs="宋体"/>
          <w:sz w:val="24"/>
          <w:highlight w:val="none"/>
        </w:rPr>
      </w:pPr>
      <w:r>
        <w:rPr>
          <w:rFonts w:hint="eastAsia" w:ascii="宋体" w:hAnsi="宋体" w:cs="宋体"/>
          <w:sz w:val="24"/>
          <w:highlight w:val="none"/>
        </w:rPr>
        <w:t>特此证明。</w:t>
      </w:r>
    </w:p>
    <w:p>
      <w:pPr>
        <w:spacing w:line="360" w:lineRule="auto"/>
        <w:rPr>
          <w:sz w:val="24"/>
          <w:highlight w:val="none"/>
        </w:rPr>
      </w:pPr>
    </w:p>
    <w:p>
      <w:pPr>
        <w:tabs>
          <w:tab w:val="left" w:pos="5970"/>
        </w:tabs>
        <w:spacing w:line="360" w:lineRule="auto"/>
        <w:ind w:firstLine="1928" w:firstLineChars="800"/>
        <w:rPr>
          <w:rFonts w:ascii="宋体" w:hAnsi="宋体" w:cs="宋体"/>
          <w:sz w:val="24"/>
          <w:highlight w:val="none"/>
        </w:rPr>
      </w:pPr>
      <w:r>
        <w:rPr>
          <w:rFonts w:ascii="宋体" w:hAnsi="宋体" w:cs="宋体"/>
          <w:b/>
          <w:sz w:val="24"/>
          <w:highlight w:val="none"/>
        </w:rPr>
        <w:t>（后附法定代表人身份证正反面扫描件）</w:t>
      </w:r>
    </w:p>
    <w:p>
      <w:pPr>
        <w:tabs>
          <w:tab w:val="left" w:pos="5970"/>
        </w:tabs>
        <w:spacing w:line="360" w:lineRule="auto"/>
        <w:rPr>
          <w:rFonts w:ascii="宋体" w:hAnsi="宋体" w:cs="宋体"/>
          <w:sz w:val="24"/>
          <w:highlight w:val="none"/>
        </w:rPr>
      </w:pPr>
    </w:p>
    <w:p>
      <w:pPr>
        <w:tabs>
          <w:tab w:val="left" w:pos="597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响应人：（单位签章）</w:t>
      </w:r>
    </w:p>
    <w:p>
      <w:pPr>
        <w:tabs>
          <w:tab w:val="left" w:pos="3226"/>
        </w:tabs>
        <w:jc w:val="left"/>
        <w:rPr>
          <w:rFonts w:ascii="宋体" w:hAnsi="宋体" w:cs="宋体"/>
          <w:sz w:val="24"/>
          <w:highlight w:val="none"/>
        </w:rPr>
      </w:pPr>
    </w:p>
    <w:p>
      <w:pPr>
        <w:tabs>
          <w:tab w:val="left" w:pos="3226"/>
        </w:tabs>
        <w:ind w:firstLine="480" w:firstLineChars="200"/>
        <w:jc w:val="left"/>
        <w:rPr>
          <w:rFonts w:ascii="宋体" w:hAnsi="宋体" w:cs="宋体"/>
          <w:sz w:val="24"/>
          <w:highlight w:val="none"/>
        </w:rPr>
      </w:pPr>
      <w:r>
        <w:rPr>
          <w:rFonts w:hint="eastAsia" w:ascii="宋体" w:hAnsi="宋体" w:cs="宋体"/>
          <w:sz w:val="24"/>
          <w:highlight w:val="none"/>
        </w:rPr>
        <w:t>日期：年月日</w:t>
      </w:r>
    </w:p>
    <w:p>
      <w:pPr>
        <w:spacing w:line="360" w:lineRule="auto"/>
        <w:ind w:left="232"/>
        <w:outlineLvl w:val="9"/>
        <w:rPr>
          <w:rFonts w:ascii="宋体" w:hAnsi="宋体"/>
          <w:bCs/>
          <w:sz w:val="28"/>
          <w:szCs w:val="28"/>
          <w:highlight w:val="none"/>
        </w:rPr>
      </w:pPr>
      <w:r>
        <w:rPr>
          <w:rFonts w:ascii="宋体" w:hAnsi="宋体"/>
          <w:bCs/>
          <w:sz w:val="28"/>
          <w:szCs w:val="28"/>
          <w:highlight w:val="none"/>
        </w:rPr>
        <w:br w:type="page"/>
      </w:r>
    </w:p>
    <w:p>
      <w:pPr>
        <w:spacing w:line="360" w:lineRule="auto"/>
        <w:jc w:val="center"/>
        <w:outlineLvl w:val="0"/>
        <w:rPr>
          <w:rFonts w:ascii="宋体" w:hAnsi="宋体"/>
          <w:b/>
          <w:color w:val="000000"/>
          <w:sz w:val="28"/>
          <w:szCs w:val="28"/>
          <w:highlight w:val="none"/>
        </w:rPr>
      </w:pPr>
      <w:bookmarkStart w:id="194" w:name="_Toc24587"/>
      <w:r>
        <w:rPr>
          <w:rFonts w:hint="eastAsia" w:ascii="宋体" w:hAnsi="宋体"/>
          <w:b/>
          <w:color w:val="000000"/>
          <w:sz w:val="28"/>
          <w:szCs w:val="28"/>
          <w:highlight w:val="none"/>
        </w:rPr>
        <w:t>三、授权委托书</w:t>
      </w:r>
      <w:bookmarkEnd w:id="194"/>
    </w:p>
    <w:p>
      <w:pPr>
        <w:spacing w:line="360" w:lineRule="auto"/>
        <w:rPr>
          <w:rFonts w:ascii="宋体" w:hAnsi="宋体" w:cs="宋体"/>
          <w:b/>
          <w:highlight w:val="none"/>
        </w:rPr>
      </w:pPr>
    </w:p>
    <w:p>
      <w:pPr>
        <w:tabs>
          <w:tab w:val="left" w:pos="5970"/>
        </w:tabs>
        <w:snapToGrid w:val="0"/>
        <w:spacing w:line="360" w:lineRule="auto"/>
        <w:ind w:firstLine="480" w:firstLineChars="200"/>
        <w:rPr>
          <w:rFonts w:ascii="宋体" w:hAnsi="宋体" w:cs="宋体"/>
          <w:sz w:val="24"/>
          <w:highlight w:val="none"/>
        </w:rPr>
      </w:pPr>
    </w:p>
    <w:p>
      <w:pPr>
        <w:tabs>
          <w:tab w:val="left" w:pos="597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人（姓名）系（响应人名称）的法定代表人，现委托（姓名）为我方代理人。代理人根据授权，以我方名义签署、澄清、说明、补正、递交、撤回、修改（项目名称）响应文件、签订合同和处理有关事宜，其法律后果由我方承担。</w:t>
      </w:r>
    </w:p>
    <w:p>
      <w:pPr>
        <w:tabs>
          <w:tab w:val="left" w:pos="5970"/>
        </w:tabs>
        <w:snapToGrid w:val="0"/>
        <w:spacing w:line="360" w:lineRule="auto"/>
        <w:ind w:firstLine="480" w:firstLineChars="200"/>
        <w:rPr>
          <w:rFonts w:ascii="宋体" w:hAnsi="宋体" w:cs="宋体"/>
          <w:sz w:val="24"/>
          <w:highlight w:val="none"/>
        </w:rPr>
      </w:pPr>
    </w:p>
    <w:p>
      <w:pPr>
        <w:tabs>
          <w:tab w:val="left" w:pos="597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委托期限</w:t>
      </w:r>
      <w:r>
        <w:rPr>
          <w:rFonts w:hint="eastAsia" w:ascii="宋体" w:hAnsi="宋体" w:cs="宋体"/>
          <w:sz w:val="24"/>
          <w:highlight w:val="none"/>
          <w:u w:val="singl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p>
      <w:pPr>
        <w:tabs>
          <w:tab w:val="left" w:pos="597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代理人无转委托权。</w:t>
      </w:r>
    </w:p>
    <w:p>
      <w:pPr>
        <w:tabs>
          <w:tab w:val="left" w:pos="5970"/>
        </w:tabs>
        <w:snapToGrid w:val="0"/>
        <w:spacing w:line="360" w:lineRule="auto"/>
        <w:jc w:val="center"/>
        <w:rPr>
          <w:rFonts w:ascii="宋体" w:hAnsi="宋体" w:cs="宋体"/>
          <w:b/>
          <w:sz w:val="24"/>
          <w:highlight w:val="none"/>
        </w:rPr>
      </w:pPr>
    </w:p>
    <w:p>
      <w:pPr>
        <w:tabs>
          <w:tab w:val="left" w:pos="5970"/>
        </w:tabs>
        <w:snapToGrid w:val="0"/>
        <w:spacing w:line="360" w:lineRule="auto"/>
        <w:jc w:val="center"/>
        <w:rPr>
          <w:rFonts w:ascii="宋体" w:hAnsi="宋体" w:cs="宋体"/>
          <w:sz w:val="24"/>
          <w:highlight w:val="none"/>
        </w:rPr>
      </w:pPr>
      <w:r>
        <w:rPr>
          <w:rFonts w:hint="eastAsia" w:ascii="宋体" w:hAnsi="宋体" w:cs="宋体"/>
          <w:b/>
          <w:sz w:val="24"/>
          <w:highlight w:val="none"/>
        </w:rPr>
        <w:t>（后附委托代理人身份证正反面扫描件）</w:t>
      </w:r>
    </w:p>
    <w:p>
      <w:pPr>
        <w:tabs>
          <w:tab w:val="left" w:pos="5970"/>
        </w:tabs>
        <w:snapToGrid w:val="0"/>
        <w:spacing w:line="360" w:lineRule="auto"/>
        <w:rPr>
          <w:rFonts w:ascii="宋体" w:hAnsi="宋体" w:cs="宋体"/>
          <w:sz w:val="24"/>
          <w:highlight w:val="none"/>
        </w:rPr>
      </w:pPr>
    </w:p>
    <w:p>
      <w:pPr>
        <w:spacing w:line="360" w:lineRule="auto"/>
        <w:rPr>
          <w:rFonts w:ascii="宋体" w:hAnsi="宋体" w:eastAsia="黑体" w:cs="宋体"/>
          <w:b/>
          <w:bCs/>
          <w:kern w:val="0"/>
          <w:sz w:val="24"/>
          <w:highlight w:val="none"/>
        </w:rPr>
      </w:pPr>
    </w:p>
    <w:p>
      <w:pPr>
        <w:spacing w:line="360" w:lineRule="auto"/>
        <w:rPr>
          <w:sz w:val="24"/>
          <w:highlight w:val="none"/>
        </w:rPr>
      </w:pPr>
    </w:p>
    <w:p>
      <w:pPr>
        <w:tabs>
          <w:tab w:val="left" w:pos="5970"/>
        </w:tabs>
        <w:snapToGrid w:val="0"/>
        <w:spacing w:line="360" w:lineRule="auto"/>
        <w:jc w:val="right"/>
        <w:rPr>
          <w:rFonts w:ascii="宋体" w:hAnsi="宋体" w:cs="宋体"/>
          <w:sz w:val="24"/>
          <w:highlight w:val="none"/>
        </w:rPr>
      </w:pPr>
    </w:p>
    <w:p>
      <w:pPr>
        <w:tabs>
          <w:tab w:val="left" w:pos="597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响应人：（</w:t>
      </w:r>
      <w:r>
        <w:rPr>
          <w:rFonts w:hint="eastAsia" w:ascii="宋体" w:hAnsi="宋体"/>
          <w:bCs/>
          <w:sz w:val="24"/>
          <w:highlight w:val="none"/>
        </w:rPr>
        <w:t>单位签章</w:t>
      </w:r>
      <w:r>
        <w:rPr>
          <w:rFonts w:hint="eastAsia" w:ascii="宋体" w:hAnsi="宋体" w:cs="宋体"/>
          <w:sz w:val="24"/>
          <w:highlight w:val="none"/>
        </w:rPr>
        <w:t>）</w:t>
      </w:r>
    </w:p>
    <w:p>
      <w:pPr>
        <w:tabs>
          <w:tab w:val="left" w:pos="5970"/>
        </w:tabs>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法定代表人：（</w:t>
      </w:r>
      <w:r>
        <w:rPr>
          <w:rFonts w:hint="eastAsia" w:ascii="宋体" w:hAnsi="宋体"/>
          <w:bCs/>
          <w:sz w:val="24"/>
          <w:highlight w:val="none"/>
        </w:rPr>
        <w:t>电子签章</w:t>
      </w:r>
      <w:r>
        <w:rPr>
          <w:rFonts w:hint="eastAsia" w:ascii="宋体" w:hAnsi="宋体" w:cs="宋体"/>
          <w:sz w:val="24"/>
          <w:highlight w:val="none"/>
        </w:rPr>
        <w:t>）</w:t>
      </w:r>
    </w:p>
    <w:p>
      <w:pPr>
        <w:tabs>
          <w:tab w:val="left" w:pos="5970"/>
        </w:tabs>
        <w:snapToGrid w:val="0"/>
        <w:spacing w:line="360" w:lineRule="auto"/>
        <w:ind w:firstLine="480" w:firstLineChars="200"/>
        <w:rPr>
          <w:rFonts w:ascii="宋体" w:hAnsi="宋体" w:cs="宋体"/>
          <w:sz w:val="24"/>
          <w:highlight w:val="none"/>
          <w:u w:val="single"/>
        </w:rPr>
      </w:pPr>
      <w:r>
        <w:rPr>
          <w:rFonts w:hint="eastAsia" w:ascii="宋体" w:hAnsi="宋体" w:cs="宋体"/>
          <w:bCs/>
          <w:sz w:val="24"/>
          <w:highlight w:val="none"/>
        </w:rPr>
        <w:t>身份证号码：</w:t>
      </w:r>
    </w:p>
    <w:p>
      <w:pPr>
        <w:tabs>
          <w:tab w:val="left" w:pos="597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委托代理人：（签字和签章）</w:t>
      </w:r>
    </w:p>
    <w:p>
      <w:pPr>
        <w:tabs>
          <w:tab w:val="left" w:pos="5970"/>
        </w:tabs>
        <w:snapToGrid w:val="0"/>
        <w:spacing w:line="360" w:lineRule="auto"/>
        <w:ind w:firstLine="480" w:firstLineChars="200"/>
        <w:rPr>
          <w:rFonts w:ascii="宋体" w:hAnsi="宋体" w:cs="宋体"/>
          <w:sz w:val="24"/>
          <w:highlight w:val="none"/>
          <w:u w:val="single"/>
        </w:rPr>
      </w:pPr>
      <w:r>
        <w:rPr>
          <w:rFonts w:hint="eastAsia" w:ascii="宋体" w:hAnsi="宋体" w:cs="宋体"/>
          <w:bCs/>
          <w:sz w:val="24"/>
          <w:highlight w:val="none"/>
        </w:rPr>
        <w:t>身份证号码：</w:t>
      </w:r>
    </w:p>
    <w:p>
      <w:pPr>
        <w:tabs>
          <w:tab w:val="left" w:pos="5970"/>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日期：年月日</w:t>
      </w:r>
    </w:p>
    <w:p>
      <w:pPr>
        <w:widowControl/>
        <w:spacing w:line="480" w:lineRule="auto"/>
        <w:ind w:firstLine="3959" w:firstLineChars="1414"/>
        <w:rPr>
          <w:rFonts w:ascii="宋体" w:hAnsi="宋体"/>
          <w:color w:val="000000"/>
          <w:kern w:val="0"/>
          <w:sz w:val="28"/>
          <w:szCs w:val="28"/>
          <w:highlight w:val="none"/>
        </w:rPr>
      </w:pPr>
    </w:p>
    <w:p>
      <w:pPr>
        <w:widowControl/>
        <w:spacing w:line="480" w:lineRule="auto"/>
        <w:jc w:val="center"/>
        <w:rPr>
          <w:rFonts w:ascii="宋体" w:hAnsi="宋体"/>
          <w:color w:val="000000"/>
          <w:kern w:val="0"/>
          <w:sz w:val="20"/>
          <w:highlight w:val="none"/>
        </w:rPr>
      </w:pPr>
      <w:r>
        <w:rPr>
          <w:rFonts w:hint="eastAsia" w:ascii="宋体" w:hAnsi="宋体" w:cs="宋体"/>
          <w:sz w:val="18"/>
          <w:szCs w:val="18"/>
          <w:highlight w:val="none"/>
        </w:rPr>
        <w:t>注：授权委托书委托代理人无法手写签字，可以电脑打印字体为准并加盖法定代表人签章。</w:t>
      </w:r>
    </w:p>
    <w:p>
      <w:pPr>
        <w:widowControl/>
        <w:spacing w:line="460" w:lineRule="atLeast"/>
        <w:jc w:val="center"/>
        <w:rPr>
          <w:rFonts w:ascii="宋体" w:hAnsi="宋体"/>
          <w:bCs/>
          <w:sz w:val="28"/>
          <w:szCs w:val="28"/>
          <w:highlight w:val="none"/>
        </w:rPr>
      </w:pPr>
      <w:r>
        <w:rPr>
          <w:rFonts w:hint="eastAsia" w:ascii="宋体" w:hAnsi="宋体" w:cs="宋体"/>
          <w:sz w:val="24"/>
          <w:highlight w:val="none"/>
        </w:rPr>
        <w:br w:type="page"/>
      </w:r>
    </w:p>
    <w:p>
      <w:pPr>
        <w:widowControl/>
        <w:spacing w:line="400" w:lineRule="exact"/>
        <w:jc w:val="center"/>
        <w:outlineLvl w:val="0"/>
        <w:rPr>
          <w:rFonts w:ascii="宋体" w:hAnsi="宋体"/>
          <w:b/>
          <w:sz w:val="28"/>
          <w:highlight w:val="none"/>
        </w:rPr>
      </w:pPr>
      <w:bookmarkStart w:id="195" w:name="_Toc7633"/>
      <w:bookmarkStart w:id="196" w:name="_Toc12718"/>
      <w:bookmarkStart w:id="197" w:name="_Toc24420"/>
      <w:bookmarkStart w:id="198" w:name="_Toc23199"/>
      <w:bookmarkStart w:id="199" w:name="_Toc32717"/>
      <w:bookmarkStart w:id="200" w:name="_Toc6506"/>
      <w:bookmarkStart w:id="201" w:name="_Toc11405"/>
      <w:bookmarkStart w:id="202" w:name="_Toc2131"/>
      <w:r>
        <w:rPr>
          <w:rFonts w:hint="eastAsia" w:ascii="宋体" w:hAnsi="宋体" w:cs="宋体"/>
          <w:b/>
          <w:bCs/>
          <w:sz w:val="30"/>
          <w:szCs w:val="30"/>
          <w:highlight w:val="none"/>
        </w:rPr>
        <w:t>四、</w:t>
      </w:r>
      <w:bookmarkEnd w:id="195"/>
      <w:bookmarkEnd w:id="196"/>
      <w:bookmarkEnd w:id="197"/>
      <w:bookmarkEnd w:id="198"/>
      <w:bookmarkEnd w:id="199"/>
      <w:bookmarkEnd w:id="200"/>
      <w:bookmarkEnd w:id="201"/>
      <w:r>
        <w:rPr>
          <w:rFonts w:hint="eastAsia" w:ascii="宋体" w:hAnsi="宋体" w:cs="宋体"/>
          <w:b/>
          <w:bCs/>
          <w:sz w:val="30"/>
          <w:szCs w:val="30"/>
          <w:highlight w:val="none"/>
        </w:rPr>
        <w:t>项目实施方案</w:t>
      </w:r>
      <w:bookmarkEnd w:id="202"/>
    </w:p>
    <w:p>
      <w:pPr>
        <w:spacing w:line="360" w:lineRule="auto"/>
        <w:ind w:firstLine="480"/>
        <w:rPr>
          <w:rFonts w:ascii="宋体" w:cs="宋体"/>
          <w:kern w:val="0"/>
          <w:highlight w:val="none"/>
        </w:rPr>
      </w:pPr>
      <w:r>
        <w:rPr>
          <w:rFonts w:hint="eastAsia" w:ascii="宋体" w:cs="宋体"/>
          <w:kern w:val="0"/>
          <w:highlight w:val="none"/>
        </w:rPr>
        <w:t>根据磋商文件（技术</w:t>
      </w:r>
      <w:r>
        <w:rPr>
          <w:rFonts w:hint="eastAsia" w:ascii="宋体" w:cs="宋体"/>
          <w:kern w:val="0"/>
          <w:highlight w:val="none"/>
          <w:lang w:val="en-US" w:eastAsia="zh-CN"/>
        </w:rPr>
        <w:t>部分</w:t>
      </w:r>
      <w:r>
        <w:rPr>
          <w:rFonts w:hint="eastAsia" w:ascii="宋体" w:cs="宋体"/>
          <w:kern w:val="0"/>
          <w:highlight w:val="none"/>
        </w:rPr>
        <w:t>）要求，自行编制。</w:t>
      </w:r>
    </w:p>
    <w:p>
      <w:pPr>
        <w:jc w:val="center"/>
        <w:outlineLvl w:val="0"/>
        <w:rPr>
          <w:rFonts w:ascii="宋体" w:hAnsi="宋体"/>
          <w:b/>
          <w:color w:val="000000"/>
          <w:sz w:val="30"/>
          <w:szCs w:val="30"/>
          <w:highlight w:val="none"/>
        </w:rPr>
      </w:pPr>
      <w:r>
        <w:rPr>
          <w:rFonts w:ascii="宋体" w:hAnsi="宋体" w:cs="宋体"/>
          <w:kern w:val="0"/>
          <w:sz w:val="28"/>
          <w:szCs w:val="28"/>
          <w:highlight w:val="none"/>
        </w:rPr>
        <w:br w:type="page"/>
      </w:r>
      <w:bookmarkStart w:id="203" w:name="_Toc10943"/>
      <w:r>
        <w:rPr>
          <w:rFonts w:hint="eastAsia" w:ascii="宋体" w:hAnsi="宋体"/>
          <w:b/>
          <w:color w:val="000000"/>
          <w:sz w:val="30"/>
          <w:szCs w:val="30"/>
          <w:highlight w:val="none"/>
        </w:rPr>
        <w:t>五、资格审查资料</w:t>
      </w:r>
      <w:bookmarkEnd w:id="203"/>
    </w:p>
    <w:p>
      <w:pPr>
        <w:jc w:val="center"/>
        <w:rPr>
          <w:rFonts w:ascii="宋体" w:hAnsi="宋体"/>
          <w:b/>
          <w:kern w:val="0"/>
          <w:sz w:val="28"/>
          <w:highlight w:val="none"/>
        </w:rPr>
      </w:pPr>
      <w:bookmarkStart w:id="204" w:name="_Toc296602618"/>
      <w:bookmarkStart w:id="205" w:name="_Toc246996373"/>
      <w:bookmarkStart w:id="206" w:name="_Toc152042597"/>
      <w:bookmarkStart w:id="207" w:name="_Toc144974876"/>
      <w:bookmarkStart w:id="208" w:name="_Toc246997116"/>
      <w:bookmarkStart w:id="209" w:name="_Toc179632828"/>
      <w:bookmarkStart w:id="210" w:name="_Toc247085891"/>
      <w:bookmarkStart w:id="211" w:name="_Toc152045808"/>
      <w:r>
        <w:rPr>
          <w:rFonts w:hint="eastAsia" w:ascii="宋体" w:hAnsi="宋体"/>
          <w:b/>
          <w:kern w:val="0"/>
          <w:sz w:val="28"/>
          <w:highlight w:val="none"/>
        </w:rPr>
        <w:t>（一）响应人基本情况表</w:t>
      </w:r>
      <w:bookmarkEnd w:id="204"/>
      <w:bookmarkEnd w:id="205"/>
      <w:bookmarkEnd w:id="206"/>
      <w:bookmarkEnd w:id="207"/>
      <w:bookmarkEnd w:id="208"/>
      <w:bookmarkEnd w:id="209"/>
      <w:bookmarkEnd w:id="210"/>
      <w:bookmarkEnd w:id="211"/>
    </w:p>
    <w:p>
      <w:pPr>
        <w:widowControl/>
        <w:spacing w:line="520" w:lineRule="atLeast"/>
        <w:ind w:left="6510"/>
        <w:rPr>
          <w:rFonts w:ascii="宋体" w:hAnsi="宋体" w:cs="宋体"/>
          <w:b/>
          <w:bCs/>
          <w:kern w:val="0"/>
          <w:sz w:val="30"/>
          <w:szCs w:val="30"/>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27"/>
        <w:gridCol w:w="1066"/>
        <w:gridCol w:w="1344"/>
        <w:gridCol w:w="1116"/>
        <w:gridCol w:w="227"/>
        <w:gridCol w:w="1344"/>
        <w:gridCol w:w="319"/>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33"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响应人名称</w:t>
            </w:r>
          </w:p>
        </w:tc>
        <w:tc>
          <w:tcPr>
            <w:tcW w:w="7467" w:type="dxa"/>
            <w:gridSpan w:val="8"/>
            <w:vAlign w:val="center"/>
          </w:tcPr>
          <w:p>
            <w:pPr>
              <w:autoSpaceDE w:val="0"/>
              <w:autoSpaceDN w:val="0"/>
              <w:adjustRightInd w:val="0"/>
              <w:spacing w:line="420" w:lineRule="exact"/>
              <w:jc w:val="center"/>
              <w:rPr>
                <w:rFonts w:ascii="宋体" w:hAnsi="宋体" w:cs="楷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33"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注册地址</w:t>
            </w:r>
          </w:p>
        </w:tc>
        <w:tc>
          <w:tcPr>
            <w:tcW w:w="3437"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343" w:type="dxa"/>
            <w:gridSpan w:val="2"/>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邮政编码</w:t>
            </w:r>
          </w:p>
        </w:tc>
        <w:tc>
          <w:tcPr>
            <w:tcW w:w="2687"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933" w:type="dxa"/>
            <w:vMerge w:val="restart"/>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联系方式</w:t>
            </w:r>
          </w:p>
        </w:tc>
        <w:tc>
          <w:tcPr>
            <w:tcW w:w="1027"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联系人</w:t>
            </w:r>
          </w:p>
        </w:tc>
        <w:tc>
          <w:tcPr>
            <w:tcW w:w="2410" w:type="dxa"/>
            <w:gridSpan w:val="2"/>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343" w:type="dxa"/>
            <w:gridSpan w:val="2"/>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电话</w:t>
            </w:r>
          </w:p>
        </w:tc>
        <w:tc>
          <w:tcPr>
            <w:tcW w:w="2687"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933" w:type="dxa"/>
            <w:vMerge w:val="continue"/>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027"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传真</w:t>
            </w:r>
          </w:p>
        </w:tc>
        <w:tc>
          <w:tcPr>
            <w:tcW w:w="2410" w:type="dxa"/>
            <w:gridSpan w:val="2"/>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343" w:type="dxa"/>
            <w:gridSpan w:val="2"/>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网址</w:t>
            </w:r>
          </w:p>
        </w:tc>
        <w:tc>
          <w:tcPr>
            <w:tcW w:w="2687"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33"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组织结构</w:t>
            </w:r>
          </w:p>
        </w:tc>
        <w:tc>
          <w:tcPr>
            <w:tcW w:w="7467" w:type="dxa"/>
            <w:gridSpan w:val="8"/>
            <w:vAlign w:val="center"/>
          </w:tcPr>
          <w:p>
            <w:pPr>
              <w:autoSpaceDE w:val="0"/>
              <w:autoSpaceDN w:val="0"/>
              <w:adjustRightInd w:val="0"/>
              <w:spacing w:line="420" w:lineRule="exact"/>
              <w:jc w:val="center"/>
              <w:rPr>
                <w:rFonts w:ascii="宋体" w:hAnsi="宋体" w:cs="楷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33"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法定代表人</w:t>
            </w:r>
          </w:p>
        </w:tc>
        <w:tc>
          <w:tcPr>
            <w:tcW w:w="1027"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姓名</w:t>
            </w:r>
          </w:p>
        </w:tc>
        <w:tc>
          <w:tcPr>
            <w:tcW w:w="1066" w:type="dxa"/>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344"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技术职称</w:t>
            </w:r>
          </w:p>
        </w:tc>
        <w:tc>
          <w:tcPr>
            <w:tcW w:w="1343" w:type="dxa"/>
            <w:gridSpan w:val="2"/>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344"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电话</w:t>
            </w:r>
          </w:p>
        </w:tc>
        <w:tc>
          <w:tcPr>
            <w:tcW w:w="1343" w:type="dxa"/>
            <w:gridSpan w:val="2"/>
            <w:vAlign w:val="center"/>
          </w:tcPr>
          <w:p>
            <w:pPr>
              <w:autoSpaceDE w:val="0"/>
              <w:autoSpaceDN w:val="0"/>
              <w:adjustRightInd w:val="0"/>
              <w:spacing w:line="420" w:lineRule="exact"/>
              <w:jc w:val="center"/>
              <w:rPr>
                <w:rFonts w:ascii="宋体" w:hAnsi="宋体" w:cs="楷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33"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项目总负责人</w:t>
            </w:r>
          </w:p>
        </w:tc>
        <w:tc>
          <w:tcPr>
            <w:tcW w:w="1027"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姓名</w:t>
            </w:r>
          </w:p>
        </w:tc>
        <w:tc>
          <w:tcPr>
            <w:tcW w:w="1066" w:type="dxa"/>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344"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技术职称</w:t>
            </w:r>
          </w:p>
        </w:tc>
        <w:tc>
          <w:tcPr>
            <w:tcW w:w="1343" w:type="dxa"/>
            <w:gridSpan w:val="2"/>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344"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电话</w:t>
            </w:r>
          </w:p>
        </w:tc>
        <w:tc>
          <w:tcPr>
            <w:tcW w:w="1343" w:type="dxa"/>
            <w:gridSpan w:val="2"/>
            <w:vAlign w:val="center"/>
          </w:tcPr>
          <w:p>
            <w:pPr>
              <w:autoSpaceDE w:val="0"/>
              <w:autoSpaceDN w:val="0"/>
              <w:adjustRightInd w:val="0"/>
              <w:spacing w:line="420" w:lineRule="exact"/>
              <w:jc w:val="center"/>
              <w:rPr>
                <w:rFonts w:ascii="宋体" w:hAnsi="宋体" w:cs="楷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33"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成立时间</w:t>
            </w:r>
          </w:p>
        </w:tc>
        <w:tc>
          <w:tcPr>
            <w:tcW w:w="3437"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4030" w:type="dxa"/>
            <w:gridSpan w:val="5"/>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1933"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企业资质等级</w:t>
            </w:r>
          </w:p>
        </w:tc>
        <w:tc>
          <w:tcPr>
            <w:tcW w:w="3437"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116" w:type="dxa"/>
            <w:vMerge w:val="restart"/>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其中</w:t>
            </w:r>
          </w:p>
        </w:tc>
        <w:tc>
          <w:tcPr>
            <w:tcW w:w="1890"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项目负责人</w:t>
            </w:r>
          </w:p>
        </w:tc>
        <w:tc>
          <w:tcPr>
            <w:tcW w:w="1024" w:type="dxa"/>
            <w:vAlign w:val="center"/>
          </w:tcPr>
          <w:p>
            <w:pPr>
              <w:autoSpaceDE w:val="0"/>
              <w:autoSpaceDN w:val="0"/>
              <w:adjustRightInd w:val="0"/>
              <w:spacing w:line="420" w:lineRule="exact"/>
              <w:jc w:val="center"/>
              <w:rPr>
                <w:rFonts w:ascii="宋体" w:hAnsi="宋体" w:cs="楷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营业执照号</w:t>
            </w:r>
          </w:p>
        </w:tc>
        <w:tc>
          <w:tcPr>
            <w:tcW w:w="3437"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116" w:type="dxa"/>
            <w:vMerge w:val="continue"/>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890"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高级职称人员</w:t>
            </w:r>
          </w:p>
        </w:tc>
        <w:tc>
          <w:tcPr>
            <w:tcW w:w="1024" w:type="dxa"/>
            <w:vAlign w:val="center"/>
          </w:tcPr>
          <w:p>
            <w:pPr>
              <w:autoSpaceDE w:val="0"/>
              <w:autoSpaceDN w:val="0"/>
              <w:adjustRightInd w:val="0"/>
              <w:spacing w:line="420" w:lineRule="exact"/>
              <w:jc w:val="center"/>
              <w:rPr>
                <w:rFonts w:ascii="宋体" w:hAnsi="宋体" w:cs="楷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注册资金</w:t>
            </w:r>
          </w:p>
        </w:tc>
        <w:tc>
          <w:tcPr>
            <w:tcW w:w="3437"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116" w:type="dxa"/>
            <w:vMerge w:val="continue"/>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890"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中级职称人员</w:t>
            </w:r>
          </w:p>
        </w:tc>
        <w:tc>
          <w:tcPr>
            <w:tcW w:w="1024" w:type="dxa"/>
            <w:vAlign w:val="center"/>
          </w:tcPr>
          <w:p>
            <w:pPr>
              <w:autoSpaceDE w:val="0"/>
              <w:autoSpaceDN w:val="0"/>
              <w:adjustRightInd w:val="0"/>
              <w:spacing w:line="420" w:lineRule="exact"/>
              <w:jc w:val="center"/>
              <w:rPr>
                <w:rFonts w:ascii="宋体" w:hAnsi="宋体" w:cs="楷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933"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开户银行</w:t>
            </w:r>
          </w:p>
        </w:tc>
        <w:tc>
          <w:tcPr>
            <w:tcW w:w="3437"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116" w:type="dxa"/>
            <w:vMerge w:val="continue"/>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890"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初级职称人员</w:t>
            </w:r>
          </w:p>
        </w:tc>
        <w:tc>
          <w:tcPr>
            <w:tcW w:w="1024" w:type="dxa"/>
            <w:vAlign w:val="center"/>
          </w:tcPr>
          <w:p>
            <w:pPr>
              <w:autoSpaceDE w:val="0"/>
              <w:autoSpaceDN w:val="0"/>
              <w:adjustRightInd w:val="0"/>
              <w:spacing w:line="420" w:lineRule="exact"/>
              <w:jc w:val="center"/>
              <w:rPr>
                <w:rFonts w:ascii="宋体" w:hAnsi="宋体" w:cs="楷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933"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账号</w:t>
            </w:r>
          </w:p>
        </w:tc>
        <w:tc>
          <w:tcPr>
            <w:tcW w:w="3437"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116" w:type="dxa"/>
            <w:vMerge w:val="continue"/>
            <w:vAlign w:val="center"/>
          </w:tcPr>
          <w:p>
            <w:pPr>
              <w:autoSpaceDE w:val="0"/>
              <w:autoSpaceDN w:val="0"/>
              <w:adjustRightInd w:val="0"/>
              <w:spacing w:line="420" w:lineRule="exact"/>
              <w:jc w:val="center"/>
              <w:rPr>
                <w:rFonts w:ascii="宋体" w:hAnsi="宋体" w:cs="楷体"/>
                <w:color w:val="000000"/>
                <w:kern w:val="0"/>
                <w:sz w:val="24"/>
                <w:highlight w:val="none"/>
              </w:rPr>
            </w:pPr>
          </w:p>
        </w:tc>
        <w:tc>
          <w:tcPr>
            <w:tcW w:w="1890" w:type="dxa"/>
            <w:gridSpan w:val="3"/>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技工</w:t>
            </w:r>
          </w:p>
        </w:tc>
        <w:tc>
          <w:tcPr>
            <w:tcW w:w="1024" w:type="dxa"/>
            <w:vAlign w:val="center"/>
          </w:tcPr>
          <w:p>
            <w:pPr>
              <w:autoSpaceDE w:val="0"/>
              <w:autoSpaceDN w:val="0"/>
              <w:adjustRightInd w:val="0"/>
              <w:spacing w:line="420" w:lineRule="exact"/>
              <w:jc w:val="center"/>
              <w:rPr>
                <w:rFonts w:ascii="宋体" w:hAnsi="宋体" w:cs="楷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1933"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经营范围</w:t>
            </w:r>
          </w:p>
        </w:tc>
        <w:tc>
          <w:tcPr>
            <w:tcW w:w="7467" w:type="dxa"/>
            <w:gridSpan w:val="8"/>
            <w:vAlign w:val="center"/>
          </w:tcPr>
          <w:p>
            <w:pPr>
              <w:autoSpaceDE w:val="0"/>
              <w:autoSpaceDN w:val="0"/>
              <w:adjustRightInd w:val="0"/>
              <w:spacing w:line="420" w:lineRule="exact"/>
              <w:jc w:val="center"/>
              <w:rPr>
                <w:rFonts w:ascii="宋体" w:hAnsi="宋体" w:cs="楷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33" w:type="dxa"/>
            <w:vAlign w:val="center"/>
          </w:tcPr>
          <w:p>
            <w:pPr>
              <w:autoSpaceDE w:val="0"/>
              <w:autoSpaceDN w:val="0"/>
              <w:adjustRightInd w:val="0"/>
              <w:spacing w:line="420" w:lineRule="exact"/>
              <w:jc w:val="center"/>
              <w:rPr>
                <w:rFonts w:ascii="宋体" w:hAnsi="宋体" w:cs="楷体"/>
                <w:color w:val="000000"/>
                <w:kern w:val="0"/>
                <w:sz w:val="24"/>
                <w:highlight w:val="none"/>
              </w:rPr>
            </w:pPr>
            <w:r>
              <w:rPr>
                <w:rFonts w:hint="eastAsia" w:ascii="宋体" w:hAnsi="宋体" w:cs="楷体"/>
                <w:color w:val="000000"/>
                <w:kern w:val="0"/>
                <w:sz w:val="24"/>
                <w:highlight w:val="none"/>
              </w:rPr>
              <w:t>备注</w:t>
            </w:r>
          </w:p>
        </w:tc>
        <w:tc>
          <w:tcPr>
            <w:tcW w:w="7467" w:type="dxa"/>
            <w:gridSpan w:val="8"/>
            <w:vAlign w:val="center"/>
          </w:tcPr>
          <w:p>
            <w:pPr>
              <w:autoSpaceDE w:val="0"/>
              <w:autoSpaceDN w:val="0"/>
              <w:adjustRightInd w:val="0"/>
              <w:spacing w:line="420" w:lineRule="exact"/>
              <w:jc w:val="center"/>
              <w:rPr>
                <w:rFonts w:ascii="宋体" w:hAnsi="宋体" w:cs="楷体"/>
                <w:color w:val="000000"/>
                <w:kern w:val="0"/>
                <w:sz w:val="24"/>
                <w:highlight w:val="none"/>
              </w:rPr>
            </w:pPr>
          </w:p>
        </w:tc>
      </w:tr>
    </w:tbl>
    <w:p>
      <w:pPr>
        <w:numPr>
          <w:ilvl w:val="0"/>
          <w:numId w:val="3"/>
        </w:numPr>
        <w:jc w:val="center"/>
        <w:rPr>
          <w:rFonts w:eastAsia="黑体"/>
          <w:sz w:val="20"/>
          <w:highlight w:val="none"/>
        </w:rPr>
      </w:pPr>
      <w:r>
        <w:rPr>
          <w:rFonts w:ascii="宋体" w:hAnsi="宋体" w:cs="宋体"/>
          <w:kern w:val="0"/>
          <w:sz w:val="28"/>
          <w:szCs w:val="28"/>
          <w:highlight w:val="none"/>
        </w:rPr>
        <w:br w:type="page"/>
      </w:r>
    </w:p>
    <w:p>
      <w:pPr>
        <w:widowControl/>
        <w:jc w:val="center"/>
        <w:rPr>
          <w:rFonts w:ascii="宋体" w:hAnsi="宋体"/>
          <w:b/>
          <w:bCs/>
          <w:color w:val="000000"/>
          <w:sz w:val="28"/>
          <w:szCs w:val="28"/>
          <w:highlight w:val="none"/>
        </w:rPr>
      </w:pPr>
      <w:bookmarkStart w:id="212" w:name="_Toc246997117"/>
      <w:bookmarkStart w:id="213" w:name="_Toc247085892"/>
      <w:bookmarkStart w:id="214" w:name="_Toc246996374"/>
      <w:bookmarkStart w:id="215" w:name="_Toc296602622"/>
      <w:r>
        <w:rPr>
          <w:rFonts w:hint="eastAsia" w:ascii="宋体" w:hAnsi="宋体"/>
          <w:b/>
          <w:bCs/>
          <w:color w:val="000000"/>
          <w:sz w:val="28"/>
          <w:szCs w:val="28"/>
          <w:highlight w:val="none"/>
        </w:rPr>
        <w:t>（二）其他资格审查资料</w:t>
      </w:r>
      <w:bookmarkEnd w:id="212"/>
      <w:bookmarkEnd w:id="213"/>
      <w:bookmarkEnd w:id="214"/>
      <w:bookmarkEnd w:id="215"/>
    </w:p>
    <w:p>
      <w:pPr>
        <w:spacing w:line="460" w:lineRule="exact"/>
        <w:ind w:firstLine="480" w:firstLineChars="2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响应人必须符合《中华人民共和国政府采购法》第二十二条的规定并同时具备下列条件：</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1、响应人具有独立法人资格，具有合法有效的营业执照、税务登记证、组织机构代码证（三证合一的仅提供营业执照、事业单位需提供事业单位法人证书）；</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2、响应人具有</w:t>
      </w:r>
      <w:r>
        <w:rPr>
          <w:rFonts w:hint="eastAsia" w:ascii="黑体" w:hAnsi="黑体" w:eastAsia="黑体" w:cs="黑体"/>
          <w:b w:val="0"/>
          <w:bCs w:val="0"/>
          <w:sz w:val="24"/>
          <w:highlight w:val="none"/>
        </w:rPr>
        <w:t>测绘地理信息行政主管部门颁发的测绘乙级及以上资质证书</w:t>
      </w:r>
      <w:r>
        <w:rPr>
          <w:rFonts w:hint="eastAsia" w:ascii="黑体" w:hAnsi="黑体" w:eastAsia="黑体" w:cs="黑体"/>
          <w:b w:val="0"/>
          <w:bCs w:val="0"/>
          <w:sz w:val="24"/>
          <w:szCs w:val="24"/>
          <w:highlight w:val="none"/>
        </w:rPr>
        <w:t>；</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rPr>
        <w:t>3、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w:t>
      </w:r>
      <w:r>
        <w:rPr>
          <w:rFonts w:hint="eastAsia" w:ascii="黑体" w:hAnsi="黑体" w:eastAsia="黑体" w:cs="黑体"/>
          <w:b w:val="0"/>
          <w:bCs w:val="0"/>
          <w:sz w:val="24"/>
          <w:highlight w:val="none"/>
        </w:rPr>
        <w:t>【失信被执行人、税收违法黑名单或重大税收违法失信主体查询渠道：“信用中国”网站www.creditchina.gov.cn、政府采购严重违法失信行为记录名单查询渠道：中国政府采购网（www.ccgp.gov.cn）】提供查询结果截图</w:t>
      </w:r>
      <w:r>
        <w:rPr>
          <w:rFonts w:hint="eastAsia" w:ascii="黑体" w:hAnsi="黑体" w:eastAsia="黑体" w:cs="黑体"/>
          <w:b w:val="0"/>
          <w:bCs w:val="0"/>
          <w:sz w:val="24"/>
          <w:szCs w:val="24"/>
          <w:highlight w:val="none"/>
          <w:lang w:val="en-US" w:eastAsia="zh-CN"/>
        </w:rPr>
        <w:t>，查询时间自公告发布之日起；</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4、供应商具有良好的商业信誉和健全的财务会计制度：（</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需提供具有良好的商业信誉和健全的财务会计制度承诺书，落款时间为磋商公告发出时间之日起）</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5、有依法缴纳税收和社会保障资金的良好记录：（</w:t>
      </w:r>
      <w:r>
        <w:rPr>
          <w:rFonts w:hint="eastAsia" w:ascii="黑体" w:hAnsi="黑体" w:eastAsia="黑体" w:cs="黑体"/>
          <w:b w:val="0"/>
          <w:bCs w:val="0"/>
          <w:sz w:val="24"/>
          <w:szCs w:val="24"/>
          <w:highlight w:val="none"/>
        </w:rPr>
        <w:t>响应人</w:t>
      </w:r>
      <w:r>
        <w:rPr>
          <w:rFonts w:hint="eastAsia" w:ascii="黑体" w:hAnsi="黑体" w:eastAsia="黑体" w:cs="黑体"/>
          <w:b w:val="0"/>
          <w:bCs w:val="0"/>
          <w:sz w:val="24"/>
          <w:szCs w:val="24"/>
          <w:highlight w:val="none"/>
          <w:lang w:val="en-US" w:eastAsia="zh-CN"/>
        </w:rPr>
        <w:t>需提供具有依法缴纳税收和社会保障资金的良好记录承诺书，落款时间为磋商公告发出时间之日起字）</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6、企业出具无商业贿赂和不正当竞争行为承诺书；（格式自拟）</w:t>
      </w:r>
    </w:p>
    <w:p>
      <w:pPr>
        <w:spacing w:line="480" w:lineRule="exact"/>
        <w:ind w:right="-92" w:rightChars="-44" w:firstLine="480" w:firstLineChars="200"/>
        <w:jc w:val="left"/>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7、企业出具无行贿犯罪记录在中国裁判文书网自行查询或自行承诺（查询对象为企业、法定代表人）；</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lang w:val="en-US" w:eastAsia="zh-CN"/>
        </w:rPr>
        <w:t>8</w:t>
      </w:r>
      <w:r>
        <w:rPr>
          <w:rFonts w:hint="eastAsia" w:ascii="黑体" w:hAnsi="黑体" w:eastAsia="黑体" w:cs="黑体"/>
          <w:b w:val="0"/>
          <w:bCs w:val="0"/>
          <w:sz w:val="24"/>
          <w:szCs w:val="24"/>
          <w:highlight w:val="none"/>
        </w:rPr>
        <w:t>、本项目不接受联合体磋商；</w:t>
      </w:r>
    </w:p>
    <w:p>
      <w:pPr>
        <w:spacing w:line="480" w:lineRule="exact"/>
        <w:ind w:right="-92" w:rightChars="-44" w:firstLine="480" w:firstLineChars="200"/>
        <w:jc w:val="left"/>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lang w:val="en-US" w:eastAsia="zh-CN"/>
        </w:rPr>
        <w:t>9</w:t>
      </w:r>
      <w:r>
        <w:rPr>
          <w:rFonts w:hint="eastAsia" w:ascii="黑体" w:hAnsi="黑体" w:eastAsia="黑体" w:cs="黑体"/>
          <w:b w:val="0"/>
          <w:bCs w:val="0"/>
          <w:sz w:val="24"/>
          <w:szCs w:val="24"/>
          <w:highlight w:val="none"/>
        </w:rPr>
        <w:t>、本次招标实行资格后审，资格审查的具体要求见磋商文件。</w:t>
      </w:r>
    </w:p>
    <w:p>
      <w:pPr>
        <w:rPr>
          <w:highlight w:val="none"/>
        </w:rPr>
      </w:pPr>
    </w:p>
    <w:p>
      <w:pPr>
        <w:rPr>
          <w:rFonts w:ascii="宋体" w:hAnsi="宋体"/>
          <w:b/>
          <w:bCs/>
          <w:color w:val="000000"/>
          <w:sz w:val="28"/>
          <w:szCs w:val="28"/>
          <w:highlight w:val="none"/>
        </w:rPr>
      </w:pPr>
      <w:r>
        <w:rPr>
          <w:rFonts w:hint="eastAsia" w:ascii="宋体" w:hAnsi="宋体"/>
          <w:b/>
          <w:bCs/>
          <w:color w:val="000000"/>
          <w:sz w:val="28"/>
          <w:szCs w:val="28"/>
          <w:highlight w:val="none"/>
        </w:rPr>
        <w:br w:type="page"/>
      </w:r>
    </w:p>
    <w:p>
      <w:pPr>
        <w:widowControl/>
        <w:jc w:val="center"/>
        <w:rPr>
          <w:rFonts w:ascii="宋体" w:hAnsi="宋体"/>
          <w:b/>
          <w:bCs/>
          <w:color w:val="000000"/>
          <w:sz w:val="28"/>
          <w:szCs w:val="28"/>
          <w:highlight w:val="none"/>
        </w:rPr>
      </w:pPr>
      <w:bookmarkStart w:id="216" w:name="_Toc2810"/>
      <w:r>
        <w:rPr>
          <w:rFonts w:hint="eastAsia" w:ascii="宋体" w:hAnsi="宋体"/>
          <w:b/>
          <w:bCs/>
          <w:color w:val="000000"/>
          <w:sz w:val="28"/>
          <w:szCs w:val="28"/>
          <w:highlight w:val="none"/>
        </w:rPr>
        <w:t>（</w:t>
      </w:r>
      <w:r>
        <w:rPr>
          <w:rFonts w:hint="eastAsia" w:ascii="宋体" w:hAnsi="宋体"/>
          <w:b/>
          <w:bCs/>
          <w:color w:val="000000"/>
          <w:sz w:val="28"/>
          <w:szCs w:val="28"/>
          <w:highlight w:val="none"/>
          <w:lang w:val="en-US" w:eastAsia="zh-CN"/>
        </w:rPr>
        <w:t>三</w:t>
      </w:r>
      <w:r>
        <w:rPr>
          <w:rFonts w:hint="eastAsia" w:ascii="宋体" w:hAnsi="宋体"/>
          <w:b/>
          <w:bCs/>
          <w:color w:val="000000"/>
          <w:sz w:val="28"/>
          <w:szCs w:val="28"/>
          <w:highlight w:val="none"/>
        </w:rPr>
        <w:t>）近年发生的诉讼和仲裁情况（2020年1月1日至今）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说明：近年发生的诉讼和仲裁情况仅限于供应商败诉的，且与履行承包合同有关的案件，不包括调解结案以及未裁决的仲裁或未终审判决的诉讼。</w:t>
      </w:r>
    </w:p>
    <w:p>
      <w:pPr>
        <w:tabs>
          <w:tab w:val="left" w:pos="1680"/>
        </w:tabs>
        <w:ind w:firstLine="1140"/>
        <w:rPr>
          <w:rFonts w:ascii="宋体" w:hAnsi="宋体" w:cs="宋体"/>
          <w:sz w:val="24"/>
          <w:highlight w:val="none"/>
        </w:rPr>
      </w:pPr>
    </w:p>
    <w:p>
      <w:pPr>
        <w:rPr>
          <w:rFonts w:ascii="宋体" w:hAnsi="宋体" w:cs="宋体"/>
          <w:highlight w:val="none"/>
        </w:rPr>
      </w:pPr>
      <w:r>
        <w:rPr>
          <w:rFonts w:hint="eastAsia" w:ascii="宋体" w:hAnsi="宋体" w:cs="宋体"/>
          <w:highlight w:val="none"/>
        </w:rPr>
        <w:br w:type="page"/>
      </w:r>
    </w:p>
    <w:p>
      <w:pPr>
        <w:jc w:val="center"/>
        <w:outlineLvl w:val="0"/>
        <w:rPr>
          <w:rFonts w:ascii="宋体" w:hAnsi="宋体"/>
          <w:b/>
          <w:color w:val="000000"/>
          <w:sz w:val="28"/>
          <w:szCs w:val="28"/>
          <w:highlight w:val="none"/>
        </w:rPr>
      </w:pPr>
      <w:bookmarkStart w:id="217" w:name="_Toc9122"/>
      <w:r>
        <w:rPr>
          <w:rFonts w:hint="eastAsia" w:ascii="宋体" w:hAnsi="宋体"/>
          <w:b/>
          <w:color w:val="000000"/>
          <w:sz w:val="28"/>
          <w:szCs w:val="28"/>
          <w:highlight w:val="none"/>
        </w:rPr>
        <w:t>六、项目管理机构</w:t>
      </w:r>
      <w:bookmarkEnd w:id="216"/>
      <w:bookmarkEnd w:id="217"/>
    </w:p>
    <w:p>
      <w:pPr>
        <w:autoSpaceDE w:val="0"/>
        <w:autoSpaceDN w:val="0"/>
        <w:adjustRightInd w:val="0"/>
        <w:spacing w:line="360" w:lineRule="auto"/>
        <w:jc w:val="center"/>
        <w:rPr>
          <w:rFonts w:ascii="宋体" w:hAnsi="宋体" w:cs="宋体"/>
          <w:kern w:val="0"/>
          <w:sz w:val="24"/>
          <w:highlight w:val="none"/>
        </w:rPr>
      </w:pPr>
      <w:bookmarkStart w:id="218" w:name="_Toc25413"/>
      <w:r>
        <w:rPr>
          <w:rFonts w:hint="eastAsia" w:ascii="宋体" w:hAnsi="宋体" w:cs="宋体"/>
          <w:kern w:val="0"/>
          <w:sz w:val="28"/>
          <w:szCs w:val="28"/>
          <w:highlight w:val="none"/>
        </w:rPr>
        <w:t>项目管理机构组成表</w:t>
      </w:r>
      <w:bookmarkEnd w:id="218"/>
    </w:p>
    <w:tbl>
      <w:tblPr>
        <w:tblStyle w:val="21"/>
        <w:tblW w:w="93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830"/>
        <w:gridCol w:w="924"/>
        <w:gridCol w:w="1499"/>
        <w:gridCol w:w="1100"/>
        <w:gridCol w:w="1016"/>
        <w:gridCol w:w="1534"/>
        <w:gridCol w:w="14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007" w:type="dxa"/>
            <w:vMerge w:val="restart"/>
            <w:vAlign w:val="center"/>
          </w:tcPr>
          <w:p>
            <w:pPr>
              <w:autoSpaceDE w:val="0"/>
              <w:autoSpaceDN w:val="0"/>
              <w:adjustRightInd w:val="0"/>
              <w:spacing w:line="360" w:lineRule="auto"/>
              <w:jc w:val="center"/>
              <w:rPr>
                <w:rFonts w:ascii="宋体" w:hAnsi="宋体" w:cs="宋体"/>
                <w:kern w:val="0"/>
                <w:sz w:val="24"/>
                <w:highlight w:val="none"/>
              </w:rPr>
            </w:pPr>
            <w:r>
              <w:rPr>
                <w:rFonts w:hint="eastAsia" w:ascii="宋体" w:hAnsi="宋体" w:cs="宋体"/>
                <w:kern w:val="0"/>
                <w:sz w:val="24"/>
                <w:highlight w:val="none"/>
              </w:rPr>
              <w:t>职务</w:t>
            </w:r>
          </w:p>
        </w:tc>
        <w:tc>
          <w:tcPr>
            <w:tcW w:w="830" w:type="dxa"/>
            <w:vMerge w:val="restart"/>
            <w:vAlign w:val="center"/>
          </w:tcPr>
          <w:p>
            <w:pPr>
              <w:autoSpaceDE w:val="0"/>
              <w:autoSpaceDN w:val="0"/>
              <w:adjustRightInd w:val="0"/>
              <w:spacing w:line="360" w:lineRule="auto"/>
              <w:jc w:val="center"/>
              <w:rPr>
                <w:rFonts w:ascii="宋体" w:hAnsi="宋体" w:cs="宋体"/>
                <w:kern w:val="0"/>
                <w:sz w:val="24"/>
                <w:highlight w:val="none"/>
              </w:rPr>
            </w:pPr>
            <w:r>
              <w:rPr>
                <w:rFonts w:hint="eastAsia" w:ascii="宋体" w:hAnsi="宋体" w:cs="宋体"/>
                <w:kern w:val="0"/>
                <w:sz w:val="24"/>
                <w:highlight w:val="none"/>
              </w:rPr>
              <w:t>姓名</w:t>
            </w:r>
          </w:p>
        </w:tc>
        <w:tc>
          <w:tcPr>
            <w:tcW w:w="924" w:type="dxa"/>
            <w:vMerge w:val="restart"/>
            <w:vAlign w:val="center"/>
          </w:tcPr>
          <w:p>
            <w:pPr>
              <w:autoSpaceDE w:val="0"/>
              <w:autoSpaceDN w:val="0"/>
              <w:adjustRightInd w:val="0"/>
              <w:spacing w:line="360" w:lineRule="auto"/>
              <w:jc w:val="center"/>
              <w:rPr>
                <w:rFonts w:ascii="宋体" w:hAnsi="宋体" w:cs="宋体"/>
                <w:kern w:val="0"/>
                <w:sz w:val="24"/>
                <w:highlight w:val="none"/>
              </w:rPr>
            </w:pPr>
            <w:r>
              <w:rPr>
                <w:rFonts w:hint="eastAsia" w:ascii="宋体" w:hAnsi="宋体" w:cs="宋体"/>
                <w:kern w:val="0"/>
                <w:sz w:val="24"/>
                <w:highlight w:val="none"/>
              </w:rPr>
              <w:t>职称</w:t>
            </w:r>
          </w:p>
        </w:tc>
        <w:tc>
          <w:tcPr>
            <w:tcW w:w="5149" w:type="dxa"/>
            <w:gridSpan w:val="4"/>
            <w:vAlign w:val="center"/>
          </w:tcPr>
          <w:p>
            <w:pPr>
              <w:autoSpaceDE w:val="0"/>
              <w:autoSpaceDN w:val="0"/>
              <w:adjustRightInd w:val="0"/>
              <w:spacing w:line="360" w:lineRule="auto"/>
              <w:jc w:val="center"/>
              <w:rPr>
                <w:rFonts w:ascii="宋体" w:hAnsi="宋体" w:cs="宋体"/>
                <w:kern w:val="0"/>
                <w:sz w:val="24"/>
                <w:highlight w:val="none"/>
              </w:rPr>
            </w:pPr>
            <w:r>
              <w:rPr>
                <w:rFonts w:hint="eastAsia" w:ascii="宋体" w:hAnsi="宋体" w:cs="宋体"/>
                <w:kern w:val="0"/>
                <w:sz w:val="24"/>
                <w:highlight w:val="none"/>
              </w:rPr>
              <w:t>执业或职业资格证明</w:t>
            </w:r>
          </w:p>
        </w:tc>
        <w:tc>
          <w:tcPr>
            <w:tcW w:w="1403" w:type="dxa"/>
            <w:vAlign w:val="center"/>
          </w:tcPr>
          <w:p>
            <w:pPr>
              <w:autoSpaceDE w:val="0"/>
              <w:autoSpaceDN w:val="0"/>
              <w:adjustRightInd w:val="0"/>
              <w:spacing w:line="360" w:lineRule="auto"/>
              <w:jc w:val="center"/>
              <w:rPr>
                <w:rFonts w:ascii="宋体" w:hAnsi="宋体" w:cs="宋体"/>
                <w:kern w:val="0"/>
                <w:sz w:val="24"/>
                <w:highlight w:val="none"/>
              </w:rPr>
            </w:pPr>
            <w:r>
              <w:rPr>
                <w:rFonts w:hint="eastAsia" w:ascii="宋体" w:hAnsi="宋体" w:cs="宋体"/>
                <w:kern w:val="0"/>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1007" w:type="dxa"/>
            <w:vMerge w:val="continue"/>
            <w:vAlign w:val="center"/>
          </w:tcPr>
          <w:p>
            <w:pPr>
              <w:autoSpaceDE w:val="0"/>
              <w:autoSpaceDN w:val="0"/>
              <w:adjustRightInd w:val="0"/>
              <w:spacing w:line="360" w:lineRule="auto"/>
              <w:jc w:val="center"/>
              <w:rPr>
                <w:rFonts w:ascii="宋体" w:hAnsi="宋体" w:cs="宋体"/>
                <w:kern w:val="0"/>
                <w:sz w:val="24"/>
                <w:highlight w:val="none"/>
              </w:rPr>
            </w:pPr>
          </w:p>
        </w:tc>
        <w:tc>
          <w:tcPr>
            <w:tcW w:w="830" w:type="dxa"/>
            <w:vMerge w:val="continue"/>
            <w:vAlign w:val="center"/>
          </w:tcPr>
          <w:p>
            <w:pPr>
              <w:autoSpaceDE w:val="0"/>
              <w:autoSpaceDN w:val="0"/>
              <w:adjustRightInd w:val="0"/>
              <w:spacing w:line="360" w:lineRule="auto"/>
              <w:jc w:val="center"/>
              <w:rPr>
                <w:rFonts w:ascii="宋体" w:hAnsi="宋体" w:cs="宋体"/>
                <w:kern w:val="0"/>
                <w:sz w:val="24"/>
                <w:highlight w:val="none"/>
              </w:rPr>
            </w:pPr>
          </w:p>
        </w:tc>
        <w:tc>
          <w:tcPr>
            <w:tcW w:w="924" w:type="dxa"/>
            <w:vMerge w:val="continue"/>
            <w:vAlign w:val="center"/>
          </w:tcPr>
          <w:p>
            <w:pPr>
              <w:autoSpaceDE w:val="0"/>
              <w:autoSpaceDN w:val="0"/>
              <w:adjustRightInd w:val="0"/>
              <w:spacing w:line="360" w:lineRule="auto"/>
              <w:jc w:val="center"/>
              <w:rPr>
                <w:rFonts w:ascii="宋体" w:hAnsi="宋体" w:cs="宋体"/>
                <w:kern w:val="0"/>
                <w:sz w:val="24"/>
                <w:highlight w:val="none"/>
              </w:rPr>
            </w:pPr>
          </w:p>
        </w:tc>
        <w:tc>
          <w:tcPr>
            <w:tcW w:w="1499" w:type="dxa"/>
            <w:vAlign w:val="center"/>
          </w:tcPr>
          <w:p>
            <w:pPr>
              <w:autoSpaceDE w:val="0"/>
              <w:autoSpaceDN w:val="0"/>
              <w:adjustRightInd w:val="0"/>
              <w:spacing w:line="360" w:lineRule="auto"/>
              <w:jc w:val="center"/>
              <w:rPr>
                <w:rFonts w:ascii="宋体" w:hAnsi="宋体" w:cs="宋体"/>
                <w:kern w:val="0"/>
                <w:sz w:val="24"/>
                <w:highlight w:val="none"/>
              </w:rPr>
            </w:pPr>
            <w:r>
              <w:rPr>
                <w:rFonts w:hint="eastAsia" w:ascii="宋体" w:hAnsi="宋体" w:cs="宋体"/>
                <w:kern w:val="0"/>
                <w:sz w:val="24"/>
                <w:highlight w:val="none"/>
              </w:rPr>
              <w:t>证书名称</w:t>
            </w:r>
          </w:p>
        </w:tc>
        <w:tc>
          <w:tcPr>
            <w:tcW w:w="1100" w:type="dxa"/>
            <w:vAlign w:val="center"/>
          </w:tcPr>
          <w:p>
            <w:pPr>
              <w:autoSpaceDE w:val="0"/>
              <w:autoSpaceDN w:val="0"/>
              <w:adjustRightInd w:val="0"/>
              <w:spacing w:line="360" w:lineRule="auto"/>
              <w:jc w:val="center"/>
              <w:rPr>
                <w:rFonts w:ascii="宋体" w:hAnsi="宋体" w:cs="宋体"/>
                <w:kern w:val="0"/>
                <w:sz w:val="24"/>
                <w:highlight w:val="none"/>
              </w:rPr>
            </w:pPr>
            <w:r>
              <w:rPr>
                <w:rFonts w:hint="eastAsia" w:ascii="宋体" w:hAnsi="宋体" w:cs="宋体"/>
                <w:kern w:val="0"/>
                <w:sz w:val="24"/>
                <w:highlight w:val="none"/>
              </w:rPr>
              <w:t>级别</w:t>
            </w:r>
          </w:p>
        </w:tc>
        <w:tc>
          <w:tcPr>
            <w:tcW w:w="1016" w:type="dxa"/>
            <w:vAlign w:val="center"/>
          </w:tcPr>
          <w:p>
            <w:pPr>
              <w:autoSpaceDE w:val="0"/>
              <w:autoSpaceDN w:val="0"/>
              <w:adjustRightInd w:val="0"/>
              <w:spacing w:line="360" w:lineRule="auto"/>
              <w:jc w:val="center"/>
              <w:rPr>
                <w:rFonts w:ascii="宋体" w:hAnsi="宋体" w:cs="宋体"/>
                <w:kern w:val="0"/>
                <w:sz w:val="24"/>
                <w:highlight w:val="none"/>
              </w:rPr>
            </w:pPr>
            <w:r>
              <w:rPr>
                <w:rFonts w:hint="eastAsia" w:ascii="宋体" w:hAnsi="宋体" w:cs="宋体"/>
                <w:kern w:val="0"/>
                <w:sz w:val="24"/>
                <w:highlight w:val="none"/>
              </w:rPr>
              <w:t>证号</w:t>
            </w:r>
          </w:p>
        </w:tc>
        <w:tc>
          <w:tcPr>
            <w:tcW w:w="1534" w:type="dxa"/>
            <w:vAlign w:val="center"/>
          </w:tcPr>
          <w:p>
            <w:pPr>
              <w:autoSpaceDE w:val="0"/>
              <w:autoSpaceDN w:val="0"/>
              <w:adjustRightInd w:val="0"/>
              <w:spacing w:line="360" w:lineRule="auto"/>
              <w:jc w:val="center"/>
              <w:rPr>
                <w:rFonts w:ascii="宋体" w:hAnsi="宋体" w:cs="宋体"/>
                <w:kern w:val="0"/>
                <w:sz w:val="24"/>
                <w:highlight w:val="none"/>
              </w:rPr>
            </w:pPr>
            <w:r>
              <w:rPr>
                <w:rFonts w:hint="eastAsia" w:ascii="宋体" w:hAnsi="宋体" w:cs="宋体"/>
                <w:kern w:val="0"/>
                <w:sz w:val="24"/>
                <w:highlight w:val="none"/>
              </w:rPr>
              <w:t>专业</w:t>
            </w:r>
          </w:p>
        </w:tc>
        <w:tc>
          <w:tcPr>
            <w:tcW w:w="1403" w:type="dxa"/>
            <w:vAlign w:val="center"/>
          </w:tcPr>
          <w:p>
            <w:pPr>
              <w:autoSpaceDE w:val="0"/>
              <w:autoSpaceDN w:val="0"/>
              <w:adjustRightInd w:val="0"/>
              <w:spacing w:line="360" w:lineRule="auto"/>
              <w:jc w:val="center"/>
              <w:rPr>
                <w:rFonts w:ascii="宋体" w:hAnsi="宋体" w:cs="宋体"/>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07" w:type="dxa"/>
            <w:vAlign w:val="center"/>
          </w:tcPr>
          <w:p>
            <w:pPr>
              <w:autoSpaceDE w:val="0"/>
              <w:autoSpaceDN w:val="0"/>
              <w:adjustRightInd w:val="0"/>
              <w:spacing w:line="360" w:lineRule="auto"/>
              <w:jc w:val="center"/>
              <w:rPr>
                <w:rFonts w:ascii="宋体" w:hAnsi="宋体" w:cs="宋体"/>
                <w:kern w:val="0"/>
                <w:sz w:val="24"/>
                <w:highlight w:val="none"/>
              </w:rPr>
            </w:pPr>
          </w:p>
        </w:tc>
        <w:tc>
          <w:tcPr>
            <w:tcW w:w="830" w:type="dxa"/>
            <w:vAlign w:val="center"/>
          </w:tcPr>
          <w:p>
            <w:pPr>
              <w:autoSpaceDE w:val="0"/>
              <w:autoSpaceDN w:val="0"/>
              <w:adjustRightInd w:val="0"/>
              <w:spacing w:line="360" w:lineRule="auto"/>
              <w:jc w:val="center"/>
              <w:rPr>
                <w:rFonts w:ascii="宋体" w:hAnsi="宋体" w:cs="宋体"/>
                <w:kern w:val="0"/>
                <w:sz w:val="24"/>
                <w:highlight w:val="none"/>
              </w:rPr>
            </w:pPr>
          </w:p>
        </w:tc>
        <w:tc>
          <w:tcPr>
            <w:tcW w:w="924" w:type="dxa"/>
            <w:vAlign w:val="center"/>
          </w:tcPr>
          <w:p>
            <w:pPr>
              <w:autoSpaceDE w:val="0"/>
              <w:autoSpaceDN w:val="0"/>
              <w:adjustRightInd w:val="0"/>
              <w:spacing w:line="360" w:lineRule="auto"/>
              <w:jc w:val="center"/>
              <w:rPr>
                <w:rFonts w:ascii="宋体" w:hAnsi="宋体" w:cs="宋体"/>
                <w:kern w:val="0"/>
                <w:sz w:val="24"/>
                <w:highlight w:val="none"/>
              </w:rPr>
            </w:pPr>
          </w:p>
        </w:tc>
        <w:tc>
          <w:tcPr>
            <w:tcW w:w="1499" w:type="dxa"/>
            <w:vAlign w:val="center"/>
          </w:tcPr>
          <w:p>
            <w:pPr>
              <w:autoSpaceDE w:val="0"/>
              <w:autoSpaceDN w:val="0"/>
              <w:adjustRightInd w:val="0"/>
              <w:spacing w:line="360" w:lineRule="auto"/>
              <w:jc w:val="center"/>
              <w:rPr>
                <w:rFonts w:ascii="宋体" w:hAnsi="宋体" w:cs="宋体"/>
                <w:kern w:val="0"/>
                <w:sz w:val="24"/>
                <w:highlight w:val="none"/>
              </w:rPr>
            </w:pPr>
          </w:p>
        </w:tc>
        <w:tc>
          <w:tcPr>
            <w:tcW w:w="1100" w:type="dxa"/>
            <w:vAlign w:val="center"/>
          </w:tcPr>
          <w:p>
            <w:pPr>
              <w:autoSpaceDE w:val="0"/>
              <w:autoSpaceDN w:val="0"/>
              <w:adjustRightInd w:val="0"/>
              <w:spacing w:line="360" w:lineRule="auto"/>
              <w:jc w:val="center"/>
              <w:rPr>
                <w:rFonts w:ascii="宋体" w:hAnsi="宋体" w:cs="宋体"/>
                <w:kern w:val="0"/>
                <w:sz w:val="24"/>
                <w:highlight w:val="none"/>
              </w:rPr>
            </w:pPr>
          </w:p>
        </w:tc>
        <w:tc>
          <w:tcPr>
            <w:tcW w:w="1016" w:type="dxa"/>
            <w:vAlign w:val="center"/>
          </w:tcPr>
          <w:p>
            <w:pPr>
              <w:autoSpaceDE w:val="0"/>
              <w:autoSpaceDN w:val="0"/>
              <w:adjustRightInd w:val="0"/>
              <w:spacing w:line="360" w:lineRule="auto"/>
              <w:jc w:val="center"/>
              <w:rPr>
                <w:rFonts w:ascii="宋体" w:hAnsi="宋体" w:cs="宋体"/>
                <w:kern w:val="0"/>
                <w:sz w:val="24"/>
                <w:highlight w:val="none"/>
              </w:rPr>
            </w:pPr>
          </w:p>
        </w:tc>
        <w:tc>
          <w:tcPr>
            <w:tcW w:w="1534" w:type="dxa"/>
            <w:vAlign w:val="center"/>
          </w:tcPr>
          <w:p>
            <w:pPr>
              <w:autoSpaceDE w:val="0"/>
              <w:autoSpaceDN w:val="0"/>
              <w:adjustRightInd w:val="0"/>
              <w:spacing w:line="360" w:lineRule="auto"/>
              <w:jc w:val="center"/>
              <w:rPr>
                <w:rFonts w:ascii="宋体" w:hAnsi="宋体" w:cs="宋体"/>
                <w:kern w:val="0"/>
                <w:sz w:val="24"/>
                <w:highlight w:val="none"/>
              </w:rPr>
            </w:pPr>
          </w:p>
        </w:tc>
        <w:tc>
          <w:tcPr>
            <w:tcW w:w="1403" w:type="dxa"/>
            <w:vAlign w:val="center"/>
          </w:tcPr>
          <w:p>
            <w:pPr>
              <w:autoSpaceDE w:val="0"/>
              <w:autoSpaceDN w:val="0"/>
              <w:adjustRightInd w:val="0"/>
              <w:spacing w:line="360" w:lineRule="auto"/>
              <w:jc w:val="center"/>
              <w:rPr>
                <w:rFonts w:ascii="宋体" w:hAnsi="宋体" w:cs="宋体"/>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07" w:type="dxa"/>
            <w:vAlign w:val="center"/>
          </w:tcPr>
          <w:p>
            <w:pPr>
              <w:autoSpaceDE w:val="0"/>
              <w:autoSpaceDN w:val="0"/>
              <w:adjustRightInd w:val="0"/>
              <w:spacing w:line="360" w:lineRule="auto"/>
              <w:jc w:val="center"/>
              <w:rPr>
                <w:rFonts w:ascii="宋体" w:hAnsi="宋体" w:cs="宋体"/>
                <w:kern w:val="0"/>
                <w:sz w:val="24"/>
                <w:highlight w:val="none"/>
              </w:rPr>
            </w:pPr>
          </w:p>
        </w:tc>
        <w:tc>
          <w:tcPr>
            <w:tcW w:w="830" w:type="dxa"/>
            <w:vAlign w:val="center"/>
          </w:tcPr>
          <w:p>
            <w:pPr>
              <w:autoSpaceDE w:val="0"/>
              <w:autoSpaceDN w:val="0"/>
              <w:adjustRightInd w:val="0"/>
              <w:spacing w:line="360" w:lineRule="auto"/>
              <w:jc w:val="center"/>
              <w:rPr>
                <w:rFonts w:ascii="宋体" w:hAnsi="宋体" w:cs="宋体"/>
                <w:kern w:val="0"/>
                <w:sz w:val="24"/>
                <w:highlight w:val="none"/>
              </w:rPr>
            </w:pPr>
          </w:p>
        </w:tc>
        <w:tc>
          <w:tcPr>
            <w:tcW w:w="924" w:type="dxa"/>
            <w:vAlign w:val="center"/>
          </w:tcPr>
          <w:p>
            <w:pPr>
              <w:autoSpaceDE w:val="0"/>
              <w:autoSpaceDN w:val="0"/>
              <w:adjustRightInd w:val="0"/>
              <w:spacing w:line="360" w:lineRule="auto"/>
              <w:jc w:val="center"/>
              <w:rPr>
                <w:rFonts w:ascii="宋体" w:hAnsi="宋体" w:cs="宋体"/>
                <w:kern w:val="0"/>
                <w:sz w:val="24"/>
                <w:highlight w:val="none"/>
              </w:rPr>
            </w:pPr>
          </w:p>
        </w:tc>
        <w:tc>
          <w:tcPr>
            <w:tcW w:w="1499" w:type="dxa"/>
            <w:vAlign w:val="center"/>
          </w:tcPr>
          <w:p>
            <w:pPr>
              <w:autoSpaceDE w:val="0"/>
              <w:autoSpaceDN w:val="0"/>
              <w:adjustRightInd w:val="0"/>
              <w:spacing w:line="360" w:lineRule="auto"/>
              <w:jc w:val="center"/>
              <w:rPr>
                <w:rFonts w:ascii="宋体" w:hAnsi="宋体" w:cs="宋体"/>
                <w:kern w:val="0"/>
                <w:sz w:val="24"/>
                <w:highlight w:val="none"/>
              </w:rPr>
            </w:pPr>
          </w:p>
        </w:tc>
        <w:tc>
          <w:tcPr>
            <w:tcW w:w="1100" w:type="dxa"/>
            <w:vAlign w:val="center"/>
          </w:tcPr>
          <w:p>
            <w:pPr>
              <w:autoSpaceDE w:val="0"/>
              <w:autoSpaceDN w:val="0"/>
              <w:adjustRightInd w:val="0"/>
              <w:spacing w:line="360" w:lineRule="auto"/>
              <w:jc w:val="center"/>
              <w:rPr>
                <w:rFonts w:ascii="宋体" w:hAnsi="宋体" w:cs="宋体"/>
                <w:kern w:val="0"/>
                <w:sz w:val="24"/>
                <w:highlight w:val="none"/>
              </w:rPr>
            </w:pPr>
          </w:p>
        </w:tc>
        <w:tc>
          <w:tcPr>
            <w:tcW w:w="1016" w:type="dxa"/>
            <w:vAlign w:val="center"/>
          </w:tcPr>
          <w:p>
            <w:pPr>
              <w:autoSpaceDE w:val="0"/>
              <w:autoSpaceDN w:val="0"/>
              <w:adjustRightInd w:val="0"/>
              <w:spacing w:line="360" w:lineRule="auto"/>
              <w:jc w:val="center"/>
              <w:rPr>
                <w:rFonts w:ascii="宋体" w:hAnsi="宋体" w:cs="宋体"/>
                <w:kern w:val="0"/>
                <w:sz w:val="24"/>
                <w:highlight w:val="none"/>
              </w:rPr>
            </w:pPr>
          </w:p>
        </w:tc>
        <w:tc>
          <w:tcPr>
            <w:tcW w:w="1534" w:type="dxa"/>
            <w:vAlign w:val="center"/>
          </w:tcPr>
          <w:p>
            <w:pPr>
              <w:autoSpaceDE w:val="0"/>
              <w:autoSpaceDN w:val="0"/>
              <w:adjustRightInd w:val="0"/>
              <w:spacing w:line="360" w:lineRule="auto"/>
              <w:jc w:val="center"/>
              <w:rPr>
                <w:rFonts w:ascii="宋体" w:hAnsi="宋体" w:cs="宋体"/>
                <w:kern w:val="0"/>
                <w:sz w:val="24"/>
                <w:highlight w:val="none"/>
              </w:rPr>
            </w:pPr>
          </w:p>
        </w:tc>
        <w:tc>
          <w:tcPr>
            <w:tcW w:w="1403" w:type="dxa"/>
            <w:vAlign w:val="center"/>
          </w:tcPr>
          <w:p>
            <w:pPr>
              <w:autoSpaceDE w:val="0"/>
              <w:autoSpaceDN w:val="0"/>
              <w:adjustRightInd w:val="0"/>
              <w:spacing w:line="360" w:lineRule="auto"/>
              <w:jc w:val="center"/>
              <w:rPr>
                <w:rFonts w:ascii="宋体" w:hAnsi="宋体" w:cs="宋体"/>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07" w:type="dxa"/>
            <w:vAlign w:val="center"/>
          </w:tcPr>
          <w:p>
            <w:pPr>
              <w:autoSpaceDE w:val="0"/>
              <w:autoSpaceDN w:val="0"/>
              <w:adjustRightInd w:val="0"/>
              <w:spacing w:line="360" w:lineRule="auto"/>
              <w:jc w:val="center"/>
              <w:rPr>
                <w:rFonts w:ascii="宋体" w:hAnsi="宋体" w:cs="宋体"/>
                <w:kern w:val="0"/>
                <w:sz w:val="24"/>
                <w:highlight w:val="none"/>
              </w:rPr>
            </w:pPr>
          </w:p>
        </w:tc>
        <w:tc>
          <w:tcPr>
            <w:tcW w:w="830" w:type="dxa"/>
            <w:vAlign w:val="center"/>
          </w:tcPr>
          <w:p>
            <w:pPr>
              <w:autoSpaceDE w:val="0"/>
              <w:autoSpaceDN w:val="0"/>
              <w:adjustRightInd w:val="0"/>
              <w:spacing w:line="360" w:lineRule="auto"/>
              <w:jc w:val="center"/>
              <w:rPr>
                <w:rFonts w:ascii="宋体" w:hAnsi="宋体" w:cs="宋体"/>
                <w:kern w:val="0"/>
                <w:sz w:val="24"/>
                <w:highlight w:val="none"/>
              </w:rPr>
            </w:pPr>
          </w:p>
        </w:tc>
        <w:tc>
          <w:tcPr>
            <w:tcW w:w="924" w:type="dxa"/>
            <w:vAlign w:val="center"/>
          </w:tcPr>
          <w:p>
            <w:pPr>
              <w:autoSpaceDE w:val="0"/>
              <w:autoSpaceDN w:val="0"/>
              <w:adjustRightInd w:val="0"/>
              <w:spacing w:line="360" w:lineRule="auto"/>
              <w:jc w:val="center"/>
              <w:rPr>
                <w:rFonts w:ascii="宋体" w:hAnsi="宋体" w:cs="宋体"/>
                <w:kern w:val="0"/>
                <w:sz w:val="24"/>
                <w:highlight w:val="none"/>
              </w:rPr>
            </w:pPr>
          </w:p>
        </w:tc>
        <w:tc>
          <w:tcPr>
            <w:tcW w:w="1499" w:type="dxa"/>
            <w:vAlign w:val="center"/>
          </w:tcPr>
          <w:p>
            <w:pPr>
              <w:autoSpaceDE w:val="0"/>
              <w:autoSpaceDN w:val="0"/>
              <w:adjustRightInd w:val="0"/>
              <w:spacing w:line="360" w:lineRule="auto"/>
              <w:jc w:val="center"/>
              <w:rPr>
                <w:rFonts w:ascii="宋体" w:hAnsi="宋体" w:cs="宋体"/>
                <w:kern w:val="0"/>
                <w:sz w:val="24"/>
                <w:highlight w:val="none"/>
              </w:rPr>
            </w:pPr>
          </w:p>
        </w:tc>
        <w:tc>
          <w:tcPr>
            <w:tcW w:w="1100" w:type="dxa"/>
            <w:vAlign w:val="center"/>
          </w:tcPr>
          <w:p>
            <w:pPr>
              <w:autoSpaceDE w:val="0"/>
              <w:autoSpaceDN w:val="0"/>
              <w:adjustRightInd w:val="0"/>
              <w:spacing w:line="360" w:lineRule="auto"/>
              <w:jc w:val="center"/>
              <w:rPr>
                <w:rFonts w:ascii="宋体" w:hAnsi="宋体" w:cs="宋体"/>
                <w:kern w:val="0"/>
                <w:sz w:val="24"/>
                <w:highlight w:val="none"/>
              </w:rPr>
            </w:pPr>
          </w:p>
        </w:tc>
        <w:tc>
          <w:tcPr>
            <w:tcW w:w="1016" w:type="dxa"/>
            <w:vAlign w:val="center"/>
          </w:tcPr>
          <w:p>
            <w:pPr>
              <w:autoSpaceDE w:val="0"/>
              <w:autoSpaceDN w:val="0"/>
              <w:adjustRightInd w:val="0"/>
              <w:spacing w:line="360" w:lineRule="auto"/>
              <w:jc w:val="center"/>
              <w:rPr>
                <w:rFonts w:ascii="宋体" w:hAnsi="宋体" w:cs="宋体"/>
                <w:kern w:val="0"/>
                <w:sz w:val="24"/>
                <w:highlight w:val="none"/>
              </w:rPr>
            </w:pPr>
          </w:p>
        </w:tc>
        <w:tc>
          <w:tcPr>
            <w:tcW w:w="1534" w:type="dxa"/>
            <w:vAlign w:val="center"/>
          </w:tcPr>
          <w:p>
            <w:pPr>
              <w:autoSpaceDE w:val="0"/>
              <w:autoSpaceDN w:val="0"/>
              <w:adjustRightInd w:val="0"/>
              <w:spacing w:line="360" w:lineRule="auto"/>
              <w:jc w:val="center"/>
              <w:rPr>
                <w:rFonts w:ascii="宋体" w:hAnsi="宋体" w:cs="宋体"/>
                <w:kern w:val="0"/>
                <w:sz w:val="24"/>
                <w:highlight w:val="none"/>
              </w:rPr>
            </w:pPr>
          </w:p>
        </w:tc>
        <w:tc>
          <w:tcPr>
            <w:tcW w:w="1403" w:type="dxa"/>
            <w:vAlign w:val="center"/>
          </w:tcPr>
          <w:p>
            <w:pPr>
              <w:autoSpaceDE w:val="0"/>
              <w:autoSpaceDN w:val="0"/>
              <w:adjustRightInd w:val="0"/>
              <w:spacing w:line="360" w:lineRule="auto"/>
              <w:jc w:val="center"/>
              <w:rPr>
                <w:rFonts w:ascii="宋体" w:hAnsi="宋体" w:cs="宋体"/>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07" w:type="dxa"/>
            <w:vAlign w:val="center"/>
          </w:tcPr>
          <w:p>
            <w:pPr>
              <w:autoSpaceDE w:val="0"/>
              <w:autoSpaceDN w:val="0"/>
              <w:adjustRightInd w:val="0"/>
              <w:spacing w:line="360" w:lineRule="auto"/>
              <w:jc w:val="center"/>
              <w:rPr>
                <w:rFonts w:ascii="宋体" w:hAnsi="宋体" w:cs="宋体"/>
                <w:kern w:val="0"/>
                <w:sz w:val="24"/>
                <w:highlight w:val="none"/>
              </w:rPr>
            </w:pPr>
          </w:p>
        </w:tc>
        <w:tc>
          <w:tcPr>
            <w:tcW w:w="830" w:type="dxa"/>
            <w:vAlign w:val="center"/>
          </w:tcPr>
          <w:p>
            <w:pPr>
              <w:autoSpaceDE w:val="0"/>
              <w:autoSpaceDN w:val="0"/>
              <w:adjustRightInd w:val="0"/>
              <w:spacing w:line="360" w:lineRule="auto"/>
              <w:jc w:val="center"/>
              <w:rPr>
                <w:rFonts w:ascii="宋体" w:hAnsi="宋体" w:cs="宋体"/>
                <w:kern w:val="0"/>
                <w:sz w:val="24"/>
                <w:highlight w:val="none"/>
              </w:rPr>
            </w:pPr>
          </w:p>
        </w:tc>
        <w:tc>
          <w:tcPr>
            <w:tcW w:w="924" w:type="dxa"/>
            <w:vAlign w:val="center"/>
          </w:tcPr>
          <w:p>
            <w:pPr>
              <w:autoSpaceDE w:val="0"/>
              <w:autoSpaceDN w:val="0"/>
              <w:adjustRightInd w:val="0"/>
              <w:spacing w:line="360" w:lineRule="auto"/>
              <w:jc w:val="center"/>
              <w:rPr>
                <w:rFonts w:ascii="宋体" w:hAnsi="宋体" w:cs="宋体"/>
                <w:kern w:val="0"/>
                <w:sz w:val="24"/>
                <w:highlight w:val="none"/>
              </w:rPr>
            </w:pPr>
          </w:p>
        </w:tc>
        <w:tc>
          <w:tcPr>
            <w:tcW w:w="1499" w:type="dxa"/>
            <w:vAlign w:val="center"/>
          </w:tcPr>
          <w:p>
            <w:pPr>
              <w:autoSpaceDE w:val="0"/>
              <w:autoSpaceDN w:val="0"/>
              <w:adjustRightInd w:val="0"/>
              <w:spacing w:line="360" w:lineRule="auto"/>
              <w:jc w:val="center"/>
              <w:rPr>
                <w:rFonts w:ascii="宋体" w:hAnsi="宋体" w:cs="宋体"/>
                <w:kern w:val="0"/>
                <w:sz w:val="24"/>
                <w:highlight w:val="none"/>
              </w:rPr>
            </w:pPr>
          </w:p>
        </w:tc>
        <w:tc>
          <w:tcPr>
            <w:tcW w:w="1100" w:type="dxa"/>
            <w:vAlign w:val="center"/>
          </w:tcPr>
          <w:p>
            <w:pPr>
              <w:autoSpaceDE w:val="0"/>
              <w:autoSpaceDN w:val="0"/>
              <w:adjustRightInd w:val="0"/>
              <w:spacing w:line="360" w:lineRule="auto"/>
              <w:jc w:val="center"/>
              <w:rPr>
                <w:rFonts w:ascii="宋体" w:hAnsi="宋体" w:cs="宋体"/>
                <w:kern w:val="0"/>
                <w:sz w:val="24"/>
                <w:highlight w:val="none"/>
              </w:rPr>
            </w:pPr>
          </w:p>
        </w:tc>
        <w:tc>
          <w:tcPr>
            <w:tcW w:w="1016" w:type="dxa"/>
            <w:vAlign w:val="center"/>
          </w:tcPr>
          <w:p>
            <w:pPr>
              <w:autoSpaceDE w:val="0"/>
              <w:autoSpaceDN w:val="0"/>
              <w:adjustRightInd w:val="0"/>
              <w:spacing w:line="360" w:lineRule="auto"/>
              <w:jc w:val="center"/>
              <w:rPr>
                <w:rFonts w:ascii="宋体" w:hAnsi="宋体" w:cs="宋体"/>
                <w:kern w:val="0"/>
                <w:sz w:val="24"/>
                <w:highlight w:val="none"/>
              </w:rPr>
            </w:pPr>
          </w:p>
        </w:tc>
        <w:tc>
          <w:tcPr>
            <w:tcW w:w="1534" w:type="dxa"/>
            <w:vAlign w:val="center"/>
          </w:tcPr>
          <w:p>
            <w:pPr>
              <w:autoSpaceDE w:val="0"/>
              <w:autoSpaceDN w:val="0"/>
              <w:adjustRightInd w:val="0"/>
              <w:spacing w:line="360" w:lineRule="auto"/>
              <w:jc w:val="center"/>
              <w:rPr>
                <w:rFonts w:ascii="宋体" w:hAnsi="宋体" w:cs="宋体"/>
                <w:kern w:val="0"/>
                <w:sz w:val="24"/>
                <w:highlight w:val="none"/>
              </w:rPr>
            </w:pPr>
          </w:p>
        </w:tc>
        <w:tc>
          <w:tcPr>
            <w:tcW w:w="1403" w:type="dxa"/>
            <w:vAlign w:val="center"/>
          </w:tcPr>
          <w:p>
            <w:pPr>
              <w:autoSpaceDE w:val="0"/>
              <w:autoSpaceDN w:val="0"/>
              <w:adjustRightInd w:val="0"/>
              <w:spacing w:line="360" w:lineRule="auto"/>
              <w:jc w:val="center"/>
              <w:rPr>
                <w:rFonts w:ascii="宋体" w:hAnsi="宋体" w:cs="宋体"/>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07" w:type="dxa"/>
            <w:vAlign w:val="center"/>
          </w:tcPr>
          <w:p>
            <w:pPr>
              <w:autoSpaceDE w:val="0"/>
              <w:autoSpaceDN w:val="0"/>
              <w:adjustRightInd w:val="0"/>
              <w:spacing w:line="360" w:lineRule="auto"/>
              <w:jc w:val="center"/>
              <w:rPr>
                <w:rFonts w:ascii="宋体" w:hAnsi="宋体" w:cs="宋体"/>
                <w:kern w:val="0"/>
                <w:sz w:val="24"/>
                <w:highlight w:val="none"/>
              </w:rPr>
            </w:pPr>
          </w:p>
        </w:tc>
        <w:tc>
          <w:tcPr>
            <w:tcW w:w="830" w:type="dxa"/>
            <w:vAlign w:val="center"/>
          </w:tcPr>
          <w:p>
            <w:pPr>
              <w:autoSpaceDE w:val="0"/>
              <w:autoSpaceDN w:val="0"/>
              <w:adjustRightInd w:val="0"/>
              <w:spacing w:line="360" w:lineRule="auto"/>
              <w:jc w:val="center"/>
              <w:rPr>
                <w:rFonts w:ascii="宋体" w:hAnsi="宋体" w:cs="宋体"/>
                <w:kern w:val="0"/>
                <w:sz w:val="24"/>
                <w:highlight w:val="none"/>
              </w:rPr>
            </w:pPr>
          </w:p>
        </w:tc>
        <w:tc>
          <w:tcPr>
            <w:tcW w:w="924" w:type="dxa"/>
            <w:vAlign w:val="center"/>
          </w:tcPr>
          <w:p>
            <w:pPr>
              <w:autoSpaceDE w:val="0"/>
              <w:autoSpaceDN w:val="0"/>
              <w:adjustRightInd w:val="0"/>
              <w:spacing w:line="360" w:lineRule="auto"/>
              <w:jc w:val="center"/>
              <w:rPr>
                <w:rFonts w:ascii="宋体" w:hAnsi="宋体" w:cs="宋体"/>
                <w:kern w:val="0"/>
                <w:sz w:val="24"/>
                <w:highlight w:val="none"/>
              </w:rPr>
            </w:pPr>
          </w:p>
        </w:tc>
        <w:tc>
          <w:tcPr>
            <w:tcW w:w="1499" w:type="dxa"/>
            <w:vAlign w:val="center"/>
          </w:tcPr>
          <w:p>
            <w:pPr>
              <w:autoSpaceDE w:val="0"/>
              <w:autoSpaceDN w:val="0"/>
              <w:adjustRightInd w:val="0"/>
              <w:spacing w:line="360" w:lineRule="auto"/>
              <w:jc w:val="center"/>
              <w:rPr>
                <w:rFonts w:ascii="宋体" w:hAnsi="宋体" w:cs="宋体"/>
                <w:kern w:val="0"/>
                <w:sz w:val="24"/>
                <w:highlight w:val="none"/>
              </w:rPr>
            </w:pPr>
          </w:p>
        </w:tc>
        <w:tc>
          <w:tcPr>
            <w:tcW w:w="1100" w:type="dxa"/>
            <w:vAlign w:val="center"/>
          </w:tcPr>
          <w:p>
            <w:pPr>
              <w:autoSpaceDE w:val="0"/>
              <w:autoSpaceDN w:val="0"/>
              <w:adjustRightInd w:val="0"/>
              <w:spacing w:line="360" w:lineRule="auto"/>
              <w:jc w:val="center"/>
              <w:rPr>
                <w:rFonts w:ascii="宋体" w:hAnsi="宋体" w:cs="宋体"/>
                <w:kern w:val="0"/>
                <w:sz w:val="24"/>
                <w:highlight w:val="none"/>
              </w:rPr>
            </w:pPr>
          </w:p>
        </w:tc>
        <w:tc>
          <w:tcPr>
            <w:tcW w:w="1016" w:type="dxa"/>
            <w:vAlign w:val="center"/>
          </w:tcPr>
          <w:p>
            <w:pPr>
              <w:autoSpaceDE w:val="0"/>
              <w:autoSpaceDN w:val="0"/>
              <w:adjustRightInd w:val="0"/>
              <w:spacing w:line="360" w:lineRule="auto"/>
              <w:jc w:val="center"/>
              <w:rPr>
                <w:rFonts w:ascii="宋体" w:hAnsi="宋体" w:cs="宋体"/>
                <w:kern w:val="0"/>
                <w:sz w:val="24"/>
                <w:highlight w:val="none"/>
              </w:rPr>
            </w:pPr>
          </w:p>
        </w:tc>
        <w:tc>
          <w:tcPr>
            <w:tcW w:w="1534" w:type="dxa"/>
            <w:vAlign w:val="center"/>
          </w:tcPr>
          <w:p>
            <w:pPr>
              <w:autoSpaceDE w:val="0"/>
              <w:autoSpaceDN w:val="0"/>
              <w:adjustRightInd w:val="0"/>
              <w:spacing w:line="360" w:lineRule="auto"/>
              <w:jc w:val="center"/>
              <w:rPr>
                <w:rFonts w:ascii="宋体" w:hAnsi="宋体" w:cs="宋体"/>
                <w:kern w:val="0"/>
                <w:sz w:val="24"/>
                <w:highlight w:val="none"/>
              </w:rPr>
            </w:pPr>
          </w:p>
        </w:tc>
        <w:tc>
          <w:tcPr>
            <w:tcW w:w="1403" w:type="dxa"/>
            <w:vAlign w:val="center"/>
          </w:tcPr>
          <w:p>
            <w:pPr>
              <w:autoSpaceDE w:val="0"/>
              <w:autoSpaceDN w:val="0"/>
              <w:adjustRightInd w:val="0"/>
              <w:spacing w:line="360" w:lineRule="auto"/>
              <w:jc w:val="center"/>
              <w:rPr>
                <w:rFonts w:ascii="宋体" w:hAnsi="宋体" w:cs="宋体"/>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07" w:type="dxa"/>
            <w:vAlign w:val="center"/>
          </w:tcPr>
          <w:p>
            <w:pPr>
              <w:autoSpaceDE w:val="0"/>
              <w:autoSpaceDN w:val="0"/>
              <w:adjustRightInd w:val="0"/>
              <w:spacing w:line="360" w:lineRule="auto"/>
              <w:jc w:val="center"/>
              <w:rPr>
                <w:rFonts w:ascii="宋体" w:hAnsi="宋体" w:cs="宋体"/>
                <w:kern w:val="0"/>
                <w:sz w:val="24"/>
                <w:highlight w:val="none"/>
              </w:rPr>
            </w:pPr>
          </w:p>
        </w:tc>
        <w:tc>
          <w:tcPr>
            <w:tcW w:w="830" w:type="dxa"/>
            <w:vAlign w:val="center"/>
          </w:tcPr>
          <w:p>
            <w:pPr>
              <w:autoSpaceDE w:val="0"/>
              <w:autoSpaceDN w:val="0"/>
              <w:adjustRightInd w:val="0"/>
              <w:spacing w:line="360" w:lineRule="auto"/>
              <w:jc w:val="center"/>
              <w:rPr>
                <w:rFonts w:ascii="宋体" w:hAnsi="宋体" w:cs="宋体"/>
                <w:kern w:val="0"/>
                <w:sz w:val="24"/>
                <w:highlight w:val="none"/>
              </w:rPr>
            </w:pPr>
          </w:p>
        </w:tc>
        <w:tc>
          <w:tcPr>
            <w:tcW w:w="924" w:type="dxa"/>
            <w:vAlign w:val="center"/>
          </w:tcPr>
          <w:p>
            <w:pPr>
              <w:autoSpaceDE w:val="0"/>
              <w:autoSpaceDN w:val="0"/>
              <w:adjustRightInd w:val="0"/>
              <w:spacing w:line="360" w:lineRule="auto"/>
              <w:jc w:val="center"/>
              <w:rPr>
                <w:rFonts w:ascii="宋体" w:hAnsi="宋体" w:cs="宋体"/>
                <w:kern w:val="0"/>
                <w:sz w:val="24"/>
                <w:highlight w:val="none"/>
              </w:rPr>
            </w:pPr>
          </w:p>
        </w:tc>
        <w:tc>
          <w:tcPr>
            <w:tcW w:w="1499" w:type="dxa"/>
            <w:vAlign w:val="center"/>
          </w:tcPr>
          <w:p>
            <w:pPr>
              <w:autoSpaceDE w:val="0"/>
              <w:autoSpaceDN w:val="0"/>
              <w:adjustRightInd w:val="0"/>
              <w:spacing w:line="360" w:lineRule="auto"/>
              <w:jc w:val="center"/>
              <w:rPr>
                <w:rFonts w:ascii="宋体" w:hAnsi="宋体" w:cs="宋体"/>
                <w:kern w:val="0"/>
                <w:sz w:val="24"/>
                <w:highlight w:val="none"/>
              </w:rPr>
            </w:pPr>
          </w:p>
        </w:tc>
        <w:tc>
          <w:tcPr>
            <w:tcW w:w="1100" w:type="dxa"/>
            <w:vAlign w:val="center"/>
          </w:tcPr>
          <w:p>
            <w:pPr>
              <w:autoSpaceDE w:val="0"/>
              <w:autoSpaceDN w:val="0"/>
              <w:adjustRightInd w:val="0"/>
              <w:spacing w:line="360" w:lineRule="auto"/>
              <w:jc w:val="center"/>
              <w:rPr>
                <w:rFonts w:ascii="宋体" w:hAnsi="宋体" w:cs="宋体"/>
                <w:kern w:val="0"/>
                <w:sz w:val="24"/>
                <w:highlight w:val="none"/>
              </w:rPr>
            </w:pPr>
          </w:p>
        </w:tc>
        <w:tc>
          <w:tcPr>
            <w:tcW w:w="1016" w:type="dxa"/>
            <w:vAlign w:val="center"/>
          </w:tcPr>
          <w:p>
            <w:pPr>
              <w:autoSpaceDE w:val="0"/>
              <w:autoSpaceDN w:val="0"/>
              <w:adjustRightInd w:val="0"/>
              <w:spacing w:line="360" w:lineRule="auto"/>
              <w:jc w:val="center"/>
              <w:rPr>
                <w:rFonts w:ascii="宋体" w:hAnsi="宋体" w:cs="宋体"/>
                <w:kern w:val="0"/>
                <w:sz w:val="24"/>
                <w:highlight w:val="none"/>
              </w:rPr>
            </w:pPr>
          </w:p>
        </w:tc>
        <w:tc>
          <w:tcPr>
            <w:tcW w:w="1534" w:type="dxa"/>
            <w:vAlign w:val="center"/>
          </w:tcPr>
          <w:p>
            <w:pPr>
              <w:autoSpaceDE w:val="0"/>
              <w:autoSpaceDN w:val="0"/>
              <w:adjustRightInd w:val="0"/>
              <w:spacing w:line="360" w:lineRule="auto"/>
              <w:jc w:val="center"/>
              <w:rPr>
                <w:rFonts w:ascii="宋体" w:hAnsi="宋体" w:cs="宋体"/>
                <w:kern w:val="0"/>
                <w:sz w:val="24"/>
                <w:highlight w:val="none"/>
              </w:rPr>
            </w:pPr>
          </w:p>
        </w:tc>
        <w:tc>
          <w:tcPr>
            <w:tcW w:w="1403" w:type="dxa"/>
            <w:vAlign w:val="center"/>
          </w:tcPr>
          <w:p>
            <w:pPr>
              <w:autoSpaceDE w:val="0"/>
              <w:autoSpaceDN w:val="0"/>
              <w:adjustRightInd w:val="0"/>
              <w:spacing w:line="360" w:lineRule="auto"/>
              <w:jc w:val="center"/>
              <w:rPr>
                <w:rFonts w:ascii="宋体" w:hAnsi="宋体" w:cs="宋体"/>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07" w:type="dxa"/>
            <w:vAlign w:val="center"/>
          </w:tcPr>
          <w:p>
            <w:pPr>
              <w:autoSpaceDE w:val="0"/>
              <w:autoSpaceDN w:val="0"/>
              <w:adjustRightInd w:val="0"/>
              <w:spacing w:line="360" w:lineRule="auto"/>
              <w:jc w:val="center"/>
              <w:rPr>
                <w:rFonts w:ascii="宋体" w:hAnsi="宋体" w:cs="宋体"/>
                <w:kern w:val="0"/>
                <w:sz w:val="24"/>
                <w:highlight w:val="none"/>
              </w:rPr>
            </w:pPr>
          </w:p>
        </w:tc>
        <w:tc>
          <w:tcPr>
            <w:tcW w:w="830" w:type="dxa"/>
            <w:vAlign w:val="center"/>
          </w:tcPr>
          <w:p>
            <w:pPr>
              <w:autoSpaceDE w:val="0"/>
              <w:autoSpaceDN w:val="0"/>
              <w:adjustRightInd w:val="0"/>
              <w:spacing w:line="360" w:lineRule="auto"/>
              <w:jc w:val="center"/>
              <w:rPr>
                <w:rFonts w:ascii="宋体" w:hAnsi="宋体" w:cs="宋体"/>
                <w:kern w:val="0"/>
                <w:sz w:val="24"/>
                <w:highlight w:val="none"/>
              </w:rPr>
            </w:pPr>
          </w:p>
        </w:tc>
        <w:tc>
          <w:tcPr>
            <w:tcW w:w="924" w:type="dxa"/>
            <w:vAlign w:val="center"/>
          </w:tcPr>
          <w:p>
            <w:pPr>
              <w:autoSpaceDE w:val="0"/>
              <w:autoSpaceDN w:val="0"/>
              <w:adjustRightInd w:val="0"/>
              <w:spacing w:line="360" w:lineRule="auto"/>
              <w:jc w:val="center"/>
              <w:rPr>
                <w:rFonts w:ascii="宋体" w:hAnsi="宋体" w:cs="宋体"/>
                <w:kern w:val="0"/>
                <w:sz w:val="24"/>
                <w:highlight w:val="none"/>
              </w:rPr>
            </w:pPr>
          </w:p>
        </w:tc>
        <w:tc>
          <w:tcPr>
            <w:tcW w:w="1499" w:type="dxa"/>
            <w:vAlign w:val="center"/>
          </w:tcPr>
          <w:p>
            <w:pPr>
              <w:autoSpaceDE w:val="0"/>
              <w:autoSpaceDN w:val="0"/>
              <w:adjustRightInd w:val="0"/>
              <w:spacing w:line="360" w:lineRule="auto"/>
              <w:jc w:val="center"/>
              <w:rPr>
                <w:rFonts w:ascii="宋体" w:hAnsi="宋体" w:cs="宋体"/>
                <w:kern w:val="0"/>
                <w:sz w:val="24"/>
                <w:highlight w:val="none"/>
              </w:rPr>
            </w:pPr>
          </w:p>
        </w:tc>
        <w:tc>
          <w:tcPr>
            <w:tcW w:w="1100" w:type="dxa"/>
            <w:vAlign w:val="center"/>
          </w:tcPr>
          <w:p>
            <w:pPr>
              <w:autoSpaceDE w:val="0"/>
              <w:autoSpaceDN w:val="0"/>
              <w:adjustRightInd w:val="0"/>
              <w:spacing w:line="360" w:lineRule="auto"/>
              <w:jc w:val="center"/>
              <w:rPr>
                <w:rFonts w:ascii="宋体" w:hAnsi="宋体" w:cs="宋体"/>
                <w:kern w:val="0"/>
                <w:sz w:val="24"/>
                <w:highlight w:val="none"/>
              </w:rPr>
            </w:pPr>
          </w:p>
        </w:tc>
        <w:tc>
          <w:tcPr>
            <w:tcW w:w="1016" w:type="dxa"/>
            <w:vAlign w:val="center"/>
          </w:tcPr>
          <w:p>
            <w:pPr>
              <w:autoSpaceDE w:val="0"/>
              <w:autoSpaceDN w:val="0"/>
              <w:adjustRightInd w:val="0"/>
              <w:spacing w:line="360" w:lineRule="auto"/>
              <w:jc w:val="center"/>
              <w:rPr>
                <w:rFonts w:ascii="宋体" w:hAnsi="宋体" w:cs="宋体"/>
                <w:kern w:val="0"/>
                <w:sz w:val="24"/>
                <w:highlight w:val="none"/>
              </w:rPr>
            </w:pPr>
          </w:p>
        </w:tc>
        <w:tc>
          <w:tcPr>
            <w:tcW w:w="1534" w:type="dxa"/>
            <w:vAlign w:val="center"/>
          </w:tcPr>
          <w:p>
            <w:pPr>
              <w:autoSpaceDE w:val="0"/>
              <w:autoSpaceDN w:val="0"/>
              <w:adjustRightInd w:val="0"/>
              <w:spacing w:line="360" w:lineRule="auto"/>
              <w:jc w:val="center"/>
              <w:rPr>
                <w:rFonts w:ascii="宋体" w:hAnsi="宋体" w:cs="宋体"/>
                <w:kern w:val="0"/>
                <w:sz w:val="24"/>
                <w:highlight w:val="none"/>
              </w:rPr>
            </w:pPr>
          </w:p>
        </w:tc>
        <w:tc>
          <w:tcPr>
            <w:tcW w:w="1403" w:type="dxa"/>
            <w:vAlign w:val="center"/>
          </w:tcPr>
          <w:p>
            <w:pPr>
              <w:autoSpaceDE w:val="0"/>
              <w:autoSpaceDN w:val="0"/>
              <w:adjustRightInd w:val="0"/>
              <w:spacing w:line="360" w:lineRule="auto"/>
              <w:jc w:val="center"/>
              <w:rPr>
                <w:rFonts w:ascii="宋体" w:hAnsi="宋体" w:cs="宋体"/>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07" w:type="dxa"/>
            <w:vAlign w:val="center"/>
          </w:tcPr>
          <w:p>
            <w:pPr>
              <w:autoSpaceDE w:val="0"/>
              <w:autoSpaceDN w:val="0"/>
              <w:adjustRightInd w:val="0"/>
              <w:spacing w:line="360" w:lineRule="auto"/>
              <w:jc w:val="center"/>
              <w:rPr>
                <w:rFonts w:ascii="宋体" w:hAnsi="宋体" w:cs="宋体"/>
                <w:kern w:val="0"/>
                <w:sz w:val="24"/>
                <w:highlight w:val="none"/>
              </w:rPr>
            </w:pPr>
          </w:p>
        </w:tc>
        <w:tc>
          <w:tcPr>
            <w:tcW w:w="830" w:type="dxa"/>
            <w:vAlign w:val="center"/>
          </w:tcPr>
          <w:p>
            <w:pPr>
              <w:autoSpaceDE w:val="0"/>
              <w:autoSpaceDN w:val="0"/>
              <w:adjustRightInd w:val="0"/>
              <w:spacing w:line="360" w:lineRule="auto"/>
              <w:jc w:val="center"/>
              <w:rPr>
                <w:rFonts w:ascii="宋体" w:hAnsi="宋体" w:cs="宋体"/>
                <w:kern w:val="0"/>
                <w:sz w:val="24"/>
                <w:highlight w:val="none"/>
              </w:rPr>
            </w:pPr>
          </w:p>
        </w:tc>
        <w:tc>
          <w:tcPr>
            <w:tcW w:w="924" w:type="dxa"/>
            <w:vAlign w:val="center"/>
          </w:tcPr>
          <w:p>
            <w:pPr>
              <w:autoSpaceDE w:val="0"/>
              <w:autoSpaceDN w:val="0"/>
              <w:adjustRightInd w:val="0"/>
              <w:spacing w:line="360" w:lineRule="auto"/>
              <w:jc w:val="center"/>
              <w:rPr>
                <w:rFonts w:ascii="宋体" w:hAnsi="宋体" w:cs="宋体"/>
                <w:kern w:val="0"/>
                <w:sz w:val="24"/>
                <w:highlight w:val="none"/>
              </w:rPr>
            </w:pPr>
          </w:p>
        </w:tc>
        <w:tc>
          <w:tcPr>
            <w:tcW w:w="1499" w:type="dxa"/>
            <w:vAlign w:val="center"/>
          </w:tcPr>
          <w:p>
            <w:pPr>
              <w:autoSpaceDE w:val="0"/>
              <w:autoSpaceDN w:val="0"/>
              <w:adjustRightInd w:val="0"/>
              <w:spacing w:line="360" w:lineRule="auto"/>
              <w:jc w:val="center"/>
              <w:rPr>
                <w:rFonts w:ascii="宋体" w:hAnsi="宋体" w:cs="宋体"/>
                <w:kern w:val="0"/>
                <w:sz w:val="24"/>
                <w:highlight w:val="none"/>
              </w:rPr>
            </w:pPr>
          </w:p>
        </w:tc>
        <w:tc>
          <w:tcPr>
            <w:tcW w:w="1100" w:type="dxa"/>
            <w:vAlign w:val="center"/>
          </w:tcPr>
          <w:p>
            <w:pPr>
              <w:autoSpaceDE w:val="0"/>
              <w:autoSpaceDN w:val="0"/>
              <w:adjustRightInd w:val="0"/>
              <w:spacing w:line="360" w:lineRule="auto"/>
              <w:jc w:val="center"/>
              <w:rPr>
                <w:rFonts w:ascii="宋体" w:hAnsi="宋体" w:cs="宋体"/>
                <w:kern w:val="0"/>
                <w:sz w:val="24"/>
                <w:highlight w:val="none"/>
              </w:rPr>
            </w:pPr>
          </w:p>
        </w:tc>
        <w:tc>
          <w:tcPr>
            <w:tcW w:w="1016" w:type="dxa"/>
            <w:vAlign w:val="center"/>
          </w:tcPr>
          <w:p>
            <w:pPr>
              <w:autoSpaceDE w:val="0"/>
              <w:autoSpaceDN w:val="0"/>
              <w:adjustRightInd w:val="0"/>
              <w:spacing w:line="360" w:lineRule="auto"/>
              <w:jc w:val="center"/>
              <w:rPr>
                <w:rFonts w:ascii="宋体" w:hAnsi="宋体" w:cs="宋体"/>
                <w:kern w:val="0"/>
                <w:sz w:val="24"/>
                <w:highlight w:val="none"/>
              </w:rPr>
            </w:pPr>
          </w:p>
        </w:tc>
        <w:tc>
          <w:tcPr>
            <w:tcW w:w="1534" w:type="dxa"/>
            <w:vAlign w:val="center"/>
          </w:tcPr>
          <w:p>
            <w:pPr>
              <w:autoSpaceDE w:val="0"/>
              <w:autoSpaceDN w:val="0"/>
              <w:adjustRightInd w:val="0"/>
              <w:spacing w:line="360" w:lineRule="auto"/>
              <w:jc w:val="center"/>
              <w:rPr>
                <w:rFonts w:ascii="宋体" w:hAnsi="宋体" w:cs="宋体"/>
                <w:kern w:val="0"/>
                <w:sz w:val="24"/>
                <w:highlight w:val="none"/>
              </w:rPr>
            </w:pPr>
          </w:p>
        </w:tc>
        <w:tc>
          <w:tcPr>
            <w:tcW w:w="1403" w:type="dxa"/>
            <w:vAlign w:val="center"/>
          </w:tcPr>
          <w:p>
            <w:pPr>
              <w:autoSpaceDE w:val="0"/>
              <w:autoSpaceDN w:val="0"/>
              <w:adjustRightInd w:val="0"/>
              <w:spacing w:line="360" w:lineRule="auto"/>
              <w:jc w:val="center"/>
              <w:rPr>
                <w:rFonts w:ascii="宋体" w:hAnsi="宋体" w:cs="宋体"/>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07" w:type="dxa"/>
            <w:vAlign w:val="center"/>
          </w:tcPr>
          <w:p>
            <w:pPr>
              <w:autoSpaceDE w:val="0"/>
              <w:autoSpaceDN w:val="0"/>
              <w:adjustRightInd w:val="0"/>
              <w:spacing w:line="360" w:lineRule="auto"/>
              <w:jc w:val="center"/>
              <w:rPr>
                <w:rFonts w:ascii="宋体" w:hAnsi="宋体" w:cs="宋体"/>
                <w:kern w:val="0"/>
                <w:sz w:val="24"/>
                <w:highlight w:val="none"/>
              </w:rPr>
            </w:pPr>
          </w:p>
        </w:tc>
        <w:tc>
          <w:tcPr>
            <w:tcW w:w="830" w:type="dxa"/>
            <w:vAlign w:val="center"/>
          </w:tcPr>
          <w:p>
            <w:pPr>
              <w:autoSpaceDE w:val="0"/>
              <w:autoSpaceDN w:val="0"/>
              <w:adjustRightInd w:val="0"/>
              <w:spacing w:line="360" w:lineRule="auto"/>
              <w:jc w:val="center"/>
              <w:rPr>
                <w:rFonts w:ascii="宋体" w:hAnsi="宋体" w:cs="宋体"/>
                <w:kern w:val="0"/>
                <w:sz w:val="24"/>
                <w:highlight w:val="none"/>
              </w:rPr>
            </w:pPr>
          </w:p>
        </w:tc>
        <w:tc>
          <w:tcPr>
            <w:tcW w:w="924" w:type="dxa"/>
            <w:vAlign w:val="center"/>
          </w:tcPr>
          <w:p>
            <w:pPr>
              <w:autoSpaceDE w:val="0"/>
              <w:autoSpaceDN w:val="0"/>
              <w:adjustRightInd w:val="0"/>
              <w:spacing w:line="360" w:lineRule="auto"/>
              <w:jc w:val="center"/>
              <w:rPr>
                <w:rFonts w:ascii="宋体" w:hAnsi="宋体" w:cs="宋体"/>
                <w:kern w:val="0"/>
                <w:sz w:val="24"/>
                <w:highlight w:val="none"/>
              </w:rPr>
            </w:pPr>
          </w:p>
        </w:tc>
        <w:tc>
          <w:tcPr>
            <w:tcW w:w="1499" w:type="dxa"/>
            <w:vAlign w:val="center"/>
          </w:tcPr>
          <w:p>
            <w:pPr>
              <w:autoSpaceDE w:val="0"/>
              <w:autoSpaceDN w:val="0"/>
              <w:adjustRightInd w:val="0"/>
              <w:spacing w:line="360" w:lineRule="auto"/>
              <w:jc w:val="center"/>
              <w:rPr>
                <w:rFonts w:ascii="宋体" w:hAnsi="宋体" w:cs="宋体"/>
                <w:kern w:val="0"/>
                <w:sz w:val="24"/>
                <w:highlight w:val="none"/>
              </w:rPr>
            </w:pPr>
          </w:p>
        </w:tc>
        <w:tc>
          <w:tcPr>
            <w:tcW w:w="1100" w:type="dxa"/>
            <w:vAlign w:val="center"/>
          </w:tcPr>
          <w:p>
            <w:pPr>
              <w:autoSpaceDE w:val="0"/>
              <w:autoSpaceDN w:val="0"/>
              <w:adjustRightInd w:val="0"/>
              <w:spacing w:line="360" w:lineRule="auto"/>
              <w:jc w:val="center"/>
              <w:rPr>
                <w:rFonts w:ascii="宋体" w:hAnsi="宋体" w:cs="宋体"/>
                <w:kern w:val="0"/>
                <w:sz w:val="24"/>
                <w:highlight w:val="none"/>
              </w:rPr>
            </w:pPr>
          </w:p>
        </w:tc>
        <w:tc>
          <w:tcPr>
            <w:tcW w:w="1016" w:type="dxa"/>
            <w:vAlign w:val="center"/>
          </w:tcPr>
          <w:p>
            <w:pPr>
              <w:autoSpaceDE w:val="0"/>
              <w:autoSpaceDN w:val="0"/>
              <w:adjustRightInd w:val="0"/>
              <w:spacing w:line="360" w:lineRule="auto"/>
              <w:jc w:val="center"/>
              <w:rPr>
                <w:rFonts w:ascii="宋体" w:hAnsi="宋体" w:cs="宋体"/>
                <w:kern w:val="0"/>
                <w:sz w:val="24"/>
                <w:highlight w:val="none"/>
              </w:rPr>
            </w:pPr>
          </w:p>
        </w:tc>
        <w:tc>
          <w:tcPr>
            <w:tcW w:w="1534" w:type="dxa"/>
            <w:vAlign w:val="center"/>
          </w:tcPr>
          <w:p>
            <w:pPr>
              <w:autoSpaceDE w:val="0"/>
              <w:autoSpaceDN w:val="0"/>
              <w:adjustRightInd w:val="0"/>
              <w:spacing w:line="360" w:lineRule="auto"/>
              <w:jc w:val="center"/>
              <w:rPr>
                <w:rFonts w:ascii="宋体" w:hAnsi="宋体" w:cs="宋体"/>
                <w:kern w:val="0"/>
                <w:sz w:val="24"/>
                <w:highlight w:val="none"/>
              </w:rPr>
            </w:pPr>
          </w:p>
        </w:tc>
        <w:tc>
          <w:tcPr>
            <w:tcW w:w="1403" w:type="dxa"/>
            <w:vAlign w:val="center"/>
          </w:tcPr>
          <w:p>
            <w:pPr>
              <w:autoSpaceDE w:val="0"/>
              <w:autoSpaceDN w:val="0"/>
              <w:adjustRightInd w:val="0"/>
              <w:spacing w:line="360" w:lineRule="auto"/>
              <w:jc w:val="center"/>
              <w:rPr>
                <w:rFonts w:ascii="宋体" w:hAnsi="宋体" w:cs="宋体"/>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07" w:type="dxa"/>
            <w:vAlign w:val="center"/>
          </w:tcPr>
          <w:p>
            <w:pPr>
              <w:autoSpaceDE w:val="0"/>
              <w:autoSpaceDN w:val="0"/>
              <w:adjustRightInd w:val="0"/>
              <w:spacing w:line="360" w:lineRule="auto"/>
              <w:jc w:val="center"/>
              <w:rPr>
                <w:rFonts w:ascii="宋体" w:hAnsi="宋体" w:cs="宋体"/>
                <w:kern w:val="0"/>
                <w:sz w:val="24"/>
                <w:highlight w:val="none"/>
              </w:rPr>
            </w:pPr>
          </w:p>
        </w:tc>
        <w:tc>
          <w:tcPr>
            <w:tcW w:w="830" w:type="dxa"/>
            <w:vAlign w:val="center"/>
          </w:tcPr>
          <w:p>
            <w:pPr>
              <w:autoSpaceDE w:val="0"/>
              <w:autoSpaceDN w:val="0"/>
              <w:adjustRightInd w:val="0"/>
              <w:spacing w:line="360" w:lineRule="auto"/>
              <w:jc w:val="center"/>
              <w:rPr>
                <w:rFonts w:ascii="宋体" w:hAnsi="宋体" w:cs="宋体"/>
                <w:kern w:val="0"/>
                <w:sz w:val="24"/>
                <w:highlight w:val="none"/>
              </w:rPr>
            </w:pPr>
          </w:p>
        </w:tc>
        <w:tc>
          <w:tcPr>
            <w:tcW w:w="924" w:type="dxa"/>
            <w:vAlign w:val="center"/>
          </w:tcPr>
          <w:p>
            <w:pPr>
              <w:autoSpaceDE w:val="0"/>
              <w:autoSpaceDN w:val="0"/>
              <w:adjustRightInd w:val="0"/>
              <w:spacing w:line="360" w:lineRule="auto"/>
              <w:jc w:val="center"/>
              <w:rPr>
                <w:rFonts w:ascii="宋体" w:hAnsi="宋体" w:cs="宋体"/>
                <w:kern w:val="0"/>
                <w:sz w:val="24"/>
                <w:highlight w:val="none"/>
              </w:rPr>
            </w:pPr>
          </w:p>
        </w:tc>
        <w:tc>
          <w:tcPr>
            <w:tcW w:w="1499" w:type="dxa"/>
            <w:vAlign w:val="center"/>
          </w:tcPr>
          <w:p>
            <w:pPr>
              <w:autoSpaceDE w:val="0"/>
              <w:autoSpaceDN w:val="0"/>
              <w:adjustRightInd w:val="0"/>
              <w:spacing w:line="360" w:lineRule="auto"/>
              <w:jc w:val="center"/>
              <w:rPr>
                <w:rFonts w:ascii="宋体" w:hAnsi="宋体" w:cs="宋体"/>
                <w:kern w:val="0"/>
                <w:sz w:val="24"/>
                <w:highlight w:val="none"/>
              </w:rPr>
            </w:pPr>
          </w:p>
        </w:tc>
        <w:tc>
          <w:tcPr>
            <w:tcW w:w="1100" w:type="dxa"/>
            <w:vAlign w:val="center"/>
          </w:tcPr>
          <w:p>
            <w:pPr>
              <w:autoSpaceDE w:val="0"/>
              <w:autoSpaceDN w:val="0"/>
              <w:adjustRightInd w:val="0"/>
              <w:spacing w:line="360" w:lineRule="auto"/>
              <w:jc w:val="center"/>
              <w:rPr>
                <w:rFonts w:ascii="宋体" w:hAnsi="宋体" w:cs="宋体"/>
                <w:kern w:val="0"/>
                <w:sz w:val="24"/>
                <w:highlight w:val="none"/>
              </w:rPr>
            </w:pPr>
          </w:p>
        </w:tc>
        <w:tc>
          <w:tcPr>
            <w:tcW w:w="1016" w:type="dxa"/>
            <w:vAlign w:val="center"/>
          </w:tcPr>
          <w:p>
            <w:pPr>
              <w:autoSpaceDE w:val="0"/>
              <w:autoSpaceDN w:val="0"/>
              <w:adjustRightInd w:val="0"/>
              <w:spacing w:line="360" w:lineRule="auto"/>
              <w:jc w:val="center"/>
              <w:rPr>
                <w:rFonts w:ascii="宋体" w:hAnsi="宋体" w:cs="宋体"/>
                <w:kern w:val="0"/>
                <w:sz w:val="24"/>
                <w:highlight w:val="none"/>
              </w:rPr>
            </w:pPr>
          </w:p>
        </w:tc>
        <w:tc>
          <w:tcPr>
            <w:tcW w:w="1534" w:type="dxa"/>
            <w:vAlign w:val="center"/>
          </w:tcPr>
          <w:p>
            <w:pPr>
              <w:autoSpaceDE w:val="0"/>
              <w:autoSpaceDN w:val="0"/>
              <w:adjustRightInd w:val="0"/>
              <w:spacing w:line="360" w:lineRule="auto"/>
              <w:jc w:val="center"/>
              <w:rPr>
                <w:rFonts w:ascii="宋体" w:hAnsi="宋体" w:cs="宋体"/>
                <w:kern w:val="0"/>
                <w:sz w:val="24"/>
                <w:highlight w:val="none"/>
              </w:rPr>
            </w:pPr>
          </w:p>
        </w:tc>
        <w:tc>
          <w:tcPr>
            <w:tcW w:w="1403" w:type="dxa"/>
            <w:vAlign w:val="center"/>
          </w:tcPr>
          <w:p>
            <w:pPr>
              <w:autoSpaceDE w:val="0"/>
              <w:autoSpaceDN w:val="0"/>
              <w:adjustRightInd w:val="0"/>
              <w:spacing w:line="360" w:lineRule="auto"/>
              <w:jc w:val="center"/>
              <w:rPr>
                <w:rFonts w:ascii="宋体" w:hAnsi="宋体" w:cs="宋体"/>
                <w:kern w:val="0"/>
                <w:sz w:val="24"/>
                <w:highlight w:val="none"/>
              </w:rPr>
            </w:pPr>
          </w:p>
        </w:tc>
      </w:tr>
    </w:tbl>
    <w:p>
      <w:pPr>
        <w:autoSpaceDE w:val="0"/>
        <w:autoSpaceDN w:val="0"/>
        <w:adjustRightInd w:val="0"/>
        <w:spacing w:line="360" w:lineRule="auto"/>
        <w:jc w:val="left"/>
        <w:rPr>
          <w:rFonts w:ascii="宋体" w:hAnsi="宋体" w:cs="宋体"/>
          <w:kern w:val="0"/>
          <w:sz w:val="24"/>
          <w:highlight w:val="none"/>
        </w:rPr>
      </w:pPr>
    </w:p>
    <w:p>
      <w:pPr>
        <w:autoSpaceDE w:val="0"/>
        <w:autoSpaceDN w:val="0"/>
        <w:adjustRightInd w:val="0"/>
        <w:spacing w:line="360" w:lineRule="auto"/>
        <w:jc w:val="left"/>
        <w:rPr>
          <w:rFonts w:ascii="宋体" w:hAnsi="宋体" w:cs="宋体"/>
          <w:kern w:val="0"/>
          <w:sz w:val="24"/>
          <w:highlight w:val="none"/>
        </w:rPr>
      </w:pPr>
    </w:p>
    <w:p>
      <w:pPr>
        <w:ind w:firstLine="1440" w:firstLineChars="600"/>
        <w:jc w:val="left"/>
        <w:rPr>
          <w:rFonts w:ascii="宋体" w:hAnsi="宋体"/>
          <w:bCs/>
          <w:sz w:val="24"/>
          <w:highlight w:val="none"/>
        </w:rPr>
      </w:pPr>
      <w:bookmarkStart w:id="219" w:name="_Toc30446"/>
      <w:r>
        <w:rPr>
          <w:rFonts w:hint="eastAsia" w:ascii="宋体" w:hAnsi="宋体"/>
          <w:bCs/>
          <w:sz w:val="24"/>
          <w:highlight w:val="none"/>
        </w:rPr>
        <w:t>响应人：（单位签章）</w:t>
      </w:r>
    </w:p>
    <w:p>
      <w:pPr>
        <w:ind w:firstLine="1440" w:firstLineChars="600"/>
        <w:jc w:val="left"/>
        <w:rPr>
          <w:rFonts w:ascii="宋体" w:hAnsi="宋体"/>
          <w:bCs/>
          <w:sz w:val="24"/>
          <w:highlight w:val="none"/>
        </w:rPr>
      </w:pPr>
    </w:p>
    <w:p>
      <w:pPr>
        <w:ind w:firstLine="1440" w:firstLineChars="600"/>
        <w:jc w:val="left"/>
        <w:rPr>
          <w:rFonts w:ascii="宋体" w:hAnsi="宋体"/>
          <w:bCs/>
          <w:sz w:val="24"/>
          <w:highlight w:val="none"/>
        </w:rPr>
      </w:pPr>
      <w:r>
        <w:rPr>
          <w:rFonts w:hint="eastAsia" w:ascii="宋体" w:hAnsi="宋体"/>
          <w:bCs/>
          <w:sz w:val="24"/>
          <w:highlight w:val="none"/>
        </w:rPr>
        <w:t>法定代表人：（电子签章）</w:t>
      </w:r>
    </w:p>
    <w:p>
      <w:pPr>
        <w:ind w:firstLine="2280" w:firstLineChars="950"/>
        <w:jc w:val="left"/>
        <w:rPr>
          <w:rFonts w:ascii="宋体" w:hAnsi="宋体"/>
          <w:bCs/>
          <w:sz w:val="24"/>
          <w:highlight w:val="none"/>
        </w:rPr>
      </w:pPr>
    </w:p>
    <w:p>
      <w:pPr>
        <w:widowControl/>
        <w:ind w:firstLine="480"/>
        <w:jc w:val="center"/>
        <w:rPr>
          <w:rFonts w:ascii="宋体" w:hAnsi="宋体"/>
          <w:bCs/>
          <w:color w:val="000000"/>
          <w:kern w:val="0"/>
          <w:sz w:val="24"/>
          <w:highlight w:val="none"/>
          <w:u w:val="single"/>
        </w:rPr>
      </w:pPr>
      <w:r>
        <w:rPr>
          <w:rFonts w:hint="eastAsia" w:ascii="宋体" w:hAnsi="宋体"/>
          <w:bCs/>
          <w:color w:val="000000"/>
          <w:kern w:val="0"/>
          <w:sz w:val="24"/>
          <w:highlight w:val="none"/>
        </w:rPr>
        <w:t>年月日</w:t>
      </w:r>
    </w:p>
    <w:p>
      <w:pPr>
        <w:spacing w:beforeLines="100" w:afterLines="100"/>
        <w:jc w:val="center"/>
        <w:rPr>
          <w:rFonts w:ascii="宋体" w:hAnsi="宋体" w:cs="宋体"/>
          <w:b/>
          <w:bCs/>
          <w:color w:val="000000"/>
          <w:sz w:val="28"/>
          <w:szCs w:val="28"/>
          <w:highlight w:val="none"/>
        </w:rPr>
      </w:pPr>
      <w:r>
        <w:rPr>
          <w:rFonts w:hint="eastAsia" w:ascii="宋体" w:hAnsi="宋体" w:cs="宋体"/>
          <w:kern w:val="0"/>
          <w:sz w:val="28"/>
          <w:szCs w:val="28"/>
          <w:highlight w:val="none"/>
        </w:rPr>
        <w:br w:type="page"/>
      </w:r>
      <w:bookmarkEnd w:id="219"/>
      <w:r>
        <w:rPr>
          <w:rFonts w:hint="eastAsia" w:ascii="宋体" w:hAnsi="宋体" w:cs="宋体"/>
          <w:b/>
          <w:bCs/>
          <w:color w:val="000000"/>
          <w:sz w:val="28"/>
          <w:szCs w:val="28"/>
          <w:highlight w:val="none"/>
        </w:rPr>
        <w:t>承诺书</w:t>
      </w:r>
    </w:p>
    <w:p>
      <w:pPr>
        <w:spacing w:beforeLines="100" w:afterLines="100"/>
        <w:ind w:firstLine="240" w:firstLineChars="100"/>
        <w:rPr>
          <w:rFonts w:ascii="宋体" w:hAnsi="宋体" w:cs="宋体"/>
          <w:color w:val="000000"/>
          <w:sz w:val="24"/>
          <w:highlight w:val="none"/>
        </w:rPr>
      </w:pPr>
      <w:r>
        <w:rPr>
          <w:rFonts w:hint="eastAsia" w:ascii="宋体" w:hAnsi="宋体" w:cs="宋体"/>
          <w:color w:val="000000"/>
          <w:sz w:val="24"/>
          <w:highlight w:val="none"/>
          <w:u w:val="single"/>
        </w:rPr>
        <w:t>（响应人名称）</w:t>
      </w:r>
      <w:r>
        <w:rPr>
          <w:rFonts w:hint="eastAsia" w:ascii="宋体" w:hAnsi="宋体" w:cs="宋体"/>
          <w:color w:val="000000"/>
          <w:sz w:val="24"/>
          <w:highlight w:val="none"/>
        </w:rPr>
        <w:t>：</w:t>
      </w:r>
    </w:p>
    <w:p>
      <w:pPr>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我方在此声明，我方拟派往（项目名称）（以下简称“本工程”）的项目负责人（项目负责人姓名）现阶段没有担任任何项目的项目负责人。</w:t>
      </w:r>
    </w:p>
    <w:p>
      <w:pPr>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我方保证上述信息的真实和准确，并愿意承担因我方就此弄虚作假所引起的一切法律后果。</w:t>
      </w:r>
    </w:p>
    <w:p>
      <w:pPr>
        <w:spacing w:line="440" w:lineRule="exact"/>
        <w:ind w:firstLine="480" w:firstLineChars="200"/>
        <w:rPr>
          <w:rFonts w:ascii="宋体" w:hAnsi="宋体" w:cs="宋体"/>
          <w:color w:val="000000"/>
          <w:sz w:val="24"/>
          <w:highlight w:val="none"/>
        </w:rPr>
      </w:pPr>
    </w:p>
    <w:p>
      <w:pPr>
        <w:spacing w:line="440" w:lineRule="exact"/>
        <w:ind w:firstLine="480" w:firstLineChars="200"/>
        <w:rPr>
          <w:rFonts w:ascii="宋体" w:hAnsi="宋体" w:cs="宋体"/>
          <w:color w:val="000000"/>
          <w:sz w:val="24"/>
          <w:highlight w:val="none"/>
        </w:rPr>
      </w:pPr>
    </w:p>
    <w:p>
      <w:pPr>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特此承诺</w:t>
      </w:r>
    </w:p>
    <w:p>
      <w:pPr>
        <w:spacing w:line="360" w:lineRule="auto"/>
        <w:ind w:firstLine="480" w:firstLineChars="200"/>
        <w:jc w:val="left"/>
        <w:rPr>
          <w:rFonts w:ascii="宋体" w:hAnsi="宋体" w:cs="宋体"/>
          <w:sz w:val="24"/>
          <w:highlight w:val="none"/>
        </w:rPr>
      </w:pPr>
    </w:p>
    <w:p>
      <w:pPr>
        <w:spacing w:line="440" w:lineRule="exact"/>
        <w:ind w:firstLine="480" w:firstLineChars="200"/>
        <w:rPr>
          <w:rFonts w:ascii="宋体" w:hAnsi="宋体" w:cs="宋体"/>
          <w:color w:val="000000"/>
          <w:sz w:val="24"/>
          <w:highlight w:val="none"/>
        </w:rPr>
      </w:pPr>
    </w:p>
    <w:p>
      <w:pPr>
        <w:spacing w:line="440" w:lineRule="exact"/>
        <w:ind w:firstLine="480" w:firstLineChars="200"/>
        <w:rPr>
          <w:rFonts w:ascii="宋体" w:hAnsi="宋体" w:cs="宋体"/>
          <w:color w:val="000000"/>
          <w:sz w:val="24"/>
          <w:highlight w:val="none"/>
        </w:rPr>
      </w:pPr>
    </w:p>
    <w:p>
      <w:pPr>
        <w:spacing w:line="440" w:lineRule="exact"/>
        <w:ind w:firstLine="480" w:firstLineChars="200"/>
        <w:rPr>
          <w:rFonts w:ascii="宋体" w:hAnsi="宋体" w:cs="宋体"/>
          <w:color w:val="000000"/>
          <w:sz w:val="24"/>
          <w:highlight w:val="none"/>
        </w:rPr>
      </w:pPr>
    </w:p>
    <w:p>
      <w:pPr>
        <w:spacing w:line="440" w:lineRule="exact"/>
        <w:ind w:firstLine="480" w:firstLineChars="200"/>
        <w:rPr>
          <w:rFonts w:ascii="宋体" w:hAnsi="宋体" w:cs="宋体"/>
          <w:color w:val="000000"/>
          <w:sz w:val="24"/>
          <w:highlight w:val="none"/>
        </w:rPr>
      </w:pPr>
    </w:p>
    <w:p>
      <w:pPr>
        <w:spacing w:line="440" w:lineRule="exact"/>
        <w:ind w:firstLine="480" w:firstLineChars="200"/>
        <w:rPr>
          <w:rFonts w:ascii="宋体" w:hAnsi="宋体" w:cs="宋体"/>
          <w:color w:val="000000"/>
          <w:sz w:val="24"/>
          <w:highlight w:val="none"/>
        </w:rPr>
      </w:pPr>
    </w:p>
    <w:p>
      <w:pPr>
        <w:spacing w:line="440" w:lineRule="exact"/>
        <w:ind w:firstLine="480" w:firstLineChars="200"/>
        <w:rPr>
          <w:rFonts w:ascii="宋体" w:hAnsi="宋体" w:cs="宋体"/>
          <w:color w:val="000000"/>
          <w:sz w:val="24"/>
          <w:highlight w:val="none"/>
        </w:rPr>
      </w:pPr>
    </w:p>
    <w:p>
      <w:pPr>
        <w:spacing w:line="440" w:lineRule="exact"/>
        <w:ind w:firstLine="480" w:firstLineChars="200"/>
        <w:rPr>
          <w:rFonts w:ascii="宋体" w:hAnsi="宋体" w:cs="宋体"/>
          <w:color w:val="000000"/>
          <w:sz w:val="24"/>
          <w:highlight w:val="none"/>
        </w:rPr>
      </w:pPr>
    </w:p>
    <w:p>
      <w:pPr>
        <w:ind w:firstLine="1440" w:firstLineChars="600"/>
        <w:jc w:val="left"/>
        <w:rPr>
          <w:rFonts w:ascii="宋体" w:hAnsi="宋体"/>
          <w:bCs/>
          <w:sz w:val="24"/>
          <w:highlight w:val="none"/>
        </w:rPr>
      </w:pPr>
      <w:r>
        <w:rPr>
          <w:rFonts w:hint="eastAsia" w:ascii="宋体" w:hAnsi="宋体"/>
          <w:bCs/>
          <w:sz w:val="24"/>
          <w:highlight w:val="none"/>
        </w:rPr>
        <w:t>响应人：（单位签章）</w:t>
      </w:r>
    </w:p>
    <w:p>
      <w:pPr>
        <w:ind w:firstLine="1440" w:firstLineChars="600"/>
        <w:jc w:val="left"/>
        <w:rPr>
          <w:rFonts w:ascii="宋体" w:hAnsi="宋体"/>
          <w:bCs/>
          <w:sz w:val="24"/>
          <w:highlight w:val="none"/>
        </w:rPr>
      </w:pPr>
    </w:p>
    <w:p>
      <w:pPr>
        <w:ind w:firstLine="1440" w:firstLineChars="600"/>
        <w:jc w:val="left"/>
        <w:rPr>
          <w:rFonts w:ascii="宋体" w:hAnsi="宋体"/>
          <w:bCs/>
          <w:sz w:val="24"/>
          <w:highlight w:val="none"/>
        </w:rPr>
      </w:pPr>
      <w:r>
        <w:rPr>
          <w:rFonts w:hint="eastAsia" w:ascii="宋体" w:hAnsi="宋体"/>
          <w:bCs/>
          <w:sz w:val="24"/>
          <w:highlight w:val="none"/>
        </w:rPr>
        <w:t>法定代表人：（电子签章）</w:t>
      </w:r>
    </w:p>
    <w:p>
      <w:pPr>
        <w:ind w:firstLine="2280" w:firstLineChars="950"/>
        <w:jc w:val="left"/>
        <w:rPr>
          <w:rFonts w:ascii="宋体" w:hAnsi="宋体"/>
          <w:bCs/>
          <w:sz w:val="24"/>
          <w:highlight w:val="none"/>
        </w:rPr>
      </w:pPr>
    </w:p>
    <w:p>
      <w:pPr>
        <w:widowControl/>
        <w:ind w:firstLine="480"/>
        <w:jc w:val="center"/>
        <w:rPr>
          <w:rFonts w:ascii="宋体" w:hAnsi="宋体"/>
          <w:bCs/>
          <w:color w:val="000000"/>
          <w:kern w:val="0"/>
          <w:sz w:val="24"/>
          <w:highlight w:val="none"/>
          <w:u w:val="single"/>
        </w:rPr>
      </w:pPr>
      <w:r>
        <w:rPr>
          <w:rFonts w:hint="eastAsia" w:ascii="宋体" w:hAnsi="宋体"/>
          <w:bCs/>
          <w:color w:val="000000"/>
          <w:kern w:val="0"/>
          <w:sz w:val="24"/>
          <w:highlight w:val="none"/>
        </w:rPr>
        <w:t>年月日</w:t>
      </w:r>
    </w:p>
    <w:p>
      <w:pPr>
        <w:rPr>
          <w:rFonts w:ascii="宋体" w:hAnsi="宋体" w:cs="宋体"/>
          <w:b/>
          <w:kern w:val="0"/>
          <w:sz w:val="28"/>
          <w:szCs w:val="28"/>
          <w:highlight w:val="none"/>
        </w:rPr>
      </w:pPr>
      <w:r>
        <w:rPr>
          <w:rFonts w:hint="eastAsia" w:ascii="宋体" w:hAnsi="宋体" w:cs="宋体"/>
          <w:b/>
          <w:kern w:val="0"/>
          <w:sz w:val="28"/>
          <w:szCs w:val="28"/>
          <w:highlight w:val="none"/>
        </w:rPr>
        <w:br w:type="page"/>
      </w:r>
    </w:p>
    <w:p>
      <w:pPr>
        <w:jc w:val="center"/>
        <w:outlineLvl w:val="0"/>
        <w:rPr>
          <w:rFonts w:ascii="宋体" w:hAnsi="宋体"/>
          <w:b/>
          <w:color w:val="000000"/>
          <w:sz w:val="28"/>
          <w:szCs w:val="28"/>
          <w:highlight w:val="none"/>
        </w:rPr>
      </w:pPr>
      <w:bookmarkStart w:id="220" w:name="_Toc17082"/>
      <w:r>
        <w:rPr>
          <w:rFonts w:hint="eastAsia" w:ascii="宋体" w:hAnsi="宋体"/>
          <w:b/>
          <w:color w:val="000000"/>
          <w:sz w:val="28"/>
          <w:szCs w:val="28"/>
          <w:highlight w:val="none"/>
        </w:rPr>
        <w:t>七、</w:t>
      </w:r>
      <w:bookmarkStart w:id="221" w:name="_Toc20820"/>
      <w:r>
        <w:rPr>
          <w:rFonts w:hint="eastAsia" w:ascii="宋体" w:hAnsi="宋体"/>
          <w:b/>
          <w:color w:val="000000"/>
          <w:sz w:val="28"/>
          <w:szCs w:val="28"/>
          <w:highlight w:val="none"/>
        </w:rPr>
        <w:t>投标承诺函</w:t>
      </w:r>
      <w:bookmarkEnd w:id="220"/>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致（采购人及采购代理机构）：</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我公司作为本次采购项目的响应人，根据采购文件要求，现郑重承诺如下：</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一、具备《中华人民共和国政府采购法》第二十二条第一款和本项目规定的条件：</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（1）具有独立承担民事责任的能力;</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（2）具有良好的商业信誉和健全的财务会计制度；</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（3）具有履行合同所必需的设备和专业技术能力；</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（4）有依法缴纳税金和社会保障资金的良好记录；</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（5）参加政府采购活动前三年内，在经营活动中没有重大违法记录；</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（6）法律、行政法规规定的其他条件；</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（7）根据采购项目提出的特殊条件。</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二、完全接受和满足本项目采购文件中规定的实质性要求，如对采购文件有异议，已经在投标截止时间届满前依法进行维权救济，不存在对采购文件有异议的同时又参加投标以求侥幸中标或者为实现其他非法目的的行为。</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三、参见本次招标采购活动，不存在与单位负责人为同一人或者存在直接控股、管理关系的其他响应人参与同一合同项下的政府采购活动的行为。</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四、参加本次招标采购活动，不存在为采购项目提供整体设计、规范编制或者项目管理、监理、检测等服务的行为。</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五、参加本次招标采购活动，不存在和其他响应人在同一合同项下的采购项目中，同时委托同一个自然人、同一家庭的人员、同一单位的人员作为代理人的行为。</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六、响应人参加本次政府才够互动要求在近三年内响应人和其法定代表人没有行贿犯罪行为。</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七、参加本次招标采购办活动，不存在联合体投标。</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八、响应文件中提供的能够给予我公司带来优惠、好处的任何材料资料和技术、服务、商务等响应承诺情况都是真实的、有效的、合法的。</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九、如本项目评标过程中需要提供样品，则我公司提供的样品即为中标后将要提供的中标产品，我公司对提供样品的性能和质量负责，因样品存在缺陷或者不符合采购文件要求导致未能中标的，我公司愿意承担相应不利后果。（如提供样品）</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十、存在以下行为之一的愿意接受相关部门的处理：</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（一）投标有效期内撤销响应文件的；</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（二）在采购人确定中标人以前放弃中标候选资格的；</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（三）由于中标人的原因未能按照采购文件的规定与采购人签订合同；</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（四）由于中标人的原因未能按照采购文件的规定交纳履约保证金；</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（五）在响应文件中提供虚假材料谋取中标；</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（六）与采购人、其他响应人或者采购代理机构恶意串通的；</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（七）投标有效期内，响应人在政府采购活动中有违法、违规、违纪行为。</w:t>
      </w:r>
    </w:p>
    <w:p>
      <w:pPr>
        <w:spacing w:line="500" w:lineRule="exact"/>
        <w:jc w:val="left"/>
        <w:rPr>
          <w:rFonts w:ascii="宋体" w:hAnsi="宋体"/>
          <w:bCs/>
          <w:sz w:val="24"/>
          <w:highlight w:val="none"/>
        </w:rPr>
      </w:pPr>
      <w:r>
        <w:rPr>
          <w:rFonts w:hint="eastAsia" w:ascii="宋体" w:hAnsi="宋体"/>
          <w:bCs/>
          <w:sz w:val="24"/>
          <w:highlight w:val="none"/>
        </w:rPr>
        <w:t>由此产生的一切法律后果和责任由我公司承担。</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我公司声明放弃对此提出任何异议和追索的权利。</w:t>
      </w:r>
    </w:p>
    <w:p>
      <w:pPr>
        <w:spacing w:line="500" w:lineRule="exact"/>
        <w:ind w:firstLine="480" w:firstLineChars="200"/>
        <w:jc w:val="left"/>
        <w:rPr>
          <w:rFonts w:ascii="宋体" w:hAnsi="宋体"/>
          <w:bCs/>
          <w:sz w:val="24"/>
          <w:highlight w:val="none"/>
        </w:rPr>
      </w:pPr>
      <w:r>
        <w:rPr>
          <w:rFonts w:hint="eastAsia" w:ascii="宋体" w:hAnsi="宋体"/>
          <w:bCs/>
          <w:sz w:val="24"/>
          <w:highlight w:val="none"/>
        </w:rPr>
        <w:t>本公司对上述承诺的内容事项真实性负责。如经查实上述承诺的内容事项存在虚假，我公司愿意接受以提供虚假材料谋取中标追究法律责任。</w:t>
      </w:r>
    </w:p>
    <w:p>
      <w:pPr>
        <w:ind w:firstLine="1440" w:firstLineChars="600"/>
        <w:jc w:val="left"/>
        <w:rPr>
          <w:rFonts w:ascii="宋体" w:hAnsi="宋体"/>
          <w:bCs/>
          <w:sz w:val="24"/>
          <w:highlight w:val="none"/>
        </w:rPr>
      </w:pPr>
    </w:p>
    <w:p>
      <w:pPr>
        <w:ind w:firstLine="1440" w:firstLineChars="600"/>
        <w:jc w:val="left"/>
        <w:rPr>
          <w:rFonts w:ascii="宋体" w:hAnsi="宋体"/>
          <w:bCs/>
          <w:sz w:val="24"/>
          <w:highlight w:val="none"/>
        </w:rPr>
      </w:pPr>
    </w:p>
    <w:p>
      <w:pPr>
        <w:ind w:firstLine="1440" w:firstLineChars="600"/>
        <w:jc w:val="left"/>
        <w:rPr>
          <w:rFonts w:ascii="宋体" w:hAnsi="宋体"/>
          <w:bCs/>
          <w:sz w:val="24"/>
          <w:highlight w:val="none"/>
        </w:rPr>
      </w:pPr>
    </w:p>
    <w:p>
      <w:pPr>
        <w:ind w:firstLine="1440" w:firstLineChars="600"/>
        <w:jc w:val="left"/>
        <w:rPr>
          <w:rFonts w:ascii="宋体" w:hAnsi="宋体"/>
          <w:bCs/>
          <w:sz w:val="24"/>
          <w:highlight w:val="none"/>
        </w:rPr>
      </w:pPr>
    </w:p>
    <w:p>
      <w:pPr>
        <w:ind w:firstLine="1440" w:firstLineChars="600"/>
        <w:jc w:val="left"/>
        <w:rPr>
          <w:rFonts w:ascii="宋体" w:hAnsi="宋体"/>
          <w:bCs/>
          <w:sz w:val="24"/>
          <w:highlight w:val="none"/>
        </w:rPr>
      </w:pPr>
    </w:p>
    <w:p>
      <w:pPr>
        <w:ind w:firstLine="1440" w:firstLineChars="600"/>
        <w:jc w:val="left"/>
        <w:rPr>
          <w:rFonts w:ascii="宋体" w:hAnsi="宋体"/>
          <w:bCs/>
          <w:sz w:val="24"/>
          <w:highlight w:val="none"/>
        </w:rPr>
      </w:pPr>
      <w:r>
        <w:rPr>
          <w:rFonts w:hint="eastAsia" w:ascii="宋体" w:hAnsi="宋体"/>
          <w:bCs/>
          <w:sz w:val="24"/>
          <w:highlight w:val="none"/>
        </w:rPr>
        <w:t>响应人：（单位签章）</w:t>
      </w:r>
    </w:p>
    <w:p>
      <w:pPr>
        <w:ind w:firstLine="1440" w:firstLineChars="600"/>
        <w:jc w:val="left"/>
        <w:rPr>
          <w:rFonts w:ascii="宋体" w:hAnsi="宋体"/>
          <w:bCs/>
          <w:sz w:val="24"/>
          <w:highlight w:val="none"/>
        </w:rPr>
      </w:pPr>
    </w:p>
    <w:p>
      <w:pPr>
        <w:ind w:firstLine="1440" w:firstLineChars="600"/>
        <w:jc w:val="left"/>
        <w:rPr>
          <w:rFonts w:ascii="宋体" w:hAnsi="宋体"/>
          <w:bCs/>
          <w:sz w:val="24"/>
          <w:highlight w:val="none"/>
        </w:rPr>
      </w:pPr>
      <w:r>
        <w:rPr>
          <w:rFonts w:hint="eastAsia" w:ascii="宋体" w:hAnsi="宋体"/>
          <w:bCs/>
          <w:sz w:val="24"/>
          <w:highlight w:val="none"/>
        </w:rPr>
        <w:t>法定代表人：（电子签章）</w:t>
      </w:r>
    </w:p>
    <w:p>
      <w:pPr>
        <w:ind w:firstLine="2280" w:firstLineChars="950"/>
        <w:jc w:val="left"/>
        <w:rPr>
          <w:rFonts w:ascii="宋体" w:hAnsi="宋体"/>
          <w:bCs/>
          <w:sz w:val="24"/>
          <w:highlight w:val="none"/>
        </w:rPr>
      </w:pPr>
    </w:p>
    <w:p>
      <w:pPr>
        <w:widowControl/>
        <w:ind w:firstLine="480"/>
        <w:jc w:val="center"/>
        <w:rPr>
          <w:rFonts w:ascii="宋体" w:hAnsi="宋体"/>
          <w:bCs/>
          <w:color w:val="000000"/>
          <w:kern w:val="0"/>
          <w:sz w:val="24"/>
          <w:highlight w:val="none"/>
          <w:u w:val="single"/>
        </w:rPr>
      </w:pPr>
      <w:r>
        <w:rPr>
          <w:rFonts w:hint="eastAsia" w:ascii="宋体" w:hAnsi="宋体"/>
          <w:bCs/>
          <w:color w:val="000000"/>
          <w:kern w:val="0"/>
          <w:sz w:val="24"/>
          <w:highlight w:val="none"/>
        </w:rPr>
        <w:t>年月日</w:t>
      </w:r>
    </w:p>
    <w:p>
      <w:pPr>
        <w:spacing w:line="360" w:lineRule="auto"/>
        <w:ind w:firstLine="480" w:firstLineChars="200"/>
        <w:contextualSpacing/>
        <w:rPr>
          <w:rFonts w:ascii="宋体" w:hAnsi="宋体"/>
          <w:sz w:val="24"/>
          <w:highlight w:val="none"/>
        </w:rPr>
      </w:pPr>
    </w:p>
    <w:p>
      <w:pPr>
        <w:spacing w:line="360" w:lineRule="auto"/>
        <w:jc w:val="center"/>
        <w:outlineLvl w:val="0"/>
        <w:rPr>
          <w:rFonts w:ascii="宋体" w:hAnsi="宋体" w:cs="宋体"/>
          <w:b/>
          <w:bCs/>
          <w:sz w:val="30"/>
          <w:szCs w:val="22"/>
          <w:highlight w:val="none"/>
        </w:rPr>
      </w:pPr>
      <w:r>
        <w:rPr>
          <w:rFonts w:hint="eastAsia" w:ascii="宋体" w:hAnsi="宋体" w:cs="宋体"/>
          <w:b/>
          <w:bCs/>
          <w:sz w:val="30"/>
          <w:szCs w:val="22"/>
          <w:highlight w:val="none"/>
        </w:rPr>
        <w:br w:type="page"/>
      </w:r>
      <w:bookmarkEnd w:id="221"/>
      <w:bookmarkStart w:id="222" w:name="_Toc2459"/>
      <w:r>
        <w:rPr>
          <w:rFonts w:hint="eastAsia" w:ascii="宋体" w:hAnsi="宋体"/>
          <w:b/>
          <w:color w:val="000000"/>
          <w:sz w:val="28"/>
          <w:szCs w:val="28"/>
          <w:highlight w:val="none"/>
        </w:rPr>
        <w:t>八、响应人应附的其它资料</w:t>
      </w:r>
      <w:bookmarkEnd w:id="222"/>
    </w:p>
    <w:p>
      <w:pPr>
        <w:rPr>
          <w:highlight w:val="none"/>
        </w:rPr>
      </w:pPr>
      <w:r>
        <w:rPr>
          <w:highlight w:val="none"/>
        </w:rPr>
        <w:br w:type="page"/>
      </w:r>
    </w:p>
    <w:p>
      <w:pPr>
        <w:spacing w:line="360" w:lineRule="auto"/>
        <w:jc w:val="center"/>
        <w:outlineLvl w:val="0"/>
        <w:rPr>
          <w:rFonts w:ascii="宋体" w:hAnsi="宋体"/>
          <w:b/>
          <w:color w:val="000000"/>
          <w:sz w:val="28"/>
          <w:szCs w:val="28"/>
          <w:highlight w:val="none"/>
        </w:rPr>
      </w:pPr>
      <w:bookmarkStart w:id="223" w:name="_Toc234242181"/>
      <w:bookmarkEnd w:id="223"/>
      <w:bookmarkStart w:id="224" w:name="_Toc234382982"/>
      <w:bookmarkEnd w:id="224"/>
      <w:bookmarkStart w:id="225" w:name="_Toc17448"/>
      <w:r>
        <w:rPr>
          <w:rFonts w:hint="eastAsia" w:ascii="宋体" w:hAnsi="宋体"/>
          <w:b/>
          <w:color w:val="000000"/>
          <w:sz w:val="28"/>
          <w:szCs w:val="28"/>
          <w:highlight w:val="none"/>
        </w:rPr>
        <w:t>九、中小微企业声明函</w:t>
      </w:r>
      <w:bookmarkEnd w:id="225"/>
    </w:p>
    <w:p>
      <w:pPr>
        <w:spacing w:line="360" w:lineRule="auto"/>
        <w:ind w:left="59" w:leftChars="28"/>
        <w:jc w:val="center"/>
        <w:rPr>
          <w:rFonts w:ascii="宋体" w:hAnsi="宋体" w:cs="宋体"/>
          <w:sz w:val="24"/>
          <w:highlight w:val="none"/>
        </w:rPr>
      </w:pPr>
      <w:bookmarkStart w:id="226" w:name="_Toc9571_WPSOffice_Level2"/>
      <w:bookmarkStart w:id="227" w:name="_Toc5242_WPSOffice_Level2"/>
      <w:bookmarkStart w:id="228" w:name="_Toc32209_WPSOffice_Level2"/>
      <w:r>
        <w:rPr>
          <w:rFonts w:hint="eastAsia" w:ascii="宋体" w:hAnsi="宋体" w:cs="宋体"/>
          <w:sz w:val="24"/>
          <w:highlight w:val="none"/>
        </w:rPr>
        <w:t>（属于中小微企业的填写，不属于的无需填写此项内容）</w:t>
      </w:r>
      <w:bookmarkEnd w:id="226"/>
      <w:bookmarkEnd w:id="227"/>
      <w:bookmarkEnd w:id="228"/>
    </w:p>
    <w:p>
      <w:pPr>
        <w:widowControl/>
        <w:spacing w:line="360" w:lineRule="auto"/>
        <w:ind w:firstLine="480" w:firstLineChars="200"/>
        <w:jc w:val="left"/>
        <w:rPr>
          <w:rFonts w:ascii="宋体" w:hAnsi="宋体" w:cs="宋体"/>
          <w:color w:val="000000"/>
          <w:kern w:val="0"/>
          <w:sz w:val="24"/>
          <w:highlight w:val="none"/>
        </w:rPr>
      </w:pPr>
    </w:p>
    <w:p>
      <w:pPr>
        <w:widowControl/>
        <w:spacing w:line="360" w:lineRule="auto"/>
        <w:ind w:firstLine="480" w:firstLineChars="200"/>
        <w:jc w:val="left"/>
        <w:rPr>
          <w:sz w:val="24"/>
          <w:highlight w:val="none"/>
        </w:rPr>
      </w:pPr>
      <w:r>
        <w:rPr>
          <w:rFonts w:hint="eastAsia" w:ascii="宋体" w:hAnsi="宋体" w:cs="宋体"/>
          <w:color w:val="000000"/>
          <w:kern w:val="0"/>
          <w:sz w:val="24"/>
          <w:highlight w:val="none"/>
        </w:rPr>
        <w:t>本公司郑重声明，根据《政府采购促进中小企业发展暂行办法》（财库〔2011〕181号）的规定，本公司为______（请填写：中型、小型、微型）企业。即，本公司同时满足以下条件：</w:t>
      </w:r>
    </w:p>
    <w:p>
      <w:pPr>
        <w:widowControl/>
        <w:spacing w:line="360" w:lineRule="auto"/>
        <w:ind w:firstLine="480" w:firstLineChars="200"/>
        <w:jc w:val="left"/>
        <w:rPr>
          <w:sz w:val="24"/>
          <w:highlight w:val="none"/>
        </w:rPr>
      </w:pPr>
      <w:r>
        <w:rPr>
          <w:rFonts w:hint="eastAsia" w:ascii="宋体" w:hAnsi="宋体" w:cs="宋体"/>
          <w:color w:val="000000"/>
          <w:kern w:val="0"/>
          <w:sz w:val="24"/>
          <w:highlight w:val="none"/>
        </w:rPr>
        <w:t>1、根据《工业和信息化部、国家统计局、国家发展和改革委员会、财政部关于印发中小企业划型标准规定的通知》（工信部联企业〔2011〕300号）规定的划分标准，本公司属于第四条第______项______行业，为______（请填写：中型、小型、微型）企业。</w:t>
      </w:r>
    </w:p>
    <w:p>
      <w:pPr>
        <w:widowControl/>
        <w:spacing w:line="360" w:lineRule="auto"/>
        <w:ind w:firstLine="480" w:firstLineChars="200"/>
        <w:jc w:val="left"/>
        <w:rPr>
          <w:sz w:val="24"/>
          <w:highlight w:val="none"/>
        </w:rPr>
      </w:pPr>
      <w:r>
        <w:rPr>
          <w:rFonts w:hint="eastAsia" w:ascii="宋体" w:hAnsi="宋体" w:cs="宋体"/>
          <w:color w:val="000000"/>
          <w:kern w:val="0"/>
          <w:sz w:val="24"/>
          <w:highlight w:val="none"/>
        </w:rPr>
        <w:t>2、本公司参加</w:t>
      </w:r>
      <w:r>
        <w:rPr>
          <w:rFonts w:hint="eastAsia" w:ascii="宋体" w:hAnsi="宋体" w:cs="宋体"/>
          <w:color w:val="000000"/>
          <w:kern w:val="0"/>
          <w:sz w:val="24"/>
          <w:highlight w:val="none"/>
          <w:u w:val="single"/>
        </w:rPr>
        <w:t>（采购项目名称）</w:t>
      </w:r>
      <w:r>
        <w:rPr>
          <w:rFonts w:hint="eastAsia" w:ascii="宋体" w:hAnsi="宋体" w:cs="宋体"/>
          <w:color w:val="000000"/>
          <w:kern w:val="0"/>
          <w:sz w:val="24"/>
          <w:highlight w:val="none"/>
        </w:rPr>
        <w:t>采购活动提供本企业的服务。本公司对上述声明的真实性负责。如有虚假，将承担相应的法律责任。</w:t>
      </w:r>
    </w:p>
    <w:p>
      <w:pPr>
        <w:widowControl/>
        <w:spacing w:line="360" w:lineRule="auto"/>
        <w:ind w:firstLine="4800" w:firstLineChars="2000"/>
        <w:jc w:val="left"/>
        <w:rPr>
          <w:rFonts w:ascii="宋体" w:hAnsi="宋体" w:cs="宋体"/>
          <w:color w:val="000000"/>
          <w:kern w:val="0"/>
          <w:sz w:val="24"/>
          <w:highlight w:val="none"/>
        </w:rPr>
      </w:pPr>
    </w:p>
    <w:p>
      <w:pPr>
        <w:widowControl/>
        <w:spacing w:line="360" w:lineRule="auto"/>
        <w:jc w:val="left"/>
        <w:rPr>
          <w:rFonts w:ascii="宋体" w:hAnsi="宋体" w:cs="宋体"/>
          <w:color w:val="000000"/>
          <w:kern w:val="0"/>
          <w:sz w:val="24"/>
          <w:highlight w:val="none"/>
        </w:rPr>
      </w:pPr>
      <w:r>
        <w:rPr>
          <w:rFonts w:hint="eastAsia" w:ascii="宋体" w:hAnsi="宋体" w:cs="宋体"/>
          <w:color w:val="000000"/>
          <w:kern w:val="0"/>
          <w:sz w:val="24"/>
          <w:highlight w:val="none"/>
        </w:rPr>
        <w:t>企业：(盖单位公章)</w:t>
      </w:r>
    </w:p>
    <w:p>
      <w:pPr>
        <w:widowControl/>
        <w:spacing w:line="360" w:lineRule="auto"/>
        <w:jc w:val="left"/>
        <w:rPr>
          <w:rFonts w:ascii="宋体" w:hAnsi="宋体" w:cs="宋体"/>
          <w:color w:val="000000"/>
          <w:kern w:val="0"/>
          <w:sz w:val="24"/>
          <w:highlight w:val="none"/>
        </w:rPr>
      </w:pPr>
      <w:r>
        <w:rPr>
          <w:rFonts w:hint="eastAsia" w:ascii="宋体" w:hAnsi="宋体" w:cs="宋体"/>
          <w:color w:val="000000"/>
          <w:kern w:val="0"/>
          <w:sz w:val="24"/>
          <w:highlight w:val="none"/>
        </w:rPr>
        <w:t>日期：年月日</w:t>
      </w:r>
    </w:p>
    <w:p>
      <w:pPr>
        <w:widowControl/>
        <w:spacing w:line="360" w:lineRule="auto"/>
        <w:ind w:firstLine="480" w:firstLineChars="200"/>
        <w:jc w:val="left"/>
        <w:rPr>
          <w:rFonts w:ascii="宋体" w:hAnsi="宋体" w:cs="宋体"/>
          <w:color w:val="000000"/>
          <w:kern w:val="0"/>
          <w:sz w:val="24"/>
          <w:highlight w:val="none"/>
        </w:rPr>
      </w:pPr>
    </w:p>
    <w:p>
      <w:pPr>
        <w:widowControl/>
        <w:spacing w:line="360" w:lineRule="auto"/>
        <w:ind w:firstLine="480" w:firstLineChars="200"/>
        <w:jc w:val="left"/>
        <w:rPr>
          <w:sz w:val="24"/>
          <w:highlight w:val="none"/>
        </w:rPr>
      </w:pPr>
      <w:r>
        <w:rPr>
          <w:rFonts w:hint="eastAsia" w:ascii="宋体" w:hAnsi="宋体" w:cs="宋体"/>
          <w:color w:val="000000"/>
          <w:kern w:val="0"/>
          <w:sz w:val="24"/>
          <w:highlight w:val="none"/>
        </w:rPr>
        <w:t>财政部、工信部关于印发《政府采购促进中小企业发展暂行办法》的通知（财库〔2011〕181号）第二条规定：中小企业（含中型、小型、微型企业）应当同时符合以下条件：</w:t>
      </w:r>
    </w:p>
    <w:p>
      <w:pPr>
        <w:widowControl/>
        <w:spacing w:line="360" w:lineRule="auto"/>
        <w:ind w:firstLine="480" w:firstLineChars="200"/>
        <w:jc w:val="left"/>
        <w:rPr>
          <w:sz w:val="24"/>
          <w:highlight w:val="none"/>
        </w:rPr>
      </w:pPr>
      <w:r>
        <w:rPr>
          <w:rFonts w:hint="eastAsia" w:ascii="宋体" w:hAnsi="宋体" w:cs="宋体"/>
          <w:color w:val="000000"/>
          <w:kern w:val="0"/>
          <w:sz w:val="24"/>
          <w:highlight w:val="none"/>
        </w:rPr>
        <w:t>（一）符合中小企业划分标准（见工业和信息化部国家统计局国家发展和改革委员财政部《关于印发中小企业划型标准规定的通知》（工信部联企业〔2011〕300号)）；</w:t>
      </w:r>
    </w:p>
    <w:p>
      <w:pPr>
        <w:widowControl/>
        <w:spacing w:line="360" w:lineRule="auto"/>
        <w:ind w:firstLine="480" w:firstLineChars="200"/>
        <w:jc w:val="left"/>
        <w:rPr>
          <w:sz w:val="24"/>
          <w:highlight w:val="none"/>
        </w:rPr>
      </w:pPr>
      <w:r>
        <w:rPr>
          <w:rFonts w:hint="eastAsia" w:ascii="宋体" w:hAnsi="宋体" w:cs="宋体"/>
          <w:color w:val="000000"/>
          <w:kern w:val="0"/>
          <w:sz w:val="24"/>
          <w:highlight w:val="none"/>
        </w:rPr>
        <w:t>（二）提供本企业制造的货物、承担的工程或者服务，或者提供其他中小企业制造的货物。本项所称货物不包括使用大型企业注册商标的货物。</w:t>
      </w:r>
    </w:p>
    <w:p>
      <w:pPr>
        <w:widowControl/>
        <w:spacing w:line="360" w:lineRule="auto"/>
        <w:ind w:firstLine="480" w:firstLineChars="200"/>
        <w:jc w:val="left"/>
        <w:rPr>
          <w:sz w:val="24"/>
          <w:highlight w:val="none"/>
        </w:rPr>
      </w:pPr>
      <w:r>
        <w:rPr>
          <w:rFonts w:hint="eastAsia" w:ascii="宋体" w:hAnsi="宋体" w:cs="宋体"/>
          <w:color w:val="000000"/>
          <w:kern w:val="0"/>
          <w:sz w:val="24"/>
          <w:highlight w:val="none"/>
        </w:rPr>
        <w:t>本办法所称中小企业划分标准，是指国务院有关部门根据企业从业人员、营业收入、资产总额等指标制定的中小企业划型标准。</w:t>
      </w:r>
    </w:p>
    <w:p>
      <w:pPr>
        <w:widowControl/>
        <w:spacing w:line="360" w:lineRule="auto"/>
        <w:ind w:firstLine="480" w:firstLineChars="200"/>
        <w:jc w:val="left"/>
        <w:rPr>
          <w:sz w:val="24"/>
          <w:highlight w:val="none"/>
        </w:rPr>
      </w:pPr>
      <w:r>
        <w:rPr>
          <w:rFonts w:hint="eastAsia" w:ascii="宋体" w:hAnsi="宋体" w:cs="宋体"/>
          <w:color w:val="000000"/>
          <w:kern w:val="0"/>
          <w:sz w:val="24"/>
          <w:highlight w:val="none"/>
        </w:rPr>
        <w:t>小型、微型企业提供中型企业制造的货物的，视同为中型企业。</w:t>
      </w:r>
    </w:p>
    <w:p>
      <w:pPr>
        <w:widowControl/>
        <w:spacing w:line="360" w:lineRule="auto"/>
        <w:ind w:firstLine="482" w:firstLineChars="200"/>
        <w:jc w:val="left"/>
        <w:rPr>
          <w:rFonts w:ascii="宋体" w:hAnsi="宋体" w:cs="宋体"/>
          <w:b/>
          <w:color w:val="000000"/>
          <w:kern w:val="0"/>
          <w:sz w:val="24"/>
          <w:highlight w:val="none"/>
        </w:rPr>
      </w:pPr>
    </w:p>
    <w:p>
      <w:pPr>
        <w:widowControl/>
        <w:spacing w:line="360" w:lineRule="auto"/>
        <w:rPr>
          <w:rFonts w:ascii="宋体" w:hAnsi="宋体" w:cs="宋体"/>
          <w:b/>
          <w:highlight w:val="none"/>
        </w:rPr>
      </w:pPr>
      <w:r>
        <w:rPr>
          <w:rFonts w:hint="eastAsia" w:ascii="宋体" w:hAnsi="宋体" w:cs="宋体"/>
          <w:b/>
          <w:sz w:val="24"/>
          <w:highlight w:val="none"/>
        </w:rPr>
        <w:t>（提醒：如果供应商不满足小型、微型企业的认定标准，或所投产品的制造商不符合小型、微型企业认定标准的，则不需要提供《中小企业声明函》。否则，因此导致虚假投标的后果由供应商自行承担。）</w:t>
      </w:r>
    </w:p>
    <w:p>
      <w:pPr>
        <w:rPr>
          <w:highlight w:val="none"/>
        </w:rPr>
      </w:pPr>
    </w:p>
    <w:p>
      <w:pPr>
        <w:rPr>
          <w:color w:val="000000"/>
          <w:sz w:val="32"/>
          <w:szCs w:val="32"/>
          <w:highlight w:val="none"/>
        </w:rPr>
      </w:pPr>
      <w:r>
        <w:rPr>
          <w:rFonts w:hint="eastAsia"/>
          <w:color w:val="000000"/>
          <w:sz w:val="32"/>
          <w:szCs w:val="32"/>
          <w:highlight w:val="none"/>
        </w:rPr>
        <w:br w:type="page"/>
      </w:r>
    </w:p>
    <w:p>
      <w:pPr>
        <w:spacing w:line="360" w:lineRule="auto"/>
        <w:jc w:val="center"/>
        <w:outlineLvl w:val="0"/>
        <w:rPr>
          <w:rFonts w:ascii="宋体" w:hAnsi="宋体"/>
          <w:b/>
          <w:color w:val="000000"/>
          <w:sz w:val="28"/>
          <w:szCs w:val="28"/>
          <w:highlight w:val="none"/>
        </w:rPr>
      </w:pPr>
      <w:bookmarkStart w:id="229" w:name="_Toc13286"/>
      <w:r>
        <w:rPr>
          <w:rFonts w:hint="eastAsia" w:ascii="宋体" w:hAnsi="宋体"/>
          <w:b/>
          <w:color w:val="000000"/>
          <w:sz w:val="28"/>
          <w:szCs w:val="28"/>
          <w:highlight w:val="none"/>
        </w:rPr>
        <w:t>十、残疾人福利性单位声明函</w:t>
      </w:r>
      <w:bookmarkEnd w:id="229"/>
    </w:p>
    <w:p>
      <w:pPr>
        <w:spacing w:line="360" w:lineRule="auto"/>
        <w:ind w:left="59" w:leftChars="28"/>
        <w:jc w:val="center"/>
        <w:rPr>
          <w:rFonts w:ascii="宋体" w:hAnsi="宋体" w:cs="宋体"/>
          <w:sz w:val="24"/>
          <w:highlight w:val="none"/>
        </w:rPr>
      </w:pPr>
      <w:bookmarkStart w:id="230" w:name="_Toc13796_WPSOffice_Level2"/>
      <w:bookmarkStart w:id="231" w:name="_Toc21113_WPSOffice_Level2"/>
      <w:bookmarkStart w:id="232" w:name="_Toc31670_WPSOffice_Level2"/>
      <w:r>
        <w:rPr>
          <w:rFonts w:hint="eastAsia" w:ascii="宋体" w:hAnsi="宋体" w:cs="宋体"/>
          <w:sz w:val="24"/>
          <w:highlight w:val="none"/>
        </w:rPr>
        <w:t>（属于残疾人福利性单位的填写，不属于的无需填写此项内容）</w:t>
      </w:r>
      <w:bookmarkEnd w:id="230"/>
      <w:bookmarkEnd w:id="231"/>
      <w:bookmarkEnd w:id="232"/>
    </w:p>
    <w:p>
      <w:pPr>
        <w:spacing w:line="360" w:lineRule="auto"/>
        <w:rPr>
          <w:rFonts w:ascii="宋体" w:hAnsi="宋体" w:cs="宋体"/>
          <w:b/>
          <w:spacing w:val="6"/>
          <w:sz w:val="24"/>
          <w:highlight w:val="none"/>
        </w:rPr>
      </w:pPr>
    </w:p>
    <w:p>
      <w:pPr>
        <w:spacing w:line="360" w:lineRule="auto"/>
        <w:ind w:firstLine="504" w:firstLineChars="200"/>
        <w:rPr>
          <w:rFonts w:ascii="宋体" w:hAnsi="宋体" w:cs="宋体"/>
          <w:spacing w:val="6"/>
          <w:sz w:val="24"/>
          <w:highlight w:val="none"/>
        </w:rPr>
      </w:pPr>
      <w:r>
        <w:rPr>
          <w:rFonts w:hint="eastAsia" w:ascii="宋体" w:hAnsi="宋体" w:cs="宋体"/>
          <w:spacing w:val="6"/>
          <w:sz w:val="24"/>
          <w:highlight w:val="none"/>
        </w:rPr>
        <w:t>本单位郑重声明，根据《财政部民政部中国残疾人联合会关于促进残疾人就业政府采购政策的通知》（财库</w:t>
      </w:r>
      <w:r>
        <w:rPr>
          <w:rFonts w:hint="eastAsia" w:ascii="宋体" w:hAnsi="宋体" w:cs="宋体"/>
          <w:sz w:val="24"/>
          <w:highlight w:val="none"/>
        </w:rPr>
        <w:t>〔2017〕141</w:t>
      </w:r>
      <w:r>
        <w:rPr>
          <w:rFonts w:hint="eastAsia" w:ascii="宋体" w:hAnsi="宋体" w:cs="宋体"/>
          <w:spacing w:val="6"/>
          <w:sz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highlight w:val="none"/>
        </w:rPr>
      </w:pPr>
      <w:r>
        <w:rPr>
          <w:rFonts w:hint="eastAsia" w:ascii="宋体" w:hAnsi="宋体" w:cs="宋体"/>
          <w:spacing w:val="6"/>
          <w:sz w:val="24"/>
          <w:highlight w:val="none"/>
        </w:rPr>
        <w:t>本单位对上述声明的真实性负责。如有虚假，将依法承担相应责任。</w:t>
      </w:r>
    </w:p>
    <w:p>
      <w:pPr>
        <w:spacing w:line="360" w:lineRule="auto"/>
        <w:ind w:firstLine="444" w:firstLineChars="200"/>
        <w:rPr>
          <w:rFonts w:ascii="宋体" w:hAnsi="宋体" w:cs="宋体"/>
          <w:spacing w:val="6"/>
          <w:highlight w:val="none"/>
        </w:rPr>
      </w:pPr>
    </w:p>
    <w:p>
      <w:pPr>
        <w:spacing w:line="360" w:lineRule="auto"/>
        <w:ind w:firstLine="444" w:firstLineChars="200"/>
        <w:rPr>
          <w:rFonts w:ascii="宋体" w:hAnsi="宋体" w:cs="宋体"/>
          <w:spacing w:val="6"/>
          <w:highlight w:val="none"/>
        </w:rPr>
      </w:pPr>
    </w:p>
    <w:p>
      <w:pPr>
        <w:widowControl/>
        <w:spacing w:line="360" w:lineRule="auto"/>
        <w:ind w:firstLine="4800" w:firstLineChars="2000"/>
        <w:jc w:val="left"/>
        <w:rPr>
          <w:rFonts w:ascii="宋体" w:hAnsi="宋体" w:cs="宋体"/>
          <w:color w:val="000000"/>
          <w:kern w:val="0"/>
          <w:sz w:val="24"/>
          <w:highlight w:val="none"/>
        </w:rPr>
      </w:pPr>
      <w:r>
        <w:rPr>
          <w:rFonts w:hint="eastAsia" w:ascii="宋体" w:hAnsi="宋体" w:cs="宋体"/>
          <w:color w:val="000000"/>
          <w:kern w:val="0"/>
          <w:sz w:val="24"/>
          <w:highlight w:val="none"/>
        </w:rPr>
        <w:t>企业：(盖单位公章)</w:t>
      </w:r>
    </w:p>
    <w:p>
      <w:pPr>
        <w:spacing w:line="480" w:lineRule="auto"/>
        <w:jc w:val="center"/>
        <w:rPr>
          <w:rFonts w:ascii="宋体" w:hAnsi="宋体" w:cs="宋体"/>
          <w:sz w:val="24"/>
          <w:highlight w:val="none"/>
        </w:rPr>
      </w:pPr>
      <w:r>
        <w:rPr>
          <w:rFonts w:hint="eastAsia" w:ascii="宋体" w:hAnsi="宋体" w:cs="宋体"/>
          <w:color w:val="000000"/>
          <w:kern w:val="0"/>
          <w:sz w:val="24"/>
          <w:highlight w:val="none"/>
        </w:rPr>
        <w:t>日期：年月日</w:t>
      </w:r>
    </w:p>
    <w:p>
      <w:pPr>
        <w:tabs>
          <w:tab w:val="left" w:pos="4860"/>
        </w:tabs>
        <w:spacing w:line="360" w:lineRule="auto"/>
        <w:ind w:right="1560" w:firstLine="482" w:firstLineChars="200"/>
        <w:jc w:val="center"/>
        <w:rPr>
          <w:rFonts w:ascii="宋体" w:hAnsi="宋体" w:cs="宋体"/>
          <w:b/>
          <w:sz w:val="24"/>
          <w:highlight w:val="none"/>
        </w:rPr>
      </w:pPr>
    </w:p>
    <w:p>
      <w:pPr>
        <w:widowControl/>
        <w:spacing w:line="360" w:lineRule="auto"/>
        <w:ind w:firstLine="482" w:firstLineChars="200"/>
        <w:rPr>
          <w:rFonts w:ascii="宋体" w:hAnsi="宋体" w:cs="宋体"/>
          <w:b/>
          <w:sz w:val="24"/>
          <w:highlight w:val="none"/>
        </w:rPr>
      </w:pPr>
      <w:r>
        <w:rPr>
          <w:rFonts w:hint="eastAsia" w:ascii="宋体" w:hAnsi="宋体" w:cs="宋体"/>
          <w:b/>
          <w:sz w:val="24"/>
          <w:highlight w:val="none"/>
        </w:rPr>
        <w:t>（提醒：如果供应商</w:t>
      </w:r>
      <w:r>
        <w:rPr>
          <w:rFonts w:hint="eastAsia" w:ascii="宋体" w:hAnsi="宋体" w:cs="宋体"/>
          <w:b/>
          <w:spacing w:val="10"/>
          <w:kern w:val="0"/>
          <w:sz w:val="24"/>
          <w:highlight w:val="none"/>
        </w:rPr>
        <w:t>不是残疾人福利性单位</w:t>
      </w:r>
      <w:r>
        <w:rPr>
          <w:rFonts w:hint="eastAsia" w:ascii="宋体" w:hAnsi="宋体" w:cs="宋体"/>
          <w:b/>
          <w:sz w:val="24"/>
          <w:highlight w:val="none"/>
        </w:rPr>
        <w:t>，则不需要提供《残疾人福利性单位声明函》。否则，因此导致虚假投标的后果由供应商自行承担。）</w:t>
      </w:r>
    </w:p>
    <w:p>
      <w:pPr>
        <w:tabs>
          <w:tab w:val="left" w:pos="840"/>
        </w:tabs>
        <w:autoSpaceDE w:val="0"/>
        <w:autoSpaceDN w:val="0"/>
        <w:adjustRightInd w:val="0"/>
        <w:spacing w:line="360" w:lineRule="auto"/>
        <w:rPr>
          <w:rFonts w:ascii="宋体" w:hAnsi="宋体" w:cs="宋体"/>
          <w:b/>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《财政部民政部中国残疾人联合会关于促进残疾人就业政府采购政策的通知》（财库2017〔141〕号）的规定：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1.享受政府采购支持政策的残疾人福利性单位应当同时满足以下条件：</w:t>
      </w:r>
    </w:p>
    <w:p>
      <w:pPr>
        <w:spacing w:line="360" w:lineRule="auto"/>
        <w:rPr>
          <w:rFonts w:ascii="宋体" w:hAnsi="宋体" w:cs="宋体"/>
          <w:sz w:val="24"/>
          <w:highlight w:val="none"/>
        </w:rPr>
      </w:pPr>
      <w:r>
        <w:rPr>
          <w:rFonts w:hint="eastAsia" w:ascii="宋体" w:hAnsi="宋体" w:cs="宋体"/>
          <w:sz w:val="24"/>
          <w:highlight w:val="none"/>
        </w:rPr>
        <w:t>（1）安置的残疾人占本单位在职职工人数的比例不低于25%（含25%），并且安置的残疾人人数不少于10人（含10人）；</w:t>
      </w:r>
    </w:p>
    <w:p>
      <w:pPr>
        <w:spacing w:line="360" w:lineRule="auto"/>
        <w:rPr>
          <w:rFonts w:ascii="宋体" w:hAnsi="宋体" w:cs="宋体"/>
          <w:sz w:val="24"/>
          <w:highlight w:val="none"/>
        </w:rPr>
      </w:pPr>
      <w:r>
        <w:rPr>
          <w:rFonts w:hint="eastAsia" w:ascii="宋体" w:hAnsi="宋体" w:cs="宋体"/>
          <w:sz w:val="24"/>
          <w:highlight w:val="none"/>
        </w:rPr>
        <w:t>（2）依法与安置的每位残疾人签订了一年以上（含一年）的劳动合同或服务协议；</w:t>
      </w:r>
    </w:p>
    <w:p>
      <w:pPr>
        <w:spacing w:line="360" w:lineRule="auto"/>
        <w:rPr>
          <w:rFonts w:ascii="宋体" w:hAnsi="宋体" w:cs="宋体"/>
          <w:sz w:val="24"/>
          <w:highlight w:val="none"/>
        </w:rPr>
      </w:pPr>
      <w:r>
        <w:rPr>
          <w:rFonts w:hint="eastAsia" w:ascii="宋体" w:hAnsi="宋体" w:cs="宋体"/>
          <w:sz w:val="24"/>
          <w:highlight w:val="none"/>
        </w:rPr>
        <w:t>（3）为安置的每位残疾人按月足额缴纳了基本养老保险、基本医疗保险、失业保险、工伤保险和生育保险等社会保险费；</w:t>
      </w:r>
    </w:p>
    <w:p>
      <w:pPr>
        <w:spacing w:line="360" w:lineRule="auto"/>
        <w:rPr>
          <w:rFonts w:ascii="宋体" w:hAnsi="宋体" w:cs="宋体"/>
          <w:sz w:val="24"/>
          <w:highlight w:val="none"/>
        </w:rPr>
      </w:pPr>
      <w:r>
        <w:rPr>
          <w:rFonts w:hint="eastAsia" w:ascii="宋体" w:hAnsi="宋体" w:cs="宋体"/>
          <w:sz w:val="24"/>
          <w:highlight w:val="none"/>
        </w:rPr>
        <w:t>（4）通过银行等金融机构向安置的每位残疾人，按月支付了不低于单位所在区县适用的经省级人民政府批准的月最低工资标准的工资；</w:t>
      </w:r>
    </w:p>
    <w:p>
      <w:pPr>
        <w:spacing w:line="360" w:lineRule="auto"/>
        <w:rPr>
          <w:rFonts w:hint="eastAsia" w:ascii="宋体" w:hAnsi="宋体" w:eastAsia="宋体" w:cs="宋体"/>
          <w:sz w:val="24"/>
          <w:highlight w:val="none"/>
        </w:rPr>
      </w:pPr>
      <w:r>
        <w:rPr>
          <w:rFonts w:hint="eastAsia" w:ascii="宋体" w:hAnsi="宋体" w:cs="宋体"/>
          <w:sz w:val="24"/>
          <w:highlight w:val="none"/>
        </w:rPr>
        <w:t>（5）提供本单位制造的货物、承担的工程或者服务（以下简称产品），或者提</w:t>
      </w:r>
      <w:r>
        <w:rPr>
          <w:rFonts w:hint="eastAsia" w:ascii="宋体" w:hAnsi="宋体" w:eastAsia="宋体" w:cs="宋体"/>
          <w:sz w:val="24"/>
          <w:highlight w:val="none"/>
        </w:rPr>
        <w:t>供其他残疾人福利性单位制造的货物（不包括使用非残疾人福利性单位注册商标的货物）。</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2.成交人为残疾人福利性单位的，采购人或者其委托的采购代理机构应当随成交、成交结果同时公告其《残疾人福利性单位声明函》，接受社会监督。</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br w:type="page"/>
      </w:r>
    </w:p>
    <w:p>
      <w:pPr>
        <w:spacing w:line="500" w:lineRule="exact"/>
        <w:jc w:val="center"/>
        <w:rPr>
          <w:rFonts w:ascii="宋体" w:hAnsi="宋体"/>
          <w:b/>
          <w:bCs/>
          <w:sz w:val="28"/>
          <w:szCs w:val="28"/>
          <w:highlight w:val="none"/>
        </w:rPr>
      </w:pPr>
      <w:r>
        <w:rPr>
          <w:rFonts w:hint="eastAsia" w:ascii="宋体" w:hAnsi="宋体"/>
          <w:b/>
          <w:sz w:val="28"/>
          <w:szCs w:val="28"/>
          <w:highlight w:val="none"/>
        </w:rPr>
        <w:t>十</w:t>
      </w:r>
      <w:r>
        <w:rPr>
          <w:rFonts w:hint="eastAsia" w:ascii="宋体" w:hAnsi="宋体"/>
          <w:b/>
          <w:sz w:val="28"/>
          <w:szCs w:val="28"/>
          <w:highlight w:val="none"/>
          <w:lang w:val="en-US" w:eastAsia="zh-CN"/>
        </w:rPr>
        <w:t>一</w:t>
      </w:r>
      <w:r>
        <w:rPr>
          <w:rFonts w:hint="eastAsia" w:ascii="宋体" w:hAnsi="宋体"/>
          <w:b/>
          <w:sz w:val="28"/>
          <w:szCs w:val="28"/>
          <w:highlight w:val="none"/>
        </w:rPr>
        <w:t>、监狱企业证明文件（如需）</w:t>
      </w:r>
    </w:p>
    <w:p>
      <w:pPr>
        <w:spacing w:line="360" w:lineRule="auto"/>
        <w:rPr>
          <w:rFonts w:hint="eastAsia" w:ascii="宋体" w:hAnsi="宋体" w:eastAsia="宋体" w:cs="宋体"/>
          <w:sz w:val="24"/>
          <w:highlight w:val="none"/>
        </w:rPr>
      </w:pP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（监狱企业参加政府采购活动时，应当提供由省级以上监狱管理局、戒毒管理局(含新疆生产建设兵团)出具的属于监狱企业的证明文件。在响应性文件中提供复印件。</w:t>
      </w:r>
    </w:p>
    <w:p>
      <w:pPr>
        <w:rPr>
          <w:highlight w:val="none"/>
        </w:rPr>
      </w:pPr>
    </w:p>
    <w:p>
      <w:pPr>
        <w:rPr>
          <w:highlight w:val="none"/>
        </w:rPr>
      </w:pPr>
    </w:p>
    <w:p>
      <w:pPr>
        <w:pStyle w:val="20"/>
        <w:ind w:firstLine="0"/>
        <w:rPr>
          <w:b/>
          <w:bCs/>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_5b8b_4f53">
    <w:altName w:val="Times New Roman"/>
    <w:panose1 w:val="00000000000000000000"/>
    <w:charset w:val="00"/>
    <w:family w:val="auto"/>
    <w:pitch w:val="default"/>
    <w:sig w:usb0="00000000" w:usb1="00000000" w:usb2="00000000" w:usb3="00000000" w:csb0="00000001" w:csb1="00000000"/>
  </w:font>
  <w:font w:name="TimesNewRomanPSMT">
    <w:altName w:val="宋体"/>
    <w:panose1 w:val="00000000000000000000"/>
    <w:charset w:val="00"/>
    <w:family w:val="roman"/>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B2AF5"/>
    <w:multiLevelType w:val="singleLevel"/>
    <w:tmpl w:val="E8FB2AF5"/>
    <w:lvl w:ilvl="0" w:tentative="0">
      <w:start w:val="1"/>
      <w:numFmt w:val="decimal"/>
      <w:suff w:val="nothing"/>
      <w:lvlText w:val="%1、"/>
      <w:lvlJc w:val="left"/>
    </w:lvl>
  </w:abstractNum>
  <w:abstractNum w:abstractNumId="1">
    <w:nsid w:val="F7758D1B"/>
    <w:multiLevelType w:val="singleLevel"/>
    <w:tmpl w:val="F7758D1B"/>
    <w:lvl w:ilvl="0" w:tentative="0">
      <w:start w:val="2"/>
      <w:numFmt w:val="chineseCounting"/>
      <w:suff w:val="nothing"/>
      <w:lvlText w:val="（%1）"/>
      <w:lvlJc w:val="left"/>
      <w:rPr>
        <w:rFonts w:hint="eastAsia"/>
      </w:rPr>
    </w:lvl>
  </w:abstractNum>
  <w:abstractNum w:abstractNumId="2">
    <w:nsid w:val="4A7DACAC"/>
    <w:multiLevelType w:val="singleLevel"/>
    <w:tmpl w:val="4A7DACAC"/>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Yjk3ZDcxNjJhNTlkZTBlYzcxMTlkY2FiMzJhYjkifQ=="/>
  </w:docVars>
  <w:rsids>
    <w:rsidRoot w:val="00E50D11"/>
    <w:rsid w:val="0000582C"/>
    <w:rsid w:val="002038EB"/>
    <w:rsid w:val="002247D2"/>
    <w:rsid w:val="003554EF"/>
    <w:rsid w:val="004261C0"/>
    <w:rsid w:val="00435137"/>
    <w:rsid w:val="00505166"/>
    <w:rsid w:val="00551119"/>
    <w:rsid w:val="007421E2"/>
    <w:rsid w:val="00782FE2"/>
    <w:rsid w:val="0082491D"/>
    <w:rsid w:val="00842D4A"/>
    <w:rsid w:val="00A839E1"/>
    <w:rsid w:val="00AC5274"/>
    <w:rsid w:val="00CB1736"/>
    <w:rsid w:val="00CC5539"/>
    <w:rsid w:val="00D41DBD"/>
    <w:rsid w:val="00E0536B"/>
    <w:rsid w:val="00E22B88"/>
    <w:rsid w:val="00E2790C"/>
    <w:rsid w:val="00E50D11"/>
    <w:rsid w:val="00E90D07"/>
    <w:rsid w:val="00F64FD6"/>
    <w:rsid w:val="00FC6CAA"/>
    <w:rsid w:val="015D7F2F"/>
    <w:rsid w:val="019C3329"/>
    <w:rsid w:val="02581C1C"/>
    <w:rsid w:val="039E3366"/>
    <w:rsid w:val="040B3F21"/>
    <w:rsid w:val="04886602"/>
    <w:rsid w:val="06CA747A"/>
    <w:rsid w:val="07061550"/>
    <w:rsid w:val="0C031102"/>
    <w:rsid w:val="0FD51400"/>
    <w:rsid w:val="127E1958"/>
    <w:rsid w:val="14C42C50"/>
    <w:rsid w:val="173C1E54"/>
    <w:rsid w:val="189E230C"/>
    <w:rsid w:val="1A1D5934"/>
    <w:rsid w:val="1B1D634E"/>
    <w:rsid w:val="1B2433E1"/>
    <w:rsid w:val="1C4A5F2B"/>
    <w:rsid w:val="1CE102F7"/>
    <w:rsid w:val="1D22502D"/>
    <w:rsid w:val="1E000596"/>
    <w:rsid w:val="22AA5670"/>
    <w:rsid w:val="23FC4D87"/>
    <w:rsid w:val="24C83E91"/>
    <w:rsid w:val="24F30974"/>
    <w:rsid w:val="259D1D8F"/>
    <w:rsid w:val="25E85B30"/>
    <w:rsid w:val="27D92047"/>
    <w:rsid w:val="29915199"/>
    <w:rsid w:val="2A636694"/>
    <w:rsid w:val="2E333C8F"/>
    <w:rsid w:val="2E4A6251"/>
    <w:rsid w:val="2EBE6ACC"/>
    <w:rsid w:val="318A2930"/>
    <w:rsid w:val="32F01183"/>
    <w:rsid w:val="36D52BB3"/>
    <w:rsid w:val="36D75494"/>
    <w:rsid w:val="383515A4"/>
    <w:rsid w:val="39EE5CF0"/>
    <w:rsid w:val="3C907BCC"/>
    <w:rsid w:val="3F666D2E"/>
    <w:rsid w:val="411B4959"/>
    <w:rsid w:val="417704C2"/>
    <w:rsid w:val="41F75689"/>
    <w:rsid w:val="43AD4526"/>
    <w:rsid w:val="45AA3413"/>
    <w:rsid w:val="46D63212"/>
    <w:rsid w:val="46DC68FF"/>
    <w:rsid w:val="481D38F7"/>
    <w:rsid w:val="48BE3098"/>
    <w:rsid w:val="4A0768FD"/>
    <w:rsid w:val="4B490FD8"/>
    <w:rsid w:val="4C404189"/>
    <w:rsid w:val="4CCF19B1"/>
    <w:rsid w:val="4D5A238E"/>
    <w:rsid w:val="51CC64BF"/>
    <w:rsid w:val="52AD0BA0"/>
    <w:rsid w:val="552D3719"/>
    <w:rsid w:val="56FA0786"/>
    <w:rsid w:val="57AD4FB3"/>
    <w:rsid w:val="58775115"/>
    <w:rsid w:val="590E1AF5"/>
    <w:rsid w:val="59425701"/>
    <w:rsid w:val="59474522"/>
    <w:rsid w:val="5AB173D7"/>
    <w:rsid w:val="5E5E5223"/>
    <w:rsid w:val="61985577"/>
    <w:rsid w:val="63581CAD"/>
    <w:rsid w:val="63EC1DE2"/>
    <w:rsid w:val="64F26DFB"/>
    <w:rsid w:val="65F9678D"/>
    <w:rsid w:val="65FD20D9"/>
    <w:rsid w:val="67717495"/>
    <w:rsid w:val="69B95BEB"/>
    <w:rsid w:val="69E77EE2"/>
    <w:rsid w:val="6B6F26F7"/>
    <w:rsid w:val="6BDF255B"/>
    <w:rsid w:val="70B84386"/>
    <w:rsid w:val="71B418B4"/>
    <w:rsid w:val="73506AF8"/>
    <w:rsid w:val="764D17DC"/>
    <w:rsid w:val="77291A50"/>
    <w:rsid w:val="7B370141"/>
    <w:rsid w:val="7BE0513C"/>
    <w:rsid w:val="7BFB2B4D"/>
    <w:rsid w:val="7DD4578D"/>
    <w:rsid w:val="7DF05031"/>
    <w:rsid w:val="7F0013D2"/>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jc w:val="center"/>
      <w:outlineLvl w:val="0"/>
    </w:pPr>
    <w:rPr>
      <w:b/>
      <w:spacing w:val="20"/>
      <w:kern w:val="44"/>
      <w:sz w:val="32"/>
    </w:rPr>
  </w:style>
  <w:style w:type="paragraph" w:styleId="6">
    <w:name w:val="heading 2"/>
    <w:basedOn w:val="1"/>
    <w:next w:val="1"/>
    <w:qFormat/>
    <w:uiPriority w:val="9"/>
    <w:pPr>
      <w:keepNext/>
      <w:keepLines/>
      <w:spacing w:line="415" w:lineRule="auto"/>
      <w:outlineLvl w:val="1"/>
    </w:pPr>
    <w:rPr>
      <w:rFonts w:ascii="Arial" w:hAnsi="Arial" w:eastAsia="黑体"/>
      <w:b/>
      <w:bCs/>
      <w:sz w:val="32"/>
      <w:szCs w:val="32"/>
    </w:rPr>
  </w:style>
  <w:style w:type="paragraph" w:styleId="7">
    <w:name w:val="heading 3"/>
    <w:basedOn w:val="1"/>
    <w:next w:val="1"/>
    <w:qFormat/>
    <w:uiPriority w:val="0"/>
    <w:pPr>
      <w:keepNext/>
      <w:keepLines/>
      <w:spacing w:line="500" w:lineRule="exact"/>
      <w:ind w:firstLine="480" w:firstLineChars="200"/>
      <w:outlineLvl w:val="2"/>
    </w:pPr>
    <w:rPr>
      <w:rFonts w:eastAsia="黑体"/>
      <w:sz w:val="24"/>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unhideWhenUsed/>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8">
    <w:name w:val="Body Text"/>
    <w:basedOn w:val="1"/>
    <w:next w:val="9"/>
    <w:qFormat/>
    <w:uiPriority w:val="0"/>
    <w:pPr>
      <w:spacing w:after="120"/>
    </w:pPr>
    <w:rPr>
      <w:szCs w:val="24"/>
    </w:rPr>
  </w:style>
  <w:style w:type="paragraph" w:styleId="9">
    <w:name w:val="Body Text 2"/>
    <w:basedOn w:val="1"/>
    <w:qFormat/>
    <w:uiPriority w:val="0"/>
    <w:pPr>
      <w:spacing w:line="340" w:lineRule="exact"/>
    </w:pPr>
    <w:rPr>
      <w:rFonts w:ascii="仿宋_GB2312" w:eastAsia="仿宋_GB2312"/>
      <w:sz w:val="28"/>
    </w:rPr>
  </w:style>
  <w:style w:type="paragraph" w:styleId="10">
    <w:name w:val="List 2"/>
    <w:basedOn w:val="1"/>
    <w:qFormat/>
    <w:uiPriority w:val="0"/>
    <w:pPr>
      <w:ind w:left="100" w:leftChars="200" w:hanging="200" w:hangingChars="200"/>
    </w:pPr>
  </w:style>
  <w:style w:type="paragraph" w:styleId="11">
    <w:name w:val="Plain Text"/>
    <w:basedOn w:val="1"/>
    <w:qFormat/>
    <w:uiPriority w:val="99"/>
    <w:rPr>
      <w:rFonts w:hint="eastAsia" w:ascii="宋体" w:hAnsi="Courier New"/>
    </w:rPr>
  </w:style>
  <w:style w:type="paragraph" w:styleId="12">
    <w:name w:val="Body Text Indent 2"/>
    <w:basedOn w:val="1"/>
    <w:qFormat/>
    <w:uiPriority w:val="0"/>
    <w:pPr>
      <w:spacing w:line="540" w:lineRule="exact"/>
      <w:ind w:firstLine="720" w:firstLineChars="225"/>
      <w:jc w:val="left"/>
    </w:pPr>
    <w:rPr>
      <w:rFonts w:ascii="仿宋_GB2312" w:eastAsia="仿宋_GB2312"/>
      <w:sz w:val="32"/>
    </w:rPr>
  </w:style>
  <w:style w:type="paragraph" w:styleId="13">
    <w:name w:val="Balloon Text"/>
    <w:basedOn w:val="1"/>
    <w:link w:val="5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footnote text"/>
    <w:basedOn w:val="1"/>
    <w:qFormat/>
    <w:uiPriority w:val="0"/>
    <w:pPr>
      <w:snapToGrid w:val="0"/>
      <w:jc w:val="left"/>
    </w:pPr>
    <w:rPr>
      <w:rFonts w:asciiTheme="minorHAnsi" w:hAnsiTheme="minorHAnsi" w:eastAsiaTheme="minorEastAsia" w:cstheme="minorBidi"/>
      <w:sz w:val="18"/>
      <w:szCs w:val="18"/>
    </w:rPr>
  </w:style>
  <w:style w:type="paragraph" w:styleId="18">
    <w:name w:val="toc 2"/>
    <w:basedOn w:val="1"/>
    <w:next w:val="1"/>
    <w:qFormat/>
    <w:uiPriority w:val="0"/>
    <w:pPr>
      <w:ind w:left="420" w:leftChars="200"/>
    </w:pPr>
  </w:style>
  <w:style w:type="paragraph" w:styleId="19">
    <w:name w:val="Normal (Web)"/>
    <w:basedOn w:val="1"/>
    <w:qFormat/>
    <w:uiPriority w:val="0"/>
    <w:pPr>
      <w:widowControl/>
      <w:spacing w:beforeAutospacing="1" w:afterAutospacing="1"/>
      <w:jc w:val="left"/>
    </w:pPr>
    <w:rPr>
      <w:rFonts w:ascii="宋体" w:hAnsi="宋体"/>
      <w:kern w:val="0"/>
      <w:sz w:val="24"/>
    </w:rPr>
  </w:style>
  <w:style w:type="paragraph" w:styleId="20">
    <w:name w:val="Body Text First Indent"/>
    <w:basedOn w:val="8"/>
    <w:next w:val="1"/>
    <w:unhideWhenUsed/>
    <w:qFormat/>
    <w:uiPriority w:val="99"/>
    <w:pPr>
      <w:ind w:firstLine="420"/>
    </w:pPr>
    <w:rPr>
      <w:sz w:val="32"/>
    </w:r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rPr>
      <w:rFonts w:ascii="微软雅黑" w:hAnsi="微软雅黑" w:eastAsia="微软雅黑" w:cs="微软雅黑"/>
      <w:b/>
      <w:bCs/>
      <w:color w:val="666666"/>
      <w:sz w:val="18"/>
      <w:szCs w:val="18"/>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rPr>
      <w:bdr w:val="none" w:color="auto" w:sz="0" w:space="0"/>
    </w:rPr>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style4"/>
    <w:basedOn w:val="1"/>
    <w:next w:val="37"/>
    <w:qFormat/>
    <w:uiPriority w:val="0"/>
    <w:pPr>
      <w:widowControl/>
      <w:spacing w:beforeAutospacing="1" w:afterAutospacing="1"/>
      <w:jc w:val="left"/>
    </w:pPr>
    <w:rPr>
      <w:rFonts w:ascii="宋体" w:hAnsi="宋体" w:cs="宋体"/>
      <w:kern w:val="0"/>
      <w:sz w:val="18"/>
      <w:szCs w:val="18"/>
    </w:rPr>
  </w:style>
  <w:style w:type="paragraph" w:customStyle="1" w:styleId="37">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hover"/>
    <w:basedOn w:val="22"/>
    <w:qFormat/>
    <w:uiPriority w:val="0"/>
  </w:style>
  <w:style w:type="character" w:customStyle="1" w:styleId="39">
    <w:name w:val="hover1"/>
    <w:basedOn w:val="22"/>
    <w:qFormat/>
    <w:uiPriority w:val="0"/>
    <w:rPr>
      <w:color w:val="2590EB"/>
    </w:rPr>
  </w:style>
  <w:style w:type="character" w:customStyle="1" w:styleId="40">
    <w:name w:val="hover2"/>
    <w:basedOn w:val="22"/>
    <w:qFormat/>
    <w:uiPriority w:val="0"/>
    <w:rPr>
      <w:color w:val="2590EB"/>
    </w:rPr>
  </w:style>
  <w:style w:type="character" w:customStyle="1" w:styleId="41">
    <w:name w:val="mini-outputtext1"/>
    <w:basedOn w:val="22"/>
    <w:qFormat/>
    <w:uiPriority w:val="0"/>
  </w:style>
  <w:style w:type="character" w:customStyle="1" w:styleId="42">
    <w:name w:val="layui-laypage-curr"/>
    <w:basedOn w:val="22"/>
    <w:qFormat/>
    <w:uiPriority w:val="0"/>
  </w:style>
  <w:style w:type="character" w:customStyle="1" w:styleId="43">
    <w:name w:val="hover34"/>
    <w:basedOn w:val="22"/>
    <w:qFormat/>
    <w:uiPriority w:val="0"/>
    <w:rPr>
      <w:color w:val="5FB878"/>
    </w:rPr>
  </w:style>
  <w:style w:type="character" w:customStyle="1" w:styleId="44">
    <w:name w:val="hover35"/>
    <w:basedOn w:val="22"/>
    <w:qFormat/>
    <w:uiPriority w:val="0"/>
    <w:rPr>
      <w:color w:val="5FB878"/>
    </w:rPr>
  </w:style>
  <w:style w:type="character" w:customStyle="1" w:styleId="45">
    <w:name w:val="hover36"/>
    <w:basedOn w:val="22"/>
    <w:qFormat/>
    <w:uiPriority w:val="0"/>
    <w:rPr>
      <w:color w:val="FFFFFF"/>
    </w:rPr>
  </w:style>
  <w:style w:type="character" w:customStyle="1" w:styleId="46">
    <w:name w:val="layui-this"/>
    <w:basedOn w:val="22"/>
    <w:qFormat/>
    <w:uiPriority w:val="0"/>
    <w:rPr>
      <w:bdr w:val="single" w:color="EEEEEE" w:sz="4" w:space="0"/>
      <w:shd w:val="clear" w:color="auto" w:fill="FFFFFF"/>
    </w:rPr>
  </w:style>
  <w:style w:type="character" w:customStyle="1" w:styleId="47">
    <w:name w:val="first-child"/>
    <w:basedOn w:val="22"/>
    <w:qFormat/>
    <w:uiPriority w:val="0"/>
  </w:style>
  <w:style w:type="character" w:customStyle="1" w:styleId="48">
    <w:name w:val="s5"/>
    <w:basedOn w:val="22"/>
    <w:qFormat/>
    <w:uiPriority w:val="0"/>
    <w:rPr>
      <w:spacing w:val="100"/>
    </w:rPr>
  </w:style>
  <w:style w:type="character" w:customStyle="1" w:styleId="49">
    <w:name w:val="mail-contents"/>
    <w:basedOn w:val="22"/>
    <w:qFormat/>
    <w:uiPriority w:val="0"/>
  </w:style>
  <w:style w:type="paragraph" w:customStyle="1" w:styleId="50">
    <w:name w:val="WPSOffice手动目录 1"/>
    <w:qFormat/>
    <w:uiPriority w:val="0"/>
    <w:rPr>
      <w:rFonts w:ascii="Times New Roman" w:hAnsi="Times New Roman" w:eastAsia="宋体" w:cs="Times New Roman"/>
      <w:lang w:val="en-US" w:eastAsia="zh-CN" w:bidi="ar-SA"/>
    </w:rPr>
  </w:style>
  <w:style w:type="character" w:customStyle="1" w:styleId="51">
    <w:name w:val="批注框文本 Char"/>
    <w:basedOn w:val="22"/>
    <w:link w:val="13"/>
    <w:qFormat/>
    <w:uiPriority w:val="0"/>
    <w:rPr>
      <w:kern w:val="2"/>
      <w:sz w:val="18"/>
      <w:szCs w:val="18"/>
    </w:rPr>
  </w:style>
  <w:style w:type="character" w:customStyle="1" w:styleId="52">
    <w:name w:val="hover3"/>
    <w:basedOn w:val="22"/>
    <w:qFormat/>
    <w:uiPriority w:val="0"/>
    <w:rPr>
      <w:color w:val="2590EB"/>
    </w:rPr>
  </w:style>
  <w:style w:type="paragraph" w:customStyle="1" w:styleId="53">
    <w:name w:val="Table Text"/>
    <w:basedOn w:val="1"/>
    <w:semiHidden/>
    <w:qFormat/>
    <w:uiPriority w:val="0"/>
    <w:rPr>
      <w:rFonts w:ascii="宋体" w:hAnsi="宋体" w:eastAsia="宋体" w:cs="宋体"/>
      <w:sz w:val="24"/>
      <w:szCs w:val="24"/>
      <w:lang w:val="en-US" w:eastAsia="en-US" w:bidi="ar-SA"/>
    </w:rPr>
  </w:style>
  <w:style w:type="table" w:customStyle="1" w:styleId="54">
    <w:name w:val="Table Normal"/>
    <w:semiHidden/>
    <w:unhideWhenUsed/>
    <w:qFormat/>
    <w:uiPriority w:val="0"/>
    <w:tblPr>
      <w:tblCellMar>
        <w:top w:w="0" w:type="dxa"/>
        <w:left w:w="0" w:type="dxa"/>
        <w:bottom w:w="0" w:type="dxa"/>
        <w:right w:w="0" w:type="dxa"/>
      </w:tblCellMar>
    </w:tblPr>
  </w:style>
  <w:style w:type="paragraph" w:customStyle="1" w:styleId="55">
    <w:name w:val="Table Paragraph"/>
    <w:basedOn w:val="56"/>
    <w:qFormat/>
    <w:uiPriority w:val="1"/>
    <w:pPr>
      <w:autoSpaceDE w:val="0"/>
      <w:autoSpaceDN w:val="0"/>
      <w:jc w:val="left"/>
    </w:pPr>
    <w:rPr>
      <w:rFonts w:ascii="宋体" w:hAnsi="宋体" w:eastAsia="宋体" w:cs="宋体"/>
      <w:kern w:val="0"/>
      <w:sz w:val="22"/>
      <w:lang w:eastAsia="en-US"/>
    </w:rPr>
  </w:style>
  <w:style w:type="paragraph" w:customStyle="1" w:styleId="56">
    <w:name w:val="正文1"/>
    <w:next w:val="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文本1"/>
    <w:basedOn w:val="56"/>
    <w:qFormat/>
    <w:uiPriority w:val="99"/>
    <w:rPr>
      <w:rFonts w:eastAsia="楷体_GB2312"/>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shenduxitong</Company>
  <Pages>57</Pages>
  <Words>23231</Words>
  <Characters>25109</Characters>
  <Lines>188</Lines>
  <Paragraphs>53</Paragraphs>
  <TotalTime>23</TotalTime>
  <ScaleCrop>false</ScaleCrop>
  <LinksUpToDate>false</LinksUpToDate>
  <CharactersWithSpaces>25155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2022-12-07T02:35:00Z</dcterms:created>
  <dc:creator>Administrator</dc:creator>
  <cp:lastModifiedBy>甜の糖</cp:lastModifiedBy>
  <cp:lastPrinted>2023-11-01T00:53:00Z</cp:lastPrinted>
  <dcterms:modified xsi:type="dcterms:W3CDTF">2023-11-22T02:14:20Z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1445AA232090433DB85A4E14F3B1AE79_13</vt:lpwstr>
  </property>
</Properties>
</file>