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360" w:lineRule="auto"/>
        <w:jc w:val="center"/>
        <w:outlineLvl w:val="9"/>
        <w:rPr>
          <w:rFonts w:hint="eastAsia" w:ascii="宋体" w:hAnsi="宋体" w:eastAsia="宋体" w:cs="Times New Roman"/>
          <w:b/>
          <w:bCs/>
          <w:kern w:val="44"/>
          <w:sz w:val="36"/>
          <w:szCs w:val="36"/>
          <w:lang w:val="en-US" w:eastAsia="zh-CN" w:bidi="ar-SA"/>
        </w:rPr>
      </w:pPr>
      <w:r>
        <w:rPr>
          <w:rFonts w:hint="eastAsia" w:ascii="宋体" w:hAnsi="宋体" w:eastAsia="宋体" w:cs="Times New Roman"/>
          <w:b/>
          <w:bCs/>
          <w:kern w:val="44"/>
          <w:sz w:val="36"/>
          <w:szCs w:val="36"/>
          <w:lang w:val="en-US" w:eastAsia="zh-CN" w:bidi="ar-SA"/>
        </w:rPr>
        <w:t>灵宝市“十四五”困难家庭适老化改造项目</w:t>
      </w:r>
      <w:r>
        <w:rPr>
          <w:rFonts w:hint="eastAsia" w:ascii="宋体" w:hAnsi="宋体" w:cs="Times New Roman"/>
          <w:b/>
          <w:bCs/>
          <w:kern w:val="44"/>
          <w:sz w:val="36"/>
          <w:szCs w:val="36"/>
          <w:lang w:val="en-US" w:eastAsia="zh-CN" w:bidi="ar-SA"/>
        </w:rPr>
        <w:t>（二次）</w:t>
      </w:r>
    </w:p>
    <w:p>
      <w:pPr>
        <w:widowControl/>
        <w:spacing w:before="0" w:beforeAutospacing="0" w:after="0" w:afterAutospacing="0" w:line="360" w:lineRule="auto"/>
        <w:jc w:val="center"/>
        <w:rPr>
          <w:rFonts w:hint="eastAsia" w:ascii="宋体" w:hAnsi="宋体" w:eastAsia="宋体" w:cs="宋体"/>
          <w:b/>
          <w:color w:val="000000"/>
          <w:kern w:val="0"/>
          <w:sz w:val="36"/>
          <w:szCs w:val="36"/>
          <w:shd w:val="clear" w:color="auto" w:fill="FFFFFF"/>
          <w:lang w:val="en-US" w:eastAsia="zh-CN" w:bidi="ar-SA"/>
        </w:rPr>
      </w:pPr>
      <w:r>
        <w:rPr>
          <w:rFonts w:hint="eastAsia" w:ascii="宋体" w:hAnsi="宋体" w:eastAsia="宋体" w:cs="宋体"/>
          <w:b/>
          <w:color w:val="000000"/>
          <w:kern w:val="0"/>
          <w:sz w:val="36"/>
          <w:szCs w:val="36"/>
          <w:shd w:val="clear" w:color="auto" w:fill="FFFFFF"/>
          <w:lang w:val="en-US" w:eastAsia="zh-CN" w:bidi="ar-SA"/>
        </w:rPr>
        <w:t>竞争性磋商公告</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kern w:val="0"/>
          <w:sz w:val="32"/>
          <w:szCs w:val="32"/>
          <w:shd w:val="clear" w:color="auto" w:fill="FFFFFF"/>
          <w:lang w:val="en-US" w:eastAsia="zh-CN"/>
        </w:rPr>
      </w:pPr>
      <w:bookmarkStart w:id="0" w:name="_Toc495959397"/>
      <w:bookmarkStart w:id="1" w:name="_Toc477615547"/>
      <w:bookmarkStart w:id="2" w:name="_Toc477615253"/>
      <w:bookmarkStart w:id="3" w:name="_Toc477615363"/>
      <w:r>
        <w:rPr>
          <w:rFonts w:hint="eastAsia" w:ascii="仿宋" w:hAnsi="仿宋" w:eastAsia="仿宋" w:cs="仿宋"/>
          <w:kern w:val="0"/>
          <w:sz w:val="32"/>
          <w:szCs w:val="32"/>
          <w:shd w:val="clear" w:color="auto" w:fill="FFFFFF"/>
          <w:lang w:val="en-US" w:eastAsia="zh-CN"/>
        </w:rPr>
        <w:t>中赞国际项目管理有限公司受灵宝市民政局的委托，就灵宝市“十四五”困难家庭适老化改造项目 （二次）进行竞争性磋商，资金来源为财政资金，资金已落实。本项目已具备磋商条件，欢迎符合条件的单位参与磋商。</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b/>
          <w:bCs/>
          <w:kern w:val="0"/>
          <w:sz w:val="32"/>
          <w:szCs w:val="32"/>
          <w:shd w:val="clear" w:color="auto" w:fill="FFFFFF"/>
          <w:lang w:val="en-US" w:eastAsia="zh-CN"/>
        </w:rPr>
      </w:pPr>
      <w:r>
        <w:rPr>
          <w:rFonts w:hint="eastAsia" w:ascii="宋体" w:hAnsi="宋体" w:eastAsia="宋体" w:cs="宋体"/>
          <w:b/>
          <w:bCs/>
          <w:kern w:val="0"/>
          <w:sz w:val="32"/>
          <w:szCs w:val="32"/>
          <w:shd w:val="clear" w:color="auto" w:fill="FFFFFF"/>
          <w:lang w:val="en-US" w:eastAsia="zh-CN"/>
        </w:rPr>
        <w:t>一、项目</w:t>
      </w:r>
      <w:bookmarkEnd w:id="0"/>
      <w:bookmarkEnd w:id="1"/>
      <w:bookmarkEnd w:id="2"/>
      <w:bookmarkEnd w:id="3"/>
      <w:r>
        <w:rPr>
          <w:rFonts w:hint="eastAsia" w:ascii="宋体" w:hAnsi="宋体" w:eastAsia="宋体" w:cs="宋体"/>
          <w:b/>
          <w:bCs/>
          <w:kern w:val="0"/>
          <w:sz w:val="32"/>
          <w:szCs w:val="32"/>
          <w:shd w:val="clear" w:color="auto" w:fill="FFFFFF"/>
          <w:lang w:val="en-US" w:eastAsia="zh-CN"/>
        </w:rPr>
        <w:t>基本情况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1、项目编号：</w:t>
      </w:r>
      <w:r>
        <w:rPr>
          <w:rFonts w:hint="eastAsia" w:ascii="仿宋" w:hAnsi="仿宋" w:eastAsia="仿宋" w:cs="仿宋"/>
          <w:kern w:val="0"/>
          <w:sz w:val="32"/>
          <w:szCs w:val="32"/>
          <w:highlight w:val="none"/>
          <w:shd w:val="clear" w:color="auto" w:fill="FFFFFF"/>
          <w:lang w:val="en-US" w:eastAsia="zh-CN"/>
        </w:rPr>
        <w:t>灵宝竞磋采购-2024-31；LBGZ[2024]106-ZC070；</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2、项目名称：灵宝市“十四五”困难家庭适老化改造项目 （二次）</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3、采购方式：竞争性磋商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4、预算金额：1335092.64元，最高限价：1335092.64元</w:t>
      </w:r>
    </w:p>
    <w:tbl>
      <w:tblPr>
        <w:tblStyle w:val="5"/>
        <w:tblW w:w="499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09"/>
        <w:gridCol w:w="1021"/>
        <w:gridCol w:w="3771"/>
        <w:gridCol w:w="1822"/>
        <w:gridCol w:w="18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2" w:hRule="atLeast"/>
        </w:trPr>
        <w:tc>
          <w:tcPr>
            <w:tcW w:w="436"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序号</w:t>
            </w:r>
          </w:p>
        </w:tc>
        <w:tc>
          <w:tcPr>
            <w:tcW w:w="55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包号</w:t>
            </w:r>
          </w:p>
        </w:tc>
        <w:tc>
          <w:tcPr>
            <w:tcW w:w="203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包名称</w:t>
            </w:r>
          </w:p>
        </w:tc>
        <w:tc>
          <w:tcPr>
            <w:tcW w:w="98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包预算（元）</w:t>
            </w:r>
          </w:p>
        </w:tc>
        <w:tc>
          <w:tcPr>
            <w:tcW w:w="99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trPr>
        <w:tc>
          <w:tcPr>
            <w:tcW w:w="436"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w:t>
            </w:r>
          </w:p>
        </w:tc>
        <w:tc>
          <w:tcPr>
            <w:tcW w:w="55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w:t>
            </w:r>
          </w:p>
        </w:tc>
        <w:tc>
          <w:tcPr>
            <w:tcW w:w="203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灵宝市“十四五”困难家庭适老化改造项目（二次）</w:t>
            </w:r>
            <w:r>
              <w:rPr>
                <w:rFonts w:hint="eastAsia" w:ascii="仿宋" w:hAnsi="仿宋" w:eastAsia="仿宋" w:cs="仿宋"/>
                <w:color w:val="333333"/>
                <w:kern w:val="0"/>
                <w:sz w:val="32"/>
                <w:szCs w:val="32"/>
                <w:lang w:eastAsia="zh-CN"/>
              </w:rPr>
              <w:t>一标段（东片）</w:t>
            </w:r>
          </w:p>
        </w:tc>
        <w:tc>
          <w:tcPr>
            <w:tcW w:w="98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463052.05</w:t>
            </w:r>
          </w:p>
        </w:tc>
        <w:tc>
          <w:tcPr>
            <w:tcW w:w="99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sz w:val="32"/>
                <w:szCs w:val="32"/>
                <w:lang w:val="en-US" w:eastAsia="zh-CN"/>
              </w:rPr>
              <w:t>463052.05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trPr>
        <w:tc>
          <w:tcPr>
            <w:tcW w:w="436"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w:t>
            </w:r>
          </w:p>
        </w:tc>
        <w:tc>
          <w:tcPr>
            <w:tcW w:w="55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w:t>
            </w:r>
          </w:p>
        </w:tc>
        <w:tc>
          <w:tcPr>
            <w:tcW w:w="203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rPr>
            </w:pPr>
            <w:r>
              <w:rPr>
                <w:rFonts w:hint="eastAsia" w:ascii="仿宋" w:hAnsi="仿宋" w:eastAsia="仿宋" w:cs="仿宋"/>
                <w:color w:val="333333"/>
                <w:kern w:val="0"/>
                <w:sz w:val="32"/>
                <w:szCs w:val="32"/>
              </w:rPr>
              <w:t>灵宝市“十四五”困难家庭适老化改造项目（二次）</w:t>
            </w:r>
            <w:r>
              <w:rPr>
                <w:rFonts w:hint="eastAsia" w:ascii="仿宋" w:hAnsi="仿宋" w:eastAsia="仿宋" w:cs="仿宋"/>
                <w:color w:val="333333"/>
                <w:kern w:val="0"/>
                <w:sz w:val="32"/>
                <w:szCs w:val="32"/>
                <w:lang w:eastAsia="zh-CN"/>
              </w:rPr>
              <w:t>二标段（中片）</w:t>
            </w:r>
          </w:p>
        </w:tc>
        <w:tc>
          <w:tcPr>
            <w:tcW w:w="98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423600.74</w:t>
            </w:r>
          </w:p>
        </w:tc>
        <w:tc>
          <w:tcPr>
            <w:tcW w:w="99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423600.74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trPr>
        <w:tc>
          <w:tcPr>
            <w:tcW w:w="436"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w:t>
            </w:r>
          </w:p>
        </w:tc>
        <w:tc>
          <w:tcPr>
            <w:tcW w:w="55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w:t>
            </w:r>
          </w:p>
        </w:tc>
        <w:tc>
          <w:tcPr>
            <w:tcW w:w="203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rPr>
            </w:pPr>
            <w:r>
              <w:rPr>
                <w:rFonts w:hint="eastAsia" w:ascii="仿宋" w:hAnsi="仿宋" w:eastAsia="仿宋" w:cs="仿宋"/>
                <w:color w:val="333333"/>
                <w:kern w:val="0"/>
                <w:sz w:val="32"/>
                <w:szCs w:val="32"/>
              </w:rPr>
              <w:t>灵宝市“十四五”困难家庭适老化改造项目（二次）三标段（西片）</w:t>
            </w:r>
          </w:p>
        </w:tc>
        <w:tc>
          <w:tcPr>
            <w:tcW w:w="98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448439.85</w:t>
            </w:r>
          </w:p>
        </w:tc>
        <w:tc>
          <w:tcPr>
            <w:tcW w:w="99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448439.85</w:t>
            </w:r>
          </w:p>
        </w:tc>
      </w:tr>
    </w:tbl>
    <w:p>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val="en-US" w:eastAsia="zh-CN" w:bidi="ar-SA"/>
        </w:rPr>
        <w:t>5、采购</w:t>
      </w:r>
      <w:r>
        <w:rPr>
          <w:rFonts w:hint="eastAsia" w:ascii="仿宋" w:hAnsi="仿宋" w:eastAsia="仿宋" w:cs="仿宋"/>
          <w:kern w:val="0"/>
          <w:sz w:val="32"/>
          <w:szCs w:val="32"/>
          <w:shd w:val="clear" w:color="auto" w:fill="FFFFFF"/>
          <w:lang w:val="en-US" w:eastAsia="zh-CN"/>
        </w:rPr>
        <w:t>需求（包括但不限于标的的名称、数量、简要技术需求或服务要求等）</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本项目共划分3个标段</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一标段：灵宝市“十四五”困难家庭适老化改造项目（二次）一标段（东片）</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二标段：灵宝市“十四五”困难家庭适老化改造项目（二次）二标段（中片）</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三标段：灵宝市“十四五”困难家庭适老化改造项目（二次）三标段（西片）</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6、采购范围：</w:t>
      </w:r>
      <w:bookmarkStart w:id="4" w:name="_Toc477615254"/>
      <w:bookmarkStart w:id="5" w:name="_Toc495959398"/>
      <w:bookmarkStart w:id="6" w:name="_Toc477615548"/>
      <w:bookmarkStart w:id="7" w:name="_Toc477615364"/>
      <w:r>
        <w:rPr>
          <w:rFonts w:hint="eastAsia" w:ascii="仿宋" w:hAnsi="仿宋" w:eastAsia="仿宋" w:cs="仿宋"/>
          <w:kern w:val="0"/>
          <w:sz w:val="32"/>
          <w:szCs w:val="32"/>
          <w:shd w:val="clear" w:color="auto" w:fill="FFFFFF"/>
          <w:lang w:val="en-US" w:eastAsia="zh-CN"/>
        </w:rPr>
        <w:t>灵宝市“十四五”困难家庭适老化改造项目（二次）涉及15个乡镇，共有困难家庭460户，根据每户实际需求采购，主要采购内容包括轮椅、拐杖、坐便器、护理床、进食器具等。（具体详见采购需求内的全部内容）；</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default"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7、质保期：二年</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8、交货地点：采购人指定地点</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kern w:val="0"/>
          <w:sz w:val="32"/>
          <w:szCs w:val="32"/>
          <w:shd w:val="clear" w:color="auto" w:fill="FFFFFF"/>
          <w:lang w:val="en-US" w:eastAsia="zh-CN"/>
        </w:rPr>
        <w:t>9、合同履行期限：一标段：合同签订后60日历天。</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 xml:space="preserve">                 二标段：合同签订后60日历天。</w:t>
      </w:r>
    </w:p>
    <w:p>
      <w:pPr>
        <w:keepNext w:val="0"/>
        <w:keepLines w:val="0"/>
        <w:pageBreakBefore w:val="0"/>
        <w:kinsoku/>
        <w:wordWrap/>
        <w:overflowPunct/>
        <w:topLinePunct w:val="0"/>
        <w:autoSpaceDE/>
        <w:autoSpaceDN/>
        <w:bidi w:val="0"/>
        <w:adjustRightInd/>
        <w:snapToGrid/>
        <w:spacing w:line="480" w:lineRule="exact"/>
        <w:ind w:left="0" w:leftChars="0" w:firstLine="3360" w:firstLineChars="105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三标段：合同签订后60日历天。</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10、质量要求：符合现行国家或行业规定的合格标准。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11、资金来源：财政资金</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12、本项目是否接受联合体投标：否</w:t>
      </w:r>
    </w:p>
    <w:bookmarkEnd w:id="4"/>
    <w:bookmarkEnd w:id="5"/>
    <w:bookmarkEnd w:id="6"/>
    <w:bookmarkEnd w:id="7"/>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b/>
          <w:bCs/>
          <w:kern w:val="0"/>
          <w:sz w:val="32"/>
          <w:szCs w:val="32"/>
          <w:shd w:val="clear" w:color="auto" w:fill="FFFFFF"/>
          <w:lang w:val="en-US" w:eastAsia="zh-CN"/>
        </w:rPr>
      </w:pPr>
      <w:r>
        <w:rPr>
          <w:rFonts w:hint="eastAsia" w:ascii="宋体" w:hAnsi="宋体" w:eastAsia="宋体" w:cs="宋体"/>
          <w:b/>
          <w:bCs/>
          <w:kern w:val="0"/>
          <w:sz w:val="32"/>
          <w:szCs w:val="32"/>
          <w:shd w:val="clear" w:color="auto" w:fill="FFFFFF"/>
          <w:lang w:val="en-US" w:eastAsia="zh-CN"/>
        </w:rPr>
        <w:t>二、申请人资格要求</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outlineLvl w:val="9"/>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（适用于一标段、二标段、三标段）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1、满足《中华人民共和国政府采购法》第二十二条的规定；</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2、落实政府采购政策满足的资格要求：</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本项目支持中小型企业发展政策（残疾人福利性企业、监狱企业视同小微企业）、优先采购节能环保产品等政府采购政策。</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3、本项目特定资格要求：</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3.1、具有有效的营业执照、税务登记证、组织机构代码证（或三证合一的营业执照）；</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3.2、具有良好的商业信誉和健全的财务会计制度；提供近三年来任意一年财务审计报告或财务报表（新成立公司以公司成立时间为准）或自行承诺书；</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3.3、具有履行合同所必需的设备和专业技术能力（自行作出承诺，格式自拟）；</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3.4、有依法缴纳税收和社会保障资金的良好记录；提供</w:t>
      </w:r>
      <w:r>
        <w:rPr>
          <w:rFonts w:hint="eastAsia" w:ascii="仿宋" w:hAnsi="仿宋" w:eastAsia="仿宋" w:cs="仿宋"/>
          <w:b/>
          <w:bCs/>
          <w:kern w:val="0"/>
          <w:sz w:val="32"/>
          <w:szCs w:val="32"/>
          <w:shd w:val="clear" w:color="auto" w:fill="FFFFFF"/>
          <w:lang w:val="en-US" w:eastAsia="zh-CN"/>
        </w:rPr>
        <w:t>2024年1月1日以来任意一月</w:t>
      </w:r>
      <w:r>
        <w:rPr>
          <w:rFonts w:hint="eastAsia" w:ascii="仿宋" w:hAnsi="仿宋" w:eastAsia="仿宋" w:cs="仿宋"/>
          <w:kern w:val="0"/>
          <w:sz w:val="32"/>
          <w:szCs w:val="32"/>
          <w:shd w:val="clear" w:color="auto" w:fill="FFFFFF"/>
          <w:lang w:val="en-US" w:eastAsia="zh-CN"/>
        </w:rPr>
        <w:t>依法缴纳税收的缴纳证明和社会养老保险缴纳的相关证明材料（新公司根据实际情况提供）或自行承诺书；</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3.5、参加政府采购活动前3年内无行贿犯罪记录，提供《中国裁判文书网》查询结果网页截图或企业自行承诺的无行贿犯罪承诺书；（查询或承诺对象：企业、法定代表人）；</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3.6、供应商自行出具本企业无商业贿赂和不正当竞争行为承诺书；</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3.7、根据《关于在政府采购活动中查询及使用信用记录有关问题的通知》(财库[2016]125号)和豫财购【2016】15号的规定，对列入失信被执行人、重大税收违法案件当事人名单、政府采购严重违法失信行为记录名单的响应人，拒绝参与本项目采购活动；（查询渠道：信用中国网站（www.creditchina.gov.cn）、中国政府采购网(www.ccgp.gov.cn)、中国执行信息公开网（http://zxgk.court.gov.cn）；</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3.8、本项目不接受联合体投标；</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注明：同一供应商可以同时对一、二、三标段中多个标段进行投标，但只能取得其中一个标段的第一中标候选人资格。如供应商为一标段的第一中标候选人的，可以参与二、三标段的评审，但不再推荐其为二、三标段的中标候选人。</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b/>
          <w:bCs/>
          <w:kern w:val="0"/>
          <w:sz w:val="32"/>
          <w:szCs w:val="32"/>
          <w:shd w:val="clear" w:color="auto" w:fill="FFFFFF"/>
          <w:lang w:val="en-US" w:eastAsia="zh-CN"/>
        </w:rPr>
      </w:pPr>
      <w:r>
        <w:rPr>
          <w:rFonts w:hint="eastAsia" w:ascii="宋体" w:hAnsi="宋体" w:eastAsia="宋体" w:cs="宋体"/>
          <w:b/>
          <w:bCs/>
          <w:kern w:val="0"/>
          <w:sz w:val="32"/>
          <w:szCs w:val="32"/>
          <w:shd w:val="clear" w:color="auto" w:fill="FFFFFF"/>
          <w:lang w:val="en-US" w:eastAsia="zh-CN"/>
        </w:rPr>
        <w:t>三、磋商文件的获取方式</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1、磋商文件获取方式：本项目没有报名环节，投标人凭CA数字证书通过三门峡市公共资源交易中心网（网址：http://gzjy.smx.gov.cn/） ，点击交易平台选择“市场主体登录”，在所参与项目右侧点击参与投标，即可直接下载本项目磋商文件。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办理CA证书：</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http://gzjy.smx.gov.cn/bzzx/008001/20211105/57b16af9-ab87-4395-a723-7758c628a3f8.html</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三门峡市公共资源交易平台操作手册：</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http://gzjy.smx.gov.cn/bzzx/008001/20200325/1d4d9bd4-82a2-4284-b2f7-428c4c69ef58.html</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highlight w:val="none"/>
          <w:shd w:val="clear" w:color="auto" w:fill="FFFFFF"/>
          <w:lang w:val="en-US" w:eastAsia="zh-CN"/>
        </w:rPr>
      </w:pPr>
      <w:r>
        <w:rPr>
          <w:rFonts w:hint="eastAsia" w:ascii="仿宋" w:hAnsi="仿宋" w:eastAsia="仿宋" w:cs="仿宋"/>
          <w:kern w:val="0"/>
          <w:sz w:val="32"/>
          <w:szCs w:val="32"/>
          <w:shd w:val="clear" w:color="auto" w:fill="FFFFFF"/>
          <w:lang w:val="en-US" w:eastAsia="zh-CN"/>
        </w:rPr>
        <w:t>2、磋商文件下载时间：</w:t>
      </w:r>
      <w:r>
        <w:rPr>
          <w:rFonts w:hint="eastAsia" w:ascii="仿宋" w:hAnsi="仿宋" w:eastAsia="仿宋" w:cs="仿宋"/>
          <w:kern w:val="0"/>
          <w:sz w:val="32"/>
          <w:szCs w:val="32"/>
          <w:highlight w:val="none"/>
          <w:shd w:val="clear" w:color="auto" w:fill="FFFFFF"/>
          <w:lang w:val="en-US" w:eastAsia="zh-CN"/>
        </w:rPr>
        <w:t>2024年05月22日08时00分至2024年06月04日08时30分。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3、本项目为不见面开标项目，开标当日，投标人无需到开标现场参加开标会议，投标人应当在投</w:t>
      </w:r>
      <w:bookmarkStart w:id="8" w:name="_GoBack"/>
      <w:bookmarkEnd w:id="8"/>
      <w:r>
        <w:rPr>
          <w:rFonts w:hint="eastAsia" w:ascii="仿宋" w:hAnsi="仿宋" w:eastAsia="仿宋" w:cs="仿宋"/>
          <w:kern w:val="0"/>
          <w:sz w:val="32"/>
          <w:szCs w:val="32"/>
          <w:shd w:val="clear" w:color="auto" w:fill="FFFFFF"/>
          <w:lang w:val="en-US" w:eastAsia="zh-CN"/>
        </w:rPr>
        <w:t>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b/>
          <w:bCs/>
          <w:kern w:val="0"/>
          <w:sz w:val="32"/>
          <w:szCs w:val="32"/>
          <w:shd w:val="clear" w:color="auto" w:fill="FFFFFF"/>
          <w:lang w:val="en-US" w:eastAsia="zh-CN"/>
        </w:rPr>
      </w:pPr>
      <w:r>
        <w:rPr>
          <w:rFonts w:hint="eastAsia" w:ascii="宋体" w:hAnsi="宋体" w:eastAsia="宋体" w:cs="宋体"/>
          <w:b/>
          <w:bCs/>
          <w:kern w:val="0"/>
          <w:sz w:val="32"/>
          <w:szCs w:val="32"/>
          <w:shd w:val="clear" w:color="auto" w:fill="FFFFFF"/>
          <w:lang w:val="en-US" w:eastAsia="zh-CN"/>
        </w:rPr>
        <w:t>四、磋商保证金</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按照《河南省财政厅关于优化政府采购营商环境有关问题的通知》（豫财购[2019]4号文）的要求本项目不再收取磋商保证金。</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b/>
          <w:bCs/>
          <w:kern w:val="0"/>
          <w:sz w:val="32"/>
          <w:szCs w:val="32"/>
          <w:shd w:val="clear" w:color="auto" w:fill="FFFFFF"/>
          <w:lang w:val="en-US" w:eastAsia="zh-CN"/>
        </w:rPr>
      </w:pPr>
      <w:r>
        <w:rPr>
          <w:rFonts w:hint="eastAsia" w:ascii="宋体" w:hAnsi="宋体" w:eastAsia="宋体" w:cs="宋体"/>
          <w:b/>
          <w:bCs/>
          <w:kern w:val="0"/>
          <w:sz w:val="32"/>
          <w:szCs w:val="32"/>
          <w:shd w:val="clear" w:color="auto" w:fill="FFFFFF"/>
          <w:lang w:val="en-US" w:eastAsia="zh-CN"/>
        </w:rPr>
        <w:t>五、磋商时间和地点</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1、响应文件递交截止时间及磋商时间：</w:t>
      </w:r>
      <w:r>
        <w:rPr>
          <w:rFonts w:hint="eastAsia" w:ascii="仿宋" w:hAnsi="仿宋" w:eastAsia="仿宋" w:cs="仿宋"/>
          <w:kern w:val="0"/>
          <w:sz w:val="32"/>
          <w:szCs w:val="32"/>
          <w:highlight w:val="none"/>
          <w:shd w:val="clear" w:color="auto" w:fill="FFFFFF"/>
          <w:lang w:val="en-US" w:eastAsia="zh-CN"/>
        </w:rPr>
        <w:t xml:space="preserve">2024年06月04日08时30分。 </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2、磋商地点：灵宝市公共资源交易中心开标二室（灵宝市金城大道与尹溪路交叉口信用联社12楼）。</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b/>
          <w:bCs/>
          <w:kern w:val="0"/>
          <w:sz w:val="32"/>
          <w:szCs w:val="32"/>
          <w:shd w:val="clear" w:color="auto" w:fill="FFFFFF"/>
          <w:lang w:val="en-US" w:eastAsia="zh-CN"/>
        </w:rPr>
      </w:pPr>
      <w:r>
        <w:rPr>
          <w:rFonts w:hint="eastAsia" w:ascii="宋体" w:hAnsi="宋体" w:eastAsia="宋体" w:cs="宋体"/>
          <w:b/>
          <w:bCs/>
          <w:kern w:val="0"/>
          <w:sz w:val="32"/>
          <w:szCs w:val="32"/>
          <w:shd w:val="clear" w:color="auto" w:fill="FFFFFF"/>
          <w:lang w:val="en-US" w:eastAsia="zh-CN"/>
        </w:rPr>
        <w:t>六、其他事项</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1、资格评（预）审部分：资格评（预）以响应文件为准，其上传资料真实性由供应商自行承担，同时，供应商要完善主体库。</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2、评标打分部分：评标打分部分仍按照100分制原则进行，涉及到资格审查、企业荣誉、人员业绩、企业业绩等计分部分时，以供应商自行上传到响应文件中的相应内容为准。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4、我单位（招标人）严格按三财购【2021】9号文要求的时限发布中标结果公告，发出中标通知书，签订采购合同，上传采购合同。</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5、供应商应仔细阅读操作手册，在本公告中要求的截止时间前完成磋商文件下载等工作。因供应商操作不当等问题造成的无法下载磋商文件、无法磋商等一切后果，由供应商自行承担。</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6、供应商递交的响应文件不论中标与否均不予退还。</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7、采购人不组织供应商踏勘现场。</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b/>
          <w:bCs/>
          <w:kern w:val="0"/>
          <w:sz w:val="32"/>
          <w:szCs w:val="32"/>
          <w:shd w:val="clear" w:color="auto" w:fill="FFFFFF"/>
          <w:lang w:val="en-US" w:eastAsia="zh-CN"/>
        </w:rPr>
      </w:pPr>
      <w:r>
        <w:rPr>
          <w:rFonts w:hint="eastAsia" w:ascii="宋体" w:hAnsi="宋体" w:eastAsia="宋体" w:cs="宋体"/>
          <w:b/>
          <w:bCs/>
          <w:kern w:val="0"/>
          <w:sz w:val="32"/>
          <w:szCs w:val="32"/>
          <w:shd w:val="clear" w:color="auto" w:fill="FFFFFF"/>
          <w:lang w:val="en-US" w:eastAsia="zh-CN"/>
        </w:rPr>
        <w:t>七、发布公告的媒介</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本次竞争性磋商公告在《中国采购与招标网》、《河南省政府采购网》、《三门峡市公共资源交易中心》网上同时发布。</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b/>
          <w:bCs/>
          <w:kern w:val="0"/>
          <w:sz w:val="32"/>
          <w:szCs w:val="32"/>
          <w:shd w:val="clear" w:color="auto" w:fill="FFFFFF"/>
          <w:lang w:val="en-US" w:eastAsia="zh-CN"/>
        </w:rPr>
      </w:pPr>
      <w:r>
        <w:rPr>
          <w:rFonts w:hint="eastAsia" w:ascii="宋体" w:hAnsi="宋体" w:eastAsia="宋体" w:cs="宋体"/>
          <w:b/>
          <w:bCs/>
          <w:kern w:val="0"/>
          <w:sz w:val="32"/>
          <w:szCs w:val="32"/>
          <w:shd w:val="clear" w:color="auto" w:fill="FFFFFF"/>
          <w:lang w:val="en-US" w:eastAsia="zh-CN"/>
        </w:rPr>
        <w:t>八、联系方式</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 xml:space="preserve">监督单位：灵宝市财政局政府采购监督管理科 </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联系电话：0398-8852670</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采购人：灵宝市民政局</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地址：灵宝市函谷路中段</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联 系 人：康先生</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联系电话：13803985530</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采购代理机构：中赞国际项目管理有限公司</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地    址：河南省灵宝市天宝路12号郭氏花苑楼下</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联 系 人：田女士</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联系电话：18939033838</w:t>
      </w:r>
    </w:p>
    <w:p>
      <w:pPr>
        <w:rPr>
          <w:rFonts w:hint="eastAsia" w:ascii="仿宋" w:hAnsi="仿宋" w:eastAsia="仿宋" w:cs="仿宋"/>
          <w:sz w:val="30"/>
          <w:szCs w:val="30"/>
          <w:lang w:val="en-US" w:eastAsia="zh-CN"/>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YjU0ZjhlNGUyMDU5MDJlMjJlNDI0MWFmNGQ3OTIifQ=="/>
  </w:docVars>
  <w:rsids>
    <w:rsidRoot w:val="1BCC28E7"/>
    <w:rsid w:val="06F21A1B"/>
    <w:rsid w:val="0C24257F"/>
    <w:rsid w:val="0E9C45B0"/>
    <w:rsid w:val="0FC86384"/>
    <w:rsid w:val="14C37FE0"/>
    <w:rsid w:val="1BCC28E7"/>
    <w:rsid w:val="22560A16"/>
    <w:rsid w:val="29A50C45"/>
    <w:rsid w:val="31CB2AFD"/>
    <w:rsid w:val="33155E08"/>
    <w:rsid w:val="398E3474"/>
    <w:rsid w:val="47571378"/>
    <w:rsid w:val="4ABE1045"/>
    <w:rsid w:val="4CC72AFC"/>
    <w:rsid w:val="50FB50D8"/>
    <w:rsid w:val="55EC0EC6"/>
    <w:rsid w:val="5B490B5C"/>
    <w:rsid w:val="5EE02DD3"/>
    <w:rsid w:val="61EA7094"/>
    <w:rsid w:val="639C0AAF"/>
    <w:rsid w:val="69201FF5"/>
    <w:rsid w:val="6C01679B"/>
    <w:rsid w:val="6D955D76"/>
    <w:rsid w:val="6F4F1201"/>
    <w:rsid w:val="7CF9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信息标题1"/>
    <w:autoRedefine/>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黑体"/>
      <w:kern w:val="2"/>
      <w:sz w:val="21"/>
      <w:szCs w:val="24"/>
      <w:shd w:val="pct20" w:color="auto" w:fill="auto"/>
      <w:lang w:val="en-US" w:eastAsia="zh-CN" w:bidi="ar-SA"/>
    </w:rPr>
  </w:style>
  <w:style w:type="paragraph" w:styleId="3">
    <w:name w:val="footnote text"/>
    <w:basedOn w:val="1"/>
    <w:autoRedefine/>
    <w:qFormat/>
    <w:uiPriority w:val="0"/>
    <w:rPr>
      <w:kern w:val="0"/>
      <w:sz w:val="20"/>
      <w:szCs w:val="20"/>
    </w:rPr>
  </w:style>
  <w:style w:type="paragraph" w:styleId="4">
    <w:name w:val="Normal (Web)"/>
    <w:basedOn w:val="1"/>
    <w:autoRedefine/>
    <w:qFormat/>
    <w:uiPriority w:val="0"/>
    <w:pPr>
      <w:widowControl/>
      <w:spacing w:before="100" w:beforeAutospacing="1" w:after="100" w:afterAutospacing="1"/>
      <w:jc w:val="left"/>
    </w:pPr>
    <w:rPr>
      <w:kern w:val="0"/>
      <w:sz w:val="24"/>
      <w:szCs w:val="20"/>
    </w:rPr>
  </w:style>
  <w:style w:type="character" w:styleId="7">
    <w:name w:val="FollowedHyperlink"/>
    <w:basedOn w:val="6"/>
    <w:autoRedefine/>
    <w:qFormat/>
    <w:uiPriority w:val="0"/>
    <w:rPr>
      <w:color w:val="800080"/>
      <w:u w:val="none"/>
    </w:rPr>
  </w:style>
  <w:style w:type="character" w:styleId="8">
    <w:name w:val="HTML Definition"/>
    <w:basedOn w:val="6"/>
    <w:autoRedefine/>
    <w:qFormat/>
    <w:uiPriority w:val="0"/>
  </w:style>
  <w:style w:type="character" w:styleId="9">
    <w:name w:val="HTML Typewriter"/>
    <w:basedOn w:val="6"/>
    <w:autoRedefine/>
    <w:qFormat/>
    <w:uiPriority w:val="0"/>
    <w:rPr>
      <w:rFonts w:ascii="monospace" w:hAnsi="monospace" w:eastAsia="monospace" w:cs="monospace"/>
      <w:sz w:val="20"/>
    </w:rPr>
  </w:style>
  <w:style w:type="character" w:styleId="10">
    <w:name w:val="HTML Acronym"/>
    <w:basedOn w:val="6"/>
    <w:autoRedefine/>
    <w:qFormat/>
    <w:uiPriority w:val="0"/>
  </w:style>
  <w:style w:type="character" w:styleId="11">
    <w:name w:val="HTML Variable"/>
    <w:basedOn w:val="6"/>
    <w:autoRedefine/>
    <w:qFormat/>
    <w:uiPriority w:val="0"/>
  </w:style>
  <w:style w:type="character" w:styleId="12">
    <w:name w:val="Hyperlink"/>
    <w:basedOn w:val="6"/>
    <w:autoRedefine/>
    <w:qFormat/>
    <w:uiPriority w:val="0"/>
    <w:rPr>
      <w:color w:val="0000FF"/>
      <w:u w:val="none"/>
    </w:rPr>
  </w:style>
  <w:style w:type="character" w:styleId="13">
    <w:name w:val="HTML Code"/>
    <w:basedOn w:val="6"/>
    <w:autoRedefine/>
    <w:qFormat/>
    <w:uiPriority w:val="0"/>
    <w:rPr>
      <w:rFonts w:hint="default" w:ascii="monospace" w:hAnsi="monospace" w:eastAsia="monospace" w:cs="monospace"/>
      <w:sz w:val="20"/>
    </w:rPr>
  </w:style>
  <w:style w:type="character" w:styleId="14">
    <w:name w:val="HTML Cite"/>
    <w:basedOn w:val="6"/>
    <w:autoRedefine/>
    <w:qFormat/>
    <w:uiPriority w:val="0"/>
  </w:style>
  <w:style w:type="character" w:styleId="15">
    <w:name w:val="HTML Keyboard"/>
    <w:basedOn w:val="6"/>
    <w:autoRedefine/>
    <w:qFormat/>
    <w:uiPriority w:val="0"/>
    <w:rPr>
      <w:rFonts w:hint="default" w:ascii="monospace" w:hAnsi="monospace" w:eastAsia="monospace" w:cs="monospace"/>
      <w:sz w:val="20"/>
    </w:rPr>
  </w:style>
  <w:style w:type="character" w:styleId="16">
    <w:name w:val="HTML Sample"/>
    <w:basedOn w:val="6"/>
    <w:autoRedefine/>
    <w:qFormat/>
    <w:uiPriority w:val="0"/>
    <w:rPr>
      <w:rFonts w:hint="default" w:ascii="monospace" w:hAnsi="monospace" w:eastAsia="monospace" w:cs="monospace"/>
    </w:rPr>
  </w:style>
  <w:style w:type="paragraph" w:customStyle="1" w:styleId="17">
    <w:name w:val="Default"/>
    <w:next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first-child"/>
    <w:basedOn w:val="6"/>
    <w:autoRedefine/>
    <w:qFormat/>
    <w:uiPriority w:val="0"/>
  </w:style>
  <w:style w:type="character" w:customStyle="1" w:styleId="19">
    <w:name w:val="layui-layer-tabnow"/>
    <w:basedOn w:val="6"/>
    <w:autoRedefine/>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1957</Words>
  <Characters>2464</Characters>
  <Lines>0</Lines>
  <Paragraphs>0</Paragraphs>
  <TotalTime>185</TotalTime>
  <ScaleCrop>false</ScaleCrop>
  <LinksUpToDate>false</LinksUpToDate>
  <CharactersWithSpaces>2477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2022-10-25T07:57:00Z</dcterms:created>
  <dc:creator>王家小姐姐</dc:creator>
  <cp:lastModifiedBy>Administrator</cp:lastModifiedBy>
  <dcterms:modified xsi:type="dcterms:W3CDTF">2024-05-20T03:30:37Z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90F36D9C263748E9B82BD0CCF90FA301</vt:lpwstr>
  </property>
</Properties>
</file>