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Cs/>
          <w:sz w:val="52"/>
          <w:szCs w:val="52"/>
        </w:rPr>
      </w:pPr>
      <w:bookmarkStart w:id="0" w:name="_Toc13769"/>
      <w:bookmarkStart w:id="864" w:name="_GoBack"/>
      <w:bookmarkEnd w:id="864"/>
    </w:p>
    <w:p>
      <w:pPr>
        <w:spacing w:line="360" w:lineRule="auto"/>
        <w:jc w:val="center"/>
        <w:rPr>
          <w:rFonts w:ascii="宋体" w:hAnsi="宋体" w:eastAsia="宋体" w:cs="Times New Roman"/>
          <w:bCs/>
          <w:sz w:val="52"/>
          <w:szCs w:val="52"/>
        </w:rPr>
      </w:pPr>
      <w:r>
        <w:rPr>
          <w:rFonts w:hint="eastAsia" w:ascii="宋体" w:hAnsi="宋体" w:eastAsia="宋体" w:cs="Times New Roman"/>
          <w:bCs/>
          <w:sz w:val="52"/>
          <w:szCs w:val="52"/>
        </w:rPr>
        <w:t>灵宝市第一人民医院皮肤科、医美科装修</w:t>
      </w:r>
    </w:p>
    <w:p>
      <w:pPr>
        <w:spacing w:line="360" w:lineRule="auto"/>
        <w:jc w:val="center"/>
        <w:rPr>
          <w:rFonts w:ascii="黑体" w:hAnsi="黑体" w:eastAsia="黑体" w:cs="宋体"/>
          <w:b/>
          <w:sz w:val="52"/>
          <w:szCs w:val="52"/>
        </w:rPr>
      </w:pPr>
      <w:r>
        <w:rPr>
          <w:rFonts w:hint="eastAsia" w:ascii="宋体" w:hAnsi="宋体" w:eastAsia="宋体" w:cs="Times New Roman"/>
          <w:bCs/>
          <w:sz w:val="52"/>
          <w:szCs w:val="52"/>
        </w:rPr>
        <w:t>工程</w:t>
      </w:r>
    </w:p>
    <w:p>
      <w:pPr>
        <w:spacing w:line="360" w:lineRule="auto"/>
        <w:ind w:firstLine="221" w:firstLineChars="50"/>
        <w:jc w:val="center"/>
        <w:rPr>
          <w:rFonts w:ascii="黑体" w:hAnsi="黑体" w:eastAsia="黑体" w:cs="宋体"/>
          <w:b/>
          <w:sz w:val="44"/>
          <w:szCs w:val="44"/>
        </w:rPr>
      </w:pPr>
    </w:p>
    <w:p>
      <w:pPr>
        <w:spacing w:line="360" w:lineRule="auto"/>
        <w:ind w:firstLine="422" w:firstLineChars="50"/>
        <w:jc w:val="center"/>
        <w:rPr>
          <w:rFonts w:ascii="黑体" w:hAnsi="黑体" w:eastAsia="黑体" w:cs="宋体"/>
          <w:b/>
          <w:sz w:val="84"/>
          <w:szCs w:val="84"/>
        </w:rPr>
      </w:pPr>
      <w:r>
        <w:rPr>
          <w:rFonts w:hint="eastAsia" w:ascii="黑体" w:hAnsi="黑体" w:eastAsia="黑体" w:cs="宋体"/>
          <w:b/>
          <w:sz w:val="84"/>
          <w:szCs w:val="84"/>
        </w:rPr>
        <w:t>竞争性谈判文件</w:t>
      </w:r>
    </w:p>
    <w:p>
      <w:pPr>
        <w:widowControl/>
        <w:spacing w:line="560" w:lineRule="exact"/>
        <w:ind w:firstLine="1954" w:firstLineChars="695"/>
        <w:jc w:val="left"/>
        <w:rPr>
          <w:rFonts w:ascii="黑体" w:hAnsi="黑体" w:eastAsia="黑体" w:cs="宋体"/>
          <w:b/>
          <w:sz w:val="28"/>
          <w:szCs w:val="28"/>
        </w:rPr>
      </w:pPr>
      <w:r>
        <w:rPr>
          <w:rFonts w:hint="eastAsia" w:ascii="黑体" w:hAnsi="黑体" w:eastAsia="黑体" w:cs="宋体"/>
          <w:b/>
          <w:sz w:val="28"/>
          <w:szCs w:val="28"/>
        </w:rPr>
        <w:t>项目编号：灵宝竞谈采购-2024-3、LBGZ[2024]130-ZC084</w:t>
      </w:r>
    </w:p>
    <w:p>
      <w:pPr>
        <w:widowControl/>
        <w:spacing w:line="560" w:lineRule="exact"/>
        <w:ind w:firstLine="1954" w:firstLineChars="695"/>
        <w:jc w:val="left"/>
        <w:rPr>
          <w:rFonts w:ascii="黑体" w:hAnsi="黑体" w:eastAsia="黑体" w:cs="宋体"/>
          <w:b/>
          <w:sz w:val="28"/>
          <w:szCs w:val="28"/>
        </w:rPr>
      </w:pPr>
    </w:p>
    <w:p>
      <w:pPr>
        <w:spacing w:line="360" w:lineRule="auto"/>
        <w:jc w:val="center"/>
        <w:rPr>
          <w:rFonts w:ascii="黑体" w:hAnsi="Times New Roman" w:eastAsia="黑体" w:cs="Times New Roman"/>
          <w:b/>
          <w:sz w:val="28"/>
          <w:szCs w:val="24"/>
        </w:rPr>
      </w:pPr>
      <w:r>
        <w:rPr>
          <w:rFonts w:hint="eastAsia" w:ascii="宋体" w:hAnsi="宋体" w:eastAsia="宋体" w:cs="Times New Roman"/>
          <w:b/>
          <w:sz w:val="32"/>
          <w:szCs w:val="32"/>
        </w:rPr>
        <w:t xml:space="preserve"> </w:t>
      </w:r>
      <w:r>
        <w:rPr>
          <w:rFonts w:hint="eastAsia" w:ascii="黑体" w:hAnsi="Times New Roman" w:eastAsia="黑体" w:cs="Times New Roman"/>
          <w:b/>
          <w:sz w:val="28"/>
          <w:szCs w:val="24"/>
        </w:rPr>
        <w:t xml:space="preserve"> </w:t>
      </w:r>
      <w:r>
        <w:rPr>
          <w:rFonts w:ascii="Times New Roman" w:hAnsi="Times New Roman" w:eastAsia="宋体" w:cs="Times New Roman"/>
          <w:b/>
          <w:sz w:val="28"/>
          <w:szCs w:val="28"/>
        </w:rPr>
        <w:drawing>
          <wp:inline distT="0" distB="0" distL="0" distR="0">
            <wp:extent cx="2651760" cy="2232660"/>
            <wp:effectExtent l="0" t="0" r="0" b="0"/>
            <wp:docPr id="3" name="图片 3" descr="丰腾咨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丰腾咨询logo"/>
                    <pic:cNvPicPr>
                      <a:picLocks noChangeAspect="1" noChangeArrowheads="1"/>
                    </pic:cNvPicPr>
                  </pic:nvPicPr>
                  <pic:blipFill>
                    <a:blip r:embed="rId6">
                      <a:extLst>
                        <a:ext uri="{28A0092B-C50C-407E-A947-70E740481C1C}">
                          <a14:useLocalDpi xmlns:a14="http://schemas.microsoft.com/office/drawing/2010/main" val="0"/>
                        </a:ext>
                      </a:extLst>
                    </a:blip>
                    <a:srcRect l="20320" t="16531" r="20665" b="11710"/>
                    <a:stretch>
                      <a:fillRect/>
                    </a:stretch>
                  </pic:blipFill>
                  <pic:spPr>
                    <a:xfrm>
                      <a:off x="0" y="0"/>
                      <a:ext cx="2651760" cy="2232660"/>
                    </a:xfrm>
                    <a:prstGeom prst="rect">
                      <a:avLst/>
                    </a:prstGeom>
                    <a:noFill/>
                    <a:ln>
                      <a:noFill/>
                    </a:ln>
                  </pic:spPr>
                </pic:pic>
              </a:graphicData>
            </a:graphic>
          </wp:inline>
        </w:drawing>
      </w:r>
    </w:p>
    <w:p>
      <w:pPr>
        <w:spacing w:line="360" w:lineRule="auto"/>
        <w:jc w:val="center"/>
        <w:rPr>
          <w:rFonts w:ascii="黑体" w:hAnsi="Times New Roman" w:eastAsia="黑体" w:cs="Times New Roman"/>
          <w:b/>
          <w:sz w:val="28"/>
          <w:szCs w:val="24"/>
        </w:rPr>
      </w:pPr>
    </w:p>
    <w:p>
      <w:pPr>
        <w:spacing w:line="360" w:lineRule="auto"/>
        <w:jc w:val="center"/>
        <w:rPr>
          <w:rFonts w:ascii="黑体" w:hAnsi="Times New Roman" w:eastAsia="黑体" w:cs="Times New Roman"/>
          <w:b/>
          <w:sz w:val="28"/>
          <w:szCs w:val="24"/>
        </w:rPr>
      </w:pPr>
    </w:p>
    <w:p>
      <w:pPr>
        <w:spacing w:line="360" w:lineRule="auto"/>
        <w:jc w:val="center"/>
        <w:rPr>
          <w:rFonts w:ascii="黑体" w:hAnsi="Times New Roman" w:eastAsia="黑体" w:cs="Times New Roman"/>
          <w:b/>
          <w:sz w:val="28"/>
          <w:szCs w:val="24"/>
        </w:rPr>
      </w:pPr>
    </w:p>
    <w:p>
      <w:pPr>
        <w:widowControl/>
        <w:jc w:val="left"/>
        <w:rPr>
          <w:rFonts w:ascii="Times New Roman" w:hAnsi="Times New Roman" w:eastAsia="宋体" w:cs="Times New Roman"/>
          <w:szCs w:val="24"/>
        </w:rPr>
      </w:pPr>
    </w:p>
    <w:p>
      <w:pPr>
        <w:spacing w:line="360" w:lineRule="auto"/>
        <w:ind w:firstLine="1928" w:firstLineChars="600"/>
        <w:jc w:val="left"/>
        <w:rPr>
          <w:rFonts w:ascii="宋体" w:hAnsi="宋体" w:eastAsia="宋体" w:cs="宋体"/>
          <w:b/>
          <w:kern w:val="0"/>
          <w:sz w:val="32"/>
          <w:szCs w:val="32"/>
          <w:shd w:val="clear" w:color="auto" w:fill="FFFFFF"/>
        </w:rPr>
      </w:pPr>
      <w:r>
        <w:rPr>
          <w:rFonts w:hint="eastAsia" w:ascii="宋体" w:hAnsi="宋体" w:eastAsia="宋体" w:cs="宋体"/>
          <w:b/>
          <w:kern w:val="0"/>
          <w:sz w:val="32"/>
          <w:szCs w:val="32"/>
          <w:shd w:val="clear" w:color="auto" w:fill="FFFFFF"/>
        </w:rPr>
        <w:t>采 购 人：灵宝市第一人民医院</w:t>
      </w:r>
    </w:p>
    <w:p>
      <w:pPr>
        <w:spacing w:line="360" w:lineRule="auto"/>
        <w:ind w:firstLine="1928" w:firstLineChars="600"/>
        <w:jc w:val="left"/>
        <w:rPr>
          <w:rFonts w:ascii="宋体" w:hAnsi="宋体" w:eastAsia="宋体" w:cs="宋体"/>
          <w:b/>
          <w:kern w:val="0"/>
          <w:sz w:val="32"/>
          <w:szCs w:val="32"/>
          <w:shd w:val="clear" w:color="auto" w:fill="FFFFFF"/>
        </w:rPr>
      </w:pPr>
      <w:r>
        <w:rPr>
          <w:rFonts w:hint="eastAsia" w:ascii="宋体" w:hAnsi="宋体" w:eastAsia="宋体" w:cs="宋体"/>
          <w:b/>
          <w:kern w:val="0"/>
          <w:sz w:val="32"/>
          <w:szCs w:val="32"/>
          <w:shd w:val="clear" w:color="auto" w:fill="FFFFFF"/>
        </w:rPr>
        <w:t>代理机构：河南丰腾咨询服务有限公司</w:t>
      </w:r>
    </w:p>
    <w:p>
      <w:pPr>
        <w:spacing w:line="360" w:lineRule="auto"/>
        <w:ind w:firstLine="1928" w:firstLineChars="600"/>
        <w:jc w:val="left"/>
        <w:rPr>
          <w:rFonts w:ascii="宋体" w:hAnsi="宋体" w:eastAsia="宋体" w:cs="宋体"/>
          <w:b/>
          <w:kern w:val="0"/>
          <w:sz w:val="32"/>
          <w:szCs w:val="32"/>
          <w:shd w:val="clear" w:color="auto" w:fill="FFFFFF"/>
        </w:rPr>
      </w:pPr>
      <w:r>
        <w:rPr>
          <w:rFonts w:hint="eastAsia" w:ascii="宋体" w:hAnsi="宋体" w:eastAsia="宋体" w:cs="宋体"/>
          <w:b/>
          <w:kern w:val="0"/>
          <w:sz w:val="32"/>
          <w:szCs w:val="32"/>
          <w:shd w:val="clear" w:color="auto" w:fill="FFFFFF"/>
        </w:rPr>
        <w:t>日    期：二0二四年六月　</w:t>
      </w:r>
      <w:bookmarkStart w:id="1" w:name="_Toc508179882"/>
    </w:p>
    <w:p>
      <w:pPr>
        <w:spacing w:line="360" w:lineRule="auto"/>
        <w:jc w:val="center"/>
        <w:rPr>
          <w:rFonts w:ascii="黑体" w:hAnsi="黑体" w:eastAsia="黑体" w:cs="Times New Roman"/>
          <w:b/>
          <w:kern w:val="44"/>
          <w:sz w:val="44"/>
          <w:szCs w:val="44"/>
        </w:rPr>
      </w:pPr>
      <w:r>
        <w:rPr>
          <w:rFonts w:hint="eastAsia" w:ascii="黑体" w:hAnsi="黑体" w:eastAsia="黑体" w:cs="Times New Roman"/>
          <w:b/>
          <w:kern w:val="44"/>
          <w:sz w:val="44"/>
          <w:szCs w:val="44"/>
        </w:rPr>
        <w:t>目   录</w:t>
      </w:r>
    </w:p>
    <w:bookmarkEnd w:id="1"/>
    <w:p>
      <w:pPr>
        <w:tabs>
          <w:tab w:val="right" w:leader="dot" w:pos="9628"/>
        </w:tabs>
        <w:spacing w:line="700" w:lineRule="exact"/>
        <w:rPr>
          <w:rFonts w:ascii="Calibri" w:hAnsi="Calibri" w:eastAsia="宋体" w:cs="Times New Roman"/>
        </w:rPr>
      </w:pPr>
      <w:r>
        <w:rPr>
          <w:rFonts w:ascii="宋体" w:hAnsi="宋体" w:eastAsia="宋体" w:cs="Times New Roman"/>
          <w:bCs/>
          <w:sz w:val="24"/>
          <w:szCs w:val="24"/>
        </w:rPr>
        <w:fldChar w:fldCharType="begin"/>
      </w:r>
      <w:r>
        <w:rPr>
          <w:rFonts w:ascii="宋体" w:hAnsi="宋体" w:eastAsia="宋体" w:cs="Times New Roman"/>
          <w:bCs/>
          <w:sz w:val="24"/>
          <w:szCs w:val="24"/>
        </w:rPr>
        <w:instrText xml:space="preserve"> </w:instrText>
      </w:r>
      <w:r>
        <w:rPr>
          <w:rFonts w:hint="eastAsia" w:ascii="宋体" w:hAnsi="宋体" w:eastAsia="宋体" w:cs="Times New Roman"/>
          <w:bCs/>
          <w:sz w:val="24"/>
          <w:szCs w:val="24"/>
        </w:rPr>
        <w:instrText xml:space="preserve">TOC \o "1-2" \h \z \u</w:instrText>
      </w:r>
      <w:r>
        <w:rPr>
          <w:rFonts w:ascii="宋体" w:hAnsi="宋体" w:eastAsia="宋体" w:cs="Times New Roman"/>
          <w:bCs/>
          <w:sz w:val="24"/>
          <w:szCs w:val="24"/>
        </w:rPr>
        <w:instrText xml:space="preserve"> </w:instrText>
      </w:r>
      <w:r>
        <w:rPr>
          <w:rFonts w:ascii="宋体" w:hAnsi="宋体" w:eastAsia="宋体" w:cs="Times New Roman"/>
          <w:bCs/>
          <w:sz w:val="24"/>
          <w:szCs w:val="24"/>
        </w:rPr>
        <w:fldChar w:fldCharType="separate"/>
      </w:r>
      <w:r>
        <w:fldChar w:fldCharType="begin"/>
      </w:r>
      <w:r>
        <w:instrText xml:space="preserve"> HYPERLINK \l "_Toc168042015" </w:instrText>
      </w:r>
      <w:r>
        <w:fldChar w:fldCharType="separate"/>
      </w:r>
      <w:r>
        <w:rPr>
          <w:rFonts w:hint="eastAsia" w:ascii="宋体" w:hAnsi="宋体" w:eastAsia="宋体" w:cs="Times New Roman"/>
          <w:b/>
          <w:bCs/>
          <w:color w:val="0000FF"/>
          <w:szCs w:val="24"/>
          <w:u w:val="single"/>
        </w:rPr>
        <w:t>第一章</w:t>
      </w:r>
      <w:r>
        <w:rPr>
          <w:rFonts w:ascii="宋体" w:hAnsi="宋体" w:eastAsia="宋体" w:cs="Times New Roman"/>
          <w:b/>
          <w:bCs/>
          <w:color w:val="0000FF"/>
          <w:szCs w:val="24"/>
          <w:u w:val="single"/>
        </w:rPr>
        <w:t xml:space="preserve">  竞争性</w:t>
      </w:r>
      <w:r>
        <w:rPr>
          <w:rFonts w:hint="eastAsia" w:ascii="宋体" w:hAnsi="宋体" w:eastAsia="宋体" w:cs="Times New Roman"/>
          <w:b/>
          <w:bCs/>
          <w:color w:val="0000FF"/>
          <w:szCs w:val="24"/>
          <w:u w:val="single"/>
        </w:rPr>
        <w:t>谈判公告</w:t>
      </w:r>
      <w:r>
        <w:rPr>
          <w:rFonts w:ascii="Times New Roman" w:hAnsi="Times New Roman" w:eastAsia="宋体" w:cs="Times New Roman"/>
          <w:szCs w:val="24"/>
        </w:rPr>
        <w:tab/>
      </w:r>
      <w:r>
        <w:rPr>
          <w:rFonts w:hint="eastAsia" w:ascii="Times New Roman" w:hAnsi="Times New Roman" w:eastAsia="宋体" w:cs="Times New Roman"/>
          <w:szCs w:val="24"/>
        </w:rPr>
        <w:t>1</w:t>
      </w:r>
      <w:r>
        <w:rPr>
          <w:rFonts w:hint="eastAsia" w:ascii="Times New Roman" w:hAnsi="Times New Roman" w:eastAsia="宋体" w:cs="Times New Roman"/>
          <w:szCs w:val="24"/>
        </w:rPr>
        <w:fldChar w:fldCharType="end"/>
      </w:r>
    </w:p>
    <w:p>
      <w:pPr>
        <w:tabs>
          <w:tab w:val="right" w:leader="dot" w:pos="9628"/>
        </w:tabs>
        <w:spacing w:line="700" w:lineRule="exact"/>
        <w:rPr>
          <w:rFonts w:ascii="Calibri" w:hAnsi="Calibri" w:eastAsia="宋体" w:cs="Times New Roman"/>
        </w:rPr>
      </w:pPr>
      <w:r>
        <w:fldChar w:fldCharType="begin"/>
      </w:r>
      <w:r>
        <w:instrText xml:space="preserve"> HYPERLINK \l "_Toc168042016" </w:instrText>
      </w:r>
      <w:r>
        <w:fldChar w:fldCharType="separate"/>
      </w:r>
      <w:r>
        <w:rPr>
          <w:rFonts w:hint="eastAsia" w:ascii="宋体" w:hAnsi="宋体" w:eastAsia="宋体" w:cs="Times New Roman"/>
          <w:b/>
          <w:bCs/>
          <w:color w:val="0000FF"/>
          <w:szCs w:val="24"/>
          <w:u w:val="single"/>
        </w:rPr>
        <w:t>第二章</w:t>
      </w:r>
      <w:r>
        <w:rPr>
          <w:rFonts w:ascii="宋体" w:hAnsi="宋体" w:eastAsia="宋体" w:cs="Times New Roman"/>
          <w:b/>
          <w:bCs/>
          <w:color w:val="0000FF"/>
          <w:szCs w:val="24"/>
          <w:u w:val="single"/>
        </w:rPr>
        <w:t xml:space="preserve"> </w:t>
      </w:r>
      <w:r>
        <w:rPr>
          <w:rFonts w:hint="eastAsia" w:ascii="宋体" w:hAnsi="宋体" w:eastAsia="宋体" w:cs="Times New Roman"/>
          <w:b/>
          <w:bCs/>
          <w:color w:val="0000FF"/>
          <w:szCs w:val="24"/>
          <w:u w:val="single"/>
        </w:rPr>
        <w:t>供应商须知</w:t>
      </w:r>
      <w:r>
        <w:rPr>
          <w:rFonts w:ascii="Times New Roman" w:hAnsi="Times New Roman" w:eastAsia="宋体" w:cs="Times New Roman"/>
          <w:szCs w:val="24"/>
        </w:rPr>
        <w:tab/>
      </w:r>
      <w:r>
        <w:rPr>
          <w:rFonts w:hint="eastAsia" w:ascii="Times New Roman" w:hAnsi="Times New Roman" w:eastAsia="宋体" w:cs="Times New Roman"/>
          <w:szCs w:val="24"/>
        </w:rPr>
        <w:t>6</w:t>
      </w:r>
      <w:r>
        <w:rPr>
          <w:rFonts w:hint="eastAsia" w:ascii="Times New Roman" w:hAnsi="Times New Roman" w:eastAsia="宋体" w:cs="Times New Roman"/>
          <w:szCs w:val="24"/>
        </w:rPr>
        <w:fldChar w:fldCharType="end"/>
      </w:r>
    </w:p>
    <w:p>
      <w:pPr>
        <w:tabs>
          <w:tab w:val="right" w:leader="dot" w:pos="9628"/>
        </w:tabs>
        <w:spacing w:line="700" w:lineRule="exact"/>
        <w:rPr>
          <w:rFonts w:ascii="Calibri" w:hAnsi="Calibri" w:eastAsia="宋体" w:cs="Times New Roman"/>
        </w:rPr>
      </w:pPr>
      <w:r>
        <w:fldChar w:fldCharType="begin"/>
      </w:r>
      <w:r>
        <w:instrText xml:space="preserve"> HYPERLINK \l "_Toc168042055" </w:instrText>
      </w:r>
      <w:r>
        <w:fldChar w:fldCharType="separate"/>
      </w:r>
      <w:r>
        <w:rPr>
          <w:rFonts w:hint="eastAsia" w:ascii="宋体" w:hAnsi="宋体" w:eastAsia="宋体" w:cs="Times New Roman"/>
          <w:b/>
          <w:bCs/>
          <w:color w:val="0000FF"/>
          <w:szCs w:val="24"/>
          <w:u w:val="single"/>
        </w:rPr>
        <w:t>第三章</w:t>
      </w:r>
      <w:r>
        <w:rPr>
          <w:rFonts w:ascii="宋体" w:hAnsi="宋体" w:eastAsia="宋体" w:cs="Times New Roman"/>
          <w:b/>
          <w:bCs/>
          <w:color w:val="0000FF"/>
          <w:szCs w:val="24"/>
          <w:u w:val="single"/>
        </w:rPr>
        <w:t xml:space="preserve">  </w:t>
      </w:r>
      <w:r>
        <w:rPr>
          <w:rFonts w:hint="eastAsia" w:ascii="宋体" w:hAnsi="宋体" w:eastAsia="宋体" w:cs="Times New Roman"/>
          <w:b/>
          <w:bCs/>
          <w:color w:val="0000FF"/>
          <w:szCs w:val="24"/>
          <w:u w:val="single"/>
        </w:rPr>
        <w:t>工程量清单</w:t>
      </w:r>
      <w:r>
        <w:rPr>
          <w:rFonts w:ascii="Times New Roman" w:hAnsi="Times New Roman" w:eastAsia="宋体" w:cs="Times New Roman"/>
          <w:szCs w:val="24"/>
        </w:rPr>
        <w:tab/>
      </w:r>
      <w:r>
        <w:rPr>
          <w:rFonts w:hint="eastAsia" w:ascii="Times New Roman" w:hAnsi="Times New Roman" w:eastAsia="宋体" w:cs="Times New Roman"/>
          <w:szCs w:val="24"/>
        </w:rPr>
        <w:t>2</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3</w:t>
      </w:r>
    </w:p>
    <w:p>
      <w:pPr>
        <w:tabs>
          <w:tab w:val="right" w:leader="dot" w:pos="9628"/>
        </w:tabs>
        <w:spacing w:line="700" w:lineRule="exact"/>
        <w:rPr>
          <w:rFonts w:ascii="Calibri" w:hAnsi="Calibri" w:eastAsia="宋体" w:cs="Times New Roman"/>
        </w:rPr>
      </w:pPr>
      <w:r>
        <w:fldChar w:fldCharType="begin"/>
      </w:r>
      <w:r>
        <w:instrText xml:space="preserve"> HYPERLINK \l "_Toc168042067" </w:instrText>
      </w:r>
      <w:r>
        <w:fldChar w:fldCharType="separate"/>
      </w:r>
      <w:r>
        <w:rPr>
          <w:rFonts w:hint="eastAsia" w:ascii="宋体" w:hAnsi="宋体" w:eastAsia="宋体" w:cs="Times New Roman"/>
          <w:b/>
          <w:bCs/>
          <w:color w:val="0000FF"/>
          <w:szCs w:val="24"/>
          <w:u w:val="single"/>
        </w:rPr>
        <w:t>第四章</w:t>
      </w:r>
      <w:r>
        <w:rPr>
          <w:rFonts w:ascii="宋体" w:hAnsi="宋体" w:eastAsia="宋体" w:cs="Times New Roman"/>
          <w:b/>
          <w:bCs/>
          <w:color w:val="0000FF"/>
          <w:szCs w:val="24"/>
          <w:u w:val="single"/>
        </w:rPr>
        <w:t xml:space="preserve">  </w:t>
      </w:r>
      <w:r>
        <w:rPr>
          <w:rFonts w:hint="eastAsia" w:ascii="宋体" w:hAnsi="宋体" w:eastAsia="宋体" w:cs="Times New Roman"/>
          <w:b/>
          <w:bCs/>
          <w:color w:val="0000FF"/>
          <w:szCs w:val="24"/>
          <w:u w:val="single"/>
        </w:rPr>
        <w:t>合同条款及格式</w:t>
      </w:r>
      <w:r>
        <w:rPr>
          <w:rFonts w:ascii="Times New Roman" w:hAnsi="Times New Roman" w:eastAsia="宋体" w:cs="Times New Roman"/>
          <w:szCs w:val="24"/>
        </w:rPr>
        <w:tab/>
      </w:r>
      <w:r>
        <w:rPr>
          <w:rFonts w:hint="eastAsia" w:ascii="Times New Roman" w:hAnsi="Times New Roman" w:eastAsia="宋体" w:cs="Times New Roman"/>
          <w:szCs w:val="24"/>
        </w:rPr>
        <w:t>24</w:t>
      </w:r>
      <w:r>
        <w:rPr>
          <w:rFonts w:hint="eastAsia" w:ascii="Times New Roman" w:hAnsi="Times New Roman" w:eastAsia="宋体" w:cs="Times New Roman"/>
          <w:szCs w:val="24"/>
        </w:rPr>
        <w:fldChar w:fldCharType="end"/>
      </w:r>
    </w:p>
    <w:p>
      <w:pPr>
        <w:tabs>
          <w:tab w:val="right" w:leader="dot" w:pos="9628"/>
        </w:tabs>
        <w:spacing w:line="700" w:lineRule="exact"/>
        <w:rPr>
          <w:rFonts w:ascii="Calibri" w:hAnsi="Calibri" w:eastAsia="宋体" w:cs="Times New Roman"/>
        </w:rPr>
      </w:pPr>
      <w:r>
        <w:fldChar w:fldCharType="begin"/>
      </w:r>
      <w:r>
        <w:instrText xml:space="preserve"> HYPERLINK \l "_Toc168042069" </w:instrText>
      </w:r>
      <w:r>
        <w:fldChar w:fldCharType="separate"/>
      </w:r>
      <w:r>
        <w:rPr>
          <w:rFonts w:hint="eastAsia" w:ascii="宋体" w:hAnsi="宋体" w:eastAsia="宋体" w:cs="Times New Roman"/>
          <w:b/>
          <w:bCs/>
          <w:color w:val="0000FF"/>
          <w:szCs w:val="24"/>
          <w:u w:val="single"/>
        </w:rPr>
        <w:t>第五章</w:t>
      </w:r>
      <w:r>
        <w:rPr>
          <w:rFonts w:ascii="宋体" w:hAnsi="宋体" w:eastAsia="宋体" w:cs="Times New Roman"/>
          <w:b/>
          <w:bCs/>
          <w:color w:val="0000FF"/>
          <w:szCs w:val="24"/>
          <w:u w:val="single"/>
        </w:rPr>
        <w:t xml:space="preserve"> </w:t>
      </w:r>
      <w:r>
        <w:rPr>
          <w:rFonts w:hint="eastAsia" w:ascii="宋体" w:hAnsi="宋体" w:eastAsia="宋体" w:cs="Times New Roman"/>
          <w:b/>
          <w:bCs/>
          <w:color w:val="0000FF"/>
          <w:szCs w:val="24"/>
          <w:u w:val="single"/>
        </w:rPr>
        <w:t>响应性文件部分格式</w:t>
      </w:r>
      <w:r>
        <w:rPr>
          <w:rFonts w:ascii="Times New Roman" w:hAnsi="Times New Roman" w:eastAsia="宋体" w:cs="Times New Roman"/>
          <w:szCs w:val="24"/>
        </w:rPr>
        <w:tab/>
      </w:r>
      <w:r>
        <w:rPr>
          <w:rFonts w:hint="eastAsia" w:ascii="Times New Roman" w:hAnsi="Times New Roman" w:eastAsia="宋体" w:cs="Times New Roman"/>
          <w:szCs w:val="24"/>
        </w:rPr>
        <w:t>4</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8</w:t>
      </w:r>
    </w:p>
    <w:p>
      <w:pPr>
        <w:spacing w:line="600" w:lineRule="exact"/>
        <w:rPr>
          <w:rFonts w:ascii="宋体" w:hAnsi="宋体" w:eastAsia="宋体" w:cs="Times New Roman"/>
          <w:bCs/>
          <w:sz w:val="30"/>
          <w:szCs w:val="30"/>
        </w:rPr>
      </w:pPr>
      <w:r>
        <w:rPr>
          <w:rFonts w:ascii="宋体" w:hAnsi="宋体" w:eastAsia="宋体" w:cs="Times New Roman"/>
          <w:bCs/>
          <w:sz w:val="24"/>
          <w:szCs w:val="24"/>
        </w:rPr>
        <w:fldChar w:fldCharType="end"/>
      </w:r>
    </w:p>
    <w:p>
      <w:pP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p>
    <w:p>
      <w:pPr>
        <w:snapToGrid w:val="0"/>
        <w:spacing w:line="400" w:lineRule="exact"/>
        <w:ind w:firstLine="600" w:firstLineChars="200"/>
        <w:jc w:val="center"/>
        <w:rPr>
          <w:rFonts w:ascii="宋体" w:hAnsi="宋体" w:eastAsia="宋体" w:cs="Times New Roman"/>
          <w:bCs/>
          <w:sz w:val="30"/>
          <w:szCs w:val="30"/>
        </w:rPr>
      </w:pPr>
      <w:r>
        <w:rPr>
          <w:rFonts w:hint="eastAsia" w:ascii="宋体" w:hAnsi="宋体" w:eastAsia="宋体" w:cs="Times New Roman"/>
          <w:bCs/>
          <w:sz w:val="30"/>
          <w:szCs w:val="30"/>
        </w:rPr>
        <w:t>第一章 竞争性谈判公告</w:t>
      </w:r>
      <w:bookmarkEnd w:id="0"/>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一、采购条件：</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本项目为灵宝市第一人民医院皮肤科、医美科装修工程，资金来源为自筹资金，采购人为灵宝市第一人民医院，采购代理机构为河南丰腾咨询服务有限公司。项目已具备采购条件，现对该项目进行竞争性谈判。</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二、项目概况与采购范围</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1、项目名称：灵宝市第一人民医院皮肤科、医美科装修工程</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2、项目编号：灵宝竞谈采购-2024-3、LBGZ[2024]130-ZC084      </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项目概况：本工程为灵宝市第一人民医院皮肤科、医美科装修工程，主要施工内容包括公共区域、卫生间、更衣室、休息室、电光间、治疗室、诊疗室等墙面、地面、顶面装饰工程；强电与给排水、采暖安装工程，详见工程量清单；</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4、采购范围：竞争性谈判文件、工程量清单内的全部内容（具体要求详见竞争性谈判文件）； </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5、控制价989379.22元；</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6、工期：60日历天；</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7、资金来源：自筹资金；</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8、质量：合格；</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三、供应商资格要求</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1、供应商须具备独立法人资格，具有有效的营业执照；</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2、具备国家建设部门核发的建筑工程施工总承包叁级及以上资质或</w:t>
      </w:r>
      <w:r>
        <w:rPr>
          <w:rFonts w:ascii="宋体" w:hAnsi="宋体" w:eastAsia="宋体" w:cs="Times New Roman"/>
          <w:bCs/>
          <w:sz w:val="24"/>
          <w:szCs w:val="24"/>
        </w:rPr>
        <w:t>建筑装修装饰工程专业承包</w:t>
      </w:r>
      <w:r>
        <w:rPr>
          <w:rFonts w:hint="eastAsia" w:ascii="宋体" w:hAnsi="宋体" w:eastAsia="宋体" w:cs="Times New Roman"/>
          <w:bCs/>
          <w:sz w:val="24"/>
          <w:szCs w:val="24"/>
        </w:rPr>
        <w:t>二级及以上资质，并具有有效的安全生产许可证；</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3、拟派项目经理具有建筑工程专业贰级及以上注册建造师资格，具有有效的安全生产考核合格证，项目经理未在其他在建工程项目中担任项目经理，并提供无在建项目承诺书；</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4、企业自行出具本单位无商业贿赂及无不正当竞争行为的承诺书；</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7、本项目不接受联合体投标；</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四、谈判文件的获取方式</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1.时间：2024年6月8日00时00分至2024年6月14 日08时30分（北京时间）。</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2.地点：三门峡市公共资源交易中心网</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3.方式：供应商凭CA数字证书通过三门峡市公共资源交易中心网（网址：http://gzjy.smx.gov.cn），点击交易平台选择“交易主体登录”，在所参与项目右侧点击参与谈判，即可直接下载本项目竞争性谈判文件。</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办理CA证书链接http://gzjy.smx.gov.cn/bzzx/008001/20211105/57b16af9-ab87-4395-a723-7758c628a3f8.html。</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五、谈判保证金</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根据《河南省财政厅关于优化政府采购营商环境有关问题的通知》（豫财购[2020]4号）第6条的规定，谈判保证金不再收取。</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六、其他事项</w:t>
      </w:r>
    </w:p>
    <w:p>
      <w:pPr>
        <w:snapToGrid w:val="0"/>
        <w:spacing w:line="44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w:t>
      </w:r>
      <w:r>
        <w:rPr>
          <w:rFonts w:hint="eastAsia" w:ascii="宋体" w:hAnsi="宋体" w:eastAsia="宋体" w:cs="Times New Roman"/>
          <w:bCs/>
          <w:sz w:val="24"/>
          <w:szCs w:val="24"/>
        </w:rPr>
        <w:t>、响应人递交的资料和响应文件不论中标与否均不予退还。</w:t>
      </w:r>
    </w:p>
    <w:p>
      <w:pPr>
        <w:snapToGrid w:val="0"/>
        <w:spacing w:line="44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w:t>
      </w:r>
      <w:r>
        <w:rPr>
          <w:rFonts w:hint="eastAsia" w:ascii="宋体" w:hAnsi="宋体" w:eastAsia="宋体" w:cs="Times New Roman"/>
          <w:bCs/>
          <w:sz w:val="24"/>
          <w:szCs w:val="24"/>
        </w:rPr>
        <w:t>、采购人不统一组织响应人踏勘现场,如有需要可自行勘察。</w:t>
      </w:r>
    </w:p>
    <w:p>
      <w:pPr>
        <w:snapToGrid w:val="0"/>
        <w:spacing w:line="44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3</w:t>
      </w:r>
      <w:r>
        <w:rPr>
          <w:rFonts w:hint="eastAsia" w:ascii="宋体" w:hAnsi="宋体" w:eastAsia="宋体" w:cs="Times New Roman"/>
          <w:bCs/>
          <w:sz w:val="24"/>
          <w:szCs w:val="24"/>
        </w:rPr>
        <w:t>、本项目资格评审和业绩以响应文件为准，响应人可使用电子营业执照。</w:t>
      </w:r>
    </w:p>
    <w:p>
      <w:pPr>
        <w:snapToGrid w:val="0"/>
        <w:spacing w:line="44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w:t>
      </w:r>
      <w:r>
        <w:rPr>
          <w:rFonts w:hint="eastAsia" w:ascii="宋体" w:hAnsi="宋体" w:eastAsia="宋体" w:cs="Times New Roman"/>
          <w:bCs/>
          <w:sz w:val="24"/>
          <w:szCs w:val="24"/>
        </w:rPr>
        <w:t>、根据优化营商环境的要求，评标时以响应文件为准：</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（1）资格评（预）审部分：资格评（预）审以响应文件为准，其资料真实性由响应人自行承担，同时，响应人要完善主体库。</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（2）评标部分：涉及到资格审查、人员业绩、企业业绩等部分时，以响应人自行制作到响应文件中的相应内容为准。</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响应文件编制部分：在竞争性谈判文件中要求响应人按照响应文件格式进行响应文件编制，在响应文件编制时，应明确将投响应人企业基本情况、人员情况、财务情况、业绩情况编入响应文件，便于进行资格审查及评标。</w:t>
      </w:r>
    </w:p>
    <w:p>
      <w:pPr>
        <w:snapToGrid w:val="0"/>
        <w:spacing w:line="44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5</w:t>
      </w:r>
      <w:r>
        <w:rPr>
          <w:rFonts w:hint="eastAsia" w:ascii="宋体" w:hAnsi="宋体" w:eastAsia="宋体" w:cs="Times New Roman"/>
          <w:bCs/>
          <w:sz w:val="24"/>
          <w:szCs w:val="24"/>
        </w:rPr>
        <w:t>、我单位（采购人）严格按三财购【2021】9号文要求的时限发布中标结果公告，发出中标通知书，签订采购合同，上传采购合同。</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6、本项目实行资格后审，资格审查的具体要求见竞争性谈判文件；</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温馨提示：本项目为电子化、无纸化交易项目，开标时不再接受任何纸质资料，为保证您能投标成功，请仔细阅读竞争性谈判文件和三门峡市公共资源交易中心官网业务办理指南。</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七、响应文件递交截止时间及地点</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1.时间：2024年6月 14日08时30分（北京时间）</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2.地点：加密电子竞争性谈判响应文件须在谈判截止时间前通过三门峡市公共资源交易中心电子交易平台加密上传。</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八、响应文件开启</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1.时间：2024年6月14日08时30分（北京时间）</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2.地点：灵宝市公共资源交易中心开标一室</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项目为不见面开标项目，开标当日，供应商无需到开标现场参加开标会议，供应商应当在谈判截止时间前，登入不见面开标大厅选择登入三门峡市公共资源电子招投标系统进行登入（网址为http://120.194.249.36:10094/BidOpening/bidopeninghallaction/hall/login）,在线准时参加开标活动并进行响应文件解密等。每位供应商的解密时间为开标时间起30分钟内完成。因供应商原因未能解密、解密失败或解密超时的将被拒绝。</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九、发布公告的媒介</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本次竞争性谈判公告在《河南省政府采购网》、《采购与招标网》、《中国招标投标公共服务平台》、《三门峡市公共资源交易中心网》发布。</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温馨提示：本项目为电子化、无纸化交易项目，开标时不再接受任何纸质资料，为保证您能投标成功，请需仔细阅读谈判文件和三门峡市公共资源交易中心官网业务办理指南。</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十、联系方式</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监督单位：灵宝市卫生健康委员会</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电  话：</w:t>
      </w:r>
      <w:r>
        <w:rPr>
          <w:rFonts w:hint="eastAsia" w:ascii="宋体" w:hAnsi="宋体"/>
          <w:sz w:val="24"/>
        </w:rPr>
        <w:t xml:space="preserve"> 0398-8856631</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采 购 人：灵宝市第一人民医院</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联 系 人： 潘先生   电   话： 18639863036</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地    址：灵宝市新华路</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采购代理公司名称：河南丰腾咨询服务有限公司</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地   址：</w:t>
      </w:r>
      <w:r>
        <w:rPr>
          <w:rFonts w:ascii="宋体" w:hAnsi="宋体" w:eastAsia="宋体" w:cs="Times New Roman"/>
          <w:bCs/>
          <w:sz w:val="24"/>
          <w:szCs w:val="24"/>
        </w:rPr>
        <w:t xml:space="preserve"> 灵宝市金源公司科技研发楼</w:t>
      </w:r>
      <w:r>
        <w:rPr>
          <w:rFonts w:hint="eastAsia" w:ascii="宋体" w:hAnsi="宋体" w:eastAsia="宋体" w:cs="Times New Roman"/>
          <w:bCs/>
          <w:sz w:val="24"/>
          <w:szCs w:val="24"/>
        </w:rPr>
        <w:t>14楼</w:t>
      </w:r>
    </w:p>
    <w:p>
      <w:pPr>
        <w:snapToGrid w:val="0"/>
        <w:spacing w:line="44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联 系人：常女士     18039932400</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center"/>
        <w:rPr>
          <w:rFonts w:ascii="宋体" w:hAnsi="宋体" w:eastAsia="宋体" w:cs="Times New Roman"/>
          <w:bCs/>
          <w:sz w:val="30"/>
          <w:szCs w:val="30"/>
        </w:rPr>
      </w:pPr>
      <w:r>
        <w:rPr>
          <w:rFonts w:ascii="宋体" w:hAnsi="宋体" w:eastAsia="宋体" w:cs="Times New Roman"/>
          <w:bCs/>
          <w:sz w:val="24"/>
          <w:szCs w:val="24"/>
        </w:rPr>
        <w:br w:type="page"/>
      </w:r>
      <w:bookmarkStart w:id="2" w:name="_Toc509443168"/>
      <w:bookmarkEnd w:id="2"/>
      <w:r>
        <w:rPr>
          <w:rFonts w:hint="eastAsia" w:ascii="宋体" w:hAnsi="宋体" w:eastAsia="宋体" w:cs="Times New Roman"/>
          <w:bCs/>
          <w:sz w:val="30"/>
          <w:szCs w:val="30"/>
        </w:rPr>
        <w:t>第二章 供应商须知前附表</w:t>
      </w:r>
    </w:p>
    <w:tbl>
      <w:tblPr>
        <w:tblStyle w:val="16"/>
        <w:tblW w:w="9571" w:type="dxa"/>
        <w:tblInd w:w="0" w:type="dxa"/>
        <w:tblLayout w:type="fixed"/>
        <w:tblCellMar>
          <w:top w:w="0" w:type="dxa"/>
          <w:left w:w="108" w:type="dxa"/>
          <w:bottom w:w="0" w:type="dxa"/>
          <w:right w:w="108" w:type="dxa"/>
        </w:tblCellMar>
      </w:tblPr>
      <w:tblGrid>
        <w:gridCol w:w="10"/>
        <w:gridCol w:w="896"/>
        <w:gridCol w:w="51"/>
        <w:gridCol w:w="217"/>
        <w:gridCol w:w="1542"/>
        <w:gridCol w:w="651"/>
        <w:gridCol w:w="6194"/>
        <w:gridCol w:w="10"/>
      </w:tblGrid>
      <w:tr>
        <w:tblPrEx>
          <w:tblCellMar>
            <w:top w:w="0" w:type="dxa"/>
            <w:left w:w="108" w:type="dxa"/>
            <w:bottom w:w="0" w:type="dxa"/>
            <w:right w:w="108" w:type="dxa"/>
          </w:tblCellMar>
        </w:tblPrEx>
        <w:trPr>
          <w:gridAfter w:val="1"/>
          <w:wAfter w:w="10" w:type="dxa"/>
          <w:trHeight w:val="658"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条款号</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条款名称</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编列内容</w:t>
            </w:r>
          </w:p>
        </w:tc>
      </w:tr>
      <w:tr>
        <w:tblPrEx>
          <w:tblCellMar>
            <w:top w:w="0" w:type="dxa"/>
            <w:left w:w="108" w:type="dxa"/>
            <w:bottom w:w="0" w:type="dxa"/>
            <w:right w:w="108" w:type="dxa"/>
          </w:tblCellMar>
        </w:tblPrEx>
        <w:trPr>
          <w:gridAfter w:val="1"/>
          <w:wAfter w:w="10" w:type="dxa"/>
          <w:trHeight w:val="1087"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1.1</w:t>
            </w:r>
          </w:p>
        </w:tc>
        <w:tc>
          <w:tcPr>
            <w:tcW w:w="2410" w:type="dxa"/>
            <w:gridSpan w:val="3"/>
            <w:tcBorders>
              <w:top w:val="single" w:color="000000" w:sz="4" w:space="0"/>
              <w:left w:val="nil"/>
              <w:bottom w:val="nil"/>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采购人</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采 购 人：灵宝市第一人民医院</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联 系 人： 潘先生   电   话： 18639863036</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地    址：灵宝市新华路</w:t>
            </w:r>
          </w:p>
        </w:tc>
      </w:tr>
      <w:tr>
        <w:tblPrEx>
          <w:tblCellMar>
            <w:top w:w="0" w:type="dxa"/>
            <w:left w:w="108" w:type="dxa"/>
            <w:bottom w:w="0" w:type="dxa"/>
            <w:right w:w="108" w:type="dxa"/>
          </w:tblCellMar>
        </w:tblPrEx>
        <w:trPr>
          <w:gridAfter w:val="1"/>
          <w:wAfter w:w="10" w:type="dxa"/>
          <w:trHeight w:val="516"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1.2</w:t>
            </w:r>
          </w:p>
        </w:tc>
        <w:tc>
          <w:tcPr>
            <w:tcW w:w="2410" w:type="dxa"/>
            <w:gridSpan w:val="3"/>
            <w:tcBorders>
              <w:top w:val="single" w:color="000000" w:sz="4" w:space="0"/>
              <w:left w:val="nil"/>
              <w:bottom w:val="nil"/>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采购代理机构</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采购代理公司名称：河南丰腾咨询服务有限公司</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地   址：</w:t>
            </w:r>
            <w:r>
              <w:rPr>
                <w:rFonts w:ascii="宋体" w:hAnsi="宋体" w:eastAsia="宋体" w:cs="Times New Roman"/>
                <w:bCs/>
                <w:sz w:val="24"/>
                <w:szCs w:val="24"/>
              </w:rPr>
              <w:t xml:space="preserve"> 灵宝市金源公司科技研发楼</w:t>
            </w:r>
            <w:r>
              <w:rPr>
                <w:rFonts w:hint="eastAsia" w:ascii="宋体" w:hAnsi="宋体" w:eastAsia="宋体" w:cs="Times New Roman"/>
                <w:bCs/>
                <w:sz w:val="24"/>
                <w:szCs w:val="24"/>
              </w:rPr>
              <w:t>14楼</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联 系人：常女士     18039932400</w:t>
            </w:r>
          </w:p>
        </w:tc>
      </w:tr>
      <w:tr>
        <w:tblPrEx>
          <w:tblCellMar>
            <w:top w:w="0" w:type="dxa"/>
            <w:left w:w="108" w:type="dxa"/>
            <w:bottom w:w="0" w:type="dxa"/>
            <w:right w:w="108" w:type="dxa"/>
          </w:tblCellMar>
        </w:tblPrEx>
        <w:trPr>
          <w:gridAfter w:val="1"/>
          <w:wAfter w:w="10" w:type="dxa"/>
          <w:trHeight w:val="668"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1.3</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项目名称</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灵宝市第一人民医院皮肤科、医美科装修工程</w:t>
            </w:r>
          </w:p>
        </w:tc>
      </w:tr>
      <w:tr>
        <w:tblPrEx>
          <w:tblCellMar>
            <w:top w:w="0" w:type="dxa"/>
            <w:left w:w="108" w:type="dxa"/>
            <w:bottom w:w="0" w:type="dxa"/>
            <w:right w:w="108" w:type="dxa"/>
          </w:tblCellMar>
        </w:tblPrEx>
        <w:trPr>
          <w:gridAfter w:val="1"/>
          <w:wAfter w:w="10" w:type="dxa"/>
          <w:trHeight w:val="483"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1.4</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建设地点</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灵宝市第一人民医院</w:t>
            </w:r>
          </w:p>
        </w:tc>
      </w:tr>
      <w:tr>
        <w:tblPrEx>
          <w:tblCellMar>
            <w:top w:w="0" w:type="dxa"/>
            <w:left w:w="108" w:type="dxa"/>
            <w:bottom w:w="0" w:type="dxa"/>
            <w:right w:w="108" w:type="dxa"/>
          </w:tblCellMar>
        </w:tblPrEx>
        <w:trPr>
          <w:gridAfter w:val="1"/>
          <w:wAfter w:w="10" w:type="dxa"/>
          <w:trHeight w:val="450"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1.5</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项目内容</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本工程为灵宝市第一人民医院皮肤科、医美科装修工程，主要施工内容包括公共区域、卫生间、更衣室、休息室、电光间、治疗室、诊疗室等墙面、地面、顶面装饰工程；强电与给排水、采暖安装工程，详见工程量清单。</w:t>
            </w:r>
          </w:p>
        </w:tc>
      </w:tr>
      <w:tr>
        <w:tblPrEx>
          <w:tblCellMar>
            <w:top w:w="0" w:type="dxa"/>
            <w:left w:w="108" w:type="dxa"/>
            <w:bottom w:w="0" w:type="dxa"/>
            <w:right w:w="108" w:type="dxa"/>
          </w:tblCellMar>
        </w:tblPrEx>
        <w:trPr>
          <w:gridAfter w:val="1"/>
          <w:wAfter w:w="10" w:type="dxa"/>
          <w:trHeight w:val="465"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1.6</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资金来源</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自筹资金</w:t>
            </w:r>
          </w:p>
        </w:tc>
      </w:tr>
      <w:tr>
        <w:tblPrEx>
          <w:tblCellMar>
            <w:top w:w="0" w:type="dxa"/>
            <w:left w:w="108" w:type="dxa"/>
            <w:bottom w:w="0" w:type="dxa"/>
            <w:right w:w="108" w:type="dxa"/>
          </w:tblCellMar>
        </w:tblPrEx>
        <w:trPr>
          <w:gridAfter w:val="1"/>
          <w:wAfter w:w="10" w:type="dxa"/>
          <w:trHeight w:val="90"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1.7</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资金落实情况</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已落实</w:t>
            </w:r>
          </w:p>
        </w:tc>
      </w:tr>
      <w:tr>
        <w:tblPrEx>
          <w:tblCellMar>
            <w:top w:w="0" w:type="dxa"/>
            <w:left w:w="108" w:type="dxa"/>
            <w:bottom w:w="0" w:type="dxa"/>
            <w:right w:w="108" w:type="dxa"/>
          </w:tblCellMar>
        </w:tblPrEx>
        <w:trPr>
          <w:gridAfter w:val="1"/>
          <w:wAfter w:w="10" w:type="dxa"/>
          <w:trHeight w:val="807"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1.8</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谈判范围</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本项目谈判文件、工程量清单范围内的所有内容。</w:t>
            </w:r>
          </w:p>
        </w:tc>
      </w:tr>
      <w:tr>
        <w:tblPrEx>
          <w:tblCellMar>
            <w:top w:w="0" w:type="dxa"/>
            <w:left w:w="108" w:type="dxa"/>
            <w:bottom w:w="0" w:type="dxa"/>
            <w:right w:w="108" w:type="dxa"/>
          </w:tblCellMar>
        </w:tblPrEx>
        <w:trPr>
          <w:gridAfter w:val="1"/>
          <w:wAfter w:w="10" w:type="dxa"/>
          <w:trHeight w:val="467"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1.9</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工期</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60日历天</w:t>
            </w:r>
          </w:p>
        </w:tc>
      </w:tr>
      <w:tr>
        <w:tblPrEx>
          <w:tblCellMar>
            <w:top w:w="0" w:type="dxa"/>
            <w:left w:w="108" w:type="dxa"/>
            <w:bottom w:w="0" w:type="dxa"/>
            <w:right w:w="108" w:type="dxa"/>
          </w:tblCellMar>
        </w:tblPrEx>
        <w:trPr>
          <w:gridAfter w:val="1"/>
          <w:wAfter w:w="10" w:type="dxa"/>
          <w:trHeight w:val="468" w:hRule="atLeast"/>
        </w:trPr>
        <w:tc>
          <w:tcPr>
            <w:tcW w:w="957" w:type="dxa"/>
            <w:gridSpan w:val="3"/>
            <w:tcBorders>
              <w:top w:val="single" w:color="000000" w:sz="4" w:space="0"/>
              <w:left w:val="single" w:color="000000" w:sz="4" w:space="0"/>
              <w:bottom w:val="single" w:color="auto"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2.0</w:t>
            </w:r>
          </w:p>
        </w:tc>
        <w:tc>
          <w:tcPr>
            <w:tcW w:w="2410" w:type="dxa"/>
            <w:gridSpan w:val="3"/>
            <w:tcBorders>
              <w:top w:val="single" w:color="000000" w:sz="4" w:space="0"/>
              <w:left w:val="nil"/>
              <w:bottom w:val="single" w:color="auto"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质量</w:t>
            </w:r>
          </w:p>
        </w:tc>
        <w:tc>
          <w:tcPr>
            <w:tcW w:w="6194" w:type="dxa"/>
            <w:tcBorders>
              <w:top w:val="single" w:color="000000" w:sz="4" w:space="0"/>
              <w:left w:val="nil"/>
              <w:bottom w:val="single" w:color="auto"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合格</w:t>
            </w:r>
          </w:p>
        </w:tc>
      </w:tr>
      <w:tr>
        <w:tblPrEx>
          <w:tblCellMar>
            <w:top w:w="0" w:type="dxa"/>
            <w:left w:w="108" w:type="dxa"/>
            <w:bottom w:w="0" w:type="dxa"/>
            <w:right w:w="108" w:type="dxa"/>
          </w:tblCellMar>
        </w:tblPrEx>
        <w:trPr>
          <w:gridAfter w:val="1"/>
          <w:wAfter w:w="10" w:type="dxa"/>
          <w:trHeight w:val="84" w:hRule="atLeast"/>
        </w:trPr>
        <w:tc>
          <w:tcPr>
            <w:tcW w:w="957" w:type="dxa"/>
            <w:gridSpan w:val="3"/>
            <w:tcBorders>
              <w:top w:val="single" w:color="auto"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2.1</w:t>
            </w:r>
          </w:p>
        </w:tc>
        <w:tc>
          <w:tcPr>
            <w:tcW w:w="2410" w:type="dxa"/>
            <w:gridSpan w:val="3"/>
            <w:tcBorders>
              <w:top w:val="single" w:color="auto"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付款方式</w:t>
            </w:r>
          </w:p>
        </w:tc>
        <w:tc>
          <w:tcPr>
            <w:tcW w:w="6194" w:type="dxa"/>
            <w:tcBorders>
              <w:top w:val="single" w:color="auto"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竣工验收合格后付97%，余款一年后无质量问题一次性付清。</w:t>
            </w:r>
          </w:p>
        </w:tc>
      </w:tr>
      <w:tr>
        <w:tblPrEx>
          <w:tblCellMar>
            <w:top w:w="0" w:type="dxa"/>
            <w:left w:w="108" w:type="dxa"/>
            <w:bottom w:w="0" w:type="dxa"/>
            <w:right w:w="108" w:type="dxa"/>
          </w:tblCellMar>
        </w:tblPrEx>
        <w:trPr>
          <w:gridAfter w:val="1"/>
          <w:wAfter w:w="10" w:type="dxa"/>
          <w:trHeight w:val="1124"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2.2</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响应人资质条件、能力和信誉</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1、供应商须具备独立法人资格，具有有效的营业执照；</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2、具备国家建设部门核发的建筑工程施工总承包叁级及以上资质或</w:t>
            </w:r>
            <w:r>
              <w:rPr>
                <w:rFonts w:ascii="宋体" w:hAnsi="宋体" w:eastAsia="宋体" w:cs="Times New Roman"/>
                <w:bCs/>
                <w:sz w:val="24"/>
                <w:szCs w:val="24"/>
              </w:rPr>
              <w:t>建筑装修装饰工程专业承包</w:t>
            </w:r>
            <w:r>
              <w:rPr>
                <w:rFonts w:hint="eastAsia" w:ascii="宋体" w:hAnsi="宋体" w:eastAsia="宋体" w:cs="Times New Roman"/>
                <w:bCs/>
                <w:sz w:val="24"/>
                <w:szCs w:val="24"/>
              </w:rPr>
              <w:t>二级及以上资质，并具有有效的安全生产许可证；</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3、拟派项目经理具有建筑工程专业贰级及以上注册建造师资格，具有有效的安全生产考核合格证，项目经理未在其他在建工程项目中担任项目经理，并提供无在建项目承诺书；</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4、企业自行出具本单位无商业贿赂及无不正当竞争行为的承诺书；</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5、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6、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7、本项目不接受联合体投标；</w:t>
            </w:r>
          </w:p>
        </w:tc>
      </w:tr>
      <w:tr>
        <w:tblPrEx>
          <w:tblCellMar>
            <w:top w:w="0" w:type="dxa"/>
            <w:left w:w="108" w:type="dxa"/>
            <w:bottom w:w="0" w:type="dxa"/>
            <w:right w:w="108" w:type="dxa"/>
          </w:tblCellMar>
        </w:tblPrEx>
        <w:trPr>
          <w:gridAfter w:val="1"/>
          <w:wAfter w:w="10" w:type="dxa"/>
          <w:trHeight w:val="459"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2.3</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是否接受联合体谈判</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不接受</w:t>
            </w:r>
          </w:p>
        </w:tc>
      </w:tr>
      <w:tr>
        <w:tblPrEx>
          <w:tblCellMar>
            <w:top w:w="0" w:type="dxa"/>
            <w:left w:w="108" w:type="dxa"/>
            <w:bottom w:w="0" w:type="dxa"/>
            <w:right w:w="108" w:type="dxa"/>
          </w:tblCellMar>
        </w:tblPrEx>
        <w:trPr>
          <w:gridAfter w:val="1"/>
          <w:wAfter w:w="10" w:type="dxa"/>
          <w:trHeight w:val="459"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2.4</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踏勘现场</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不组织</w:t>
            </w:r>
          </w:p>
        </w:tc>
      </w:tr>
      <w:tr>
        <w:tblPrEx>
          <w:tblCellMar>
            <w:top w:w="0" w:type="dxa"/>
            <w:left w:w="108" w:type="dxa"/>
            <w:bottom w:w="0" w:type="dxa"/>
            <w:right w:w="108" w:type="dxa"/>
          </w:tblCellMar>
        </w:tblPrEx>
        <w:trPr>
          <w:gridAfter w:val="1"/>
          <w:wAfter w:w="10" w:type="dxa"/>
          <w:trHeight w:val="444"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2.5</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投标答疑会</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不召开</w:t>
            </w:r>
          </w:p>
        </w:tc>
      </w:tr>
      <w:tr>
        <w:tblPrEx>
          <w:tblCellMar>
            <w:top w:w="0" w:type="dxa"/>
            <w:left w:w="108" w:type="dxa"/>
            <w:bottom w:w="0" w:type="dxa"/>
            <w:right w:w="108" w:type="dxa"/>
          </w:tblCellMar>
        </w:tblPrEx>
        <w:trPr>
          <w:gridAfter w:val="1"/>
          <w:wAfter w:w="10" w:type="dxa"/>
          <w:trHeight w:val="459"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2.6</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分包</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不允许</w:t>
            </w:r>
          </w:p>
        </w:tc>
      </w:tr>
      <w:tr>
        <w:tblPrEx>
          <w:tblCellMar>
            <w:top w:w="0" w:type="dxa"/>
            <w:left w:w="108" w:type="dxa"/>
            <w:bottom w:w="0" w:type="dxa"/>
            <w:right w:w="108" w:type="dxa"/>
          </w:tblCellMar>
        </w:tblPrEx>
        <w:trPr>
          <w:gridAfter w:val="1"/>
          <w:wAfter w:w="10" w:type="dxa"/>
          <w:trHeight w:val="459"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2.7</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偏离</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不允许</w:t>
            </w:r>
          </w:p>
        </w:tc>
      </w:tr>
      <w:tr>
        <w:tblPrEx>
          <w:tblCellMar>
            <w:top w:w="0" w:type="dxa"/>
            <w:left w:w="108" w:type="dxa"/>
            <w:bottom w:w="0" w:type="dxa"/>
            <w:right w:w="108" w:type="dxa"/>
          </w:tblCellMar>
        </w:tblPrEx>
        <w:trPr>
          <w:gridAfter w:val="1"/>
          <w:wAfter w:w="10" w:type="dxa"/>
          <w:trHeight w:val="1125"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2.8</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构成竞争性谈判文件的其他材料</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工程量清单以及采购人在招标期间发出的有编号的补遗书和其它有效正式函件等均是竞争性谈判文件的组成部分</w:t>
            </w:r>
          </w:p>
        </w:tc>
      </w:tr>
      <w:tr>
        <w:tblPrEx>
          <w:tblCellMar>
            <w:top w:w="0" w:type="dxa"/>
            <w:left w:w="108" w:type="dxa"/>
            <w:bottom w:w="0" w:type="dxa"/>
            <w:right w:w="108" w:type="dxa"/>
          </w:tblCellMar>
        </w:tblPrEx>
        <w:trPr>
          <w:gridAfter w:val="1"/>
          <w:wAfter w:w="10" w:type="dxa"/>
          <w:trHeight w:val="451" w:hRule="atLeast"/>
        </w:trPr>
        <w:tc>
          <w:tcPr>
            <w:tcW w:w="957" w:type="dxa"/>
            <w:gridSpan w:val="3"/>
            <w:vMerge w:val="restart"/>
            <w:tcBorders>
              <w:top w:val="single" w:color="000000" w:sz="4" w:space="0"/>
              <w:left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2.9</w:t>
            </w:r>
          </w:p>
        </w:tc>
        <w:tc>
          <w:tcPr>
            <w:tcW w:w="2410" w:type="dxa"/>
            <w:gridSpan w:val="3"/>
            <w:vMerge w:val="restart"/>
            <w:tcBorders>
              <w:top w:val="single" w:color="000000" w:sz="4" w:space="0"/>
              <w:left w:val="nil"/>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响应截止时间及地点</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谈判时间：2024年6月14日 08时30分</w:t>
            </w:r>
          </w:p>
        </w:tc>
      </w:tr>
      <w:tr>
        <w:tblPrEx>
          <w:tblCellMar>
            <w:top w:w="0" w:type="dxa"/>
            <w:left w:w="108" w:type="dxa"/>
            <w:bottom w:w="0" w:type="dxa"/>
            <w:right w:w="108" w:type="dxa"/>
          </w:tblCellMar>
        </w:tblPrEx>
        <w:trPr>
          <w:gridAfter w:val="1"/>
          <w:wAfter w:w="10" w:type="dxa"/>
          <w:trHeight w:val="572" w:hRule="atLeast"/>
        </w:trPr>
        <w:tc>
          <w:tcPr>
            <w:tcW w:w="957" w:type="dxa"/>
            <w:gridSpan w:val="3"/>
            <w:vMerge w:val="continue"/>
            <w:tcBorders>
              <w:left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410" w:type="dxa"/>
            <w:gridSpan w:val="3"/>
            <w:vMerge w:val="continue"/>
            <w:tcBorders>
              <w:left w:val="nil"/>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谈判地点：灵宝市公共资源交易中心开标一室</w:t>
            </w:r>
          </w:p>
        </w:tc>
      </w:tr>
      <w:tr>
        <w:tblPrEx>
          <w:tblCellMar>
            <w:top w:w="0" w:type="dxa"/>
            <w:left w:w="108" w:type="dxa"/>
            <w:bottom w:w="0" w:type="dxa"/>
            <w:right w:w="108" w:type="dxa"/>
          </w:tblCellMar>
        </w:tblPrEx>
        <w:trPr>
          <w:gridAfter w:val="1"/>
          <w:wAfter w:w="10" w:type="dxa"/>
          <w:trHeight w:val="457"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2.10</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响应人确认收到竞争性谈判文件澄清的时间</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响应人在收到竞争性谈判文件澄清文件后24小时内</w:t>
            </w:r>
          </w:p>
        </w:tc>
      </w:tr>
      <w:tr>
        <w:tblPrEx>
          <w:tblCellMar>
            <w:top w:w="0" w:type="dxa"/>
            <w:left w:w="108" w:type="dxa"/>
            <w:bottom w:w="0" w:type="dxa"/>
            <w:right w:w="108" w:type="dxa"/>
          </w:tblCellMar>
        </w:tblPrEx>
        <w:trPr>
          <w:gridAfter w:val="1"/>
          <w:wAfter w:w="10" w:type="dxa"/>
          <w:trHeight w:val="457"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3.0</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响应人确认收到竞争性谈判文件修改的时间</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响应人在收到竞争性谈判文件修改文件后24小时内</w:t>
            </w:r>
          </w:p>
        </w:tc>
      </w:tr>
      <w:tr>
        <w:tblPrEx>
          <w:tblCellMar>
            <w:top w:w="0" w:type="dxa"/>
            <w:left w:w="108" w:type="dxa"/>
            <w:bottom w:w="0" w:type="dxa"/>
            <w:right w:w="108" w:type="dxa"/>
          </w:tblCellMar>
        </w:tblPrEx>
        <w:trPr>
          <w:gridAfter w:val="1"/>
          <w:wAfter w:w="10" w:type="dxa"/>
          <w:trHeight w:val="450"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3.1</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响应文件的组成</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见竞争性谈判文件</w:t>
            </w:r>
          </w:p>
        </w:tc>
      </w:tr>
      <w:tr>
        <w:tblPrEx>
          <w:tblCellMar>
            <w:top w:w="0" w:type="dxa"/>
            <w:left w:w="108" w:type="dxa"/>
            <w:bottom w:w="0" w:type="dxa"/>
            <w:right w:w="108" w:type="dxa"/>
          </w:tblCellMar>
        </w:tblPrEx>
        <w:trPr>
          <w:gridAfter w:val="1"/>
          <w:wAfter w:w="10" w:type="dxa"/>
          <w:trHeight w:val="470"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3.2</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谈判有效期</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60日历天（从响应文件递交截止之日算起）</w:t>
            </w:r>
          </w:p>
        </w:tc>
      </w:tr>
      <w:tr>
        <w:tblPrEx>
          <w:tblCellMar>
            <w:top w:w="0" w:type="dxa"/>
            <w:left w:w="108" w:type="dxa"/>
            <w:bottom w:w="0" w:type="dxa"/>
            <w:right w:w="108" w:type="dxa"/>
          </w:tblCellMar>
        </w:tblPrEx>
        <w:trPr>
          <w:gridAfter w:val="1"/>
          <w:wAfter w:w="10" w:type="dxa"/>
          <w:trHeight w:val="477" w:hRule="atLeast"/>
        </w:trPr>
        <w:tc>
          <w:tcPr>
            <w:tcW w:w="957" w:type="dxa"/>
            <w:gridSpan w:val="3"/>
            <w:tcBorders>
              <w:top w:val="single" w:color="000000" w:sz="4" w:space="0"/>
              <w:left w:val="single" w:color="000000" w:sz="4" w:space="0"/>
              <w:bottom w:val="nil"/>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3.3</w:t>
            </w:r>
          </w:p>
        </w:tc>
        <w:tc>
          <w:tcPr>
            <w:tcW w:w="2410" w:type="dxa"/>
            <w:gridSpan w:val="3"/>
            <w:tcBorders>
              <w:top w:val="single" w:color="000000"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是否允许递交备选投标方案</w:t>
            </w:r>
          </w:p>
        </w:tc>
        <w:tc>
          <w:tcPr>
            <w:tcW w:w="6194" w:type="dxa"/>
            <w:tcBorders>
              <w:top w:val="single" w:color="000000" w:sz="4" w:space="0"/>
              <w:left w:val="single" w:color="auto"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不允许</w:t>
            </w:r>
          </w:p>
        </w:tc>
      </w:tr>
      <w:tr>
        <w:tblPrEx>
          <w:tblCellMar>
            <w:top w:w="0" w:type="dxa"/>
            <w:left w:w="108" w:type="dxa"/>
            <w:bottom w:w="0" w:type="dxa"/>
            <w:right w:w="108" w:type="dxa"/>
          </w:tblCellMar>
        </w:tblPrEx>
        <w:trPr>
          <w:gridAfter w:val="1"/>
          <w:wAfter w:w="10" w:type="dxa"/>
          <w:trHeight w:val="832" w:hRule="atLeast"/>
        </w:trPr>
        <w:tc>
          <w:tcPr>
            <w:tcW w:w="957" w:type="dxa"/>
            <w:gridSpan w:val="3"/>
            <w:tcBorders>
              <w:top w:val="single" w:color="000000" w:sz="4" w:space="0"/>
              <w:left w:val="single" w:color="auto" w:sz="4" w:space="0"/>
              <w:bottom w:val="nil"/>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3.4</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谈判保证金</w:t>
            </w:r>
          </w:p>
        </w:tc>
        <w:tc>
          <w:tcPr>
            <w:tcW w:w="6194" w:type="dxa"/>
            <w:tcBorders>
              <w:top w:val="single" w:color="000000" w:sz="4" w:space="0"/>
              <w:left w:val="single" w:color="auto"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按照《河南省财政厅关于优化政府采购营商环境有关问题的通知》（豫财购[2019]4号文）的要求本项目不再收取谈判保证金。</w:t>
            </w:r>
          </w:p>
        </w:tc>
      </w:tr>
      <w:tr>
        <w:tblPrEx>
          <w:tblCellMar>
            <w:top w:w="0" w:type="dxa"/>
            <w:left w:w="108" w:type="dxa"/>
            <w:bottom w:w="0" w:type="dxa"/>
            <w:right w:w="108" w:type="dxa"/>
          </w:tblCellMar>
        </w:tblPrEx>
        <w:trPr>
          <w:gridAfter w:val="1"/>
          <w:wAfter w:w="10" w:type="dxa"/>
          <w:trHeight w:val="980" w:hRule="atLeast"/>
        </w:trPr>
        <w:tc>
          <w:tcPr>
            <w:tcW w:w="957" w:type="dxa"/>
            <w:gridSpan w:val="3"/>
            <w:tcBorders>
              <w:top w:val="single" w:color="000000" w:sz="4" w:space="0"/>
              <w:left w:val="single" w:color="000000" w:sz="4" w:space="0"/>
              <w:bottom w:val="single" w:color="auto"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3.5</w:t>
            </w:r>
          </w:p>
        </w:tc>
        <w:tc>
          <w:tcPr>
            <w:tcW w:w="2410" w:type="dxa"/>
            <w:gridSpan w:val="3"/>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签字和（或）盖章要求</w:t>
            </w:r>
          </w:p>
        </w:tc>
        <w:tc>
          <w:tcPr>
            <w:tcW w:w="6194" w:type="dxa"/>
            <w:tcBorders>
              <w:top w:val="single" w:color="000000" w:sz="4" w:space="0"/>
              <w:left w:val="single" w:color="auto" w:sz="4" w:space="0"/>
              <w:bottom w:val="single" w:color="auto"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电子化响应文件的签字或盖章：</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1、响应人在生成电子化响应文件后，应对电子化响应文件进行签字或盖章，未对电子化响应文件进行签字或盖章的视为无效投标。</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2、竞争性谈判文件中要求法定代表人或授权委托人盖章的，响应人在进行电子化响应文件签字或盖章时，以签盖法定代表人签字或盖章为准。</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3、电子化响应文件工具请点击https://download.bqpoint.com/download/downloaddetail.html?SourceFrom=Ztb&amp;ZtbSoftXiaQuCode=1532&amp;ZtbSoftType=tballinclusive进行下载。</w:t>
            </w:r>
          </w:p>
        </w:tc>
      </w:tr>
      <w:tr>
        <w:tblPrEx>
          <w:tblCellMar>
            <w:top w:w="0" w:type="dxa"/>
            <w:left w:w="108" w:type="dxa"/>
            <w:bottom w:w="0" w:type="dxa"/>
            <w:right w:w="108" w:type="dxa"/>
          </w:tblCellMar>
        </w:tblPrEx>
        <w:trPr>
          <w:gridAfter w:val="1"/>
          <w:wAfter w:w="10" w:type="dxa"/>
          <w:trHeight w:val="486" w:hRule="atLeast"/>
        </w:trPr>
        <w:tc>
          <w:tcPr>
            <w:tcW w:w="9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3.6</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响应文件</w:t>
            </w:r>
          </w:p>
        </w:tc>
        <w:tc>
          <w:tcPr>
            <w:tcW w:w="6194"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用CA在电子平台上传电子响应文件，在谈判截止时间前成功上传至三门峡市公共资源电子化交易系统。本项目为电子化、无纸化交易项目。</w:t>
            </w:r>
          </w:p>
        </w:tc>
      </w:tr>
      <w:tr>
        <w:tblPrEx>
          <w:tblCellMar>
            <w:top w:w="0" w:type="dxa"/>
            <w:left w:w="108" w:type="dxa"/>
            <w:bottom w:w="0" w:type="dxa"/>
            <w:right w:w="108" w:type="dxa"/>
          </w:tblCellMar>
        </w:tblPrEx>
        <w:trPr>
          <w:gridAfter w:val="1"/>
          <w:wAfter w:w="10" w:type="dxa"/>
          <w:trHeight w:val="508" w:hRule="atLeast"/>
        </w:trPr>
        <w:tc>
          <w:tcPr>
            <w:tcW w:w="9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3.7</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是否退还响应文件</w:t>
            </w:r>
          </w:p>
        </w:tc>
        <w:tc>
          <w:tcPr>
            <w:tcW w:w="619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否</w:t>
            </w:r>
          </w:p>
        </w:tc>
      </w:tr>
      <w:tr>
        <w:tblPrEx>
          <w:tblCellMar>
            <w:top w:w="0" w:type="dxa"/>
            <w:left w:w="108" w:type="dxa"/>
            <w:bottom w:w="0" w:type="dxa"/>
            <w:right w:w="108" w:type="dxa"/>
          </w:tblCellMar>
        </w:tblPrEx>
        <w:trPr>
          <w:gridAfter w:val="1"/>
          <w:wAfter w:w="10" w:type="dxa"/>
          <w:trHeight w:val="566" w:hRule="atLeast"/>
        </w:trPr>
        <w:tc>
          <w:tcPr>
            <w:tcW w:w="957"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3.8</w:t>
            </w:r>
          </w:p>
        </w:tc>
        <w:tc>
          <w:tcPr>
            <w:tcW w:w="2410"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谈判时间和地点</w:t>
            </w:r>
          </w:p>
        </w:tc>
        <w:tc>
          <w:tcPr>
            <w:tcW w:w="619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谈判时间：2024年6月14日08时30分</w:t>
            </w:r>
          </w:p>
        </w:tc>
      </w:tr>
      <w:tr>
        <w:tblPrEx>
          <w:tblCellMar>
            <w:top w:w="0" w:type="dxa"/>
            <w:left w:w="108" w:type="dxa"/>
            <w:bottom w:w="0" w:type="dxa"/>
            <w:right w:w="108" w:type="dxa"/>
          </w:tblCellMar>
        </w:tblPrEx>
        <w:trPr>
          <w:gridAfter w:val="1"/>
          <w:wAfter w:w="10" w:type="dxa"/>
          <w:trHeight w:val="342" w:hRule="atLeast"/>
        </w:trPr>
        <w:tc>
          <w:tcPr>
            <w:tcW w:w="957" w:type="dxa"/>
            <w:gridSpan w:val="3"/>
            <w:vMerge w:val="continue"/>
            <w:tcBorders>
              <w:top w:val="single" w:color="auto" w:sz="4" w:space="0"/>
              <w:left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410" w:type="dxa"/>
            <w:gridSpan w:val="3"/>
            <w:vMerge w:val="continue"/>
            <w:tcBorders>
              <w:top w:val="single" w:color="auto" w:sz="4" w:space="0"/>
              <w:left w:val="nil"/>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6194" w:type="dxa"/>
            <w:tcBorders>
              <w:top w:val="single" w:color="auto" w:sz="4" w:space="0"/>
              <w:left w:val="single" w:color="auto"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谈判地点：灵宝市公共资源交易中心开标一室</w:t>
            </w:r>
          </w:p>
        </w:tc>
      </w:tr>
      <w:tr>
        <w:tblPrEx>
          <w:tblCellMar>
            <w:top w:w="0" w:type="dxa"/>
            <w:left w:w="108" w:type="dxa"/>
            <w:bottom w:w="0" w:type="dxa"/>
            <w:right w:w="108" w:type="dxa"/>
          </w:tblCellMar>
        </w:tblPrEx>
        <w:trPr>
          <w:gridAfter w:val="1"/>
          <w:wAfter w:w="10" w:type="dxa"/>
          <w:trHeight w:val="578"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3.9</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履约保证金</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履约保证金额：</w:t>
            </w:r>
            <w:r>
              <w:rPr>
                <w:rFonts w:ascii="宋体" w:hAnsi="宋体" w:eastAsia="宋体" w:cs="Times New Roman"/>
                <w:bCs/>
                <w:sz w:val="24"/>
                <w:szCs w:val="24"/>
              </w:rPr>
              <w:t xml:space="preserve"> </w:t>
            </w:r>
            <w:r>
              <w:rPr>
                <w:rFonts w:hint="eastAsia" w:ascii="宋体" w:hAnsi="宋体" w:eastAsia="宋体" w:cs="Times New Roman"/>
                <w:bCs/>
                <w:sz w:val="24"/>
                <w:szCs w:val="24"/>
              </w:rPr>
              <w:t>合同</w:t>
            </w:r>
            <w:r>
              <w:rPr>
                <w:rFonts w:ascii="宋体" w:hAnsi="宋体" w:eastAsia="宋体" w:cs="Times New Roman"/>
                <w:bCs/>
                <w:sz w:val="24"/>
                <w:szCs w:val="24"/>
              </w:rPr>
              <w:t>价的</w:t>
            </w:r>
            <w:r>
              <w:rPr>
                <w:rFonts w:hint="eastAsia" w:ascii="宋体" w:hAnsi="宋体" w:eastAsia="宋体" w:cs="Times New Roman"/>
                <w:bCs/>
                <w:sz w:val="24"/>
                <w:szCs w:val="24"/>
              </w:rPr>
              <w:t>8%</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缴纳时间：领取成交通知书后两日内</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缴纳形式：支票、汇票、保函、转账等非现金形式</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履约保证金退还：竣工验收合格后一次性退还。</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如不缴纳履约保证金甲方将取消其中标资格</w:t>
            </w:r>
          </w:p>
        </w:tc>
      </w:tr>
      <w:tr>
        <w:tblPrEx>
          <w:tblCellMar>
            <w:top w:w="0" w:type="dxa"/>
            <w:left w:w="108" w:type="dxa"/>
            <w:bottom w:w="0" w:type="dxa"/>
            <w:right w:w="108" w:type="dxa"/>
          </w:tblCellMar>
        </w:tblPrEx>
        <w:trPr>
          <w:gridAfter w:val="1"/>
          <w:wAfter w:w="10" w:type="dxa"/>
          <w:trHeight w:val="578"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4.0</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招标控制价</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 xml:space="preserve">招标控制价989379.22元 </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响应人的谈判报价大于或等于招标控制价的谈判报价为无效报价，按符合性审查不通过作废标处理；响应人的谈判报价小于招标控制价的视为有效谈判报价。</w:t>
            </w:r>
          </w:p>
        </w:tc>
      </w:tr>
      <w:tr>
        <w:tblPrEx>
          <w:tblCellMar>
            <w:top w:w="0" w:type="dxa"/>
            <w:left w:w="108" w:type="dxa"/>
            <w:bottom w:w="0" w:type="dxa"/>
            <w:right w:w="108" w:type="dxa"/>
          </w:tblCellMar>
        </w:tblPrEx>
        <w:trPr>
          <w:gridAfter w:val="1"/>
          <w:wAfter w:w="10" w:type="dxa"/>
          <w:trHeight w:val="1080"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4.1</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谈判小组的</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组建</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谈判小组由评审专家共3人以上单数组成，其中技术专家2人，经济专家1人，从三门峡市公共资源交易中心综合评标专家库中随机抽取。</w:t>
            </w:r>
          </w:p>
        </w:tc>
      </w:tr>
      <w:tr>
        <w:tblPrEx>
          <w:tblCellMar>
            <w:top w:w="0" w:type="dxa"/>
            <w:left w:w="108" w:type="dxa"/>
            <w:bottom w:w="0" w:type="dxa"/>
            <w:right w:w="108" w:type="dxa"/>
          </w:tblCellMar>
        </w:tblPrEx>
        <w:trPr>
          <w:gridAfter w:val="1"/>
          <w:wAfter w:w="10" w:type="dxa"/>
          <w:trHeight w:val="1080"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4.2</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是否授权谈判小组确定中标人</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否，按顺序推荐的中标候选人数：1-3名</w:t>
            </w:r>
          </w:p>
        </w:tc>
      </w:tr>
      <w:tr>
        <w:tblPrEx>
          <w:tblCellMar>
            <w:top w:w="0" w:type="dxa"/>
            <w:left w:w="108" w:type="dxa"/>
            <w:bottom w:w="0" w:type="dxa"/>
            <w:right w:w="108" w:type="dxa"/>
          </w:tblCellMar>
        </w:tblPrEx>
        <w:trPr>
          <w:gridAfter w:val="1"/>
          <w:wAfter w:w="10" w:type="dxa"/>
          <w:trHeight w:val="987"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4.3</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是否要求响应人在递交响应文件时，同时递交响应文件</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开标时不再递交纸质响应文件，中标单位领取中标通知书时提交三份纸质响应文件（响应文件应按以下要求装订：胶装，应有目录，并逐页标注连续页码）。</w:t>
            </w:r>
          </w:p>
        </w:tc>
      </w:tr>
      <w:tr>
        <w:tblPrEx>
          <w:tblCellMar>
            <w:top w:w="0" w:type="dxa"/>
            <w:left w:w="108" w:type="dxa"/>
            <w:bottom w:w="0" w:type="dxa"/>
            <w:right w:w="108" w:type="dxa"/>
          </w:tblCellMar>
        </w:tblPrEx>
        <w:trPr>
          <w:gridAfter w:val="1"/>
          <w:wAfter w:w="10" w:type="dxa"/>
          <w:trHeight w:val="987"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4.4</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代理服务费</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本项目招标代理费由中标单位承担，收费标准参照豫招协【2023】002号文件所规定的收费标准收取，代理费和产生的其它费用由成交单位承担。此费由投标人综合考虑到投标报价中，不再单独列项。</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单位名称</w:t>
            </w:r>
            <w:r>
              <w:rPr>
                <w:rFonts w:ascii="宋体" w:hAnsi="宋体" w:eastAsia="宋体" w:cs="Times New Roman"/>
                <w:bCs/>
                <w:sz w:val="24"/>
                <w:szCs w:val="24"/>
              </w:rPr>
              <w:t>:河南丰腾咨询服务有限公司</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开户行</w:t>
            </w:r>
            <w:r>
              <w:rPr>
                <w:rFonts w:ascii="宋体" w:hAnsi="宋体" w:eastAsia="宋体" w:cs="Times New Roman"/>
                <w:bCs/>
                <w:sz w:val="24"/>
                <w:szCs w:val="24"/>
              </w:rPr>
              <w:t>:中国建设银行股份有限公司灵宝尹喜路分理处</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账号</w:t>
            </w:r>
            <w:r>
              <w:rPr>
                <w:rFonts w:ascii="宋体" w:hAnsi="宋体" w:eastAsia="宋体" w:cs="Times New Roman"/>
                <w:bCs/>
                <w:sz w:val="24"/>
                <w:szCs w:val="24"/>
              </w:rPr>
              <w:t>:41050169684100000484</w:t>
            </w:r>
            <w:r>
              <w:rPr>
                <w:rFonts w:hint="eastAsia" w:ascii="宋体" w:hAnsi="宋体" w:eastAsia="宋体" w:cs="Times New Roman"/>
                <w:bCs/>
                <w:sz w:val="24"/>
                <w:szCs w:val="24"/>
              </w:rPr>
              <w:t>。</w:t>
            </w:r>
          </w:p>
        </w:tc>
      </w:tr>
      <w:tr>
        <w:tblPrEx>
          <w:tblCellMar>
            <w:top w:w="0" w:type="dxa"/>
            <w:left w:w="108" w:type="dxa"/>
            <w:bottom w:w="0" w:type="dxa"/>
            <w:right w:w="108" w:type="dxa"/>
          </w:tblCellMar>
        </w:tblPrEx>
        <w:trPr>
          <w:gridAfter w:val="1"/>
          <w:wAfter w:w="10" w:type="dxa"/>
          <w:trHeight w:val="395" w:hRule="atLeast"/>
        </w:trPr>
        <w:tc>
          <w:tcPr>
            <w:tcW w:w="9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w:t>
            </w:r>
          </w:p>
        </w:tc>
        <w:tc>
          <w:tcPr>
            <w:tcW w:w="2410" w:type="dxa"/>
            <w:gridSpan w:val="3"/>
            <w:tcBorders>
              <w:top w:val="single" w:color="000000" w:sz="4" w:space="0"/>
              <w:left w:val="nil"/>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其他补充内容</w:t>
            </w:r>
          </w:p>
        </w:tc>
        <w:tc>
          <w:tcPr>
            <w:tcW w:w="6194" w:type="dxa"/>
            <w:tcBorders>
              <w:top w:val="single" w:color="000000" w:sz="4" w:space="0"/>
              <w:left w:val="nil"/>
              <w:bottom w:val="single" w:color="000000" w:sz="4" w:space="0"/>
              <w:right w:val="single" w:color="000000"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1、本项目资格评审和业绩以响应文件为准，响应人可使用电子营业执照。</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2、根据优化营商环境的要求，评标时以响应文件为准：</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（1）资格评（预）审部分：资格评（预）审以响应文件为准，其资料真实性由响应人自行承担，同时，响应人要完善主体库。</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（2）评标部分：涉及到资格审查、人员业绩、企业业绩等部分时，以响应人自行制作到响应文件中的相应内容为准。</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响应文件编制部分：在竞争性谈判文件中要求响应人按照响应文件格式进行响应文件编制，在响应文件编制时，应明确将响应人企业基本情况、人员情况、财务情况、业绩情况编入响应文件，便于进行资格审查及评标。</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3、我单位（采购人）严格按三财购【2021】9号文要求的时限发布中标结果公告，发出中标通知书，签订采购合同，上传采购合同。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956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956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11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6.2</w:t>
            </w:r>
          </w:p>
        </w:tc>
        <w:tc>
          <w:tcPr>
            <w:tcW w:w="1542"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竞争性谈判文件的解释</w:t>
            </w:r>
          </w:p>
        </w:tc>
        <w:tc>
          <w:tcPr>
            <w:tcW w:w="6855" w:type="dxa"/>
            <w:gridSpan w:val="3"/>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在符合相关法律法规的前提下，竞争性谈判文件的解释权归采购人所有。本竞争性谈判文件中其他部分内容与响应人须知前附表不一致的，以响应人须知前附表为准。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11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6.3</w:t>
            </w:r>
          </w:p>
        </w:tc>
        <w:tc>
          <w:tcPr>
            <w:tcW w:w="1542"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答疑</w:t>
            </w:r>
          </w:p>
        </w:tc>
        <w:tc>
          <w:tcPr>
            <w:tcW w:w="6855" w:type="dxa"/>
            <w:gridSpan w:val="3"/>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需要解答的疑问以书面形式加盖单位公章递交至采购人或采购代理机构，逾期提交的问题概不做回复。采购人将需要解答的内容以公告形式发至所有潜在响应人。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956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6.4结果公示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11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397" w:type="dxa"/>
            <w:gridSpan w:val="4"/>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在《河南省政府采购网》、《采购与招标网》、《中国招标投标公共服务平台》、《三门峡市公共资源交易中心网》同时进行公示，公示期1个工作日。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956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6.5知识产权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11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397" w:type="dxa"/>
            <w:gridSpan w:val="4"/>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构成本竞争性谈判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956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6.6重新招标的其他情形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11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397" w:type="dxa"/>
            <w:gridSpan w:val="4"/>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除响应人须知正文规定的情形外，除非已经产生中标候选人，在谈判有效期内同意延长谈判有效期的响应人少于三个的，采购人应当依法重新招标。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956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6.7同义词语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11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397" w:type="dxa"/>
            <w:gridSpan w:val="4"/>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构成竞争性谈判文件组成部分的“通用合同条款”、“专用合同条款”等章节中出现的措辞“发包人”和“承包人”，在招标投标阶段应当分别按“采购人”和“响应人”进行理解。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956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6.8监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11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397" w:type="dxa"/>
            <w:gridSpan w:val="4"/>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0" w:hRule="atLeast"/>
        </w:trPr>
        <w:tc>
          <w:tcPr>
            <w:tcW w:w="956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6.9电子化交易注意事项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12890" w:hRule="atLeast"/>
        </w:trPr>
        <w:tc>
          <w:tcPr>
            <w:tcW w:w="89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665" w:type="dxa"/>
            <w:gridSpan w:val="6"/>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具体要求：本项目为电子化、无纸化交易项目，响应文件是响应人、供应商（以下简称“响应人”）通过中心响应文件制作系统制作，并经过签字或盖章和加密后生成的电子版响应文件。</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电子化响应文件具体制作文件请点击https://download.bqpoint.com/download/downloaddetail.html?SourceFrom=Ztb&amp;ZtbSoftXiaQuCode=1532&amp;ZtbSoftType=tballinclusive进行下载。</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温馨提示：本项目为电子化、无纸化交易项目，为保证您能投标成功，请需仔细阅读以下条款。</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一、电子化投标</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（一）电子化响应文件的签字或盖章</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1、响应人在生成电子化响应文件后，应对电子化响应文件进行签字或盖章，未进行签字或盖章的视为无效投标。</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2、竞争性谈判文件中要求法定代表人或授权委托人签字或盖章的，响应人在进行电子化响应文件签字或盖章时，以签盖法定代表人签字或盖章为准。</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（二）电子化响应文件的格式及上传投标</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响应人所上传的电子化响应文件，应是通过中心响应文件制作系统制作的（响应文件制作工具下载地址：https://download.bqpoint.com/download/downloaddetail.html?SourceFrom=Ztb&amp;ZtbSoftXiaQuCode=1532&amp;ZtbSoftType=tballinclusive），经过签字或盖章和加密后生成的电子版响应文件。其中包含用于响应文件上传的主文件（后缀为.smxtf）和用于应急补救的响应文件备份文件（后缀为.nsmxtf）。备份文件主要用于电子化开标出现技术问题后的补救，请响应人随身携带。</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注：响应人投报多个标段的，需要每个标段单独制作电子响应文件。</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2、电子化响应文件应在谈判截止时间前成功上传至三门峡市公共资源电子化交易系统。至谈判截止时间止，仍未上传成功的电子化响应文件将不予接收。</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注：如按照电子化投标操作教材制作完成的电子化响应文件无法上传的，响应人应在谈判截止时间前尽早的联系中心技术人员，以便有充分的时间进行处理。响应人应充分考虑到处理技术问题和上传数据等工作所需的时间问题，响应文件未在谈判截止时间前成功上传的，其响应文件不予接收。</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技术联系电话：0398-3117871  客服电话：4009980000</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（三）电子化项目开标、解密、评标</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本项目采用电子化、无纸化进行谈判，开标当日，响应人无需到开标现场参加开标会议，响应人应当在谈判截止时间前，登陆不见面开标大厅选择登陆三门峡市公共资源电子招投标系统进行登陆（网址为http://120.194.249.36:10094/BidOpening/bidopeninghallaction/hall/login）,在线准时参加开标活动并进行响应文件解密等。</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3、电子化响应文件解密异常的处理</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如出现响应人的电子响应文件无法解密等异常情况，响应人应及时致电中介服务机构说明。响应文件异常，按以下步骤进行处理：</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（1）首先由技术人员进行问题排查。</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（2）经技术人员排查后，是响应人文件自身问题导致响应文件无法解密的，该响应文件将不予接收、解密。开标会议继续进行。</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4、待所有响应人响应文件解密完成后，由中介服务机构操作，对所有已解密响应文件进行解密。</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响应人应保证在谈判期间电话、电脑、网络能够正常工作，响应人因停电、电脑病毒、网络堵塞等原因，未在规定的解密时间内对响应文件进行解密的，其响应文件不予接收。</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5、谈判时响应人可登录到交易系统中在开标解密栏中点击报价一览表查看自己的谈判报价。如对谈判过程有异议的，应在响应人解密成功后10分钟内向中介服务机构电话质疑。中介服务机构应在监督人员的监督下进行免提通话接受响应人的质疑并做好书面记录。响应人未在规定时间内提出质疑的，视为认可谈判过程。</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6、评标时，谈判小组对电子化响应文件有质疑的，将通过电子化交易系统对响应人发起质疑，并在监督人员的监督下，用免提模式致电需要答复的响应人对质疑进行回复。响应人的回复文件必须以经过响应人和其法定代表人签字或盖章的PDF格式文件为准，并通过电子化交易系统提交至谈判小组。</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7、如谈判小组对需要回复的响应人连续三次致电未接通的，视为响应人放弃回复，谈判小组将自行对需要回复的内容进行认定。</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二、相关证书原件的提交</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（一）响应人应保证上传内容齐全，真实有效，原件扫描件清晰可辨。因响应人上传原因导致应得分项而未得分或资格审查不合格等情况的，由响应人自行承担责任。</w:t>
            </w:r>
          </w:p>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提示：本项目为电子化、无纸化交易项目，为保证您能投标成功，请需仔细阅读以上条款。</w:t>
            </w:r>
          </w:p>
        </w:tc>
      </w:tr>
    </w:tbl>
    <w:p>
      <w:pPr>
        <w:snapToGrid w:val="0"/>
        <w:spacing w:line="400" w:lineRule="exact"/>
        <w:ind w:firstLine="480" w:firstLineChars="200"/>
        <w:jc w:val="left"/>
        <w:rPr>
          <w:rFonts w:ascii="宋体" w:hAnsi="宋体" w:eastAsia="宋体" w:cs="Times New Roman"/>
          <w:bCs/>
          <w:sz w:val="24"/>
          <w:szCs w:val="24"/>
        </w:rPr>
      </w:pPr>
      <w:bookmarkStart w:id="3" w:name="_Toc270604575"/>
      <w:bookmarkEnd w:id="3"/>
      <w:bookmarkStart w:id="4" w:name="_Toc269470294"/>
      <w:bookmarkEnd w:id="4"/>
      <w:bookmarkStart w:id="5" w:name="_Toc23783"/>
      <w:bookmarkEnd w:id="5"/>
      <w:bookmarkStart w:id="6" w:name="_Toc509443170"/>
      <w:bookmarkEnd w:id="6"/>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w:t>
      </w:r>
      <w:r>
        <w:rPr>
          <w:rFonts w:hint="eastAsia" w:ascii="宋体" w:hAnsi="宋体" w:eastAsia="宋体" w:cs="Times New Roman"/>
          <w:bCs/>
          <w:sz w:val="24"/>
          <w:szCs w:val="24"/>
        </w:rPr>
        <w:t>总则</w:t>
      </w:r>
    </w:p>
    <w:p>
      <w:pPr>
        <w:snapToGrid w:val="0"/>
        <w:spacing w:line="400" w:lineRule="exact"/>
        <w:ind w:firstLine="480" w:firstLineChars="200"/>
        <w:jc w:val="left"/>
        <w:rPr>
          <w:rFonts w:ascii="宋体" w:hAnsi="宋体" w:eastAsia="宋体" w:cs="Times New Roman"/>
          <w:bCs/>
          <w:sz w:val="24"/>
          <w:szCs w:val="24"/>
        </w:rPr>
      </w:pPr>
      <w:bookmarkStart w:id="7" w:name="_Toc504464693"/>
      <w:bookmarkEnd w:id="7"/>
      <w:bookmarkStart w:id="8" w:name="_Toc504055112"/>
      <w:bookmarkEnd w:id="8"/>
      <w:bookmarkStart w:id="9" w:name="_Toc503112334"/>
      <w:bookmarkEnd w:id="9"/>
      <w:bookmarkStart w:id="10" w:name="_Toc503885591"/>
      <w:bookmarkEnd w:id="10"/>
      <w:bookmarkStart w:id="11" w:name="_Toc428276569"/>
      <w:bookmarkEnd w:id="11"/>
      <w:bookmarkStart w:id="12" w:name="_Toc277149365"/>
      <w:bookmarkEnd w:id="12"/>
      <w:bookmarkStart w:id="13" w:name="_Toc503886927"/>
      <w:bookmarkEnd w:id="13"/>
      <w:bookmarkStart w:id="14" w:name="_Toc12257"/>
      <w:bookmarkEnd w:id="14"/>
      <w:bookmarkStart w:id="15" w:name="_Toc509443171"/>
      <w:bookmarkEnd w:id="15"/>
      <w:r>
        <w:rPr>
          <w:rFonts w:hint="eastAsia" w:ascii="宋体" w:hAnsi="宋体" w:eastAsia="宋体" w:cs="Times New Roman"/>
          <w:bCs/>
          <w:sz w:val="24"/>
          <w:szCs w:val="24"/>
        </w:rPr>
        <w:t>1.1</w:t>
      </w:r>
      <w:r>
        <w:rPr>
          <w:rFonts w:ascii="宋体" w:hAnsi="宋体" w:eastAsia="宋体" w:cs="Times New Roman"/>
          <w:bCs/>
          <w:sz w:val="24"/>
          <w:szCs w:val="24"/>
        </w:rPr>
        <w:t xml:space="preserve">  </w:t>
      </w:r>
      <w:r>
        <w:rPr>
          <w:rFonts w:hint="eastAsia" w:ascii="宋体" w:hAnsi="宋体" w:eastAsia="宋体" w:cs="Times New Roman"/>
          <w:bCs/>
          <w:sz w:val="24"/>
          <w:szCs w:val="24"/>
        </w:rPr>
        <w:t>工程概况</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根据《中华人民共和国政府采购法》等有关法律、法规和规章的规定，本谈判项目已具备谈判条件，现对本工程施工进行采购。</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w:t>
      </w:r>
      <w:r>
        <w:rPr>
          <w:rFonts w:ascii="宋体" w:hAnsi="宋体" w:eastAsia="宋体" w:cs="Times New Roman"/>
          <w:bCs/>
          <w:sz w:val="24"/>
          <w:szCs w:val="24"/>
        </w:rPr>
        <w:t>.1.1</w:t>
      </w:r>
      <w:r>
        <w:rPr>
          <w:rFonts w:hint="eastAsia" w:ascii="宋体" w:hAnsi="宋体" w:eastAsia="宋体" w:cs="Times New Roman"/>
          <w:bCs/>
          <w:sz w:val="24"/>
          <w:szCs w:val="24"/>
        </w:rPr>
        <w:t>本项目采购人：见响应人须知前附表。</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1.1.2</w:t>
      </w:r>
      <w:r>
        <w:rPr>
          <w:rFonts w:hint="eastAsia" w:ascii="宋体" w:hAnsi="宋体" w:eastAsia="宋体" w:cs="Times New Roman"/>
          <w:bCs/>
          <w:sz w:val="24"/>
          <w:szCs w:val="24"/>
        </w:rPr>
        <w:t>本项目招标代理机构：见响应人须知前附表。</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1.1.3</w:t>
      </w:r>
      <w:r>
        <w:rPr>
          <w:rFonts w:hint="eastAsia" w:ascii="宋体" w:hAnsi="宋体" w:eastAsia="宋体" w:cs="Times New Roman"/>
          <w:bCs/>
          <w:sz w:val="24"/>
          <w:szCs w:val="24"/>
        </w:rPr>
        <w:t>本项目响应人：是指响应谈判、参加谈判竞争的法定代表人单位。</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1.1.4</w:t>
      </w:r>
      <w:r>
        <w:rPr>
          <w:rFonts w:hint="eastAsia" w:ascii="宋体" w:hAnsi="宋体" w:eastAsia="宋体" w:cs="Times New Roman"/>
          <w:bCs/>
          <w:sz w:val="24"/>
          <w:szCs w:val="24"/>
        </w:rPr>
        <w:t>中标人：根据合同，向采购人提供货物、工程或者服务的法人、其他组织或者自然人。</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1.1.5</w:t>
      </w:r>
      <w:r>
        <w:rPr>
          <w:rFonts w:hint="eastAsia" w:ascii="宋体" w:hAnsi="宋体" w:eastAsia="宋体" w:cs="Times New Roman"/>
          <w:bCs/>
          <w:sz w:val="24"/>
          <w:szCs w:val="24"/>
        </w:rPr>
        <w:t>本项目名称：见响应人须知前附表。</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1.1.6</w:t>
      </w:r>
      <w:r>
        <w:rPr>
          <w:rFonts w:hint="eastAsia" w:ascii="宋体" w:hAnsi="宋体" w:eastAsia="宋体" w:cs="Times New Roman"/>
          <w:bCs/>
          <w:sz w:val="24"/>
          <w:szCs w:val="24"/>
        </w:rPr>
        <w:t>本工程建设地点：见响应人须知前附表。</w:t>
      </w:r>
    </w:p>
    <w:p>
      <w:pPr>
        <w:snapToGrid w:val="0"/>
        <w:spacing w:line="400" w:lineRule="exact"/>
        <w:ind w:firstLine="480" w:firstLineChars="200"/>
        <w:jc w:val="left"/>
        <w:rPr>
          <w:rFonts w:ascii="宋体" w:hAnsi="宋体" w:eastAsia="宋体" w:cs="Times New Roman"/>
          <w:bCs/>
          <w:sz w:val="24"/>
          <w:szCs w:val="24"/>
        </w:rPr>
      </w:pPr>
      <w:bookmarkStart w:id="16" w:name="_Toc270604577"/>
      <w:bookmarkEnd w:id="16"/>
      <w:bookmarkStart w:id="17" w:name="_Toc503886928"/>
      <w:bookmarkEnd w:id="17"/>
      <w:bookmarkStart w:id="18" w:name="_Toc277149366"/>
      <w:bookmarkEnd w:id="18"/>
      <w:bookmarkStart w:id="19" w:name="_Toc509443172"/>
      <w:bookmarkEnd w:id="19"/>
      <w:bookmarkStart w:id="20" w:name="_Toc503112335"/>
      <w:bookmarkEnd w:id="20"/>
      <w:bookmarkStart w:id="21" w:name="_Toc269470296"/>
      <w:bookmarkEnd w:id="21"/>
      <w:bookmarkStart w:id="22" w:name="_Toc270604804"/>
      <w:bookmarkEnd w:id="22"/>
      <w:bookmarkStart w:id="23" w:name="_Toc504055113"/>
      <w:bookmarkEnd w:id="23"/>
      <w:bookmarkStart w:id="24" w:name="_Toc428276570"/>
      <w:bookmarkEnd w:id="24"/>
      <w:bookmarkStart w:id="25" w:name="_Toc13605"/>
      <w:bookmarkEnd w:id="25"/>
      <w:bookmarkStart w:id="26" w:name="_Toc503885592"/>
      <w:bookmarkEnd w:id="26"/>
      <w:bookmarkStart w:id="27" w:name="_Toc504464694"/>
      <w:bookmarkEnd w:id="27"/>
      <w:r>
        <w:rPr>
          <w:rFonts w:ascii="宋体" w:hAnsi="宋体" w:eastAsia="宋体" w:cs="Times New Roman"/>
          <w:bCs/>
          <w:sz w:val="24"/>
          <w:szCs w:val="24"/>
        </w:rPr>
        <w:t xml:space="preserve">1.2 </w:t>
      </w:r>
      <w:r>
        <w:rPr>
          <w:rFonts w:hint="eastAsia" w:ascii="宋体" w:hAnsi="宋体" w:eastAsia="宋体" w:cs="Times New Roman"/>
          <w:bCs/>
          <w:sz w:val="24"/>
          <w:szCs w:val="24"/>
        </w:rPr>
        <w:t>资金来源和落实情况</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1.2.1本项目的资金来源：见响应人须知前附表。</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1.2.2</w:t>
      </w:r>
      <w:r>
        <w:rPr>
          <w:rFonts w:hint="eastAsia" w:ascii="宋体" w:hAnsi="宋体" w:eastAsia="宋体" w:cs="Times New Roman"/>
          <w:bCs/>
          <w:sz w:val="24"/>
          <w:szCs w:val="24"/>
        </w:rPr>
        <w:t>本项目的出资比例：见响应人须知前附表。</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1.2.3</w:t>
      </w:r>
      <w:r>
        <w:rPr>
          <w:rFonts w:hint="eastAsia" w:ascii="宋体" w:hAnsi="宋体" w:eastAsia="宋体" w:cs="Times New Roman"/>
          <w:bCs/>
          <w:sz w:val="24"/>
          <w:szCs w:val="24"/>
        </w:rPr>
        <w:t>本项目的资金落实情况：见响应人须知前附表。</w:t>
      </w:r>
    </w:p>
    <w:p>
      <w:pPr>
        <w:snapToGrid w:val="0"/>
        <w:spacing w:line="400" w:lineRule="exact"/>
        <w:ind w:firstLine="480" w:firstLineChars="200"/>
        <w:jc w:val="left"/>
        <w:rPr>
          <w:rFonts w:ascii="宋体" w:hAnsi="宋体" w:eastAsia="宋体" w:cs="Times New Roman"/>
          <w:bCs/>
          <w:sz w:val="24"/>
          <w:szCs w:val="24"/>
        </w:rPr>
      </w:pPr>
      <w:bookmarkStart w:id="28" w:name="_Toc428276571"/>
      <w:bookmarkEnd w:id="28"/>
      <w:bookmarkStart w:id="29" w:name="_Toc269470297"/>
      <w:bookmarkEnd w:id="29"/>
      <w:bookmarkStart w:id="30" w:name="_Toc277149367"/>
      <w:bookmarkEnd w:id="30"/>
      <w:bookmarkStart w:id="31" w:name="_Toc270604805"/>
      <w:bookmarkEnd w:id="31"/>
      <w:bookmarkStart w:id="32" w:name="_Toc503886929"/>
      <w:bookmarkEnd w:id="32"/>
      <w:bookmarkStart w:id="33" w:name="_Toc503885593"/>
      <w:bookmarkEnd w:id="33"/>
      <w:bookmarkStart w:id="34" w:name="_Toc503112336"/>
      <w:bookmarkEnd w:id="34"/>
      <w:bookmarkStart w:id="35" w:name="_Toc12016"/>
      <w:bookmarkEnd w:id="35"/>
      <w:bookmarkStart w:id="36" w:name="_Toc504464695"/>
      <w:bookmarkEnd w:id="36"/>
      <w:bookmarkStart w:id="37" w:name="_Toc509443173"/>
      <w:bookmarkEnd w:id="37"/>
      <w:bookmarkStart w:id="38" w:name="_Toc270604578"/>
      <w:bookmarkEnd w:id="38"/>
      <w:bookmarkStart w:id="39" w:name="_Toc504055114"/>
      <w:bookmarkEnd w:id="39"/>
      <w:r>
        <w:rPr>
          <w:rFonts w:hint="eastAsia" w:ascii="宋体" w:hAnsi="宋体" w:eastAsia="宋体" w:cs="Times New Roman"/>
          <w:bCs/>
          <w:sz w:val="24"/>
          <w:szCs w:val="24"/>
        </w:rPr>
        <w:t>谈判范围、工期及要求和质量要求</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1.3.1</w:t>
      </w:r>
      <w:r>
        <w:rPr>
          <w:rFonts w:hint="eastAsia" w:ascii="宋体" w:hAnsi="宋体" w:eastAsia="宋体" w:cs="Times New Roman"/>
          <w:bCs/>
          <w:sz w:val="24"/>
          <w:szCs w:val="24"/>
        </w:rPr>
        <w:t>本项目的谈判范围：见响应人须知前附表。</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1.3.2</w:t>
      </w:r>
      <w:r>
        <w:rPr>
          <w:rFonts w:hint="eastAsia" w:ascii="宋体" w:hAnsi="宋体" w:eastAsia="宋体" w:cs="Times New Roman"/>
          <w:bCs/>
          <w:sz w:val="24"/>
          <w:szCs w:val="24"/>
        </w:rPr>
        <w:t>本项目的工期：见响应人须知前附表。</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1.3.3</w:t>
      </w:r>
      <w:r>
        <w:rPr>
          <w:rFonts w:hint="eastAsia" w:ascii="宋体" w:hAnsi="宋体" w:eastAsia="宋体" w:cs="Times New Roman"/>
          <w:bCs/>
          <w:sz w:val="24"/>
          <w:szCs w:val="24"/>
        </w:rPr>
        <w:t>本项目的质量要求：见响应人须知前附表。</w:t>
      </w:r>
    </w:p>
    <w:p>
      <w:pPr>
        <w:snapToGrid w:val="0"/>
        <w:spacing w:line="400" w:lineRule="exact"/>
        <w:ind w:firstLine="480" w:firstLineChars="200"/>
        <w:jc w:val="left"/>
        <w:rPr>
          <w:rFonts w:ascii="宋体" w:hAnsi="宋体" w:eastAsia="宋体" w:cs="Times New Roman"/>
          <w:bCs/>
          <w:sz w:val="24"/>
          <w:szCs w:val="24"/>
        </w:rPr>
      </w:pPr>
      <w:bookmarkStart w:id="40" w:name="_Toc270604579"/>
      <w:bookmarkEnd w:id="40"/>
      <w:bookmarkStart w:id="41" w:name="_Toc503886930"/>
      <w:bookmarkEnd w:id="41"/>
      <w:bookmarkStart w:id="42" w:name="_Toc503885594"/>
      <w:bookmarkEnd w:id="42"/>
      <w:bookmarkStart w:id="43" w:name="_Toc269470298"/>
      <w:bookmarkEnd w:id="43"/>
      <w:bookmarkStart w:id="44" w:name="_Toc277149368"/>
      <w:bookmarkEnd w:id="44"/>
      <w:bookmarkStart w:id="45" w:name="_Toc22589"/>
      <w:bookmarkEnd w:id="45"/>
      <w:bookmarkStart w:id="46" w:name="_Toc428276572"/>
      <w:bookmarkEnd w:id="46"/>
      <w:bookmarkStart w:id="47" w:name="_Toc504464696"/>
      <w:bookmarkEnd w:id="47"/>
      <w:bookmarkStart w:id="48" w:name="_Toc504055115"/>
      <w:bookmarkEnd w:id="48"/>
      <w:bookmarkStart w:id="49" w:name="_Toc503112337"/>
      <w:bookmarkEnd w:id="49"/>
      <w:bookmarkStart w:id="50" w:name="_Toc509443174"/>
      <w:bookmarkEnd w:id="50"/>
      <w:bookmarkStart w:id="51" w:name="_Toc270604806"/>
      <w:bookmarkEnd w:id="51"/>
      <w:r>
        <w:rPr>
          <w:rFonts w:ascii="宋体" w:hAnsi="宋体" w:eastAsia="宋体" w:cs="Times New Roman"/>
          <w:bCs/>
          <w:sz w:val="24"/>
          <w:szCs w:val="24"/>
        </w:rPr>
        <w:t xml:space="preserve">1.4 </w:t>
      </w:r>
      <w:r>
        <w:rPr>
          <w:rFonts w:hint="eastAsia" w:ascii="宋体" w:hAnsi="宋体" w:eastAsia="宋体" w:cs="Times New Roman"/>
          <w:bCs/>
          <w:sz w:val="24"/>
          <w:szCs w:val="24"/>
        </w:rPr>
        <w:t>响应人资格要求：见响应人须知前附表。</w:t>
      </w:r>
    </w:p>
    <w:p>
      <w:pPr>
        <w:snapToGrid w:val="0"/>
        <w:spacing w:line="400" w:lineRule="exact"/>
        <w:ind w:firstLine="480" w:firstLineChars="200"/>
        <w:jc w:val="left"/>
        <w:rPr>
          <w:rFonts w:ascii="宋体" w:hAnsi="宋体" w:eastAsia="宋体" w:cs="Times New Roman"/>
          <w:bCs/>
          <w:sz w:val="24"/>
          <w:szCs w:val="24"/>
        </w:rPr>
      </w:pPr>
      <w:bookmarkStart w:id="52" w:name="_Toc503885595"/>
      <w:bookmarkEnd w:id="52"/>
      <w:bookmarkStart w:id="53" w:name="_Toc269470299"/>
      <w:bookmarkEnd w:id="53"/>
      <w:bookmarkStart w:id="54" w:name="_Toc277149369"/>
      <w:bookmarkEnd w:id="54"/>
      <w:bookmarkStart w:id="55" w:name="_Toc428276573"/>
      <w:bookmarkEnd w:id="55"/>
      <w:bookmarkStart w:id="56" w:name="_Toc504464697"/>
      <w:bookmarkEnd w:id="56"/>
      <w:bookmarkStart w:id="57" w:name="_Toc503886931"/>
      <w:bookmarkEnd w:id="57"/>
      <w:bookmarkStart w:id="58" w:name="_Toc270604807"/>
      <w:bookmarkEnd w:id="58"/>
      <w:bookmarkStart w:id="59" w:name="_Toc15867"/>
      <w:bookmarkEnd w:id="59"/>
      <w:bookmarkStart w:id="60" w:name="_Toc270604580"/>
      <w:bookmarkEnd w:id="60"/>
      <w:bookmarkStart w:id="61" w:name="_Toc503112338"/>
      <w:bookmarkEnd w:id="61"/>
      <w:bookmarkStart w:id="62" w:name="_Toc509443175"/>
      <w:bookmarkEnd w:id="62"/>
      <w:bookmarkStart w:id="63" w:name="_Toc504055116"/>
      <w:bookmarkEnd w:id="63"/>
      <w:r>
        <w:rPr>
          <w:rFonts w:ascii="宋体" w:hAnsi="宋体" w:eastAsia="宋体" w:cs="Times New Roman"/>
          <w:bCs/>
          <w:sz w:val="24"/>
          <w:szCs w:val="24"/>
        </w:rPr>
        <w:t xml:space="preserve">1.5 </w:t>
      </w:r>
      <w:r>
        <w:rPr>
          <w:rFonts w:hint="eastAsia" w:ascii="宋体" w:hAnsi="宋体" w:eastAsia="宋体" w:cs="Times New Roman"/>
          <w:bCs/>
          <w:sz w:val="24"/>
          <w:szCs w:val="24"/>
        </w:rPr>
        <w:t>费用承担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响应人必须自行承担所有与参加谈判有关的费用。不论谈判的结果如何，采购人在任何情况下均无义务和责任承担这些费用。</w:t>
      </w:r>
    </w:p>
    <w:p>
      <w:pPr>
        <w:snapToGrid w:val="0"/>
        <w:spacing w:line="400" w:lineRule="exact"/>
        <w:ind w:firstLine="480" w:firstLineChars="200"/>
        <w:jc w:val="left"/>
        <w:rPr>
          <w:rFonts w:ascii="宋体" w:hAnsi="宋体" w:eastAsia="宋体" w:cs="Times New Roman"/>
          <w:bCs/>
          <w:sz w:val="24"/>
          <w:szCs w:val="24"/>
        </w:rPr>
      </w:pPr>
      <w:bookmarkStart w:id="64" w:name="_Toc269470300"/>
      <w:bookmarkEnd w:id="64"/>
      <w:bookmarkStart w:id="65" w:name="_Toc509443176"/>
      <w:bookmarkEnd w:id="65"/>
      <w:bookmarkStart w:id="66" w:name="_Toc504464698"/>
      <w:bookmarkEnd w:id="66"/>
      <w:bookmarkStart w:id="67" w:name="_Toc270604808"/>
      <w:bookmarkEnd w:id="67"/>
      <w:bookmarkStart w:id="68" w:name="_Toc277149370"/>
      <w:bookmarkEnd w:id="68"/>
      <w:bookmarkStart w:id="69" w:name="_Toc270604581"/>
      <w:bookmarkEnd w:id="69"/>
      <w:bookmarkStart w:id="70" w:name="_Toc503112339"/>
      <w:bookmarkEnd w:id="70"/>
      <w:bookmarkStart w:id="71" w:name="_Toc14014"/>
      <w:bookmarkEnd w:id="71"/>
      <w:bookmarkStart w:id="72" w:name="_Toc503885596"/>
      <w:bookmarkEnd w:id="72"/>
      <w:bookmarkStart w:id="73" w:name="_Toc503886932"/>
      <w:bookmarkEnd w:id="73"/>
      <w:bookmarkStart w:id="74" w:name="_Toc428276574"/>
      <w:bookmarkEnd w:id="74"/>
      <w:bookmarkStart w:id="75" w:name="_Toc504055117"/>
      <w:bookmarkEnd w:id="75"/>
      <w:r>
        <w:rPr>
          <w:rFonts w:hint="eastAsia" w:ascii="宋体" w:hAnsi="宋体" w:eastAsia="宋体" w:cs="Times New Roman"/>
          <w:bCs/>
          <w:sz w:val="24"/>
          <w:szCs w:val="24"/>
        </w:rPr>
        <w:t>保密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1.6.1谈判期间，直到授予中标的响应人合同止，凡是与谈判响应文件审查、澄清、评价、比较以及推荐中标候选人等方面的情况，均不得向响应人或其他无关的人员透露。</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1.6.2</w:t>
      </w:r>
      <w:r>
        <w:rPr>
          <w:rFonts w:hint="eastAsia" w:ascii="宋体" w:hAnsi="宋体" w:eastAsia="宋体" w:cs="Times New Roman"/>
          <w:bCs/>
          <w:sz w:val="24"/>
          <w:szCs w:val="24"/>
        </w:rPr>
        <w:t>在谈判过程中，响应人如向谈判小组成员施加任何影响，都将会导致其谈判被拒绝。</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1.6.3</w:t>
      </w:r>
      <w:r>
        <w:rPr>
          <w:rFonts w:hint="eastAsia" w:ascii="宋体" w:hAnsi="宋体" w:eastAsia="宋体" w:cs="Times New Roman"/>
          <w:bCs/>
          <w:sz w:val="24"/>
          <w:szCs w:val="24"/>
        </w:rPr>
        <w:t>为保证中标结果的公正性，谈判期间直至授予中标人合同时，谈判组成员不得与响应人私下交换意见。在谈判结束后，凡与谈判情况有接触的任何人不得也不应将谈判情况扩散出谈判组成员之外。</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1.6.4</w:t>
      </w:r>
      <w:r>
        <w:rPr>
          <w:rFonts w:hint="eastAsia" w:ascii="宋体" w:hAnsi="宋体" w:eastAsia="宋体" w:cs="Times New Roman"/>
          <w:bCs/>
          <w:sz w:val="24"/>
          <w:szCs w:val="24"/>
        </w:rPr>
        <w:t>采购人原则上不向落选方解释落选原因，参加本项目谈判的响应人如对本次评审推荐的拟中标响应人有异议或发现违规违纪行为，请以书面署名形式向采购人提出质疑，并提供有关书面证明材料，超过法律规定时间将不再受理。</w:t>
      </w:r>
    </w:p>
    <w:p>
      <w:pPr>
        <w:snapToGrid w:val="0"/>
        <w:spacing w:line="400" w:lineRule="exact"/>
        <w:ind w:firstLine="480" w:firstLineChars="200"/>
        <w:jc w:val="left"/>
        <w:rPr>
          <w:rFonts w:ascii="宋体" w:hAnsi="宋体" w:eastAsia="宋体" w:cs="Times New Roman"/>
          <w:bCs/>
          <w:sz w:val="24"/>
          <w:szCs w:val="24"/>
        </w:rPr>
      </w:pPr>
      <w:bookmarkStart w:id="76" w:name="_Toc269470301"/>
      <w:bookmarkStart w:id="77" w:name="_Toc270604582"/>
      <w:bookmarkStart w:id="78" w:name="_Toc8627"/>
      <w:bookmarkStart w:id="79" w:name="_Toc504464699"/>
      <w:bookmarkStart w:id="80" w:name="_Toc270604809"/>
      <w:bookmarkStart w:id="81" w:name="_Toc503112340"/>
      <w:bookmarkStart w:id="82" w:name="_Toc509443177"/>
      <w:bookmarkStart w:id="83" w:name="_Toc428276575"/>
      <w:bookmarkStart w:id="84" w:name="_Toc503885597"/>
      <w:bookmarkStart w:id="85" w:name="_Toc277149371"/>
      <w:bookmarkStart w:id="86" w:name="_Toc503886933"/>
      <w:bookmarkStart w:id="87" w:name="_Toc504055118"/>
      <w:r>
        <w:rPr>
          <w:rFonts w:hint="eastAsia" w:ascii="宋体" w:hAnsi="宋体" w:eastAsia="宋体" w:cs="Times New Roman"/>
          <w:bCs/>
          <w:sz w:val="24"/>
          <w:szCs w:val="24"/>
        </w:rPr>
        <w:t>1.6.5谈判结束后，不退还谈判响应文件。</w:t>
      </w:r>
    </w:p>
    <w:bookmarkEnd w:id="76"/>
    <w:bookmarkEnd w:id="77"/>
    <w:bookmarkEnd w:id="78"/>
    <w:bookmarkEnd w:id="79"/>
    <w:bookmarkEnd w:id="80"/>
    <w:bookmarkEnd w:id="81"/>
    <w:bookmarkEnd w:id="82"/>
    <w:bookmarkEnd w:id="83"/>
    <w:bookmarkEnd w:id="84"/>
    <w:bookmarkEnd w:id="85"/>
    <w:bookmarkEnd w:id="86"/>
    <w:bookmarkEnd w:id="87"/>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语言文字</w:t>
      </w:r>
    </w:p>
    <w:p>
      <w:pPr>
        <w:snapToGrid w:val="0"/>
        <w:spacing w:line="400" w:lineRule="exact"/>
        <w:ind w:firstLine="480" w:firstLineChars="200"/>
        <w:jc w:val="left"/>
        <w:rPr>
          <w:rFonts w:ascii="宋体" w:hAnsi="宋体" w:eastAsia="宋体" w:cs="Times New Roman"/>
          <w:bCs/>
          <w:sz w:val="24"/>
          <w:szCs w:val="24"/>
        </w:rPr>
      </w:pPr>
      <w:bookmarkStart w:id="88" w:name="_Toc504464700"/>
      <w:bookmarkStart w:id="89" w:name="_Toc270604583"/>
      <w:bookmarkStart w:id="90" w:name="_Toc504055119"/>
      <w:bookmarkStart w:id="91" w:name="_Toc270604810"/>
      <w:bookmarkStart w:id="92" w:name="_Toc503885598"/>
      <w:bookmarkStart w:id="93" w:name="_Toc10119"/>
      <w:bookmarkStart w:id="94" w:name="_Toc428276576"/>
      <w:bookmarkStart w:id="95" w:name="_Toc503886934"/>
      <w:bookmarkStart w:id="96" w:name="_Toc277149372"/>
      <w:bookmarkStart w:id="97" w:name="_Toc503112341"/>
      <w:bookmarkStart w:id="98" w:name="_Toc509443178"/>
      <w:bookmarkStart w:id="99" w:name="_Toc269470302"/>
      <w:r>
        <w:rPr>
          <w:rFonts w:hint="eastAsia" w:ascii="宋体" w:hAnsi="宋体" w:eastAsia="宋体" w:cs="Times New Roman"/>
          <w:bCs/>
          <w:sz w:val="24"/>
          <w:szCs w:val="24"/>
        </w:rPr>
        <w:t>除专用术语外，与谈判有关的语言均使用中文。必要时专用术语应附有中文注释。</w:t>
      </w:r>
    </w:p>
    <w:bookmarkEnd w:id="88"/>
    <w:bookmarkEnd w:id="89"/>
    <w:bookmarkEnd w:id="90"/>
    <w:bookmarkEnd w:id="91"/>
    <w:bookmarkEnd w:id="92"/>
    <w:bookmarkEnd w:id="93"/>
    <w:bookmarkEnd w:id="94"/>
    <w:bookmarkEnd w:id="95"/>
    <w:bookmarkEnd w:id="96"/>
    <w:bookmarkEnd w:id="97"/>
    <w:bookmarkEnd w:id="98"/>
    <w:bookmarkEnd w:id="99"/>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 xml:space="preserve">1.8 </w:t>
      </w:r>
      <w:r>
        <w:rPr>
          <w:rFonts w:hint="eastAsia" w:ascii="宋体" w:hAnsi="宋体" w:eastAsia="宋体" w:cs="Times New Roman"/>
          <w:bCs/>
          <w:sz w:val="24"/>
          <w:szCs w:val="24"/>
        </w:rPr>
        <w:t>计量单位</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所有计量均采用中华人民共和国法定计量单位。</w:t>
      </w:r>
    </w:p>
    <w:p>
      <w:pPr>
        <w:snapToGrid w:val="0"/>
        <w:spacing w:line="400" w:lineRule="exact"/>
        <w:ind w:firstLine="480" w:firstLineChars="200"/>
        <w:jc w:val="left"/>
        <w:rPr>
          <w:rFonts w:ascii="宋体" w:hAnsi="宋体" w:eastAsia="宋体" w:cs="Times New Roman"/>
          <w:bCs/>
          <w:sz w:val="24"/>
          <w:szCs w:val="24"/>
        </w:rPr>
      </w:pPr>
      <w:bookmarkStart w:id="100" w:name="_Toc270604584"/>
      <w:bookmarkEnd w:id="100"/>
      <w:bookmarkStart w:id="101" w:name="_Toc503886935"/>
      <w:bookmarkEnd w:id="101"/>
      <w:bookmarkStart w:id="102" w:name="_Toc277149373"/>
      <w:bookmarkEnd w:id="102"/>
      <w:bookmarkStart w:id="103" w:name="_Toc270604811"/>
      <w:bookmarkEnd w:id="103"/>
      <w:bookmarkStart w:id="104" w:name="_Toc503885599"/>
      <w:bookmarkEnd w:id="104"/>
      <w:bookmarkStart w:id="105" w:name="_Toc269470303"/>
      <w:bookmarkEnd w:id="105"/>
      <w:bookmarkStart w:id="106" w:name="_Toc509443179"/>
      <w:bookmarkEnd w:id="106"/>
      <w:bookmarkStart w:id="107" w:name="_Toc504464701"/>
      <w:bookmarkEnd w:id="107"/>
      <w:bookmarkStart w:id="108" w:name="_Toc503112342"/>
      <w:bookmarkEnd w:id="108"/>
      <w:bookmarkStart w:id="109" w:name="_Toc428276577"/>
      <w:bookmarkEnd w:id="109"/>
      <w:bookmarkStart w:id="110" w:name="_Toc504055120"/>
      <w:bookmarkEnd w:id="110"/>
      <w:bookmarkStart w:id="111" w:name="_Toc11938"/>
      <w:bookmarkEnd w:id="111"/>
      <w:r>
        <w:rPr>
          <w:rFonts w:hint="eastAsia" w:ascii="宋体" w:hAnsi="宋体" w:eastAsia="宋体" w:cs="Times New Roman"/>
          <w:bCs/>
          <w:sz w:val="24"/>
          <w:szCs w:val="24"/>
        </w:rPr>
        <w:t>1.9</w:t>
      </w:r>
      <w:r>
        <w:rPr>
          <w:rFonts w:ascii="宋体" w:hAnsi="宋体" w:eastAsia="宋体" w:cs="Times New Roman"/>
          <w:bCs/>
          <w:sz w:val="24"/>
          <w:szCs w:val="24"/>
        </w:rPr>
        <w:t xml:space="preserve"> </w:t>
      </w:r>
      <w:r>
        <w:rPr>
          <w:rFonts w:hint="eastAsia" w:ascii="宋体" w:hAnsi="宋体" w:eastAsia="宋体" w:cs="Times New Roman"/>
          <w:bCs/>
          <w:sz w:val="24"/>
          <w:szCs w:val="24"/>
        </w:rPr>
        <w:t>踏勘现场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本采购人不组织现场踏勘。响应人对自行踏勘现场发生的费用自理，采购人不对响应人踏勘现场作出的判断和决策负责。</w:t>
      </w:r>
    </w:p>
    <w:p>
      <w:pPr>
        <w:snapToGrid w:val="0"/>
        <w:spacing w:line="400" w:lineRule="exact"/>
        <w:ind w:firstLine="480" w:firstLineChars="200"/>
        <w:jc w:val="left"/>
        <w:rPr>
          <w:rFonts w:ascii="宋体" w:hAnsi="宋体" w:eastAsia="宋体" w:cs="Times New Roman"/>
          <w:bCs/>
          <w:sz w:val="24"/>
          <w:szCs w:val="24"/>
        </w:rPr>
      </w:pPr>
      <w:bookmarkStart w:id="112" w:name="_Toc503112343"/>
      <w:bookmarkEnd w:id="112"/>
      <w:bookmarkStart w:id="113" w:name="_Toc504464702"/>
      <w:bookmarkEnd w:id="113"/>
      <w:bookmarkStart w:id="114" w:name="_Toc428276578"/>
      <w:bookmarkEnd w:id="114"/>
      <w:bookmarkStart w:id="115" w:name="_Toc503886936"/>
      <w:bookmarkEnd w:id="115"/>
      <w:bookmarkStart w:id="116" w:name="_Toc504055121"/>
      <w:bookmarkEnd w:id="116"/>
      <w:bookmarkStart w:id="117" w:name="_Toc18814"/>
      <w:bookmarkEnd w:id="117"/>
      <w:bookmarkStart w:id="118" w:name="_Toc503885600"/>
      <w:bookmarkEnd w:id="118"/>
      <w:bookmarkStart w:id="119" w:name="_Toc509443180"/>
      <w:bookmarkEnd w:id="119"/>
      <w:r>
        <w:rPr>
          <w:rFonts w:hint="eastAsia" w:ascii="宋体" w:hAnsi="宋体" w:eastAsia="宋体" w:cs="Times New Roman"/>
          <w:bCs/>
          <w:sz w:val="24"/>
          <w:szCs w:val="24"/>
        </w:rPr>
        <w:t>1.10提出问题要求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潜在响应人对谈判文件中如有需要澄清的疑问的，应当在提交首次响应文件截止之日3个工作日前，在系统内提出。在规定的时间内未提出疑问的，将被视为对谈判文件完全认可。代理机构将对收到的要求澄清的问题予以答复。代理机构将答复发给所有谈判文件收受人(包括对要求澄清问题的说明，但不指明问题的来源)。</w:t>
      </w:r>
    </w:p>
    <w:p>
      <w:pPr>
        <w:snapToGrid w:val="0"/>
        <w:spacing w:line="400" w:lineRule="exact"/>
        <w:ind w:firstLine="480" w:firstLineChars="200"/>
        <w:jc w:val="left"/>
        <w:rPr>
          <w:rFonts w:ascii="宋体" w:hAnsi="宋体" w:eastAsia="宋体" w:cs="Times New Roman"/>
          <w:bCs/>
          <w:sz w:val="24"/>
          <w:szCs w:val="24"/>
        </w:rPr>
      </w:pPr>
      <w:bookmarkStart w:id="120" w:name="_Toc428276579"/>
      <w:bookmarkEnd w:id="120"/>
      <w:bookmarkStart w:id="121" w:name="_Toc509443181"/>
      <w:bookmarkEnd w:id="121"/>
      <w:bookmarkStart w:id="122" w:name="_Toc503886937"/>
      <w:bookmarkEnd w:id="122"/>
      <w:bookmarkStart w:id="123" w:name="_Toc503885601"/>
      <w:bookmarkEnd w:id="123"/>
      <w:bookmarkStart w:id="124" w:name="_Toc270604586"/>
      <w:bookmarkEnd w:id="124"/>
      <w:bookmarkStart w:id="125" w:name="_Toc504055122"/>
      <w:bookmarkEnd w:id="125"/>
      <w:bookmarkStart w:id="126" w:name="_Toc270604813"/>
      <w:bookmarkEnd w:id="126"/>
      <w:bookmarkStart w:id="127" w:name="_Toc504464703"/>
      <w:bookmarkEnd w:id="127"/>
      <w:bookmarkStart w:id="128" w:name="_Toc277149375"/>
      <w:bookmarkEnd w:id="128"/>
      <w:bookmarkStart w:id="129" w:name="_Toc14991"/>
      <w:bookmarkEnd w:id="129"/>
      <w:bookmarkStart w:id="130" w:name="_Toc503112344"/>
      <w:bookmarkEnd w:id="130"/>
      <w:bookmarkStart w:id="131" w:name="_Toc269470305"/>
      <w:bookmarkEnd w:id="131"/>
      <w:r>
        <w:rPr>
          <w:rFonts w:hint="eastAsia" w:ascii="宋体" w:hAnsi="宋体" w:eastAsia="宋体" w:cs="Times New Roman"/>
          <w:bCs/>
          <w:sz w:val="24"/>
          <w:szCs w:val="24"/>
        </w:rPr>
        <w:t>1.11分包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本项目不允许分包。</w:t>
      </w:r>
    </w:p>
    <w:p>
      <w:pPr>
        <w:snapToGrid w:val="0"/>
        <w:spacing w:line="400" w:lineRule="exact"/>
        <w:ind w:firstLine="480" w:firstLineChars="200"/>
        <w:jc w:val="left"/>
        <w:rPr>
          <w:rFonts w:ascii="宋体" w:hAnsi="宋体" w:eastAsia="宋体" w:cs="Times New Roman"/>
          <w:bCs/>
          <w:sz w:val="24"/>
          <w:szCs w:val="24"/>
        </w:rPr>
      </w:pPr>
      <w:bookmarkStart w:id="132" w:name="_Toc503886938"/>
      <w:bookmarkEnd w:id="132"/>
      <w:bookmarkStart w:id="133" w:name="_Toc428276580"/>
      <w:bookmarkEnd w:id="133"/>
      <w:bookmarkStart w:id="134" w:name="_Toc504464704"/>
      <w:bookmarkEnd w:id="134"/>
      <w:bookmarkStart w:id="135" w:name="_Toc509443182"/>
      <w:bookmarkEnd w:id="135"/>
      <w:bookmarkStart w:id="136" w:name="_Toc503885602"/>
      <w:bookmarkEnd w:id="136"/>
      <w:bookmarkStart w:id="137" w:name="_Toc270604587"/>
      <w:bookmarkEnd w:id="137"/>
      <w:bookmarkStart w:id="138" w:name="_Toc270604814"/>
      <w:bookmarkEnd w:id="138"/>
      <w:bookmarkStart w:id="139" w:name="_Toc269470306"/>
      <w:bookmarkEnd w:id="139"/>
      <w:bookmarkStart w:id="140" w:name="_Toc27617"/>
      <w:bookmarkEnd w:id="140"/>
      <w:bookmarkStart w:id="141" w:name="_Toc504055123"/>
      <w:bookmarkEnd w:id="141"/>
      <w:bookmarkStart w:id="142" w:name="_Toc503112345"/>
      <w:bookmarkEnd w:id="142"/>
      <w:bookmarkStart w:id="143" w:name="_Toc277149376"/>
      <w:bookmarkEnd w:id="143"/>
      <w:r>
        <w:rPr>
          <w:rFonts w:hint="eastAsia" w:ascii="宋体" w:hAnsi="宋体" w:eastAsia="宋体" w:cs="Times New Roman"/>
          <w:bCs/>
          <w:sz w:val="24"/>
          <w:szCs w:val="24"/>
        </w:rPr>
        <w:t>1.12偏离</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本项目不允许</w:t>
      </w:r>
    </w:p>
    <w:p>
      <w:pPr>
        <w:snapToGrid w:val="0"/>
        <w:spacing w:line="400" w:lineRule="exact"/>
        <w:ind w:firstLine="480" w:firstLineChars="200"/>
        <w:jc w:val="left"/>
        <w:rPr>
          <w:rFonts w:ascii="宋体" w:hAnsi="宋体" w:eastAsia="宋体" w:cs="Times New Roman"/>
          <w:bCs/>
          <w:sz w:val="24"/>
          <w:szCs w:val="24"/>
        </w:rPr>
      </w:pPr>
      <w:bookmarkStart w:id="144" w:name="_Toc509443183"/>
      <w:bookmarkEnd w:id="144"/>
      <w:bookmarkStart w:id="145" w:name="_Toc11788"/>
      <w:bookmarkEnd w:id="145"/>
      <w:bookmarkStart w:id="146" w:name="_Toc270604588"/>
      <w:bookmarkEnd w:id="146"/>
      <w:r>
        <w:rPr>
          <w:rFonts w:hint="eastAsia" w:ascii="宋体" w:hAnsi="宋体" w:eastAsia="宋体" w:cs="Times New Roman"/>
          <w:bCs/>
          <w:sz w:val="24"/>
          <w:szCs w:val="24"/>
        </w:rPr>
        <w:t>2、谈判文件</w:t>
      </w:r>
    </w:p>
    <w:p>
      <w:pPr>
        <w:snapToGrid w:val="0"/>
        <w:spacing w:line="400" w:lineRule="exact"/>
        <w:ind w:firstLine="480" w:firstLineChars="200"/>
        <w:jc w:val="left"/>
        <w:rPr>
          <w:rFonts w:ascii="宋体" w:hAnsi="宋体" w:eastAsia="宋体" w:cs="Times New Roman"/>
          <w:bCs/>
          <w:sz w:val="24"/>
          <w:szCs w:val="24"/>
        </w:rPr>
      </w:pPr>
      <w:bookmarkStart w:id="147" w:name="_Toc31257"/>
      <w:bookmarkEnd w:id="147"/>
      <w:bookmarkStart w:id="148" w:name="_Toc503886940"/>
      <w:bookmarkEnd w:id="148"/>
      <w:bookmarkStart w:id="149" w:name="_Toc503885604"/>
      <w:bookmarkEnd w:id="149"/>
      <w:bookmarkStart w:id="150" w:name="_Toc269470308"/>
      <w:bookmarkEnd w:id="150"/>
      <w:bookmarkStart w:id="151" w:name="_Toc277149378"/>
      <w:bookmarkEnd w:id="151"/>
      <w:bookmarkStart w:id="152" w:name="_Toc428276582"/>
      <w:bookmarkEnd w:id="152"/>
      <w:bookmarkStart w:id="153" w:name="_Toc270604589"/>
      <w:bookmarkEnd w:id="153"/>
      <w:bookmarkStart w:id="154" w:name="_Toc504464706"/>
      <w:bookmarkEnd w:id="154"/>
      <w:bookmarkStart w:id="155" w:name="_Toc504055125"/>
      <w:bookmarkEnd w:id="155"/>
      <w:bookmarkStart w:id="156" w:name="_Toc503112347"/>
      <w:bookmarkEnd w:id="156"/>
      <w:bookmarkStart w:id="157" w:name="_Toc270604816"/>
      <w:bookmarkEnd w:id="157"/>
      <w:bookmarkStart w:id="158" w:name="_Toc509443184"/>
      <w:bookmarkEnd w:id="158"/>
      <w:r>
        <w:rPr>
          <w:rFonts w:hint="eastAsia" w:ascii="宋体" w:hAnsi="宋体" w:eastAsia="宋体" w:cs="Times New Roman"/>
          <w:bCs/>
          <w:sz w:val="24"/>
          <w:szCs w:val="24"/>
        </w:rPr>
        <w:t>2</w:t>
      </w:r>
      <w:r>
        <w:rPr>
          <w:rFonts w:ascii="宋体" w:hAnsi="宋体" w:eastAsia="宋体" w:cs="Times New Roman"/>
          <w:bCs/>
          <w:sz w:val="24"/>
          <w:szCs w:val="24"/>
        </w:rPr>
        <w:t>.1</w:t>
      </w:r>
      <w:r>
        <w:rPr>
          <w:rFonts w:hint="eastAsia" w:ascii="宋体" w:hAnsi="宋体" w:eastAsia="宋体" w:cs="Times New Roman"/>
          <w:bCs/>
          <w:sz w:val="24"/>
          <w:szCs w:val="24"/>
        </w:rPr>
        <w:t>谈判文件的组成</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本谈判文件包括：</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1</w:t>
      </w:r>
      <w:r>
        <w:rPr>
          <w:rFonts w:hint="eastAsia" w:ascii="宋体" w:hAnsi="宋体" w:eastAsia="宋体" w:cs="Times New Roman"/>
          <w:bCs/>
          <w:sz w:val="24"/>
          <w:szCs w:val="24"/>
        </w:rPr>
        <w:t>）竞争性谈判公告；</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2</w:t>
      </w:r>
      <w:r>
        <w:rPr>
          <w:rFonts w:hint="eastAsia" w:ascii="宋体" w:hAnsi="宋体" w:eastAsia="宋体" w:cs="Times New Roman"/>
          <w:bCs/>
          <w:sz w:val="24"/>
          <w:szCs w:val="24"/>
        </w:rPr>
        <w:t>）响应人须知前附表；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（3）工程量清单；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4</w:t>
      </w:r>
      <w:r>
        <w:rPr>
          <w:rFonts w:hint="eastAsia" w:ascii="宋体" w:hAnsi="宋体" w:eastAsia="宋体" w:cs="Times New Roman"/>
          <w:bCs/>
          <w:sz w:val="24"/>
          <w:szCs w:val="24"/>
        </w:rPr>
        <w:t>）合同条款及格式；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5</w:t>
      </w:r>
      <w:r>
        <w:rPr>
          <w:rFonts w:hint="eastAsia" w:ascii="宋体" w:hAnsi="宋体" w:eastAsia="宋体" w:cs="Times New Roman"/>
          <w:bCs/>
          <w:sz w:val="24"/>
          <w:szCs w:val="24"/>
        </w:rPr>
        <w:t>）谈判响应文件格式；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根据本章第</w:t>
      </w:r>
      <w:r>
        <w:rPr>
          <w:rFonts w:ascii="宋体" w:hAnsi="宋体" w:eastAsia="宋体" w:cs="Times New Roman"/>
          <w:bCs/>
          <w:sz w:val="24"/>
          <w:szCs w:val="24"/>
        </w:rPr>
        <w:t xml:space="preserve">1.10 </w:t>
      </w:r>
      <w:r>
        <w:rPr>
          <w:rFonts w:hint="eastAsia" w:ascii="宋体" w:hAnsi="宋体" w:eastAsia="宋体" w:cs="Times New Roman"/>
          <w:bCs/>
          <w:sz w:val="24"/>
          <w:szCs w:val="24"/>
        </w:rPr>
        <w:t>款、第</w:t>
      </w:r>
      <w:r>
        <w:rPr>
          <w:rFonts w:ascii="宋体" w:hAnsi="宋体" w:eastAsia="宋体" w:cs="Times New Roman"/>
          <w:bCs/>
          <w:sz w:val="24"/>
          <w:szCs w:val="24"/>
        </w:rPr>
        <w:t>2.2</w:t>
      </w:r>
      <w:r>
        <w:rPr>
          <w:rFonts w:hint="eastAsia" w:ascii="宋体" w:hAnsi="宋体" w:eastAsia="宋体" w:cs="Times New Roman"/>
          <w:bCs/>
          <w:sz w:val="24"/>
          <w:szCs w:val="24"/>
        </w:rPr>
        <w:t>款和第</w:t>
      </w:r>
      <w:r>
        <w:rPr>
          <w:rFonts w:ascii="宋体" w:hAnsi="宋体" w:eastAsia="宋体" w:cs="Times New Roman"/>
          <w:bCs/>
          <w:sz w:val="24"/>
          <w:szCs w:val="24"/>
        </w:rPr>
        <w:t>2.3</w:t>
      </w:r>
      <w:r>
        <w:rPr>
          <w:rFonts w:hint="eastAsia" w:ascii="宋体" w:hAnsi="宋体" w:eastAsia="宋体" w:cs="Times New Roman"/>
          <w:bCs/>
          <w:sz w:val="24"/>
          <w:szCs w:val="24"/>
        </w:rPr>
        <w:t>款对谈判文件所作的澄清、修改，构成谈判文件的组成部分。</w:t>
      </w:r>
    </w:p>
    <w:p>
      <w:pPr>
        <w:snapToGrid w:val="0"/>
        <w:spacing w:line="400" w:lineRule="exact"/>
        <w:ind w:firstLine="480" w:firstLineChars="200"/>
        <w:jc w:val="left"/>
        <w:rPr>
          <w:rFonts w:ascii="宋体" w:hAnsi="宋体" w:eastAsia="宋体" w:cs="Times New Roman"/>
          <w:bCs/>
          <w:sz w:val="24"/>
          <w:szCs w:val="24"/>
        </w:rPr>
      </w:pPr>
      <w:bookmarkStart w:id="159" w:name="_Toc270604590"/>
      <w:bookmarkEnd w:id="159"/>
      <w:bookmarkStart w:id="160" w:name="_Toc503886941"/>
      <w:bookmarkEnd w:id="160"/>
      <w:bookmarkStart w:id="161" w:name="_Toc509443185"/>
      <w:bookmarkEnd w:id="161"/>
      <w:bookmarkStart w:id="162" w:name="_Toc503112348"/>
      <w:bookmarkEnd w:id="162"/>
      <w:bookmarkStart w:id="163" w:name="_Toc428276583"/>
      <w:bookmarkEnd w:id="163"/>
      <w:bookmarkStart w:id="164" w:name="_Toc277149379"/>
      <w:bookmarkEnd w:id="164"/>
      <w:bookmarkStart w:id="165" w:name="_Toc269470309"/>
      <w:bookmarkEnd w:id="165"/>
      <w:bookmarkStart w:id="166" w:name="_Toc24439"/>
      <w:bookmarkEnd w:id="166"/>
      <w:bookmarkStart w:id="167" w:name="_Toc270604817"/>
      <w:bookmarkEnd w:id="167"/>
      <w:bookmarkStart w:id="168" w:name="_Toc503885605"/>
      <w:bookmarkEnd w:id="168"/>
      <w:bookmarkStart w:id="169" w:name="_Toc504055126"/>
      <w:bookmarkEnd w:id="169"/>
      <w:bookmarkStart w:id="170" w:name="_Toc504464707"/>
      <w:bookmarkEnd w:id="170"/>
      <w:bookmarkStart w:id="171" w:name="_Toc428276584"/>
      <w:bookmarkStart w:id="172" w:name="_Toc270604818"/>
      <w:bookmarkStart w:id="173" w:name="_Toc270604591"/>
      <w:bookmarkStart w:id="174" w:name="_Toc277149380"/>
      <w:bookmarkStart w:id="175" w:name="_Toc503885606"/>
      <w:bookmarkStart w:id="176" w:name="_Toc503112349"/>
      <w:bookmarkStart w:id="177" w:name="_Toc269470310"/>
      <w:bookmarkStart w:id="178" w:name="_Toc503886942"/>
      <w:r>
        <w:rPr>
          <w:rFonts w:hint="eastAsia" w:ascii="宋体" w:hAnsi="宋体" w:eastAsia="宋体" w:cs="Times New Roman"/>
          <w:bCs/>
          <w:sz w:val="24"/>
          <w:szCs w:val="24"/>
        </w:rPr>
        <w:t>2.2谈判文件的澄清</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2.2.1</w:t>
      </w:r>
      <w:r>
        <w:rPr>
          <w:rFonts w:hint="eastAsia" w:ascii="宋体" w:hAnsi="宋体" w:eastAsia="宋体" w:cs="Times New Roman"/>
          <w:bCs/>
          <w:sz w:val="24"/>
          <w:szCs w:val="24"/>
        </w:rPr>
        <w:t>为了有助于对竞争性谈判响应文件进行审查、评估和比较，竞争性谈判小组有权向响应人质疑。请响应人澄清其谈判内容。响应人有责任按照竞争性谈判小组通知的时间、地点、方式指派委托代理人进行答疑和澄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2.2.2重要澄清的答复应是PDF电子版的，签盖电子章生成PDF上传至三门峡市公共资源电子化交易系统。</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2.2.3</w:t>
      </w:r>
      <w:r>
        <w:rPr>
          <w:rFonts w:hint="eastAsia" w:ascii="宋体" w:hAnsi="宋体" w:eastAsia="宋体" w:cs="Times New Roman"/>
          <w:bCs/>
          <w:sz w:val="24"/>
          <w:szCs w:val="24"/>
        </w:rPr>
        <w:t>响应人的澄清文件是竞争性谈判响应文件的组成部分，并取代竞争性谈判响应文件中被澄清的部分。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2.2.4竞争性谈判响应文件澄清部分不得对谈判内容进行实质性修改。</w:t>
      </w:r>
    </w:p>
    <w:bookmarkEnd w:id="171"/>
    <w:bookmarkEnd w:id="172"/>
    <w:bookmarkEnd w:id="173"/>
    <w:bookmarkEnd w:id="174"/>
    <w:bookmarkEnd w:id="175"/>
    <w:bookmarkEnd w:id="176"/>
    <w:bookmarkEnd w:id="177"/>
    <w:bookmarkEnd w:id="178"/>
    <w:p>
      <w:pPr>
        <w:snapToGrid w:val="0"/>
        <w:spacing w:line="400" w:lineRule="exact"/>
        <w:ind w:firstLine="480" w:firstLineChars="200"/>
        <w:jc w:val="left"/>
        <w:rPr>
          <w:rFonts w:ascii="宋体" w:hAnsi="宋体" w:eastAsia="宋体" w:cs="Times New Roman"/>
          <w:bCs/>
          <w:sz w:val="24"/>
          <w:szCs w:val="24"/>
        </w:rPr>
      </w:pPr>
      <w:bookmarkStart w:id="179" w:name="_Toc509443186"/>
      <w:bookmarkEnd w:id="179"/>
      <w:bookmarkStart w:id="180" w:name="_Toc3902"/>
      <w:bookmarkEnd w:id="180"/>
      <w:bookmarkStart w:id="181" w:name="_Toc504464708"/>
      <w:bookmarkEnd w:id="181"/>
      <w:bookmarkStart w:id="182" w:name="_Toc504055127"/>
      <w:bookmarkEnd w:id="182"/>
      <w:r>
        <w:rPr>
          <w:rFonts w:hint="eastAsia" w:ascii="宋体" w:hAnsi="宋体" w:eastAsia="宋体" w:cs="Times New Roman"/>
          <w:bCs/>
          <w:sz w:val="24"/>
          <w:szCs w:val="24"/>
        </w:rPr>
        <w:t>2.3谈判文件的修改</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 xml:space="preserve">2.3.1 </w:t>
      </w:r>
      <w:r>
        <w:rPr>
          <w:rFonts w:hint="eastAsia" w:ascii="宋体" w:hAnsi="宋体" w:eastAsia="宋体" w:cs="Times New Roman"/>
          <w:bCs/>
          <w:sz w:val="24"/>
          <w:szCs w:val="24"/>
        </w:rPr>
        <w:t>提交首次响应文件截止之日3日前，采购人、代理机构或者谈判小组可以对已发出的竞争性谈判文件进行必要的澄清或者修改，澄清或者修改的内容作为竞争性谈判文件的组成部分。澄清或者修改的内容可能影响响应文件编制的，采购人、代理机构或者谈判小组应当在提交首次响应文件截止之日3个工作日前，以书面形式通知所有接收竞争性谈判文件的响应人，同时在公告发布媒体上发布更正公告，不足3个工作日的，应当顺延提交首次响应文件截止之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2.3.2</w:t>
      </w:r>
      <w:r>
        <w:rPr>
          <w:rFonts w:ascii="宋体" w:hAnsi="宋体" w:eastAsia="宋体" w:cs="Times New Roman"/>
          <w:bCs/>
          <w:sz w:val="24"/>
          <w:szCs w:val="24"/>
        </w:rPr>
        <w:t xml:space="preserve"> </w:t>
      </w:r>
      <w:r>
        <w:rPr>
          <w:rFonts w:hint="eastAsia" w:ascii="宋体" w:hAnsi="宋体" w:eastAsia="宋体" w:cs="Times New Roman"/>
          <w:bCs/>
          <w:sz w:val="24"/>
          <w:szCs w:val="24"/>
        </w:rPr>
        <w:t>澄清或者修改的内容与竞争性谈判文件不一致的地方，以澄清或者修改的内容为准。</w:t>
      </w:r>
    </w:p>
    <w:p>
      <w:pPr>
        <w:snapToGrid w:val="0"/>
        <w:spacing w:line="400" w:lineRule="exact"/>
        <w:ind w:firstLine="480" w:firstLineChars="200"/>
        <w:jc w:val="left"/>
        <w:rPr>
          <w:rFonts w:ascii="宋体" w:hAnsi="宋体" w:eastAsia="宋体" w:cs="Times New Roman"/>
          <w:bCs/>
          <w:sz w:val="24"/>
          <w:szCs w:val="24"/>
        </w:rPr>
      </w:pPr>
      <w:bookmarkStart w:id="183" w:name="_Toc277149382"/>
      <w:bookmarkEnd w:id="183"/>
      <w:bookmarkStart w:id="184" w:name="_Toc503885608"/>
      <w:bookmarkEnd w:id="184"/>
      <w:bookmarkStart w:id="185" w:name="_Toc270604820"/>
      <w:bookmarkEnd w:id="185"/>
      <w:bookmarkStart w:id="186" w:name="_Toc504055128"/>
      <w:bookmarkEnd w:id="186"/>
      <w:bookmarkStart w:id="187" w:name="_Toc504464709"/>
      <w:bookmarkEnd w:id="187"/>
      <w:bookmarkStart w:id="188" w:name="_Toc27378"/>
      <w:bookmarkEnd w:id="188"/>
      <w:bookmarkStart w:id="189" w:name="_Toc270604593"/>
      <w:bookmarkEnd w:id="189"/>
      <w:bookmarkStart w:id="190" w:name="_Toc503112351"/>
      <w:bookmarkEnd w:id="190"/>
      <w:bookmarkStart w:id="191" w:name="_Toc503886944"/>
      <w:bookmarkEnd w:id="191"/>
      <w:bookmarkStart w:id="192" w:name="_Toc509443187"/>
      <w:bookmarkEnd w:id="192"/>
      <w:bookmarkStart w:id="193" w:name="_Toc269470312"/>
      <w:bookmarkEnd w:id="193"/>
      <w:bookmarkStart w:id="194" w:name="_Toc428276586"/>
      <w:bookmarkEnd w:id="194"/>
      <w:r>
        <w:rPr>
          <w:rFonts w:hint="eastAsia" w:ascii="宋体" w:hAnsi="宋体" w:eastAsia="宋体" w:cs="Times New Roman"/>
          <w:bCs/>
          <w:sz w:val="24"/>
          <w:szCs w:val="24"/>
        </w:rPr>
        <w:t>2.4谈判响应文件的组成</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一、报价函及报价函附录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二、法定代表人身份证明</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三、授权委托书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四、已标价工程量清单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五、施工组织设计</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六、项目管理机构</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七、供应商基本情况表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八</w:t>
      </w:r>
      <w:r>
        <w:rPr>
          <w:rFonts w:ascii="宋体" w:hAnsi="宋体" w:eastAsia="宋体" w:cs="Times New Roman"/>
          <w:bCs/>
          <w:sz w:val="24"/>
          <w:szCs w:val="24"/>
        </w:rPr>
        <w:t>、</w:t>
      </w:r>
      <w:r>
        <w:rPr>
          <w:rFonts w:hint="eastAsia" w:ascii="宋体" w:hAnsi="宋体" w:eastAsia="宋体" w:cs="Times New Roman"/>
          <w:bCs/>
          <w:sz w:val="24"/>
          <w:szCs w:val="24"/>
        </w:rPr>
        <w:t>承诺质量、工期达到竞争性谈判文件要求及具体措施</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九、优惠服务承诺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十、近年发生的诉讼和仲裁情况</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十一、企业其他信誉情况表（年份要求同诉讼及仲裁情况年份要求）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十二、响应人认为需要提交的其他资料</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2.5谈判价格构成及报价要求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w:t>
      </w:r>
      <w:r>
        <w:rPr>
          <w:rFonts w:ascii="宋体" w:hAnsi="宋体" w:eastAsia="宋体" w:cs="Times New Roman"/>
          <w:bCs/>
          <w:sz w:val="24"/>
          <w:szCs w:val="24"/>
        </w:rPr>
        <w:t>.5.1</w:t>
      </w:r>
      <w:r>
        <w:rPr>
          <w:rFonts w:hint="eastAsia" w:ascii="宋体" w:hAnsi="宋体" w:eastAsia="宋体" w:cs="Times New Roman"/>
          <w:bCs/>
          <w:sz w:val="24"/>
          <w:szCs w:val="24"/>
        </w:rPr>
        <w:t>根据竞争性谈判文件规定的工程内容，响应人应对本次谈判工程的全部工作内容进行报价。报价应是竞争性谈判文件所确定的谈判范围内的全部工作内容的价格体现。</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2.5.2</w:t>
      </w:r>
      <w:r>
        <w:rPr>
          <w:rFonts w:hint="eastAsia" w:ascii="宋体" w:hAnsi="宋体" w:eastAsia="宋体" w:cs="Times New Roman"/>
          <w:bCs/>
          <w:sz w:val="24"/>
          <w:szCs w:val="24"/>
        </w:rPr>
        <w:t>谈判报价应包括竞争性谈判文件及技术规范等规定的，实施和完成谈判工程直至竣工验收合格，及达到质量和工期目标、安全文明、环境保护等要求,正式交付采购人使用前所需的全部费用。</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2.5.3</w:t>
      </w:r>
      <w:r>
        <w:rPr>
          <w:rFonts w:hint="eastAsia" w:ascii="宋体" w:hAnsi="宋体" w:eastAsia="宋体" w:cs="Times New Roman"/>
          <w:bCs/>
          <w:sz w:val="24"/>
          <w:szCs w:val="24"/>
        </w:rPr>
        <w:t>本工程采用全费用单价报价方式，响应人的谈判报价根据竞争性谈判文件、工程量清单、答疑等，充分考虑市场价格、风险因素，在合理范围内自主报价，但不得低于企业实际成本。</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2.5.4</w:t>
      </w:r>
      <w:r>
        <w:rPr>
          <w:rFonts w:hint="eastAsia" w:ascii="宋体" w:hAnsi="宋体" w:eastAsia="宋体" w:cs="Times New Roman"/>
          <w:bCs/>
          <w:sz w:val="24"/>
          <w:szCs w:val="24"/>
        </w:rPr>
        <w:t>响应人应结合自身条件，并充分考虑本工程施工难度、工期的要求、质量要求以及市场因素、现场环境因素、社会因素、市场价格调整因素等各方面原因合理报价。谈判报价将被认为已综合考虑了在施工全过程中可能发生的全部不可预见费用。中标人无权再以任何理由提出延长工期、增加价款或索赔等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2.5.5响应人在谈判报价前可以自行踏勘施工现场，充分考虑了工地现状条件可能影响到工程正常施工的所有风险因素。无论响应人是否进行了上述现场踏勘工作，其谈判报价中均将被认为已包含有工地现状在施工作业期间发生的全部不可预见的风险费用，响应人中标后则无权因此要求任何工期或费用上的索赔。</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2.5.6</w:t>
      </w:r>
      <w:r>
        <w:rPr>
          <w:rFonts w:hint="eastAsia" w:ascii="宋体" w:hAnsi="宋体" w:eastAsia="宋体" w:cs="Times New Roman"/>
          <w:bCs/>
          <w:sz w:val="24"/>
          <w:szCs w:val="24"/>
        </w:rPr>
        <w:t>施工期间由于工程条件发生变化或响应人原因造成施工方案的更改，所增加的措施费用及工期一概不予调整，相应的费用响应人应在谈判报价中充分考虑，采购人不另支付。</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2.5.7税金属于不可竞争费用，如违背工程造价管理规定的，对未按规定计取税金的响应人，其谈判报价按低于成本价处理。</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2.5.8</w:t>
      </w:r>
      <w:r>
        <w:rPr>
          <w:rFonts w:hint="eastAsia" w:ascii="宋体" w:hAnsi="宋体" w:eastAsia="宋体" w:cs="Times New Roman"/>
          <w:bCs/>
          <w:sz w:val="24"/>
          <w:szCs w:val="24"/>
        </w:rPr>
        <w:t>施工用水用电由中标人从采购人指定位置接入，其费用由中标人自行承担。</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2.5.9</w:t>
      </w:r>
      <w:r>
        <w:rPr>
          <w:rFonts w:hint="eastAsia" w:ascii="宋体" w:hAnsi="宋体" w:eastAsia="宋体" w:cs="Times New Roman"/>
          <w:bCs/>
          <w:sz w:val="24"/>
          <w:szCs w:val="24"/>
        </w:rPr>
        <w:t>谈判报价要求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（1）各响应人在谈判时必须在响应文件中提供一份完整的已标价工程量清单。仅有投标总价而未按工程量清单提供的表格填写各项费用的投标报价，谈判时一律按无效投标处理；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（2）响应人的投标总价必须与其他投标报价表中的数据合计相吻合；</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（3）各响应人作为有经验的承包商，应充分考虑该工程实施时的各种风险，并将其考虑在本次投标报价各清单项目的全费用单价中，结算时全费用单价不做调整（合同另有约定的除外）；</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w:t>
      </w:r>
      <w:r>
        <w:rPr>
          <w:rFonts w:hint="eastAsia" w:ascii="宋体" w:hAnsi="宋体" w:eastAsia="宋体" w:cs="Times New Roman"/>
          <w:bCs/>
          <w:sz w:val="24"/>
          <w:szCs w:val="24"/>
        </w:rPr>
        <w:t>4</w:t>
      </w:r>
      <w:r>
        <w:rPr>
          <w:rFonts w:ascii="宋体" w:hAnsi="宋体" w:eastAsia="宋体" w:cs="Times New Roman"/>
          <w:bCs/>
          <w:sz w:val="24"/>
          <w:szCs w:val="24"/>
        </w:rPr>
        <w:t>）</w:t>
      </w:r>
      <w:r>
        <w:rPr>
          <w:rFonts w:hint="eastAsia" w:ascii="宋体" w:hAnsi="宋体" w:eastAsia="宋体" w:cs="Times New Roman"/>
          <w:bCs/>
          <w:sz w:val="24"/>
          <w:szCs w:val="24"/>
        </w:rPr>
        <w:t>本次谈判的最终投标总报价不得高于招标控制价，高于控制价的报价将被否决；</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响应文件报价中的单价和总价全部采用人民币表示。</w:t>
      </w:r>
    </w:p>
    <w:p>
      <w:pPr>
        <w:snapToGrid w:val="0"/>
        <w:spacing w:line="400" w:lineRule="exact"/>
        <w:ind w:firstLine="480" w:firstLineChars="200"/>
        <w:jc w:val="left"/>
        <w:rPr>
          <w:rFonts w:ascii="宋体" w:hAnsi="宋体" w:eastAsia="宋体" w:cs="Times New Roman"/>
          <w:bCs/>
          <w:sz w:val="24"/>
          <w:szCs w:val="24"/>
        </w:rPr>
      </w:pPr>
      <w:bookmarkStart w:id="195" w:name="_Toc503885610"/>
      <w:bookmarkStart w:id="196" w:name="_Toc509443189"/>
      <w:bookmarkStart w:id="197" w:name="_Toc503886946"/>
      <w:bookmarkStart w:id="198" w:name="_Toc277149384"/>
      <w:bookmarkStart w:id="199" w:name="_Toc270604822"/>
      <w:bookmarkStart w:id="200" w:name="_Toc504055130"/>
      <w:bookmarkStart w:id="201" w:name="_Toc428276588"/>
      <w:bookmarkStart w:id="202" w:name="_Toc269470314"/>
      <w:bookmarkStart w:id="203" w:name="_Toc5914"/>
      <w:bookmarkStart w:id="204" w:name="_Toc270604595"/>
      <w:bookmarkStart w:id="205" w:name="_Toc503112353"/>
      <w:bookmarkStart w:id="206" w:name="_Toc504464711"/>
      <w:r>
        <w:rPr>
          <w:rFonts w:hint="eastAsia" w:ascii="宋体" w:hAnsi="宋体" w:eastAsia="宋体" w:cs="Times New Roman"/>
          <w:bCs/>
          <w:sz w:val="24"/>
          <w:szCs w:val="24"/>
        </w:rPr>
        <w:t>2</w:t>
      </w:r>
      <w:r>
        <w:rPr>
          <w:rFonts w:ascii="宋体" w:hAnsi="宋体" w:eastAsia="宋体" w:cs="Times New Roman"/>
          <w:bCs/>
          <w:sz w:val="24"/>
          <w:szCs w:val="24"/>
        </w:rPr>
        <w:t xml:space="preserve">.5.10 </w:t>
      </w:r>
      <w:r>
        <w:rPr>
          <w:rFonts w:hint="eastAsia" w:ascii="宋体" w:hAnsi="宋体" w:eastAsia="宋体" w:cs="Times New Roman"/>
          <w:bCs/>
          <w:sz w:val="24"/>
          <w:szCs w:val="24"/>
        </w:rPr>
        <w:t>由响应人采购的材料，其价格由响应人自主询价报价，但必须满足设计和施工规范要求。</w:t>
      </w:r>
    </w:p>
    <w:bookmarkEnd w:id="195"/>
    <w:bookmarkEnd w:id="196"/>
    <w:bookmarkEnd w:id="197"/>
    <w:bookmarkEnd w:id="198"/>
    <w:bookmarkEnd w:id="199"/>
    <w:bookmarkEnd w:id="200"/>
    <w:bookmarkEnd w:id="201"/>
    <w:bookmarkEnd w:id="202"/>
    <w:bookmarkEnd w:id="203"/>
    <w:bookmarkEnd w:id="204"/>
    <w:bookmarkEnd w:id="205"/>
    <w:bookmarkEnd w:id="206"/>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2.6</w:t>
      </w:r>
      <w:r>
        <w:rPr>
          <w:rFonts w:hint="eastAsia" w:ascii="宋体" w:hAnsi="宋体" w:eastAsia="宋体" w:cs="Times New Roman"/>
          <w:bCs/>
          <w:sz w:val="24"/>
          <w:szCs w:val="24"/>
        </w:rPr>
        <w:t>谈判有效期</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2.6.1在响应人须知前附表规定的谈判有效期内，响应人不得要求撤销或修改其谈判响应文件。</w:t>
      </w:r>
    </w:p>
    <w:p>
      <w:pPr>
        <w:snapToGrid w:val="0"/>
        <w:spacing w:line="400" w:lineRule="exact"/>
        <w:ind w:firstLine="480" w:firstLineChars="200"/>
        <w:jc w:val="left"/>
        <w:rPr>
          <w:rFonts w:ascii="宋体" w:hAnsi="宋体" w:eastAsia="宋体" w:cs="Times New Roman"/>
          <w:bCs/>
          <w:sz w:val="24"/>
          <w:szCs w:val="24"/>
        </w:rPr>
      </w:pPr>
      <w:bookmarkStart w:id="207" w:name="_Toc503886947"/>
      <w:bookmarkStart w:id="208" w:name="_Toc503885611"/>
      <w:bookmarkStart w:id="209" w:name="_Toc504055131"/>
      <w:bookmarkStart w:id="210" w:name="_Toc503112354"/>
      <w:bookmarkStart w:id="211" w:name="_Toc19047"/>
      <w:bookmarkStart w:id="212" w:name="_Toc428276589"/>
      <w:bookmarkStart w:id="213" w:name="_Toc504464712"/>
      <w:bookmarkStart w:id="214" w:name="_Toc509443190"/>
      <w:r>
        <w:rPr>
          <w:rFonts w:hint="eastAsia" w:ascii="宋体" w:hAnsi="宋体" w:eastAsia="宋体" w:cs="Times New Roman"/>
          <w:bCs/>
          <w:sz w:val="24"/>
          <w:szCs w:val="24"/>
        </w:rPr>
        <w:t>2.6.2出现特殊情况需要延长投标有效期的，采购人以书面形式通知所有响应人延长投标有效期。响应人同意延长的，不得要求或被允许修改或撤销其谈判响应文件；响应人拒绝延长的，其谈判失效。</w:t>
      </w:r>
    </w:p>
    <w:bookmarkEnd w:id="207"/>
    <w:bookmarkEnd w:id="208"/>
    <w:bookmarkEnd w:id="209"/>
    <w:bookmarkEnd w:id="210"/>
    <w:bookmarkEnd w:id="211"/>
    <w:bookmarkEnd w:id="212"/>
    <w:bookmarkEnd w:id="213"/>
    <w:bookmarkEnd w:id="214"/>
    <w:p>
      <w:pPr>
        <w:snapToGrid w:val="0"/>
        <w:spacing w:line="400" w:lineRule="exact"/>
        <w:ind w:firstLine="480" w:firstLineChars="200"/>
        <w:jc w:val="left"/>
        <w:rPr>
          <w:rFonts w:ascii="宋体" w:hAnsi="宋体" w:eastAsia="宋体" w:cs="Times New Roman"/>
          <w:bCs/>
          <w:sz w:val="24"/>
          <w:szCs w:val="24"/>
        </w:rPr>
      </w:pPr>
      <w:bookmarkStart w:id="215" w:name="_Toc503112355"/>
      <w:bookmarkStart w:id="216" w:name="_Toc269470318"/>
      <w:bookmarkStart w:id="217" w:name="_Toc270604596"/>
      <w:bookmarkStart w:id="218" w:name="_Toc503886948"/>
      <w:bookmarkStart w:id="219" w:name="_Toc504055132"/>
      <w:bookmarkStart w:id="220" w:name="_Toc277149385"/>
      <w:bookmarkStart w:id="221" w:name="_Toc270604823"/>
      <w:bookmarkStart w:id="222" w:name="_Toc503885612"/>
      <w:bookmarkStart w:id="223" w:name="_Toc5257"/>
      <w:bookmarkStart w:id="224" w:name="_Toc509443191"/>
      <w:bookmarkStart w:id="225" w:name="_Toc428276590"/>
      <w:r>
        <w:rPr>
          <w:rFonts w:ascii="宋体" w:hAnsi="宋体" w:eastAsia="宋体" w:cs="Times New Roman"/>
          <w:bCs/>
          <w:sz w:val="24"/>
          <w:szCs w:val="24"/>
        </w:rPr>
        <w:t>2.7</w:t>
      </w:r>
      <w:r>
        <w:rPr>
          <w:rFonts w:hint="eastAsia" w:ascii="宋体" w:hAnsi="宋体" w:eastAsia="宋体" w:cs="Times New Roman"/>
          <w:bCs/>
          <w:sz w:val="24"/>
          <w:szCs w:val="24"/>
        </w:rPr>
        <w:t xml:space="preserve">谈判保证金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2.7.1根按照《河南省财政厅关于优化政府采购营商环境有关问题的通知》（豫财购[2019]4号文）的要求本项目不再收取谈判保证金。</w:t>
      </w:r>
    </w:p>
    <w:bookmarkEnd w:id="215"/>
    <w:bookmarkEnd w:id="216"/>
    <w:bookmarkEnd w:id="217"/>
    <w:bookmarkEnd w:id="218"/>
    <w:bookmarkEnd w:id="219"/>
    <w:bookmarkEnd w:id="220"/>
    <w:bookmarkEnd w:id="221"/>
    <w:bookmarkEnd w:id="222"/>
    <w:bookmarkEnd w:id="223"/>
    <w:bookmarkEnd w:id="224"/>
    <w:bookmarkEnd w:id="225"/>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2.8谈判响应文件的编制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2.8.1谈判响应文件应按“第五章 谈判响应文件格式”进行编写，如有必要，可以增加附页，作为谈判响应文件的组成部分。其中，谈判函及附录在满足竞争性谈判文件实质性要求的基础上，可以提出比竞争性谈判文件要求更有利于采购人的承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2.8.2谈判响应文件应当对竞争性谈判文件有关工期、谈判有效期、质量要求、采购内容及要求等实质性内容作出响应。</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2.8.3本项目为全电子标，谈判响应人在规定时间内，将电子版响应文件上传至三门峡市公共资源交易中心平台。</w:t>
      </w:r>
    </w:p>
    <w:p>
      <w:pPr>
        <w:snapToGrid w:val="0"/>
        <w:spacing w:line="400" w:lineRule="exact"/>
        <w:ind w:firstLine="480" w:firstLineChars="200"/>
        <w:jc w:val="left"/>
        <w:rPr>
          <w:rFonts w:ascii="宋体" w:hAnsi="宋体" w:eastAsia="宋体" w:cs="Times New Roman"/>
          <w:bCs/>
          <w:sz w:val="24"/>
          <w:szCs w:val="24"/>
        </w:rPr>
      </w:pPr>
      <w:bookmarkStart w:id="226" w:name="_Toc509443192"/>
      <w:bookmarkStart w:id="227" w:name="_Toc23306"/>
      <w:bookmarkStart w:id="228" w:name="_Toc9460"/>
      <w:r>
        <w:rPr>
          <w:rFonts w:hint="eastAsia" w:ascii="宋体" w:hAnsi="宋体" w:eastAsia="宋体" w:cs="Times New Roman"/>
          <w:bCs/>
          <w:sz w:val="24"/>
          <w:szCs w:val="24"/>
        </w:rPr>
        <w:t>2</w:t>
      </w:r>
      <w:r>
        <w:rPr>
          <w:rFonts w:ascii="宋体" w:hAnsi="宋体" w:eastAsia="宋体" w:cs="Times New Roman"/>
          <w:bCs/>
          <w:sz w:val="24"/>
          <w:szCs w:val="24"/>
        </w:rPr>
        <w:t>.8.4</w:t>
      </w:r>
      <w:r>
        <w:rPr>
          <w:rFonts w:hint="eastAsia" w:ascii="宋体" w:hAnsi="宋体" w:eastAsia="宋体" w:cs="Times New Roman"/>
          <w:bCs/>
          <w:sz w:val="24"/>
          <w:szCs w:val="24"/>
        </w:rPr>
        <w:t>采购人拒绝接受谈判开始后递交(上传)的谈判响应文件。</w:t>
      </w:r>
    </w:p>
    <w:bookmarkEnd w:id="226"/>
    <w:bookmarkEnd w:id="227"/>
    <w:bookmarkEnd w:id="228"/>
    <w:p>
      <w:pPr>
        <w:snapToGrid w:val="0"/>
        <w:spacing w:line="400" w:lineRule="exact"/>
        <w:ind w:firstLine="480" w:firstLineChars="200"/>
        <w:jc w:val="left"/>
        <w:rPr>
          <w:rFonts w:ascii="宋体" w:hAnsi="宋体" w:eastAsia="宋体" w:cs="Times New Roman"/>
          <w:bCs/>
          <w:sz w:val="24"/>
          <w:szCs w:val="24"/>
        </w:rPr>
      </w:pPr>
      <w:bookmarkStart w:id="229" w:name="_Toc1171"/>
      <w:bookmarkStart w:id="230" w:name="_Toc509443195"/>
      <w:bookmarkStart w:id="231" w:name="_Toc29876"/>
      <w:r>
        <w:rPr>
          <w:rFonts w:ascii="宋体" w:hAnsi="宋体" w:eastAsia="宋体" w:cs="Times New Roman"/>
          <w:bCs/>
          <w:sz w:val="24"/>
          <w:szCs w:val="24"/>
        </w:rPr>
        <w:t xml:space="preserve">2.9 </w:t>
      </w:r>
      <w:r>
        <w:rPr>
          <w:rFonts w:hint="eastAsia" w:ascii="宋体" w:hAnsi="宋体" w:eastAsia="宋体" w:cs="Times New Roman"/>
          <w:bCs/>
          <w:sz w:val="24"/>
          <w:szCs w:val="24"/>
        </w:rPr>
        <w:t>响应文件的签署</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2.9.</w:t>
      </w:r>
      <w:r>
        <w:rPr>
          <w:rFonts w:hint="eastAsia" w:ascii="宋体" w:hAnsi="宋体" w:eastAsia="宋体" w:cs="Times New Roman"/>
          <w:bCs/>
          <w:sz w:val="24"/>
          <w:szCs w:val="24"/>
        </w:rPr>
        <w:t>1电子响应文件必须上传电子评标系统。</w:t>
      </w:r>
    </w:p>
    <w:p>
      <w:pPr>
        <w:snapToGrid w:val="0"/>
        <w:spacing w:line="400" w:lineRule="exact"/>
        <w:ind w:firstLine="480" w:firstLineChars="200"/>
        <w:jc w:val="left"/>
        <w:rPr>
          <w:rFonts w:ascii="宋体" w:hAnsi="宋体" w:eastAsia="宋体" w:cs="Times New Roman"/>
          <w:bCs/>
          <w:sz w:val="24"/>
          <w:szCs w:val="24"/>
        </w:rPr>
      </w:pPr>
      <w:bookmarkStart w:id="232" w:name="_Toc184635074"/>
      <w:bookmarkEnd w:id="232"/>
      <w:r>
        <w:rPr>
          <w:rFonts w:ascii="宋体" w:hAnsi="宋体" w:eastAsia="宋体" w:cs="Times New Roman"/>
          <w:bCs/>
          <w:sz w:val="24"/>
          <w:szCs w:val="24"/>
        </w:rPr>
        <w:t>2.9</w:t>
      </w:r>
      <w:r>
        <w:rPr>
          <w:rFonts w:hint="eastAsia" w:ascii="宋体" w:hAnsi="宋体" w:eastAsia="宋体" w:cs="Times New Roman"/>
          <w:bCs/>
          <w:sz w:val="24"/>
          <w:szCs w:val="24"/>
        </w:rPr>
        <w:t>.2电子响应文件由响应人的法定代表人签字或盖章。</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3</w:t>
      </w:r>
      <w:r>
        <w:rPr>
          <w:rFonts w:hint="eastAsia" w:ascii="宋体" w:hAnsi="宋体" w:eastAsia="宋体" w:cs="Times New Roman"/>
          <w:bCs/>
          <w:sz w:val="24"/>
          <w:szCs w:val="24"/>
        </w:rPr>
        <w:t xml:space="preserve"> 电子响应文件的递交</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3.1.1</w:t>
      </w:r>
      <w:r>
        <w:rPr>
          <w:rFonts w:hint="eastAsia" w:ascii="宋体" w:hAnsi="宋体" w:eastAsia="宋体" w:cs="Times New Roman"/>
          <w:bCs/>
          <w:sz w:val="24"/>
          <w:szCs w:val="24"/>
        </w:rPr>
        <w:t>响应人应在规定的谈判截止时间前递交响应文件。</w:t>
      </w:r>
    </w:p>
    <w:p>
      <w:pPr>
        <w:snapToGrid w:val="0"/>
        <w:spacing w:line="400" w:lineRule="exact"/>
        <w:ind w:firstLine="480" w:firstLineChars="200"/>
        <w:jc w:val="left"/>
        <w:rPr>
          <w:rFonts w:ascii="宋体" w:hAnsi="宋体" w:eastAsia="宋体" w:cs="Times New Roman"/>
          <w:bCs/>
          <w:sz w:val="24"/>
          <w:szCs w:val="24"/>
        </w:rPr>
      </w:pPr>
      <w:bookmarkStart w:id="233" w:name="_Toc466566696"/>
      <w:bookmarkEnd w:id="233"/>
      <w:bookmarkStart w:id="234" w:name="_Toc466566785"/>
      <w:bookmarkEnd w:id="234"/>
      <w:bookmarkStart w:id="235" w:name="_Toc184635075"/>
      <w:r>
        <w:rPr>
          <w:rFonts w:ascii="宋体" w:hAnsi="宋体" w:eastAsia="宋体" w:cs="Times New Roman"/>
          <w:bCs/>
          <w:sz w:val="24"/>
          <w:szCs w:val="24"/>
        </w:rPr>
        <w:t>3.1.2</w:t>
      </w:r>
      <w:r>
        <w:rPr>
          <w:rFonts w:hint="eastAsia" w:ascii="宋体" w:hAnsi="宋体" w:eastAsia="宋体" w:cs="Times New Roman"/>
          <w:bCs/>
          <w:sz w:val="24"/>
          <w:szCs w:val="24"/>
        </w:rPr>
        <w:t>响应人递交响应文件的地点：见响应人须知前附表。</w:t>
      </w:r>
    </w:p>
    <w:bookmarkEnd w:id="235"/>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3.1.3</w:t>
      </w:r>
      <w:r>
        <w:rPr>
          <w:rFonts w:hint="eastAsia" w:ascii="宋体" w:hAnsi="宋体" w:eastAsia="宋体" w:cs="Times New Roman"/>
          <w:bCs/>
          <w:sz w:val="24"/>
          <w:szCs w:val="24"/>
        </w:rPr>
        <w:t>逾期送达的或者未送达指定地点的响应文件，采购人不予受理。</w:t>
      </w:r>
    </w:p>
    <w:bookmarkEnd w:id="229"/>
    <w:bookmarkEnd w:id="230"/>
    <w:bookmarkEnd w:id="231"/>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w:t>
      </w:r>
      <w:r>
        <w:rPr>
          <w:rFonts w:hint="eastAsia" w:ascii="宋体" w:hAnsi="宋体" w:eastAsia="宋体" w:cs="Times New Roman"/>
          <w:bCs/>
          <w:sz w:val="24"/>
          <w:szCs w:val="24"/>
        </w:rPr>
        <w:t>、谈判</w:t>
      </w:r>
    </w:p>
    <w:p>
      <w:pPr>
        <w:snapToGrid w:val="0"/>
        <w:spacing w:line="400" w:lineRule="exact"/>
        <w:ind w:firstLine="480" w:firstLineChars="200"/>
        <w:jc w:val="left"/>
        <w:rPr>
          <w:rFonts w:ascii="宋体" w:hAnsi="宋体" w:eastAsia="宋体" w:cs="Times New Roman"/>
          <w:bCs/>
          <w:sz w:val="24"/>
          <w:szCs w:val="24"/>
        </w:rPr>
      </w:pPr>
      <w:bookmarkStart w:id="236" w:name="_Toc269470330"/>
      <w:r>
        <w:rPr>
          <w:rFonts w:ascii="宋体" w:hAnsi="宋体" w:eastAsia="宋体" w:cs="Times New Roman"/>
          <w:bCs/>
          <w:sz w:val="24"/>
          <w:szCs w:val="24"/>
        </w:rPr>
        <w:t>4.1</w:t>
      </w:r>
      <w:r>
        <w:rPr>
          <w:rFonts w:hint="eastAsia" w:ascii="宋体" w:hAnsi="宋体" w:eastAsia="宋体" w:cs="Times New Roman"/>
          <w:bCs/>
          <w:sz w:val="24"/>
          <w:szCs w:val="24"/>
        </w:rPr>
        <w:t>谈判时间、地点及要求事项</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w:t>
      </w:r>
      <w:r>
        <w:rPr>
          <w:rFonts w:ascii="宋体" w:hAnsi="宋体" w:eastAsia="宋体" w:cs="Times New Roman"/>
          <w:bCs/>
          <w:sz w:val="24"/>
          <w:szCs w:val="24"/>
        </w:rPr>
        <w:t>.1.1</w:t>
      </w:r>
      <w:r>
        <w:rPr>
          <w:rFonts w:hint="eastAsia" w:ascii="宋体" w:hAnsi="宋体" w:eastAsia="宋体" w:cs="Times New Roman"/>
          <w:bCs/>
          <w:sz w:val="24"/>
          <w:szCs w:val="24"/>
        </w:rPr>
        <w:t>响应人按照本章响应人须知前附表规定的谈判截止时间和地点谈判。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w:t>
      </w:r>
      <w:r>
        <w:rPr>
          <w:rFonts w:ascii="宋体" w:hAnsi="宋体" w:eastAsia="宋体" w:cs="Times New Roman"/>
          <w:bCs/>
          <w:sz w:val="24"/>
          <w:szCs w:val="24"/>
        </w:rPr>
        <w:t>.1.2</w:t>
      </w:r>
      <w:r>
        <w:rPr>
          <w:rFonts w:hint="eastAsia" w:ascii="宋体" w:hAnsi="宋体" w:eastAsia="宋体" w:cs="Times New Roman"/>
          <w:bCs/>
          <w:sz w:val="24"/>
          <w:szCs w:val="24"/>
        </w:rPr>
        <w:t>响应人按照本章响应人须知前附表规定的谈判截止时间和地点进行谈判会议，各响应人通过网络登录交易中心平台进入项目开标大厅远程在线参加开标会议。逾期未解密者视为自动弃标。</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w:t>
      </w:r>
      <w:r>
        <w:rPr>
          <w:rFonts w:hint="eastAsia" w:ascii="宋体" w:hAnsi="宋体" w:eastAsia="宋体" w:cs="Times New Roman"/>
          <w:bCs/>
          <w:sz w:val="24"/>
          <w:szCs w:val="24"/>
        </w:rPr>
        <w:t>.2谈判程序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4.2.1采购人按须知前附表规定的时间和地点谈判；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w:t>
      </w:r>
      <w:r>
        <w:rPr>
          <w:rFonts w:ascii="宋体" w:hAnsi="宋体" w:eastAsia="宋体" w:cs="Times New Roman"/>
          <w:bCs/>
          <w:sz w:val="24"/>
          <w:szCs w:val="24"/>
        </w:rPr>
        <w:t>.2.2</w:t>
      </w:r>
      <w:r>
        <w:rPr>
          <w:rFonts w:hint="eastAsia" w:ascii="宋体" w:hAnsi="宋体" w:eastAsia="宋体" w:cs="Times New Roman"/>
          <w:bCs/>
          <w:sz w:val="24"/>
          <w:szCs w:val="24"/>
        </w:rPr>
        <w:t>电子化项目开标、解密、评标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本项目采用电子化、无纸化进行谈判，开标当日，响应人无需到开标现场参加开标会议，响应人应当在谈判截止时间前，登陆不见面开标大厅选择登陆三门峡市公共资源电子招投标系统进行登陆（网址为http://120.194.249.36:10094/BidOpening/bidopeninghallaction/hall/login）,在线准时参加开标活动并进行响应文件解密等。</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（3）电子化响应文件解密异常的处理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如出现响应人的电子响应文件无法解密等异常情况，响应人应及时致电中介服务机构说明。响应文件异常，按以下步骤进行处理：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1）首先由技术人员进行问题排查。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2）经技术人员排查后，是响应人文件自身问题导致响应文件无法解密的，该响应文件将不予接收、解密。开标会议继续进行。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4）待所有响应人响应文件解密完成后，由中介服务机构操作，对所有已解密响应文件进行解密。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响应人应保证在谈判期间电话、电脑、网络能够正常工作，响应人因停电、电脑病毒、网络堵塞等原因，未在规定的解密时间内对响应文件进行解密的，其响应文件不予接收。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谈判时响应人可登录到交易系统中在开标解密栏中点击报价一览表查看自己的谈判报价。如对谈判过程有异议的，应在响应人解密成功后10分钟内向中介服务机构电话质疑。中介服务机构应在监督人员的监督下进行免提通话接受响应人的质疑并做好书面记录。响应人未在规定时间内提出质疑的，视为认可谈判过程。</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评标时，谈判小组对电子化响应文件有质疑的，将通过电子化交易系统对响应人发起质疑，并在监督人员的监督下，用免提模式致电需要答复的响应人对质疑进行回复。响应人的回复文件必须以经过响应人和其法定代表人签字或盖章的PDF格式文件为准，并通过电子化交易系统提交至谈判小组。</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7）如谈判小组对需要回复的响应人连续三次致电未接通的，视为响应人放弃回复，谈判小组将自行对需要回复的内容进行认定。</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4.3</w:t>
      </w:r>
      <w:r>
        <w:rPr>
          <w:rFonts w:hint="eastAsia" w:ascii="宋体" w:hAnsi="宋体" w:eastAsia="宋体" w:cs="Times New Roman"/>
          <w:bCs/>
          <w:sz w:val="24"/>
          <w:szCs w:val="24"/>
        </w:rPr>
        <w:t>具体评审方法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w:t>
      </w:r>
      <w:r>
        <w:rPr>
          <w:rFonts w:ascii="宋体" w:hAnsi="宋体" w:eastAsia="宋体" w:cs="Times New Roman"/>
          <w:bCs/>
          <w:sz w:val="24"/>
          <w:szCs w:val="24"/>
        </w:rPr>
        <w:t>.3.1</w:t>
      </w:r>
      <w:r>
        <w:rPr>
          <w:rFonts w:hint="eastAsia" w:ascii="宋体" w:hAnsi="宋体" w:eastAsia="宋体" w:cs="Times New Roman"/>
          <w:bCs/>
          <w:sz w:val="24"/>
          <w:szCs w:val="24"/>
        </w:rPr>
        <w:t>谈判小组首先对各响应人的响应性文件进行初步审查，任意一项未通过则视为其初步审查未能通过，其响应文件无效。初步评审包含符合性审查、资格审查和实质性审查；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w:t>
      </w:r>
      <w:r>
        <w:rPr>
          <w:rFonts w:ascii="宋体" w:hAnsi="宋体" w:eastAsia="宋体" w:cs="Times New Roman"/>
          <w:bCs/>
          <w:sz w:val="24"/>
          <w:szCs w:val="24"/>
        </w:rPr>
        <w:t>.3.2</w:t>
      </w:r>
      <w:r>
        <w:rPr>
          <w:rFonts w:hint="eastAsia" w:ascii="宋体" w:hAnsi="宋体" w:eastAsia="宋体" w:cs="Times New Roman"/>
          <w:bCs/>
          <w:sz w:val="24"/>
          <w:szCs w:val="24"/>
        </w:rPr>
        <w:t>审查内容见下表</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tbl>
      <w:tblPr>
        <w:tblStyle w:val="1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92"/>
        <w:gridCol w:w="1797"/>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条款号</w:t>
            </w: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评审因素</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68" w:type="dxa"/>
            <w:vMerge w:val="restart"/>
            <w:tcBorders>
              <w:top w:val="nil"/>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w:t>
            </w:r>
          </w:p>
        </w:tc>
        <w:tc>
          <w:tcPr>
            <w:tcW w:w="992" w:type="dxa"/>
            <w:vMerge w:val="restart"/>
            <w:tcBorders>
              <w:top w:val="nil"/>
              <w:left w:val="nil"/>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符合性评审标准</w:t>
            </w: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响应人名称</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vMerge w:val="continue"/>
            <w:tcBorders>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签字盖章</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有法定代表人或其委托代理人签字或盖章并加盖单位公章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vMerge w:val="continue"/>
            <w:tcBorders>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报价唯一</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vMerge w:val="restart"/>
            <w:tcBorders>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w:t>
            </w:r>
          </w:p>
        </w:tc>
        <w:tc>
          <w:tcPr>
            <w:tcW w:w="992" w:type="dxa"/>
            <w:vMerge w:val="restart"/>
            <w:tcBorders>
              <w:left w:val="nil"/>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资格评审标准</w:t>
            </w: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营业执照</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供应商须具备独立的法人资格，具有有效的营业执照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568" w:type="dxa"/>
            <w:vMerge w:val="continue"/>
            <w:tcBorders>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资质</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国家建设部门核发的建筑工程施工总承包叁级及以上资质或</w:t>
            </w:r>
            <w:r>
              <w:rPr>
                <w:rFonts w:ascii="宋体" w:hAnsi="宋体" w:eastAsia="宋体" w:cs="Times New Roman"/>
                <w:bCs/>
                <w:sz w:val="24"/>
                <w:szCs w:val="24"/>
              </w:rPr>
              <w:t>建筑装修装饰工程专业承包</w:t>
            </w:r>
            <w:r>
              <w:rPr>
                <w:rFonts w:hint="eastAsia" w:ascii="宋体" w:hAnsi="宋体" w:eastAsia="宋体" w:cs="Times New Roman"/>
                <w:bCs/>
                <w:sz w:val="24"/>
                <w:szCs w:val="24"/>
              </w:rPr>
              <w:t>二级及以上资质，并具有有效的安全生产许可证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68" w:type="dxa"/>
            <w:vMerge w:val="continue"/>
            <w:tcBorders>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项目经理</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拟派项目经理具有建筑工程专业贰级及以上注册建造师资格，具有有效的安全生产考核合格证，项目经理未在其他在建工程项目中担任项目经理，并提供无在建项目承诺书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68" w:type="dxa"/>
            <w:vMerge w:val="continue"/>
            <w:tcBorders>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无商业贿赂和不正当竞争行为承诺</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供应商须自行承诺本企业无商业贿赂和不正当竞争行为（提供承诺书）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68" w:type="dxa"/>
            <w:vMerge w:val="continue"/>
            <w:tcBorders>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信用查询</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“中国执行信息公开网”网(http://zxgk.court.gov.cn/shixin）“信用中国”网站（www.creditchina.gov.cn）、中国政府采购网（www.ccgp.gov.cn）；提供网站的查询信息截图（查询时间自公告发布之日起）；</w:t>
            </w:r>
            <w:r>
              <w:rPr>
                <w:rFonts w:ascii="宋体" w:hAnsi="宋体" w:eastAsia="宋体" w:cs="Times New Roman"/>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68" w:type="dxa"/>
            <w:vMerge w:val="continue"/>
            <w:tcBorders>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控股关系</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单位负责人为同一人或者存在直接控股、管理关系的不同供应商，不得同时参加同一项目的采购活动（提供供应商在“国家企业信用信息公示系统”中公示的公司信息、股东或投资人信息）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68" w:type="dxa"/>
            <w:vMerge w:val="restart"/>
            <w:tcBorders>
              <w:top w:val="nil"/>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w:t>
            </w:r>
          </w:p>
        </w:tc>
        <w:tc>
          <w:tcPr>
            <w:tcW w:w="992" w:type="dxa"/>
            <w:vMerge w:val="restart"/>
            <w:tcBorders>
              <w:top w:val="nil"/>
              <w:left w:val="nil"/>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实质性评审</w:t>
            </w: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工期</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68" w:type="dxa"/>
            <w:vMerge w:val="continue"/>
            <w:tcBorders>
              <w:left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质量</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68" w:type="dxa"/>
            <w:vMerge w:val="continue"/>
            <w:tcBorders>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谈判有效期</w:t>
            </w:r>
          </w:p>
        </w:tc>
        <w:tc>
          <w:tcPr>
            <w:tcW w:w="5966"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60日历天（从响应文件递交截止之日算起）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68" w:type="dxa"/>
            <w:vMerge w:val="continue"/>
            <w:tcBorders>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992" w:type="dxa"/>
            <w:vMerge w:val="continue"/>
            <w:tcBorders>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97" w:type="dxa"/>
            <w:tcBorders>
              <w:top w:val="single" w:color="auto" w:sz="4" w:space="0"/>
              <w:left w:val="nil"/>
              <w:bottom w:val="single" w:color="auto" w:sz="4" w:space="0"/>
              <w:right w:val="single" w:color="auto" w:sz="4" w:space="0"/>
            </w:tcBorders>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报价唯一</w:t>
            </w:r>
          </w:p>
        </w:tc>
        <w:tc>
          <w:tcPr>
            <w:tcW w:w="5966"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只能有一个有效报价，且未超过招标控制价</w:t>
            </w:r>
          </w:p>
        </w:tc>
      </w:tr>
    </w:tbl>
    <w:p>
      <w:pPr>
        <w:snapToGrid w:val="0"/>
        <w:spacing w:line="400" w:lineRule="exact"/>
        <w:ind w:firstLine="480" w:firstLineChars="200"/>
        <w:jc w:val="left"/>
        <w:rPr>
          <w:rFonts w:ascii="宋体" w:hAnsi="宋体" w:eastAsia="宋体" w:cs="Times New Roman"/>
          <w:bCs/>
          <w:sz w:val="24"/>
          <w:szCs w:val="24"/>
        </w:rPr>
      </w:pPr>
      <w:bookmarkStart w:id="237" w:name="_Toc505073920"/>
      <w:bookmarkEnd w:id="237"/>
      <w:bookmarkStart w:id="238" w:name="_Toc504055139"/>
      <w:bookmarkEnd w:id="238"/>
      <w:bookmarkStart w:id="239" w:name="_Toc21121"/>
      <w:bookmarkEnd w:id="239"/>
      <w:bookmarkStart w:id="240" w:name="_Toc509443198"/>
      <w:bookmarkEnd w:id="240"/>
      <w:bookmarkStart w:id="241" w:name="_Toc13071"/>
      <w:bookmarkEnd w:id="241"/>
      <w:bookmarkStart w:id="242" w:name="_Toc26189"/>
      <w:bookmarkEnd w:id="242"/>
      <w:r>
        <w:rPr>
          <w:rFonts w:hint="eastAsia" w:ascii="宋体" w:hAnsi="宋体" w:eastAsia="宋体" w:cs="Times New Roman"/>
          <w:bCs/>
          <w:sz w:val="24"/>
          <w:szCs w:val="24"/>
        </w:rPr>
        <w:t>4.4详细谈判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4.4.1谈判小组分别与通过初步审核的响应人集中与单一响应人分别进行谈判。谈判顺序为签到逆顺序，在谈判中，谈判双方可以就谈判项目所涉及的价格、技术、服务等进行实质性谈判，但谈判的任何一方不得透露与谈判有关的其他响应人的技术资料、价格和其他信息，不得变动谈判文件中的其他内容。</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4.4.2</w:t>
      </w:r>
      <w:r>
        <w:rPr>
          <w:rFonts w:hint="eastAsia" w:ascii="宋体" w:hAnsi="宋体" w:eastAsia="宋体" w:cs="Times New Roman"/>
          <w:bCs/>
          <w:sz w:val="24"/>
          <w:szCs w:val="24"/>
        </w:rPr>
        <w:t>谈判小组将允许响应人修改其谈判响应文件中不构成重大偏离的微小的、非正规的、不一致的或不规则的地方，但这些修改不能影响任何响应人的名次相应排列。为有助于对谈判响应文件的审查、评价和比较，谈判小组可分别要求响应人对谈判响应文件中含义不清的内容进行澄清。有关澄清的要求和答复均须以书面形式，但谈判的实质性内容不得更改。</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4.4.3若谈判内容有实质性变动的，谈判小组应当以书面形式通知所有参加谈判的响应人。</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4.4.4</w:t>
      </w:r>
      <w:r>
        <w:rPr>
          <w:rFonts w:hint="eastAsia" w:ascii="宋体" w:hAnsi="宋体" w:eastAsia="宋体" w:cs="Times New Roman"/>
          <w:bCs/>
          <w:sz w:val="24"/>
          <w:szCs w:val="24"/>
        </w:rPr>
        <w:t>所有响应人谈判结束后，谈判小组将要求所有符合招标需求的响应人在规定的时间内同时进行报价（二次报价），即最终报价。【注：1、最终报价不得超出采购人招标控制价；2、最终报价明显低于成本价的，响应人需做出合理说明，否则将承担不被接受的风险】。</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4.4.5</w:t>
      </w:r>
      <w:r>
        <w:rPr>
          <w:rFonts w:hint="eastAsia" w:ascii="宋体" w:hAnsi="宋体" w:eastAsia="宋体" w:cs="Times New Roman"/>
          <w:bCs/>
          <w:sz w:val="24"/>
          <w:szCs w:val="24"/>
        </w:rPr>
        <w:t>谈判小组按照“符合采购人需求，质量和服务相等，报价最低”的原则，将按最终报价由低到高的顺序推荐3名中标候选人，由谈判小组在谈判记录上签字。</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4.4.6原则上进行二轮报价，如遇特殊情况，根据谈判现场情况经谈判小组讨论研究，可进行多轮报价。</w:t>
      </w:r>
    </w:p>
    <w:p>
      <w:pPr>
        <w:snapToGrid w:val="0"/>
        <w:spacing w:line="400" w:lineRule="exact"/>
        <w:ind w:firstLine="480" w:firstLineChars="200"/>
        <w:jc w:val="left"/>
        <w:rPr>
          <w:rFonts w:ascii="宋体" w:hAnsi="宋体" w:eastAsia="宋体" w:cs="Times New Roman"/>
          <w:bCs/>
          <w:sz w:val="24"/>
          <w:szCs w:val="24"/>
        </w:rPr>
      </w:pPr>
      <w:bookmarkStart w:id="243" w:name="_Toc428276599"/>
      <w:bookmarkStart w:id="244" w:name="_Toc503885621"/>
      <w:bookmarkStart w:id="245" w:name="_Toc27202"/>
      <w:bookmarkStart w:id="246" w:name="_Toc503886957"/>
      <w:bookmarkStart w:id="247" w:name="_Toc509443199"/>
      <w:bookmarkStart w:id="248" w:name="_Toc31352"/>
      <w:bookmarkStart w:id="249" w:name="_Toc504055140"/>
      <w:bookmarkStart w:id="250" w:name="_Toc422126473"/>
      <w:bookmarkStart w:id="251" w:name="_Toc505073921"/>
      <w:bookmarkStart w:id="252" w:name="_Toc503112364"/>
      <w:bookmarkStart w:id="253" w:name="_Toc32263"/>
      <w:r>
        <w:rPr>
          <w:rFonts w:ascii="宋体" w:hAnsi="宋体" w:eastAsia="宋体" w:cs="Times New Roman"/>
          <w:bCs/>
          <w:sz w:val="24"/>
          <w:szCs w:val="24"/>
        </w:rPr>
        <w:t>4.4.7</w:t>
      </w:r>
      <w:r>
        <w:rPr>
          <w:rFonts w:hint="eastAsia" w:ascii="宋体" w:hAnsi="宋体" w:eastAsia="宋体" w:cs="Times New Roman"/>
          <w:bCs/>
          <w:sz w:val="24"/>
          <w:szCs w:val="24"/>
        </w:rPr>
        <w:t>谈判结束后，采购人从谈判小组提出的中标候选人中根据中标原则确定中标响应单位，并将结果通知未中标响应单位。</w:t>
      </w:r>
    </w:p>
    <w:bookmarkEnd w:id="243"/>
    <w:bookmarkEnd w:id="244"/>
    <w:bookmarkEnd w:id="245"/>
    <w:bookmarkEnd w:id="246"/>
    <w:bookmarkEnd w:id="247"/>
    <w:bookmarkEnd w:id="248"/>
    <w:bookmarkEnd w:id="249"/>
    <w:bookmarkEnd w:id="250"/>
    <w:bookmarkEnd w:id="251"/>
    <w:bookmarkEnd w:id="252"/>
    <w:bookmarkEnd w:id="253"/>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4.5</w:t>
      </w:r>
      <w:r>
        <w:rPr>
          <w:rFonts w:hint="eastAsia" w:ascii="宋体" w:hAnsi="宋体" w:eastAsia="宋体" w:cs="Times New Roman"/>
          <w:bCs/>
          <w:sz w:val="24"/>
          <w:szCs w:val="24"/>
        </w:rPr>
        <w:t>谈判过程的保密性</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4.5.1</w:t>
      </w:r>
      <w:r>
        <w:rPr>
          <w:rFonts w:hint="eastAsia" w:ascii="宋体" w:hAnsi="宋体" w:eastAsia="宋体" w:cs="Times New Roman"/>
          <w:bCs/>
          <w:sz w:val="24"/>
          <w:szCs w:val="24"/>
        </w:rPr>
        <w:t>谈判期间，直到授予中标人合同止，凡是与谈判响应文件审查、澄清、评价、比较以及推荐中标人等方面的情况，均不得向响应人或其他无关的人员透露。</w:t>
      </w:r>
    </w:p>
    <w:p>
      <w:pPr>
        <w:snapToGrid w:val="0"/>
        <w:spacing w:line="400" w:lineRule="exact"/>
        <w:ind w:firstLine="480" w:firstLineChars="200"/>
        <w:jc w:val="left"/>
        <w:rPr>
          <w:rFonts w:ascii="宋体" w:hAnsi="宋体" w:eastAsia="宋体" w:cs="Times New Roman"/>
          <w:bCs/>
          <w:sz w:val="24"/>
          <w:szCs w:val="24"/>
        </w:rPr>
      </w:pPr>
      <w:bookmarkStart w:id="254" w:name="_Toc31422"/>
      <w:bookmarkStart w:id="255" w:name="_Toc503886958"/>
      <w:bookmarkStart w:id="256" w:name="_Toc509443200"/>
      <w:bookmarkStart w:id="257" w:name="_Toc505073922"/>
      <w:bookmarkStart w:id="258" w:name="_Toc428276600"/>
      <w:bookmarkStart w:id="259" w:name="_Toc503112365"/>
      <w:bookmarkStart w:id="260" w:name="_Toc503885622"/>
      <w:bookmarkStart w:id="261" w:name="_Toc24453"/>
      <w:bookmarkStart w:id="262" w:name="_Toc24040"/>
      <w:bookmarkStart w:id="263" w:name="_Toc504055141"/>
      <w:r>
        <w:rPr>
          <w:rFonts w:ascii="宋体" w:hAnsi="宋体" w:eastAsia="宋体" w:cs="Times New Roman"/>
          <w:bCs/>
          <w:sz w:val="24"/>
          <w:szCs w:val="24"/>
        </w:rPr>
        <w:t>4.5.2</w:t>
      </w:r>
      <w:r>
        <w:rPr>
          <w:rFonts w:hint="eastAsia" w:ascii="宋体" w:hAnsi="宋体" w:eastAsia="宋体" w:cs="Times New Roman"/>
          <w:bCs/>
          <w:sz w:val="24"/>
          <w:szCs w:val="24"/>
        </w:rPr>
        <w:t>在谈判过程中，响应人如向谈判小组成员施加任何影响，都将会导致其谈判被拒绝，政府招标监管部门将记录其不良行为。</w:t>
      </w:r>
    </w:p>
    <w:bookmarkEnd w:id="254"/>
    <w:bookmarkEnd w:id="255"/>
    <w:bookmarkEnd w:id="256"/>
    <w:bookmarkEnd w:id="257"/>
    <w:bookmarkEnd w:id="258"/>
    <w:bookmarkEnd w:id="259"/>
    <w:bookmarkEnd w:id="260"/>
    <w:bookmarkEnd w:id="261"/>
    <w:bookmarkEnd w:id="262"/>
    <w:bookmarkEnd w:id="263"/>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4.6</w:t>
      </w:r>
      <w:r>
        <w:rPr>
          <w:rFonts w:hint="eastAsia" w:ascii="宋体" w:hAnsi="宋体" w:eastAsia="宋体" w:cs="Times New Roman"/>
          <w:bCs/>
          <w:sz w:val="24"/>
          <w:szCs w:val="24"/>
        </w:rPr>
        <w:t>评定标准</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4.6.1</w:t>
      </w:r>
      <w:r>
        <w:rPr>
          <w:rFonts w:hint="eastAsia" w:ascii="宋体" w:hAnsi="宋体" w:eastAsia="宋体" w:cs="Times New Roman"/>
          <w:bCs/>
          <w:sz w:val="24"/>
          <w:szCs w:val="24"/>
        </w:rPr>
        <w:t>采购人严格按照谈判文件的要求和条件，从谈判小组提出的中标候选人中根据符合招标需求、质量和服务相等且报价最低的原则确定中标响应单位。</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4.6.2</w:t>
      </w:r>
      <w:r>
        <w:rPr>
          <w:rFonts w:hint="eastAsia" w:ascii="宋体" w:hAnsi="宋体" w:eastAsia="宋体" w:cs="Times New Roman"/>
          <w:bCs/>
          <w:sz w:val="24"/>
          <w:szCs w:val="24"/>
        </w:rPr>
        <w:t>在质量、服务不相等情况下不以价格作为中标之唯一条件。</w:t>
      </w:r>
    </w:p>
    <w:p>
      <w:pPr>
        <w:snapToGrid w:val="0"/>
        <w:spacing w:line="400" w:lineRule="exact"/>
        <w:ind w:firstLine="480" w:firstLineChars="200"/>
        <w:jc w:val="left"/>
        <w:rPr>
          <w:rFonts w:ascii="宋体" w:hAnsi="宋体" w:eastAsia="宋体" w:cs="Times New Roman"/>
          <w:bCs/>
          <w:sz w:val="24"/>
          <w:szCs w:val="24"/>
        </w:rPr>
      </w:pPr>
      <w:bookmarkStart w:id="264" w:name="_Toc25115"/>
      <w:bookmarkEnd w:id="264"/>
      <w:bookmarkStart w:id="265" w:name="_Toc422126474"/>
      <w:bookmarkEnd w:id="265"/>
      <w:bookmarkStart w:id="266" w:name="_Toc509443201"/>
      <w:bookmarkEnd w:id="266"/>
      <w:bookmarkStart w:id="267" w:name="_Toc503112366"/>
      <w:bookmarkEnd w:id="267"/>
      <w:bookmarkStart w:id="268" w:name="_Toc504055142"/>
      <w:bookmarkEnd w:id="268"/>
      <w:bookmarkStart w:id="269" w:name="_Toc505073923"/>
      <w:bookmarkEnd w:id="269"/>
      <w:bookmarkStart w:id="270" w:name="_Toc503885623"/>
      <w:bookmarkEnd w:id="270"/>
      <w:bookmarkStart w:id="271" w:name="_Toc11221"/>
      <w:bookmarkEnd w:id="271"/>
      <w:bookmarkStart w:id="272" w:name="_Toc428276601"/>
      <w:bookmarkEnd w:id="272"/>
      <w:bookmarkStart w:id="273" w:name="_Toc503886959"/>
      <w:bookmarkEnd w:id="273"/>
      <w:bookmarkStart w:id="274" w:name="_Toc24779"/>
      <w:bookmarkEnd w:id="274"/>
      <w:r>
        <w:rPr>
          <w:rFonts w:hint="eastAsia" w:ascii="宋体" w:hAnsi="宋体" w:eastAsia="宋体" w:cs="Times New Roman"/>
          <w:bCs/>
          <w:sz w:val="24"/>
          <w:szCs w:val="24"/>
        </w:rPr>
        <w:t>4.7谈判结果公示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4.7.1招标代理机构应当在谈判结束后2个工作日内将谈判工作报告送采购人。采购人应当在收到谈判工作报告后5个工作日内，按照谈判工作报告中推荐的中标候选人顺序确定中标人。</w:t>
      </w:r>
    </w:p>
    <w:p>
      <w:pPr>
        <w:snapToGrid w:val="0"/>
        <w:spacing w:line="400" w:lineRule="exact"/>
        <w:ind w:firstLine="480" w:firstLineChars="200"/>
        <w:jc w:val="left"/>
        <w:rPr>
          <w:rFonts w:ascii="宋体" w:hAnsi="宋体" w:eastAsia="宋体" w:cs="Times New Roman"/>
          <w:bCs/>
          <w:sz w:val="24"/>
          <w:szCs w:val="24"/>
        </w:rPr>
      </w:pPr>
      <w:bookmarkStart w:id="275" w:name="_Toc25206"/>
      <w:bookmarkStart w:id="276" w:name="_Toc509443202"/>
      <w:bookmarkStart w:id="277" w:name="_Toc270604607"/>
      <w:bookmarkStart w:id="278" w:name="_Toc10644"/>
      <w:r>
        <w:rPr>
          <w:rFonts w:hint="eastAsia" w:ascii="宋体" w:hAnsi="宋体" w:eastAsia="宋体" w:cs="Times New Roman"/>
          <w:bCs/>
          <w:sz w:val="24"/>
          <w:szCs w:val="24"/>
        </w:rPr>
        <w:t>4.7.2采购人在按规定确定中标人</w:t>
      </w:r>
      <w:r>
        <w:rPr>
          <w:rFonts w:ascii="宋体" w:hAnsi="宋体" w:eastAsia="宋体" w:cs="Times New Roman"/>
          <w:bCs/>
          <w:sz w:val="24"/>
          <w:szCs w:val="24"/>
        </w:rPr>
        <w:t>之日起</w:t>
      </w:r>
      <w:r>
        <w:rPr>
          <w:rFonts w:hint="eastAsia" w:ascii="宋体" w:hAnsi="宋体" w:eastAsia="宋体" w:cs="Times New Roman"/>
          <w:bCs/>
          <w:sz w:val="24"/>
          <w:szCs w:val="24"/>
        </w:rPr>
        <w:t>1</w:t>
      </w:r>
      <w:r>
        <w:rPr>
          <w:rFonts w:ascii="宋体" w:hAnsi="宋体" w:eastAsia="宋体" w:cs="Times New Roman"/>
          <w:bCs/>
          <w:sz w:val="24"/>
          <w:szCs w:val="24"/>
        </w:rPr>
        <w:t>天内</w:t>
      </w:r>
      <w:r>
        <w:rPr>
          <w:rFonts w:hint="eastAsia" w:ascii="宋体" w:hAnsi="宋体" w:eastAsia="宋体" w:cs="Times New Roman"/>
          <w:bCs/>
          <w:sz w:val="24"/>
          <w:szCs w:val="24"/>
        </w:rPr>
        <w:t>，</w:t>
      </w:r>
      <w:r>
        <w:rPr>
          <w:rFonts w:ascii="宋体" w:hAnsi="宋体" w:eastAsia="宋体" w:cs="Times New Roman"/>
          <w:bCs/>
          <w:sz w:val="24"/>
          <w:szCs w:val="24"/>
        </w:rPr>
        <w:t>将</w:t>
      </w:r>
      <w:r>
        <w:rPr>
          <w:rFonts w:hint="eastAsia" w:ascii="宋体" w:hAnsi="宋体" w:eastAsia="宋体" w:cs="Times New Roman"/>
          <w:bCs/>
          <w:sz w:val="24"/>
          <w:szCs w:val="24"/>
        </w:rPr>
        <w:t>中标结果的情况在本招标项目谈判公告发布的同一媒介予以公告，公告期不少于1个工作日</w:t>
      </w:r>
      <w:r>
        <w:rPr>
          <w:rFonts w:ascii="宋体" w:hAnsi="宋体" w:eastAsia="宋体" w:cs="Times New Roman"/>
          <w:bCs/>
          <w:sz w:val="24"/>
          <w:szCs w:val="24"/>
        </w:rPr>
        <w:t>。</w:t>
      </w:r>
      <w:r>
        <w:rPr>
          <w:rFonts w:hint="eastAsia" w:ascii="宋体" w:hAnsi="宋体" w:eastAsia="宋体" w:cs="Times New Roman"/>
          <w:bCs/>
          <w:sz w:val="24"/>
          <w:szCs w:val="24"/>
        </w:rPr>
        <w:t>公告</w:t>
      </w:r>
      <w:r>
        <w:rPr>
          <w:rFonts w:ascii="宋体" w:hAnsi="宋体" w:eastAsia="宋体" w:cs="Times New Roman"/>
          <w:bCs/>
          <w:sz w:val="24"/>
          <w:szCs w:val="24"/>
        </w:rPr>
        <w:t>期内，有关行政监督部门接到投诉的，可视具体情况书面通知</w:t>
      </w:r>
      <w:r>
        <w:rPr>
          <w:rFonts w:hint="eastAsia" w:ascii="宋体" w:hAnsi="宋体" w:eastAsia="宋体" w:cs="Times New Roman"/>
          <w:bCs/>
          <w:sz w:val="24"/>
          <w:szCs w:val="24"/>
        </w:rPr>
        <w:t>采购人</w:t>
      </w:r>
      <w:r>
        <w:rPr>
          <w:rFonts w:ascii="宋体" w:hAnsi="宋体" w:eastAsia="宋体" w:cs="Times New Roman"/>
          <w:bCs/>
          <w:sz w:val="24"/>
          <w:szCs w:val="24"/>
        </w:rPr>
        <w:t>暂停发出中标通知书。</w:t>
      </w:r>
    </w:p>
    <w:bookmarkEnd w:id="236"/>
    <w:bookmarkEnd w:id="275"/>
    <w:bookmarkEnd w:id="276"/>
    <w:bookmarkEnd w:id="277"/>
    <w:bookmarkEnd w:id="278"/>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w:t>
      </w:r>
      <w:r>
        <w:rPr>
          <w:rFonts w:ascii="宋体" w:hAnsi="宋体" w:eastAsia="宋体" w:cs="Times New Roman"/>
          <w:bCs/>
          <w:sz w:val="24"/>
          <w:szCs w:val="24"/>
        </w:rPr>
        <w:t>、</w:t>
      </w:r>
      <w:r>
        <w:rPr>
          <w:rFonts w:hint="eastAsia" w:ascii="宋体" w:hAnsi="宋体" w:eastAsia="宋体" w:cs="Times New Roman"/>
          <w:bCs/>
          <w:sz w:val="24"/>
          <w:szCs w:val="24"/>
        </w:rPr>
        <w:t>合同授予</w:t>
      </w:r>
    </w:p>
    <w:p>
      <w:pPr>
        <w:snapToGrid w:val="0"/>
        <w:spacing w:line="400" w:lineRule="exact"/>
        <w:ind w:firstLine="480" w:firstLineChars="200"/>
        <w:jc w:val="left"/>
        <w:rPr>
          <w:rFonts w:ascii="宋体" w:hAnsi="宋体" w:eastAsia="宋体" w:cs="Times New Roman"/>
          <w:bCs/>
          <w:sz w:val="24"/>
          <w:szCs w:val="24"/>
        </w:rPr>
      </w:pPr>
      <w:bookmarkStart w:id="279" w:name="_Toc503886961"/>
      <w:bookmarkEnd w:id="279"/>
      <w:bookmarkStart w:id="280" w:name="_Toc269470332"/>
      <w:bookmarkEnd w:id="280"/>
      <w:bookmarkStart w:id="281" w:name="_Toc503885625"/>
      <w:bookmarkEnd w:id="281"/>
      <w:bookmarkStart w:id="282" w:name="_Toc13247"/>
      <w:bookmarkEnd w:id="282"/>
      <w:bookmarkStart w:id="283" w:name="_Toc509443203"/>
      <w:bookmarkEnd w:id="283"/>
      <w:bookmarkStart w:id="284" w:name="_Toc10550"/>
      <w:bookmarkEnd w:id="284"/>
      <w:bookmarkStart w:id="285" w:name="_Toc505073925"/>
      <w:bookmarkEnd w:id="285"/>
      <w:bookmarkStart w:id="286" w:name="_Toc428276603"/>
      <w:bookmarkEnd w:id="286"/>
      <w:bookmarkStart w:id="287" w:name="_Toc18608"/>
      <w:bookmarkEnd w:id="287"/>
      <w:bookmarkStart w:id="288" w:name="_Toc503112368"/>
      <w:bookmarkEnd w:id="288"/>
      <w:bookmarkStart w:id="289" w:name="_Toc270604608"/>
      <w:bookmarkEnd w:id="289"/>
      <w:bookmarkStart w:id="290" w:name="_Toc270604835"/>
      <w:bookmarkEnd w:id="290"/>
      <w:bookmarkStart w:id="291" w:name="_Toc504055144"/>
      <w:bookmarkEnd w:id="291"/>
      <w:bookmarkStart w:id="292" w:name="_Toc277149396"/>
      <w:bookmarkEnd w:id="292"/>
      <w:r>
        <w:rPr>
          <w:rFonts w:hint="eastAsia" w:ascii="宋体" w:hAnsi="宋体" w:eastAsia="宋体" w:cs="Times New Roman"/>
          <w:bCs/>
          <w:sz w:val="24"/>
          <w:szCs w:val="24"/>
        </w:rPr>
        <w:t>5.1中标通知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在本章规定的谈判有效期内，采购人以书面形式向中标人发出成交通知书，同时将成交结果通知未中标的响应单位。 </w:t>
      </w:r>
    </w:p>
    <w:p>
      <w:pPr>
        <w:snapToGrid w:val="0"/>
        <w:spacing w:line="400" w:lineRule="exact"/>
        <w:ind w:firstLine="480" w:firstLineChars="200"/>
        <w:jc w:val="left"/>
        <w:rPr>
          <w:rFonts w:ascii="宋体" w:hAnsi="宋体" w:eastAsia="宋体" w:cs="Times New Roman"/>
          <w:bCs/>
          <w:sz w:val="24"/>
          <w:szCs w:val="24"/>
        </w:rPr>
      </w:pPr>
      <w:bookmarkStart w:id="293" w:name="_Toc270604836"/>
      <w:bookmarkEnd w:id="293"/>
      <w:bookmarkStart w:id="294" w:name="_Toc505073926"/>
      <w:bookmarkEnd w:id="294"/>
      <w:bookmarkStart w:id="295" w:name="_Toc269470334"/>
      <w:bookmarkEnd w:id="295"/>
      <w:bookmarkStart w:id="296" w:name="_Toc277149397"/>
      <w:bookmarkEnd w:id="296"/>
      <w:bookmarkStart w:id="297" w:name="_Toc503885626"/>
      <w:bookmarkEnd w:id="297"/>
      <w:bookmarkStart w:id="298" w:name="_Toc504055145"/>
      <w:bookmarkEnd w:id="298"/>
      <w:bookmarkStart w:id="299" w:name="_Toc10150"/>
      <w:bookmarkEnd w:id="299"/>
      <w:bookmarkStart w:id="300" w:name="_Toc428276604"/>
      <w:bookmarkEnd w:id="300"/>
      <w:bookmarkStart w:id="301" w:name="_Toc503112369"/>
      <w:bookmarkEnd w:id="301"/>
      <w:bookmarkStart w:id="302" w:name="_Toc29022"/>
      <w:bookmarkEnd w:id="302"/>
      <w:bookmarkStart w:id="303" w:name="_Toc270604609"/>
      <w:bookmarkEnd w:id="303"/>
      <w:bookmarkStart w:id="304" w:name="_Toc67"/>
      <w:bookmarkEnd w:id="304"/>
      <w:bookmarkStart w:id="305" w:name="_Toc503886962"/>
      <w:bookmarkEnd w:id="305"/>
      <w:bookmarkStart w:id="306" w:name="_Toc509443204"/>
      <w:bookmarkEnd w:id="306"/>
      <w:r>
        <w:rPr>
          <w:rFonts w:hint="eastAsia" w:ascii="宋体" w:hAnsi="宋体" w:eastAsia="宋体" w:cs="Times New Roman"/>
          <w:bCs/>
          <w:sz w:val="24"/>
          <w:szCs w:val="24"/>
        </w:rPr>
        <w:t>5.2签订合同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5.2.1响应人的最后一轮报价为中标价，中标价即为合同价。</w:t>
      </w:r>
    </w:p>
    <w:p>
      <w:pPr>
        <w:snapToGrid w:val="0"/>
        <w:spacing w:line="400" w:lineRule="exact"/>
        <w:ind w:firstLine="480" w:firstLineChars="200"/>
        <w:jc w:val="left"/>
        <w:rPr>
          <w:rFonts w:ascii="宋体" w:hAnsi="宋体" w:eastAsia="宋体" w:cs="Times New Roman"/>
          <w:bCs/>
          <w:sz w:val="24"/>
          <w:szCs w:val="24"/>
        </w:rPr>
      </w:pPr>
      <w:bookmarkStart w:id="307" w:name="_Toc28333"/>
      <w:bookmarkStart w:id="308" w:name="_Toc22262"/>
      <w:bookmarkStart w:id="309" w:name="_Toc270604610"/>
      <w:bookmarkStart w:id="310" w:name="_Toc509443205"/>
      <w:bookmarkStart w:id="311" w:name="_Toc269470338"/>
      <w:r>
        <w:rPr>
          <w:rFonts w:ascii="宋体" w:hAnsi="宋体" w:eastAsia="宋体" w:cs="Times New Roman"/>
          <w:bCs/>
          <w:sz w:val="24"/>
          <w:szCs w:val="24"/>
        </w:rPr>
        <w:t>5.2.2</w:t>
      </w:r>
      <w:r>
        <w:rPr>
          <w:rFonts w:hint="eastAsia" w:ascii="宋体" w:hAnsi="宋体" w:eastAsia="宋体" w:cs="Times New Roman"/>
          <w:bCs/>
          <w:sz w:val="24"/>
          <w:szCs w:val="24"/>
        </w:rPr>
        <w:t>采购人和中标人应当自中标通知书发出之日起30天内，根据谈判文件、中标人的谈判响应文件及在谈判过程中对谈判响应文件作出的澄清、解释订立书面合同。中标人无正当理由拒签合同的，采购人取消其中标资格，并对由此给采购人造成的损失予以赔偿。</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控制价编制说明</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6.1编制依据：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6.1.1《建设工程工程量清单计价规范》（GB50500-2013）、《河南省房屋与装饰工程预算定额》（HA 01-31-2016）、《河南省通用安装工程预算定额》（HA 02-31-2016）及配套文件和有关规定；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6.1.2施工图纸与建设项目相关的文件、规范、技术资料；</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6.1.3材料价格调整参考三门峡市住房和城乡建设局2024年发布第1期《三门峡工程标准造价信息》及灵宝部分市场价；</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6.1.4材夜间施工增加费、二次搬运费、冬雨季施工增加费按相关规定计取。</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6.1.5造价指数按第14期价格指数规定计取（参见豫建消技【2023】35号文）。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6.1.6税金按规定费率9%计取</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6.1.7其他执行国家及省市的有关规定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6.2 其他</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其他未详尽之处详见工程量清单特征描述、标准图集、施工招标文件、国家现行施工验收规范等。</w:t>
      </w:r>
    </w:p>
    <w:bookmarkEnd w:id="307"/>
    <w:bookmarkEnd w:id="308"/>
    <w:bookmarkEnd w:id="309"/>
    <w:bookmarkEnd w:id="310"/>
    <w:bookmarkEnd w:id="311"/>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w:t>
      </w:r>
      <w:r>
        <w:rPr>
          <w:rFonts w:ascii="宋体" w:hAnsi="宋体" w:eastAsia="宋体" w:cs="Times New Roman"/>
          <w:bCs/>
          <w:sz w:val="24"/>
          <w:szCs w:val="24"/>
        </w:rPr>
        <w:t>、</w:t>
      </w:r>
      <w:r>
        <w:rPr>
          <w:rFonts w:hint="eastAsia" w:ascii="宋体" w:hAnsi="宋体" w:eastAsia="宋体" w:cs="Times New Roman"/>
          <w:bCs/>
          <w:sz w:val="24"/>
          <w:szCs w:val="24"/>
        </w:rPr>
        <w:t>纪律和监督</w:t>
      </w:r>
    </w:p>
    <w:p>
      <w:pPr>
        <w:snapToGrid w:val="0"/>
        <w:spacing w:line="400" w:lineRule="exact"/>
        <w:ind w:firstLine="480" w:firstLineChars="200"/>
        <w:jc w:val="left"/>
        <w:rPr>
          <w:rFonts w:ascii="宋体" w:hAnsi="宋体" w:eastAsia="宋体" w:cs="Times New Roman"/>
          <w:bCs/>
          <w:sz w:val="24"/>
          <w:szCs w:val="24"/>
        </w:rPr>
      </w:pPr>
      <w:bookmarkStart w:id="312" w:name="_Toc505073928"/>
      <w:bookmarkEnd w:id="312"/>
      <w:bookmarkStart w:id="313" w:name="_Toc503886964"/>
      <w:bookmarkEnd w:id="313"/>
      <w:bookmarkStart w:id="314" w:name="_Toc270604838"/>
      <w:bookmarkEnd w:id="314"/>
      <w:bookmarkStart w:id="315" w:name="_Toc503112371"/>
      <w:bookmarkEnd w:id="315"/>
      <w:bookmarkStart w:id="316" w:name="_Toc509443206"/>
      <w:bookmarkEnd w:id="316"/>
      <w:bookmarkStart w:id="317" w:name="_Toc270604611"/>
      <w:bookmarkEnd w:id="317"/>
      <w:bookmarkStart w:id="318" w:name="_Toc504055147"/>
      <w:bookmarkEnd w:id="318"/>
      <w:bookmarkStart w:id="319" w:name="_Toc13470"/>
      <w:bookmarkEnd w:id="319"/>
      <w:bookmarkStart w:id="320" w:name="_Toc503885628"/>
      <w:bookmarkEnd w:id="320"/>
      <w:bookmarkStart w:id="321" w:name="_Toc269470339"/>
      <w:bookmarkEnd w:id="321"/>
      <w:bookmarkStart w:id="322" w:name="_Toc428276606"/>
      <w:bookmarkEnd w:id="322"/>
      <w:bookmarkStart w:id="323" w:name="_Toc18726"/>
      <w:bookmarkEnd w:id="323"/>
      <w:bookmarkStart w:id="324" w:name="_Toc277149399"/>
      <w:bookmarkEnd w:id="324"/>
      <w:bookmarkStart w:id="325" w:name="_Toc26119"/>
      <w:bookmarkEnd w:id="325"/>
      <w:r>
        <w:rPr>
          <w:rFonts w:hint="eastAsia" w:ascii="宋体" w:hAnsi="宋体" w:eastAsia="宋体" w:cs="Times New Roman"/>
          <w:bCs/>
          <w:sz w:val="24"/>
          <w:szCs w:val="24"/>
        </w:rPr>
        <w:t>7</w:t>
      </w:r>
      <w:r>
        <w:rPr>
          <w:rFonts w:ascii="宋体" w:hAnsi="宋体" w:eastAsia="宋体" w:cs="Times New Roman"/>
          <w:bCs/>
          <w:sz w:val="24"/>
          <w:szCs w:val="24"/>
        </w:rPr>
        <w:t>.1</w:t>
      </w:r>
      <w:r>
        <w:rPr>
          <w:rFonts w:hint="eastAsia" w:ascii="宋体" w:hAnsi="宋体" w:eastAsia="宋体" w:cs="Times New Roman"/>
          <w:bCs/>
          <w:sz w:val="24"/>
          <w:szCs w:val="24"/>
        </w:rPr>
        <w:t>对采购人的纪律要求</w:t>
      </w:r>
    </w:p>
    <w:p>
      <w:pPr>
        <w:snapToGrid w:val="0"/>
        <w:spacing w:line="400" w:lineRule="exact"/>
        <w:ind w:firstLine="480" w:firstLineChars="200"/>
        <w:jc w:val="left"/>
        <w:rPr>
          <w:rFonts w:ascii="宋体" w:hAnsi="宋体" w:eastAsia="宋体" w:cs="Times New Roman"/>
          <w:bCs/>
          <w:sz w:val="24"/>
          <w:szCs w:val="24"/>
        </w:rPr>
      </w:pPr>
      <w:bookmarkStart w:id="326" w:name="_Toc503112372"/>
      <w:bookmarkStart w:id="327" w:name="_Toc269470340"/>
      <w:bookmarkStart w:id="328" w:name="_Toc277149400"/>
      <w:bookmarkStart w:id="329" w:name="_Toc428276607"/>
      <w:bookmarkStart w:id="330" w:name="_Toc503885629"/>
      <w:bookmarkStart w:id="331" w:name="_Toc270604612"/>
      <w:bookmarkStart w:id="332" w:name="_Toc30986"/>
      <w:bookmarkStart w:id="333" w:name="_Toc11168"/>
      <w:bookmarkStart w:id="334" w:name="_Toc503886965"/>
      <w:bookmarkStart w:id="335" w:name="_Toc505073929"/>
      <w:bookmarkStart w:id="336" w:name="_Toc7426"/>
      <w:bookmarkStart w:id="337" w:name="_Toc504055148"/>
      <w:bookmarkStart w:id="338" w:name="_Toc509443207"/>
      <w:bookmarkStart w:id="339" w:name="_Toc270604839"/>
      <w:r>
        <w:rPr>
          <w:rFonts w:hint="eastAsia" w:ascii="宋体" w:hAnsi="宋体" w:eastAsia="宋体" w:cs="Times New Roman"/>
          <w:bCs/>
          <w:sz w:val="24"/>
          <w:szCs w:val="24"/>
        </w:rPr>
        <w:t>采购人不得泄漏谈判中应当保密的情况和资料，不得与响应人串通损害国家利益、社会公共利益或者他人合法权益。</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7.2对响应人的纪律要求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响应人不得相互串通或者与采购人串通，不得向采购人或者谈判小组成员行贿谋取中标，不得以他人名义谈判或者以其他方式弄虚作假骗取中标；响应人不得以任何方式干扰、影响谈判工作。</w:t>
      </w:r>
    </w:p>
    <w:p>
      <w:pPr>
        <w:snapToGrid w:val="0"/>
        <w:spacing w:line="400" w:lineRule="exact"/>
        <w:ind w:firstLine="480" w:firstLineChars="200"/>
        <w:jc w:val="left"/>
        <w:rPr>
          <w:rFonts w:ascii="宋体" w:hAnsi="宋体" w:eastAsia="宋体" w:cs="Times New Roman"/>
          <w:bCs/>
          <w:sz w:val="24"/>
          <w:szCs w:val="24"/>
        </w:rPr>
      </w:pPr>
      <w:bookmarkStart w:id="340" w:name="_Toc504055149"/>
      <w:bookmarkEnd w:id="340"/>
      <w:bookmarkStart w:id="341" w:name="_Toc12923"/>
      <w:bookmarkEnd w:id="341"/>
      <w:bookmarkStart w:id="342" w:name="_Toc389"/>
      <w:bookmarkEnd w:id="342"/>
      <w:bookmarkStart w:id="343" w:name="_Toc428276608"/>
      <w:bookmarkEnd w:id="343"/>
      <w:bookmarkStart w:id="344" w:name="_Toc277149401"/>
      <w:bookmarkEnd w:id="344"/>
      <w:bookmarkStart w:id="345" w:name="_Toc505073930"/>
      <w:bookmarkEnd w:id="345"/>
      <w:bookmarkStart w:id="346" w:name="_Toc270604613"/>
      <w:bookmarkEnd w:id="346"/>
      <w:bookmarkStart w:id="347" w:name="_Toc9415"/>
      <w:bookmarkEnd w:id="347"/>
      <w:bookmarkStart w:id="348" w:name="_Toc509443208"/>
      <w:bookmarkEnd w:id="348"/>
      <w:bookmarkStart w:id="349" w:name="_Toc503886966"/>
      <w:bookmarkEnd w:id="349"/>
      <w:bookmarkStart w:id="350" w:name="_Toc270604840"/>
      <w:bookmarkEnd w:id="350"/>
      <w:bookmarkStart w:id="351" w:name="_Toc503885630"/>
      <w:bookmarkEnd w:id="351"/>
      <w:bookmarkStart w:id="352" w:name="_Toc503112373"/>
      <w:bookmarkEnd w:id="352"/>
      <w:bookmarkStart w:id="353" w:name="_Toc269470341"/>
      <w:bookmarkEnd w:id="353"/>
      <w:r>
        <w:rPr>
          <w:rFonts w:hint="eastAsia" w:ascii="宋体" w:hAnsi="宋体" w:eastAsia="宋体" w:cs="Times New Roman"/>
          <w:bCs/>
          <w:sz w:val="24"/>
          <w:szCs w:val="24"/>
        </w:rPr>
        <w:t>7.3对谈判小组成员的纪律要求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谈判小组成员不得收受他人的财物或者其他好处，不得向他人透漏对谈判响应文件的评审和比较、中标候选人的推荐情况以及与谈判有关的其他情况。在谈判活动中，谈判小组成员不得擅离职守，影响谈判程序正常进行。</w:t>
      </w:r>
    </w:p>
    <w:p>
      <w:pPr>
        <w:snapToGrid w:val="0"/>
        <w:spacing w:line="400" w:lineRule="exact"/>
        <w:ind w:firstLine="480" w:firstLineChars="200"/>
        <w:jc w:val="left"/>
        <w:rPr>
          <w:rFonts w:ascii="宋体" w:hAnsi="宋体" w:eastAsia="宋体" w:cs="Times New Roman"/>
          <w:bCs/>
          <w:sz w:val="24"/>
          <w:szCs w:val="24"/>
        </w:rPr>
      </w:pPr>
      <w:bookmarkStart w:id="354" w:name="_Toc19972"/>
      <w:bookmarkEnd w:id="354"/>
      <w:bookmarkStart w:id="355" w:name="_Toc277149402"/>
      <w:bookmarkEnd w:id="355"/>
      <w:bookmarkStart w:id="356" w:name="_Toc503886967"/>
      <w:bookmarkEnd w:id="356"/>
      <w:bookmarkStart w:id="357" w:name="_Toc503885631"/>
      <w:bookmarkEnd w:id="357"/>
      <w:bookmarkStart w:id="358" w:name="_Toc270604841"/>
      <w:bookmarkEnd w:id="358"/>
      <w:bookmarkStart w:id="359" w:name="_Toc509443209"/>
      <w:bookmarkEnd w:id="359"/>
      <w:bookmarkStart w:id="360" w:name="_Toc269470342"/>
      <w:bookmarkEnd w:id="360"/>
      <w:bookmarkStart w:id="361" w:name="_Toc13499"/>
      <w:bookmarkEnd w:id="361"/>
      <w:bookmarkStart w:id="362" w:name="_Toc428276609"/>
      <w:bookmarkEnd w:id="362"/>
      <w:bookmarkStart w:id="363" w:name="_Toc503112374"/>
      <w:bookmarkEnd w:id="363"/>
      <w:bookmarkStart w:id="364" w:name="_Toc270604614"/>
      <w:bookmarkEnd w:id="364"/>
      <w:bookmarkStart w:id="365" w:name="_Toc504055150"/>
      <w:bookmarkEnd w:id="365"/>
      <w:bookmarkStart w:id="366" w:name="_Toc7568"/>
      <w:bookmarkEnd w:id="366"/>
      <w:bookmarkStart w:id="367" w:name="_Toc505073931"/>
      <w:bookmarkEnd w:id="367"/>
      <w:r>
        <w:rPr>
          <w:rFonts w:hint="eastAsia" w:ascii="宋体" w:hAnsi="宋体" w:eastAsia="宋体" w:cs="Times New Roman"/>
          <w:bCs/>
          <w:sz w:val="24"/>
          <w:szCs w:val="24"/>
        </w:rPr>
        <w:t>7.4对与谈判活动有关的工作人员的纪律要求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与谈判活动有关的工作人员不得收受他人的财物或者其他好处，不得向他人透漏对谈判响应文件的评审和比较、中标候选人的推荐情况以及与谈判有关的其他情况。在谈判活动中，与谈判活动有关的工作人员不得擅离职守，影响谈判程序正常进行。</w:t>
      </w:r>
    </w:p>
    <w:p>
      <w:pPr>
        <w:snapToGrid w:val="0"/>
        <w:spacing w:line="400" w:lineRule="exact"/>
        <w:ind w:firstLine="480" w:firstLineChars="200"/>
        <w:jc w:val="left"/>
        <w:rPr>
          <w:rFonts w:ascii="宋体" w:hAnsi="宋体" w:eastAsia="宋体" w:cs="Times New Roman"/>
          <w:bCs/>
          <w:sz w:val="24"/>
          <w:szCs w:val="24"/>
        </w:rPr>
      </w:pPr>
      <w:bookmarkStart w:id="368" w:name="_Toc503885632"/>
      <w:bookmarkEnd w:id="368"/>
      <w:bookmarkStart w:id="369" w:name="_Toc269470343"/>
      <w:bookmarkEnd w:id="369"/>
      <w:bookmarkStart w:id="370" w:name="_Toc4306"/>
      <w:bookmarkEnd w:id="370"/>
      <w:bookmarkStart w:id="371" w:name="_Toc503886968"/>
      <w:bookmarkEnd w:id="371"/>
      <w:bookmarkStart w:id="372" w:name="_Toc270604615"/>
      <w:bookmarkEnd w:id="372"/>
      <w:bookmarkStart w:id="373" w:name="_Toc1531"/>
      <w:bookmarkEnd w:id="373"/>
      <w:bookmarkStart w:id="374" w:name="_Toc428276610"/>
      <w:bookmarkEnd w:id="374"/>
      <w:bookmarkStart w:id="375" w:name="_Toc28458"/>
      <w:bookmarkEnd w:id="375"/>
      <w:bookmarkStart w:id="376" w:name="_Toc277149403"/>
      <w:bookmarkEnd w:id="376"/>
      <w:bookmarkStart w:id="377" w:name="_Toc270604842"/>
      <w:bookmarkEnd w:id="377"/>
      <w:bookmarkStart w:id="378" w:name="_Toc505073932"/>
      <w:bookmarkEnd w:id="378"/>
      <w:bookmarkStart w:id="379" w:name="_Toc504055151"/>
      <w:bookmarkEnd w:id="379"/>
      <w:bookmarkStart w:id="380" w:name="_Toc509443210"/>
      <w:bookmarkEnd w:id="380"/>
      <w:bookmarkStart w:id="381" w:name="_Toc503112375"/>
      <w:bookmarkEnd w:id="381"/>
      <w:r>
        <w:rPr>
          <w:rFonts w:hint="eastAsia" w:ascii="宋体" w:hAnsi="宋体" w:eastAsia="宋体" w:cs="Times New Roman"/>
          <w:bCs/>
          <w:sz w:val="24"/>
          <w:szCs w:val="24"/>
        </w:rPr>
        <w:t>7.5投诉</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响应人和其他利害关系人认为本次谈判违反法律、法规和规章规定的，有权向有关行政监督部门投诉。</w:t>
      </w:r>
    </w:p>
    <w:p>
      <w:pPr>
        <w:snapToGrid w:val="0"/>
        <w:spacing w:line="400" w:lineRule="exact"/>
        <w:ind w:firstLine="480" w:firstLineChars="200"/>
        <w:jc w:val="left"/>
        <w:rPr>
          <w:rFonts w:ascii="宋体" w:hAnsi="宋体" w:eastAsia="宋体" w:cs="Times New Roman"/>
          <w:bCs/>
          <w:sz w:val="24"/>
          <w:szCs w:val="24"/>
        </w:rPr>
      </w:pPr>
      <w:bookmarkStart w:id="382" w:name="_Toc7717"/>
      <w:bookmarkEnd w:id="382"/>
      <w:bookmarkStart w:id="383" w:name="_Toc509443211"/>
      <w:bookmarkEnd w:id="383"/>
      <w:bookmarkStart w:id="384" w:name="_Toc270604616"/>
      <w:bookmarkEnd w:id="384"/>
      <w:bookmarkStart w:id="385" w:name="_Toc8977"/>
      <w:bookmarkEnd w:id="385"/>
      <w:bookmarkStart w:id="386" w:name="_Toc269470344"/>
      <w:bookmarkEnd w:id="386"/>
      <w:bookmarkStart w:id="387" w:name="_Toc428276611"/>
      <w:bookmarkEnd w:id="387"/>
      <w:r>
        <w:rPr>
          <w:rFonts w:hint="eastAsia" w:ascii="宋体" w:hAnsi="宋体" w:eastAsia="宋体" w:cs="Times New Roman"/>
          <w:bCs/>
          <w:sz w:val="24"/>
          <w:szCs w:val="24"/>
        </w:rPr>
        <w:t>7</w:t>
      </w:r>
      <w:r>
        <w:rPr>
          <w:rFonts w:ascii="宋体" w:hAnsi="宋体" w:eastAsia="宋体" w:cs="Times New Roman"/>
          <w:bCs/>
          <w:sz w:val="24"/>
          <w:szCs w:val="24"/>
        </w:rPr>
        <w:t>.6</w:t>
      </w:r>
      <w:r>
        <w:rPr>
          <w:rFonts w:hint="eastAsia" w:ascii="宋体" w:hAnsi="宋体" w:eastAsia="宋体" w:cs="Times New Roman"/>
          <w:bCs/>
          <w:sz w:val="24"/>
          <w:szCs w:val="24"/>
        </w:rPr>
        <w:t>需要补充的其他内容</w:t>
      </w:r>
    </w:p>
    <w:p>
      <w:pPr>
        <w:snapToGrid w:val="0"/>
        <w:spacing w:line="400" w:lineRule="exact"/>
        <w:ind w:firstLine="480" w:firstLineChars="200"/>
        <w:jc w:val="left"/>
        <w:rPr>
          <w:rFonts w:ascii="宋体" w:hAnsi="宋体" w:eastAsia="宋体" w:cs="Times New Roman"/>
          <w:bCs/>
          <w:sz w:val="24"/>
          <w:szCs w:val="24"/>
        </w:rPr>
      </w:pPr>
      <w:bookmarkStart w:id="388" w:name="_Toc509443213"/>
      <w:bookmarkStart w:id="389" w:name="_Toc3286"/>
      <w:r>
        <w:rPr>
          <w:rFonts w:hint="eastAsia" w:ascii="宋体" w:hAnsi="宋体" w:eastAsia="宋体" w:cs="Times New Roman"/>
          <w:bCs/>
          <w:sz w:val="24"/>
          <w:szCs w:val="24"/>
        </w:rPr>
        <w:t>需要补充的其他内容：见响应人须知前附表。</w:t>
      </w:r>
      <w:r>
        <w:rPr>
          <w:rFonts w:ascii="宋体" w:hAnsi="宋体" w:eastAsia="宋体" w:cs="Times New Roman"/>
          <w:bCs/>
          <w:sz w:val="24"/>
          <w:szCs w:val="24"/>
        </w:rPr>
        <w:br w:type="page"/>
      </w:r>
    </w:p>
    <w:bookmarkEnd w:id="388"/>
    <w:bookmarkEnd w:id="389"/>
    <w:p>
      <w:pPr>
        <w:snapToGrid w:val="0"/>
        <w:spacing w:line="400" w:lineRule="exact"/>
        <w:ind w:firstLine="3900" w:firstLineChars="1300"/>
        <w:jc w:val="left"/>
        <w:rPr>
          <w:rFonts w:ascii="宋体" w:hAnsi="宋体" w:eastAsia="宋体" w:cs="Times New Roman"/>
          <w:bCs/>
          <w:sz w:val="30"/>
          <w:szCs w:val="30"/>
        </w:rPr>
      </w:pPr>
      <w:r>
        <w:rPr>
          <w:rFonts w:hint="eastAsia" w:ascii="宋体" w:hAnsi="宋体" w:eastAsia="宋体" w:cs="Times New Roman"/>
          <w:bCs/>
          <w:sz w:val="30"/>
          <w:szCs w:val="30"/>
        </w:rPr>
        <w:t>第三章 工程量清单</w:t>
      </w:r>
    </w:p>
    <w:p>
      <w:pPr>
        <w:snapToGrid w:val="0"/>
        <w:spacing w:line="400" w:lineRule="exact"/>
        <w:ind w:firstLine="4320" w:firstLineChars="1800"/>
        <w:jc w:val="left"/>
        <w:rPr>
          <w:rFonts w:ascii="宋体" w:hAnsi="宋体" w:eastAsia="宋体" w:cs="Times New Roman"/>
          <w:bCs/>
          <w:sz w:val="24"/>
          <w:szCs w:val="24"/>
        </w:rPr>
      </w:pPr>
      <w:r>
        <w:rPr>
          <w:rFonts w:hint="eastAsia" w:ascii="宋体" w:hAnsi="宋体" w:eastAsia="宋体" w:cs="Times New Roman"/>
          <w:bCs/>
          <w:sz w:val="24"/>
          <w:szCs w:val="24"/>
        </w:rPr>
        <w:t>另附</w:t>
      </w:r>
    </w:p>
    <w:p>
      <w:pPr>
        <w:snapToGrid w:val="0"/>
        <w:spacing w:line="400" w:lineRule="exact"/>
        <w:ind w:firstLine="480" w:firstLineChars="200"/>
        <w:jc w:val="left"/>
        <w:rPr>
          <w:rFonts w:ascii="宋体" w:hAnsi="宋体" w:eastAsia="宋体" w:cs="Times New Roman"/>
          <w:bCs/>
          <w:sz w:val="24"/>
          <w:szCs w:val="24"/>
        </w:rPr>
      </w:pPr>
      <w:bookmarkStart w:id="390" w:name="_Toc509443215"/>
      <w:r>
        <w:rPr>
          <w:rFonts w:ascii="宋体" w:hAnsi="宋体" w:eastAsia="宋体" w:cs="Times New Roman"/>
          <w:bCs/>
          <w:sz w:val="24"/>
          <w:szCs w:val="24"/>
        </w:rPr>
        <w:br w:type="page"/>
      </w:r>
    </w:p>
    <w:bookmarkEnd w:id="390"/>
    <w:p>
      <w:pPr>
        <w:snapToGrid w:val="0"/>
        <w:spacing w:line="400" w:lineRule="exact"/>
        <w:ind w:firstLine="3000" w:firstLineChars="1000"/>
        <w:jc w:val="left"/>
        <w:rPr>
          <w:rFonts w:ascii="宋体" w:hAnsi="宋体" w:eastAsia="宋体" w:cs="Times New Roman"/>
          <w:bCs/>
          <w:sz w:val="30"/>
          <w:szCs w:val="30"/>
        </w:rPr>
      </w:pPr>
      <w:r>
        <w:rPr>
          <w:rFonts w:hint="eastAsia" w:ascii="宋体" w:hAnsi="宋体" w:eastAsia="宋体" w:cs="Times New Roman"/>
          <w:bCs/>
          <w:sz w:val="30"/>
          <w:szCs w:val="30"/>
        </w:rPr>
        <w:t xml:space="preserve">第四章 </w:t>
      </w:r>
      <w:r>
        <w:rPr>
          <w:rFonts w:ascii="宋体" w:hAnsi="宋体" w:eastAsia="宋体" w:cs="Times New Roman"/>
          <w:bCs/>
          <w:sz w:val="30"/>
          <w:szCs w:val="30"/>
        </w:rPr>
        <w:t xml:space="preserve"> </w:t>
      </w:r>
      <w:r>
        <w:rPr>
          <w:rFonts w:hint="eastAsia" w:ascii="宋体" w:hAnsi="宋体" w:eastAsia="宋体" w:cs="Times New Roman"/>
          <w:bCs/>
          <w:sz w:val="30"/>
          <w:szCs w:val="30"/>
        </w:rPr>
        <w:t>合同条款及格式</w:t>
      </w:r>
    </w:p>
    <w:p>
      <w:pPr>
        <w:snapToGrid w:val="0"/>
        <w:spacing w:line="400" w:lineRule="exact"/>
        <w:ind w:firstLine="480" w:firstLineChars="200"/>
        <w:jc w:val="left"/>
        <w:rPr>
          <w:rFonts w:ascii="宋体" w:hAnsi="宋体" w:eastAsia="宋体" w:cs="Times New Roman"/>
          <w:bCs/>
          <w:sz w:val="24"/>
          <w:szCs w:val="24"/>
        </w:rPr>
      </w:pPr>
      <w:bookmarkStart w:id="391" w:name="_Toc419280026"/>
      <w:r>
        <w:rPr>
          <w:rFonts w:hint="eastAsia" w:ascii="宋体" w:hAnsi="宋体" w:eastAsia="宋体" w:cs="Times New Roman"/>
          <w:bCs/>
          <w:sz w:val="24"/>
          <w:szCs w:val="24"/>
        </w:rPr>
        <w:t>（仅供参考，以实际签订合同为准）</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sectPr>
          <w:footerReference r:id="rId3" w:type="default"/>
          <w:pgSz w:w="11910" w:h="16840"/>
          <w:pgMar w:top="1134" w:right="1134" w:bottom="1134" w:left="1134" w:header="0" w:footer="975" w:gutter="0"/>
          <w:pgNumType w:start="1"/>
          <w:cols w:space="720" w:num="1"/>
          <w:titlePg/>
        </w:sectPr>
      </w:pPr>
      <w:r>
        <w:rPr>
          <w:rFonts w:hint="eastAsia" w:ascii="宋体" w:hAnsi="宋体" w:eastAsia="宋体" w:cs="Times New Roman"/>
          <w:bCs/>
          <w:sz w:val="24"/>
          <w:szCs w:val="24"/>
        </w:rPr>
        <w:t>自中标通知书发出之日起2个工作日内与中标（成交）供应商按照采购文件确定的事项与供应商签订采购合同。</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（GF—201</w:t>
      </w:r>
      <w:r>
        <w:rPr>
          <w:rFonts w:hint="eastAsia" w:ascii="宋体" w:hAnsi="宋体" w:eastAsia="宋体" w:cs="Times New Roman"/>
          <w:bCs/>
          <w:sz w:val="24"/>
          <w:szCs w:val="24"/>
        </w:rPr>
        <w:t>7</w:t>
      </w:r>
      <w:r>
        <w:rPr>
          <w:rFonts w:ascii="宋体" w:hAnsi="宋体" w:eastAsia="宋体" w:cs="Times New Roman"/>
          <w:bCs/>
          <w:sz w:val="24"/>
          <w:szCs w:val="24"/>
        </w:rPr>
        <w:t>—</w:t>
      </w:r>
      <w:r>
        <w:rPr>
          <w:rFonts w:hint="eastAsia" w:ascii="宋体" w:hAnsi="宋体" w:eastAsia="宋体" w:cs="Times New Roman"/>
          <w:bCs/>
          <w:sz w:val="24"/>
          <w:szCs w:val="24"/>
        </w:rPr>
        <w:t>0201）</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left="4310" w:leftChars="1938" w:hanging="240" w:hangingChars="100"/>
        <w:jc w:val="left"/>
        <w:rPr>
          <w:rFonts w:ascii="宋体" w:hAnsi="宋体" w:eastAsia="宋体" w:cs="Times New Roman"/>
          <w:bCs/>
          <w:sz w:val="24"/>
          <w:szCs w:val="24"/>
        </w:rPr>
      </w:pPr>
      <w:r>
        <w:rPr>
          <w:rFonts w:ascii="宋体" w:hAnsi="宋体" w:eastAsia="宋体" w:cs="Times New Roman"/>
          <w:bCs/>
          <w:sz w:val="24"/>
          <w:szCs w:val="24"/>
        </w:rPr>
        <w:t>建设工程施工合同</w:t>
      </w:r>
    </w:p>
    <w:p>
      <w:pPr>
        <w:snapToGrid w:val="0"/>
        <w:spacing w:line="400" w:lineRule="exact"/>
        <w:ind w:left="4310" w:leftChars="1938" w:hanging="240" w:hangingChars="100"/>
        <w:jc w:val="left"/>
        <w:rPr>
          <w:rFonts w:ascii="宋体" w:hAnsi="宋体" w:eastAsia="宋体" w:cs="Times New Roman"/>
          <w:bCs/>
          <w:sz w:val="24"/>
          <w:szCs w:val="24"/>
        </w:rPr>
      </w:pPr>
      <w:r>
        <w:rPr>
          <w:rFonts w:ascii="宋体" w:hAnsi="宋体" w:eastAsia="宋体" w:cs="Times New Roman"/>
          <w:bCs/>
          <w:sz w:val="24"/>
          <w:szCs w:val="24"/>
        </w:rPr>
        <w:t>（示范文本）</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mc:AlternateContent>
          <mc:Choice Requires="wps">
            <w:drawing>
              <wp:anchor distT="0" distB="0" distL="114300" distR="114300" simplePos="0" relativeHeight="251660288"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1" name="文本框 1"/>
                <wp:cNvGraphicFramePr/>
                <a:graphic xmlns:a="http://schemas.openxmlformats.org/drawingml/2006/main">
                  <a:graphicData uri="http://schemas.microsoft.com/office/word/2010/wordprocessingShape">
                    <wps:wsp>
                      <wps:cNvSpPr txBox="1">
                        <a:spLocks noChangeArrowheads="1"/>
                      </wps:cNvSpPr>
                      <wps:spPr>
                        <a:xfrm>
                          <a:off x="0" y="0"/>
                          <a:ext cx="781050" cy="457200"/>
                        </a:xfrm>
                        <a:prstGeom prst="rect">
                          <a:avLst/>
                        </a:prstGeom>
                        <a:noFill/>
                        <a:ln w="9525">
                          <a:solidFill>
                            <a:srgbClr val="FFFFFF"/>
                          </a:solidFill>
                          <a:miter lim="800000"/>
                        </a:ln>
                        <a:effectLst/>
                      </wps:spPr>
                      <wps:txbx>
                        <w:txbxContent>
                          <w:p>
                            <w:r>
                              <w:rPr>
                                <w:rFonts w:hint="eastAsia"/>
                              </w:rPr>
                              <w:t>制定</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01.2pt;margin-top:17.5pt;height:36pt;width:61.5pt;z-index:251660288;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8VTQ2QAAAAoBAAAPAAAAAAAAAAEAIAAAACIAAABkcnMvZG93bnJldi54bWxQ&#10;SwECFAAUAAAACACHTuJA/ZQ8Xy8CAABRBAAADgAAAAAAAAABACAAAAAoAQAAZHJzL2Uyb0RvYy54&#10;bWxQSwUGAAAAAAYABgBZAQAAyQUAAAAA&#10;">
                <v:fill on="f" focussize="0,0"/>
                <v:stroke color="#FFFFFF" miterlimit="8" joinstyle="miter"/>
                <v:imagedata o:title=""/>
                <o:lock v:ext="edit" aspectratio="f"/>
                <v:textbox>
                  <w:txbxContent>
                    <w:p>
                      <w:r>
                        <w:rPr>
                          <w:rFonts w:hint="eastAsia"/>
                        </w:rPr>
                        <w:t>制定</w:t>
                      </w:r>
                    </w:p>
                  </w:txbxContent>
                </v:textbox>
              </v:shape>
            </w:pict>
          </mc:Fallback>
        </mc:AlternateContent>
      </w:r>
      <w:r>
        <w:rPr>
          <w:rFonts w:hint="eastAsia" w:ascii="宋体" w:hAnsi="宋体" w:eastAsia="宋体" w:cs="Times New Roman"/>
          <w:bCs/>
          <w:sz w:val="24"/>
          <w:szCs w:val="24"/>
        </w:rPr>
        <w:t xml:space="preserve">        </w:t>
      </w:r>
      <w:r>
        <w:rPr>
          <w:rFonts w:ascii="宋体" w:hAnsi="宋体" w:eastAsia="宋体" w:cs="Times New Roman"/>
          <w:bCs/>
          <w:sz w:val="24"/>
          <w:szCs w:val="24"/>
        </w:rPr>
        <w:t>住</w:t>
      </w:r>
      <w:r>
        <w:rPr>
          <w:rFonts w:hint="eastAsia" w:ascii="宋体" w:hAnsi="宋体" w:eastAsia="宋体" w:cs="Times New Roman"/>
          <w:bCs/>
          <w:sz w:val="24"/>
          <w:szCs w:val="24"/>
        </w:rPr>
        <w:t xml:space="preserve"> </w:t>
      </w:r>
      <w:r>
        <w:rPr>
          <w:rFonts w:ascii="宋体" w:hAnsi="宋体" w:eastAsia="宋体" w:cs="Times New Roman"/>
          <w:bCs/>
          <w:sz w:val="24"/>
          <w:szCs w:val="24"/>
        </w:rPr>
        <w:t>房</w:t>
      </w:r>
      <w:r>
        <w:rPr>
          <w:rFonts w:hint="eastAsia" w:ascii="宋体" w:hAnsi="宋体" w:eastAsia="宋体" w:cs="Times New Roman"/>
          <w:bCs/>
          <w:sz w:val="24"/>
          <w:szCs w:val="24"/>
        </w:rPr>
        <w:t xml:space="preserve"> </w:t>
      </w:r>
      <w:r>
        <w:rPr>
          <w:rFonts w:ascii="宋体" w:hAnsi="宋体" w:eastAsia="宋体" w:cs="Times New Roman"/>
          <w:bCs/>
          <w:sz w:val="24"/>
          <w:szCs w:val="24"/>
        </w:rPr>
        <w:t>和</w:t>
      </w:r>
      <w:r>
        <w:rPr>
          <w:rFonts w:hint="eastAsia" w:ascii="宋体" w:hAnsi="宋体" w:eastAsia="宋体" w:cs="Times New Roman"/>
          <w:bCs/>
          <w:sz w:val="24"/>
          <w:szCs w:val="24"/>
        </w:rPr>
        <w:t xml:space="preserve"> </w:t>
      </w:r>
      <w:r>
        <w:rPr>
          <w:rFonts w:ascii="宋体" w:hAnsi="宋体" w:eastAsia="宋体" w:cs="Times New Roman"/>
          <w:bCs/>
          <w:sz w:val="24"/>
          <w:szCs w:val="24"/>
        </w:rPr>
        <w:t>城</w:t>
      </w:r>
      <w:r>
        <w:rPr>
          <w:rFonts w:hint="eastAsia" w:ascii="宋体" w:hAnsi="宋体" w:eastAsia="宋体" w:cs="Times New Roman"/>
          <w:bCs/>
          <w:sz w:val="24"/>
          <w:szCs w:val="24"/>
        </w:rPr>
        <w:t xml:space="preserve"> </w:t>
      </w:r>
      <w:r>
        <w:rPr>
          <w:rFonts w:ascii="宋体" w:hAnsi="宋体" w:eastAsia="宋体" w:cs="Times New Roman"/>
          <w:bCs/>
          <w:sz w:val="24"/>
          <w:szCs w:val="24"/>
        </w:rPr>
        <w:t>乡</w:t>
      </w:r>
      <w:r>
        <w:rPr>
          <w:rFonts w:hint="eastAsia" w:ascii="宋体" w:hAnsi="宋体" w:eastAsia="宋体" w:cs="Times New Roman"/>
          <w:bCs/>
          <w:sz w:val="24"/>
          <w:szCs w:val="24"/>
        </w:rPr>
        <w:t xml:space="preserve"> </w:t>
      </w:r>
      <w:r>
        <w:rPr>
          <w:rFonts w:ascii="宋体" w:hAnsi="宋体" w:eastAsia="宋体" w:cs="Times New Roman"/>
          <w:bCs/>
          <w:sz w:val="24"/>
          <w:szCs w:val="24"/>
        </w:rPr>
        <w:t>建</w:t>
      </w:r>
      <w:r>
        <w:rPr>
          <w:rFonts w:hint="eastAsia" w:ascii="宋体" w:hAnsi="宋体" w:eastAsia="宋体" w:cs="Times New Roman"/>
          <w:bCs/>
          <w:sz w:val="24"/>
          <w:szCs w:val="24"/>
        </w:rPr>
        <w:t xml:space="preserve"> </w:t>
      </w:r>
      <w:r>
        <w:rPr>
          <w:rFonts w:ascii="宋体" w:hAnsi="宋体" w:eastAsia="宋体" w:cs="Times New Roman"/>
          <w:bCs/>
          <w:sz w:val="24"/>
          <w:szCs w:val="24"/>
        </w:rPr>
        <w:t>设</w:t>
      </w:r>
      <w:r>
        <w:rPr>
          <w:rFonts w:hint="eastAsia" w:ascii="宋体" w:hAnsi="宋体" w:eastAsia="宋体" w:cs="Times New Roman"/>
          <w:bCs/>
          <w:sz w:val="24"/>
          <w:szCs w:val="24"/>
        </w:rPr>
        <w:t xml:space="preserve"> </w:t>
      </w:r>
      <w:r>
        <w:rPr>
          <w:rFonts w:ascii="宋体" w:hAnsi="宋体" w:eastAsia="宋体" w:cs="Times New Roman"/>
          <w:bCs/>
          <w:sz w:val="24"/>
          <w:szCs w:val="24"/>
        </w:rPr>
        <w:t>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w:t>
      </w:r>
      <w:r>
        <w:rPr>
          <w:rFonts w:ascii="宋体" w:hAnsi="宋体" w:eastAsia="宋体" w:cs="Times New Roman"/>
          <w:bCs/>
          <w:sz w:val="24"/>
          <w:szCs w:val="24"/>
        </w:rPr>
        <w:t>国家工商行政管理总局</w:t>
      </w:r>
    </w:p>
    <w:p>
      <w:pPr>
        <w:snapToGrid w:val="0"/>
        <w:spacing w:line="400" w:lineRule="exact"/>
        <w:ind w:firstLine="480" w:firstLineChars="200"/>
        <w:jc w:val="left"/>
        <w:rPr>
          <w:rFonts w:ascii="宋体" w:hAnsi="宋体" w:eastAsia="宋体" w:cs="Times New Roman"/>
          <w:bCs/>
          <w:sz w:val="24"/>
          <w:szCs w:val="24"/>
        </w:rPr>
      </w:pPr>
      <w:bookmarkStart w:id="392" w:name="_Toc529438828"/>
      <w:bookmarkStart w:id="393" w:name="_Toc14975637"/>
      <w:bookmarkStart w:id="394" w:name="_Toc500423701"/>
    </w:p>
    <w:bookmarkEnd w:id="392"/>
    <w:bookmarkEnd w:id="393"/>
    <w:bookmarkEnd w:id="394"/>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3640" w:firstLineChars="1300"/>
        <w:jc w:val="left"/>
        <w:rPr>
          <w:rFonts w:ascii="宋体" w:hAnsi="宋体" w:eastAsia="宋体" w:cs="Times New Roman"/>
          <w:bCs/>
          <w:sz w:val="28"/>
          <w:szCs w:val="28"/>
        </w:rPr>
      </w:pPr>
      <w:r>
        <w:rPr>
          <w:rFonts w:hint="eastAsia" w:ascii="宋体" w:hAnsi="宋体" w:eastAsia="宋体" w:cs="Times New Roman"/>
          <w:bCs/>
          <w:sz w:val="28"/>
          <w:szCs w:val="28"/>
        </w:rPr>
        <w:t>一、</w:t>
      </w:r>
      <w:r>
        <w:rPr>
          <w:rFonts w:ascii="宋体" w:hAnsi="宋体" w:eastAsia="宋体" w:cs="Times New Roman"/>
          <w:bCs/>
          <w:sz w:val="28"/>
          <w:szCs w:val="28"/>
        </w:rPr>
        <w:t>合同协议书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发包人（全称）：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承包人（全称）：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根据《中华人民共和国民法典》、《中华人民共和国建筑法》及有关法律规定，遵循平等、自愿、公平和诚实信用的原则，双方就      施工及有关事项协商一致，共同达成如下协议：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一、工程概况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1.工程名称：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2.工程地点：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3.工程立项批准文号：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4.资金来源：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5.工程内容：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群体工程应附《承包人承揽工程项目一览表》（附件1）。</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6.工程承包范围：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二、合同工期</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计划开工日期：    年   月    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计划竣工日期：    年   月   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工期总日历天数： 60日历天。工期总日历天数与根据前述计划开竣工日期计算的工期天数不一致的，以工期总日历天数为准。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三、质量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达到国家质量验收规范合格标准。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四、签约合同价与合同价格形式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1.签约合同价为：人民币（大写）                  (¥：           元)；</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其中：</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（1）安全文明施工费：人民币（大写）               (¥：          元)；</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（2）材料和工程设备暂估价金额：人民币（大写）     (¥：          元)；</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（3）专业工程暂估价金额：人民币（大写）            (¥：         元)；</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（4）暂列金额：人民币（大写）                      (¥：          元)。</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2.合同价格形式：全费用单价合同。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五、项目负责人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承包人项目负责人：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六、合同文件构成</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本协议书与下列文件一起构成合同文件：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（1）中标通知书；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（2）报价函及其附录；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（3）专用合同条款及其附件；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（4）通用合同条款；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（5）技术标准和要求；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（6）施工图纸；</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（7）已标价工程量清单或预算书；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（8）其他合同文件。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在合同订立及履行过程中形成的与合同有关的文件均构成合同文件组成部分。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上述各项合同文件包括合同当事人就该项合同文件所作出的补充和修改，属于同一类内容的文件，应以最新签署的为准。专用合同条款及其附件须经合同当事人签字或盖章。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七、承诺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1.发包人承诺按照法律规定履行项目审批手续、筹集工程建设资金并按照合同约定的期限和方式支付合同价款。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2.承包人承诺按照法律规定及合同约定组织完成工程施工，确保工程质量和安全，不进行转包及违法分包，并在缺陷责任期及保修期内承担相应的工程维修责任。</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3.发包人和承包人通过招投标形式签订合同的，双方理解并承诺不再就同一工程另行签订与合同实质性内容相背离的协议。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八、词语含义</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本协议书中词语含义与第二部分通用合同条款中赋予的含义相同。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九、签订时间</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本合同于      年    月    日签订。</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十、签订地点</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本合同在              签订。</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十一、补充协议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合同未尽事宜，合同当事人另行签订补充协议，补充协议是合同的组成部分。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十二、合同生效</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本合同自             生效。</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十三、合同份数</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 xml:space="preserve">本合同一式  </w:t>
      </w:r>
      <w:r>
        <w:rPr>
          <w:rFonts w:hint="eastAsia" w:ascii="宋体" w:hAnsi="宋体" w:eastAsia="宋体" w:cs="Times New Roman"/>
          <w:bCs/>
          <w:sz w:val="24"/>
          <w:szCs w:val="24"/>
        </w:rPr>
        <w:t xml:space="preserve">  </w:t>
      </w:r>
      <w:r>
        <w:rPr>
          <w:rFonts w:ascii="宋体" w:hAnsi="宋体" w:eastAsia="宋体" w:cs="Times New Roman"/>
          <w:bCs/>
          <w:sz w:val="24"/>
          <w:szCs w:val="24"/>
        </w:rPr>
        <w:t xml:space="preserve"> 份</w:t>
      </w:r>
      <w:r>
        <w:rPr>
          <w:rFonts w:hint="eastAsia" w:ascii="宋体" w:hAnsi="宋体" w:eastAsia="宋体" w:cs="Times New Roman"/>
          <w:bCs/>
          <w:sz w:val="24"/>
          <w:szCs w:val="24"/>
        </w:rPr>
        <w:t>（其中正本   份，副本  份）</w:t>
      </w:r>
      <w:r>
        <w:rPr>
          <w:rFonts w:ascii="宋体" w:hAnsi="宋体" w:eastAsia="宋体" w:cs="Times New Roman"/>
          <w:bCs/>
          <w:sz w:val="24"/>
          <w:szCs w:val="24"/>
        </w:rPr>
        <w:t xml:space="preserve">，均具有同等法律效力，发包人执 </w:t>
      </w:r>
      <w:r>
        <w:rPr>
          <w:rFonts w:hint="eastAsia" w:ascii="宋体" w:hAnsi="宋体" w:eastAsia="宋体" w:cs="Times New Roman"/>
          <w:bCs/>
          <w:sz w:val="24"/>
          <w:szCs w:val="24"/>
        </w:rPr>
        <w:t xml:space="preserve">  </w:t>
      </w:r>
      <w:r>
        <w:rPr>
          <w:rFonts w:ascii="宋体" w:hAnsi="宋体" w:eastAsia="宋体" w:cs="Times New Roman"/>
          <w:bCs/>
          <w:sz w:val="24"/>
          <w:szCs w:val="24"/>
        </w:rPr>
        <w:t xml:space="preserve">份，承包人执 </w:t>
      </w:r>
      <w:r>
        <w:rPr>
          <w:rFonts w:hint="eastAsia" w:ascii="宋体" w:hAnsi="宋体" w:eastAsia="宋体" w:cs="Times New Roman"/>
          <w:bCs/>
          <w:sz w:val="24"/>
          <w:szCs w:val="24"/>
        </w:rPr>
        <w:t xml:space="preserve">  </w:t>
      </w:r>
      <w:r>
        <w:rPr>
          <w:rFonts w:ascii="宋体" w:hAnsi="宋体" w:eastAsia="宋体" w:cs="Times New Roman"/>
          <w:bCs/>
          <w:sz w:val="24"/>
          <w:szCs w:val="24"/>
        </w:rPr>
        <w:t>份。</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  (公章)                  承包人：  (公章)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法定代表人或其委托代理人：        法定代表人或其委托代理人：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（签字）                          （签字）</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地  址： 　　　  　　　　          地  址：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邮政编码： 　　　　　 　           邮政编码：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法定代表人：　     　              法定代表人：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或委托代理人：　　                 或委托代理人：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电  话：　　　　　　　　           电  话：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传  真：　　　　　　　　           传  真：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电子信箱：                         电子信箱：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开户银行：　　　　　　 　          开户银行：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账  号：　　　　　 　              账  号：　　　　　　　　     </w:t>
      </w:r>
    </w:p>
    <w:p>
      <w:pPr>
        <w:snapToGrid w:val="0"/>
        <w:spacing w:line="400" w:lineRule="exact"/>
        <w:ind w:firstLine="480" w:firstLineChars="200"/>
        <w:jc w:val="left"/>
        <w:rPr>
          <w:rFonts w:ascii="宋体" w:hAnsi="宋体" w:eastAsia="宋体" w:cs="Times New Roman"/>
          <w:bCs/>
          <w:sz w:val="24"/>
          <w:szCs w:val="24"/>
        </w:rPr>
      </w:pPr>
      <w:bookmarkStart w:id="395" w:name="_Toc351203494"/>
      <w:bookmarkStart w:id="396" w:name="_Toc363126442"/>
      <w:bookmarkStart w:id="397" w:name="_Toc389632252"/>
      <w:bookmarkStart w:id="398" w:name="_Toc402950277"/>
      <w:bookmarkStart w:id="399" w:name="_Toc374731479"/>
      <w:bookmarkStart w:id="400" w:name="_Toc369702838"/>
      <w:bookmarkStart w:id="401" w:name="_Toc14997"/>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bookmarkEnd w:id="395"/>
    <w:p>
      <w:pPr>
        <w:snapToGrid w:val="0"/>
        <w:spacing w:line="400" w:lineRule="exact"/>
        <w:ind w:firstLine="3600" w:firstLineChars="1500"/>
        <w:jc w:val="left"/>
        <w:rPr>
          <w:rFonts w:ascii="宋体" w:hAnsi="宋体" w:eastAsia="宋体" w:cs="Times New Roman"/>
          <w:bCs/>
          <w:sz w:val="24"/>
          <w:szCs w:val="24"/>
        </w:rPr>
      </w:pPr>
      <w:bookmarkStart w:id="402" w:name="_Toc14975638"/>
      <w:bookmarkEnd w:id="402"/>
      <w:bookmarkStart w:id="403" w:name="_Toc337558727"/>
      <w:r>
        <w:rPr>
          <w:rFonts w:hint="eastAsia" w:ascii="宋体" w:hAnsi="宋体" w:eastAsia="宋体" w:cs="Times New Roman"/>
          <w:bCs/>
          <w:sz w:val="24"/>
          <w:szCs w:val="24"/>
        </w:rPr>
        <w:t>二、</w:t>
      </w:r>
      <w:r>
        <w:rPr>
          <w:rFonts w:ascii="宋体" w:hAnsi="宋体" w:eastAsia="宋体" w:cs="Times New Roman"/>
          <w:bCs/>
          <w:sz w:val="24"/>
          <w:szCs w:val="24"/>
        </w:rPr>
        <w:t>通用合同条款</w:t>
      </w:r>
    </w:p>
    <w:bookmarkEnd w:id="396"/>
    <w:bookmarkEnd w:id="397"/>
    <w:bookmarkEnd w:id="398"/>
    <w:bookmarkEnd w:id="399"/>
    <w:bookmarkEnd w:id="400"/>
    <w:bookmarkEnd w:id="401"/>
    <w:bookmarkEnd w:id="403"/>
    <w:p>
      <w:pPr>
        <w:snapToGrid w:val="0"/>
        <w:spacing w:line="400" w:lineRule="exact"/>
        <w:ind w:firstLine="480" w:firstLineChars="200"/>
        <w:jc w:val="left"/>
        <w:rPr>
          <w:rFonts w:ascii="宋体" w:hAnsi="宋体" w:eastAsia="宋体" w:cs="Times New Roman"/>
          <w:bCs/>
          <w:sz w:val="24"/>
          <w:szCs w:val="24"/>
        </w:rPr>
      </w:pPr>
      <w:bookmarkStart w:id="404" w:name="_Toc500423703"/>
      <w:bookmarkStart w:id="405" w:name="_Toc366231650"/>
      <w:bookmarkStart w:id="406" w:name="_Toc529438830"/>
      <w:bookmarkStart w:id="407" w:name="_Toc395798699"/>
      <w:r>
        <w:rPr>
          <w:rFonts w:hint="eastAsia" w:ascii="宋体" w:hAnsi="宋体" w:eastAsia="宋体" w:cs="Times New Roman"/>
          <w:bCs/>
          <w:sz w:val="24"/>
          <w:szCs w:val="24"/>
        </w:rPr>
        <w:t>本通用条款执行《</w:t>
      </w:r>
      <w:r>
        <w:rPr>
          <w:rFonts w:ascii="宋体" w:hAnsi="宋体" w:eastAsia="宋体" w:cs="Times New Roman"/>
          <w:bCs/>
          <w:sz w:val="24"/>
          <w:szCs w:val="24"/>
        </w:rPr>
        <w:t>建设工程施工合同（示范文本）</w:t>
      </w:r>
      <w:r>
        <w:rPr>
          <w:rFonts w:hint="eastAsia" w:ascii="宋体" w:hAnsi="宋体" w:eastAsia="宋体" w:cs="Times New Roman"/>
          <w:bCs/>
          <w:sz w:val="24"/>
          <w:szCs w:val="24"/>
        </w:rPr>
        <w:t>》</w:t>
      </w:r>
      <w:r>
        <w:rPr>
          <w:rFonts w:ascii="宋体" w:hAnsi="宋体" w:eastAsia="宋体" w:cs="Times New Roman"/>
          <w:bCs/>
          <w:sz w:val="24"/>
          <w:szCs w:val="24"/>
        </w:rPr>
        <w:t>（GF—201</w:t>
      </w:r>
      <w:r>
        <w:rPr>
          <w:rFonts w:hint="eastAsia" w:ascii="宋体" w:hAnsi="宋体" w:eastAsia="宋体" w:cs="Times New Roman"/>
          <w:bCs/>
          <w:sz w:val="24"/>
          <w:szCs w:val="24"/>
        </w:rPr>
        <w:t>7</w:t>
      </w:r>
      <w:r>
        <w:rPr>
          <w:rFonts w:ascii="宋体" w:hAnsi="宋体" w:eastAsia="宋体" w:cs="Times New Roman"/>
          <w:bCs/>
          <w:sz w:val="24"/>
          <w:szCs w:val="24"/>
        </w:rPr>
        <w:t>—</w:t>
      </w:r>
      <w:r>
        <w:rPr>
          <w:rFonts w:hint="eastAsia" w:ascii="宋体" w:hAnsi="宋体" w:eastAsia="宋体" w:cs="Times New Roman"/>
          <w:bCs/>
          <w:sz w:val="24"/>
          <w:szCs w:val="24"/>
        </w:rPr>
        <w:t>0201）的“通用合同条款”。</w:t>
      </w:r>
    </w:p>
    <w:p>
      <w:pPr>
        <w:snapToGrid w:val="0"/>
        <w:spacing w:line="400" w:lineRule="exact"/>
        <w:ind w:firstLine="480" w:firstLineChars="200"/>
        <w:jc w:val="left"/>
        <w:rPr>
          <w:rFonts w:ascii="宋体" w:hAnsi="宋体" w:eastAsia="宋体" w:cs="Times New Roman"/>
          <w:bCs/>
          <w:sz w:val="24"/>
          <w:szCs w:val="24"/>
        </w:rPr>
      </w:pPr>
    </w:p>
    <w:bookmarkEnd w:id="404"/>
    <w:bookmarkEnd w:id="405"/>
    <w:bookmarkEnd w:id="406"/>
    <w:bookmarkEnd w:id="407"/>
    <w:p>
      <w:pPr>
        <w:snapToGrid w:val="0"/>
        <w:spacing w:line="400" w:lineRule="exact"/>
        <w:ind w:firstLine="480" w:firstLineChars="200"/>
        <w:jc w:val="left"/>
        <w:rPr>
          <w:rFonts w:ascii="宋体" w:hAnsi="宋体" w:eastAsia="宋体" w:cs="Times New Roman"/>
          <w:bCs/>
          <w:sz w:val="24"/>
          <w:szCs w:val="24"/>
        </w:rPr>
      </w:pPr>
      <w:bookmarkStart w:id="408" w:name="_Toc14975639"/>
      <w:bookmarkEnd w:id="408"/>
      <w:r>
        <w:rPr>
          <w:rFonts w:hint="eastAsia" w:ascii="宋体" w:hAnsi="宋体" w:eastAsia="宋体" w:cs="Times New Roman"/>
          <w:bCs/>
          <w:sz w:val="24"/>
          <w:szCs w:val="24"/>
        </w:rPr>
        <w:br w:type="page"/>
      </w:r>
      <w:r>
        <w:rPr>
          <w:rFonts w:hint="eastAsia" w:ascii="宋体" w:hAnsi="宋体" w:eastAsia="宋体" w:cs="Times New Roman"/>
          <w:bCs/>
          <w:sz w:val="24"/>
          <w:szCs w:val="24"/>
        </w:rPr>
        <w:t>三、专用合同条款</w:t>
      </w:r>
    </w:p>
    <w:p>
      <w:pPr>
        <w:snapToGrid w:val="0"/>
        <w:spacing w:line="400" w:lineRule="exact"/>
        <w:ind w:firstLine="480" w:firstLineChars="200"/>
        <w:jc w:val="left"/>
        <w:rPr>
          <w:rFonts w:ascii="宋体" w:hAnsi="宋体" w:eastAsia="宋体" w:cs="Times New Roman"/>
          <w:bCs/>
          <w:sz w:val="24"/>
          <w:szCs w:val="24"/>
        </w:rPr>
      </w:pPr>
      <w:bookmarkStart w:id="409" w:name="_Toc529438831"/>
      <w:bookmarkEnd w:id="409"/>
      <w:bookmarkStart w:id="410" w:name="_Toc417659703"/>
      <w:bookmarkEnd w:id="410"/>
      <w:bookmarkStart w:id="411" w:name="_Toc500423704"/>
      <w:bookmarkEnd w:id="411"/>
      <w:bookmarkStart w:id="412" w:name="_Toc14975640"/>
      <w:bookmarkEnd w:id="412"/>
      <w:r>
        <w:rPr>
          <w:rFonts w:hint="eastAsia" w:ascii="宋体" w:hAnsi="宋体" w:eastAsia="宋体" w:cs="Times New Roman"/>
          <w:bCs/>
          <w:sz w:val="24"/>
          <w:szCs w:val="24"/>
        </w:rPr>
        <w:t>1. 一般约定</w:t>
      </w:r>
    </w:p>
    <w:p>
      <w:pPr>
        <w:snapToGrid w:val="0"/>
        <w:spacing w:line="400" w:lineRule="exact"/>
        <w:ind w:firstLine="480" w:firstLineChars="200"/>
        <w:jc w:val="left"/>
        <w:rPr>
          <w:rFonts w:ascii="宋体" w:hAnsi="宋体" w:eastAsia="宋体" w:cs="Times New Roman"/>
          <w:bCs/>
          <w:sz w:val="24"/>
          <w:szCs w:val="24"/>
        </w:rPr>
      </w:pPr>
      <w:bookmarkStart w:id="413" w:name="_Toc417659704"/>
      <w:bookmarkEnd w:id="413"/>
      <w:r>
        <w:rPr>
          <w:rFonts w:hint="eastAsia" w:ascii="宋体" w:hAnsi="宋体" w:eastAsia="宋体" w:cs="Times New Roman"/>
          <w:bCs/>
          <w:sz w:val="24"/>
          <w:szCs w:val="24"/>
        </w:rPr>
        <w:t>1.1 词语定义</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1.1.1合同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1.1.1.10其他合同文件包括：  竞谈文件、投标文件，履行合同过程中双方书面确认的对合同内容有实质性影响的会议纪要、签证、设计变更等资料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1.1.2 合同当事人及其他相关方</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1.1.2.4监理人：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名    称：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资质类别和等级：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联系电话：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电子信箱：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通信地址：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1.1.2.5 设计人：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名    称：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资质类别和等级：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联系电话：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电子信箱：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通信地址：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1.1.3 工程和设备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1.1.3.7 作为施工现场组成部分的其他场所包括：发包方提供的施工场地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1.1.3.9 永久占地包括：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1.1.3.10 临时占地包括： /　。</w:t>
      </w:r>
    </w:p>
    <w:p>
      <w:pPr>
        <w:snapToGrid w:val="0"/>
        <w:spacing w:line="400" w:lineRule="exact"/>
        <w:ind w:firstLine="480" w:firstLineChars="200"/>
        <w:jc w:val="left"/>
        <w:rPr>
          <w:rFonts w:ascii="宋体" w:hAnsi="宋体" w:eastAsia="宋体" w:cs="Times New Roman"/>
          <w:bCs/>
          <w:sz w:val="24"/>
          <w:szCs w:val="24"/>
        </w:rPr>
      </w:pPr>
      <w:bookmarkStart w:id="414" w:name="_Toc417659705"/>
      <w:bookmarkEnd w:id="414"/>
      <w:r>
        <w:rPr>
          <w:rFonts w:hint="eastAsia" w:ascii="宋体" w:hAnsi="宋体" w:eastAsia="宋体" w:cs="Times New Roman"/>
          <w:bCs/>
          <w:sz w:val="24"/>
          <w:szCs w:val="24"/>
        </w:rPr>
        <w:t>1.3法律</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适用于合同的其他规范性文件：  国家规定的现行法律法规及河南省、三门峡市地方性法规和军队相应的规范、规程。</w:t>
      </w:r>
    </w:p>
    <w:p>
      <w:pPr>
        <w:snapToGrid w:val="0"/>
        <w:spacing w:line="400" w:lineRule="exact"/>
        <w:ind w:firstLine="480" w:firstLineChars="200"/>
        <w:jc w:val="left"/>
        <w:rPr>
          <w:rFonts w:ascii="宋体" w:hAnsi="宋体" w:eastAsia="宋体" w:cs="Times New Roman"/>
          <w:bCs/>
          <w:sz w:val="24"/>
          <w:szCs w:val="24"/>
        </w:rPr>
      </w:pPr>
      <w:bookmarkStart w:id="415" w:name="_Toc417659706"/>
      <w:bookmarkEnd w:id="415"/>
      <w:r>
        <w:rPr>
          <w:rFonts w:hint="eastAsia" w:ascii="宋体" w:hAnsi="宋体" w:eastAsia="宋体" w:cs="Times New Roman"/>
          <w:bCs/>
          <w:sz w:val="24"/>
          <w:szCs w:val="24"/>
        </w:rPr>
        <w:t>1.4 标准和规范</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1.4.1适用于工程的标准规范包括：  国家规定的现行法律法规及河南省、三门峡市地方性法规和军队相应的规范、规程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1.4.2 发包人提供国外标准、规范的名称：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发包人提供国外标准、规范的份数：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发包人提供国外标准、规范的名称：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1.4.3发包人对工程的技术标准和功能要求的特殊要求：  / 。</w:t>
      </w:r>
    </w:p>
    <w:p>
      <w:pPr>
        <w:snapToGrid w:val="0"/>
        <w:spacing w:line="400" w:lineRule="exact"/>
        <w:ind w:firstLine="480" w:firstLineChars="200"/>
        <w:jc w:val="left"/>
        <w:rPr>
          <w:rFonts w:ascii="宋体" w:hAnsi="宋体" w:eastAsia="宋体" w:cs="Times New Roman"/>
          <w:bCs/>
          <w:sz w:val="24"/>
          <w:szCs w:val="24"/>
        </w:rPr>
      </w:pPr>
      <w:bookmarkStart w:id="416" w:name="_Toc417659707"/>
      <w:bookmarkEnd w:id="416"/>
      <w:r>
        <w:rPr>
          <w:rFonts w:hint="eastAsia" w:ascii="宋体" w:hAnsi="宋体" w:eastAsia="宋体" w:cs="Times New Roman"/>
          <w:bCs/>
          <w:sz w:val="24"/>
          <w:szCs w:val="24"/>
        </w:rPr>
        <w:t>1.5 合同文件的优先顺序</w:t>
      </w:r>
    </w:p>
    <w:p>
      <w:pPr>
        <w:snapToGrid w:val="0"/>
        <w:spacing w:line="400" w:lineRule="exact"/>
        <w:ind w:firstLine="480" w:firstLineChars="200"/>
        <w:jc w:val="left"/>
        <w:rPr>
          <w:rFonts w:ascii="宋体" w:hAnsi="宋体" w:eastAsia="宋体" w:cs="Times New Roman"/>
          <w:bCs/>
          <w:sz w:val="24"/>
          <w:szCs w:val="24"/>
        </w:rPr>
      </w:pPr>
      <w:bookmarkStart w:id="417" w:name="_Toc417659708"/>
      <w:bookmarkEnd w:id="417"/>
      <w:r>
        <w:rPr>
          <w:rFonts w:hint="eastAsia" w:ascii="宋体" w:hAnsi="宋体" w:eastAsia="宋体" w:cs="Times New Roman"/>
          <w:bCs/>
          <w:sz w:val="24"/>
          <w:szCs w:val="24"/>
        </w:rPr>
        <w:t>（1）中标通知书；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（2）报价函及其附录；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（3）专用合同条款及其附件；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（4）通用合同条款；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（5）技术标准和要求；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（6）施工图纸；</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（7）已标价工程量清单或预算书；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（8）其他合同文件。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1.6 图纸和承包人文件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1.6.1 图纸的提供</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发包人向承包人提供图纸的期限：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发包人向承包人提供图纸的数量：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1.6.4 承包人文件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需要由承包人提供的文件，包括：  发包人或监理人提出要求，且应当由承包人编制的与工程施工有关的文件。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承包人提供的文件的数量为：  两份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承包人提供的文件的形式为：     双方另行确定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发包人审批承包人文件的期限：      收到承包人文件后7天内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1.6.5 现场图纸准备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关于现场图纸准备的约定：   执行通用条款</w:t>
      </w:r>
      <w:r>
        <w:rPr>
          <w:rFonts w:ascii="宋体" w:hAnsi="宋体" w:eastAsia="宋体" w:cs="Times New Roman"/>
          <w:bCs/>
          <w:sz w:val="24"/>
          <w:szCs w:val="24"/>
        </w:rPr>
        <w:t>。</w:t>
      </w:r>
    </w:p>
    <w:p>
      <w:pPr>
        <w:snapToGrid w:val="0"/>
        <w:spacing w:line="400" w:lineRule="exact"/>
        <w:ind w:firstLine="480" w:firstLineChars="200"/>
        <w:jc w:val="left"/>
        <w:rPr>
          <w:rFonts w:ascii="宋体" w:hAnsi="宋体" w:eastAsia="宋体" w:cs="Times New Roman"/>
          <w:bCs/>
          <w:sz w:val="24"/>
          <w:szCs w:val="24"/>
        </w:rPr>
      </w:pPr>
      <w:bookmarkStart w:id="418" w:name="_Toc417659709"/>
      <w:bookmarkEnd w:id="418"/>
      <w:r>
        <w:rPr>
          <w:rFonts w:hint="eastAsia" w:ascii="宋体" w:hAnsi="宋体" w:eastAsia="宋体" w:cs="Times New Roman"/>
          <w:bCs/>
          <w:sz w:val="24"/>
          <w:szCs w:val="24"/>
        </w:rPr>
        <w:t>1.7 联络</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1.7.1发包人和承包人应当在  7 天内将与合同有关的通知、批准、证明、证书、指示、指令、要求、请求、同意、意见、确定和决定等书面函件送达对方当事人。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1.7.2 发包人接收文件的地点：　项目所在地发包人项目部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发包人指定的接收人为：　　　发包人现场负责人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承包人接收文件的地点：　项目所在地承包人项目部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承包人指定的接收人为：　　　承包方项目经理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监理人接收文件的地点：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监理人指定的接收人为：　　　/    　。</w:t>
      </w:r>
    </w:p>
    <w:p>
      <w:pPr>
        <w:snapToGrid w:val="0"/>
        <w:spacing w:line="400" w:lineRule="exact"/>
        <w:ind w:firstLine="480" w:firstLineChars="200"/>
        <w:jc w:val="left"/>
        <w:rPr>
          <w:rFonts w:ascii="宋体" w:hAnsi="宋体" w:eastAsia="宋体" w:cs="Times New Roman"/>
          <w:bCs/>
          <w:sz w:val="24"/>
          <w:szCs w:val="24"/>
        </w:rPr>
      </w:pPr>
      <w:bookmarkStart w:id="419" w:name="_Toc417659710"/>
      <w:bookmarkEnd w:id="419"/>
      <w:r>
        <w:rPr>
          <w:rFonts w:hint="eastAsia" w:ascii="宋体" w:hAnsi="宋体" w:eastAsia="宋体" w:cs="Times New Roman"/>
          <w:bCs/>
          <w:sz w:val="24"/>
          <w:szCs w:val="24"/>
        </w:rPr>
        <w:t>1.10 交通运输</w:t>
      </w:r>
    </w:p>
    <w:p>
      <w:pPr>
        <w:snapToGrid w:val="0"/>
        <w:spacing w:line="400" w:lineRule="exact"/>
        <w:ind w:firstLine="480" w:firstLineChars="200"/>
        <w:jc w:val="left"/>
        <w:rPr>
          <w:rFonts w:ascii="宋体" w:hAnsi="宋体" w:eastAsia="宋体" w:cs="Times New Roman"/>
          <w:bCs/>
          <w:sz w:val="24"/>
          <w:szCs w:val="24"/>
        </w:rPr>
      </w:pPr>
      <w:bookmarkStart w:id="420" w:name="_Toc300934943"/>
      <w:bookmarkEnd w:id="420"/>
      <w:bookmarkStart w:id="421" w:name="_Toc304295521"/>
      <w:bookmarkEnd w:id="421"/>
      <w:bookmarkStart w:id="422" w:name="_Toc312677986"/>
      <w:bookmarkEnd w:id="422"/>
      <w:bookmarkStart w:id="423" w:name="_Toc303539100"/>
      <w:bookmarkEnd w:id="423"/>
      <w:bookmarkStart w:id="424" w:name="_Toc318581155"/>
      <w:bookmarkEnd w:id="424"/>
      <w:bookmarkStart w:id="425" w:name="_Toc417659711"/>
      <w:r>
        <w:rPr>
          <w:rFonts w:hint="eastAsia" w:ascii="宋体" w:hAnsi="宋体" w:eastAsia="宋体" w:cs="Times New Roman"/>
          <w:bCs/>
          <w:sz w:val="24"/>
          <w:szCs w:val="24"/>
        </w:rPr>
        <w:t>1.10.1 出入现场的权利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关于出入现场的权利的约定：   执行通用条款    。</w:t>
      </w:r>
    </w:p>
    <w:p>
      <w:pPr>
        <w:snapToGrid w:val="0"/>
        <w:spacing w:line="400" w:lineRule="exact"/>
        <w:ind w:firstLine="480" w:firstLineChars="200"/>
        <w:jc w:val="left"/>
        <w:rPr>
          <w:rFonts w:ascii="宋体" w:hAnsi="宋体" w:eastAsia="宋体" w:cs="Times New Roman"/>
          <w:bCs/>
          <w:sz w:val="24"/>
          <w:szCs w:val="24"/>
        </w:rPr>
      </w:pPr>
      <w:bookmarkStart w:id="426" w:name="_Toc300934944"/>
      <w:bookmarkEnd w:id="426"/>
      <w:bookmarkStart w:id="427" w:name="_Toc303539101"/>
      <w:bookmarkEnd w:id="427"/>
      <w:bookmarkStart w:id="428" w:name="_Toc318581156"/>
      <w:bookmarkEnd w:id="428"/>
      <w:bookmarkStart w:id="429" w:name="_Toc304295522"/>
      <w:bookmarkEnd w:id="429"/>
      <w:bookmarkStart w:id="430" w:name="_Toc312677987"/>
      <w:bookmarkEnd w:id="430"/>
      <w:r>
        <w:rPr>
          <w:rFonts w:hint="eastAsia" w:ascii="宋体" w:hAnsi="宋体" w:eastAsia="宋体" w:cs="Times New Roman"/>
          <w:bCs/>
          <w:sz w:val="24"/>
          <w:szCs w:val="24"/>
        </w:rPr>
        <w:t>1.10.3 场内交通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关于场外交通和场内交通的边界的约定   施工区域红线  。</w:t>
      </w:r>
    </w:p>
    <w:p>
      <w:pPr>
        <w:snapToGrid w:val="0"/>
        <w:spacing w:line="400" w:lineRule="exact"/>
        <w:ind w:firstLine="480" w:firstLineChars="200"/>
        <w:jc w:val="left"/>
        <w:rPr>
          <w:rFonts w:ascii="宋体" w:hAnsi="宋体" w:eastAsia="宋体" w:cs="Times New Roman"/>
          <w:bCs/>
          <w:sz w:val="24"/>
          <w:szCs w:val="24"/>
        </w:rPr>
      </w:pPr>
      <w:bookmarkStart w:id="431" w:name="_Toc318581157"/>
      <w:bookmarkEnd w:id="431"/>
      <w:r>
        <w:rPr>
          <w:rFonts w:hint="eastAsia" w:ascii="宋体" w:hAnsi="宋体" w:eastAsia="宋体" w:cs="Times New Roman"/>
          <w:bCs/>
          <w:sz w:val="24"/>
          <w:szCs w:val="24"/>
        </w:rPr>
        <w:t>关于发包人向承包人免费提供满足工程施工需要的场内道路和交通设施的约定：发包人负责办理工地范围内的用地，承包方对施工用地自行进行整理。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1.10.4超大件和超重件的运输</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运输超大件或超重件所需的道路和桥梁临时加固改造费用和其他有关费用由 承包人承担 。</w:t>
      </w:r>
    </w:p>
    <w:bookmarkEnd w:id="425"/>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1.11 知识产权</w:t>
      </w:r>
    </w:p>
    <w:p>
      <w:pPr>
        <w:snapToGrid w:val="0"/>
        <w:spacing w:line="400" w:lineRule="exact"/>
        <w:ind w:firstLine="480" w:firstLineChars="200"/>
        <w:jc w:val="left"/>
        <w:rPr>
          <w:rFonts w:ascii="宋体" w:hAnsi="宋体" w:eastAsia="宋体" w:cs="Times New Roman"/>
          <w:bCs/>
          <w:sz w:val="24"/>
          <w:szCs w:val="24"/>
        </w:rPr>
      </w:pPr>
      <w:bookmarkStart w:id="432" w:name="_Toc417659712"/>
      <w:r>
        <w:rPr>
          <w:rFonts w:hint="eastAsia" w:ascii="宋体" w:hAnsi="宋体" w:eastAsia="宋体" w:cs="Times New Roman"/>
          <w:bCs/>
          <w:sz w:val="24"/>
          <w:szCs w:val="24"/>
        </w:rPr>
        <w:t>1.11.1关于发包人提供给承包人的图纸、发包人为实施工程自行编制或委托编制的技术规范以及反映发包人关于合同要求或其他类似性质的文件的著作权的归属：发包人。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关于发包人提供的上述文件的使用限制的要求：执行通用条款及严格执行军事保密规定。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1.11.2 关于承包人为实施工程所编制文件的著作权的归属：除署名权外的其他著作权应当属于发包人</w:t>
      </w:r>
      <w:r>
        <w:rPr>
          <w:rFonts w:ascii="宋体" w:hAnsi="宋体" w:eastAsia="宋体" w:cs="Times New Roman"/>
          <w:bCs/>
          <w:sz w:val="24"/>
          <w:szCs w:val="24"/>
        </w:rPr>
        <w:t></w:t>
      </w:r>
      <w:r>
        <w:rPr>
          <w:rFonts w:hint="eastAsia" w:ascii="宋体" w:hAnsi="宋体" w:eastAsia="宋体" w:cs="Times New Roman"/>
          <w:bCs/>
          <w:sz w:val="24"/>
          <w:szCs w:val="24"/>
        </w:rPr>
        <w:t>。</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关于承包人提供的上述文件的使用限制的要求：执行通用条款及严格执行军事保密规定。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1.11.4 承包人在施工过程中所采用的专利、专有技术、技术秘密的使用费的承担方式：  包含在签约的合同价中。</w:t>
      </w:r>
    </w:p>
    <w:bookmarkEnd w:id="432"/>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1.13工程量清单错误的修正</w:t>
      </w:r>
    </w:p>
    <w:p>
      <w:pPr>
        <w:snapToGrid w:val="0"/>
        <w:spacing w:line="400" w:lineRule="exact"/>
        <w:ind w:firstLine="480" w:firstLineChars="200"/>
        <w:jc w:val="left"/>
        <w:rPr>
          <w:rFonts w:ascii="宋体" w:hAnsi="宋体" w:eastAsia="宋体" w:cs="Times New Roman"/>
          <w:bCs/>
          <w:sz w:val="24"/>
          <w:szCs w:val="24"/>
        </w:rPr>
      </w:pPr>
      <w:bookmarkStart w:id="433" w:name="_Toc500423705"/>
      <w:bookmarkStart w:id="434" w:name="_Toc417659713"/>
      <w:bookmarkStart w:id="435" w:name="_Toc14975641"/>
      <w:bookmarkStart w:id="436" w:name="_Toc529438832"/>
      <w:r>
        <w:rPr>
          <w:rFonts w:hint="eastAsia" w:ascii="宋体" w:hAnsi="宋体" w:eastAsia="宋体" w:cs="Times New Roman"/>
          <w:bCs/>
          <w:sz w:val="24"/>
          <w:szCs w:val="24"/>
        </w:rPr>
        <w:t>出现工程量清单错误时，是否调整合同价格：工程量清单存在缺项、漏项时调整。</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允许调整合同价格的工程量偏差范围：   /   。</w:t>
      </w:r>
    </w:p>
    <w:bookmarkEnd w:id="433"/>
    <w:bookmarkEnd w:id="434"/>
    <w:bookmarkEnd w:id="435"/>
    <w:bookmarkEnd w:id="436"/>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 发包人</w:t>
      </w:r>
    </w:p>
    <w:p>
      <w:pPr>
        <w:snapToGrid w:val="0"/>
        <w:spacing w:line="400" w:lineRule="exact"/>
        <w:ind w:firstLine="480" w:firstLineChars="200"/>
        <w:jc w:val="left"/>
        <w:rPr>
          <w:rFonts w:ascii="宋体" w:hAnsi="宋体" w:eastAsia="宋体" w:cs="Times New Roman"/>
          <w:bCs/>
          <w:sz w:val="24"/>
          <w:szCs w:val="24"/>
        </w:rPr>
      </w:pPr>
      <w:bookmarkStart w:id="437" w:name="_Toc417659714"/>
      <w:bookmarkEnd w:id="437"/>
      <w:r>
        <w:rPr>
          <w:rFonts w:hint="eastAsia" w:ascii="宋体" w:hAnsi="宋体" w:eastAsia="宋体" w:cs="Times New Roman"/>
          <w:bCs/>
          <w:sz w:val="24"/>
          <w:szCs w:val="24"/>
        </w:rPr>
        <w:t>2.2 发包人代表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发包人代表：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姓    名：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职    务：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联系电话：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电子信箱：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通信地址：　　　　　　　　   　　　　　　。</w:t>
      </w:r>
    </w:p>
    <w:p>
      <w:pPr>
        <w:snapToGrid w:val="0"/>
        <w:spacing w:line="400" w:lineRule="exact"/>
        <w:ind w:firstLine="480" w:firstLineChars="200"/>
        <w:jc w:val="left"/>
        <w:rPr>
          <w:rFonts w:ascii="宋体" w:hAnsi="宋体" w:eastAsia="宋体" w:cs="Times New Roman"/>
          <w:bCs/>
          <w:sz w:val="24"/>
          <w:szCs w:val="24"/>
        </w:rPr>
      </w:pPr>
      <w:bookmarkStart w:id="438" w:name="_Toc500423713"/>
      <w:bookmarkStart w:id="439" w:name="_Toc529438840"/>
      <w:bookmarkStart w:id="440" w:name="_Toc14975649"/>
      <w:bookmarkStart w:id="441" w:name="_Toc417659750"/>
      <w:r>
        <w:rPr>
          <w:rFonts w:hint="eastAsia" w:ascii="宋体" w:hAnsi="宋体" w:eastAsia="宋体" w:cs="Times New Roman"/>
          <w:bCs/>
          <w:sz w:val="24"/>
          <w:szCs w:val="24"/>
        </w:rPr>
        <w:t>发包人对发包人代表的授权范围如下：</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（1）确认承包人提出的顺延工期的签证；</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（2）对发生的不可抗力造成工程施工无法实施的处置；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（3）设计变更以及施工变更等有关签证的确认；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（4）工程竣工验收的确认；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（5）工程预付款和进度款的审批；</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（6）代表发包人行使本合同约定的其他权利和义务。</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2.4 施工现场、施工条件和基础资料的提供</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2.4.1 提供施工现场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关于发包人移交施工现场的期限要求：开工日期2天前。</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2.4.2 提供施工条件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关于发包人应负责提供施工所需要的条件，包括：施工道路、施工用水源、电源由承包人自行解决，施工水、电费及水电费的线路损耗由承包人承担。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2.5 资金来源证明及支付担保</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发包人提供资金来源证明的期限要求：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发包人是否提供支付担保：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发包人提供支付担保的形式：       /                。</w:t>
      </w:r>
    </w:p>
    <w:p>
      <w:pPr>
        <w:snapToGrid w:val="0"/>
        <w:spacing w:line="400" w:lineRule="exact"/>
        <w:ind w:firstLine="480" w:firstLineChars="200"/>
        <w:jc w:val="left"/>
        <w:rPr>
          <w:rFonts w:ascii="宋体" w:hAnsi="宋体" w:eastAsia="宋体" w:cs="Times New Roman"/>
          <w:bCs/>
          <w:sz w:val="24"/>
          <w:szCs w:val="24"/>
        </w:rPr>
      </w:pPr>
      <w:bookmarkStart w:id="442" w:name="_Toc296944497"/>
      <w:bookmarkEnd w:id="442"/>
      <w:bookmarkStart w:id="443" w:name="_Toc297120458"/>
      <w:bookmarkEnd w:id="443"/>
      <w:bookmarkStart w:id="444" w:name="_Toc351203635"/>
      <w:bookmarkEnd w:id="444"/>
      <w:bookmarkStart w:id="445" w:name="_Toc296346659"/>
      <w:bookmarkEnd w:id="445"/>
      <w:bookmarkStart w:id="446" w:name="_Toc296891198"/>
      <w:bookmarkEnd w:id="446"/>
      <w:bookmarkStart w:id="447" w:name="_Toc292559868"/>
      <w:bookmarkEnd w:id="447"/>
      <w:bookmarkStart w:id="448" w:name="_Toc297048344"/>
      <w:bookmarkEnd w:id="448"/>
      <w:bookmarkStart w:id="449" w:name="_Toc296890986"/>
      <w:bookmarkEnd w:id="449"/>
      <w:bookmarkStart w:id="450" w:name="_Toc296503158"/>
      <w:bookmarkEnd w:id="450"/>
      <w:bookmarkStart w:id="451" w:name="_Toc292559363"/>
      <w:bookmarkEnd w:id="451"/>
      <w:bookmarkStart w:id="452" w:name="_Toc296347157"/>
      <w:bookmarkEnd w:id="452"/>
      <w:r>
        <w:rPr>
          <w:rFonts w:hint="eastAsia" w:ascii="宋体" w:hAnsi="宋体" w:eastAsia="宋体" w:cs="Times New Roman"/>
          <w:bCs/>
          <w:sz w:val="24"/>
          <w:szCs w:val="24"/>
        </w:rPr>
        <w:t>3. 承包人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3.1 承包人的一般义务</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承包人需要提交的竣工资料套数：按相关规定。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承包人提交的竣工资料的费用承担：承包人承担。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承包人提交的竣工资料移交时间：工程竣工验收合格后7个工作日内。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承包人提交的竣工资料形式要求：纸质及电子文档。</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3.2 项目经理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3.2.1 项目经理：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姓    名：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身份证号：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联系电话：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电子信箱：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通信地址：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承包人对项目经理的授权范围如下：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承包人对项目经理的授权范围如下：全面代表承包人在施工现场承担的权利和义务，协调与现场施工相关的各方关系，负责施工现场生产进度、质量和安全文明施工的协调。</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关于项目经理每月在施工现场的时间要求：项目经理离开现场必须事先征得发包人同意，未经发包人同意，不得擅自离开工地现场，且每月不少于</w:t>
      </w:r>
      <w:r>
        <w:rPr>
          <w:rFonts w:ascii="宋体" w:hAnsi="宋体" w:eastAsia="宋体" w:cs="Times New Roman"/>
          <w:bCs/>
          <w:sz w:val="24"/>
          <w:szCs w:val="24"/>
        </w:rPr>
        <w:t>22</w:t>
      </w:r>
      <w:r>
        <w:rPr>
          <w:rFonts w:hint="eastAsia" w:ascii="宋体" w:hAnsi="宋体" w:eastAsia="宋体" w:cs="Times New Roman"/>
          <w:bCs/>
          <w:sz w:val="24"/>
          <w:szCs w:val="24"/>
        </w:rPr>
        <w:t>天，每天不少于6小时，在本工程现场工作。在施工现场工作天数每少一天扣除履约保证金2000元，工作期内连续</w:t>
      </w:r>
      <w:r>
        <w:rPr>
          <w:rFonts w:ascii="宋体" w:hAnsi="宋体" w:eastAsia="宋体" w:cs="Times New Roman"/>
          <w:bCs/>
          <w:sz w:val="24"/>
          <w:szCs w:val="24"/>
        </w:rPr>
        <w:t>5</w:t>
      </w:r>
      <w:r>
        <w:rPr>
          <w:rFonts w:hint="eastAsia" w:ascii="宋体" w:hAnsi="宋体" w:eastAsia="宋体" w:cs="Times New Roman"/>
          <w:bCs/>
          <w:sz w:val="24"/>
          <w:szCs w:val="24"/>
        </w:rPr>
        <w:t>天不在现场，发包人有权要求更换不称职的项目经理，并追究违约责任，发包人有权扣除5万元违约金并报工程业务主管部门备案。项目经理考勤方法为发包人考勤，若出现特殊情况，经发包人同意，更换后的项目经理不得低于原来的资质、职称等。</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承包人未提交劳动合同，以及没有为项目经理缴纳社会保险证明的违约责任：承包人承担一切违约责任。</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3.2.2 承包人擅自更换项目经理的违约责任：承担上述违约给发包人造成的一切损失。</w:t>
      </w:r>
    </w:p>
    <w:p>
      <w:pPr>
        <w:snapToGrid w:val="0"/>
        <w:spacing w:line="400" w:lineRule="exact"/>
        <w:ind w:firstLine="480" w:firstLineChars="200"/>
        <w:jc w:val="left"/>
        <w:rPr>
          <w:rFonts w:ascii="宋体" w:hAnsi="宋体" w:eastAsia="宋体" w:cs="Times New Roman"/>
          <w:bCs/>
          <w:sz w:val="24"/>
          <w:szCs w:val="24"/>
        </w:rPr>
      </w:pPr>
      <w:bookmarkStart w:id="453" w:name="_Toc16191"/>
      <w:bookmarkEnd w:id="453"/>
      <w:bookmarkStart w:id="454" w:name="_Toc56954814"/>
      <w:bookmarkEnd w:id="454"/>
      <w:r>
        <w:rPr>
          <w:rFonts w:hint="eastAsia" w:ascii="宋体" w:hAnsi="宋体" w:eastAsia="宋体" w:cs="Times New Roman"/>
          <w:bCs/>
          <w:sz w:val="24"/>
          <w:szCs w:val="24"/>
        </w:rPr>
        <w:t>3.2.3 承包人无正当理由拒绝更换项目经理的违约责任：承包人应当按日向发包人支付2000元的违约金，直至更换为止。</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3.3 承包人人员</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3.3.1 承包人提交项目管理机构及施工现场管理人员安排报告的期限：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3.3.2 承包人无正当理由拒绝撤换主要施工管理人员的违约责任：承包人应当按日向发包人支付1000元的违约金，直至更换为止。</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3.3.3 承包人主要施工管理人员离开施工现场的批准要求：由监理工程师批准，发包人认可后方可离开。</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3.3.4承包人擅自更换主要施工管理人员的违约责任：处以1000元罚款，并承担上述违约给发包人造成的一切损失。</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承包人主要施工管理人员擅自离开施工现场的违约责任：承包人应当按日向发包人支付1000元的违约金，情节严重的更换。</w:t>
      </w:r>
    </w:p>
    <w:p>
      <w:pPr>
        <w:snapToGrid w:val="0"/>
        <w:spacing w:line="400" w:lineRule="exact"/>
        <w:ind w:firstLine="480" w:firstLineChars="200"/>
        <w:jc w:val="left"/>
        <w:rPr>
          <w:rFonts w:ascii="宋体" w:hAnsi="宋体" w:eastAsia="宋体" w:cs="Times New Roman"/>
          <w:bCs/>
          <w:sz w:val="24"/>
          <w:szCs w:val="24"/>
        </w:rPr>
      </w:pPr>
      <w:bookmarkStart w:id="455" w:name="_Toc351203636"/>
      <w:bookmarkEnd w:id="455"/>
      <w:r>
        <w:rPr>
          <w:rFonts w:hint="eastAsia" w:ascii="宋体" w:hAnsi="宋体" w:eastAsia="宋体" w:cs="Times New Roman"/>
          <w:bCs/>
          <w:sz w:val="24"/>
          <w:szCs w:val="24"/>
        </w:rPr>
        <w:t>3.4 分包</w:t>
      </w:r>
    </w:p>
    <w:p>
      <w:pPr>
        <w:snapToGrid w:val="0"/>
        <w:spacing w:line="400" w:lineRule="exact"/>
        <w:ind w:firstLine="480" w:firstLineChars="200"/>
        <w:jc w:val="left"/>
        <w:rPr>
          <w:rFonts w:ascii="宋体" w:hAnsi="宋体" w:eastAsia="宋体" w:cs="Times New Roman"/>
          <w:bCs/>
          <w:sz w:val="24"/>
          <w:szCs w:val="24"/>
        </w:rPr>
      </w:pPr>
      <w:bookmarkStart w:id="456" w:name="_Toc296346661"/>
      <w:bookmarkStart w:id="457" w:name="_Toc304295524"/>
      <w:bookmarkStart w:id="458" w:name="_Toc297120460"/>
      <w:bookmarkStart w:id="459" w:name="_Toc300934946"/>
      <w:bookmarkStart w:id="460" w:name="_Toc297048346"/>
      <w:bookmarkStart w:id="461" w:name="_Toc296503160"/>
      <w:bookmarkStart w:id="462" w:name="_Toc297123493"/>
      <w:bookmarkStart w:id="463" w:name="_Toc296891200"/>
      <w:bookmarkStart w:id="464" w:name="_Toc297216152"/>
      <w:bookmarkStart w:id="465" w:name="_Toc292559365"/>
      <w:bookmarkStart w:id="466" w:name="_Toc296890988"/>
      <w:bookmarkStart w:id="467" w:name="_Toc296347159"/>
      <w:bookmarkStart w:id="468" w:name="_Toc292559870"/>
      <w:bookmarkStart w:id="469" w:name="_Toc303539103"/>
      <w:bookmarkStart w:id="470" w:name="_Toc296944499"/>
      <w:r>
        <w:rPr>
          <w:rFonts w:hint="eastAsia" w:ascii="宋体" w:hAnsi="宋体" w:eastAsia="宋体" w:cs="Times New Roman"/>
          <w:bCs/>
          <w:sz w:val="24"/>
          <w:szCs w:val="24"/>
        </w:rPr>
        <w:t>3.4.1 分包的一般约定</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禁止分包的工程包括：全部工程禁止分包。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3.5 工程照管与成品、半成品保护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承包人负责照管工程及工程相关的材料、工程设备的起始时间：执行通用条款。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3.6 履约担保</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承包人是否提供履约担保：是。</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承包人提供履约担保的形式、金额及期限：</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履约担保的金额：中标金额的8%；以支票、汇票、保函、转账等非现金形式，工程竣工验收合格后30个工作日内一次性退还。履约保证金不计算利息。</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3.7农民工工资担保</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如发生拖欠或克扣农民工工资而导致产生的所有问题，均由承包方承担，发包人有权从履约保证金或工程款中扣除相应钱款用于支付农民工工资。</w:t>
      </w:r>
    </w:p>
    <w:p>
      <w:pPr>
        <w:snapToGrid w:val="0"/>
        <w:spacing w:line="400" w:lineRule="exact"/>
        <w:ind w:firstLine="480" w:firstLineChars="200"/>
        <w:jc w:val="left"/>
        <w:rPr>
          <w:rFonts w:ascii="宋体" w:hAnsi="宋体" w:eastAsia="宋体" w:cs="Times New Roman"/>
          <w:bCs/>
          <w:sz w:val="24"/>
          <w:szCs w:val="24"/>
        </w:rPr>
      </w:pPr>
      <w:bookmarkStart w:id="471" w:name="_Toc292559366"/>
      <w:bookmarkEnd w:id="471"/>
      <w:bookmarkStart w:id="472" w:name="_Toc267251413"/>
      <w:bookmarkEnd w:id="472"/>
      <w:bookmarkStart w:id="473" w:name="_Toc297120462"/>
      <w:bookmarkEnd w:id="473"/>
      <w:bookmarkStart w:id="474" w:name="_Toc292559871"/>
      <w:bookmarkEnd w:id="474"/>
      <w:bookmarkStart w:id="475" w:name="_Toc296890990"/>
      <w:bookmarkEnd w:id="475"/>
      <w:bookmarkStart w:id="476" w:name="_Toc297048348"/>
      <w:bookmarkEnd w:id="476"/>
      <w:bookmarkStart w:id="477" w:name="_Toc296891202"/>
      <w:bookmarkEnd w:id="477"/>
      <w:bookmarkStart w:id="478" w:name="_Toc296346663"/>
      <w:bookmarkEnd w:id="478"/>
      <w:bookmarkStart w:id="479" w:name="_Toc296347161"/>
      <w:bookmarkEnd w:id="479"/>
      <w:bookmarkStart w:id="480" w:name="_Toc296503162"/>
      <w:bookmarkEnd w:id="480"/>
      <w:bookmarkStart w:id="481" w:name="_Toc296944501"/>
      <w:bookmarkEnd w:id="481"/>
      <w:r>
        <w:rPr>
          <w:rFonts w:hint="eastAsia" w:ascii="宋体" w:hAnsi="宋体" w:eastAsia="宋体" w:cs="Times New Roman"/>
          <w:bCs/>
          <w:sz w:val="24"/>
          <w:szCs w:val="24"/>
        </w:rPr>
        <w:t>4. 监理人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4.1监理人的一般规定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关于监理人的监理内容：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关于监理人的监理权限：    /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关于监理人在施工现场的办公场所、生活场所的提供和费用承担的约定：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4.2 监理人员</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总监理工程师：</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姓    名：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职    务：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监理工程师执业资格证书号：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联系电话：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电子信箱：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通信地址：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关于监理人的其他约定：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4.4 商定或确定</w:t>
      </w:r>
    </w:p>
    <w:p>
      <w:pPr>
        <w:snapToGrid w:val="0"/>
        <w:spacing w:line="400" w:lineRule="exact"/>
        <w:ind w:firstLine="480" w:firstLineChars="200"/>
        <w:jc w:val="left"/>
        <w:rPr>
          <w:rFonts w:ascii="宋体" w:hAnsi="宋体" w:eastAsia="宋体" w:cs="Times New Roman"/>
          <w:bCs/>
          <w:sz w:val="24"/>
          <w:szCs w:val="24"/>
        </w:rPr>
      </w:pPr>
      <w:bookmarkStart w:id="482" w:name="_Toc267251418"/>
      <w:bookmarkEnd w:id="482"/>
      <w:r>
        <w:rPr>
          <w:rFonts w:hint="eastAsia" w:ascii="宋体" w:hAnsi="宋体" w:eastAsia="宋体" w:cs="Times New Roman"/>
          <w:bCs/>
          <w:sz w:val="24"/>
          <w:szCs w:val="24"/>
        </w:rPr>
        <w:t>在发包人和承包人不能通过协商达成一致意见时，发包人授权监理人对以下事项进行确定：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          /                。</w:t>
      </w:r>
    </w:p>
    <w:p>
      <w:pPr>
        <w:snapToGrid w:val="0"/>
        <w:spacing w:line="400" w:lineRule="exact"/>
        <w:ind w:firstLine="480" w:firstLineChars="200"/>
        <w:jc w:val="left"/>
        <w:rPr>
          <w:rFonts w:ascii="宋体" w:hAnsi="宋体" w:eastAsia="宋体" w:cs="Times New Roman"/>
          <w:bCs/>
          <w:sz w:val="24"/>
          <w:szCs w:val="24"/>
        </w:rPr>
      </w:pPr>
      <w:bookmarkStart w:id="483" w:name="_Toc296890991"/>
      <w:bookmarkEnd w:id="483"/>
      <w:bookmarkStart w:id="484" w:name="_Toc296503163"/>
      <w:bookmarkEnd w:id="484"/>
      <w:bookmarkStart w:id="485" w:name="_Toc296944502"/>
      <w:bookmarkEnd w:id="485"/>
      <w:bookmarkStart w:id="486" w:name="_Toc296891203"/>
      <w:bookmarkEnd w:id="486"/>
      <w:bookmarkStart w:id="487" w:name="_Toc292559367"/>
      <w:bookmarkEnd w:id="487"/>
      <w:bookmarkStart w:id="488" w:name="_Toc297120463"/>
      <w:bookmarkEnd w:id="488"/>
      <w:bookmarkStart w:id="489" w:name="_Toc296346664"/>
      <w:bookmarkEnd w:id="489"/>
      <w:bookmarkStart w:id="490" w:name="_Toc297048349"/>
      <w:bookmarkEnd w:id="490"/>
      <w:bookmarkStart w:id="491" w:name="_Toc292559872"/>
      <w:bookmarkEnd w:id="491"/>
      <w:bookmarkStart w:id="492" w:name="_Toc351203637"/>
      <w:bookmarkEnd w:id="492"/>
      <w:bookmarkStart w:id="493" w:name="_Toc296347162"/>
      <w:bookmarkEnd w:id="493"/>
      <w:r>
        <w:rPr>
          <w:rFonts w:hint="eastAsia" w:ascii="宋体" w:hAnsi="宋体" w:eastAsia="宋体" w:cs="Times New Roman"/>
          <w:bCs/>
          <w:sz w:val="24"/>
          <w:szCs w:val="24"/>
        </w:rPr>
        <w:t>5. 工程质量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5.1 质量要求</w:t>
      </w:r>
    </w:p>
    <w:p>
      <w:pPr>
        <w:snapToGrid w:val="0"/>
        <w:spacing w:line="400" w:lineRule="exact"/>
        <w:ind w:firstLine="480" w:firstLineChars="200"/>
        <w:jc w:val="left"/>
        <w:rPr>
          <w:rFonts w:ascii="宋体" w:hAnsi="宋体" w:eastAsia="宋体" w:cs="Times New Roman"/>
          <w:bCs/>
          <w:sz w:val="24"/>
          <w:szCs w:val="24"/>
        </w:rPr>
      </w:pPr>
      <w:bookmarkStart w:id="494" w:name="_Toc304295527"/>
      <w:bookmarkEnd w:id="494"/>
      <w:bookmarkStart w:id="495" w:name="_Toc318581164"/>
      <w:bookmarkEnd w:id="495"/>
      <w:bookmarkStart w:id="496" w:name="_Toc297216155"/>
      <w:bookmarkEnd w:id="496"/>
      <w:bookmarkStart w:id="497" w:name="_Toc303539106"/>
      <w:bookmarkEnd w:id="497"/>
      <w:bookmarkStart w:id="498" w:name="_Toc297123496"/>
      <w:bookmarkEnd w:id="498"/>
      <w:bookmarkStart w:id="499" w:name="_Toc312677997"/>
      <w:bookmarkEnd w:id="499"/>
      <w:bookmarkStart w:id="500" w:name="_Toc300934949"/>
      <w:bookmarkEnd w:id="500"/>
      <w:r>
        <w:rPr>
          <w:rFonts w:hint="eastAsia" w:ascii="宋体" w:hAnsi="宋体" w:eastAsia="宋体" w:cs="Times New Roman"/>
          <w:bCs/>
          <w:sz w:val="24"/>
          <w:szCs w:val="24"/>
        </w:rPr>
        <w:t>5.1.1 特殊质量标准和要求：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关于工程奖项的约定：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5.3 隐蔽工程检查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5.3.2承包人提前通知监理人隐蔽工程检查的期限的约定：执行通用条款。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监理人不能按时进行检查时，应提前 24 小时提交书面延期要求。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关于延期最长不得超过：  24  小时。</w:t>
      </w:r>
    </w:p>
    <w:p>
      <w:pPr>
        <w:snapToGrid w:val="0"/>
        <w:spacing w:line="400" w:lineRule="exact"/>
        <w:ind w:firstLine="480" w:firstLineChars="200"/>
        <w:jc w:val="left"/>
        <w:rPr>
          <w:rFonts w:ascii="宋体" w:hAnsi="宋体" w:eastAsia="宋体" w:cs="Times New Roman"/>
          <w:bCs/>
          <w:sz w:val="24"/>
          <w:szCs w:val="24"/>
        </w:rPr>
      </w:pPr>
      <w:bookmarkStart w:id="501" w:name="_Toc351203638"/>
      <w:bookmarkEnd w:id="501"/>
      <w:r>
        <w:rPr>
          <w:rFonts w:hint="eastAsia" w:ascii="宋体" w:hAnsi="宋体" w:eastAsia="宋体" w:cs="Times New Roman"/>
          <w:bCs/>
          <w:sz w:val="24"/>
          <w:szCs w:val="24"/>
        </w:rPr>
        <w:t>6. 安全文明施工与环境保护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6.1安全文明施工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6.1.1 项目安全生产的达标目标及相应事项的约定：  达到《建筑施工现场环境与卫生标准》（</w:t>
      </w:r>
      <w:r>
        <w:rPr>
          <w:rFonts w:ascii="宋体" w:hAnsi="宋体" w:eastAsia="宋体" w:cs="Times New Roman"/>
          <w:bCs/>
          <w:sz w:val="24"/>
          <w:szCs w:val="24"/>
        </w:rPr>
        <w:t>JGJ146-2004</w:t>
      </w:r>
      <w:r>
        <w:rPr>
          <w:rFonts w:hint="eastAsia" w:ascii="宋体" w:hAnsi="宋体" w:eastAsia="宋体" w:cs="Times New Roman"/>
          <w:bCs/>
          <w:sz w:val="24"/>
          <w:szCs w:val="24"/>
        </w:rPr>
        <w:t>）及当地政府的相关要求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6.1.4 关于治安保卫的特别约定：      按通用条款执行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关于编制施工场地治安管理计划的约定：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6.1.5 文明施工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合同当事人对文明施工的要求：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6.1.6 关于安全文明施工费支付比例和支付期限的约定：  执行通用条款  。</w:t>
      </w:r>
    </w:p>
    <w:p>
      <w:pPr>
        <w:snapToGrid w:val="0"/>
        <w:spacing w:line="400" w:lineRule="exact"/>
        <w:ind w:firstLine="480" w:firstLineChars="200"/>
        <w:jc w:val="left"/>
        <w:rPr>
          <w:rFonts w:ascii="宋体" w:hAnsi="宋体" w:eastAsia="宋体" w:cs="Times New Roman"/>
          <w:bCs/>
          <w:sz w:val="24"/>
          <w:szCs w:val="24"/>
        </w:rPr>
      </w:pPr>
      <w:bookmarkStart w:id="502" w:name="_Toc351203639"/>
      <w:bookmarkEnd w:id="502"/>
      <w:r>
        <w:rPr>
          <w:rFonts w:hint="eastAsia" w:ascii="宋体" w:hAnsi="宋体" w:eastAsia="宋体" w:cs="Times New Roman"/>
          <w:bCs/>
          <w:sz w:val="24"/>
          <w:szCs w:val="24"/>
        </w:rPr>
        <w:t>7. 工期和进度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7.1 施工组织设计</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7.1.1 合同当事人约定的施工组织设计应包括的其他内容：按竞谈文件约定，竞谈文件无约定的按通用条款或双方另行约定。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7.1.2 施工组织设计的提交和修改</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承包人提交详细施工组织设计的期限的约定：执行通用条款。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发包人和监理人在收到详细的施工组织设计后确认或提出修改意见的期限：收到后7日内。</w:t>
      </w:r>
    </w:p>
    <w:p>
      <w:pPr>
        <w:snapToGrid w:val="0"/>
        <w:spacing w:line="400" w:lineRule="exact"/>
        <w:ind w:firstLine="480" w:firstLineChars="200"/>
        <w:jc w:val="left"/>
        <w:rPr>
          <w:rFonts w:ascii="宋体" w:hAnsi="宋体" w:eastAsia="宋体" w:cs="Times New Roman"/>
          <w:bCs/>
          <w:sz w:val="24"/>
          <w:szCs w:val="24"/>
        </w:rPr>
      </w:pPr>
      <w:bookmarkStart w:id="503" w:name="_Toc297123514"/>
      <w:bookmarkEnd w:id="503"/>
      <w:bookmarkStart w:id="504" w:name="_Toc303539123"/>
      <w:bookmarkEnd w:id="504"/>
      <w:bookmarkStart w:id="505" w:name="_Toc297216173"/>
      <w:bookmarkEnd w:id="505"/>
      <w:bookmarkStart w:id="506" w:name="_Toc312678005"/>
      <w:bookmarkEnd w:id="506"/>
      <w:bookmarkStart w:id="507" w:name="_Toc312677479"/>
      <w:bookmarkEnd w:id="507"/>
      <w:bookmarkStart w:id="508" w:name="_Toc300934966"/>
      <w:bookmarkEnd w:id="508"/>
      <w:bookmarkStart w:id="509" w:name="_Toc304295541"/>
      <w:bookmarkEnd w:id="509"/>
      <w:r>
        <w:rPr>
          <w:rFonts w:hint="eastAsia" w:ascii="宋体" w:hAnsi="宋体" w:eastAsia="宋体" w:cs="Times New Roman"/>
          <w:bCs/>
          <w:sz w:val="24"/>
          <w:szCs w:val="24"/>
        </w:rPr>
        <w:t>7.2 施工进度计划</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7.2.2 施工进度计划的修订</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发包人和监理人在收到修订的施工进度计划后确认或提出修改意见的期限：收到后7日内。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7.3 开工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7.3.1 开工准备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关于承包人提交工程开工报审表的期限：合同签订后3日内。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关于发包人应完成的其他开工准备工作及期限：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关于承包人应完成的其他开工准备工作及期限：合同签订后3日内。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7.4 测量放线</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7.4.1发包人通过监理人向承包人提供测量基准点、基准线和水准点及其书面资料的期限：        </w:t>
      </w:r>
    </w:p>
    <w:p>
      <w:pPr>
        <w:snapToGrid w:val="0"/>
        <w:spacing w:line="400" w:lineRule="exact"/>
        <w:ind w:firstLine="480" w:firstLineChars="200"/>
        <w:jc w:val="left"/>
        <w:rPr>
          <w:rFonts w:ascii="宋体" w:hAnsi="宋体" w:eastAsia="宋体" w:cs="Times New Roman"/>
          <w:bCs/>
          <w:sz w:val="24"/>
          <w:szCs w:val="24"/>
        </w:rPr>
      </w:pPr>
      <w:bookmarkStart w:id="510" w:name="_Toc297123516"/>
      <w:bookmarkEnd w:id="510"/>
      <w:bookmarkStart w:id="511" w:name="_Toc312678010"/>
      <w:bookmarkEnd w:id="511"/>
      <w:bookmarkStart w:id="512" w:name="_Toc312677484"/>
      <w:bookmarkEnd w:id="512"/>
      <w:bookmarkStart w:id="513" w:name="_Toc300934968"/>
      <w:bookmarkEnd w:id="513"/>
      <w:bookmarkStart w:id="514" w:name="_Toc304295546"/>
      <w:bookmarkEnd w:id="514"/>
      <w:bookmarkStart w:id="515" w:name="_Toc297216175"/>
      <w:bookmarkEnd w:id="515"/>
      <w:bookmarkStart w:id="516" w:name="_Toc303539125"/>
      <w:bookmarkEnd w:id="516"/>
      <w:r>
        <w:rPr>
          <w:rFonts w:hint="eastAsia" w:ascii="宋体" w:hAnsi="宋体" w:eastAsia="宋体" w:cs="Times New Roman"/>
          <w:bCs/>
          <w:sz w:val="24"/>
          <w:szCs w:val="24"/>
        </w:rPr>
        <w:t>7.5 工期延误</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7.5.1 因发包人原因导致工期延误</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（7）因发包人原因导致工期延误的其他情形：    /    。</w:t>
      </w:r>
    </w:p>
    <w:p>
      <w:pPr>
        <w:snapToGrid w:val="0"/>
        <w:spacing w:line="400" w:lineRule="exact"/>
        <w:ind w:firstLine="480" w:firstLineChars="200"/>
        <w:jc w:val="left"/>
        <w:rPr>
          <w:rFonts w:ascii="宋体" w:hAnsi="宋体" w:eastAsia="宋体" w:cs="Times New Roman"/>
          <w:bCs/>
          <w:sz w:val="24"/>
          <w:szCs w:val="24"/>
        </w:rPr>
      </w:pPr>
      <w:bookmarkStart w:id="517" w:name="_Toc297216177"/>
      <w:bookmarkEnd w:id="517"/>
      <w:bookmarkStart w:id="518" w:name="_Toc312678012"/>
      <w:bookmarkEnd w:id="518"/>
      <w:bookmarkStart w:id="519" w:name="_Toc303539127"/>
      <w:bookmarkEnd w:id="519"/>
      <w:bookmarkStart w:id="520" w:name="_Toc318581169"/>
      <w:bookmarkEnd w:id="520"/>
      <w:bookmarkStart w:id="521" w:name="_Toc312677486"/>
      <w:bookmarkEnd w:id="521"/>
      <w:bookmarkStart w:id="522" w:name="_Toc300934970"/>
      <w:bookmarkEnd w:id="522"/>
      <w:bookmarkStart w:id="523" w:name="_Toc297123518"/>
      <w:bookmarkEnd w:id="523"/>
      <w:bookmarkStart w:id="524" w:name="_Toc304295548"/>
      <w:bookmarkEnd w:id="524"/>
      <w:r>
        <w:rPr>
          <w:rFonts w:hint="eastAsia" w:ascii="宋体" w:hAnsi="宋体" w:eastAsia="宋体" w:cs="Times New Roman"/>
          <w:bCs/>
          <w:sz w:val="24"/>
          <w:szCs w:val="24"/>
        </w:rPr>
        <w:t>7.5.2 因承包人原因导致工期延误</w:t>
      </w:r>
    </w:p>
    <w:p>
      <w:pPr>
        <w:snapToGrid w:val="0"/>
        <w:spacing w:line="400" w:lineRule="exact"/>
        <w:ind w:firstLine="480" w:firstLineChars="200"/>
        <w:jc w:val="left"/>
        <w:rPr>
          <w:rFonts w:ascii="宋体" w:hAnsi="宋体" w:eastAsia="宋体" w:cs="Times New Roman"/>
          <w:bCs/>
          <w:sz w:val="24"/>
          <w:szCs w:val="24"/>
        </w:rPr>
      </w:pPr>
      <w:bookmarkStart w:id="525" w:name="_Toc312678013"/>
      <w:bookmarkEnd w:id="525"/>
      <w:bookmarkStart w:id="526" w:name="_Toc312677487"/>
      <w:bookmarkEnd w:id="526"/>
      <w:r>
        <w:rPr>
          <w:rFonts w:hint="eastAsia" w:ascii="宋体" w:hAnsi="宋体" w:eastAsia="宋体" w:cs="Times New Roman"/>
          <w:bCs/>
          <w:sz w:val="24"/>
          <w:szCs w:val="24"/>
        </w:rPr>
        <w:t>因承包人原因造成工期延误，逾期竣工违约金的计算方法为：每天按合同金额的千分之五计算。</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因承包人原因造成工期延误，逾期竣工违约金的上限：总额不超过总价款的10%。</w:t>
      </w:r>
    </w:p>
    <w:p>
      <w:pPr>
        <w:snapToGrid w:val="0"/>
        <w:spacing w:line="400" w:lineRule="exact"/>
        <w:ind w:firstLine="480" w:firstLineChars="200"/>
        <w:jc w:val="left"/>
        <w:rPr>
          <w:rFonts w:ascii="宋体" w:hAnsi="宋体" w:eastAsia="宋体" w:cs="Times New Roman"/>
          <w:bCs/>
          <w:sz w:val="24"/>
          <w:szCs w:val="24"/>
        </w:rPr>
      </w:pPr>
      <w:bookmarkStart w:id="527" w:name="_Toc312678015"/>
      <w:bookmarkEnd w:id="527"/>
      <w:bookmarkStart w:id="528" w:name="_Toc300934971"/>
      <w:bookmarkEnd w:id="528"/>
      <w:bookmarkStart w:id="529" w:name="_Toc297123519"/>
      <w:bookmarkEnd w:id="529"/>
      <w:bookmarkStart w:id="530" w:name="_Toc303539128"/>
      <w:bookmarkEnd w:id="530"/>
      <w:bookmarkStart w:id="531" w:name="_Toc297216178"/>
      <w:bookmarkEnd w:id="531"/>
      <w:bookmarkStart w:id="532" w:name="_Toc304295549"/>
      <w:bookmarkEnd w:id="532"/>
      <w:r>
        <w:rPr>
          <w:rFonts w:hint="eastAsia" w:ascii="宋体" w:hAnsi="宋体" w:eastAsia="宋体" w:cs="Times New Roman"/>
          <w:bCs/>
          <w:sz w:val="24"/>
          <w:szCs w:val="24"/>
        </w:rPr>
        <w:t>7.6 不利物质条件</w:t>
      </w:r>
    </w:p>
    <w:p>
      <w:pPr>
        <w:snapToGrid w:val="0"/>
        <w:spacing w:line="400" w:lineRule="exact"/>
        <w:ind w:firstLine="480" w:firstLineChars="200"/>
        <w:jc w:val="left"/>
        <w:rPr>
          <w:rFonts w:ascii="宋体" w:hAnsi="宋体" w:eastAsia="宋体" w:cs="Times New Roman"/>
          <w:bCs/>
          <w:sz w:val="24"/>
          <w:szCs w:val="24"/>
        </w:rPr>
      </w:pPr>
      <w:bookmarkStart w:id="533" w:name="_Toc297123520"/>
      <w:bookmarkEnd w:id="533"/>
      <w:bookmarkStart w:id="534" w:name="_Toc303539129"/>
      <w:bookmarkEnd w:id="534"/>
      <w:bookmarkStart w:id="535" w:name="_Toc297216179"/>
      <w:bookmarkEnd w:id="535"/>
      <w:bookmarkStart w:id="536" w:name="_Toc304295550"/>
      <w:bookmarkEnd w:id="536"/>
      <w:bookmarkStart w:id="537" w:name="_Toc312678016"/>
      <w:bookmarkEnd w:id="537"/>
      <w:bookmarkStart w:id="538" w:name="_Toc300934972"/>
      <w:bookmarkEnd w:id="538"/>
      <w:bookmarkStart w:id="539" w:name="_Toc318581172"/>
      <w:bookmarkEnd w:id="539"/>
      <w:r>
        <w:rPr>
          <w:rFonts w:hint="eastAsia" w:ascii="宋体" w:hAnsi="宋体" w:eastAsia="宋体" w:cs="Times New Roman"/>
          <w:bCs/>
          <w:sz w:val="24"/>
          <w:szCs w:val="24"/>
        </w:rPr>
        <w:t>不利物质条件的其他情形和有关约定：           /        。</w:t>
      </w:r>
    </w:p>
    <w:p>
      <w:pPr>
        <w:snapToGrid w:val="0"/>
        <w:spacing w:line="400" w:lineRule="exact"/>
        <w:ind w:firstLine="480" w:firstLineChars="200"/>
        <w:jc w:val="left"/>
        <w:rPr>
          <w:rFonts w:ascii="宋体" w:hAnsi="宋体" w:eastAsia="宋体" w:cs="Times New Roman"/>
          <w:bCs/>
          <w:sz w:val="24"/>
          <w:szCs w:val="24"/>
        </w:rPr>
      </w:pPr>
      <w:bookmarkStart w:id="540" w:name="_Toc304295551"/>
      <w:bookmarkEnd w:id="540"/>
      <w:bookmarkStart w:id="541" w:name="_Toc297216180"/>
      <w:bookmarkEnd w:id="541"/>
      <w:bookmarkStart w:id="542" w:name="_Toc300934973"/>
      <w:bookmarkEnd w:id="542"/>
      <w:bookmarkStart w:id="543" w:name="_Toc312678017"/>
      <w:bookmarkEnd w:id="543"/>
      <w:bookmarkStart w:id="544" w:name="_Toc303539130"/>
      <w:bookmarkEnd w:id="544"/>
      <w:bookmarkStart w:id="545" w:name="_Toc297123521"/>
      <w:bookmarkEnd w:id="545"/>
      <w:r>
        <w:rPr>
          <w:rFonts w:hint="eastAsia" w:ascii="宋体" w:hAnsi="宋体" w:eastAsia="宋体" w:cs="Times New Roman"/>
          <w:bCs/>
          <w:sz w:val="24"/>
          <w:szCs w:val="24"/>
        </w:rPr>
        <w:t>7.7异常恶劣的气候条件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发包人和承包人同意以下情形视为异常恶劣的气候条件：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（1）政府部门发布的扬尘治霾、停工封土、停产限产等；</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（2）日降雨量大于50mm的雨日超过1天；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w:t>
      </w:r>
      <w:r>
        <w:rPr>
          <w:rFonts w:ascii="宋体" w:hAnsi="宋体" w:eastAsia="宋体" w:cs="Times New Roman"/>
          <w:bCs/>
          <w:sz w:val="24"/>
          <w:szCs w:val="24"/>
        </w:rPr>
        <w:t>3</w:t>
      </w:r>
      <w:r>
        <w:rPr>
          <w:rFonts w:hint="eastAsia" w:ascii="宋体" w:hAnsi="宋体" w:eastAsia="宋体" w:cs="Times New Roman"/>
          <w:bCs/>
          <w:sz w:val="24"/>
          <w:szCs w:val="24"/>
        </w:rPr>
        <w:t>）风速大于10.8-17.1m/s 的6级以上台风灾害；</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w:t>
      </w:r>
      <w:r>
        <w:rPr>
          <w:rFonts w:ascii="宋体" w:hAnsi="宋体" w:eastAsia="宋体" w:cs="Times New Roman"/>
          <w:bCs/>
          <w:sz w:val="24"/>
          <w:szCs w:val="24"/>
        </w:rPr>
        <w:t>4</w:t>
      </w:r>
      <w:r>
        <w:rPr>
          <w:rFonts w:hint="eastAsia" w:ascii="宋体" w:hAnsi="宋体" w:eastAsia="宋体" w:cs="Times New Roman"/>
          <w:bCs/>
          <w:sz w:val="24"/>
          <w:szCs w:val="24"/>
        </w:rPr>
        <w:t>）日气温超过38℃的高温大于3天；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w:t>
      </w:r>
      <w:r>
        <w:rPr>
          <w:rFonts w:ascii="宋体" w:hAnsi="宋体" w:eastAsia="宋体" w:cs="Times New Roman"/>
          <w:bCs/>
          <w:sz w:val="24"/>
          <w:szCs w:val="24"/>
        </w:rPr>
        <w:t>5</w:t>
      </w:r>
      <w:r>
        <w:rPr>
          <w:rFonts w:hint="eastAsia" w:ascii="宋体" w:hAnsi="宋体" w:eastAsia="宋体" w:cs="Times New Roman"/>
          <w:bCs/>
          <w:sz w:val="24"/>
          <w:szCs w:val="24"/>
        </w:rPr>
        <w:t>）日气温低于-20℃ 的严寒大于3天；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w:t>
      </w:r>
      <w:r>
        <w:rPr>
          <w:rFonts w:ascii="宋体" w:hAnsi="宋体" w:eastAsia="宋体" w:cs="Times New Roman"/>
          <w:bCs/>
          <w:sz w:val="24"/>
          <w:szCs w:val="24"/>
        </w:rPr>
        <w:t>6</w:t>
      </w:r>
      <w:r>
        <w:rPr>
          <w:rFonts w:hint="eastAsia" w:ascii="宋体" w:hAnsi="宋体" w:eastAsia="宋体" w:cs="Times New Roman"/>
          <w:bCs/>
          <w:sz w:val="24"/>
          <w:szCs w:val="24"/>
        </w:rPr>
        <w:t>）造成工程损坏的冰雹和大雪灾害：日降雪量10mm及以上；</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7</w:t>
      </w:r>
      <w:r>
        <w:rPr>
          <w:rFonts w:hint="eastAsia" w:ascii="宋体" w:hAnsi="宋体" w:eastAsia="宋体" w:cs="Times New Roman"/>
          <w:bCs/>
          <w:sz w:val="24"/>
          <w:szCs w:val="24"/>
        </w:rPr>
        <w:t>）其它异常恶劣气候灾害。其他异常恶劣气候灾害；</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8</w:t>
      </w:r>
      <w:r>
        <w:rPr>
          <w:rFonts w:hint="eastAsia" w:ascii="宋体" w:hAnsi="宋体" w:eastAsia="宋体" w:cs="Times New Roman"/>
          <w:bCs/>
          <w:sz w:val="24"/>
          <w:szCs w:val="24"/>
        </w:rPr>
        <w:t>）出现以上情况，工期相应顺延。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7.9 提前竣工的奖励</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7.9.2提前竣工的奖励：        /      。</w:t>
      </w:r>
    </w:p>
    <w:p>
      <w:pPr>
        <w:snapToGrid w:val="0"/>
        <w:spacing w:line="400" w:lineRule="exact"/>
        <w:ind w:firstLine="480" w:firstLineChars="200"/>
        <w:jc w:val="left"/>
        <w:rPr>
          <w:rFonts w:ascii="宋体" w:hAnsi="宋体" w:eastAsia="宋体" w:cs="Times New Roman"/>
          <w:bCs/>
          <w:sz w:val="24"/>
          <w:szCs w:val="24"/>
        </w:rPr>
      </w:pPr>
      <w:bookmarkStart w:id="546" w:name="_Toc351203640"/>
      <w:bookmarkEnd w:id="546"/>
      <w:r>
        <w:rPr>
          <w:rFonts w:hint="eastAsia" w:ascii="宋体" w:hAnsi="宋体" w:eastAsia="宋体" w:cs="Times New Roman"/>
          <w:bCs/>
          <w:sz w:val="24"/>
          <w:szCs w:val="24"/>
        </w:rPr>
        <w:t>8. 材料与设备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8.1发包人有权对主要物资进行确认。履约过程中，承包人应将物资报发包人选择确认，发包人共同签字同意后方可使用。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8.2在项目实施阶段，如承包人提供的物资未达到设计及发包人的要求，或采购供应影响了工程进度，发包人保留采购物资的权利，有权要求更换所选用的物资，或自行采购，即发包人有权采购后交承包人使用，承包人应无条件接受，采购的物资费用从承包人中标合同价款中扣减。</w:t>
      </w:r>
    </w:p>
    <w:p>
      <w:pPr>
        <w:snapToGrid w:val="0"/>
        <w:spacing w:line="400" w:lineRule="exact"/>
        <w:ind w:firstLine="480" w:firstLineChars="200"/>
        <w:jc w:val="left"/>
        <w:rPr>
          <w:rFonts w:ascii="宋体" w:hAnsi="宋体" w:eastAsia="宋体" w:cs="Times New Roman"/>
          <w:bCs/>
          <w:sz w:val="24"/>
          <w:szCs w:val="24"/>
        </w:rPr>
      </w:pPr>
      <w:bookmarkStart w:id="547" w:name="_Toc296347166"/>
      <w:bookmarkEnd w:id="547"/>
      <w:bookmarkStart w:id="548" w:name="_Toc312677493"/>
      <w:bookmarkEnd w:id="548"/>
      <w:bookmarkStart w:id="549" w:name="_Toc267251424"/>
      <w:bookmarkEnd w:id="549"/>
      <w:bookmarkStart w:id="550" w:name="_Toc296503167"/>
      <w:bookmarkEnd w:id="550"/>
      <w:bookmarkStart w:id="551" w:name="_Toc280868656"/>
      <w:bookmarkEnd w:id="551"/>
      <w:bookmarkStart w:id="552" w:name="_Toc304295556"/>
      <w:bookmarkEnd w:id="552"/>
      <w:bookmarkStart w:id="553" w:name="_Toc296890995"/>
      <w:bookmarkEnd w:id="553"/>
      <w:bookmarkStart w:id="554" w:name="_Toc297120467"/>
      <w:bookmarkEnd w:id="554"/>
      <w:bookmarkStart w:id="555" w:name="_Toc300934979"/>
      <w:bookmarkEnd w:id="555"/>
      <w:bookmarkStart w:id="556" w:name="_Toc280868654"/>
      <w:bookmarkEnd w:id="556"/>
      <w:bookmarkStart w:id="557" w:name="_Toc296944506"/>
      <w:bookmarkEnd w:id="557"/>
      <w:bookmarkStart w:id="558" w:name="_Toc297048353"/>
      <w:bookmarkEnd w:id="558"/>
      <w:bookmarkStart w:id="559" w:name="_Toc297123527"/>
      <w:bookmarkEnd w:id="559"/>
      <w:bookmarkStart w:id="560" w:name="_Toc312678019"/>
      <w:bookmarkEnd w:id="560"/>
      <w:bookmarkStart w:id="561" w:name="_Toc303539136"/>
      <w:bookmarkEnd w:id="561"/>
      <w:bookmarkStart w:id="562" w:name="_Toc296891207"/>
      <w:bookmarkEnd w:id="562"/>
      <w:bookmarkStart w:id="563" w:name="_Toc292559877"/>
      <w:bookmarkEnd w:id="563"/>
      <w:bookmarkStart w:id="564" w:name="_Toc292559372"/>
      <w:bookmarkEnd w:id="564"/>
      <w:bookmarkStart w:id="565" w:name="_Toc280868655"/>
      <w:bookmarkEnd w:id="565"/>
      <w:bookmarkStart w:id="566" w:name="_Toc296346668"/>
      <w:bookmarkEnd w:id="566"/>
      <w:bookmarkStart w:id="567" w:name="_Toc297216186"/>
      <w:bookmarkEnd w:id="567"/>
      <w:r>
        <w:rPr>
          <w:rFonts w:hint="eastAsia" w:ascii="宋体" w:hAnsi="宋体" w:eastAsia="宋体" w:cs="Times New Roman"/>
          <w:bCs/>
          <w:sz w:val="24"/>
          <w:szCs w:val="24"/>
        </w:rPr>
        <w:t>8.4材料与工程设备的保管与使用</w:t>
      </w:r>
    </w:p>
    <w:p>
      <w:pPr>
        <w:snapToGrid w:val="0"/>
        <w:spacing w:line="400" w:lineRule="exact"/>
        <w:ind w:firstLine="480" w:firstLineChars="200"/>
        <w:jc w:val="left"/>
        <w:rPr>
          <w:rFonts w:ascii="宋体" w:hAnsi="宋体" w:eastAsia="宋体" w:cs="Times New Roman"/>
          <w:bCs/>
          <w:sz w:val="24"/>
          <w:szCs w:val="24"/>
        </w:rPr>
      </w:pPr>
      <w:bookmarkStart w:id="568" w:name="_Toc296346669"/>
      <w:bookmarkEnd w:id="568"/>
      <w:bookmarkStart w:id="569" w:name="_Toc296890996"/>
      <w:bookmarkEnd w:id="569"/>
      <w:bookmarkStart w:id="570" w:name="_Toc303539137"/>
      <w:bookmarkEnd w:id="570"/>
      <w:bookmarkStart w:id="571" w:name="_Toc297216187"/>
      <w:bookmarkEnd w:id="571"/>
      <w:bookmarkStart w:id="572" w:name="_Toc312677494"/>
      <w:bookmarkEnd w:id="572"/>
      <w:bookmarkStart w:id="573" w:name="_Toc296503168"/>
      <w:bookmarkEnd w:id="573"/>
      <w:bookmarkStart w:id="574" w:name="_Toc296944507"/>
      <w:bookmarkEnd w:id="574"/>
      <w:bookmarkStart w:id="575" w:name="_Toc296891208"/>
      <w:bookmarkEnd w:id="575"/>
      <w:bookmarkStart w:id="576" w:name="_Toc318581173"/>
      <w:bookmarkEnd w:id="576"/>
      <w:bookmarkStart w:id="577" w:name="_Toc297120468"/>
      <w:bookmarkEnd w:id="577"/>
      <w:bookmarkStart w:id="578" w:name="_Toc292559878"/>
      <w:bookmarkEnd w:id="578"/>
      <w:bookmarkStart w:id="579" w:name="_Toc297123528"/>
      <w:bookmarkEnd w:id="579"/>
      <w:bookmarkStart w:id="580" w:name="_Toc304295557"/>
      <w:bookmarkEnd w:id="580"/>
      <w:bookmarkStart w:id="581" w:name="_Toc297048354"/>
      <w:bookmarkEnd w:id="581"/>
      <w:bookmarkStart w:id="582" w:name="_Toc292559373"/>
      <w:bookmarkEnd w:id="582"/>
      <w:bookmarkStart w:id="583" w:name="_Toc300934980"/>
      <w:bookmarkEnd w:id="583"/>
      <w:bookmarkStart w:id="584" w:name="_Toc312678020"/>
      <w:bookmarkEnd w:id="584"/>
      <w:bookmarkStart w:id="585" w:name="_Toc296347167"/>
      <w:bookmarkEnd w:id="585"/>
      <w:r>
        <w:rPr>
          <w:rFonts w:hint="eastAsia" w:ascii="宋体" w:hAnsi="宋体" w:eastAsia="宋体" w:cs="Times New Roman"/>
          <w:bCs/>
          <w:sz w:val="24"/>
          <w:szCs w:val="24"/>
        </w:rPr>
        <w:t>8.4.1发包人供应的材料设备的保管费用的承担：承包人免费提供场地，其他执行通用条款。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8.6 样品</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8.6.1</w:t>
      </w:r>
      <w:r>
        <w:rPr>
          <w:rFonts w:hint="eastAsia" w:ascii="宋体" w:hAnsi="宋体" w:eastAsia="宋体" w:cs="Times New Roman"/>
          <w:bCs/>
          <w:sz w:val="24"/>
          <w:szCs w:val="24"/>
        </w:rPr>
        <w:tab/>
      </w:r>
      <w:r>
        <w:rPr>
          <w:rFonts w:hint="eastAsia" w:ascii="宋体" w:hAnsi="宋体" w:eastAsia="宋体" w:cs="Times New Roman"/>
          <w:bCs/>
          <w:sz w:val="24"/>
          <w:szCs w:val="24"/>
        </w:rPr>
        <w:t>样品的报送与封存</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需要承包人报送样品的材料或工程设备，样品的种类、名称、规格、数量要求：按发包人要求。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8.8 施工设备和临时设施</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8.8.1 承包人提供的施工设备和临时设施</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关于修建临时设施费用承担的约定：由承包人承担。</w:t>
      </w:r>
    </w:p>
    <w:p>
      <w:pPr>
        <w:snapToGrid w:val="0"/>
        <w:spacing w:line="400" w:lineRule="exact"/>
        <w:ind w:firstLine="480" w:firstLineChars="200"/>
        <w:jc w:val="left"/>
        <w:rPr>
          <w:rFonts w:ascii="宋体" w:hAnsi="宋体" w:eastAsia="宋体" w:cs="Times New Roman"/>
          <w:bCs/>
          <w:sz w:val="24"/>
          <w:szCs w:val="24"/>
        </w:rPr>
      </w:pPr>
      <w:bookmarkStart w:id="586" w:name="_Toc296347172"/>
      <w:bookmarkEnd w:id="586"/>
      <w:bookmarkStart w:id="587" w:name="_Toc297123533"/>
      <w:bookmarkEnd w:id="587"/>
      <w:bookmarkStart w:id="588" w:name="_Toc297048359"/>
      <w:bookmarkEnd w:id="588"/>
      <w:bookmarkStart w:id="589" w:name="_Toc297120473"/>
      <w:bookmarkEnd w:id="589"/>
      <w:bookmarkStart w:id="590" w:name="_Toc312678021"/>
      <w:bookmarkEnd w:id="590"/>
      <w:bookmarkStart w:id="591" w:name="_Toc300934982"/>
      <w:bookmarkEnd w:id="591"/>
      <w:bookmarkStart w:id="592" w:name="_Toc296891213"/>
      <w:bookmarkEnd w:id="592"/>
      <w:bookmarkStart w:id="593" w:name="_Toc303539139"/>
      <w:bookmarkEnd w:id="593"/>
      <w:bookmarkStart w:id="594" w:name="_Toc296503173"/>
      <w:bookmarkEnd w:id="594"/>
      <w:bookmarkStart w:id="595" w:name="_Toc304295559"/>
      <w:bookmarkEnd w:id="595"/>
      <w:bookmarkStart w:id="596" w:name="_Toc351203641"/>
      <w:bookmarkEnd w:id="596"/>
      <w:bookmarkStart w:id="597" w:name="_Toc292559883"/>
      <w:bookmarkEnd w:id="597"/>
      <w:bookmarkStart w:id="598" w:name="_Toc267251428"/>
      <w:bookmarkEnd w:id="598"/>
      <w:bookmarkStart w:id="599" w:name="_Toc296944512"/>
      <w:bookmarkEnd w:id="599"/>
      <w:bookmarkStart w:id="600" w:name="_Toc312677495"/>
      <w:bookmarkEnd w:id="600"/>
      <w:bookmarkStart w:id="601" w:name="_Toc296346674"/>
      <w:bookmarkEnd w:id="601"/>
      <w:bookmarkStart w:id="602" w:name="_Toc297216192"/>
      <w:bookmarkEnd w:id="602"/>
      <w:bookmarkStart w:id="603" w:name="_Toc296891001"/>
      <w:bookmarkEnd w:id="603"/>
      <w:bookmarkStart w:id="604" w:name="_Toc292559378"/>
      <w:bookmarkEnd w:id="604"/>
      <w:bookmarkStart w:id="605" w:name="_Toc267251427"/>
      <w:bookmarkEnd w:id="605"/>
      <w:r>
        <w:rPr>
          <w:rFonts w:hint="eastAsia" w:ascii="宋体" w:hAnsi="宋体" w:eastAsia="宋体" w:cs="Times New Roman"/>
          <w:bCs/>
          <w:sz w:val="24"/>
          <w:szCs w:val="24"/>
        </w:rPr>
        <w:t>9. 试验与检验</w:t>
      </w:r>
    </w:p>
    <w:p>
      <w:pPr>
        <w:snapToGrid w:val="0"/>
        <w:spacing w:line="400" w:lineRule="exact"/>
        <w:ind w:firstLine="480" w:firstLineChars="200"/>
        <w:jc w:val="left"/>
        <w:rPr>
          <w:rFonts w:ascii="宋体" w:hAnsi="宋体" w:eastAsia="宋体" w:cs="Times New Roman"/>
          <w:bCs/>
          <w:sz w:val="24"/>
          <w:szCs w:val="24"/>
        </w:rPr>
      </w:pPr>
      <w:bookmarkStart w:id="606" w:name="_Toc312677496"/>
      <w:bookmarkEnd w:id="606"/>
      <w:bookmarkStart w:id="607" w:name="_Toc303539140"/>
      <w:bookmarkEnd w:id="607"/>
      <w:bookmarkStart w:id="608" w:name="_Toc312678022"/>
      <w:bookmarkEnd w:id="608"/>
      <w:bookmarkStart w:id="609" w:name="_Toc297216193"/>
      <w:bookmarkEnd w:id="609"/>
      <w:bookmarkStart w:id="610" w:name="_Toc300934983"/>
      <w:bookmarkEnd w:id="610"/>
      <w:bookmarkStart w:id="611" w:name="_Toc304295560"/>
      <w:bookmarkEnd w:id="611"/>
      <w:bookmarkStart w:id="612" w:name="_Toc297123534"/>
      <w:bookmarkEnd w:id="612"/>
      <w:r>
        <w:rPr>
          <w:rFonts w:hint="eastAsia" w:ascii="宋体" w:hAnsi="宋体" w:eastAsia="宋体" w:cs="Times New Roman"/>
          <w:bCs/>
          <w:sz w:val="24"/>
          <w:szCs w:val="24"/>
        </w:rPr>
        <w:t>9.1试验设备与试验人员</w:t>
      </w:r>
    </w:p>
    <w:p>
      <w:pPr>
        <w:snapToGrid w:val="0"/>
        <w:spacing w:line="400" w:lineRule="exact"/>
        <w:ind w:firstLine="480" w:firstLineChars="200"/>
        <w:jc w:val="left"/>
        <w:rPr>
          <w:rFonts w:ascii="宋体" w:hAnsi="宋体" w:eastAsia="宋体" w:cs="Times New Roman"/>
          <w:bCs/>
          <w:sz w:val="24"/>
          <w:szCs w:val="24"/>
        </w:rPr>
      </w:pPr>
      <w:bookmarkStart w:id="613" w:name="_Toc304295561"/>
      <w:bookmarkEnd w:id="613"/>
      <w:bookmarkStart w:id="614" w:name="_Toc300934984"/>
      <w:bookmarkEnd w:id="614"/>
      <w:bookmarkStart w:id="615" w:name="_Toc318581174"/>
      <w:bookmarkEnd w:id="615"/>
      <w:bookmarkStart w:id="616" w:name="_Toc303539141"/>
      <w:bookmarkEnd w:id="616"/>
      <w:bookmarkStart w:id="617" w:name="_Toc297123535"/>
      <w:bookmarkEnd w:id="617"/>
      <w:bookmarkStart w:id="618" w:name="_Toc312677497"/>
      <w:bookmarkEnd w:id="618"/>
      <w:bookmarkStart w:id="619" w:name="_Toc297216194"/>
      <w:bookmarkEnd w:id="619"/>
      <w:bookmarkStart w:id="620" w:name="_Toc312678023"/>
      <w:bookmarkEnd w:id="620"/>
      <w:r>
        <w:rPr>
          <w:rFonts w:hint="eastAsia" w:ascii="宋体" w:hAnsi="宋体" w:eastAsia="宋体" w:cs="Times New Roman"/>
          <w:bCs/>
          <w:sz w:val="24"/>
          <w:szCs w:val="24"/>
        </w:rPr>
        <w:t>9.1.2 试验设备</w:t>
      </w:r>
    </w:p>
    <w:p>
      <w:pPr>
        <w:snapToGrid w:val="0"/>
        <w:spacing w:line="400" w:lineRule="exact"/>
        <w:ind w:firstLine="480" w:firstLineChars="200"/>
        <w:jc w:val="left"/>
        <w:rPr>
          <w:rFonts w:ascii="宋体" w:hAnsi="宋体" w:eastAsia="宋体" w:cs="Times New Roman"/>
          <w:bCs/>
          <w:sz w:val="24"/>
          <w:szCs w:val="24"/>
        </w:rPr>
      </w:pPr>
      <w:bookmarkStart w:id="621" w:name="_Toc297123536"/>
      <w:bookmarkEnd w:id="621"/>
      <w:bookmarkStart w:id="622" w:name="_Toc312678024"/>
      <w:bookmarkEnd w:id="622"/>
      <w:bookmarkStart w:id="623" w:name="_Toc300934985"/>
      <w:bookmarkEnd w:id="623"/>
      <w:bookmarkStart w:id="624" w:name="_Toc304295562"/>
      <w:bookmarkEnd w:id="624"/>
      <w:bookmarkStart w:id="625" w:name="_Toc297216195"/>
      <w:bookmarkEnd w:id="625"/>
      <w:bookmarkStart w:id="626" w:name="_Toc312677498"/>
      <w:bookmarkEnd w:id="626"/>
      <w:bookmarkStart w:id="627" w:name="_Toc303539142"/>
      <w:bookmarkEnd w:id="627"/>
      <w:r>
        <w:rPr>
          <w:rFonts w:hint="eastAsia" w:ascii="宋体" w:hAnsi="宋体" w:eastAsia="宋体" w:cs="Times New Roman"/>
          <w:bCs/>
          <w:sz w:val="24"/>
          <w:szCs w:val="24"/>
        </w:rPr>
        <w:t xml:space="preserve">施工现场需要配置的试验场所：       /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施工现场需要配备的试验设备：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施工现场需要具备的其他试验条件：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9.4 现场工艺试验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现场工艺试验的有关约定：       /              。</w:t>
      </w:r>
    </w:p>
    <w:bookmarkEnd w:id="438"/>
    <w:bookmarkEnd w:id="439"/>
    <w:bookmarkEnd w:id="440"/>
    <w:bookmarkEnd w:id="441"/>
    <w:p>
      <w:pPr>
        <w:snapToGrid w:val="0"/>
        <w:spacing w:line="400" w:lineRule="exact"/>
        <w:ind w:firstLine="480" w:firstLineChars="200"/>
        <w:jc w:val="left"/>
        <w:rPr>
          <w:rFonts w:ascii="宋体" w:hAnsi="宋体" w:eastAsia="宋体" w:cs="Times New Roman"/>
          <w:bCs/>
          <w:sz w:val="24"/>
          <w:szCs w:val="24"/>
        </w:rPr>
      </w:pPr>
      <w:bookmarkStart w:id="628" w:name="_Toc297216199"/>
      <w:bookmarkEnd w:id="628"/>
      <w:bookmarkStart w:id="629" w:name="_Toc312678025"/>
      <w:bookmarkEnd w:id="629"/>
      <w:bookmarkStart w:id="630" w:name="_Toc267251442"/>
      <w:bookmarkEnd w:id="630"/>
      <w:bookmarkStart w:id="631" w:name="_Toc303539146"/>
      <w:bookmarkEnd w:id="631"/>
      <w:bookmarkStart w:id="632" w:name="_Toc267251437"/>
      <w:bookmarkEnd w:id="632"/>
      <w:bookmarkStart w:id="633" w:name="_Toc297120493"/>
      <w:bookmarkEnd w:id="633"/>
      <w:bookmarkStart w:id="634" w:name="_Toc267251439"/>
      <w:bookmarkEnd w:id="634"/>
      <w:bookmarkStart w:id="635" w:name="_Toc296346694"/>
      <w:bookmarkEnd w:id="635"/>
      <w:bookmarkStart w:id="636" w:name="_Toc296347192"/>
      <w:bookmarkEnd w:id="636"/>
      <w:bookmarkStart w:id="637" w:name="_Toc312677499"/>
      <w:bookmarkEnd w:id="637"/>
      <w:bookmarkStart w:id="638" w:name="_Toc297123540"/>
      <w:bookmarkEnd w:id="638"/>
      <w:bookmarkStart w:id="639" w:name="_Toc300934989"/>
      <w:bookmarkEnd w:id="639"/>
      <w:bookmarkStart w:id="640" w:name="_Toc296944532"/>
      <w:bookmarkEnd w:id="640"/>
      <w:bookmarkStart w:id="641" w:name="_Toc267251441"/>
      <w:bookmarkEnd w:id="641"/>
      <w:bookmarkStart w:id="642" w:name="_Toc296503193"/>
      <w:bookmarkEnd w:id="642"/>
      <w:bookmarkStart w:id="643" w:name="_Toc292559903"/>
      <w:bookmarkEnd w:id="643"/>
      <w:bookmarkStart w:id="644" w:name="_Toc296891021"/>
      <w:bookmarkEnd w:id="644"/>
      <w:bookmarkStart w:id="645" w:name="_Toc297048379"/>
      <w:bookmarkEnd w:id="645"/>
      <w:bookmarkStart w:id="646" w:name="_Toc267251440"/>
      <w:bookmarkEnd w:id="646"/>
      <w:bookmarkStart w:id="647" w:name="_Toc304295566"/>
      <w:bookmarkEnd w:id="647"/>
      <w:bookmarkStart w:id="648" w:name="_Toc267251435"/>
      <w:bookmarkEnd w:id="648"/>
      <w:bookmarkStart w:id="649" w:name="_Toc296891233"/>
      <w:bookmarkEnd w:id="649"/>
      <w:bookmarkStart w:id="650" w:name="_Toc267251433"/>
      <w:bookmarkEnd w:id="650"/>
      <w:bookmarkStart w:id="651" w:name="_Toc292559398"/>
      <w:bookmarkEnd w:id="651"/>
      <w:bookmarkStart w:id="652" w:name="_Toc500423714"/>
      <w:bookmarkStart w:id="653" w:name="_Toc351203643"/>
      <w:bookmarkStart w:id="654" w:name="_Toc417659756"/>
      <w:r>
        <w:rPr>
          <w:rFonts w:hint="eastAsia" w:ascii="宋体" w:hAnsi="宋体" w:eastAsia="宋体" w:cs="Times New Roman"/>
          <w:bCs/>
          <w:sz w:val="24"/>
          <w:szCs w:val="24"/>
        </w:rPr>
        <w:t>10. 变更</w:t>
      </w:r>
    </w:p>
    <w:p>
      <w:pPr>
        <w:snapToGrid w:val="0"/>
        <w:spacing w:line="400" w:lineRule="exact"/>
        <w:ind w:firstLine="480" w:firstLineChars="200"/>
        <w:jc w:val="left"/>
        <w:rPr>
          <w:rFonts w:ascii="宋体" w:hAnsi="宋体" w:eastAsia="宋体" w:cs="Times New Roman"/>
          <w:bCs/>
          <w:sz w:val="24"/>
          <w:szCs w:val="24"/>
        </w:rPr>
      </w:pPr>
      <w:bookmarkStart w:id="655" w:name="_Toc300934990"/>
      <w:bookmarkEnd w:id="655"/>
      <w:bookmarkStart w:id="656" w:name="_Toc297216200"/>
      <w:bookmarkEnd w:id="656"/>
      <w:bookmarkStart w:id="657" w:name="_Toc297048380"/>
      <w:bookmarkEnd w:id="657"/>
      <w:bookmarkStart w:id="658" w:name="_Toc296347193"/>
      <w:bookmarkEnd w:id="658"/>
      <w:bookmarkStart w:id="659" w:name="_Toc292559399"/>
      <w:bookmarkEnd w:id="659"/>
      <w:bookmarkStart w:id="660" w:name="_Toc297123541"/>
      <w:bookmarkEnd w:id="660"/>
      <w:bookmarkStart w:id="661" w:name="_Toc296346695"/>
      <w:bookmarkEnd w:id="661"/>
      <w:bookmarkStart w:id="662" w:name="_Toc303539147"/>
      <w:bookmarkEnd w:id="662"/>
      <w:bookmarkStart w:id="663" w:name="_Toc296944533"/>
      <w:bookmarkEnd w:id="663"/>
      <w:bookmarkStart w:id="664" w:name="_Toc296891022"/>
      <w:bookmarkEnd w:id="664"/>
      <w:bookmarkStart w:id="665" w:name="_Toc304295567"/>
      <w:bookmarkEnd w:id="665"/>
      <w:bookmarkStart w:id="666" w:name="_Toc297120494"/>
      <w:bookmarkEnd w:id="666"/>
      <w:bookmarkStart w:id="667" w:name="_Toc312677500"/>
      <w:bookmarkEnd w:id="667"/>
      <w:bookmarkStart w:id="668" w:name="_Toc312678026"/>
      <w:bookmarkEnd w:id="668"/>
      <w:bookmarkStart w:id="669" w:name="_Toc296891234"/>
      <w:bookmarkEnd w:id="669"/>
      <w:bookmarkStart w:id="670" w:name="_Toc296503194"/>
      <w:bookmarkEnd w:id="670"/>
      <w:bookmarkStart w:id="671" w:name="_Toc292559904"/>
      <w:bookmarkEnd w:id="671"/>
      <w:r>
        <w:rPr>
          <w:rFonts w:hint="eastAsia" w:ascii="宋体" w:hAnsi="宋体" w:eastAsia="宋体" w:cs="Times New Roman"/>
          <w:bCs/>
          <w:sz w:val="24"/>
          <w:szCs w:val="24"/>
        </w:rPr>
        <w:t>10.1变更的范围</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关于变更的范围的约定：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10.4 变更估价</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10.4.1 变更估价原则</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1.已标价工程量清单或预算书有相同项目的，按照相同项目单价认定；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2.已标价工程量清单或预算书中无相同项目，但有类似项目的，发包人应采用此类似子目的单价作为计价基础进行适当调整；</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已标价工程量清单或预算书中无相同项目及类似项目单价的，由承包人根据变更工程资料、计量规则和河南省、三门峡市现行计价办法、工程造价管理机构发布的信息价确定项目单价，按投标总价与最高投标限价的优惠率进行优惠（签证单与材料认价单注明不参与优惠的除外）并报发包人确认。</w:t>
      </w:r>
    </w:p>
    <w:p>
      <w:pPr>
        <w:snapToGrid w:val="0"/>
        <w:spacing w:line="400" w:lineRule="exact"/>
        <w:ind w:firstLine="480" w:firstLineChars="200"/>
        <w:jc w:val="left"/>
        <w:rPr>
          <w:rFonts w:ascii="宋体" w:hAnsi="宋体" w:eastAsia="宋体" w:cs="Times New Roman"/>
          <w:bCs/>
          <w:sz w:val="24"/>
          <w:szCs w:val="24"/>
        </w:rPr>
      </w:pPr>
      <w:bookmarkStart w:id="672" w:name="_Toc296944536"/>
      <w:bookmarkEnd w:id="672"/>
      <w:bookmarkStart w:id="673" w:name="_Toc297048389"/>
      <w:bookmarkEnd w:id="673"/>
      <w:bookmarkStart w:id="674" w:name="_Toc296347202"/>
      <w:bookmarkEnd w:id="674"/>
      <w:bookmarkStart w:id="675" w:name="_Toc300934993"/>
      <w:bookmarkEnd w:id="675"/>
      <w:bookmarkStart w:id="676" w:name="_Toc303539150"/>
      <w:bookmarkEnd w:id="676"/>
      <w:bookmarkStart w:id="677" w:name="_Toc296944542"/>
      <w:bookmarkEnd w:id="677"/>
      <w:bookmarkStart w:id="678" w:name="_Toc312678029"/>
      <w:bookmarkEnd w:id="678"/>
      <w:bookmarkStart w:id="679" w:name="_Toc303539151"/>
      <w:bookmarkEnd w:id="679"/>
      <w:bookmarkStart w:id="680" w:name="_Toc292559402"/>
      <w:bookmarkEnd w:id="680"/>
      <w:bookmarkStart w:id="681" w:name="_Toc292559913"/>
      <w:bookmarkEnd w:id="681"/>
      <w:bookmarkStart w:id="682" w:name="_Toc297123545"/>
      <w:bookmarkEnd w:id="682"/>
      <w:bookmarkStart w:id="683" w:name="_Toc296891237"/>
      <w:bookmarkEnd w:id="683"/>
      <w:bookmarkStart w:id="684" w:name="_Toc296347196"/>
      <w:bookmarkEnd w:id="684"/>
      <w:bookmarkStart w:id="685" w:name="_Toc312677503"/>
      <w:bookmarkEnd w:id="685"/>
      <w:bookmarkStart w:id="686" w:name="_Toc297120503"/>
      <w:bookmarkEnd w:id="686"/>
      <w:bookmarkStart w:id="687" w:name="_Toc296891025"/>
      <w:bookmarkEnd w:id="687"/>
      <w:bookmarkStart w:id="688" w:name="_Toc300934994"/>
      <w:bookmarkEnd w:id="688"/>
      <w:bookmarkStart w:id="689" w:name="_Toc296503203"/>
      <w:bookmarkEnd w:id="689"/>
      <w:bookmarkStart w:id="690" w:name="_Toc292559907"/>
      <w:bookmarkEnd w:id="690"/>
      <w:bookmarkStart w:id="691" w:name="_Toc304295570"/>
      <w:bookmarkEnd w:id="691"/>
      <w:bookmarkStart w:id="692" w:name="_Toc296346704"/>
      <w:bookmarkEnd w:id="692"/>
      <w:bookmarkStart w:id="693" w:name="_Toc296346698"/>
      <w:bookmarkEnd w:id="693"/>
      <w:bookmarkStart w:id="694" w:name="_Toc296891031"/>
      <w:bookmarkEnd w:id="694"/>
      <w:bookmarkStart w:id="695" w:name="_Toc297216204"/>
      <w:bookmarkEnd w:id="695"/>
      <w:bookmarkStart w:id="696" w:name="_Toc292559408"/>
      <w:bookmarkEnd w:id="696"/>
      <w:bookmarkStart w:id="697" w:name="_Toc297048383"/>
      <w:bookmarkEnd w:id="697"/>
      <w:bookmarkStart w:id="698" w:name="_Toc296891243"/>
      <w:bookmarkEnd w:id="698"/>
      <w:bookmarkStart w:id="699" w:name="_Toc297120497"/>
      <w:bookmarkEnd w:id="699"/>
      <w:bookmarkStart w:id="700" w:name="_Toc297216203"/>
      <w:bookmarkEnd w:id="700"/>
      <w:bookmarkStart w:id="701" w:name="_Toc297123544"/>
      <w:bookmarkEnd w:id="701"/>
      <w:bookmarkStart w:id="702" w:name="_Toc296503197"/>
      <w:bookmarkEnd w:id="702"/>
      <w:r>
        <w:rPr>
          <w:rFonts w:hint="eastAsia" w:ascii="宋体" w:hAnsi="宋体" w:eastAsia="宋体" w:cs="Times New Roman"/>
          <w:bCs/>
          <w:sz w:val="24"/>
          <w:szCs w:val="24"/>
        </w:rPr>
        <w:t>10.5承包人的合理化建议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监理人审查承包人合理化建议的期限：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发包人审批承包人合理化建议的期限：收到后3天内。</w:t>
      </w:r>
    </w:p>
    <w:p>
      <w:pPr>
        <w:snapToGrid w:val="0"/>
        <w:spacing w:line="400" w:lineRule="exact"/>
        <w:ind w:firstLine="480" w:firstLineChars="200"/>
        <w:jc w:val="left"/>
        <w:rPr>
          <w:rFonts w:ascii="宋体" w:hAnsi="宋体" w:eastAsia="宋体" w:cs="Times New Roman"/>
          <w:bCs/>
          <w:sz w:val="24"/>
          <w:szCs w:val="24"/>
        </w:rPr>
      </w:pPr>
      <w:bookmarkStart w:id="703" w:name="_Toc296891244"/>
      <w:bookmarkEnd w:id="703"/>
      <w:bookmarkStart w:id="704" w:name="_Toc296891032"/>
      <w:bookmarkEnd w:id="704"/>
      <w:bookmarkStart w:id="705" w:name="_Toc296347203"/>
      <w:bookmarkEnd w:id="705"/>
      <w:bookmarkStart w:id="706" w:name="_Toc312677504"/>
      <w:bookmarkEnd w:id="706"/>
      <w:bookmarkStart w:id="707" w:name="_Toc296503204"/>
      <w:bookmarkEnd w:id="707"/>
      <w:bookmarkStart w:id="708" w:name="_Toc318581175"/>
      <w:bookmarkEnd w:id="708"/>
      <w:bookmarkStart w:id="709" w:name="_Toc300934995"/>
      <w:bookmarkEnd w:id="709"/>
      <w:bookmarkStart w:id="710" w:name="_Toc312678030"/>
      <w:bookmarkEnd w:id="710"/>
      <w:bookmarkStart w:id="711" w:name="_Toc297123546"/>
      <w:bookmarkEnd w:id="711"/>
      <w:bookmarkStart w:id="712" w:name="_Toc304295571"/>
      <w:bookmarkEnd w:id="712"/>
      <w:bookmarkStart w:id="713" w:name="_Toc297216205"/>
      <w:bookmarkEnd w:id="713"/>
      <w:bookmarkStart w:id="714" w:name="_Toc296346705"/>
      <w:bookmarkEnd w:id="714"/>
      <w:bookmarkStart w:id="715" w:name="_Toc297048390"/>
      <w:bookmarkEnd w:id="715"/>
      <w:bookmarkStart w:id="716" w:name="_Toc296944543"/>
      <w:bookmarkEnd w:id="716"/>
      <w:bookmarkStart w:id="717" w:name="_Toc292559914"/>
      <w:bookmarkEnd w:id="717"/>
      <w:bookmarkStart w:id="718" w:name="_Toc303539152"/>
      <w:bookmarkEnd w:id="718"/>
      <w:bookmarkStart w:id="719" w:name="_Toc292559409"/>
      <w:bookmarkEnd w:id="719"/>
      <w:bookmarkStart w:id="720" w:name="_Toc297120504"/>
      <w:bookmarkEnd w:id="720"/>
      <w:r>
        <w:rPr>
          <w:rFonts w:hint="eastAsia" w:ascii="宋体" w:hAnsi="宋体" w:eastAsia="宋体" w:cs="Times New Roman"/>
          <w:bCs/>
          <w:sz w:val="24"/>
          <w:szCs w:val="24"/>
        </w:rPr>
        <w:t>承包人提出的合理化建议降低了合同价格或者提高了工程经济效益的奖励的方法和金额为：          /                            。</w:t>
      </w:r>
    </w:p>
    <w:p>
      <w:pPr>
        <w:snapToGrid w:val="0"/>
        <w:spacing w:line="400" w:lineRule="exact"/>
        <w:ind w:firstLine="480" w:firstLineChars="200"/>
        <w:jc w:val="left"/>
        <w:rPr>
          <w:rFonts w:ascii="宋体" w:hAnsi="宋体" w:eastAsia="宋体" w:cs="Times New Roman"/>
          <w:bCs/>
          <w:sz w:val="24"/>
          <w:szCs w:val="24"/>
        </w:rPr>
      </w:pPr>
      <w:bookmarkStart w:id="721" w:name="_Toc312677507"/>
      <w:bookmarkEnd w:id="721"/>
      <w:bookmarkStart w:id="722" w:name="_Toc296944538"/>
      <w:bookmarkEnd w:id="722"/>
      <w:bookmarkStart w:id="723" w:name="_Toc297216207"/>
      <w:bookmarkEnd w:id="723"/>
      <w:bookmarkStart w:id="724" w:name="_Toc303539154"/>
      <w:bookmarkEnd w:id="724"/>
      <w:bookmarkStart w:id="725" w:name="_Toc297048385"/>
      <w:bookmarkEnd w:id="725"/>
      <w:bookmarkStart w:id="726" w:name="_Toc297123548"/>
      <w:bookmarkEnd w:id="726"/>
      <w:bookmarkStart w:id="727" w:name="_Toc296891027"/>
      <w:bookmarkEnd w:id="727"/>
      <w:bookmarkStart w:id="728" w:name="_Toc312678033"/>
      <w:bookmarkEnd w:id="728"/>
      <w:bookmarkStart w:id="729" w:name="_Toc296891239"/>
      <w:bookmarkEnd w:id="729"/>
      <w:bookmarkStart w:id="730" w:name="_Toc296346700"/>
      <w:bookmarkEnd w:id="730"/>
      <w:bookmarkStart w:id="731" w:name="_Toc292559909"/>
      <w:bookmarkEnd w:id="731"/>
      <w:bookmarkStart w:id="732" w:name="_Toc304295574"/>
      <w:bookmarkEnd w:id="732"/>
      <w:bookmarkStart w:id="733" w:name="_Toc296503199"/>
      <w:bookmarkEnd w:id="733"/>
      <w:bookmarkStart w:id="734" w:name="_Toc300934997"/>
      <w:bookmarkEnd w:id="734"/>
      <w:bookmarkStart w:id="735" w:name="_Toc292559404"/>
      <w:bookmarkEnd w:id="735"/>
      <w:bookmarkStart w:id="736" w:name="_Toc297120499"/>
      <w:bookmarkEnd w:id="736"/>
      <w:bookmarkStart w:id="737" w:name="_Toc296347198"/>
      <w:bookmarkEnd w:id="737"/>
      <w:r>
        <w:rPr>
          <w:rFonts w:hint="eastAsia" w:ascii="宋体" w:hAnsi="宋体" w:eastAsia="宋体" w:cs="Times New Roman"/>
          <w:bCs/>
          <w:sz w:val="24"/>
          <w:szCs w:val="24"/>
        </w:rPr>
        <w:t>10.7 暂估价</w:t>
      </w:r>
    </w:p>
    <w:p>
      <w:pPr>
        <w:snapToGrid w:val="0"/>
        <w:spacing w:line="400" w:lineRule="exact"/>
        <w:ind w:firstLine="480" w:firstLineChars="200"/>
        <w:jc w:val="left"/>
        <w:rPr>
          <w:rFonts w:ascii="宋体" w:hAnsi="宋体" w:eastAsia="宋体" w:cs="Times New Roman"/>
          <w:bCs/>
          <w:sz w:val="24"/>
          <w:szCs w:val="24"/>
        </w:rPr>
      </w:pPr>
      <w:bookmarkStart w:id="738" w:name="_Toc312677508"/>
      <w:bookmarkEnd w:id="738"/>
      <w:bookmarkStart w:id="739" w:name="_Toc312678034"/>
      <w:bookmarkEnd w:id="739"/>
      <w:bookmarkStart w:id="740" w:name="_Toc318581176"/>
      <w:bookmarkEnd w:id="740"/>
      <w:r>
        <w:rPr>
          <w:rFonts w:hint="eastAsia" w:ascii="宋体" w:hAnsi="宋体" w:eastAsia="宋体" w:cs="Times New Roman"/>
          <w:bCs/>
          <w:sz w:val="24"/>
          <w:szCs w:val="24"/>
        </w:rPr>
        <w:t>暂估价材料和工程设备的明细</w:t>
      </w:r>
    </w:p>
    <w:p>
      <w:pPr>
        <w:snapToGrid w:val="0"/>
        <w:spacing w:line="400" w:lineRule="exact"/>
        <w:ind w:firstLine="480" w:firstLineChars="200"/>
        <w:jc w:val="left"/>
        <w:rPr>
          <w:rFonts w:ascii="宋体" w:hAnsi="宋体" w:eastAsia="宋体" w:cs="Times New Roman"/>
          <w:bCs/>
          <w:sz w:val="24"/>
          <w:szCs w:val="24"/>
        </w:rPr>
      </w:pPr>
      <w:bookmarkStart w:id="741" w:name="_Toc312677509"/>
      <w:bookmarkEnd w:id="741"/>
      <w:bookmarkStart w:id="742" w:name="_Toc318581177"/>
      <w:bookmarkEnd w:id="742"/>
      <w:bookmarkStart w:id="743" w:name="_Toc312678035"/>
      <w:bookmarkEnd w:id="743"/>
      <w:r>
        <w:rPr>
          <w:rFonts w:hint="eastAsia" w:ascii="宋体" w:hAnsi="宋体" w:eastAsia="宋体" w:cs="Times New Roman"/>
          <w:bCs/>
          <w:sz w:val="24"/>
          <w:szCs w:val="24"/>
        </w:rPr>
        <w:t>10.7.1 依法必须招标的暂估价项目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对于依法必须招标的暂估价项目的确认和批准采取第   / 种方式确定。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10.7.2 不属于依法必须招标的暂估价项目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对于不属于依法必须招标的暂估价项目的确认和批准采取第    / 种方式确定。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第3种方式：承包人直接实施的暂估价项目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承包人直接实施的暂估价项目的约定：施工期间认质、认价。</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10.8 暂列金额</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合同当事人关于暂列金额使用的约定：  /     。                                        </w:t>
      </w:r>
    </w:p>
    <w:bookmarkEnd w:id="652"/>
    <w:bookmarkEnd w:id="653"/>
    <w:bookmarkEnd w:id="654"/>
    <w:p>
      <w:pPr>
        <w:snapToGrid w:val="0"/>
        <w:spacing w:line="400" w:lineRule="exact"/>
        <w:ind w:firstLine="480" w:firstLineChars="200"/>
        <w:jc w:val="left"/>
        <w:rPr>
          <w:rFonts w:ascii="宋体" w:hAnsi="宋体" w:eastAsia="宋体" w:cs="Times New Roman"/>
          <w:bCs/>
          <w:sz w:val="24"/>
          <w:szCs w:val="24"/>
        </w:rPr>
      </w:pPr>
      <w:bookmarkStart w:id="744" w:name="_Toc529438841"/>
      <w:bookmarkEnd w:id="744"/>
      <w:bookmarkStart w:id="745" w:name="_Toc14975650"/>
      <w:bookmarkEnd w:id="745"/>
      <w:r>
        <w:rPr>
          <w:rFonts w:ascii="宋体" w:hAnsi="宋体" w:eastAsia="宋体" w:cs="Times New Roman"/>
          <w:bCs/>
          <w:sz w:val="24"/>
          <w:szCs w:val="24"/>
        </w:rPr>
        <w:t>11. 价格调整</w:t>
      </w:r>
    </w:p>
    <w:p>
      <w:pPr>
        <w:snapToGrid w:val="0"/>
        <w:spacing w:line="400" w:lineRule="exact"/>
        <w:ind w:firstLine="480" w:firstLineChars="200"/>
        <w:jc w:val="left"/>
        <w:rPr>
          <w:rFonts w:ascii="宋体" w:hAnsi="宋体" w:eastAsia="宋体" w:cs="Times New Roman"/>
          <w:bCs/>
          <w:sz w:val="24"/>
          <w:szCs w:val="24"/>
        </w:rPr>
      </w:pPr>
      <w:bookmarkStart w:id="746" w:name="_Toc417659757"/>
      <w:bookmarkEnd w:id="746"/>
      <w:bookmarkStart w:id="747" w:name="_Toc297216209"/>
      <w:bookmarkStart w:id="748" w:name="_Toc304295577"/>
      <w:bookmarkStart w:id="749" w:name="_Toc297120501"/>
      <w:bookmarkStart w:id="750" w:name="_Toc297123550"/>
      <w:bookmarkStart w:id="751" w:name="_Toc296944540"/>
      <w:bookmarkStart w:id="752" w:name="_Toc297048387"/>
      <w:bookmarkStart w:id="753" w:name="_Toc296503201"/>
      <w:bookmarkStart w:id="754" w:name="_Toc296891029"/>
      <w:bookmarkStart w:id="755" w:name="_Toc303539157"/>
      <w:bookmarkStart w:id="756" w:name="_Toc296347200"/>
      <w:bookmarkStart w:id="757" w:name="_Toc296346702"/>
      <w:bookmarkStart w:id="758" w:name="_Toc296891241"/>
      <w:bookmarkStart w:id="759" w:name="_Toc312678039"/>
      <w:bookmarkStart w:id="760" w:name="_Toc300935000"/>
      <w:bookmarkStart w:id="761" w:name="_Toc292559911"/>
      <w:bookmarkStart w:id="762" w:name="_Toc292559406"/>
      <w:r>
        <w:rPr>
          <w:rFonts w:ascii="宋体" w:hAnsi="宋体" w:eastAsia="宋体" w:cs="Times New Roman"/>
          <w:bCs/>
          <w:sz w:val="24"/>
          <w:szCs w:val="24"/>
        </w:rPr>
        <w:t>11.1 市场价格波动引起的调整</w:t>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Pr>
        <w:snapToGrid w:val="0"/>
        <w:spacing w:line="400" w:lineRule="exact"/>
        <w:ind w:firstLine="480" w:firstLineChars="200"/>
        <w:jc w:val="left"/>
        <w:rPr>
          <w:rFonts w:ascii="宋体" w:hAnsi="宋体" w:eastAsia="宋体" w:cs="Times New Roman"/>
          <w:bCs/>
          <w:sz w:val="24"/>
          <w:szCs w:val="24"/>
        </w:rPr>
      </w:pPr>
      <w:bookmarkStart w:id="763" w:name="_Toc417659758"/>
      <w:bookmarkStart w:id="764" w:name="_Toc500423715"/>
      <w:r>
        <w:rPr>
          <w:rFonts w:ascii="宋体" w:hAnsi="宋体" w:eastAsia="宋体" w:cs="Times New Roman"/>
          <w:bCs/>
          <w:sz w:val="24"/>
          <w:szCs w:val="24"/>
        </w:rPr>
        <w:t>市场价格波动是否调整合同价格的约定：</w:t>
      </w:r>
      <w:r>
        <w:rPr>
          <w:rFonts w:hint="eastAsia" w:ascii="宋体" w:hAnsi="宋体" w:eastAsia="宋体" w:cs="Times New Roman"/>
          <w:bCs/>
          <w:sz w:val="24"/>
          <w:szCs w:val="24"/>
        </w:rPr>
        <w:t xml:space="preserve"> 不调整 </w:t>
      </w:r>
      <w:r>
        <w:rPr>
          <w:rFonts w:ascii="宋体" w:hAnsi="宋体" w:eastAsia="宋体" w:cs="Times New Roman"/>
          <w:bCs/>
          <w:sz w:val="24"/>
          <w:szCs w:val="24"/>
        </w:rPr>
        <w:t>。</w:t>
      </w:r>
    </w:p>
    <w:bookmarkEnd w:id="763"/>
    <w:bookmarkEnd w:id="764"/>
    <w:p>
      <w:pPr>
        <w:snapToGrid w:val="0"/>
        <w:spacing w:line="400" w:lineRule="exact"/>
        <w:ind w:firstLine="480" w:firstLineChars="200"/>
        <w:jc w:val="left"/>
        <w:rPr>
          <w:rFonts w:ascii="宋体" w:hAnsi="宋体" w:eastAsia="宋体" w:cs="Times New Roman"/>
          <w:bCs/>
          <w:sz w:val="24"/>
          <w:szCs w:val="24"/>
        </w:rPr>
      </w:pPr>
      <w:bookmarkStart w:id="765" w:name="_Toc14975651"/>
      <w:bookmarkEnd w:id="765"/>
      <w:bookmarkStart w:id="766" w:name="_Toc529438842"/>
      <w:bookmarkEnd w:id="766"/>
      <w:r>
        <w:rPr>
          <w:rFonts w:hint="eastAsia" w:ascii="宋体" w:hAnsi="宋体" w:eastAsia="宋体" w:cs="Times New Roman"/>
          <w:bCs/>
          <w:sz w:val="24"/>
          <w:szCs w:val="24"/>
        </w:rPr>
        <w:t>12. 合同价格、计量与支付</w:t>
      </w:r>
    </w:p>
    <w:p>
      <w:pPr>
        <w:snapToGrid w:val="0"/>
        <w:spacing w:line="400" w:lineRule="exact"/>
        <w:ind w:firstLine="480" w:firstLineChars="200"/>
        <w:jc w:val="left"/>
        <w:rPr>
          <w:rFonts w:ascii="宋体" w:hAnsi="宋体" w:eastAsia="宋体" w:cs="Times New Roman"/>
          <w:bCs/>
          <w:sz w:val="24"/>
          <w:szCs w:val="24"/>
        </w:rPr>
      </w:pPr>
      <w:bookmarkStart w:id="767" w:name="_Toc417659760"/>
      <w:r>
        <w:rPr>
          <w:rFonts w:hint="eastAsia" w:ascii="宋体" w:hAnsi="宋体" w:eastAsia="宋体" w:cs="Times New Roman"/>
          <w:bCs/>
          <w:sz w:val="24"/>
          <w:szCs w:val="24"/>
        </w:rPr>
        <w:t>1、单价合同。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全费用单价包含的风险范围：承包人承担投标综合单价范围内的风险。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风险费用的计算方法：承包人在投标报价时按市场情况自行考虑，工程结算时不予调整。</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风险范围以外合同价格的调整方法：因市场价格波动引起的调整按第11.1款〔市场价格波动引起的调整〕约定执行，清单工程量量差、漏项、设计变更、现场签证，依实际发生变动的工程量，经发包人确认后，竣工结算时按下列有关规定调整合同价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（1）合同已有适用于设计变更、现场签证、工程量调整的综合单价，按合同已有的单价结算；</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（2）合同中只有类似于设计变更、现场签证、工程量调整的综合单价，发包人应采用此类似子目的单价作为计价基础进行适当调整；</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合同中没有适用或类似于设计变更、现场签证、工程量调整的综合单价时，由承包人按工程量清单综合单价的编制原则及取费标准进行编制，经发包人审核确认后作为结算单价，并按照投标总价与招标控制价的优惠率进行优惠（签证单与材料认价单注明不参与优惠的除外）。</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2、总价合同。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总价包含的风险范围：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风险费用的计算方法：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风险范围以外合同价格的调整方法：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3、其他价格方式：        /     。</w:t>
      </w:r>
    </w:p>
    <w:bookmarkEnd w:id="767"/>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12.2 预付款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12.2.1 预付款的支付</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预付款支付比例或金额： 无预付款。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预付款支付期限：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预付款扣回的方式：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12.2.2 预付款担保</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承包人提交预付款担保的期限：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预付款担保的形式为： / 。</w:t>
      </w:r>
    </w:p>
    <w:p>
      <w:pPr>
        <w:snapToGrid w:val="0"/>
        <w:spacing w:line="400" w:lineRule="exact"/>
        <w:ind w:firstLine="480" w:firstLineChars="200"/>
        <w:jc w:val="left"/>
        <w:rPr>
          <w:rFonts w:ascii="宋体" w:hAnsi="宋体" w:eastAsia="宋体" w:cs="Times New Roman"/>
          <w:bCs/>
          <w:sz w:val="24"/>
          <w:szCs w:val="24"/>
        </w:rPr>
      </w:pPr>
      <w:bookmarkStart w:id="768" w:name="_Toc417659761"/>
      <w:bookmarkEnd w:id="768"/>
      <w:r>
        <w:rPr>
          <w:rFonts w:hint="eastAsia" w:ascii="宋体" w:hAnsi="宋体" w:eastAsia="宋体" w:cs="Times New Roman"/>
          <w:bCs/>
          <w:sz w:val="24"/>
          <w:szCs w:val="24"/>
        </w:rPr>
        <w:t>12.3 计量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12.3.1 计量原则</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工程量计算规则：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12.3.2 计量周期</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关于计量周期的约定：执行通用条款。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12.3.4 总价合同的计量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关于总价合同计量的约定：  执行通用条款。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12.3.5总价合同采用支付分解表计量支付的，是否适用第12.3.4 项〔总价合同的计量〕约定进行计量：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12.3.6 其他价格形式合同的计量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其他价格形式的计量方式和程序：  / 。</w:t>
      </w:r>
    </w:p>
    <w:p>
      <w:pPr>
        <w:snapToGrid w:val="0"/>
        <w:spacing w:line="400" w:lineRule="exact"/>
        <w:ind w:firstLine="480" w:firstLineChars="200"/>
        <w:jc w:val="left"/>
        <w:rPr>
          <w:rFonts w:ascii="宋体" w:hAnsi="宋体" w:eastAsia="宋体" w:cs="Times New Roman"/>
          <w:bCs/>
          <w:sz w:val="24"/>
          <w:szCs w:val="24"/>
        </w:rPr>
      </w:pPr>
      <w:bookmarkStart w:id="769" w:name="_Toc417659762"/>
      <w:bookmarkEnd w:id="769"/>
      <w:r>
        <w:rPr>
          <w:rFonts w:hint="eastAsia" w:ascii="宋体" w:hAnsi="宋体" w:eastAsia="宋体" w:cs="Times New Roman"/>
          <w:bCs/>
          <w:sz w:val="24"/>
          <w:szCs w:val="24"/>
        </w:rPr>
        <w:t>12.4 工程进度款支付方式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12.4.1付款周期根据形象进度付款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12.4.2支付方式： 公对公转账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12.4.2 进度付款申请单的编制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关于进度付款申请单编制的约定：执行通用条款。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12.4.3 进度付款申请单的提交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（1）单价合同进度付款申请单提交的约定：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（2）总价合同进度付款申请单提交的约定：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（3）其他价格形式合同进度付款申请单提交的约定：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12.4.4 进度款审核和支付</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（1）监理人审查并报送发包人的期限：/</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发包人完成审批并签发进度款支付证书的期限：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（2）发包人支付进度款的期限：/</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发包人逾期支付进度款的违约金的计算方式：/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12.4.6 支付分解表的编制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2、总价合同支付分解表的编制与审批：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3、单价合同的总价项目支付分解表的编制与审批：  /  。</w:t>
      </w:r>
    </w:p>
    <w:p>
      <w:pPr>
        <w:snapToGrid w:val="0"/>
        <w:spacing w:line="400" w:lineRule="exact"/>
        <w:ind w:firstLine="480" w:firstLineChars="200"/>
        <w:jc w:val="left"/>
        <w:rPr>
          <w:rFonts w:ascii="宋体" w:hAnsi="宋体" w:eastAsia="宋体" w:cs="Times New Roman"/>
          <w:bCs/>
          <w:sz w:val="24"/>
          <w:szCs w:val="24"/>
        </w:rPr>
      </w:pPr>
      <w:bookmarkStart w:id="770" w:name="_Toc292559424"/>
      <w:bookmarkEnd w:id="770"/>
      <w:r>
        <w:rPr>
          <w:rFonts w:hint="eastAsia" w:ascii="宋体" w:hAnsi="宋体" w:eastAsia="宋体" w:cs="Times New Roman"/>
          <w:bCs/>
          <w:sz w:val="24"/>
          <w:szCs w:val="24"/>
        </w:rPr>
        <w:t>13. 验收和工程试车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13.1 分部分项工程验收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13.1.2监理人不能按时进行验收时，应提前  /  小时提交书面延期要求。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关于延期最长不得超过：    /     小时。</w:t>
      </w:r>
    </w:p>
    <w:p>
      <w:pPr>
        <w:snapToGrid w:val="0"/>
        <w:spacing w:line="400" w:lineRule="exact"/>
        <w:ind w:firstLine="480" w:firstLineChars="200"/>
        <w:jc w:val="left"/>
        <w:rPr>
          <w:rFonts w:ascii="宋体" w:hAnsi="宋体" w:eastAsia="宋体" w:cs="Times New Roman"/>
          <w:bCs/>
          <w:sz w:val="24"/>
          <w:szCs w:val="24"/>
        </w:rPr>
      </w:pPr>
      <w:bookmarkStart w:id="771" w:name="_Toc267251476"/>
      <w:bookmarkEnd w:id="771"/>
      <w:bookmarkStart w:id="772" w:name="_Toc296944562"/>
      <w:bookmarkEnd w:id="772"/>
      <w:bookmarkStart w:id="773" w:name="_Toc292559428"/>
      <w:bookmarkEnd w:id="773"/>
      <w:bookmarkStart w:id="774" w:name="_Toc297048409"/>
      <w:bookmarkEnd w:id="774"/>
      <w:bookmarkStart w:id="775" w:name="_Toc296891263"/>
      <w:bookmarkEnd w:id="775"/>
      <w:bookmarkStart w:id="776" w:name="_Toc292559933"/>
      <w:bookmarkEnd w:id="776"/>
      <w:bookmarkStart w:id="777" w:name="_Toc267251472"/>
      <w:bookmarkEnd w:id="777"/>
      <w:bookmarkStart w:id="778" w:name="_Toc296347222"/>
      <w:bookmarkEnd w:id="778"/>
      <w:bookmarkStart w:id="779" w:name="_Toc304295596"/>
      <w:bookmarkEnd w:id="779"/>
      <w:bookmarkStart w:id="780" w:name="_Toc267251473"/>
      <w:bookmarkEnd w:id="780"/>
      <w:bookmarkStart w:id="781" w:name="_Toc296891051"/>
      <w:bookmarkEnd w:id="781"/>
      <w:bookmarkStart w:id="782" w:name="_Toc297216224"/>
      <w:bookmarkEnd w:id="782"/>
      <w:bookmarkStart w:id="783" w:name="_Toc267251471"/>
      <w:bookmarkEnd w:id="783"/>
      <w:bookmarkStart w:id="784" w:name="_Toc296346724"/>
      <w:bookmarkEnd w:id="784"/>
      <w:bookmarkStart w:id="785" w:name="_Toc267251474"/>
      <w:bookmarkEnd w:id="785"/>
      <w:bookmarkStart w:id="786" w:name="_Toc297120523"/>
      <w:bookmarkEnd w:id="786"/>
      <w:bookmarkStart w:id="787" w:name="_Toc312678056"/>
      <w:bookmarkEnd w:id="787"/>
      <w:bookmarkStart w:id="788" w:name="_Toc300935016"/>
      <w:bookmarkEnd w:id="788"/>
      <w:bookmarkStart w:id="789" w:name="_Toc296503223"/>
      <w:bookmarkEnd w:id="789"/>
      <w:bookmarkStart w:id="790" w:name="_Toc267251475"/>
      <w:bookmarkEnd w:id="790"/>
      <w:bookmarkStart w:id="791" w:name="_Toc297123565"/>
      <w:bookmarkEnd w:id="791"/>
      <w:bookmarkStart w:id="792" w:name="_Toc303539173"/>
      <w:bookmarkEnd w:id="792"/>
      <w:bookmarkStart w:id="793" w:name="_Toc267251470"/>
      <w:bookmarkEnd w:id="793"/>
      <w:r>
        <w:rPr>
          <w:rFonts w:hint="eastAsia" w:ascii="宋体" w:hAnsi="宋体" w:eastAsia="宋体" w:cs="Times New Roman"/>
          <w:bCs/>
          <w:sz w:val="24"/>
          <w:szCs w:val="24"/>
        </w:rPr>
        <w:t>13.2 竣工验收</w:t>
      </w:r>
    </w:p>
    <w:p>
      <w:pPr>
        <w:snapToGrid w:val="0"/>
        <w:spacing w:line="400" w:lineRule="exact"/>
        <w:ind w:firstLine="480" w:firstLineChars="200"/>
        <w:jc w:val="left"/>
        <w:rPr>
          <w:rFonts w:ascii="宋体" w:hAnsi="宋体" w:eastAsia="宋体" w:cs="Times New Roman"/>
          <w:bCs/>
          <w:sz w:val="24"/>
          <w:szCs w:val="24"/>
        </w:rPr>
      </w:pPr>
      <w:bookmarkStart w:id="794" w:name="_Toc280868704"/>
      <w:bookmarkEnd w:id="794"/>
      <w:bookmarkStart w:id="795" w:name="_Toc280868705"/>
      <w:bookmarkEnd w:id="795"/>
      <w:bookmarkStart w:id="796" w:name="_Toc280868708"/>
      <w:bookmarkEnd w:id="796"/>
      <w:bookmarkStart w:id="797" w:name="_Toc280868707"/>
      <w:bookmarkEnd w:id="797"/>
      <w:bookmarkStart w:id="798" w:name="_Toc280868706"/>
      <w:bookmarkEnd w:id="798"/>
      <w:bookmarkStart w:id="799" w:name="_Toc280868709"/>
      <w:bookmarkEnd w:id="799"/>
      <w:r>
        <w:rPr>
          <w:rFonts w:hint="eastAsia" w:ascii="宋体" w:hAnsi="宋体" w:eastAsia="宋体" w:cs="Times New Roman"/>
          <w:bCs/>
          <w:sz w:val="24"/>
          <w:szCs w:val="24"/>
        </w:rPr>
        <w:t>13.2.1竣工验收程序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关于竣工验收程序的约定：按通用条款执行。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发包人不按照本项约定组织竣工验收、颁发工程接收证书的违约金的计算方法：发包人不支付违约金。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13.2.2移交、接收全部与部分工程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承包人向发包人移交工程的期限：颁发工程接收证书后7天内。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发包人未按本合同约定接收全部或部分工程的，违约金的计算方法为：发包人不支付违约金。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承包人因自身原因未按时移交工程的，违约金的计算方法为：按照通用条款执行。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13.3 工程试车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13.3.1 试车程序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工程试车内容：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（1）单机无负荷试车费用由    /      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（2）无负荷联动试车费用由   /        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13.3.3 投料试车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关于投料试车相关事项的约定：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13.6 竣工退场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13.6.1 竣工退场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承包人完成竣工退场的期限：  工程移交后10天内  。</w:t>
      </w:r>
    </w:p>
    <w:p>
      <w:pPr>
        <w:snapToGrid w:val="0"/>
        <w:spacing w:line="400" w:lineRule="exact"/>
        <w:ind w:firstLine="480" w:firstLineChars="200"/>
        <w:jc w:val="left"/>
        <w:rPr>
          <w:rFonts w:ascii="宋体" w:hAnsi="宋体" w:eastAsia="宋体" w:cs="Times New Roman"/>
          <w:bCs/>
          <w:sz w:val="24"/>
          <w:szCs w:val="24"/>
        </w:rPr>
      </w:pPr>
      <w:bookmarkStart w:id="800" w:name="_Toc351203646"/>
      <w:bookmarkEnd w:id="800"/>
      <w:r>
        <w:rPr>
          <w:rFonts w:hint="eastAsia" w:ascii="宋体" w:hAnsi="宋体" w:eastAsia="宋体" w:cs="Times New Roman"/>
          <w:bCs/>
          <w:sz w:val="24"/>
          <w:szCs w:val="24"/>
        </w:rPr>
        <w:t>14. 竣工结算</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14.1 竣工结算申请</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承包人提交竣工结算申请单的期限：竣工验收合格后28天内。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竣工结算申请单应包括的内容： 承包人在工程竣工后28天内向发包人递交竣工结算报告及完整的结算资料。承包人提交的结算资料应包含以下内容：</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1)工程竣工验收报告；</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2)施工组织设计、施工方案、技术核定单、图纸会审记录；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3)加盖红章的《结算申请报告》；</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4)与结算相对应的有效合同、补充协议的复印件；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5)详细的工程结算造价书(含编制说明)；</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6)工程施工过程中形成的洽谈记录/签证单等；</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7)经相关人员签字确认的竣工图纸；</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8)甲、乙双方签认与结算有关的函件、会议纪要；</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9)符合发包人公司要求的经过统一编号的现场签证(后附设计变更/工程指令)资料的原件；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10)其它与结算有关的资料。</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以上资料需装订成册。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14.2 竣工结算审核</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发包人审批竣工付款申请单的期限：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发包人完成竣工付款的期限：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关于竣工付款证书异议部分复核的方式和程序：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14.4 最终结清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14.4.1 最终结清申请单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承包人提交最终结清申请单的份数：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承包人提交最终结算申请单的期限：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14.4.2 最终结清证书和支付</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（1）发包人完成最终结清申请单的审批并颁发最终结清证书的期限：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（2）发包人完成支付的期限：                   。</w:t>
      </w:r>
    </w:p>
    <w:p>
      <w:pPr>
        <w:snapToGrid w:val="0"/>
        <w:spacing w:line="400" w:lineRule="exact"/>
        <w:ind w:firstLine="480" w:firstLineChars="200"/>
        <w:jc w:val="left"/>
        <w:rPr>
          <w:rFonts w:ascii="宋体" w:hAnsi="宋体" w:eastAsia="宋体" w:cs="Times New Roman"/>
          <w:bCs/>
          <w:sz w:val="24"/>
          <w:szCs w:val="24"/>
        </w:rPr>
      </w:pPr>
      <w:bookmarkStart w:id="801" w:name="_Toc267251515"/>
      <w:bookmarkEnd w:id="801"/>
      <w:bookmarkStart w:id="802" w:name="_Toc267251493"/>
      <w:bookmarkEnd w:id="802"/>
      <w:bookmarkStart w:id="803" w:name="_Toc267251482"/>
      <w:bookmarkEnd w:id="803"/>
      <w:bookmarkStart w:id="804" w:name="_Toc267251486"/>
      <w:bookmarkEnd w:id="804"/>
      <w:bookmarkStart w:id="805" w:name="_Toc267251489"/>
      <w:bookmarkEnd w:id="805"/>
      <w:bookmarkStart w:id="806" w:name="_Toc267251499"/>
      <w:bookmarkEnd w:id="806"/>
      <w:bookmarkStart w:id="807" w:name="_Toc267251511"/>
      <w:bookmarkEnd w:id="807"/>
      <w:bookmarkStart w:id="808" w:name="_Toc267251503"/>
      <w:bookmarkEnd w:id="808"/>
      <w:bookmarkStart w:id="809" w:name="_Toc267251509"/>
      <w:bookmarkEnd w:id="809"/>
      <w:bookmarkStart w:id="810" w:name="_Toc267251506"/>
      <w:bookmarkEnd w:id="810"/>
      <w:bookmarkStart w:id="811" w:name="_Toc267251484"/>
      <w:bookmarkEnd w:id="811"/>
      <w:bookmarkStart w:id="812" w:name="_Toc267251507"/>
      <w:bookmarkEnd w:id="812"/>
      <w:bookmarkStart w:id="813" w:name="_Toc267251496"/>
      <w:bookmarkEnd w:id="813"/>
      <w:bookmarkStart w:id="814" w:name="_Toc267251510"/>
      <w:bookmarkEnd w:id="814"/>
      <w:bookmarkStart w:id="815" w:name="_Toc267251492"/>
      <w:bookmarkEnd w:id="815"/>
      <w:bookmarkStart w:id="816" w:name="_Toc267251514"/>
      <w:bookmarkEnd w:id="816"/>
      <w:bookmarkStart w:id="817" w:name="_Toc267251488"/>
      <w:bookmarkEnd w:id="817"/>
      <w:bookmarkStart w:id="818" w:name="_Toc267251491"/>
      <w:bookmarkEnd w:id="818"/>
      <w:bookmarkStart w:id="819" w:name="_Toc267251485"/>
      <w:bookmarkEnd w:id="819"/>
      <w:bookmarkStart w:id="820" w:name="_Toc267251495"/>
      <w:bookmarkEnd w:id="820"/>
      <w:bookmarkStart w:id="821" w:name="_Toc267251483"/>
      <w:bookmarkEnd w:id="821"/>
      <w:bookmarkStart w:id="822" w:name="_Toc267251513"/>
      <w:bookmarkEnd w:id="822"/>
      <w:bookmarkStart w:id="823" w:name="_Toc267251498"/>
      <w:bookmarkEnd w:id="823"/>
      <w:bookmarkStart w:id="824" w:name="_Toc267251502"/>
      <w:bookmarkEnd w:id="824"/>
      <w:bookmarkStart w:id="825" w:name="_Toc267251501"/>
      <w:bookmarkEnd w:id="825"/>
      <w:bookmarkStart w:id="826" w:name="_Toc351203647"/>
      <w:bookmarkEnd w:id="826"/>
      <w:bookmarkStart w:id="827" w:name="_Toc267251508"/>
      <w:bookmarkEnd w:id="827"/>
      <w:bookmarkStart w:id="828" w:name="_Toc267251504"/>
      <w:bookmarkEnd w:id="828"/>
      <w:bookmarkStart w:id="829" w:name="_Toc267251494"/>
      <w:bookmarkEnd w:id="829"/>
      <w:bookmarkStart w:id="830" w:name="_Toc267251490"/>
      <w:bookmarkEnd w:id="830"/>
      <w:bookmarkStart w:id="831" w:name="_Toc267251497"/>
      <w:bookmarkEnd w:id="831"/>
      <w:r>
        <w:rPr>
          <w:rFonts w:hint="eastAsia" w:ascii="宋体" w:hAnsi="宋体" w:eastAsia="宋体" w:cs="Times New Roman"/>
          <w:bCs/>
          <w:sz w:val="24"/>
          <w:szCs w:val="24"/>
        </w:rPr>
        <w:t>15. 缺陷责任期与保修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15.2缺陷责任期</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缺陷责任期的具体期限：单位工程竣工验收合格之日起12个月。</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15.3 质量保证金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关于是否扣留质量保证金的约定：        是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15.3.1 承包人提供质量保证金的方式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质量保证金采用以下第  2  种方式：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（1）质量保证金保函，保证金额为：     /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  3 %的工程款；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（3）其他方式: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15.3.2 质量保证金的扣留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质量保证金的扣留采取以下第 2 种方式：</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（1）在支付工程进度款时逐次扣留，在此情形下，质量保证金的计算基数不包括预付款的支付、扣回以及价格调整的金额；</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（2）工程竣工结算时一次性扣留质量保证金；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（3）其他扣留方式: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关于质量保证金的补充约定：   缺陷责任期12个月，质量保证金不计算利息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15.4保修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15.4.1 保修责任</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工程保修期为：        竣工验收后1年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15.4.3 修复通知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承包人收到保修通知并到达工程现场的合理时间：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16.违约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16.1 发包人违约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16.1.1发包人违约的情形</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发包人违约的其他情形：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16.1.2 发包人违约的责任</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发包人违约责任的承担方式和计算方法：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（1）因发包人原因未能在计划开工日期前7天内下达开工通知的违约责任：发包人不支付违约金。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（2）因发包人原因未能按合同约定支付合同价款的违约责任：发包人不支付违约金。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（3）发包人违反第10.1款〔变更的范围〕第（2）项约定，自行实施被取消的工作或转由他人实施的违约责任：无。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（4）发包人提供的材料、工程设备的规格、数量或质量不符合合同约定，或因发包人原因导致交货日期延误或交货地点变更等情况的违约责任：  无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（5）因发包人违反合同约定造成暂停施工的违约责任：工期顺延，发包人不支付违约金。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（6）发包人无正当理由没有在约定期限内发出复工指示，导致承包人无法复工的违约责任：     无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（7）其他：        无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16.2 承包人违约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16.2.1 承包人违约的情形:承包人违约的其他情形：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16.2.2承包人违约的责任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承包人违约责任的承担方式和计算方法：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无瑕疵履行：承包人提供的服务、产品或者实施的工程数量、质量等不符合要求的，承包人应承担改进、更换、返工等责任；</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支付违约金、罚金、罚款：按照合同条款的约定执行；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赔偿损失：赔偿发包人的实际损失（包括除不可抗力外导致工期延长的其它费用）；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所有违约处罚以发包人下发通知单为准，承包人如有异议可在规定时间内申请复议，若未在规定时间内申请复议且拒签的，拒签收的违约处罚部分加倍处罚。所有违约处罚在最近的一次支付工程款中扣除。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其中：</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1）若承包方未严格按照工程量施工，增加工程量发包人均不认可，发包人有权要求承包人进行整改，产生的一切费用均由承包方承担。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2）若承包人私自转包或违法分包工程，发包人对承包人处以100000元的罚款，该转包（分包）工程不予计量，且发包人有权单方面解除合同，因此而误期、产生质量问题或者发生纠纷的，责任全部由承包人承担。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承包人必须按合同约定质量标准完成本工程（包括分部分项及单位工程）施工。承包人在施工过程中由于质量意识差、管理不到位、技术水平低等原因造成工程施工质量低下，发生重大质量事故除接受三门峡市相关职能部门的处罚外，由发包人视情节轻重处以1万-50万的违约处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4）承包人未履行缺陷修复和保修责任的，由发包人自行或委托他人修复，费用由承包人承担，因此而造成其他损失的责任全部由承包人承担，承包人还应每次向发包人支付修复费用10%的违约金。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5）由承包人完成或提供配合的工作，承包人拒绝完成或不能按合同要求完成或不提供配合，发包人可另行安排其他单位完成，所发生的全部费用从承包人工程款中扣除，影响工期的责任由承包人负责。</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因承包人原因造成的安全事故，由承包人负责处理善后工作并承担由此引起的全部费用。若承包人不能及时解决，发包人有权从应付款项中扣除相应的赔、补偿款项并直接支付给事故受害方，承包人不得持任何异议。若出现重大安全事故，发包人有权扣罚履约保证金，直至扣除全部履约保证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无论何方原因导致暂停施工，在暂停期间，承包人均应负责保护、保管并保证相应部分工程或者全部工程不致产生任何变质、损失或损害，并对施工现场提供安全保障，否则承担赔偿责任；承包人因此发生的照管费用由责任方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不得随意暂停施工，或者以暂停施工向发包人或者监理人施加压力获取不当利益。承包人暂停施工没有法律和合同依据的，应承担因此而造成的损失，且工期不予延长，复工及赶工等费用由承包人承担；若承包人的行为已经构成根本违约，发包人有权解除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在物资进场前，承包人须按发包人要求提交样品，样品经发包人确认后，承包人按样品的技术标准与规格等标准采购。样品不符合发包人要求的，承包人须按发包人所示样品的技术标准与规格等标准采购。承包人不按样品的技术标准与规格等标准采购或不接受发包人所示样品的，应视为承包人违约，发包人有权对承包人处以违约处罚，处罚金额最高可达该种材料总价值的30%，且发包人有权自行采购并按实际采购价从承包人的合同价中扣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9)承包人违反约定采购或使用不合格材料的，由承包人负责更换和返工，因此而误期或出现质量事故或隐患的，责任由承包人承担，承包人还应按照违约采购或使用材料价值的30%向发包人支付违约金。</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10)承包人不得因与发包人的索赔问题、工程款结算问题，以及承包人与其他单位或个人的纠纷，或者其他任何理由拒绝按照通用条款的规定退场，影响发包人对工程的接受和运营。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承包人没有按照规定的期限和条件退场的，发包人有权拒付工程计量款，承包人除了赔偿因此而给发包人造成的实际损失外，还应以签约合同价为基数每天向发包人支付1‰的违约金。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16.2.3 因承包人违约解除合同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承包人违约解除合同的特别约定：合同解除之日起7个工作日内，承包人须同发包人办理包括已完工程及已完工程量核算等交接手续，并清理退场。否则，已完工程及已完工程量核算等事项以发包人确认的数据为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发包人继续使用承包人在施工现场的材料、设备、临时工程、承包人文件和由承包人或以其名义编制的其他文件的费用承担方式：双方协商。</w:t>
      </w:r>
    </w:p>
    <w:p>
      <w:pPr>
        <w:snapToGrid w:val="0"/>
        <w:spacing w:line="400" w:lineRule="exact"/>
        <w:ind w:firstLine="480" w:firstLineChars="200"/>
        <w:jc w:val="left"/>
        <w:rPr>
          <w:rFonts w:ascii="宋体" w:hAnsi="宋体" w:eastAsia="宋体" w:cs="Times New Roman"/>
          <w:bCs/>
          <w:sz w:val="24"/>
          <w:szCs w:val="24"/>
        </w:rPr>
      </w:pPr>
      <w:bookmarkStart w:id="832" w:name="_Toc351203649"/>
      <w:bookmarkEnd w:id="832"/>
      <w:r>
        <w:rPr>
          <w:rFonts w:hint="eastAsia" w:ascii="宋体" w:hAnsi="宋体" w:eastAsia="宋体" w:cs="Times New Roman"/>
          <w:bCs/>
          <w:sz w:val="24"/>
          <w:szCs w:val="24"/>
        </w:rPr>
        <w:t xml:space="preserve">17. 不可抗力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17.1 不可抗力的确认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除通用合同条款约定的不可抗力事件之外，视为不可抗力的其他情形：战争、动乱及合同条款约定的风速6级及以上并持续两天及以上风、每小时降雨量40MM及以上并持续一昼夜及以上并经市级以上气象部门确认的大雨及以上、6级及以上地震等自然灾害。</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17.4 因不可抗力解除合同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合同解除后，发包人应在商定或确定发包人应支付款项后  180  天内完成款项的支付。</w:t>
      </w:r>
    </w:p>
    <w:p>
      <w:pPr>
        <w:snapToGrid w:val="0"/>
        <w:spacing w:line="400" w:lineRule="exact"/>
        <w:ind w:firstLine="480" w:firstLineChars="200"/>
        <w:jc w:val="left"/>
        <w:rPr>
          <w:rFonts w:ascii="宋体" w:hAnsi="宋体" w:eastAsia="宋体" w:cs="Times New Roman"/>
          <w:bCs/>
          <w:sz w:val="24"/>
          <w:szCs w:val="24"/>
        </w:rPr>
      </w:pPr>
      <w:bookmarkStart w:id="833" w:name="_Toc351203650"/>
      <w:bookmarkEnd w:id="833"/>
      <w:r>
        <w:rPr>
          <w:rFonts w:hint="eastAsia" w:ascii="宋体" w:hAnsi="宋体" w:eastAsia="宋体" w:cs="Times New Roman"/>
          <w:bCs/>
          <w:sz w:val="24"/>
          <w:szCs w:val="24"/>
        </w:rPr>
        <w:t>18. 保险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18.1 工程保险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关于工程保险的特别约定：承包人应投保建筑工程一切险或安装工程一切险，费用由承包人承担。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18.3 其他保险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关于其他保险的约定：承包人应为其施工现场的全部人员办理意外伤害保险并支付保险费，包括其员工及为履行合同聘请的第三方的人员，费用由承包人承担。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承包人是否应为其施工设备等办理财产保险：按通用条款执行。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18.7 通知义务</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关于变更保险合同时的通知义务的约定：按通用条款执行。</w:t>
      </w:r>
    </w:p>
    <w:p>
      <w:pPr>
        <w:snapToGrid w:val="0"/>
        <w:spacing w:line="400" w:lineRule="exact"/>
        <w:ind w:firstLine="480" w:firstLineChars="200"/>
        <w:jc w:val="left"/>
        <w:rPr>
          <w:rFonts w:ascii="宋体" w:hAnsi="宋体" w:eastAsia="宋体" w:cs="Times New Roman"/>
          <w:bCs/>
          <w:sz w:val="24"/>
          <w:szCs w:val="24"/>
        </w:rPr>
      </w:pPr>
      <w:bookmarkStart w:id="834" w:name="_Toc351203651"/>
      <w:bookmarkEnd w:id="834"/>
      <w:r>
        <w:rPr>
          <w:rFonts w:hint="eastAsia" w:ascii="宋体" w:hAnsi="宋体" w:eastAsia="宋体" w:cs="Times New Roman"/>
          <w:bCs/>
          <w:sz w:val="24"/>
          <w:szCs w:val="24"/>
        </w:rPr>
        <w:t>20. 争议解决</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20.3 争议评审</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合同当事人是否同意将工程争议提交争议评审小组决定：    否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20.3.1 争议评审小组的确定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争议评审小组成员的确定：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选定争议评审员的期限：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争议评审小组成员的报酬承担方式：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其他事项的约定：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20.3.2 争议评审小组的决定</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合同当事人关于本项的约定：          /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20.4仲裁或诉讼</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因合同及合同有关事项发生的争议，向  （工程所在地）</w:t>
      </w:r>
      <w:r>
        <w:rPr>
          <w:rFonts w:ascii="宋体" w:hAnsi="宋体" w:eastAsia="宋体" w:cs="Times New Roman"/>
          <w:bCs/>
          <w:sz w:val="24"/>
          <w:szCs w:val="24"/>
        </w:rPr>
        <w:t xml:space="preserve">    </w:t>
      </w:r>
      <w:r>
        <w:rPr>
          <w:rFonts w:hint="eastAsia" w:ascii="宋体" w:hAnsi="宋体" w:eastAsia="宋体" w:cs="Times New Roman"/>
          <w:bCs/>
          <w:sz w:val="24"/>
          <w:szCs w:val="24"/>
        </w:rPr>
        <w:t>仲裁委员会申请仲裁；</w:t>
      </w:r>
    </w:p>
    <w:p>
      <w:pPr>
        <w:snapToGrid w:val="0"/>
        <w:spacing w:line="400" w:lineRule="exact"/>
        <w:ind w:firstLine="480" w:firstLineChars="200"/>
        <w:jc w:val="left"/>
        <w:rPr>
          <w:rFonts w:ascii="宋体" w:hAnsi="宋体" w:eastAsia="宋体" w:cs="Times New Roman"/>
          <w:bCs/>
          <w:sz w:val="24"/>
          <w:szCs w:val="24"/>
        </w:rPr>
      </w:pPr>
      <w:bookmarkStart w:id="835" w:name="_Toc95292438"/>
      <w:bookmarkEnd w:id="835"/>
      <w:r>
        <w:rPr>
          <w:rFonts w:ascii="宋体" w:hAnsi="宋体" w:eastAsia="宋体" w:cs="Times New Roman"/>
          <w:bCs/>
          <w:sz w:val="24"/>
          <w:szCs w:val="24"/>
        </w:rPr>
        <w:t>21</w:t>
      </w:r>
      <w:r>
        <w:rPr>
          <w:rFonts w:hint="eastAsia" w:ascii="宋体" w:hAnsi="宋体" w:eastAsia="宋体" w:cs="Times New Roman"/>
          <w:bCs/>
          <w:sz w:val="24"/>
          <w:szCs w:val="24"/>
        </w:rPr>
        <w:t>.补充条款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21．1材料供应：发包人指定品牌（材料价格表中指定的品牌，如未指定，在建设过程中发包人代表根据材料价格表中所列的价格考察此材料后确定），承包人自购。发包人现地进行验收。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21．2 工程资料要求：施工过程中施工资料要根据施工进度及时整理，发包人代表有权力随时检查施工资料的整理情况。如在检查过程中发生未按照要求进行整理，发包人可以延期拨付工程进度款。</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21.3 发包人有权对承包人施工技术人员进行考核和抽查。</w:t>
      </w:r>
      <w:r>
        <w:rPr>
          <w:rFonts w:hint="eastAsia" w:ascii="宋体" w:hAnsi="宋体" w:eastAsia="宋体" w:cs="Times New Roman"/>
          <w:bCs/>
          <w:sz w:val="24"/>
          <w:szCs w:val="24"/>
        </w:rPr>
        <w:tab/>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21.4当承包人有下列情形之一者，发包人有权单方面终止合同：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1.不服从发包人管理，严重干扰施工正常秩序；</w:t>
      </w:r>
      <w:r>
        <w:rPr>
          <w:rFonts w:hint="eastAsia" w:ascii="宋体" w:hAnsi="宋体" w:eastAsia="宋体" w:cs="Times New Roman"/>
          <w:bCs/>
          <w:sz w:val="24"/>
          <w:szCs w:val="24"/>
        </w:rPr>
        <w:tab/>
      </w:r>
      <w:r>
        <w:rPr>
          <w:rFonts w:hint="eastAsia" w:ascii="宋体" w:hAnsi="宋体" w:eastAsia="宋体" w:cs="Times New Roman"/>
          <w:bCs/>
          <w:sz w:val="24"/>
          <w:szCs w:val="24"/>
        </w:rPr>
        <w:tab/>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2.使用不合格原材料；</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3.项目部现场实际管理人员与投标文件所明确的人员不相符；</w:t>
      </w:r>
      <w:r>
        <w:rPr>
          <w:rFonts w:hint="eastAsia" w:ascii="宋体" w:hAnsi="宋体" w:eastAsia="宋体" w:cs="Times New Roman"/>
          <w:bCs/>
          <w:sz w:val="24"/>
          <w:szCs w:val="24"/>
        </w:rPr>
        <w:tab/>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4.未经发包人同意更换项目经理或技术负责人；</w:t>
      </w:r>
      <w:r>
        <w:rPr>
          <w:rFonts w:hint="eastAsia" w:ascii="宋体" w:hAnsi="宋体" w:eastAsia="宋体" w:cs="Times New Roman"/>
          <w:bCs/>
          <w:sz w:val="24"/>
          <w:szCs w:val="24"/>
        </w:rPr>
        <w:tab/>
      </w:r>
      <w:r>
        <w:rPr>
          <w:rFonts w:hint="eastAsia" w:ascii="宋体" w:hAnsi="宋体" w:eastAsia="宋体" w:cs="Times New Roman"/>
          <w:bCs/>
          <w:sz w:val="24"/>
          <w:szCs w:val="24"/>
        </w:rPr>
        <w:tab/>
      </w:r>
      <w:r>
        <w:rPr>
          <w:rFonts w:hint="eastAsia" w:ascii="宋体" w:hAnsi="宋体" w:eastAsia="宋体" w:cs="Times New Roman"/>
          <w:bCs/>
          <w:sz w:val="24"/>
          <w:szCs w:val="24"/>
        </w:rPr>
        <w:tab/>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5.在施工过程中出现同一问题并经发包人指出三次而未改正；</w:t>
      </w:r>
      <w:r>
        <w:rPr>
          <w:rFonts w:hint="eastAsia" w:ascii="宋体" w:hAnsi="宋体" w:eastAsia="宋体" w:cs="Times New Roman"/>
          <w:bCs/>
          <w:sz w:val="24"/>
          <w:szCs w:val="24"/>
        </w:rPr>
        <w:tab/>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6.不按时支付工人工资；</w:t>
      </w:r>
      <w:r>
        <w:rPr>
          <w:rFonts w:hint="eastAsia" w:ascii="宋体" w:hAnsi="宋体" w:eastAsia="宋体" w:cs="Times New Roman"/>
          <w:bCs/>
          <w:sz w:val="24"/>
          <w:szCs w:val="24"/>
        </w:rPr>
        <w:tab/>
      </w:r>
      <w:r>
        <w:rPr>
          <w:rFonts w:hint="eastAsia" w:ascii="宋体" w:hAnsi="宋体" w:eastAsia="宋体" w:cs="Times New Roman"/>
          <w:bCs/>
          <w:sz w:val="24"/>
          <w:szCs w:val="24"/>
        </w:rPr>
        <w:tab/>
      </w:r>
      <w:r>
        <w:rPr>
          <w:rFonts w:hint="eastAsia" w:ascii="宋体" w:hAnsi="宋体" w:eastAsia="宋体" w:cs="Times New Roman"/>
          <w:bCs/>
          <w:sz w:val="24"/>
          <w:szCs w:val="24"/>
        </w:rPr>
        <w:tab/>
      </w:r>
      <w:r>
        <w:rPr>
          <w:rFonts w:hint="eastAsia" w:ascii="宋体" w:hAnsi="宋体" w:eastAsia="宋体" w:cs="Times New Roman"/>
          <w:bCs/>
          <w:sz w:val="24"/>
          <w:szCs w:val="24"/>
        </w:rPr>
        <w:tab/>
      </w:r>
      <w:r>
        <w:rPr>
          <w:rFonts w:hint="eastAsia" w:ascii="宋体" w:hAnsi="宋体" w:eastAsia="宋体" w:cs="Times New Roman"/>
          <w:bCs/>
          <w:sz w:val="24"/>
          <w:szCs w:val="24"/>
        </w:rPr>
        <w:tab/>
      </w:r>
      <w:r>
        <w:rPr>
          <w:rFonts w:hint="eastAsia" w:ascii="宋体" w:hAnsi="宋体" w:eastAsia="宋体" w:cs="Times New Roman"/>
          <w:bCs/>
          <w:sz w:val="24"/>
          <w:szCs w:val="24"/>
        </w:rPr>
        <w:tab/>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7.无正当理由拖延进度计划关键工作完成时间超过10天（含）以上；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8.关键工序施工人员无证上岗或被抽考不合格；</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9.发包人认为承包人不能实现合同要求的质量、进度目标；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发包人终止合同后，已完成工程量及价款的确定方法：请有资质的工程审核部门核定工程量并经发包人认可，待工程竣工并通过发包人上级主管部门审核后计入结算。结算价款根据审定后的工程量与中标价中相应项目的单价相乘所得价款扣除50%后付给承包人。履约保证金予以没收。</w:t>
      </w:r>
      <w:r>
        <w:rPr>
          <w:rFonts w:hint="eastAsia" w:ascii="宋体" w:hAnsi="宋体" w:eastAsia="宋体" w:cs="Times New Roman"/>
          <w:bCs/>
          <w:sz w:val="24"/>
          <w:szCs w:val="24"/>
        </w:rPr>
        <w:tab/>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21.5经有关部门（机构）核实，证明承包人确是利用挂靠、借用资质、伪造证件、行贿、串通、故意抬价压价、转包等违法行为获取中标、非法获得承包人合同者，处承包人合同总价20%的罚金，同时解除承包合同、并报有关部门再作相应处理，因此造成的经济损失由承包人承担。</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br w:type="page"/>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附件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安全施工协议书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发包人（全称）：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承包人（全称）：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为了加强承发包工程和临时工的安全管理，深入贯彻“安全第一，预防为主、综合治理”安全生产方针，保证人身、设备安全，确保期间发包方发包给承包方的工程和临时工作顺利进行。根据国家有关法律规定，经甲乙双方平等协商、意见一致，自愿签订如下安全生产协议，并作为工程外包合同的必要补充条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第一条：发包人与承包人必须认真贯彻执行国家制定的安全生产政策、法律、法规。</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第二条：发包方承担的安全责任、权利；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（一）发包方有权要求承包方必须严格遵守安全生产法律、法规、标准、安全生产规章制度和操作规程，熟练掌握事故防范措施和事故应急处理预案；</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（二）发包方管理人员有权制止承包方人员违纪作业，并对违反安全施工的承包方人员进行处罚，违反一次罚款2000元，罚款可从履约保证金或工程款中扣除。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（三）发包方有权对安全意识差、不听安全生产指挥的承包方人员责令退场。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第三条：承包方的责任、权利；</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（一）承包方是外包工程、临时工作的安全生产的直接责任人，必须严格执行发包方的有关安全生产的规定、制度；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二）承包方负责为所有承包方工作人员办理医疗及工伤社会保险，并根据需要为从事高度危险工作的人员购买适当的人身意外伤害保险，在施工过程中以及非施工期间，施工人员突发疾病的、身体造成伤残的、发生人身伤亡事故的等各种意外事件，均由承包方承担全部责任；</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（三）承包方应对工作现场的行为完全负责，承包方工作人员不得违章作业，冒险作业，不能疲劳作业，并按规定做好保护工作；</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（四）承包方在工程现场人员必须有配备齐全的安全防护用品，不能满足安全工程需要时，人员不得进入工程现场。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第三条：承包方工作人员必须严格遵守和服从现场安全规定及安全管理，在施工现场必须做到：</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（一）高空悬空作业必须系好安全带；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（二）班前不得喝酒，在禁止吸烟的区域不得吸烟；</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（三）现场内不得赤脚，不得穿拖鞋、高跟鞋，高空作业不得穿皮鞋和带钉易滑鞋；</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（四）未经发包方施工负责人批准，不得随便拆除已架设的安全防护设施及安全装置和安全标牌；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（五）不得私自乱接乱拉电线，保护工地上临时用电电缆及配电箱的完好，不得用材料、工具等压砸电缆电线，确保用电安全；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（六）不得在工程现场烧火；</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（七）不得从高处向下抛扔任何物资、材料，堆放时不得超过支撑限重的70%；</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（八）不得在高处临边一米范围内堆放活动材料；</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（九）不得在操作面上及高处临边竖立放置工具和线材；</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（十）使用电动工具，必须按操作规程和说明书要求正确佩戴防护用品；</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（十一）施工过程中必须严格遵守安全操作规程。</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（十二）未经允许不得进入煤气区域，如因工作需要需进入煤气区域必须遵守发包方煤气区域的管理制度，在保证人身安全的情况下方可进入。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第四条：安全责任</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（一）本协议约定期间由于承包方造成安全事故的，承包方负全部责任，并由承包方承担造成的经济损失和刑事责任，发包方概不负责。</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二）本协议约定期间如因承包方或承包方工作人员过错给发包方造成损失，由承包方负责向发包方赔偿，发包方有权直接从承包方工程款中将相关损失赔偿款进行抵扣，若赔偿金额超出工程款，承包方需额外支付。</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发包人（公章）：                      承包人（公章）：                    </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法定/授权代表人：                     法定/授权代表人：</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年  月  日                          年  月  日</w:t>
      </w:r>
    </w:p>
    <w:bookmarkEnd w:id="391"/>
    <w:p>
      <w:pPr>
        <w:snapToGrid w:val="0"/>
        <w:spacing w:line="400" w:lineRule="exact"/>
        <w:ind w:firstLine="480" w:firstLineChars="200"/>
        <w:jc w:val="left"/>
        <w:rPr>
          <w:rFonts w:ascii="宋体" w:hAnsi="宋体" w:eastAsia="宋体" w:cs="Times New Roman"/>
          <w:bCs/>
          <w:sz w:val="24"/>
          <w:szCs w:val="24"/>
        </w:rPr>
      </w:pPr>
      <w:bookmarkStart w:id="836" w:name="_Toc509443216"/>
      <w:bookmarkStart w:id="837" w:name="_Toc10050"/>
    </w:p>
    <w:bookmarkEnd w:id="836"/>
    <w:bookmarkEnd w:id="837"/>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2400" w:firstLineChars="800"/>
        <w:jc w:val="left"/>
        <w:rPr>
          <w:rFonts w:ascii="宋体" w:hAnsi="宋体" w:eastAsia="宋体" w:cs="Times New Roman"/>
          <w:bCs/>
          <w:sz w:val="30"/>
          <w:szCs w:val="30"/>
        </w:rPr>
      </w:pPr>
      <w:r>
        <w:rPr>
          <w:rFonts w:hint="eastAsia" w:ascii="宋体" w:hAnsi="宋体" w:eastAsia="宋体" w:cs="Times New Roman"/>
          <w:bCs/>
          <w:sz w:val="30"/>
          <w:szCs w:val="30"/>
        </w:rPr>
        <w:t>第五章  响应文件格式</w:t>
      </w:r>
    </w:p>
    <w:p>
      <w:pPr>
        <w:snapToGrid w:val="0"/>
        <w:spacing w:line="400" w:lineRule="exact"/>
        <w:ind w:firstLine="480" w:firstLineChars="200"/>
        <w:jc w:val="left"/>
        <w:rPr>
          <w:rFonts w:ascii="宋体" w:hAnsi="宋体" w:eastAsia="宋体" w:cs="Times New Roman"/>
          <w:bCs/>
          <w:sz w:val="32"/>
          <w:szCs w:val="32"/>
        </w:rPr>
      </w:pPr>
      <w:r>
        <w:rPr>
          <w:rFonts w:hint="eastAsia" w:ascii="宋体" w:hAnsi="宋体" w:eastAsia="宋体" w:cs="Times New Roman"/>
          <w:bCs/>
          <w:sz w:val="24"/>
          <w:szCs w:val="24"/>
        </w:rPr>
        <w:t xml:space="preserve">                             </w:t>
      </w:r>
    </w:p>
    <w:p>
      <w:pPr>
        <w:snapToGrid w:val="0"/>
        <w:spacing w:line="400" w:lineRule="exact"/>
        <w:ind w:firstLine="960" w:firstLineChars="300"/>
        <w:jc w:val="left"/>
        <w:rPr>
          <w:rFonts w:ascii="宋体" w:hAnsi="宋体" w:eastAsia="宋体" w:cs="Times New Roman"/>
          <w:bCs/>
          <w:sz w:val="32"/>
          <w:szCs w:val="32"/>
        </w:rPr>
      </w:pPr>
    </w:p>
    <w:p>
      <w:pPr>
        <w:snapToGrid w:val="0"/>
        <w:spacing w:line="400" w:lineRule="exact"/>
        <w:ind w:firstLine="960" w:firstLineChars="300"/>
        <w:jc w:val="left"/>
        <w:rPr>
          <w:rFonts w:ascii="宋体" w:hAnsi="宋体" w:eastAsia="宋体" w:cs="Times New Roman"/>
          <w:bCs/>
          <w:sz w:val="32"/>
          <w:szCs w:val="32"/>
        </w:rPr>
      </w:pPr>
    </w:p>
    <w:p>
      <w:pPr>
        <w:snapToGrid w:val="0"/>
        <w:spacing w:line="400" w:lineRule="exact"/>
        <w:ind w:firstLine="960" w:firstLineChars="300"/>
        <w:jc w:val="left"/>
        <w:rPr>
          <w:rFonts w:ascii="宋体" w:hAnsi="宋体" w:eastAsia="宋体" w:cs="Times New Roman"/>
          <w:bCs/>
          <w:sz w:val="32"/>
          <w:szCs w:val="32"/>
        </w:rPr>
      </w:pPr>
    </w:p>
    <w:p>
      <w:pPr>
        <w:snapToGrid w:val="0"/>
        <w:spacing w:line="400" w:lineRule="exact"/>
        <w:ind w:firstLine="960" w:firstLineChars="300"/>
        <w:jc w:val="left"/>
        <w:rPr>
          <w:rFonts w:ascii="宋体" w:hAnsi="宋体" w:eastAsia="宋体" w:cs="Times New Roman"/>
          <w:bCs/>
          <w:sz w:val="32"/>
          <w:szCs w:val="32"/>
        </w:rPr>
      </w:pPr>
      <w:r>
        <w:rPr>
          <w:rFonts w:hint="eastAsia" w:ascii="宋体" w:hAnsi="宋体" w:eastAsia="宋体" w:cs="Times New Roman"/>
          <w:bCs/>
          <w:sz w:val="32"/>
          <w:szCs w:val="32"/>
        </w:rPr>
        <w:t>灵宝市第一人民医院皮肤科、医美科装修工程项目</w:t>
      </w:r>
    </w:p>
    <w:p>
      <w:pPr>
        <w:snapToGrid w:val="0"/>
        <w:spacing w:line="400" w:lineRule="exact"/>
        <w:ind w:firstLine="4160" w:firstLineChars="1300"/>
        <w:jc w:val="left"/>
        <w:rPr>
          <w:rFonts w:ascii="宋体" w:hAnsi="宋体" w:eastAsia="宋体" w:cs="Times New Roman"/>
          <w:bCs/>
          <w:sz w:val="32"/>
          <w:szCs w:val="32"/>
        </w:rPr>
      </w:pPr>
      <w:r>
        <w:rPr>
          <w:rFonts w:hint="eastAsia" w:ascii="宋体" w:hAnsi="宋体" w:eastAsia="宋体" w:cs="Times New Roman"/>
          <w:bCs/>
          <w:sz w:val="32"/>
          <w:szCs w:val="32"/>
        </w:rPr>
        <w:t>响应文件</w:t>
      </w:r>
    </w:p>
    <w:p>
      <w:pPr>
        <w:snapToGrid w:val="0"/>
        <w:spacing w:line="400" w:lineRule="exact"/>
        <w:ind w:firstLine="3360" w:firstLineChars="1200"/>
        <w:jc w:val="left"/>
        <w:rPr>
          <w:rFonts w:ascii="宋体" w:hAnsi="宋体" w:eastAsia="宋体" w:cs="Times New Roman"/>
          <w:bCs/>
          <w:sz w:val="28"/>
          <w:szCs w:val="28"/>
        </w:rPr>
      </w:pPr>
      <w:r>
        <w:rPr>
          <w:rFonts w:hint="eastAsia" w:ascii="宋体" w:hAnsi="宋体" w:eastAsia="宋体" w:cs="Times New Roman"/>
          <w:bCs/>
          <w:sz w:val="28"/>
          <w:szCs w:val="28"/>
        </w:rPr>
        <w:t>项目编号：</w:t>
      </w:r>
      <w:r>
        <w:rPr>
          <w:rFonts w:ascii="宋体" w:hAnsi="宋体" w:eastAsia="宋体" w:cs="Times New Roman"/>
          <w:bCs/>
          <w:sz w:val="28"/>
          <w:szCs w:val="28"/>
        </w:rPr>
        <w:t xml:space="preserve"> </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560" w:firstLineChars="200"/>
        <w:jc w:val="left"/>
        <w:rPr>
          <w:rFonts w:ascii="宋体" w:hAnsi="宋体" w:eastAsia="宋体" w:cs="Times New Roman"/>
          <w:bCs/>
          <w:sz w:val="28"/>
          <w:szCs w:val="28"/>
        </w:rPr>
      </w:pPr>
      <w:r>
        <w:rPr>
          <w:rFonts w:hint="eastAsia" w:ascii="宋体" w:hAnsi="宋体" w:eastAsia="宋体" w:cs="Times New Roman"/>
          <w:bCs/>
          <w:sz w:val="28"/>
          <w:szCs w:val="28"/>
        </w:rPr>
        <w:t>响   应   人：                      （电子签章）</w:t>
      </w:r>
    </w:p>
    <w:p>
      <w:pPr>
        <w:snapToGrid w:val="0"/>
        <w:spacing w:line="400" w:lineRule="exact"/>
        <w:ind w:firstLine="560" w:firstLineChars="200"/>
        <w:jc w:val="left"/>
        <w:rPr>
          <w:rFonts w:ascii="宋体" w:hAnsi="宋体" w:eastAsia="宋体" w:cs="Times New Roman"/>
          <w:bCs/>
          <w:sz w:val="28"/>
          <w:szCs w:val="28"/>
        </w:rPr>
      </w:pPr>
    </w:p>
    <w:p>
      <w:pPr>
        <w:snapToGrid w:val="0"/>
        <w:spacing w:line="400" w:lineRule="exact"/>
        <w:ind w:firstLine="560" w:firstLineChars="200"/>
        <w:jc w:val="left"/>
        <w:rPr>
          <w:rFonts w:ascii="宋体" w:hAnsi="宋体" w:eastAsia="宋体" w:cs="Times New Roman"/>
          <w:bCs/>
          <w:sz w:val="28"/>
          <w:szCs w:val="28"/>
        </w:rPr>
      </w:pPr>
      <w:r>
        <w:rPr>
          <w:rFonts w:hint="eastAsia" w:ascii="宋体" w:hAnsi="宋体" w:eastAsia="宋体" w:cs="Times New Roman"/>
          <w:bCs/>
          <w:sz w:val="28"/>
          <w:szCs w:val="28"/>
        </w:rPr>
        <w:t>法定代表人或其委托代理人：            （电子签章）</w:t>
      </w:r>
    </w:p>
    <w:p>
      <w:pPr>
        <w:snapToGrid w:val="0"/>
        <w:spacing w:line="400" w:lineRule="exact"/>
        <w:ind w:firstLine="560" w:firstLineChars="200"/>
        <w:jc w:val="left"/>
        <w:rPr>
          <w:rFonts w:ascii="宋体" w:hAnsi="宋体" w:eastAsia="宋体" w:cs="Times New Roman"/>
          <w:bCs/>
          <w:sz w:val="28"/>
          <w:szCs w:val="28"/>
        </w:rPr>
      </w:pPr>
    </w:p>
    <w:p>
      <w:pPr>
        <w:snapToGrid w:val="0"/>
        <w:spacing w:line="400" w:lineRule="exact"/>
        <w:ind w:firstLine="560" w:firstLineChars="200"/>
        <w:jc w:val="left"/>
        <w:rPr>
          <w:rFonts w:ascii="宋体" w:hAnsi="宋体" w:eastAsia="宋体" w:cs="Times New Roman"/>
          <w:bCs/>
          <w:sz w:val="28"/>
          <w:szCs w:val="28"/>
        </w:rPr>
      </w:pPr>
      <w:r>
        <w:rPr>
          <w:rFonts w:hint="eastAsia" w:ascii="宋体" w:hAnsi="宋体" w:eastAsia="宋体" w:cs="Times New Roman"/>
          <w:bCs/>
          <w:sz w:val="28"/>
          <w:szCs w:val="28"/>
        </w:rPr>
        <w:t>日     期：       年    月    日</w:t>
      </w:r>
    </w:p>
    <w:p>
      <w:pPr>
        <w:snapToGrid w:val="0"/>
        <w:spacing w:line="400" w:lineRule="exact"/>
        <w:ind w:firstLine="3840" w:firstLineChars="1600"/>
        <w:jc w:val="left"/>
        <w:rPr>
          <w:rFonts w:ascii="宋体" w:hAnsi="宋体" w:eastAsia="宋体" w:cs="Times New Roman"/>
          <w:bCs/>
          <w:sz w:val="30"/>
          <w:szCs w:val="30"/>
        </w:rPr>
      </w:pPr>
      <w:r>
        <w:rPr>
          <w:rFonts w:ascii="宋体" w:hAnsi="宋体" w:eastAsia="宋体" w:cs="Times New Roman"/>
          <w:bCs/>
          <w:sz w:val="24"/>
          <w:szCs w:val="24"/>
        </w:rPr>
        <w:br w:type="page"/>
      </w:r>
      <w:bookmarkStart w:id="838" w:name="_Toc20384"/>
      <w:bookmarkStart w:id="839" w:name="_Toc509443217"/>
      <w:r>
        <w:rPr>
          <w:rFonts w:hint="eastAsia" w:ascii="宋体" w:hAnsi="宋体" w:eastAsia="宋体" w:cs="Times New Roman"/>
          <w:bCs/>
          <w:sz w:val="30"/>
          <w:szCs w:val="30"/>
        </w:rPr>
        <w:t>目    录</w:t>
      </w:r>
    </w:p>
    <w:p>
      <w:pPr>
        <w:snapToGrid w:val="0"/>
        <w:spacing w:line="400" w:lineRule="exact"/>
        <w:ind w:firstLine="480" w:firstLineChars="200"/>
        <w:jc w:val="left"/>
        <w:rPr>
          <w:rFonts w:ascii="宋体" w:hAnsi="宋体" w:eastAsia="宋体" w:cs="Times New Roman"/>
          <w:bCs/>
          <w:sz w:val="24"/>
          <w:szCs w:val="24"/>
        </w:rPr>
      </w:pPr>
      <w:bookmarkStart w:id="840" w:name="OLE_LINK3"/>
      <w:bookmarkEnd w:id="840"/>
      <w:r>
        <w:rPr>
          <w:rFonts w:hint="eastAsia" w:ascii="宋体" w:hAnsi="宋体" w:eastAsia="宋体" w:cs="Times New Roman"/>
          <w:bCs/>
          <w:sz w:val="24"/>
          <w:szCs w:val="24"/>
        </w:rPr>
        <w:t>一、报价函及报价函附录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二、法定代表人身份证明</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三、授权委托书</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四、已标价工程量清单</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五、施工组织设计</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六、项目管理机构</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七、供应商基本情况表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八、承诺质量、工期达到竞争性谈判文件要求并具体措施</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九、优惠服务承诺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十、近年发生的诉讼和仲裁情况</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十一、企业其他信誉情况表（年份要求同诉讼及仲裁情况年份要求）</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十二、响应人认为需要提交的其他资料</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p>
      <w:pPr>
        <w:snapToGrid w:val="0"/>
        <w:spacing w:line="400" w:lineRule="exact"/>
        <w:ind w:firstLine="3840" w:firstLineChars="1600"/>
        <w:jc w:val="left"/>
        <w:rPr>
          <w:rFonts w:ascii="宋体" w:hAnsi="宋体" w:eastAsia="宋体" w:cs="Times New Roman"/>
          <w:bCs/>
          <w:sz w:val="24"/>
          <w:szCs w:val="24"/>
        </w:rPr>
      </w:pPr>
      <w:r>
        <w:rPr>
          <w:rFonts w:hint="eastAsia" w:ascii="宋体" w:hAnsi="宋体" w:eastAsia="宋体" w:cs="Times New Roman"/>
          <w:bCs/>
          <w:sz w:val="24"/>
          <w:szCs w:val="24"/>
        </w:rPr>
        <w:t>一、报价函及报价函附录</w:t>
      </w:r>
    </w:p>
    <w:bookmarkEnd w:id="838"/>
    <w:bookmarkEnd w:id="839"/>
    <w:p>
      <w:pPr>
        <w:snapToGrid w:val="0"/>
        <w:spacing w:line="400" w:lineRule="exact"/>
        <w:ind w:firstLine="4560" w:firstLineChars="1900"/>
        <w:jc w:val="left"/>
        <w:rPr>
          <w:rFonts w:ascii="宋体" w:hAnsi="宋体" w:eastAsia="宋体" w:cs="Times New Roman"/>
          <w:bCs/>
          <w:sz w:val="24"/>
          <w:szCs w:val="24"/>
        </w:rPr>
      </w:pPr>
      <w:r>
        <w:rPr>
          <w:rFonts w:hint="eastAsia" w:ascii="宋体" w:hAnsi="宋体" w:eastAsia="宋体" w:cs="Times New Roman"/>
          <w:bCs/>
          <w:sz w:val="24"/>
          <w:szCs w:val="24"/>
        </w:rPr>
        <w:t>（一）报价函</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（采购人名称）：</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1．我方已仔细研究了          （项目名称）谈判文件的全部内容，愿意以人民币（大写）         （小写           ）的总报价，工期：        日历天，按合同约定实施和完成承包工程，修补工程中的任何缺陷，质量要求：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2．我方承诺在谈判文件规定的谈判有效期      日历天（从响应文件递交截止之日算起）内不修改、撤销响应文件。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3．如我方成交：</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（1）我方承诺在收到成交通知书后，在成交通知书规定的期限内与你方签订合同。</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（2）随同本报价函递交的报价一览表属于合同文件的组成部分。</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（3）我方承诺在合同约定的期限内完成并移交全部合同工程。</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4．我方在此声明，所递交的响应文件及有关资料内容完整、真实和准确。</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                                       （其他补充说明）。</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                        （电子签章）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法定代表人：                    （电子签章）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地址：                                      </w:t>
      </w:r>
    </w:p>
    <w:p>
      <w:pPr>
        <w:snapToGrid w:val="0"/>
        <w:spacing w:line="400" w:lineRule="exact"/>
        <w:ind w:firstLine="480" w:firstLineChars="200"/>
        <w:jc w:val="left"/>
        <w:rPr>
          <w:rFonts w:ascii="宋体" w:hAnsi="宋体" w:eastAsia="宋体" w:cs="Times New Roman"/>
          <w:bCs/>
          <w:sz w:val="24"/>
          <w:szCs w:val="24"/>
        </w:rPr>
      </w:pPr>
      <w:bookmarkStart w:id="841" w:name="_Toc29867"/>
      <w:bookmarkStart w:id="842" w:name="_Toc509443218"/>
      <w:bookmarkStart w:id="843" w:name="_Toc25064"/>
      <w:r>
        <w:rPr>
          <w:rFonts w:hint="eastAsia" w:ascii="宋体" w:hAnsi="宋体" w:eastAsia="宋体" w:cs="Times New Roman"/>
          <w:bCs/>
          <w:sz w:val="24"/>
          <w:szCs w:val="24"/>
        </w:rPr>
        <w:t>日期：           年          月           日</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bookmarkEnd w:id="841"/>
    <w:bookmarkEnd w:id="842"/>
    <w:bookmarkEnd w:id="843"/>
    <w:p>
      <w:pPr>
        <w:snapToGrid w:val="0"/>
        <w:spacing w:line="400" w:lineRule="exact"/>
        <w:ind w:firstLine="3600" w:firstLineChars="1500"/>
        <w:jc w:val="left"/>
        <w:rPr>
          <w:rFonts w:ascii="宋体" w:hAnsi="宋体" w:eastAsia="宋体" w:cs="Times New Roman"/>
          <w:bCs/>
          <w:sz w:val="24"/>
          <w:szCs w:val="24"/>
        </w:rPr>
      </w:pPr>
      <w:r>
        <w:rPr>
          <w:rFonts w:hint="eastAsia" w:ascii="宋体" w:hAnsi="宋体" w:eastAsia="宋体" w:cs="Times New Roman"/>
          <w:bCs/>
          <w:sz w:val="24"/>
          <w:szCs w:val="24"/>
        </w:rPr>
        <w:t>（二）</w:t>
      </w:r>
      <w:r>
        <w:rPr>
          <w:rFonts w:ascii="宋体" w:hAnsi="宋体" w:eastAsia="宋体" w:cs="Times New Roman"/>
          <w:bCs/>
          <w:sz w:val="24"/>
          <w:szCs w:val="24"/>
        </w:rPr>
        <w:t>报价函附录</w:t>
      </w:r>
    </w:p>
    <w:tbl>
      <w:tblPr>
        <w:tblStyle w:val="16"/>
        <w:tblW w:w="9636" w:type="dxa"/>
        <w:tblInd w:w="108" w:type="dxa"/>
        <w:tblLayout w:type="fixed"/>
        <w:tblCellMar>
          <w:top w:w="0" w:type="dxa"/>
          <w:left w:w="108" w:type="dxa"/>
          <w:bottom w:w="0" w:type="dxa"/>
          <w:right w:w="108" w:type="dxa"/>
        </w:tblCellMar>
      </w:tblPr>
      <w:tblGrid>
        <w:gridCol w:w="2777"/>
        <w:gridCol w:w="2390"/>
        <w:gridCol w:w="1955"/>
        <w:gridCol w:w="2514"/>
      </w:tblGrid>
      <w:tr>
        <w:tblPrEx>
          <w:tblCellMar>
            <w:top w:w="0" w:type="dxa"/>
            <w:left w:w="108" w:type="dxa"/>
            <w:bottom w:w="0" w:type="dxa"/>
            <w:right w:w="108" w:type="dxa"/>
          </w:tblCellMar>
        </w:tblPrEx>
        <w:trPr>
          <w:cantSplit/>
          <w:trHeight w:val="783" w:hRule="atLeast"/>
        </w:trPr>
        <w:tc>
          <w:tcPr>
            <w:tcW w:w="2777"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项目名称</w:t>
            </w:r>
          </w:p>
        </w:tc>
        <w:tc>
          <w:tcPr>
            <w:tcW w:w="68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CellMar>
            <w:top w:w="0" w:type="dxa"/>
            <w:left w:w="108" w:type="dxa"/>
            <w:bottom w:w="0" w:type="dxa"/>
            <w:right w:w="108" w:type="dxa"/>
          </w:tblCellMar>
        </w:tblPrEx>
        <w:trPr>
          <w:cantSplit/>
          <w:trHeight w:val="673" w:hRule="atLeast"/>
        </w:trPr>
        <w:tc>
          <w:tcPr>
            <w:tcW w:w="2777"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响应人名称</w:t>
            </w:r>
          </w:p>
        </w:tc>
        <w:tc>
          <w:tcPr>
            <w:tcW w:w="68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CellMar>
            <w:top w:w="0" w:type="dxa"/>
            <w:left w:w="108" w:type="dxa"/>
            <w:bottom w:w="0" w:type="dxa"/>
            <w:right w:w="108" w:type="dxa"/>
          </w:tblCellMar>
        </w:tblPrEx>
        <w:trPr>
          <w:cantSplit/>
          <w:trHeight w:val="813" w:hRule="atLeast"/>
        </w:trPr>
        <w:tc>
          <w:tcPr>
            <w:tcW w:w="2777"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响应人地址</w:t>
            </w:r>
          </w:p>
        </w:tc>
        <w:tc>
          <w:tcPr>
            <w:tcW w:w="68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CellMar>
            <w:top w:w="0" w:type="dxa"/>
            <w:left w:w="108" w:type="dxa"/>
            <w:bottom w:w="0" w:type="dxa"/>
            <w:right w:w="108" w:type="dxa"/>
          </w:tblCellMar>
        </w:tblPrEx>
        <w:trPr>
          <w:cantSplit/>
          <w:trHeight w:val="1220" w:hRule="atLeast"/>
        </w:trPr>
        <w:tc>
          <w:tcPr>
            <w:tcW w:w="2777"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项目</w:t>
            </w:r>
            <w:r>
              <w:rPr>
                <w:rFonts w:hint="eastAsia" w:ascii="宋体" w:hAnsi="宋体" w:eastAsia="宋体" w:cs="Times New Roman"/>
                <w:bCs/>
                <w:sz w:val="24"/>
                <w:szCs w:val="24"/>
              </w:rPr>
              <w:t>经理</w:t>
            </w:r>
          </w:p>
        </w:tc>
        <w:tc>
          <w:tcPr>
            <w:tcW w:w="2390"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955"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证书编号及名称</w:t>
            </w:r>
          </w:p>
        </w:tc>
        <w:tc>
          <w:tcPr>
            <w:tcW w:w="2514"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CellMar>
            <w:top w:w="0" w:type="dxa"/>
            <w:left w:w="108" w:type="dxa"/>
            <w:bottom w:w="0" w:type="dxa"/>
            <w:right w:w="108" w:type="dxa"/>
          </w:tblCellMar>
        </w:tblPrEx>
        <w:trPr>
          <w:cantSplit/>
          <w:trHeight w:val="1642" w:hRule="atLeast"/>
        </w:trPr>
        <w:tc>
          <w:tcPr>
            <w:tcW w:w="2777"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报价</w:t>
            </w:r>
          </w:p>
        </w:tc>
        <w:tc>
          <w:tcPr>
            <w:tcW w:w="68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 xml:space="preserve">大写：             </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小写：</w:t>
            </w:r>
            <w:r>
              <w:rPr>
                <w:rFonts w:hint="eastAsia" w:ascii="宋体" w:hAnsi="宋体" w:eastAsia="宋体" w:cs="Times New Roman"/>
                <w:bCs/>
                <w:sz w:val="24"/>
                <w:szCs w:val="24"/>
              </w:rPr>
              <w:t xml:space="preserve">             </w:t>
            </w:r>
          </w:p>
        </w:tc>
      </w:tr>
      <w:tr>
        <w:tblPrEx>
          <w:tblCellMar>
            <w:top w:w="0" w:type="dxa"/>
            <w:left w:w="108" w:type="dxa"/>
            <w:bottom w:w="0" w:type="dxa"/>
            <w:right w:w="108" w:type="dxa"/>
          </w:tblCellMar>
        </w:tblPrEx>
        <w:trPr>
          <w:cantSplit/>
          <w:trHeight w:val="1066" w:hRule="atLeast"/>
        </w:trPr>
        <w:tc>
          <w:tcPr>
            <w:tcW w:w="2777"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质量</w:t>
            </w:r>
          </w:p>
        </w:tc>
        <w:tc>
          <w:tcPr>
            <w:tcW w:w="68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CellMar>
            <w:top w:w="0" w:type="dxa"/>
            <w:left w:w="108" w:type="dxa"/>
            <w:bottom w:w="0" w:type="dxa"/>
            <w:right w:w="108" w:type="dxa"/>
          </w:tblCellMar>
        </w:tblPrEx>
        <w:trPr>
          <w:cantSplit/>
          <w:trHeight w:val="1049" w:hRule="atLeast"/>
        </w:trPr>
        <w:tc>
          <w:tcPr>
            <w:tcW w:w="2777"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工期</w:t>
            </w:r>
          </w:p>
        </w:tc>
        <w:tc>
          <w:tcPr>
            <w:tcW w:w="68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 xml:space="preserve">         日历天</w:t>
            </w:r>
          </w:p>
        </w:tc>
      </w:tr>
      <w:tr>
        <w:tblPrEx>
          <w:tblCellMar>
            <w:top w:w="0" w:type="dxa"/>
            <w:left w:w="108" w:type="dxa"/>
            <w:bottom w:w="0" w:type="dxa"/>
            <w:right w:w="108" w:type="dxa"/>
          </w:tblCellMar>
        </w:tblPrEx>
        <w:trPr>
          <w:cantSplit/>
          <w:trHeight w:val="1032" w:hRule="atLeast"/>
        </w:trPr>
        <w:tc>
          <w:tcPr>
            <w:tcW w:w="2777" w:type="dxa"/>
            <w:tcBorders>
              <w:top w:val="single" w:color="000000" w:sz="4" w:space="0"/>
              <w:left w:val="single" w:color="000000" w:sz="4" w:space="0"/>
              <w:bottom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备注</w:t>
            </w:r>
          </w:p>
        </w:tc>
        <w:tc>
          <w:tcPr>
            <w:tcW w:w="68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bl>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                        （电子签章）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法定代表人：                    （电子签章））</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 xml:space="preserve">    </w:t>
      </w:r>
      <w:r>
        <w:rPr>
          <w:rFonts w:hint="eastAsia" w:ascii="宋体" w:hAnsi="宋体" w:eastAsia="宋体" w:cs="Times New Roman"/>
          <w:bCs/>
          <w:sz w:val="24"/>
          <w:szCs w:val="24"/>
        </w:rPr>
        <w:t xml:space="preserve">  </w:t>
      </w:r>
      <w:r>
        <w:rPr>
          <w:rFonts w:ascii="宋体" w:hAnsi="宋体" w:eastAsia="宋体" w:cs="Times New Roman"/>
          <w:bCs/>
          <w:sz w:val="24"/>
          <w:szCs w:val="24"/>
        </w:rPr>
        <w:t xml:space="preserve">     年    </w:t>
      </w:r>
      <w:r>
        <w:rPr>
          <w:rFonts w:hint="eastAsia" w:ascii="宋体" w:hAnsi="宋体" w:eastAsia="宋体" w:cs="Times New Roman"/>
          <w:bCs/>
          <w:sz w:val="24"/>
          <w:szCs w:val="24"/>
        </w:rPr>
        <w:t xml:space="preserve">   </w:t>
      </w:r>
      <w:r>
        <w:rPr>
          <w:rFonts w:ascii="宋体" w:hAnsi="宋体" w:eastAsia="宋体" w:cs="Times New Roman"/>
          <w:bCs/>
          <w:sz w:val="24"/>
          <w:szCs w:val="24"/>
        </w:rPr>
        <w:t xml:space="preserve">    月     </w:t>
      </w:r>
      <w:r>
        <w:rPr>
          <w:rFonts w:hint="eastAsia" w:ascii="宋体" w:hAnsi="宋体" w:eastAsia="宋体" w:cs="Times New Roman"/>
          <w:bCs/>
          <w:sz w:val="24"/>
          <w:szCs w:val="24"/>
        </w:rPr>
        <w:t xml:space="preserve">   </w:t>
      </w:r>
      <w:r>
        <w:rPr>
          <w:rFonts w:ascii="宋体" w:hAnsi="宋体" w:eastAsia="宋体" w:cs="Times New Roman"/>
          <w:bCs/>
          <w:sz w:val="24"/>
          <w:szCs w:val="24"/>
        </w:rPr>
        <w:t xml:space="preserve">   日   </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bookmarkStart w:id="844" w:name="_Toc872"/>
      <w:bookmarkStart w:id="845" w:name="_Toc509443219"/>
      <w:bookmarkStart w:id="846" w:name="_Toc15225"/>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bookmarkEnd w:id="844"/>
    <w:bookmarkEnd w:id="845"/>
    <w:bookmarkEnd w:id="846"/>
    <w:p>
      <w:pPr>
        <w:snapToGrid w:val="0"/>
        <w:spacing w:line="400" w:lineRule="exact"/>
        <w:ind w:firstLine="3120" w:firstLineChars="1300"/>
        <w:jc w:val="left"/>
        <w:rPr>
          <w:rFonts w:ascii="宋体" w:hAnsi="宋体" w:eastAsia="宋体" w:cs="Times New Roman"/>
          <w:bCs/>
          <w:sz w:val="24"/>
          <w:szCs w:val="24"/>
        </w:rPr>
      </w:pPr>
      <w:r>
        <w:rPr>
          <w:rFonts w:hint="eastAsia" w:ascii="宋体" w:hAnsi="宋体" w:eastAsia="宋体" w:cs="Times New Roman"/>
          <w:bCs/>
          <w:sz w:val="24"/>
          <w:szCs w:val="24"/>
        </w:rPr>
        <w:t>二、法定代表人身份证明</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响 应 人：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单位性质：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地    址：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成立时间：               年              月              日</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经营期限：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姓    名：                     性    别：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年    龄：                     职    务：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系                               （响应人名称）的法定代表人。</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特此证明。</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响应人：                  （电子签章）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法定代表人：                （电子签章）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年        月        日</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bookmarkStart w:id="847" w:name="_Toc509443220"/>
      <w:bookmarkStart w:id="848" w:name="_Toc5563"/>
      <w:bookmarkStart w:id="849" w:name="_Toc12209"/>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bookmarkEnd w:id="847"/>
    <w:bookmarkEnd w:id="848"/>
    <w:bookmarkEnd w:id="849"/>
    <w:p>
      <w:pPr>
        <w:snapToGrid w:val="0"/>
        <w:spacing w:line="400" w:lineRule="exact"/>
        <w:ind w:firstLine="3120" w:firstLineChars="1300"/>
        <w:jc w:val="left"/>
        <w:rPr>
          <w:rFonts w:ascii="宋体" w:hAnsi="宋体" w:eastAsia="宋体" w:cs="Times New Roman"/>
          <w:bCs/>
          <w:sz w:val="24"/>
          <w:szCs w:val="24"/>
        </w:rPr>
      </w:pPr>
      <w:r>
        <w:rPr>
          <w:rFonts w:hint="eastAsia" w:ascii="宋体" w:hAnsi="宋体" w:eastAsia="宋体" w:cs="Times New Roman"/>
          <w:bCs/>
          <w:sz w:val="24"/>
          <w:szCs w:val="24"/>
        </w:rPr>
        <w:t>三、授权委托书</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本人      （姓名）系          （响应人名称）的法定代表人，现委托      （姓名）为我方代理人。代理人根据授权，以我方名义签署、澄清、说明、补正、递交、撤回、修改          （项目名称）响应文件、签订合同和处理有关事宜，其法律后果由我方承担。</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代理人无转委托权。</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附：法定代表人及委托代理人身份证正反面扫描件</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                        （电子签章）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法定代表人：                    （电子签章）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身份证号码：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委托人：                    （电子签章）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委托代理人身份证号码：                    </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联系方式：</w:t>
      </w:r>
      <w:r>
        <w:rPr>
          <w:rFonts w:hint="eastAsia" w:ascii="宋体" w:hAnsi="宋体" w:eastAsia="宋体" w:cs="Times New Roman"/>
          <w:bCs/>
          <w:sz w:val="24"/>
          <w:szCs w:val="24"/>
        </w:rPr>
        <w:t xml:space="preserve">                     </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年        月        日</w:t>
      </w:r>
    </w:p>
    <w:p>
      <w:pPr>
        <w:snapToGrid w:val="0"/>
        <w:spacing w:line="400" w:lineRule="exact"/>
        <w:ind w:firstLine="480" w:firstLineChars="200"/>
        <w:jc w:val="left"/>
        <w:rPr>
          <w:rFonts w:ascii="宋体" w:hAnsi="宋体" w:eastAsia="宋体" w:cs="Times New Roman"/>
          <w:bCs/>
          <w:sz w:val="24"/>
          <w:szCs w:val="24"/>
        </w:rPr>
      </w:pPr>
      <w:bookmarkStart w:id="850" w:name="_Toc509443221"/>
      <w:bookmarkStart w:id="851" w:name="_Toc3847"/>
      <w:bookmarkStart w:id="852" w:name="_Toc18816"/>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bookmarkEnd w:id="850"/>
    <w:bookmarkEnd w:id="851"/>
    <w:bookmarkEnd w:id="852"/>
    <w:p>
      <w:pPr>
        <w:snapToGrid w:val="0"/>
        <w:spacing w:line="400" w:lineRule="exact"/>
        <w:ind w:firstLine="3120" w:firstLineChars="1300"/>
        <w:jc w:val="left"/>
        <w:rPr>
          <w:rFonts w:ascii="宋体" w:hAnsi="宋体" w:eastAsia="宋体" w:cs="Times New Roman"/>
          <w:bCs/>
          <w:sz w:val="24"/>
          <w:szCs w:val="24"/>
        </w:rPr>
      </w:pPr>
      <w:bookmarkStart w:id="853" w:name="_Toc509443224"/>
      <w:bookmarkEnd w:id="853"/>
      <w:bookmarkStart w:id="854" w:name="_Toc1913"/>
      <w:bookmarkEnd w:id="854"/>
      <w:bookmarkStart w:id="855" w:name="_Toc16440"/>
      <w:bookmarkEnd w:id="855"/>
      <w:bookmarkStart w:id="856" w:name="_Toc265572092"/>
      <w:r>
        <w:rPr>
          <w:rFonts w:hint="eastAsia" w:ascii="宋体" w:hAnsi="宋体" w:eastAsia="宋体" w:cs="Times New Roman"/>
          <w:bCs/>
          <w:sz w:val="24"/>
          <w:szCs w:val="24"/>
        </w:rPr>
        <w:t>四、已标价工程量清单</w:t>
      </w: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p>
    <w:p>
      <w:pPr>
        <w:snapToGrid w:val="0"/>
        <w:spacing w:line="400" w:lineRule="exact"/>
        <w:ind w:firstLine="3120" w:firstLineChars="1300"/>
        <w:jc w:val="left"/>
        <w:rPr>
          <w:rFonts w:ascii="宋体" w:hAnsi="宋体" w:eastAsia="宋体" w:cs="Times New Roman"/>
          <w:bCs/>
          <w:sz w:val="24"/>
          <w:szCs w:val="24"/>
        </w:rPr>
      </w:pPr>
      <w:r>
        <w:rPr>
          <w:rFonts w:hint="eastAsia" w:ascii="宋体" w:hAnsi="宋体" w:eastAsia="宋体" w:cs="Times New Roman"/>
          <w:bCs/>
          <w:sz w:val="24"/>
          <w:szCs w:val="24"/>
        </w:rPr>
        <w:t>五、资格审查资料</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p>
      <w:pPr>
        <w:snapToGrid w:val="0"/>
        <w:spacing w:line="400" w:lineRule="exact"/>
        <w:ind w:firstLine="3120" w:firstLineChars="1300"/>
        <w:jc w:val="left"/>
        <w:rPr>
          <w:rFonts w:ascii="宋体" w:hAnsi="宋体" w:eastAsia="宋体" w:cs="Times New Roman"/>
          <w:bCs/>
          <w:sz w:val="24"/>
          <w:szCs w:val="24"/>
        </w:rPr>
      </w:pPr>
      <w:r>
        <w:rPr>
          <w:rFonts w:hint="eastAsia" w:ascii="宋体" w:hAnsi="宋体" w:eastAsia="宋体" w:cs="Times New Roman"/>
          <w:bCs/>
          <w:sz w:val="24"/>
          <w:szCs w:val="24"/>
        </w:rPr>
        <w:t>六、施工组织设计</w:t>
      </w:r>
    </w:p>
    <w:p>
      <w:pPr>
        <w:snapToGrid w:val="0"/>
        <w:spacing w:line="400" w:lineRule="exact"/>
        <w:ind w:firstLine="3360" w:firstLineChars="1400"/>
        <w:jc w:val="left"/>
        <w:rPr>
          <w:rFonts w:ascii="宋体" w:hAnsi="宋体" w:eastAsia="宋体" w:cs="Times New Roman"/>
          <w:bCs/>
          <w:sz w:val="24"/>
          <w:szCs w:val="24"/>
        </w:rPr>
      </w:pPr>
      <w:r>
        <w:rPr>
          <w:rFonts w:hint="eastAsia" w:ascii="宋体" w:hAnsi="宋体" w:eastAsia="宋体" w:cs="Times New Roman"/>
          <w:bCs/>
          <w:sz w:val="24"/>
          <w:szCs w:val="24"/>
        </w:rPr>
        <w:t>格式自拟</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响应人编制施工组织设计的要求：编制时应简明扼要地说明施工方法，质量要求、安全生产、文明施工、环境保护、工程进度、技术组织等主要措施。</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bookmarkStart w:id="857" w:name="_Toc30631"/>
      <w:bookmarkStart w:id="858" w:name="_Toc509443226"/>
      <w:bookmarkStart w:id="859" w:name="_Toc2178"/>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bookmarkEnd w:id="856"/>
    <w:bookmarkEnd w:id="857"/>
    <w:bookmarkEnd w:id="858"/>
    <w:bookmarkEnd w:id="859"/>
    <w:p>
      <w:pPr>
        <w:snapToGrid w:val="0"/>
        <w:spacing w:line="400" w:lineRule="exact"/>
        <w:ind w:firstLine="2640" w:firstLineChars="1100"/>
        <w:jc w:val="left"/>
        <w:rPr>
          <w:rFonts w:ascii="宋体" w:hAnsi="宋体" w:eastAsia="宋体" w:cs="Times New Roman"/>
          <w:bCs/>
          <w:sz w:val="24"/>
          <w:szCs w:val="24"/>
        </w:rPr>
      </w:pPr>
      <w:r>
        <w:rPr>
          <w:rFonts w:hint="eastAsia" w:ascii="宋体" w:hAnsi="宋体" w:eastAsia="宋体" w:cs="Times New Roman"/>
          <w:bCs/>
          <w:sz w:val="24"/>
          <w:szCs w:val="24"/>
        </w:rPr>
        <w:t>七、项目管理机构</w:t>
      </w:r>
    </w:p>
    <w:p>
      <w:pPr>
        <w:snapToGrid w:val="0"/>
        <w:spacing w:line="400" w:lineRule="exact"/>
        <w:ind w:firstLine="2160" w:firstLineChars="900"/>
        <w:jc w:val="left"/>
        <w:rPr>
          <w:rFonts w:ascii="宋体" w:hAnsi="宋体" w:eastAsia="宋体" w:cs="Times New Roman"/>
          <w:bCs/>
          <w:sz w:val="24"/>
          <w:szCs w:val="24"/>
        </w:rPr>
      </w:pPr>
      <w:r>
        <w:rPr>
          <w:rFonts w:hint="eastAsia" w:ascii="宋体" w:hAnsi="宋体" w:eastAsia="宋体" w:cs="Times New Roman"/>
          <w:bCs/>
          <w:sz w:val="24"/>
          <w:szCs w:val="24"/>
        </w:rPr>
        <w:t>（一）项目管理机构组成表</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3"/>
        <w:gridCol w:w="843"/>
        <w:gridCol w:w="1440"/>
        <w:gridCol w:w="1024"/>
        <w:gridCol w:w="1188"/>
        <w:gridCol w:w="1050"/>
        <w:gridCol w:w="1454"/>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职务</w:t>
            </w:r>
          </w:p>
        </w:tc>
        <w:tc>
          <w:tcPr>
            <w:tcW w:w="843" w:type="dxa"/>
            <w:vMerge w:val="restart"/>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姓名</w:t>
            </w:r>
          </w:p>
        </w:tc>
        <w:tc>
          <w:tcPr>
            <w:tcW w:w="843" w:type="dxa"/>
            <w:vMerge w:val="restart"/>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职称</w:t>
            </w:r>
          </w:p>
        </w:tc>
        <w:tc>
          <w:tcPr>
            <w:tcW w:w="6156" w:type="dxa"/>
            <w:gridSpan w:val="5"/>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执业或职业资格证明</w:t>
            </w:r>
          </w:p>
        </w:tc>
        <w:tc>
          <w:tcPr>
            <w:tcW w:w="95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vMerge w:val="continue"/>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vMerge w:val="continue"/>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证书名称</w:t>
            </w: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级别</w:t>
            </w: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证号</w:t>
            </w: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专业</w:t>
            </w:r>
          </w:p>
        </w:tc>
        <w:tc>
          <w:tcPr>
            <w:tcW w:w="145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养老保险</w:t>
            </w: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843"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4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2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8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050"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4" w:type="dxa"/>
            <w:tcBorders>
              <w:top w:val="single" w:color="auto" w:sz="4" w:space="0"/>
              <w:left w:val="nil"/>
              <w:bottom w:val="single" w:color="auto" w:sz="4" w:space="0"/>
              <w:right w:val="single" w:color="auto" w:sz="4" w:space="0"/>
            </w:tcBorders>
          </w:tcPr>
          <w:p>
            <w:pPr>
              <w:snapToGrid w:val="0"/>
              <w:spacing w:line="400" w:lineRule="exact"/>
              <w:ind w:firstLine="480" w:firstLineChars="200"/>
              <w:jc w:val="left"/>
              <w:rPr>
                <w:rFonts w:ascii="宋体" w:hAnsi="宋体" w:eastAsia="宋体" w:cs="Times New Roman"/>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bl>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p>
      <w:pPr>
        <w:snapToGrid w:val="0"/>
        <w:spacing w:line="400" w:lineRule="exact"/>
        <w:ind w:firstLine="3600" w:firstLineChars="1500"/>
        <w:jc w:val="left"/>
        <w:rPr>
          <w:rFonts w:ascii="宋体" w:hAnsi="宋体" w:eastAsia="宋体" w:cs="Times New Roman"/>
          <w:bCs/>
          <w:sz w:val="24"/>
          <w:szCs w:val="24"/>
        </w:rPr>
      </w:pPr>
      <w:r>
        <w:rPr>
          <w:rFonts w:hint="eastAsia" w:ascii="宋体" w:hAnsi="宋体" w:eastAsia="宋体" w:cs="Times New Roman"/>
          <w:bCs/>
          <w:sz w:val="24"/>
          <w:szCs w:val="24"/>
        </w:rPr>
        <w:t>（二）主要人员简历表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“主要人员简历表”中的项目经理应附注册建造师证、注册证、身份证、职称证（如有）、安全生产考核合格证等扫描件；其他管理人员应附岗位证书、身份证扫描件。</w:t>
      </w:r>
    </w:p>
    <w:tbl>
      <w:tblPr>
        <w:tblStyle w:val="16"/>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3"/>
        <w:gridCol w:w="992"/>
        <w:gridCol w:w="1134"/>
        <w:gridCol w:w="1749"/>
        <w:gridCol w:w="2045"/>
        <w:gridCol w:w="17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姓  名</w:t>
            </w:r>
          </w:p>
        </w:tc>
        <w:tc>
          <w:tcPr>
            <w:tcW w:w="992"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年  龄</w:t>
            </w: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218"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学历</w:t>
            </w:r>
          </w:p>
        </w:tc>
        <w:tc>
          <w:tcPr>
            <w:tcW w:w="127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职  称</w:t>
            </w:r>
          </w:p>
        </w:tc>
        <w:tc>
          <w:tcPr>
            <w:tcW w:w="992"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职  务</w:t>
            </w: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218" w:type="dxa"/>
            <w:gridSpan w:val="2"/>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拟在本工程任职</w:t>
            </w:r>
          </w:p>
        </w:tc>
        <w:tc>
          <w:tcPr>
            <w:tcW w:w="1278"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毕业学校</w:t>
            </w:r>
          </w:p>
        </w:tc>
        <w:tc>
          <w:tcPr>
            <w:tcW w:w="7371" w:type="dxa"/>
            <w:gridSpan w:val="6"/>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93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时  间</w:t>
            </w:r>
          </w:p>
        </w:tc>
        <w:tc>
          <w:tcPr>
            <w:tcW w:w="4158" w:type="dxa"/>
            <w:gridSpan w:val="4"/>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参加过的类似项目名称</w:t>
            </w: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担任职务</w:t>
            </w: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275"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275"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275"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275"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275"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275"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275"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275"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134"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749"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2045" w:type="dxa"/>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c>
          <w:tcPr>
            <w:tcW w:w="1451" w:type="dxa"/>
            <w:gridSpan w:val="2"/>
            <w:tcBorders>
              <w:top w:val="single" w:color="auto" w:sz="4" w:space="0"/>
              <w:left w:val="nil"/>
              <w:bottom w:val="single" w:color="auto" w:sz="4" w:space="0"/>
              <w:right w:val="single" w:color="auto" w:sz="4" w:space="0"/>
            </w:tcBorders>
            <w:vAlign w:val="center"/>
          </w:tcPr>
          <w:p>
            <w:pPr>
              <w:snapToGrid w:val="0"/>
              <w:spacing w:line="400" w:lineRule="exact"/>
              <w:ind w:firstLine="480" w:firstLineChars="200"/>
              <w:jc w:val="left"/>
              <w:rPr>
                <w:rFonts w:ascii="宋体" w:hAnsi="宋体" w:eastAsia="宋体" w:cs="Times New Roman"/>
                <w:bCs/>
                <w:sz w:val="24"/>
                <w:szCs w:val="24"/>
              </w:rPr>
            </w:pPr>
          </w:p>
        </w:tc>
      </w:tr>
    </w:tbl>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p>
      <w:pPr>
        <w:snapToGrid w:val="0"/>
        <w:spacing w:line="400" w:lineRule="exact"/>
        <w:ind w:firstLine="2640" w:firstLineChars="1100"/>
        <w:jc w:val="left"/>
        <w:rPr>
          <w:rFonts w:ascii="宋体" w:hAnsi="宋体" w:eastAsia="宋体" w:cs="Times New Roman"/>
          <w:bCs/>
          <w:sz w:val="24"/>
          <w:szCs w:val="24"/>
        </w:rPr>
      </w:pPr>
      <w:r>
        <w:rPr>
          <w:rFonts w:hint="eastAsia" w:ascii="宋体" w:hAnsi="宋体" w:eastAsia="宋体" w:cs="Times New Roman"/>
          <w:bCs/>
          <w:sz w:val="24"/>
          <w:szCs w:val="24"/>
        </w:rPr>
        <w:t>八、供应商基本情况表</w:t>
      </w:r>
    </w:p>
    <w:p>
      <w:pPr>
        <w:snapToGrid w:val="0"/>
        <w:spacing w:line="400" w:lineRule="exact"/>
        <w:ind w:firstLine="2400" w:firstLineChars="1000"/>
        <w:jc w:val="left"/>
        <w:rPr>
          <w:rFonts w:ascii="宋体" w:hAnsi="宋体" w:eastAsia="宋体" w:cs="Times New Roman"/>
          <w:bCs/>
          <w:sz w:val="24"/>
          <w:szCs w:val="24"/>
        </w:rPr>
      </w:pPr>
      <w:r>
        <w:rPr>
          <w:rFonts w:hint="eastAsia" w:ascii="宋体" w:hAnsi="宋体" w:eastAsia="宋体" w:cs="Times New Roman"/>
          <w:bCs/>
          <w:sz w:val="24"/>
          <w:szCs w:val="24"/>
        </w:rPr>
        <w:t>1、供应商基本情况表</w:t>
      </w:r>
    </w:p>
    <w:p>
      <w:pPr>
        <w:snapToGrid w:val="0"/>
        <w:spacing w:line="400" w:lineRule="exact"/>
        <w:ind w:firstLine="480" w:firstLineChars="200"/>
        <w:jc w:val="left"/>
        <w:rPr>
          <w:rFonts w:ascii="宋体" w:hAnsi="宋体" w:eastAsia="宋体" w:cs="Times New Roman"/>
          <w:bCs/>
          <w:sz w:val="24"/>
          <w:szCs w:val="24"/>
        </w:rPr>
      </w:pPr>
    </w:p>
    <w:tbl>
      <w:tblPr>
        <w:tblStyle w:val="16"/>
        <w:tblW w:w="9320" w:type="dxa"/>
        <w:jc w:val="center"/>
        <w:tblLayout w:type="fixed"/>
        <w:tblCellMar>
          <w:top w:w="41" w:type="dxa"/>
          <w:left w:w="0" w:type="dxa"/>
          <w:bottom w:w="0" w:type="dxa"/>
          <w:right w:w="115" w:type="dxa"/>
        </w:tblCellMar>
      </w:tblPr>
      <w:tblGrid>
        <w:gridCol w:w="1673"/>
        <w:gridCol w:w="910"/>
        <w:gridCol w:w="1558"/>
        <w:gridCol w:w="1132"/>
        <w:gridCol w:w="218"/>
        <w:gridCol w:w="65"/>
        <w:gridCol w:w="1338"/>
        <w:gridCol w:w="294"/>
        <w:gridCol w:w="727"/>
        <w:gridCol w:w="1405"/>
      </w:tblGrid>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供应商</w:t>
            </w:r>
            <w:r>
              <w:rPr>
                <w:rFonts w:ascii="宋体" w:hAnsi="宋体" w:eastAsia="宋体" w:cs="Times New Roman"/>
                <w:bCs/>
                <w:sz w:val="24"/>
                <w:szCs w:val="24"/>
              </w:rPr>
              <w:t>名称</w:t>
            </w:r>
          </w:p>
        </w:tc>
        <w:tc>
          <w:tcPr>
            <w:tcW w:w="7647" w:type="dxa"/>
            <w:gridSpan w:val="9"/>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注册地址</w:t>
            </w:r>
          </w:p>
        </w:tc>
        <w:tc>
          <w:tcPr>
            <w:tcW w:w="3818" w:type="dxa"/>
            <w:gridSpan w:val="4"/>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邮政编码</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85" w:hRule="atLeast"/>
          <w:jc w:val="center"/>
        </w:trPr>
        <w:tc>
          <w:tcPr>
            <w:tcW w:w="1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联系方式</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联系人</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电 话</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85" w:hRule="atLeast"/>
          <w:jc w:val="center"/>
        </w:trPr>
        <w:tc>
          <w:tcPr>
            <w:tcW w:w="1673" w:type="dxa"/>
            <w:vMerge w:val="continue"/>
            <w:tcBorders>
              <w:top w:val="nil"/>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传真</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网 址</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法定代表人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姓名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技术职称</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电话</w:t>
            </w:r>
          </w:p>
        </w:tc>
        <w:tc>
          <w:tcPr>
            <w:tcW w:w="1405"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技术负责人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姓名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技术职称</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电话</w:t>
            </w:r>
          </w:p>
        </w:tc>
        <w:tc>
          <w:tcPr>
            <w:tcW w:w="1405"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成立时间</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51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员工总人数：</w:t>
            </w: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营业执照号</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132" w:type="dxa"/>
            <w:vMerge w:val="restart"/>
            <w:tcBorders>
              <w:top w:val="nil"/>
              <w:left w:val="single" w:color="000000" w:sz="4" w:space="0"/>
              <w:bottom w:val="nil"/>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高级职称人员</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注册资金</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132" w:type="dxa"/>
            <w:vMerge w:val="continue"/>
            <w:tcBorders>
              <w:top w:val="nil"/>
              <w:left w:val="single" w:color="000000" w:sz="4" w:space="0"/>
              <w:bottom w:val="nil"/>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中级职称人员</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开户银行</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132" w:type="dxa"/>
            <w:vMerge w:val="continue"/>
            <w:tcBorders>
              <w:top w:val="nil"/>
              <w:left w:val="single" w:color="000000" w:sz="4" w:space="0"/>
              <w:bottom w:val="nil"/>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left"/>
              <w:rPr>
                <w:rFonts w:ascii="宋体" w:hAnsi="宋体" w:eastAsia="宋体" w:cs="Times New Roman"/>
                <w:bCs/>
                <w:sz w:val="24"/>
                <w:szCs w:val="24"/>
              </w:rPr>
            </w:pPr>
            <w:r>
              <w:rPr>
                <w:rFonts w:ascii="宋体" w:hAnsi="宋体" w:eastAsia="宋体" w:cs="Times New Roman"/>
                <w:bCs/>
                <w:sz w:val="24"/>
                <w:szCs w:val="24"/>
              </w:rPr>
              <w:t>初级职称人员</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账号</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132" w:type="dxa"/>
            <w:vMerge w:val="continue"/>
            <w:tcBorders>
              <w:top w:val="nil"/>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技 工</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2771"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经营范围</w:t>
            </w:r>
          </w:p>
        </w:tc>
        <w:tc>
          <w:tcPr>
            <w:tcW w:w="7647" w:type="dxa"/>
            <w:gridSpan w:val="9"/>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r>
        <w:tblPrEx>
          <w:tblCellMar>
            <w:top w:w="41" w:type="dxa"/>
            <w:left w:w="0" w:type="dxa"/>
            <w:bottom w:w="0" w:type="dxa"/>
            <w:right w:w="115" w:type="dxa"/>
          </w:tblCellMar>
        </w:tblPrEx>
        <w:trPr>
          <w:trHeight w:val="62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备注</w:t>
            </w:r>
          </w:p>
        </w:tc>
        <w:tc>
          <w:tcPr>
            <w:tcW w:w="7647" w:type="dxa"/>
            <w:gridSpan w:val="9"/>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exact"/>
              <w:ind w:firstLine="480" w:firstLineChars="200"/>
              <w:jc w:val="left"/>
              <w:rPr>
                <w:rFonts w:ascii="宋体" w:hAnsi="宋体" w:eastAsia="宋体" w:cs="Times New Roman"/>
                <w:bCs/>
                <w:sz w:val="24"/>
                <w:szCs w:val="24"/>
              </w:rPr>
            </w:pPr>
          </w:p>
        </w:tc>
      </w:tr>
    </w:tbl>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t>备注：本表后应附企业法人营业执照等材料扫描件。</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2、近三年来企业完成的类似项目情况表</w:t>
      </w:r>
    </w:p>
    <w:tbl>
      <w:tblPr>
        <w:tblStyle w:val="16"/>
        <w:tblW w:w="8505" w:type="dxa"/>
        <w:tblInd w:w="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6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项目名称</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项目所在地</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发包人名称</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发包人地址</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11" w:type="dxa"/>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发包人联系人及电话</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合同价格</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开工日期</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竣工日期</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承担的工作</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工程质量</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项目负责人</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11" w:type="dxa"/>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总监理工程师及电话</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项目描述</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11"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备注</w:t>
            </w:r>
          </w:p>
        </w:tc>
        <w:tc>
          <w:tcPr>
            <w:tcW w:w="6094" w:type="dxa"/>
          </w:tcPr>
          <w:p>
            <w:pPr>
              <w:snapToGrid w:val="0"/>
              <w:spacing w:line="400" w:lineRule="exact"/>
              <w:ind w:firstLine="480" w:firstLineChars="200"/>
              <w:jc w:val="left"/>
              <w:rPr>
                <w:rFonts w:ascii="宋体" w:hAnsi="宋体" w:eastAsia="宋体" w:cs="Times New Roman"/>
                <w:bCs/>
                <w:sz w:val="24"/>
                <w:szCs w:val="24"/>
              </w:rPr>
            </w:pPr>
          </w:p>
        </w:tc>
      </w:tr>
    </w:tbl>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备注：本表后附相关证明材料的扫描件。每张表格只填写一个项目，并标明序号。（2021年1月1日至今) （附合同协议书或中标通知书扫描件）</w:t>
      </w:r>
    </w:p>
    <w:p>
      <w:pPr>
        <w:snapToGrid w:val="0"/>
        <w:spacing w:line="400" w:lineRule="exact"/>
        <w:ind w:firstLine="480" w:firstLineChars="200"/>
        <w:jc w:val="left"/>
        <w:rPr>
          <w:rFonts w:ascii="宋体" w:hAnsi="宋体" w:eastAsia="宋体" w:cs="Times New Roman"/>
          <w:bCs/>
          <w:sz w:val="24"/>
          <w:szCs w:val="24"/>
        </w:rPr>
        <w:sectPr>
          <w:footerReference r:id="rId4" w:type="default"/>
          <w:pgSz w:w="11910" w:h="16840"/>
          <w:pgMar w:top="1134" w:right="1134" w:bottom="1134" w:left="1134" w:header="0" w:footer="975" w:gutter="0"/>
          <w:cols w:space="720" w:num="1"/>
        </w:sect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3、正在施工的和新承接的项目情况表</w:t>
      </w:r>
    </w:p>
    <w:tbl>
      <w:tblPr>
        <w:tblStyle w:val="16"/>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0"/>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项目名称</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项目所在地</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发包人名称</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发包人地址</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发包人电话</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签约合同价</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开工日期</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计划竣工日期</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承担的工作</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工程质量</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项目负责人</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vAlign w:val="center"/>
          </w:tcPr>
          <w:p>
            <w:pPr>
              <w:snapToGrid w:val="0"/>
              <w:spacing w:line="400" w:lineRule="exact"/>
              <w:jc w:val="left"/>
              <w:rPr>
                <w:rFonts w:ascii="宋体" w:hAnsi="宋体" w:eastAsia="宋体" w:cs="Times New Roman"/>
                <w:bCs/>
                <w:sz w:val="24"/>
                <w:szCs w:val="24"/>
              </w:rPr>
            </w:pPr>
            <w:r>
              <w:rPr>
                <w:rFonts w:hint="eastAsia" w:ascii="宋体" w:hAnsi="宋体" w:eastAsia="宋体" w:cs="Times New Roman"/>
                <w:bCs/>
                <w:sz w:val="24"/>
                <w:szCs w:val="24"/>
              </w:rPr>
              <w:t>总监理工程师及电话</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项目描述</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vAlign w:val="center"/>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备注</w:t>
            </w:r>
          </w:p>
        </w:tc>
        <w:tc>
          <w:tcPr>
            <w:tcW w:w="6095" w:type="dxa"/>
          </w:tcPr>
          <w:p>
            <w:pPr>
              <w:snapToGrid w:val="0"/>
              <w:spacing w:line="400" w:lineRule="exact"/>
              <w:ind w:firstLine="480" w:firstLineChars="200"/>
              <w:jc w:val="left"/>
              <w:rPr>
                <w:rFonts w:ascii="宋体" w:hAnsi="宋体" w:eastAsia="宋体" w:cs="Times New Roman"/>
                <w:bCs/>
                <w:sz w:val="24"/>
                <w:szCs w:val="24"/>
              </w:rPr>
            </w:pPr>
          </w:p>
        </w:tc>
      </w:tr>
    </w:tbl>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备注：本表后附合同协议书扫描件。每张表格只填写一个项目，并标明序号。</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九、承诺质量、工期达到竞争性谈判文件要求及具体措施</w:t>
      </w:r>
    </w:p>
    <w:p>
      <w:pPr>
        <w:snapToGrid w:val="0"/>
        <w:spacing w:line="400" w:lineRule="exact"/>
        <w:ind w:firstLine="480" w:firstLineChars="200"/>
        <w:jc w:val="left"/>
        <w:rPr>
          <w:rFonts w:ascii="宋体" w:hAnsi="宋体" w:eastAsia="宋体" w:cs="Times New Roman"/>
          <w:bCs/>
          <w:sz w:val="24"/>
          <w:szCs w:val="24"/>
        </w:rPr>
      </w:pPr>
      <w:r>
        <w:rPr>
          <w:rFonts w:ascii="宋体" w:hAnsi="宋体" w:eastAsia="宋体" w:cs="Times New Roman"/>
          <w:bCs/>
          <w:sz w:val="24"/>
          <w:szCs w:val="24"/>
        </w:rPr>
        <w:br w:type="page"/>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十、优惠服务承诺</w:t>
      </w:r>
    </w:p>
    <w:tbl>
      <w:tblPr>
        <w:tblStyle w:val="1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Pr>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承诺内容：</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tc>
      </w:tr>
    </w:tbl>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单位公章：（签字或盖章）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法定代表人：（签字或盖章）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日期：  年  月  日</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bookmarkStart w:id="860" w:name="_Toc468276951"/>
      <w:bookmarkEnd w:id="860"/>
    </w:p>
    <w:p>
      <w:pPr>
        <w:snapToGrid w:val="0"/>
        <w:spacing w:line="400" w:lineRule="exact"/>
        <w:ind w:firstLine="480" w:firstLineChars="200"/>
        <w:jc w:val="left"/>
        <w:rPr>
          <w:rFonts w:ascii="宋体" w:hAnsi="宋体" w:eastAsia="宋体" w:cs="Times New Roman"/>
          <w:bCs/>
          <w:sz w:val="24"/>
          <w:szCs w:val="24"/>
        </w:rPr>
      </w:pPr>
      <w:bookmarkStart w:id="861" w:name="_Toc468276952"/>
      <w:bookmarkEnd w:id="861"/>
      <w:r>
        <w:rPr>
          <w:rFonts w:hint="eastAsia" w:ascii="宋体" w:hAnsi="宋体" w:eastAsia="宋体" w:cs="Times New Roman"/>
          <w:bCs/>
          <w:sz w:val="24"/>
          <w:szCs w:val="24"/>
        </w:rPr>
        <w:t>十一、近年发生的诉讼和仲裁情况</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说明：近三年发生的诉讼和仲裁情况仅限于供应商败诉的，且与履行施工承包合同有关的案件，不包括调解结案以及未裁决的仲裁或未终审判决的诉讼。</w:t>
      </w:r>
    </w:p>
    <w:p>
      <w:pPr>
        <w:snapToGrid w:val="0"/>
        <w:spacing w:line="400" w:lineRule="exact"/>
        <w:ind w:firstLine="480" w:firstLineChars="200"/>
        <w:jc w:val="left"/>
        <w:rPr>
          <w:rFonts w:ascii="宋体" w:hAnsi="宋体" w:eastAsia="宋体" w:cs="Times New Roman"/>
          <w:bCs/>
          <w:sz w:val="24"/>
          <w:szCs w:val="24"/>
        </w:rPr>
      </w:pPr>
      <w:bookmarkStart w:id="862" w:name="_Toc468276953"/>
      <w:r>
        <w:rPr>
          <w:rFonts w:ascii="宋体" w:hAnsi="宋体" w:eastAsia="宋体" w:cs="Times New Roman"/>
          <w:bCs/>
          <w:sz w:val="24"/>
          <w:szCs w:val="24"/>
        </w:rPr>
        <w:br w:type="page"/>
      </w:r>
      <w:bookmarkEnd w:id="862"/>
    </w:p>
    <w:p>
      <w:pPr>
        <w:snapToGrid w:val="0"/>
        <w:spacing w:line="400" w:lineRule="exact"/>
        <w:ind w:firstLine="480" w:firstLineChars="200"/>
        <w:jc w:val="left"/>
        <w:rPr>
          <w:rFonts w:ascii="宋体" w:hAnsi="宋体" w:eastAsia="宋体" w:cs="Times New Roman"/>
          <w:bCs/>
          <w:sz w:val="24"/>
          <w:szCs w:val="24"/>
        </w:rPr>
      </w:pPr>
      <w:bookmarkStart w:id="863" w:name="_Toc468276955"/>
      <w:bookmarkEnd w:id="863"/>
    </w:p>
    <w:p>
      <w:pPr>
        <w:snapToGrid w:val="0"/>
        <w:spacing w:line="400" w:lineRule="exact"/>
        <w:ind w:firstLine="1440" w:firstLineChars="600"/>
        <w:jc w:val="left"/>
        <w:rPr>
          <w:rFonts w:ascii="宋体" w:hAnsi="宋体" w:eastAsia="宋体" w:cs="Times New Roman"/>
          <w:bCs/>
          <w:sz w:val="24"/>
          <w:szCs w:val="24"/>
        </w:rPr>
      </w:pPr>
      <w:r>
        <w:rPr>
          <w:rFonts w:hint="eastAsia" w:ascii="宋体" w:hAnsi="宋体" w:eastAsia="宋体" w:cs="Times New Roman"/>
          <w:bCs/>
          <w:sz w:val="24"/>
          <w:szCs w:val="24"/>
        </w:rPr>
        <w:t>十二、响应人认为需要提交的其他资料</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br w:type="page"/>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附件</w:t>
      </w:r>
    </w:p>
    <w:p>
      <w:pPr>
        <w:snapToGrid w:val="0"/>
        <w:spacing w:line="400" w:lineRule="exact"/>
        <w:ind w:firstLine="3840" w:firstLineChars="1200"/>
        <w:jc w:val="left"/>
        <w:rPr>
          <w:rFonts w:ascii="宋体" w:hAnsi="宋体" w:eastAsia="宋体" w:cs="Times New Roman"/>
          <w:bCs/>
          <w:sz w:val="32"/>
          <w:szCs w:val="32"/>
        </w:rPr>
      </w:pPr>
      <w:r>
        <w:rPr>
          <w:rFonts w:hint="eastAsia" w:ascii="宋体" w:hAnsi="宋体" w:eastAsia="宋体" w:cs="Times New Roman"/>
          <w:bCs/>
          <w:sz w:val="32"/>
          <w:szCs w:val="32"/>
        </w:rPr>
        <w:t>谈判承诺函</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 xml:space="preserve">致：（采购人名称） </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我方已充分了解了              （项目名称）        （项目编号）的谈判文件，愿意遵照本项目《竞争性谈判文件》、《中华人民共和国政府采购法》等有关规定参与竞标，并承诺如下：</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1、我方承诺将严格按照“公开、公平、公正和诚实信用原则”参与本项目竞标活动。</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2、我方承诺在谈判有效期内不撤销响应性文件；</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3、我方承诺在响应性文件及对灵宝市公共资源交易中心原件中提供的材料真实有效；</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4、我方承诺绝不与采购人、其他投标响应人或者代理机构恶意串通的投标；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5、我方承诺绝不以他人的名义投标、串通投标、以行贿手段谋取中标或者以其他弄虚作假方式投标；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6、我方承诺绝不采取不正当手段谋取中标；</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7、如我方中标，我方承诺在收到中标通知书后，在中标通知书规定的期限内，根据谈判响应文件、我方的谈判响应文件及有关澄清承诺书的要求，与采购人订立书面合同，并按照合同约定承担完成合同的责任和义务.</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8、如我方违反此约定，愿意承担对本项目造成的一切经济损失，并同时依法承担相应法律责任。</w:t>
      </w:r>
    </w:p>
    <w:p>
      <w:pPr>
        <w:snapToGrid w:val="0"/>
        <w:spacing w:line="400" w:lineRule="exact"/>
        <w:ind w:firstLine="480" w:firstLineChars="200"/>
        <w:jc w:val="left"/>
        <w:rPr>
          <w:rFonts w:ascii="宋体" w:hAnsi="宋体" w:eastAsia="宋体" w:cs="Times New Roman"/>
          <w:bCs/>
          <w:sz w:val="24"/>
          <w:szCs w:val="24"/>
        </w:rPr>
      </w:pP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响应人：（签字或盖章）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法定代表人：（签字或盖章）</w:t>
      </w:r>
    </w:p>
    <w:p>
      <w:pPr>
        <w:snapToGrid w:val="0"/>
        <w:spacing w:line="400" w:lineRule="exact"/>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日期：</w:t>
      </w:r>
    </w:p>
    <w:p>
      <w:pPr>
        <w:snapToGrid w:val="0"/>
        <w:spacing w:line="400" w:lineRule="exact"/>
        <w:ind w:firstLine="480" w:firstLineChars="200"/>
        <w:jc w:val="left"/>
        <w:rPr>
          <w:rFonts w:ascii="宋体" w:hAnsi="宋体" w:eastAsia="宋体" w:cs="Times New Roman"/>
          <w:bCs/>
          <w:sz w:val="24"/>
          <w:szCs w:val="24"/>
        </w:rPr>
      </w:pPr>
    </w:p>
    <w:p/>
    <w:sectPr>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PAGE   \* MERGEFORMAT</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51558380"/>
                          </w:sdtPr>
                          <w:sdtContent>
                            <w:p>
                              <w:pPr>
                                <w:pStyle w:val="11"/>
                              </w:pPr>
                              <w:r>
                                <w:fldChar w:fldCharType="begin"/>
                              </w:r>
                              <w:r>
                                <w:instrText xml:space="preserve">PAGE   \* MERGEFORMAT</w:instrText>
                              </w:r>
                              <w:r>
                                <w:fldChar w:fldCharType="separate"/>
                              </w:r>
                              <w:r>
                                <w:rPr>
                                  <w:lang w:val="zh-CN"/>
                                </w:rPr>
                                <w:t>66</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651558380"/>
                    </w:sdtPr>
                    <w:sdtContent>
                      <w:p>
                        <w:pPr>
                          <w:pStyle w:val="11"/>
                        </w:pPr>
                        <w:r>
                          <w:fldChar w:fldCharType="begin"/>
                        </w:r>
                        <w:r>
                          <w:instrText xml:space="preserve">PAGE   \* MERGEFORMAT</w:instrText>
                        </w:r>
                        <w:r>
                          <w:fldChar w:fldCharType="separate"/>
                        </w:r>
                        <w:r>
                          <w:rPr>
                            <w:lang w:val="zh-CN"/>
                          </w:rPr>
                          <w:t>66</w:t>
                        </w:r>
                        <w:r>
                          <w:rPr>
                            <w:lang w:val="zh-CN"/>
                          </w:rPr>
                          <w:fldChar w:fldCharType="end"/>
                        </w:r>
                      </w:p>
                    </w:sdtContent>
                  </w:sdt>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E79D1"/>
    <w:multiLevelType w:val="singleLevel"/>
    <w:tmpl w:val="70FE79D1"/>
    <w:lvl w:ilvl="0" w:tentative="0">
      <w:start w:val="3"/>
      <w:numFmt w:val="chineseCounting"/>
      <w:pStyle w:val="44"/>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C02D1D"/>
    <w:rsid w:val="00083997"/>
    <w:rsid w:val="0008609A"/>
    <w:rsid w:val="0013217D"/>
    <w:rsid w:val="001E3D08"/>
    <w:rsid w:val="00211D1A"/>
    <w:rsid w:val="0021344A"/>
    <w:rsid w:val="002439CE"/>
    <w:rsid w:val="00270003"/>
    <w:rsid w:val="00347C87"/>
    <w:rsid w:val="003D4532"/>
    <w:rsid w:val="004967A9"/>
    <w:rsid w:val="00530874"/>
    <w:rsid w:val="00592830"/>
    <w:rsid w:val="005C2279"/>
    <w:rsid w:val="005D6973"/>
    <w:rsid w:val="005E2C65"/>
    <w:rsid w:val="00613284"/>
    <w:rsid w:val="00702DC9"/>
    <w:rsid w:val="0076080F"/>
    <w:rsid w:val="007876C0"/>
    <w:rsid w:val="007E0D4D"/>
    <w:rsid w:val="0083474E"/>
    <w:rsid w:val="00860DA6"/>
    <w:rsid w:val="00861376"/>
    <w:rsid w:val="00867379"/>
    <w:rsid w:val="00881921"/>
    <w:rsid w:val="00890DF8"/>
    <w:rsid w:val="00900901"/>
    <w:rsid w:val="009B6056"/>
    <w:rsid w:val="00A071B8"/>
    <w:rsid w:val="00A178F2"/>
    <w:rsid w:val="00A43810"/>
    <w:rsid w:val="00AA29AE"/>
    <w:rsid w:val="00AE044D"/>
    <w:rsid w:val="00AE13AA"/>
    <w:rsid w:val="00B46057"/>
    <w:rsid w:val="00B76EF3"/>
    <w:rsid w:val="00BB3F8F"/>
    <w:rsid w:val="00C02D1D"/>
    <w:rsid w:val="00C2672A"/>
    <w:rsid w:val="00CC5968"/>
    <w:rsid w:val="00CD2BD3"/>
    <w:rsid w:val="00CE53BA"/>
    <w:rsid w:val="00D0231C"/>
    <w:rsid w:val="00D07095"/>
    <w:rsid w:val="00D51032"/>
    <w:rsid w:val="00EE64AD"/>
    <w:rsid w:val="00F96A7D"/>
    <w:rsid w:val="00FA0399"/>
    <w:rsid w:val="096E162E"/>
    <w:rsid w:val="0C01678A"/>
    <w:rsid w:val="0CF32576"/>
    <w:rsid w:val="0E8611C8"/>
    <w:rsid w:val="102F7D69"/>
    <w:rsid w:val="18567E5D"/>
    <w:rsid w:val="19F811CC"/>
    <w:rsid w:val="21AE3772"/>
    <w:rsid w:val="24DE5462"/>
    <w:rsid w:val="25034EC9"/>
    <w:rsid w:val="2B0C0F7B"/>
    <w:rsid w:val="2BA20F23"/>
    <w:rsid w:val="2BE47802"/>
    <w:rsid w:val="2CA46F92"/>
    <w:rsid w:val="30241C05"/>
    <w:rsid w:val="352944D8"/>
    <w:rsid w:val="365612FD"/>
    <w:rsid w:val="377A726D"/>
    <w:rsid w:val="3A1C460B"/>
    <w:rsid w:val="3DBD69BF"/>
    <w:rsid w:val="4202058A"/>
    <w:rsid w:val="445F4D0F"/>
    <w:rsid w:val="4A2512BA"/>
    <w:rsid w:val="4ABF170F"/>
    <w:rsid w:val="4F362870"/>
    <w:rsid w:val="53E06252"/>
    <w:rsid w:val="563F3703"/>
    <w:rsid w:val="5A1F7EFF"/>
    <w:rsid w:val="5A696FA1"/>
    <w:rsid w:val="5E9840E9"/>
    <w:rsid w:val="65B65064"/>
    <w:rsid w:val="682269E1"/>
    <w:rsid w:val="69F74E71"/>
    <w:rsid w:val="6CE64481"/>
    <w:rsid w:val="71484DAE"/>
    <w:rsid w:val="717C20C9"/>
    <w:rsid w:val="790068CB"/>
    <w:rsid w:val="796C21B2"/>
    <w:rsid w:val="7A9D1B29"/>
    <w:rsid w:val="7E885398"/>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9"/>
    <w:pPr>
      <w:keepNext/>
      <w:keepLines/>
      <w:snapToGrid w:val="0"/>
      <w:spacing w:before="160" w:after="160" w:line="160" w:lineRule="atLeast"/>
      <w:jc w:val="center"/>
      <w:outlineLvl w:val="0"/>
    </w:pPr>
    <w:rPr>
      <w:rFonts w:ascii="黑体" w:hAnsi="Times New Roman" w:eastAsia="黑体" w:cs="Times New Roman"/>
      <w:bCs/>
      <w:kern w:val="44"/>
      <w:sz w:val="32"/>
      <w:szCs w:val="24"/>
    </w:rPr>
  </w:style>
  <w:style w:type="paragraph" w:styleId="3">
    <w:name w:val="heading 2"/>
    <w:link w:val="34"/>
    <w:autoRedefine/>
    <w:qFormat/>
    <w:uiPriority w:val="9"/>
    <w:pPr>
      <w:keepNext/>
      <w:keepLines/>
      <w:ind w:left="10" w:right="245"/>
      <w:jc w:val="center"/>
      <w:outlineLvl w:val="1"/>
    </w:pPr>
    <w:rPr>
      <w:rFonts w:ascii="Times New Roman" w:hAnsi="Times New Roman" w:eastAsia="宋体" w:cs="Times New Roman"/>
      <w:sz w:val="30"/>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snapToGrid w:val="0"/>
      <w:spacing w:line="360" w:lineRule="auto"/>
      <w:ind w:firstLine="560" w:firstLineChars="200"/>
      <w:jc w:val="left"/>
    </w:pPr>
    <w:rPr>
      <w:rFonts w:ascii="Times New Roman" w:hAnsi="Times New Roman" w:eastAsia="宋体" w:cs="Times New Roman"/>
      <w:bCs/>
      <w:sz w:val="28"/>
      <w:szCs w:val="20"/>
    </w:rPr>
  </w:style>
  <w:style w:type="paragraph" w:styleId="5">
    <w:name w:val="Body Text"/>
    <w:basedOn w:val="1"/>
    <w:next w:val="6"/>
    <w:link w:val="35"/>
    <w:autoRedefine/>
    <w:qFormat/>
    <w:uiPriority w:val="99"/>
    <w:pPr>
      <w:snapToGrid w:val="0"/>
      <w:spacing w:after="120" w:line="360" w:lineRule="auto"/>
      <w:jc w:val="left"/>
    </w:pPr>
    <w:rPr>
      <w:rFonts w:ascii="Times New Roman" w:hAnsi="Times New Roman" w:eastAsia="宋体" w:cs="Times New Roman"/>
      <w:bCs/>
      <w:sz w:val="24"/>
      <w:szCs w:val="24"/>
    </w:rPr>
  </w:style>
  <w:style w:type="paragraph" w:customStyle="1" w:styleId="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link w:val="39"/>
    <w:semiHidden/>
    <w:unhideWhenUsed/>
    <w:qFormat/>
    <w:uiPriority w:val="99"/>
    <w:pPr>
      <w:spacing w:after="120"/>
      <w:ind w:left="420" w:leftChars="200"/>
    </w:pPr>
  </w:style>
  <w:style w:type="paragraph" w:styleId="8">
    <w:name w:val="List 2"/>
    <w:autoRedefine/>
    <w:qFormat/>
    <w:uiPriority w:val="0"/>
    <w:pPr>
      <w:ind w:left="100" w:leftChars="200" w:hanging="200" w:hangingChars="200"/>
    </w:pPr>
    <w:rPr>
      <w:rFonts w:ascii="Times New Roman" w:hAnsi="Times New Roman" w:eastAsia="宋体" w:cs="Times New Roman"/>
      <w:lang w:val="en-US" w:eastAsia="zh-CN" w:bidi="ar-SA"/>
    </w:rPr>
  </w:style>
  <w:style w:type="paragraph" w:styleId="9">
    <w:name w:val="Plain Text"/>
    <w:link w:val="36"/>
    <w:autoRedefine/>
    <w:qFormat/>
    <w:uiPriority w:val="0"/>
    <w:rPr>
      <w:rFonts w:ascii="宋体" w:hAnsi="Courier New" w:eastAsia="宋体" w:cs="Courier New"/>
      <w:szCs w:val="21"/>
      <w:lang w:val="en-US" w:eastAsia="zh-CN" w:bidi="ar-SA"/>
    </w:rPr>
  </w:style>
  <w:style w:type="paragraph" w:styleId="10">
    <w:name w:val="Balloon Text"/>
    <w:basedOn w:val="1"/>
    <w:link w:val="37"/>
    <w:autoRedefine/>
    <w:qFormat/>
    <w:uiPriority w:val="0"/>
    <w:pPr>
      <w:snapToGrid w:val="0"/>
      <w:spacing w:line="360" w:lineRule="auto"/>
      <w:jc w:val="left"/>
    </w:pPr>
    <w:rPr>
      <w:rFonts w:ascii="宋体" w:hAnsi="宋体" w:eastAsia="宋体"/>
      <w:bCs/>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autoRedefine/>
    <w:qFormat/>
    <w:uiPriority w:val="39"/>
    <w:rPr>
      <w:rFonts w:ascii="Times New Roman" w:hAnsi="Times New Roman" w:eastAsia="宋体" w:cs="Times New Roman"/>
      <w:lang w:val="en-US" w:eastAsia="zh-CN" w:bidi="ar-SA"/>
    </w:rPr>
  </w:style>
  <w:style w:type="paragraph" w:styleId="14">
    <w:name w:val="Body Text 2"/>
    <w:link w:val="38"/>
    <w:autoRedefine/>
    <w:qFormat/>
    <w:uiPriority w:val="99"/>
    <w:pPr>
      <w:spacing w:after="120" w:line="480" w:lineRule="auto"/>
    </w:pPr>
    <w:rPr>
      <w:rFonts w:ascii="Times New Roman" w:hAnsi="Times New Roman" w:eastAsia="宋体" w:cs="Times New Roman"/>
      <w:lang w:val="en-US" w:eastAsia="zh-CN" w:bidi="ar-SA"/>
    </w:rPr>
  </w:style>
  <w:style w:type="paragraph" w:styleId="15">
    <w:name w:val="Body Text First Indent 2"/>
    <w:link w:val="40"/>
    <w:autoRedefine/>
    <w:unhideWhenUsed/>
    <w:qFormat/>
    <w:uiPriority w:val="0"/>
    <w:pPr>
      <w:ind w:firstLine="420" w:firstLineChars="200"/>
    </w:pPr>
    <w:rPr>
      <w:rFonts w:ascii="Times New Roman" w:hAnsi="Times New Roman" w:eastAsia="宋体" w:cs="Times New Roman"/>
      <w:lang w:val="en-US" w:eastAsia="zh-CN" w:bidi="ar-SA"/>
    </w:rPr>
  </w:style>
  <w:style w:type="table" w:styleId="17">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FollowedHyperlink"/>
    <w:basedOn w:val="18"/>
    <w:autoRedefine/>
    <w:qFormat/>
    <w:uiPriority w:val="0"/>
    <w:rPr>
      <w:color w:val="800080"/>
      <w:u w:val="none"/>
    </w:rPr>
  </w:style>
  <w:style w:type="character" w:styleId="21">
    <w:name w:val="Emphasis"/>
    <w:basedOn w:val="18"/>
    <w:qFormat/>
    <w:uiPriority w:val="20"/>
    <w:rPr>
      <w:b/>
      <w:bCs/>
    </w:rPr>
  </w:style>
  <w:style w:type="character" w:styleId="22">
    <w:name w:val="HTML Definition"/>
    <w:basedOn w:val="18"/>
    <w:autoRedefine/>
    <w:qFormat/>
    <w:uiPriority w:val="0"/>
  </w:style>
  <w:style w:type="character" w:styleId="23">
    <w:name w:val="HTML Typewriter"/>
    <w:basedOn w:val="18"/>
    <w:autoRedefine/>
    <w:qFormat/>
    <w:uiPriority w:val="0"/>
    <w:rPr>
      <w:rFonts w:hint="default" w:ascii="monospace" w:hAnsi="monospace" w:eastAsia="monospace" w:cs="monospace"/>
      <w:sz w:val="20"/>
    </w:rPr>
  </w:style>
  <w:style w:type="character" w:styleId="24">
    <w:name w:val="HTML Acronym"/>
    <w:basedOn w:val="18"/>
    <w:autoRedefine/>
    <w:qFormat/>
    <w:uiPriority w:val="0"/>
  </w:style>
  <w:style w:type="character" w:styleId="25">
    <w:name w:val="HTML Variable"/>
    <w:basedOn w:val="18"/>
    <w:autoRedefine/>
    <w:qFormat/>
    <w:uiPriority w:val="0"/>
  </w:style>
  <w:style w:type="character" w:styleId="26">
    <w:name w:val="Hyperlink"/>
    <w:basedOn w:val="18"/>
    <w:autoRedefine/>
    <w:qFormat/>
    <w:uiPriority w:val="0"/>
    <w:rPr>
      <w:color w:val="0000FF"/>
      <w:u w:val="none"/>
    </w:rPr>
  </w:style>
  <w:style w:type="character" w:styleId="27">
    <w:name w:val="HTML Code"/>
    <w:basedOn w:val="18"/>
    <w:autoRedefine/>
    <w:qFormat/>
    <w:uiPriority w:val="0"/>
    <w:rPr>
      <w:rFonts w:hint="default" w:ascii="monospace" w:hAnsi="monospace" w:eastAsia="monospace" w:cs="monospace"/>
      <w:sz w:val="20"/>
    </w:rPr>
  </w:style>
  <w:style w:type="character" w:styleId="28">
    <w:name w:val="HTML Cite"/>
    <w:basedOn w:val="18"/>
    <w:autoRedefine/>
    <w:qFormat/>
    <w:uiPriority w:val="0"/>
  </w:style>
  <w:style w:type="character" w:styleId="29">
    <w:name w:val="HTML Keyboard"/>
    <w:basedOn w:val="18"/>
    <w:autoRedefine/>
    <w:qFormat/>
    <w:uiPriority w:val="0"/>
    <w:rPr>
      <w:rFonts w:ascii="monospace" w:hAnsi="monospace" w:eastAsia="monospace" w:cs="monospace"/>
      <w:sz w:val="20"/>
    </w:rPr>
  </w:style>
  <w:style w:type="character" w:styleId="30">
    <w:name w:val="HTML Sample"/>
    <w:basedOn w:val="18"/>
    <w:autoRedefine/>
    <w:qFormat/>
    <w:uiPriority w:val="0"/>
    <w:rPr>
      <w:rFonts w:hint="default" w:ascii="monospace" w:hAnsi="monospace" w:eastAsia="monospace" w:cs="monospace"/>
    </w:rPr>
  </w:style>
  <w:style w:type="character" w:customStyle="1" w:styleId="31">
    <w:name w:val="页眉 Char"/>
    <w:basedOn w:val="18"/>
    <w:link w:val="12"/>
    <w:qFormat/>
    <w:uiPriority w:val="99"/>
    <w:rPr>
      <w:sz w:val="18"/>
      <w:szCs w:val="18"/>
    </w:rPr>
  </w:style>
  <w:style w:type="character" w:customStyle="1" w:styleId="32">
    <w:name w:val="页脚 Char"/>
    <w:basedOn w:val="18"/>
    <w:link w:val="11"/>
    <w:qFormat/>
    <w:uiPriority w:val="99"/>
    <w:rPr>
      <w:sz w:val="18"/>
      <w:szCs w:val="18"/>
    </w:rPr>
  </w:style>
  <w:style w:type="character" w:customStyle="1" w:styleId="33">
    <w:name w:val="标题 1 Char"/>
    <w:basedOn w:val="18"/>
    <w:link w:val="2"/>
    <w:qFormat/>
    <w:uiPriority w:val="9"/>
    <w:rPr>
      <w:rFonts w:ascii="黑体" w:hAnsi="Times New Roman" w:eastAsia="黑体" w:cs="Times New Roman"/>
      <w:bCs/>
      <w:kern w:val="44"/>
      <w:sz w:val="32"/>
      <w:szCs w:val="24"/>
    </w:rPr>
  </w:style>
  <w:style w:type="character" w:customStyle="1" w:styleId="34">
    <w:name w:val="标题 2 Char"/>
    <w:basedOn w:val="18"/>
    <w:link w:val="3"/>
    <w:qFormat/>
    <w:uiPriority w:val="9"/>
    <w:rPr>
      <w:rFonts w:ascii="Times New Roman" w:hAnsi="Times New Roman" w:eastAsia="宋体" w:cs="Times New Roman"/>
      <w:kern w:val="0"/>
      <w:sz w:val="30"/>
      <w:szCs w:val="20"/>
    </w:rPr>
  </w:style>
  <w:style w:type="character" w:customStyle="1" w:styleId="35">
    <w:name w:val="正文文本 Char"/>
    <w:basedOn w:val="18"/>
    <w:link w:val="5"/>
    <w:qFormat/>
    <w:uiPriority w:val="99"/>
    <w:rPr>
      <w:rFonts w:ascii="Times New Roman" w:hAnsi="Times New Roman" w:eastAsia="宋体" w:cs="Times New Roman"/>
      <w:bCs/>
      <w:sz w:val="24"/>
      <w:szCs w:val="24"/>
    </w:rPr>
  </w:style>
  <w:style w:type="character" w:customStyle="1" w:styleId="36">
    <w:name w:val="纯文本 Char"/>
    <w:basedOn w:val="18"/>
    <w:link w:val="9"/>
    <w:qFormat/>
    <w:uiPriority w:val="0"/>
    <w:rPr>
      <w:rFonts w:ascii="宋体" w:hAnsi="Courier New" w:eastAsia="宋体" w:cs="Courier New"/>
      <w:kern w:val="0"/>
      <w:sz w:val="20"/>
      <w:szCs w:val="21"/>
    </w:rPr>
  </w:style>
  <w:style w:type="character" w:customStyle="1" w:styleId="37">
    <w:name w:val="批注框文本 Char"/>
    <w:basedOn w:val="18"/>
    <w:link w:val="10"/>
    <w:qFormat/>
    <w:uiPriority w:val="0"/>
    <w:rPr>
      <w:rFonts w:ascii="宋体" w:hAnsi="宋体" w:eastAsia="宋体"/>
      <w:bCs/>
      <w:sz w:val="18"/>
      <w:szCs w:val="18"/>
    </w:rPr>
  </w:style>
  <w:style w:type="character" w:customStyle="1" w:styleId="38">
    <w:name w:val="正文文本 2 Char"/>
    <w:basedOn w:val="18"/>
    <w:link w:val="14"/>
    <w:qFormat/>
    <w:uiPriority w:val="99"/>
    <w:rPr>
      <w:rFonts w:ascii="Times New Roman" w:hAnsi="Times New Roman" w:eastAsia="宋体" w:cs="Times New Roman"/>
      <w:kern w:val="0"/>
      <w:sz w:val="20"/>
      <w:szCs w:val="20"/>
    </w:rPr>
  </w:style>
  <w:style w:type="character" w:customStyle="1" w:styleId="39">
    <w:name w:val="正文文本缩进 Char"/>
    <w:basedOn w:val="18"/>
    <w:link w:val="7"/>
    <w:semiHidden/>
    <w:qFormat/>
    <w:uiPriority w:val="99"/>
  </w:style>
  <w:style w:type="character" w:customStyle="1" w:styleId="40">
    <w:name w:val="正文首行缩进 2 Char"/>
    <w:basedOn w:val="39"/>
    <w:link w:val="15"/>
    <w:qFormat/>
    <w:uiPriority w:val="0"/>
    <w:rPr>
      <w:rFonts w:ascii="Times New Roman" w:hAnsi="Times New Roman" w:eastAsia="宋体" w:cs="Times New Roman"/>
      <w:kern w:val="0"/>
      <w:sz w:val="20"/>
      <w:szCs w:val="20"/>
    </w:rPr>
  </w:style>
  <w:style w:type="character" w:customStyle="1" w:styleId="41">
    <w:name w:val="first-child"/>
    <w:basedOn w:val="18"/>
    <w:autoRedefine/>
    <w:qFormat/>
    <w:uiPriority w:val="0"/>
  </w:style>
  <w:style w:type="character" w:customStyle="1" w:styleId="42">
    <w:name w:val="layui-layer-tabnow"/>
    <w:basedOn w:val="18"/>
    <w:autoRedefine/>
    <w:qFormat/>
    <w:uiPriority w:val="0"/>
    <w:rPr>
      <w:bdr w:val="single" w:color="CCCCCC" w:sz="6" w:space="0"/>
      <w:shd w:val="clear" w:color="auto" w:fill="FFFFFF"/>
    </w:rPr>
  </w:style>
  <w:style w:type="paragraph" w:customStyle="1" w:styleId="43">
    <w:name w:val="Char Char Char Char1"/>
    <w:basedOn w:val="1"/>
    <w:autoRedefine/>
    <w:qFormat/>
    <w:uiPriority w:val="0"/>
    <w:pPr>
      <w:snapToGrid w:val="0"/>
      <w:spacing w:line="360" w:lineRule="auto"/>
      <w:jc w:val="left"/>
    </w:pPr>
    <w:rPr>
      <w:rFonts w:ascii="宋体" w:hAnsi="宋体" w:eastAsia="宋体"/>
      <w:bCs/>
      <w:kern w:val="0"/>
      <w:sz w:val="24"/>
      <w:szCs w:val="24"/>
    </w:rPr>
  </w:style>
  <w:style w:type="paragraph" w:styleId="44">
    <w:name w:val="List Paragraph"/>
    <w:autoRedefine/>
    <w:unhideWhenUsed/>
    <w:qFormat/>
    <w:uiPriority w:val="34"/>
    <w:pPr>
      <w:numPr>
        <w:ilvl w:val="0"/>
        <w:numId w:val="1"/>
      </w:numPr>
      <w:ind w:firstLine="420"/>
      <w:jc w:val="center"/>
    </w:pPr>
    <w:rPr>
      <w:rFonts w:ascii="Times New Roman" w:hAnsi="Times New Roman" w:eastAsia="宋体" w:cs="Times New Roman"/>
      <w:sz w:val="32"/>
      <w:szCs w:val="32"/>
      <w:lang w:val="en-US" w:eastAsia="zh-CN" w:bidi="ar-SA"/>
    </w:rPr>
  </w:style>
  <w:style w:type="paragraph" w:customStyle="1" w:styleId="45">
    <w:name w:val="Table Paragraph"/>
    <w:basedOn w:val="1"/>
    <w:autoRedefine/>
    <w:qFormat/>
    <w:uiPriority w:val="1"/>
    <w:pPr>
      <w:snapToGrid w:val="0"/>
      <w:spacing w:line="360" w:lineRule="auto"/>
      <w:jc w:val="left"/>
    </w:pPr>
    <w:rPr>
      <w:rFonts w:ascii="宋体" w:hAnsi="宋体" w:eastAsia="宋体" w:cs="宋体"/>
      <w:bCs/>
      <w:sz w:val="24"/>
      <w:szCs w:val="24"/>
      <w:lang w:val="zh-CN" w:bidi="zh-CN"/>
    </w:rPr>
  </w:style>
  <w:style w:type="paragraph" w:customStyle="1" w:styleId="46">
    <w:name w:val="Table Text"/>
    <w:basedOn w:val="1"/>
    <w:autoRedefine/>
    <w:semiHidden/>
    <w:qFormat/>
    <w:uiPriority w:val="0"/>
    <w:pPr>
      <w:snapToGrid w:val="0"/>
      <w:spacing w:line="360" w:lineRule="auto"/>
      <w:jc w:val="left"/>
    </w:pPr>
    <w:rPr>
      <w:rFonts w:ascii="Arial" w:hAnsi="Arial" w:eastAsia="Arial" w:cs="Arial"/>
      <w:bCs/>
      <w:sz w:val="24"/>
      <w:szCs w:val="21"/>
      <w:lang w:eastAsia="en-US"/>
    </w:rPr>
  </w:style>
  <w:style w:type="table" w:customStyle="1" w:styleId="47">
    <w:name w:val="Table Normal"/>
    <w:autoRedefine/>
    <w:semiHidden/>
    <w:unhideWhenUsed/>
    <w:qFormat/>
    <w:uiPriority w:val="0"/>
    <w:tblPr>
      <w:tblCellMar>
        <w:top w:w="0" w:type="dxa"/>
        <w:left w:w="0" w:type="dxa"/>
        <w:bottom w:w="0" w:type="dxa"/>
        <w:right w:w="0" w:type="dxa"/>
      </w:tblCellMar>
    </w:tblPr>
  </w:style>
  <w:style w:type="character" w:customStyle="1" w:styleId="48">
    <w:name w:val="hover"/>
    <w:basedOn w:val="18"/>
    <w:qFormat/>
    <w:uiPriority w:val="0"/>
  </w:style>
  <w:style w:type="character" w:customStyle="1" w:styleId="49">
    <w:name w:val="hover1"/>
    <w:basedOn w:val="18"/>
    <w:qFormat/>
    <w:uiPriority w:val="0"/>
    <w:rPr>
      <w:color w:val="2590EB"/>
    </w:rPr>
  </w:style>
  <w:style w:type="character" w:customStyle="1" w:styleId="50">
    <w:name w:val="hover2"/>
    <w:basedOn w:val="18"/>
    <w:qFormat/>
    <w:uiPriority w:val="0"/>
    <w:rPr>
      <w:color w:val="2590EB"/>
    </w:rPr>
  </w:style>
  <w:style w:type="character" w:customStyle="1" w:styleId="51">
    <w:name w:val="mini-outputtext1"/>
    <w:basedOn w:val="18"/>
    <w:qFormat/>
    <w:uiPriority w:val="0"/>
  </w:style>
  <w:style w:type="character" w:customStyle="1" w:styleId="52">
    <w:name w:val="hover3"/>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29455</Words>
  <Characters>31837</Characters>
  <Lines>273</Lines>
  <Paragraphs>77</Paragraphs>
  <TotalTime>5</TotalTime>
  <ScaleCrop>false</ScaleCrop>
  <LinksUpToDate>false</LinksUpToDate>
  <CharactersWithSpaces>36445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2024-06-07T08:11:00Z</dcterms:created>
  <dc:creator>DELL</dc:creator>
  <cp:lastModifiedBy>A</cp:lastModifiedBy>
  <dcterms:modified xsi:type="dcterms:W3CDTF">2024-06-07T08:19:27Z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3DB8279999D34C0F9EEBDA77BAEFB69C_13</vt:lpwstr>
  </property>
</Properties>
</file>